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4178799"/>
        <w:docPartObj>
          <w:docPartGallery w:val="Cover Pages"/>
          <w:docPartUnique/>
        </w:docPartObj>
      </w:sdtPr>
      <w:sdtContent>
        <w:p w14:paraId="5E524413" w14:textId="77777777" w:rsidR="00353B51" w:rsidRDefault="00353B51"/>
        <w:p w14:paraId="4F10CAC9" w14:textId="77777777" w:rsidR="00353B51" w:rsidRDefault="00353B51"/>
        <w:p w14:paraId="0912E54C" w14:textId="77777777" w:rsidR="00353B51" w:rsidRDefault="00353B51"/>
        <w:p w14:paraId="746362B0" w14:textId="77777777" w:rsidR="00353B51" w:rsidRDefault="00353B51"/>
        <w:p w14:paraId="2D3C08B2" w14:textId="77777777" w:rsidR="00353B51" w:rsidRDefault="00353B51"/>
        <w:p w14:paraId="21A9DC39" w14:textId="77777777" w:rsidR="00353B51" w:rsidRDefault="00353B51"/>
        <w:p w14:paraId="148F4A51" w14:textId="77777777" w:rsidR="00353B51" w:rsidRDefault="00353B51"/>
        <w:p w14:paraId="4733468E" w14:textId="77777777" w:rsidR="00353B51" w:rsidRDefault="00353B51"/>
        <w:p w14:paraId="0416D1BD" w14:textId="77777777" w:rsidR="00353B51" w:rsidRDefault="00353B51"/>
        <w:p w14:paraId="0C7EDE1D" w14:textId="77777777" w:rsidR="00353B51" w:rsidRDefault="00353B51"/>
        <w:p w14:paraId="16DBC87C" w14:textId="77777777" w:rsidR="00353B51" w:rsidRDefault="00353B51"/>
        <w:p w14:paraId="0885896C" w14:textId="77777777" w:rsidR="00353B51" w:rsidRPr="00F66AEE" w:rsidRDefault="00353B51" w:rsidP="00353B51">
          <w:pPr>
            <w:jc w:val="center"/>
            <w:rPr>
              <w:sz w:val="32"/>
              <w:szCs w:val="32"/>
            </w:rPr>
          </w:pPr>
        </w:p>
        <w:p w14:paraId="4FA7237A" w14:textId="030A6638" w:rsidR="00353B51" w:rsidRPr="00F66AEE" w:rsidRDefault="00F66AEE" w:rsidP="00353B51">
          <w:pPr>
            <w:jc w:val="center"/>
            <w:rPr>
              <w:sz w:val="32"/>
              <w:szCs w:val="32"/>
            </w:rPr>
          </w:pPr>
          <w:r w:rsidRPr="00F66AEE">
            <w:rPr>
              <w:sz w:val="32"/>
              <w:szCs w:val="32"/>
            </w:rPr>
            <w:t>Video review: the quest to find World War II’s lost war dead</w:t>
          </w:r>
        </w:p>
        <w:p w14:paraId="6C148689" w14:textId="77777777" w:rsidR="00353B51" w:rsidRDefault="00353B51" w:rsidP="00353B51">
          <w:pPr>
            <w:jc w:val="center"/>
          </w:pPr>
          <w:r>
            <w:t>By Jack Glascott</w:t>
          </w:r>
        </w:p>
        <w:p w14:paraId="6B087F23" w14:textId="77777777" w:rsidR="00353B51" w:rsidRDefault="00353B51" w:rsidP="00353B51">
          <w:pPr>
            <w:jc w:val="center"/>
          </w:pPr>
        </w:p>
        <w:p w14:paraId="32D88FB5" w14:textId="77777777" w:rsidR="00353B51" w:rsidRDefault="00353B51" w:rsidP="00353B51">
          <w:pPr>
            <w:jc w:val="center"/>
          </w:pPr>
        </w:p>
        <w:p w14:paraId="6545FFE2" w14:textId="77777777" w:rsidR="00353B51" w:rsidRDefault="00353B51" w:rsidP="00353B51">
          <w:pPr>
            <w:jc w:val="center"/>
          </w:pPr>
        </w:p>
        <w:p w14:paraId="5D3AF955" w14:textId="77777777" w:rsidR="00353B51" w:rsidRDefault="00353B51" w:rsidP="00353B51">
          <w:pPr>
            <w:jc w:val="center"/>
          </w:pPr>
        </w:p>
        <w:p w14:paraId="45B09762" w14:textId="6530682C" w:rsidR="00353B51" w:rsidRDefault="00353B51" w:rsidP="00353B51">
          <w:pPr>
            <w:jc w:val="center"/>
          </w:pPr>
          <w:r>
            <w:t>Wordcount:</w:t>
          </w:r>
          <w:r w:rsidR="00F66AEE">
            <w:t xml:space="preserve"> 1000</w:t>
          </w:r>
        </w:p>
        <w:p w14:paraId="4D143803" w14:textId="77777777" w:rsidR="00353B51" w:rsidRDefault="00353B51" w:rsidP="00353B51">
          <w:pPr>
            <w:jc w:val="center"/>
          </w:pPr>
        </w:p>
        <w:p w14:paraId="2131937E" w14:textId="77777777" w:rsidR="00353B51" w:rsidRDefault="00353B51" w:rsidP="00353B51">
          <w:pPr>
            <w:jc w:val="center"/>
          </w:pPr>
          <w:r>
            <w:t>Candidate number: 191783</w:t>
          </w:r>
        </w:p>
        <w:p w14:paraId="7F00D3D0" w14:textId="7EF35BDB" w:rsidR="00353B51" w:rsidRDefault="00FA0DD6" w:rsidP="00353B51">
          <w:pPr>
            <w:jc w:val="center"/>
          </w:pPr>
          <w:r>
            <w:t>Heritage and Archaeology of Conflict (HPHE6003)</w:t>
          </w:r>
        </w:p>
        <w:p w14:paraId="08C659D5" w14:textId="52B6C1C0" w:rsidR="00353B51" w:rsidRDefault="00353B51" w:rsidP="00353B51">
          <w:pPr>
            <w:jc w:val="center"/>
          </w:pPr>
          <w:r>
            <w:t xml:space="preserve">University of </w:t>
          </w:r>
          <w:r w:rsidR="00A40D3C">
            <w:t>Wales</w:t>
          </w:r>
          <w:r>
            <w:t xml:space="preserve"> trinity </w:t>
          </w:r>
          <w:r w:rsidR="00A40D3C">
            <w:t>S</w:t>
          </w:r>
          <w:r>
            <w:t xml:space="preserve">t David </w:t>
          </w:r>
        </w:p>
        <w:p w14:paraId="15B419B4" w14:textId="15971F9F" w:rsidR="00353B51" w:rsidRDefault="00353B51" w:rsidP="00353B51">
          <w:pPr>
            <w:jc w:val="center"/>
          </w:pPr>
          <w:r>
            <w:t>February 2021</w:t>
          </w:r>
          <w:r>
            <w:br w:type="page"/>
          </w:r>
        </w:p>
      </w:sdtContent>
    </w:sdt>
    <w:p w14:paraId="2B7D044E" w14:textId="77777777" w:rsidR="001E4386" w:rsidRDefault="001E4386" w:rsidP="001E4386">
      <w:r>
        <w:lastRenderedPageBreak/>
        <w:t xml:space="preserve">This video is a short advertisement and documentary filmed by Bloomberg and published in October 2017, on the World War II Latvian war dead recovery company known as </w:t>
      </w:r>
      <w:proofErr w:type="spellStart"/>
      <w:r>
        <w:t>Legendia</w:t>
      </w:r>
      <w:proofErr w:type="spellEnd"/>
      <w:r>
        <w:t>, covering a short history of why they are attempting to do this alongside interviews and examples of their works from the points of dig in recovery to the burial of the recovered and identified dead.</w:t>
      </w:r>
    </w:p>
    <w:p w14:paraId="761AF7CE" w14:textId="4F9C4A5C" w:rsidR="001E4386" w:rsidRDefault="001E4386" w:rsidP="001E4386">
      <w:r>
        <w:t>The topic of this video is on the lost dead in Latvia from World War two; the company itself attempts five digs a year attempting to recover lost soldiers remains. The company this video is advertising and expressing is founded and run by a Latvian farmer named Talis emits who founded this organisation to facilitate his 'quest' (Bloomberg, 2016) to uncover every forgotten soldier from World War two in Latvia to which he created Legenda, where he as an NGO and Ex-soldier along with many of the organisation's members spending their weekends recovering the dead wherever they are found. This organisation is a relatively successful venture where they, on average, exhume the remains of 600 to 1000 German and Russian soldiers every year. Since the company's establishment in 2017, Legenda has recovered over 10 thousand individuals</w:t>
      </w:r>
      <w:r w:rsidR="00656423">
        <w:t xml:space="preserve"> (</w:t>
      </w:r>
      <w:r w:rsidR="00656423" w:rsidRPr="007C0F74">
        <w:rPr>
          <w:rStyle w:val="xnlmarticle-title"/>
          <w:rFonts w:ascii="Calibri" w:hAnsi="Calibri" w:cs="Calibri"/>
          <w:color w:val="333333"/>
          <w:bdr w:val="none" w:sz="0" w:space="0" w:color="auto" w:frame="1"/>
        </w:rPr>
        <w:t>Bloomberg QuickTake.</w:t>
      </w:r>
      <w:r w:rsidR="00656423">
        <w:rPr>
          <w:rStyle w:val="xnlmarticle-title"/>
          <w:rFonts w:ascii="Calibri" w:hAnsi="Calibri" w:cs="Calibri"/>
          <w:color w:val="333333"/>
          <w:bdr w:val="none" w:sz="0" w:space="0" w:color="auto" w:frame="1"/>
        </w:rPr>
        <w:t xml:space="preserve"> </w:t>
      </w:r>
      <w:r w:rsidR="00656423" w:rsidRPr="007C0F74">
        <w:rPr>
          <w:rStyle w:val="xnlmarticle-title"/>
          <w:rFonts w:ascii="Calibri" w:hAnsi="Calibri" w:cs="Calibri"/>
          <w:color w:val="333333"/>
          <w:bdr w:val="none" w:sz="0" w:space="0" w:color="auto" w:frame="1"/>
        </w:rPr>
        <w:t>2017</w:t>
      </w:r>
      <w:r w:rsidR="00656423">
        <w:rPr>
          <w:rStyle w:val="xnlmarticle-title"/>
          <w:rFonts w:ascii="Calibri" w:hAnsi="Calibri" w:cs="Calibri"/>
          <w:color w:val="333333"/>
          <w:bdr w:val="none" w:sz="0" w:space="0" w:color="auto" w:frame="1"/>
        </w:rPr>
        <w:t>)</w:t>
      </w:r>
      <w:r>
        <w:t>. The creator of the video itself is a YouTube channel called 'Bloomberg QuickTake' for a larger organisation for global streaming news for quick access to world news and social development, and this project was undertaken to present the work done by Legenda to stop the work of profiters digging up war relics for profit.</w:t>
      </w:r>
    </w:p>
    <w:p w14:paraId="03A18104" w14:textId="26113B1B" w:rsidR="001E4386" w:rsidRDefault="001E4386" w:rsidP="001E4386">
      <w:r>
        <w:t>The video design and presentation quality with interspersed interviews give it a personal feeling. The narration was only partial and covered most of the preliminary information. As mentioned previously and interspersed by interview, a very fluent and detailed majority on the individual's intentions towards the dead and the dig itself and their reasons for doing so; however, the narration is purely in English. In contrast, the interviews were all subtitled in English and spoken in Latvian and allowed a clear link to the origin of the topic and the message</w:t>
      </w:r>
      <w:r w:rsidR="00656423" w:rsidRPr="00656423">
        <w:rPr>
          <w:rStyle w:val="xnlmarticle-title"/>
          <w:rFonts w:ascii="Calibri" w:hAnsi="Calibri" w:cs="Calibri"/>
          <w:color w:val="333333"/>
          <w:bdr w:val="none" w:sz="0" w:space="0" w:color="auto" w:frame="1"/>
        </w:rPr>
        <w:t xml:space="preserve"> </w:t>
      </w:r>
      <w:r w:rsidR="00656423">
        <w:rPr>
          <w:rStyle w:val="xnlmarticle-title"/>
          <w:rFonts w:ascii="Calibri" w:hAnsi="Calibri" w:cs="Calibri"/>
          <w:color w:val="333333"/>
          <w:bdr w:val="none" w:sz="0" w:space="0" w:color="auto" w:frame="1"/>
        </w:rPr>
        <w:t>(</w:t>
      </w:r>
      <w:r w:rsidR="00656423" w:rsidRPr="007C0F74">
        <w:rPr>
          <w:rStyle w:val="xnlmarticle-title"/>
          <w:rFonts w:ascii="Calibri" w:hAnsi="Calibri" w:cs="Calibri"/>
          <w:color w:val="333333"/>
          <w:bdr w:val="none" w:sz="0" w:space="0" w:color="auto" w:frame="1"/>
        </w:rPr>
        <w:t>Bloomberg. 2017</w:t>
      </w:r>
      <w:r w:rsidR="00656423">
        <w:rPr>
          <w:rStyle w:val="xnlmarticle-title"/>
          <w:rFonts w:ascii="Calibri" w:hAnsi="Calibri" w:cs="Calibri"/>
          <w:color w:val="333333"/>
          <w:bdr w:val="none" w:sz="0" w:space="0" w:color="auto" w:frame="1"/>
        </w:rPr>
        <w:t>)</w:t>
      </w:r>
      <w:r>
        <w:t>.</w:t>
      </w:r>
    </w:p>
    <w:p w14:paraId="65DF2E93" w14:textId="16A1B532" w:rsidR="001E4386" w:rsidRDefault="001E4386" w:rsidP="001E4386">
      <w:r>
        <w:t>This excellent narration is made even better using the soundtrack or 'incidental music' (Lamothe, 2008) itself. At forty-two seconds, it starts with regular drumbeats interspersed with other drums, giving a low and dark tone to the piece to reflect the message's mood. It seems to fit the mood quite well, likely to accentuate the historical documentation and increase the effect of the speeches and stories presented in the short video</w:t>
      </w:r>
      <w:r w:rsidR="00656423">
        <w:t xml:space="preserve"> </w:t>
      </w:r>
      <w:r w:rsidR="00656423">
        <w:t>(</w:t>
      </w:r>
      <w:r w:rsidR="00656423" w:rsidRPr="007C0F74">
        <w:rPr>
          <w:rStyle w:val="xnlmarticle-title"/>
          <w:rFonts w:ascii="Calibri" w:hAnsi="Calibri" w:cs="Calibri"/>
          <w:color w:val="333333"/>
          <w:bdr w:val="none" w:sz="0" w:space="0" w:color="auto" w:frame="1"/>
        </w:rPr>
        <w:t>Bloomberg</w:t>
      </w:r>
      <w:r w:rsidR="00656423">
        <w:rPr>
          <w:rStyle w:val="xnlmarticle-title"/>
          <w:rFonts w:ascii="Calibri" w:hAnsi="Calibri" w:cs="Calibri"/>
          <w:color w:val="333333"/>
          <w:bdr w:val="none" w:sz="0" w:space="0" w:color="auto" w:frame="1"/>
        </w:rPr>
        <w:t>,</w:t>
      </w:r>
      <w:r w:rsidR="00656423" w:rsidRPr="007C0F74">
        <w:rPr>
          <w:rStyle w:val="xnlmarticle-title"/>
          <w:rFonts w:ascii="Calibri" w:hAnsi="Calibri" w:cs="Calibri"/>
          <w:color w:val="333333"/>
          <w:bdr w:val="none" w:sz="0" w:space="0" w:color="auto" w:frame="1"/>
        </w:rPr>
        <w:t xml:space="preserve"> 2017</w:t>
      </w:r>
      <w:r w:rsidR="00656423">
        <w:rPr>
          <w:rStyle w:val="xnlmarticle-title"/>
          <w:rFonts w:ascii="Calibri" w:hAnsi="Calibri" w:cs="Calibri"/>
          <w:color w:val="333333"/>
          <w:bdr w:val="none" w:sz="0" w:space="0" w:color="auto" w:frame="1"/>
        </w:rPr>
        <w:t>)</w:t>
      </w:r>
      <w:r w:rsidR="00656423">
        <w:t>.</w:t>
      </w:r>
      <w:r>
        <w:t>. The mood shifts from excavation and removal and profits to the burial process at the end. From about five minutes in, there is a shift to guitar and finally to a melodic piano to set the mood better, so altogether a great use of soundtrack in this video. This action of the soundtrack changing to eventuate the differences in mood and focus of a video is crucial when noting the quality of production (Lamothe, 2008) and, as such, presents it as a great one.</w:t>
      </w:r>
    </w:p>
    <w:p w14:paraId="3E0A991D" w14:textId="3FE43B4A" w:rsidR="001E4386" w:rsidRDefault="001E4386" w:rsidP="001E4386">
      <w:r>
        <w:t>The visual focus of the video itself acts as both an advertisement for not only the actions they take like the mixed burials of the Russians Germans and Latvians lost the war, and their reasonings for why they attempt to dig up and rebury the dead but also acts as a sombre and quick documentary on the war effort of Latvia. This stated due to the visual focuses of the video itself it presents an issue of the actual imagery of the excavation of the dead is not entirely careful showing the usage of JCB diggers close to the bone sites spades and hands to grab tunnel towards bone presenting are not very careful or archaeological nature towards the dig as such indicates towards a closer focus on completing the work and getting out the memorabilia that they are buried with</w:t>
      </w:r>
      <w:r w:rsidR="00656423">
        <w:t xml:space="preserve"> (</w:t>
      </w:r>
      <w:r w:rsidR="00656423" w:rsidRPr="007C0F74">
        <w:rPr>
          <w:rStyle w:val="xnlmarticle-title"/>
          <w:rFonts w:ascii="Calibri" w:hAnsi="Calibri" w:cs="Calibri"/>
          <w:color w:val="333333"/>
          <w:bdr w:val="none" w:sz="0" w:space="0" w:color="auto" w:frame="1"/>
        </w:rPr>
        <w:t>Bloomberg. 2017</w:t>
      </w:r>
      <w:r w:rsidR="00656423">
        <w:rPr>
          <w:rStyle w:val="xnlmarticle-title"/>
          <w:rFonts w:ascii="Calibri" w:hAnsi="Calibri" w:cs="Calibri"/>
          <w:color w:val="333333"/>
          <w:bdr w:val="none" w:sz="0" w:space="0" w:color="auto" w:frame="1"/>
        </w:rPr>
        <w:t>)</w:t>
      </w:r>
      <w:r>
        <w:t xml:space="preserve">. A whole section exacerbates this in the video focusing on the black market and value of Nazi and World War II memorabilia such as guns and helmets and one of the participants of the interview themselves </w:t>
      </w:r>
      <w:r w:rsidR="005367EF">
        <w:t>who</w:t>
      </w:r>
      <w:r>
        <w:t xml:space="preserve"> admitted to being a collector of identification tags this would not be an issue </w:t>
      </w:r>
      <w:r>
        <w:lastRenderedPageBreak/>
        <w:t>typically however the fact that he is working on a site for war dead recovery indicates a lack of care towards the dense valuables and whilst they state that they attempt to take care of and do not separate the artefacts from the dead the fact that they state the value of a large portion of their dig site is a cause for concern.</w:t>
      </w:r>
    </w:p>
    <w:p w14:paraId="37A0D3F7" w14:textId="63940CB4" w:rsidR="001E4386" w:rsidRDefault="001E4386" w:rsidP="001E4386">
      <w:r>
        <w:t>However, one of the most outstanding issues with this piece is the medium they impart the main section of the message, which comes down to 'do not dig them up for profit but to help the dead rest'. A great example of this is that the entire section of the piece describes and presents the profits made from these digs. The first error comes from the narrator than from two minutes and forty-eight seconds in about the boom in the trade-in war memorabilia in the last five years, especially Nazi relics in Latvia, ascribing 'the world Nazi market could be worth up to 50 and 100 million dollars' (</w:t>
      </w:r>
      <w:proofErr w:type="spellStart"/>
      <w:r w:rsidR="005367EF">
        <w:rPr>
          <w:rStyle w:val="xnlmarticle-title"/>
          <w:rFonts w:ascii="Calibri" w:hAnsi="Calibri" w:cs="Calibri"/>
          <w:color w:val="333333"/>
          <w:bdr w:val="none" w:sz="0" w:space="0" w:color="auto" w:frame="1"/>
        </w:rPr>
        <w:t>Starzmann</w:t>
      </w:r>
      <w:proofErr w:type="spellEnd"/>
      <w:r w:rsidR="005367EF">
        <w:rPr>
          <w:rStyle w:val="xnlmarticle-title"/>
          <w:rFonts w:ascii="Calibri" w:hAnsi="Calibri" w:cs="Calibri"/>
          <w:color w:val="333333"/>
          <w:bdr w:val="none" w:sz="0" w:space="0" w:color="auto" w:frame="1"/>
        </w:rPr>
        <w:t>. 2008</w:t>
      </w:r>
      <w:r>
        <w:t xml:space="preserve">) and that due to the internet any could attempt to find and sell these relics. This is already not in the correct tone and focus for such a video but exacerbated with the interview of the only </w:t>
      </w:r>
      <w:proofErr w:type="spellStart"/>
      <w:r>
        <w:t>Legende</w:t>
      </w:r>
      <w:proofErr w:type="spellEnd"/>
      <w:r>
        <w:t xml:space="preserve"> member, at a minute and fifty none seconds which is named Andris </w:t>
      </w:r>
      <w:proofErr w:type="spellStart"/>
      <w:r>
        <w:t>Lelis</w:t>
      </w:r>
      <w:proofErr w:type="spellEnd"/>
      <w:r>
        <w:t>, a twenty-year-old student of conflict history major as well as a seller of WW1 and WW2 memorabilia online and a collector of German dog tags. This by itself is not too bad. His student credentials help solidify the background information described for why the organisation exists, but this gives the impression that the organisation would happily run off with relics if left alone</w:t>
      </w:r>
      <w:r w:rsidR="00656423" w:rsidRPr="00656423">
        <w:rPr>
          <w:rStyle w:val="xnlmarticle-title"/>
          <w:rFonts w:ascii="Calibri" w:hAnsi="Calibri" w:cs="Calibri"/>
          <w:color w:val="333333"/>
          <w:bdr w:val="none" w:sz="0" w:space="0" w:color="auto" w:frame="1"/>
        </w:rPr>
        <w:t xml:space="preserve"> </w:t>
      </w:r>
      <w:r w:rsidR="00656423">
        <w:rPr>
          <w:rStyle w:val="xnlmarticle-title"/>
          <w:rFonts w:ascii="Calibri" w:hAnsi="Calibri" w:cs="Calibri"/>
          <w:color w:val="333333"/>
          <w:bdr w:val="none" w:sz="0" w:space="0" w:color="auto" w:frame="1"/>
        </w:rPr>
        <w:t>(</w:t>
      </w:r>
      <w:r w:rsidR="00656423" w:rsidRPr="007C0F74">
        <w:rPr>
          <w:rStyle w:val="xnlmarticle-title"/>
          <w:rFonts w:ascii="Calibri" w:hAnsi="Calibri" w:cs="Calibri"/>
          <w:color w:val="333333"/>
          <w:bdr w:val="none" w:sz="0" w:space="0" w:color="auto" w:frame="1"/>
        </w:rPr>
        <w:t>Bloomberg QuickTake</w:t>
      </w:r>
      <w:r w:rsidR="00656423">
        <w:rPr>
          <w:rStyle w:val="xnlmarticle-title"/>
          <w:rFonts w:ascii="Calibri" w:hAnsi="Calibri" w:cs="Calibri"/>
          <w:color w:val="333333"/>
          <w:bdr w:val="none" w:sz="0" w:space="0" w:color="auto" w:frame="1"/>
        </w:rPr>
        <w:t>,</w:t>
      </w:r>
      <w:r w:rsidR="00656423" w:rsidRPr="007C0F74">
        <w:rPr>
          <w:rStyle w:val="xnlmarticle-title"/>
          <w:rFonts w:ascii="Calibri" w:hAnsi="Calibri" w:cs="Calibri"/>
          <w:color w:val="333333"/>
          <w:bdr w:val="none" w:sz="0" w:space="0" w:color="auto" w:frame="1"/>
        </w:rPr>
        <w:t xml:space="preserve"> 2017</w:t>
      </w:r>
      <w:r w:rsidR="00656423">
        <w:rPr>
          <w:rStyle w:val="xnlmarticle-title"/>
          <w:rFonts w:ascii="Calibri" w:hAnsi="Calibri" w:cs="Calibri"/>
          <w:color w:val="333333"/>
          <w:bdr w:val="none" w:sz="0" w:space="0" w:color="auto" w:frame="1"/>
        </w:rPr>
        <w:t>)</w:t>
      </w:r>
      <w:r>
        <w:t xml:space="preserve">. However, after talking about the relic trade, the narrator then states the cost of running the organisation. However, the heads of the organisations assure the viewer that this is a repugnant notion and is avoided at all costs. Andris </w:t>
      </w:r>
      <w:proofErr w:type="spellStart"/>
      <w:r>
        <w:t>Lelis</w:t>
      </w:r>
      <w:proofErr w:type="spellEnd"/>
      <w:r>
        <w:t xml:space="preserve"> also uses this to present the message to avoid the excavation of WW2 dead for profit, but this could have been done better by avoiding showing that he is part of the problem.</w:t>
      </w:r>
    </w:p>
    <w:p w14:paraId="185E03D9" w14:textId="33BFF5A1" w:rsidR="00656423" w:rsidRDefault="001E4386">
      <w:r>
        <w:t>Thus overall, this is a relatively good video; the setting and structure are all positive and speak of a great director and researcher. Whilst this works great as an advertisement for the group asking for more members and drawing attention to the 'quest' however does a poor job of presenting the message of the accompanying text for the damming of profiteering from the sale of grave relics that the accompanying text expands upon thus whilst a good video it is lacking</w:t>
      </w:r>
      <w:r w:rsidR="00656423">
        <w:t>.</w:t>
      </w:r>
    </w:p>
    <w:p w14:paraId="3CA26F8E" w14:textId="77777777" w:rsidR="00656423" w:rsidRDefault="00656423">
      <w:r>
        <w:br w:type="page"/>
      </w:r>
    </w:p>
    <w:p w14:paraId="63F41EBF" w14:textId="77777777" w:rsidR="003D374C" w:rsidRDefault="003D374C"/>
    <w:p w14:paraId="772283C6" w14:textId="77777777" w:rsidR="003D374C" w:rsidRDefault="003D374C"/>
    <w:sdt>
      <w:sdtPr>
        <w:id w:val="855079562"/>
        <w:docPartObj>
          <w:docPartGallery w:val="Bibliographies"/>
          <w:docPartUnique/>
        </w:docPartObj>
      </w:sdtPr>
      <w:sdtEndPr>
        <w:rPr>
          <w:rFonts w:ascii="Times New Roman" w:eastAsia="Times New Roman" w:hAnsi="Times New Roman" w:cs="Times New Roman"/>
          <w:color w:val="auto"/>
          <w:sz w:val="24"/>
          <w:szCs w:val="24"/>
          <w:lang w:val="en-GB" w:eastAsia="en-GB"/>
        </w:rPr>
      </w:sdtEndPr>
      <w:sdtContent>
        <w:p w14:paraId="066D76EC" w14:textId="3D82E93D" w:rsidR="00FA0DD6" w:rsidRDefault="00FA0DD6">
          <w:pPr>
            <w:pStyle w:val="Heading1"/>
          </w:pPr>
          <w:r>
            <w:t>Bibliography</w:t>
          </w:r>
        </w:p>
        <w:sdt>
          <w:sdtPr>
            <w:id w:val="111145805"/>
            <w:bibliography/>
          </w:sdtPr>
          <w:sdtContent>
            <w:p w14:paraId="73E0DFF7" w14:textId="136D40F3" w:rsidR="001E4386" w:rsidRPr="007C0F74" w:rsidRDefault="001E4386" w:rsidP="007C0F74">
              <w:pPr>
                <w:pStyle w:val="xmsonormal"/>
                <w:shd w:val="clear" w:color="auto" w:fill="FFFFFF"/>
                <w:spacing w:before="0" w:beforeAutospacing="0" w:after="0" w:afterAutospacing="0" w:line="235" w:lineRule="atLeast"/>
                <w:rPr>
                  <w:rStyle w:val="xnlmarticle-title"/>
                  <w:rFonts w:ascii="Calibri" w:hAnsi="Calibri" w:cs="Calibri"/>
                  <w:color w:val="333333"/>
                  <w:sz w:val="22"/>
                  <w:szCs w:val="22"/>
                  <w:bdr w:val="none" w:sz="0" w:space="0" w:color="auto" w:frame="1"/>
                </w:rPr>
              </w:pPr>
              <w:r w:rsidRPr="007C0F74">
                <w:rPr>
                  <w:rStyle w:val="xnlmarticle-title"/>
                  <w:rFonts w:ascii="Calibri" w:hAnsi="Calibri" w:cs="Calibri"/>
                  <w:color w:val="333333"/>
                  <w:sz w:val="22"/>
                  <w:szCs w:val="22"/>
                  <w:bdr w:val="none" w:sz="0" w:space="0" w:color="auto" w:frame="1"/>
                </w:rPr>
                <w:t xml:space="preserve">Lamothe, Peter. 2008. </w:t>
              </w:r>
              <w:proofErr w:type="spellStart"/>
              <w:r w:rsidRPr="007C0F74">
                <w:rPr>
                  <w:rStyle w:val="xnlmarticle-title"/>
                  <w:rFonts w:ascii="Calibri" w:hAnsi="Calibri" w:cs="Calibri"/>
                  <w:color w:val="333333"/>
                  <w:sz w:val="22"/>
                  <w:szCs w:val="22"/>
                  <w:bdr w:val="none" w:sz="0" w:space="0" w:color="auto" w:frame="1"/>
                </w:rPr>
                <w:t>Theater</w:t>
              </w:r>
              <w:proofErr w:type="spellEnd"/>
              <w:r w:rsidRPr="007C0F74">
                <w:rPr>
                  <w:rStyle w:val="xnlmarticle-title"/>
                  <w:rFonts w:ascii="Calibri" w:hAnsi="Calibri" w:cs="Calibri"/>
                  <w:color w:val="333333"/>
                  <w:sz w:val="22"/>
                  <w:szCs w:val="22"/>
                  <w:bdr w:val="none" w:sz="0" w:space="0" w:color="auto" w:frame="1"/>
                </w:rPr>
                <w:t xml:space="preserve"> music in France, 1864–1914 (Thesis). The University of North Carolina at Chapel Hill. ProQuest 304547910.</w:t>
              </w:r>
            </w:p>
            <w:p w14:paraId="10AA4713" w14:textId="262E89F9" w:rsidR="007C0F74" w:rsidRPr="007C0F74" w:rsidRDefault="001E4386" w:rsidP="007C0F74">
              <w:pPr>
                <w:pStyle w:val="xmsonormal"/>
                <w:shd w:val="clear" w:color="auto" w:fill="FFFFFF"/>
                <w:spacing w:before="0" w:beforeAutospacing="0" w:after="0" w:afterAutospacing="0" w:line="235" w:lineRule="atLeast"/>
                <w:rPr>
                  <w:rStyle w:val="xnlmarticle-title"/>
                  <w:color w:val="333333"/>
                  <w:sz w:val="22"/>
                  <w:szCs w:val="22"/>
                  <w:bdr w:val="none" w:sz="0" w:space="0" w:color="auto" w:frame="1"/>
                </w:rPr>
              </w:pPr>
              <w:r w:rsidRPr="007C0F74">
                <w:rPr>
                  <w:rStyle w:val="xnlmarticle-title"/>
                  <w:rFonts w:ascii="Calibri" w:hAnsi="Calibri" w:cs="Calibri"/>
                  <w:color w:val="333333"/>
                  <w:sz w:val="22"/>
                  <w:szCs w:val="22"/>
                  <w:bdr w:val="none" w:sz="0" w:space="0" w:color="auto" w:frame="1"/>
                </w:rPr>
                <w:t xml:space="preserve">Bloomberg QuickTake. 2017. ‘the quest to find world war II’s Lost soldiers’ accessed from: </w:t>
              </w:r>
              <w:hyperlink r:id="rId7" w:tgtFrame="_blank" w:history="1">
                <w:r w:rsidR="007C0F74" w:rsidRPr="007C0F74">
                  <w:rPr>
                    <w:rStyle w:val="xnlmarticle-title"/>
                    <w:rFonts w:eastAsiaTheme="minorEastAsia"/>
                    <w:color w:val="333333"/>
                    <w:sz w:val="22"/>
                    <w:szCs w:val="22"/>
                  </w:rPr>
                  <w:t>https://www.youtube.com/watch?v=G_K2O6RO1H0</w:t>
                </w:r>
              </w:hyperlink>
              <w:r w:rsidRPr="007C0F74">
                <w:rPr>
                  <w:rStyle w:val="xnlmarticle-title"/>
                  <w:rFonts w:ascii="Calibri" w:hAnsi="Calibri" w:cs="Calibri"/>
                  <w:color w:val="333333"/>
                  <w:sz w:val="22"/>
                  <w:szCs w:val="22"/>
                  <w:bdr w:val="none" w:sz="0" w:space="0" w:color="auto" w:frame="1"/>
                </w:rPr>
                <w:t xml:space="preserve"> </w:t>
              </w:r>
              <w:r w:rsidR="007C0F74" w:rsidRPr="007C0F74">
                <w:rPr>
                  <w:rStyle w:val="xnlmarticle-title"/>
                  <w:rFonts w:ascii="Calibri" w:hAnsi="Calibri" w:cs="Calibri"/>
                  <w:color w:val="333333"/>
                  <w:sz w:val="22"/>
                  <w:szCs w:val="22"/>
                  <w:bdr w:val="none" w:sz="0" w:space="0" w:color="auto" w:frame="1"/>
                </w:rPr>
                <w:t>[</w:t>
              </w:r>
              <w:r w:rsidRPr="007C0F74">
                <w:rPr>
                  <w:rStyle w:val="xnlmarticle-title"/>
                  <w:rFonts w:ascii="Calibri" w:hAnsi="Calibri" w:cs="Calibri"/>
                  <w:color w:val="333333"/>
                  <w:sz w:val="22"/>
                  <w:szCs w:val="22"/>
                  <w:bdr w:val="none" w:sz="0" w:space="0" w:color="auto" w:frame="1"/>
                </w:rPr>
                <w:t>accessed: 13/2/2022</w:t>
              </w:r>
              <w:r w:rsidR="007C0F74" w:rsidRPr="007C0F74">
                <w:rPr>
                  <w:rStyle w:val="xnlmarticle-title"/>
                  <w:rFonts w:ascii="Calibri" w:hAnsi="Calibri" w:cs="Calibri"/>
                  <w:color w:val="333333"/>
                  <w:sz w:val="22"/>
                  <w:szCs w:val="22"/>
                  <w:bdr w:val="none" w:sz="0" w:space="0" w:color="auto" w:frame="1"/>
                </w:rPr>
                <w:t>]</w:t>
              </w:r>
            </w:p>
            <w:p w14:paraId="6F754C5C" w14:textId="40A02DC3" w:rsidR="007C0F74" w:rsidRPr="007C0F74" w:rsidRDefault="007C0F74" w:rsidP="007C0F74">
              <w:pPr>
                <w:pStyle w:val="xmsonormal"/>
                <w:shd w:val="clear" w:color="auto" w:fill="FFFFFF"/>
                <w:spacing w:before="0" w:beforeAutospacing="0" w:after="0" w:afterAutospacing="0" w:line="235" w:lineRule="atLeast"/>
                <w:rPr>
                  <w:rStyle w:val="xnlmarticle-title"/>
                  <w:rFonts w:ascii="Calibri" w:hAnsi="Calibri" w:cs="Calibri"/>
                  <w:color w:val="333333"/>
                  <w:sz w:val="22"/>
                  <w:szCs w:val="22"/>
                  <w:bdr w:val="none" w:sz="0" w:space="0" w:color="auto" w:frame="1"/>
                </w:rPr>
              </w:pPr>
              <w:r w:rsidRPr="007C0F74">
                <w:rPr>
                  <w:rStyle w:val="xnlmarticle-title"/>
                  <w:rFonts w:ascii="Calibri" w:hAnsi="Calibri" w:cs="Calibri"/>
                  <w:color w:val="333333"/>
                  <w:sz w:val="22"/>
                  <w:szCs w:val="22"/>
                  <w:bdr w:val="none" w:sz="0" w:space="0" w:color="auto" w:frame="1"/>
                </w:rPr>
                <w:t>Rogers</w:t>
              </w:r>
              <w:r w:rsidRPr="007C0F74">
                <w:rPr>
                  <w:rStyle w:val="xnlmarticle-title"/>
                  <w:rFonts w:ascii="Calibri" w:hAnsi="Calibri" w:cs="Calibri"/>
                  <w:color w:val="333333"/>
                  <w:sz w:val="22"/>
                  <w:szCs w:val="22"/>
                  <w:bdr w:val="none" w:sz="0" w:space="0" w:color="auto" w:frame="1"/>
                </w:rPr>
                <w:t>, T. 2016.</w:t>
              </w:r>
              <w:r w:rsidRPr="007C0F74">
                <w:rPr>
                  <w:rStyle w:val="xnlmarticle-title"/>
                  <w:rFonts w:ascii="Calibri" w:hAnsi="Calibri" w:cs="Calibri"/>
                  <w:color w:val="333333"/>
                  <w:sz w:val="22"/>
                  <w:szCs w:val="22"/>
                  <w:bdr w:val="none" w:sz="0" w:space="0" w:color="auto" w:frame="1"/>
                </w:rPr>
                <w:t xml:space="preserve"> </w:t>
              </w:r>
              <w:r w:rsidRPr="007C0F74">
                <w:rPr>
                  <w:rStyle w:val="xnlmarticle-title"/>
                  <w:rFonts w:ascii="Calibri" w:hAnsi="Calibri" w:cs="Calibri"/>
                  <w:color w:val="333333"/>
                  <w:sz w:val="22"/>
                  <w:szCs w:val="22"/>
                  <w:bdr w:val="none" w:sz="0" w:space="0" w:color="auto" w:frame="1"/>
                </w:rPr>
                <w:t>‘</w:t>
              </w:r>
              <w:r w:rsidRPr="007C0F74">
                <w:rPr>
                  <w:rStyle w:val="xnlmarticle-title"/>
                  <w:rFonts w:ascii="Calibri" w:hAnsi="Calibri" w:cs="Calibri"/>
                  <w:color w:val="333333"/>
                  <w:sz w:val="22"/>
                  <w:szCs w:val="22"/>
                  <w:bdr w:val="none" w:sz="0" w:space="0" w:color="auto" w:frame="1"/>
                </w:rPr>
                <w:t>Inspired by shows like Battlefield Recovery, profiteers are digging up World War II gravesites in search of memorabilia. Preservationists want to stop them.</w:t>
              </w:r>
              <w:r w:rsidRPr="007C0F74">
                <w:rPr>
                  <w:rStyle w:val="xnlmarticle-title"/>
                  <w:rFonts w:ascii="Calibri" w:hAnsi="Calibri" w:cs="Calibri"/>
                  <w:color w:val="333333"/>
                  <w:sz w:val="22"/>
                  <w:szCs w:val="22"/>
                  <w:bdr w:val="none" w:sz="0" w:space="0" w:color="auto" w:frame="1"/>
                </w:rPr>
                <w:t>’</w:t>
              </w:r>
            </w:p>
            <w:p w14:paraId="6C64FB3C" w14:textId="4B4F92D5" w:rsidR="007C0F74" w:rsidRPr="007C0F74" w:rsidRDefault="007C0F74" w:rsidP="007C0F74">
              <w:pPr>
                <w:pStyle w:val="xmsonormal"/>
                <w:shd w:val="clear" w:color="auto" w:fill="FFFFFF"/>
                <w:spacing w:before="0" w:beforeAutospacing="0" w:after="0" w:afterAutospacing="0" w:line="235" w:lineRule="atLeast"/>
                <w:rPr>
                  <w:rFonts w:ascii="Calibri" w:hAnsi="Calibri" w:cs="Calibri"/>
                  <w:color w:val="333333"/>
                  <w:sz w:val="22"/>
                  <w:szCs w:val="22"/>
                  <w:bdr w:val="none" w:sz="0" w:space="0" w:color="auto" w:frame="1"/>
                </w:rPr>
              </w:pPr>
              <w:r w:rsidRPr="007C0F74">
                <w:rPr>
                  <w:rStyle w:val="xnlmarticle-title"/>
                  <w:rFonts w:ascii="Calibri" w:hAnsi="Calibri" w:cs="Calibri"/>
                  <w:color w:val="333333"/>
                  <w:sz w:val="22"/>
                  <w:szCs w:val="22"/>
                  <w:bdr w:val="none" w:sz="0" w:space="0" w:color="auto" w:frame="1"/>
                </w:rPr>
                <w:t>Bloomberg Businessweek</w:t>
              </w:r>
              <w:r w:rsidRPr="007C0F74">
                <w:rPr>
                  <w:rStyle w:val="xnlmarticle-title"/>
                  <w:rFonts w:ascii="Calibri" w:hAnsi="Calibri" w:cs="Calibri"/>
                  <w:color w:val="333333"/>
                  <w:sz w:val="22"/>
                  <w:szCs w:val="22"/>
                  <w:bdr w:val="none" w:sz="0" w:space="0" w:color="auto" w:frame="1"/>
                </w:rPr>
                <w:t xml:space="preserve">, </w:t>
              </w:r>
              <w:hyperlink r:id="rId8" w:history="1">
                <w:r w:rsidRPr="007C0F74">
                  <w:rPr>
                    <w:rStyle w:val="xnlmarticle-title"/>
                    <w:rFonts w:ascii="Calibri" w:eastAsiaTheme="minorEastAsia" w:hAnsi="Calibri" w:cs="Calibri"/>
                    <w:color w:val="333333"/>
                    <w:sz w:val="22"/>
                    <w:szCs w:val="22"/>
                  </w:rPr>
                  <w:t>https://www.bloomberg.com/features/2016-latvia-nazi-memorabilia/</w:t>
                </w:r>
              </w:hyperlink>
              <w:r w:rsidRPr="007C0F74">
                <w:rPr>
                  <w:rStyle w:val="xnlmarticle-title"/>
                  <w:rFonts w:ascii="Calibri" w:hAnsi="Calibri" w:cs="Calibri"/>
                  <w:color w:val="333333"/>
                  <w:sz w:val="22"/>
                  <w:szCs w:val="22"/>
                </w:rPr>
                <w:t xml:space="preserve"> </w:t>
              </w:r>
              <w:r w:rsidRPr="007C0F74">
                <w:rPr>
                  <w:rStyle w:val="xnlmarticle-title"/>
                  <w:rFonts w:ascii="Calibri" w:hAnsi="Calibri" w:cs="Calibri"/>
                  <w:color w:val="333333"/>
                  <w:sz w:val="22"/>
                  <w:szCs w:val="22"/>
                  <w:bdr w:val="none" w:sz="0" w:space="0" w:color="auto" w:frame="1"/>
                </w:rPr>
                <w:t>[A</w:t>
              </w:r>
              <w:r w:rsidRPr="007C0F74">
                <w:rPr>
                  <w:rStyle w:val="xnlmarticle-title"/>
                  <w:rFonts w:ascii="Calibri" w:hAnsi="Calibri" w:cs="Calibri"/>
                  <w:color w:val="333333"/>
                  <w:sz w:val="22"/>
                  <w:szCs w:val="22"/>
                  <w:bdr w:val="none" w:sz="0" w:space="0" w:color="auto" w:frame="1"/>
                </w:rPr>
                <w:t>ccessed 14/2/2022</w:t>
              </w:r>
              <w:r w:rsidRPr="007C0F74">
                <w:rPr>
                  <w:rStyle w:val="xnlmarticle-title"/>
                  <w:rFonts w:ascii="Calibri" w:hAnsi="Calibri" w:cs="Calibri"/>
                  <w:color w:val="333333"/>
                  <w:sz w:val="22"/>
                  <w:szCs w:val="22"/>
                  <w:bdr w:val="none" w:sz="0" w:space="0" w:color="auto" w:frame="1"/>
                </w:rPr>
                <w:t>]</w:t>
              </w:r>
              <w:r>
                <w:rPr>
                  <w:rStyle w:val="xnlmarticle-title"/>
                  <w:rFonts w:ascii="Calibri" w:hAnsi="Calibri" w:cs="Calibri"/>
                  <w:color w:val="000000"/>
                  <w:sz w:val="22"/>
                  <w:szCs w:val="22"/>
                  <w:bdr w:val="none" w:sz="0" w:space="0" w:color="auto" w:frame="1"/>
                </w:rPr>
                <w:t> </w:t>
              </w:r>
            </w:p>
            <w:p w14:paraId="64E83E1B" w14:textId="10C61A37" w:rsidR="007C0F74" w:rsidRDefault="007C0F74" w:rsidP="007C0F74">
              <w:pPr>
                <w:pStyle w:val="xmsonormal"/>
                <w:shd w:val="clear" w:color="auto" w:fill="FFFFFF"/>
                <w:spacing w:before="0" w:beforeAutospacing="0" w:after="0" w:afterAutospacing="0" w:line="235" w:lineRule="atLeast"/>
                <w:rPr>
                  <w:rFonts w:ascii="Calibri" w:hAnsi="Calibri" w:cs="Calibri"/>
                  <w:color w:val="000000"/>
                  <w:sz w:val="22"/>
                  <w:szCs w:val="22"/>
                </w:rPr>
              </w:pPr>
              <w:r>
                <w:rPr>
                  <w:rStyle w:val="xnlmarticle-title"/>
                  <w:rFonts w:ascii="Calibri" w:hAnsi="Calibri" w:cs="Calibri"/>
                  <w:color w:val="333333"/>
                  <w:sz w:val="22"/>
                  <w:szCs w:val="22"/>
                  <w:bdr w:val="none" w:sz="0" w:space="0" w:color="auto" w:frame="1"/>
                </w:rPr>
                <w:t>Carman, John. 1997. Material harm: archaeological studies of war and violence Glasgow : Cruithne Press,. 930.10285 MAT  </w:t>
              </w:r>
            </w:p>
            <w:p w14:paraId="3CA37ADC" w14:textId="77777777" w:rsidR="007C0F74" w:rsidRDefault="007C0F74" w:rsidP="007C0F74">
              <w:pPr>
                <w:pStyle w:val="xmsonormal"/>
                <w:shd w:val="clear" w:color="auto" w:fill="FFFFFF"/>
                <w:spacing w:before="0" w:beforeAutospacing="0" w:after="0" w:afterAutospacing="0" w:line="235" w:lineRule="atLeast"/>
                <w:rPr>
                  <w:rFonts w:ascii="Calibri" w:hAnsi="Calibri" w:cs="Calibri"/>
                  <w:color w:val="000000"/>
                  <w:sz w:val="22"/>
                  <w:szCs w:val="22"/>
                </w:rPr>
              </w:pPr>
              <w:proofErr w:type="spellStart"/>
              <w:r>
                <w:rPr>
                  <w:rStyle w:val="xnlmarticle-title"/>
                  <w:rFonts w:ascii="Calibri" w:hAnsi="Calibri" w:cs="Calibri"/>
                  <w:color w:val="333333"/>
                  <w:sz w:val="22"/>
                  <w:szCs w:val="22"/>
                  <w:bdr w:val="none" w:sz="0" w:space="0" w:color="auto" w:frame="1"/>
                </w:rPr>
                <w:t>Cleere</w:t>
              </w:r>
              <w:proofErr w:type="spellEnd"/>
              <w:r>
                <w:rPr>
                  <w:rStyle w:val="xnlmarticle-title"/>
                  <w:rFonts w:ascii="Calibri" w:hAnsi="Calibri" w:cs="Calibri"/>
                  <w:color w:val="333333"/>
                  <w:sz w:val="22"/>
                  <w:szCs w:val="22"/>
                  <w:bdr w:val="none" w:sz="0" w:space="0" w:color="auto" w:frame="1"/>
                </w:rPr>
                <w:t>, H. 1989. Archaeological heritage management in the modern world (One World Archaeology, 9) London; Boston : Unwin Hyman 930.1 ARC </w:t>
              </w:r>
            </w:p>
            <w:p w14:paraId="194D9804" w14:textId="71436D74" w:rsidR="007C0F74" w:rsidRDefault="007C0F74" w:rsidP="007C0F74">
              <w:pPr>
                <w:pStyle w:val="xmsonormal"/>
                <w:shd w:val="clear" w:color="auto" w:fill="FFFFFF"/>
                <w:spacing w:before="0" w:beforeAutospacing="0" w:after="0" w:afterAutospacing="0" w:line="235" w:lineRule="atLeast"/>
                <w:jc w:val="both"/>
                <w:rPr>
                  <w:rFonts w:ascii="Calibri" w:hAnsi="Calibri" w:cs="Calibri"/>
                  <w:color w:val="000000"/>
                  <w:sz w:val="22"/>
                  <w:szCs w:val="22"/>
                </w:rPr>
              </w:pPr>
              <w:r>
                <w:rPr>
                  <w:rStyle w:val="xnlmarticle-title"/>
                  <w:rFonts w:ascii="Calibri" w:hAnsi="Calibri" w:cs="Calibri"/>
                  <w:color w:val="333333"/>
                  <w:sz w:val="22"/>
                  <w:szCs w:val="22"/>
                  <w:bdr w:val="none" w:sz="0" w:space="0" w:color="auto" w:frame="1"/>
                </w:rPr>
                <w:t xml:space="preserve">Crossland, J. 1990 To dig or not to dig History Today Vol.40 de Jong, A.P. 1976. </w:t>
              </w:r>
              <w:proofErr w:type="spellStart"/>
              <w:r>
                <w:rPr>
                  <w:rStyle w:val="xnlmarticle-title"/>
                  <w:rFonts w:ascii="Calibri" w:hAnsi="Calibri" w:cs="Calibri"/>
                  <w:color w:val="333333"/>
                  <w:sz w:val="22"/>
                  <w:szCs w:val="22"/>
                  <w:bdr w:val="none" w:sz="0" w:space="0" w:color="auto" w:frame="1"/>
                </w:rPr>
                <w:t>Wreckology</w:t>
              </w:r>
              <w:proofErr w:type="spellEnd"/>
              <w:r>
                <w:rPr>
                  <w:rStyle w:val="xnlmarticle-title"/>
                  <w:rFonts w:ascii="Calibri" w:hAnsi="Calibri" w:cs="Calibri"/>
                  <w:color w:val="333333"/>
                  <w:sz w:val="22"/>
                  <w:szCs w:val="22"/>
                  <w:bdr w:val="none" w:sz="0" w:space="0" w:color="auto" w:frame="1"/>
                </w:rPr>
                <w:t xml:space="preserve"> in Holland. After the Battle 12 Battle of Britain International </w:t>
              </w:r>
            </w:p>
            <w:p w14:paraId="3D9F93B1" w14:textId="000AD171" w:rsidR="007C0F74" w:rsidRDefault="007C0F74" w:rsidP="007C0F74">
              <w:pPr>
                <w:pStyle w:val="xmsonormal"/>
                <w:shd w:val="clear" w:color="auto" w:fill="FFFFFF"/>
                <w:spacing w:before="0" w:beforeAutospacing="0" w:after="0" w:afterAutospacing="0" w:line="235" w:lineRule="atLeast"/>
                <w:rPr>
                  <w:rFonts w:ascii="Calibri" w:hAnsi="Calibri" w:cs="Calibri"/>
                  <w:color w:val="000000"/>
                  <w:sz w:val="22"/>
                  <w:szCs w:val="22"/>
                </w:rPr>
              </w:pPr>
              <w:r>
                <w:rPr>
                  <w:rStyle w:val="xnlmarticle-title"/>
                  <w:rFonts w:ascii="Calibri" w:hAnsi="Calibri" w:cs="Calibri"/>
                  <w:color w:val="000000"/>
                  <w:sz w:val="22"/>
                  <w:szCs w:val="22"/>
                  <w:bdr w:val="none" w:sz="0" w:space="0" w:color="auto" w:frame="1"/>
                </w:rPr>
                <w:t>Ferguson, N. 2013. </w:t>
              </w:r>
              <w:r>
                <w:rPr>
                  <w:rStyle w:val="xnlmarticle-title"/>
                  <w:rFonts w:ascii="Calibri" w:hAnsi="Calibri" w:cs="Calibri"/>
                  <w:color w:val="333333"/>
                  <w:sz w:val="22"/>
                  <w:szCs w:val="22"/>
                  <w:bdr w:val="none" w:sz="0" w:space="0" w:color="auto" w:frame="1"/>
                </w:rPr>
                <w:t>“Biting the Bullet: the Role of Hobbyist Metal Detecting Within Battlefield</w:t>
              </w:r>
              <w:r>
                <w:rPr>
                  <w:rStyle w:val="xnlmarticle-title"/>
                  <w:rFonts w:ascii="Calibri" w:hAnsi="Calibri" w:cs="Calibri"/>
                  <w:color w:val="333333"/>
                  <w:sz w:val="22"/>
                  <w:szCs w:val="22"/>
                  <w:bdr w:val="none" w:sz="0" w:space="0" w:color="auto" w:frame="1"/>
                </w:rPr>
                <w:t xml:space="preserve"> </w:t>
              </w:r>
              <w:r>
                <w:rPr>
                  <w:rStyle w:val="xnlmarticle-title"/>
                  <w:rFonts w:ascii="Calibri" w:hAnsi="Calibri" w:cs="Calibri"/>
                  <w:color w:val="333333"/>
                  <w:sz w:val="22"/>
                  <w:szCs w:val="22"/>
                  <w:bdr w:val="none" w:sz="0" w:space="0" w:color="auto" w:frame="1"/>
                </w:rPr>
                <w:t>Archaeology,”</w:t>
              </w:r>
              <w:r>
                <w:rPr>
                  <w:rStyle w:val="xnlmarticle-title"/>
                  <w:rFonts w:ascii="Calibri" w:hAnsi="Calibri" w:cs="Calibri"/>
                  <w:color w:val="000000"/>
                  <w:sz w:val="22"/>
                  <w:szCs w:val="22"/>
                  <w:bdr w:val="none" w:sz="0" w:space="0" w:color="auto" w:frame="1"/>
                </w:rPr>
                <w:t> Internet Archaeology 33. </w:t>
              </w:r>
              <w:hyperlink r:id="rId9" w:tgtFrame="_blank" w:history="1">
                <w:r>
                  <w:rPr>
                    <w:rStyle w:val="xnlmarticle-title"/>
                    <w:rFonts w:ascii="Calibri" w:hAnsi="Calibri" w:cs="Calibri"/>
                    <w:color w:val="333333"/>
                    <w:sz w:val="22"/>
                    <w:szCs w:val="22"/>
                    <w:u w:val="single"/>
                    <w:bdr w:val="none" w:sz="0" w:space="0" w:color="auto" w:frame="1"/>
                  </w:rPr>
                  <w:t>http://dx.doi.org/10.11141/ia.33.3</w:t>
                </w:r>
              </w:hyperlink>
              <w:r>
                <w:rPr>
                  <w:rStyle w:val="xnlmarticle-title"/>
                  <w:rFonts w:ascii="Calibri" w:hAnsi="Calibri" w:cs="Calibri"/>
                  <w:color w:val="000000"/>
                  <w:sz w:val="22"/>
                  <w:szCs w:val="22"/>
                  <w:bdr w:val="none" w:sz="0" w:space="0" w:color="auto" w:frame="1"/>
                </w:rPr>
                <w:t>  </w:t>
              </w:r>
            </w:p>
            <w:p w14:paraId="170DE972" w14:textId="77777777" w:rsidR="007C0F74" w:rsidRDefault="007C0F74" w:rsidP="007C0F74">
              <w:pPr>
                <w:pStyle w:val="xmsonormal"/>
                <w:shd w:val="clear" w:color="auto" w:fill="FFFFFF"/>
                <w:spacing w:before="0" w:beforeAutospacing="0" w:after="0" w:afterAutospacing="0" w:line="235" w:lineRule="atLeast"/>
                <w:rPr>
                  <w:rFonts w:ascii="Calibri" w:hAnsi="Calibri" w:cs="Calibri"/>
                  <w:color w:val="000000"/>
                  <w:sz w:val="22"/>
                  <w:szCs w:val="22"/>
                </w:rPr>
              </w:pPr>
              <w:r>
                <w:rPr>
                  <w:rStyle w:val="xnlmarticle-title"/>
                  <w:rFonts w:ascii="Calibri" w:hAnsi="Calibri" w:cs="Calibri"/>
                  <w:color w:val="333333"/>
                  <w:sz w:val="22"/>
                  <w:szCs w:val="22"/>
                  <w:bdr w:val="none" w:sz="0" w:space="0" w:color="auto" w:frame="1"/>
                </w:rPr>
                <w:t>Freeman, P. 2000. Fields of Conflict: Progress and Prospect in Battlefield Archaeology, &amp; Pollard, A (eds) 253-64. British Archaeological Reports International Series 958. Oxford. </w:t>
              </w:r>
            </w:p>
            <w:p w14:paraId="16E0D2A8" w14:textId="77777777" w:rsidR="007C0F74" w:rsidRDefault="007C0F74" w:rsidP="007C0F74">
              <w:pPr>
                <w:pStyle w:val="xmsonormal"/>
                <w:shd w:val="clear" w:color="auto" w:fill="FFFFFF"/>
                <w:spacing w:before="0" w:beforeAutospacing="0" w:after="0" w:afterAutospacing="0" w:line="235" w:lineRule="atLeast"/>
                <w:rPr>
                  <w:rFonts w:ascii="Calibri" w:hAnsi="Calibri" w:cs="Calibri"/>
                  <w:color w:val="000000"/>
                  <w:sz w:val="22"/>
                  <w:szCs w:val="22"/>
                </w:rPr>
              </w:pPr>
              <w:proofErr w:type="spellStart"/>
              <w:r>
                <w:rPr>
                  <w:rStyle w:val="xnlmarticle-title"/>
                  <w:rFonts w:ascii="Calibri" w:hAnsi="Calibri" w:cs="Calibri"/>
                  <w:color w:val="000000"/>
                  <w:sz w:val="22"/>
                  <w:szCs w:val="22"/>
                  <w:bdr w:val="none" w:sz="0" w:space="0" w:color="auto" w:frame="1"/>
                </w:rPr>
                <w:t>Gegner</w:t>
              </w:r>
              <w:proofErr w:type="spellEnd"/>
              <w:r>
                <w:rPr>
                  <w:rStyle w:val="xnlmarticle-title"/>
                  <w:rFonts w:ascii="Calibri" w:hAnsi="Calibri" w:cs="Calibri"/>
                  <w:color w:val="000000"/>
                  <w:sz w:val="22"/>
                  <w:szCs w:val="22"/>
                  <w:bdr w:val="none" w:sz="0" w:space="0" w:color="auto" w:frame="1"/>
                </w:rPr>
                <w:t>, M., and B. </w:t>
              </w:r>
              <w:proofErr w:type="spellStart"/>
              <w:r>
                <w:rPr>
                  <w:rStyle w:val="xnlmarticle-title"/>
                  <w:rFonts w:ascii="Calibri" w:hAnsi="Calibri" w:cs="Calibri"/>
                  <w:color w:val="000000"/>
                  <w:sz w:val="22"/>
                  <w:szCs w:val="22"/>
                  <w:bdr w:val="none" w:sz="0" w:space="0" w:color="auto" w:frame="1"/>
                </w:rPr>
                <w:t>Ziino</w:t>
              </w:r>
              <w:proofErr w:type="spellEnd"/>
              <w:r>
                <w:rPr>
                  <w:rStyle w:val="xnlmarticle-title"/>
                  <w:rFonts w:ascii="Calibri" w:hAnsi="Calibri" w:cs="Calibri"/>
                  <w:color w:val="000000"/>
                  <w:sz w:val="22"/>
                  <w:szCs w:val="22"/>
                  <w:bdr w:val="none" w:sz="0" w:space="0" w:color="auto" w:frame="1"/>
                </w:rPr>
                <w:t>. 2012 [1986]. The Heritage of War. London: Routledge.  </w:t>
              </w:r>
            </w:p>
            <w:p w14:paraId="243C3429" w14:textId="77777777" w:rsidR="007C0F74" w:rsidRDefault="007C0F74" w:rsidP="007C0F74">
              <w:pPr>
                <w:pStyle w:val="xmsonormal"/>
                <w:shd w:val="clear" w:color="auto" w:fill="FFFFFF"/>
                <w:spacing w:before="0" w:beforeAutospacing="0" w:after="0" w:afterAutospacing="0" w:line="235" w:lineRule="atLeast"/>
                <w:rPr>
                  <w:rFonts w:ascii="Calibri" w:hAnsi="Calibri" w:cs="Calibri"/>
                  <w:color w:val="000000"/>
                  <w:sz w:val="22"/>
                  <w:szCs w:val="22"/>
                </w:rPr>
              </w:pPr>
              <w:r>
                <w:rPr>
                  <w:rStyle w:val="xnlmarticle-title"/>
                  <w:rFonts w:ascii="Calibri" w:hAnsi="Calibri" w:cs="Calibri"/>
                  <w:color w:val="000000"/>
                  <w:sz w:val="22"/>
                  <w:szCs w:val="22"/>
                  <w:bdr w:val="none" w:sz="0" w:space="0" w:color="auto" w:frame="1"/>
                </w:rPr>
                <w:t>Logan, W., and K. Reeves, eds. 2008. Places of Pain and Shame: Dealing with ‘Difficult Heritage’. London: Routledge. </w:t>
              </w:r>
            </w:p>
            <w:p w14:paraId="79413ECC" w14:textId="77777777" w:rsidR="007C0F74" w:rsidRDefault="007C0F74" w:rsidP="007C0F74">
              <w:pPr>
                <w:pStyle w:val="xmsonormal"/>
                <w:shd w:val="clear" w:color="auto" w:fill="FFFFFF"/>
                <w:spacing w:before="0" w:beforeAutospacing="0" w:after="0" w:afterAutospacing="0" w:line="235" w:lineRule="atLeast"/>
                <w:jc w:val="both"/>
                <w:rPr>
                  <w:rFonts w:ascii="Calibri" w:hAnsi="Calibri" w:cs="Calibri"/>
                  <w:color w:val="000000"/>
                  <w:sz w:val="22"/>
                  <w:szCs w:val="22"/>
                </w:rPr>
              </w:pPr>
              <w:r>
                <w:rPr>
                  <w:rStyle w:val="xnlmarticle-title"/>
                  <w:rFonts w:ascii="Calibri" w:hAnsi="Calibri" w:cs="Calibri"/>
                  <w:color w:val="333333"/>
                  <w:sz w:val="22"/>
                  <w:szCs w:val="22"/>
                  <w:bdr w:val="none" w:sz="0" w:space="0" w:color="auto" w:frame="1"/>
                </w:rPr>
                <w:t>Niven, Bill. 2002. Facing the Nazi Past London: Routledge </w:t>
              </w:r>
            </w:p>
            <w:p w14:paraId="3077FA9A" w14:textId="64FC19CF" w:rsidR="00FA0DD6" w:rsidRPr="007C0F74" w:rsidRDefault="007C0F74" w:rsidP="005367EF">
              <w:pPr>
                <w:pStyle w:val="xmsonormal"/>
                <w:shd w:val="clear" w:color="auto" w:fill="FFFFFF"/>
                <w:spacing w:before="0" w:beforeAutospacing="0" w:after="0" w:afterAutospacing="0" w:line="235" w:lineRule="atLeast"/>
                <w:jc w:val="both"/>
                <w:rPr>
                  <w:rFonts w:ascii="Calibri" w:hAnsi="Calibri" w:cs="Calibri"/>
                  <w:color w:val="000000"/>
                  <w:sz w:val="22"/>
                  <w:szCs w:val="22"/>
                </w:rPr>
              </w:pPr>
              <w:proofErr w:type="spellStart"/>
              <w:r>
                <w:rPr>
                  <w:rStyle w:val="xnlmarticle-title"/>
                  <w:rFonts w:ascii="Calibri" w:hAnsi="Calibri" w:cs="Calibri"/>
                  <w:color w:val="333333"/>
                  <w:sz w:val="22"/>
                  <w:szCs w:val="22"/>
                  <w:bdr w:val="none" w:sz="0" w:space="0" w:color="auto" w:frame="1"/>
                </w:rPr>
                <w:t>Starzmann</w:t>
              </w:r>
              <w:proofErr w:type="spellEnd"/>
              <w:r>
                <w:rPr>
                  <w:rStyle w:val="xnlmarticle-title"/>
                  <w:rFonts w:ascii="Calibri" w:hAnsi="Calibri" w:cs="Calibri"/>
                  <w:color w:val="333333"/>
                  <w:sz w:val="22"/>
                  <w:szCs w:val="22"/>
                  <w:bdr w:val="none" w:sz="0" w:space="0" w:color="auto" w:frame="1"/>
                </w:rPr>
                <w:t>, M. 2008. Cultural Imperialism and Heritage Politics in the Event of Armed Conflict: Prospects for an `Activist Archaeology'. Archaeologies, 4, no. 3 (2008): 368-389</w:t>
              </w:r>
            </w:p>
          </w:sdtContent>
        </w:sdt>
      </w:sdtContent>
    </w:sdt>
    <w:p w14:paraId="7A97426A" w14:textId="76BB8FC2" w:rsidR="00A40D3C" w:rsidRDefault="00A40D3C">
      <w:r>
        <w:t xml:space="preserve"> </w:t>
      </w:r>
    </w:p>
    <w:p w14:paraId="7FB7F5D5" w14:textId="77777777" w:rsidR="001E4386" w:rsidRDefault="001E4386"/>
    <w:sectPr w:rsidR="001E4386" w:rsidSect="00353B51">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E8948" w14:textId="77777777" w:rsidR="00034474" w:rsidRDefault="00034474" w:rsidP="00353B51">
      <w:pPr>
        <w:spacing w:after="0" w:line="240" w:lineRule="auto"/>
      </w:pPr>
      <w:r>
        <w:separator/>
      </w:r>
    </w:p>
  </w:endnote>
  <w:endnote w:type="continuationSeparator" w:id="0">
    <w:p w14:paraId="2CB62771" w14:textId="77777777" w:rsidR="00034474" w:rsidRDefault="00034474" w:rsidP="00353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97328" w14:textId="77777777" w:rsidR="00034474" w:rsidRDefault="00034474" w:rsidP="00353B51">
      <w:pPr>
        <w:spacing w:after="0" w:line="240" w:lineRule="auto"/>
      </w:pPr>
      <w:r>
        <w:separator/>
      </w:r>
    </w:p>
  </w:footnote>
  <w:footnote w:type="continuationSeparator" w:id="0">
    <w:p w14:paraId="546072DD" w14:textId="77777777" w:rsidR="00034474" w:rsidRDefault="00034474" w:rsidP="00353B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7" w:type="pct"/>
      <w:tblCellMar>
        <w:left w:w="0" w:type="dxa"/>
        <w:right w:w="0" w:type="dxa"/>
      </w:tblCellMar>
      <w:tblLook w:val="04A0" w:firstRow="1" w:lastRow="0" w:firstColumn="1" w:lastColumn="0" w:noHBand="0" w:noVBand="1"/>
    </w:tblPr>
    <w:tblGrid>
      <w:gridCol w:w="6238"/>
      <w:gridCol w:w="68"/>
      <w:gridCol w:w="3148"/>
    </w:tblGrid>
    <w:tr w:rsidR="00F66AEE" w:rsidRPr="00F66AEE" w14:paraId="50A9FEC0" w14:textId="77777777" w:rsidTr="00A40D3C">
      <w:trPr>
        <w:trHeight w:val="851"/>
      </w:trPr>
      <w:tc>
        <w:tcPr>
          <w:tcW w:w="3299" w:type="pct"/>
        </w:tcPr>
        <w:p w14:paraId="6B1E18D3" w14:textId="1BEFEC0B" w:rsidR="00F66AEE" w:rsidRPr="00F66AEE" w:rsidRDefault="00F66AEE" w:rsidP="00F66AEE">
          <w:pPr>
            <w:pStyle w:val="Header"/>
          </w:pPr>
          <w:r w:rsidRPr="00F66AEE">
            <w:t>Video review: the quest to find World War II’s lost war dead</w:t>
          </w:r>
        </w:p>
      </w:tc>
      <w:tc>
        <w:tcPr>
          <w:tcW w:w="36" w:type="pct"/>
        </w:tcPr>
        <w:p w14:paraId="7CAB3549" w14:textId="77777777" w:rsidR="00A40D3C" w:rsidRPr="00F66AEE" w:rsidRDefault="00A40D3C">
          <w:pPr>
            <w:pStyle w:val="Header"/>
            <w:jc w:val="center"/>
          </w:pPr>
        </w:p>
      </w:tc>
      <w:tc>
        <w:tcPr>
          <w:tcW w:w="1665" w:type="pct"/>
        </w:tcPr>
        <w:p w14:paraId="4F281B3E" w14:textId="77777777" w:rsidR="00A40D3C" w:rsidRPr="00F66AEE" w:rsidRDefault="00A40D3C">
          <w:pPr>
            <w:pStyle w:val="Header"/>
            <w:jc w:val="right"/>
          </w:pPr>
          <w:r w:rsidRPr="00F66AEE">
            <w:rPr>
              <w:sz w:val="24"/>
              <w:szCs w:val="24"/>
            </w:rPr>
            <w:fldChar w:fldCharType="begin"/>
          </w:r>
          <w:r w:rsidRPr="00F66AEE">
            <w:rPr>
              <w:sz w:val="24"/>
              <w:szCs w:val="24"/>
            </w:rPr>
            <w:instrText xml:space="preserve"> PAGE   \* MERGEFORMAT </w:instrText>
          </w:r>
          <w:r w:rsidRPr="00F66AEE">
            <w:rPr>
              <w:sz w:val="24"/>
              <w:szCs w:val="24"/>
            </w:rPr>
            <w:fldChar w:fldCharType="separate"/>
          </w:r>
          <w:r w:rsidRPr="00F66AEE">
            <w:rPr>
              <w:noProof/>
              <w:sz w:val="24"/>
              <w:szCs w:val="24"/>
            </w:rPr>
            <w:t>0</w:t>
          </w:r>
          <w:r w:rsidRPr="00F66AEE">
            <w:rPr>
              <w:sz w:val="24"/>
              <w:szCs w:val="24"/>
            </w:rPr>
            <w:fldChar w:fldCharType="end"/>
          </w:r>
        </w:p>
      </w:tc>
    </w:tr>
  </w:tbl>
  <w:p w14:paraId="6FF40A3A" w14:textId="77777777" w:rsidR="00353B51" w:rsidRDefault="00353B51" w:rsidP="00A40D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53B51"/>
    <w:rsid w:val="00034474"/>
    <w:rsid w:val="000A34BE"/>
    <w:rsid w:val="001477FE"/>
    <w:rsid w:val="00157499"/>
    <w:rsid w:val="00186F21"/>
    <w:rsid w:val="00194D5B"/>
    <w:rsid w:val="001E4386"/>
    <w:rsid w:val="001E7641"/>
    <w:rsid w:val="002020AE"/>
    <w:rsid w:val="0020236D"/>
    <w:rsid w:val="0020666F"/>
    <w:rsid w:val="0029407F"/>
    <w:rsid w:val="002D5115"/>
    <w:rsid w:val="002D6FF4"/>
    <w:rsid w:val="00353B51"/>
    <w:rsid w:val="003567A5"/>
    <w:rsid w:val="003D374C"/>
    <w:rsid w:val="003E34CF"/>
    <w:rsid w:val="0047534A"/>
    <w:rsid w:val="00476A56"/>
    <w:rsid w:val="0052394A"/>
    <w:rsid w:val="005367EF"/>
    <w:rsid w:val="005A309E"/>
    <w:rsid w:val="005D2EFC"/>
    <w:rsid w:val="005F34A2"/>
    <w:rsid w:val="006222A5"/>
    <w:rsid w:val="00630291"/>
    <w:rsid w:val="00656423"/>
    <w:rsid w:val="006666BB"/>
    <w:rsid w:val="006E142A"/>
    <w:rsid w:val="006F6930"/>
    <w:rsid w:val="007C0F74"/>
    <w:rsid w:val="00824335"/>
    <w:rsid w:val="00832D50"/>
    <w:rsid w:val="00865E4A"/>
    <w:rsid w:val="008C4B5F"/>
    <w:rsid w:val="008F23D1"/>
    <w:rsid w:val="009A69A2"/>
    <w:rsid w:val="009C7B96"/>
    <w:rsid w:val="009D3BAD"/>
    <w:rsid w:val="00A40D3C"/>
    <w:rsid w:val="00A83183"/>
    <w:rsid w:val="00AE73E1"/>
    <w:rsid w:val="00B72256"/>
    <w:rsid w:val="00C45DCC"/>
    <w:rsid w:val="00C644AC"/>
    <w:rsid w:val="00CB02FF"/>
    <w:rsid w:val="00D04EA5"/>
    <w:rsid w:val="00DF6ADB"/>
    <w:rsid w:val="00E52D95"/>
    <w:rsid w:val="00E673DF"/>
    <w:rsid w:val="00EA75F6"/>
    <w:rsid w:val="00EF2E2C"/>
    <w:rsid w:val="00F26E36"/>
    <w:rsid w:val="00F34329"/>
    <w:rsid w:val="00F506B5"/>
    <w:rsid w:val="00F66AEE"/>
    <w:rsid w:val="00FA0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3DF954"/>
  <w15:docId w15:val="{CD7674D9-85E7-45D2-8FEA-E94F188DC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DD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3B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3B51"/>
    <w:rPr>
      <w:rFonts w:eastAsiaTheme="minorEastAsia"/>
      <w:lang w:val="en-US"/>
    </w:rPr>
  </w:style>
  <w:style w:type="paragraph" w:styleId="Header">
    <w:name w:val="header"/>
    <w:basedOn w:val="Normal"/>
    <w:link w:val="HeaderChar"/>
    <w:uiPriority w:val="99"/>
    <w:unhideWhenUsed/>
    <w:rsid w:val="00353B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B51"/>
  </w:style>
  <w:style w:type="paragraph" w:styleId="Footer">
    <w:name w:val="footer"/>
    <w:basedOn w:val="Normal"/>
    <w:link w:val="FooterChar"/>
    <w:uiPriority w:val="99"/>
    <w:unhideWhenUsed/>
    <w:rsid w:val="00353B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B51"/>
  </w:style>
  <w:style w:type="character" w:customStyle="1" w:styleId="Heading1Char">
    <w:name w:val="Heading 1 Char"/>
    <w:basedOn w:val="DefaultParagraphFont"/>
    <w:link w:val="Heading1"/>
    <w:uiPriority w:val="9"/>
    <w:rsid w:val="00FA0DD6"/>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7C0F74"/>
    <w:rPr>
      <w:color w:val="0000FF"/>
      <w:u w:val="single"/>
    </w:rPr>
  </w:style>
  <w:style w:type="character" w:styleId="UnresolvedMention">
    <w:name w:val="Unresolved Mention"/>
    <w:basedOn w:val="DefaultParagraphFont"/>
    <w:uiPriority w:val="99"/>
    <w:semiHidden/>
    <w:unhideWhenUsed/>
    <w:rsid w:val="007C0F74"/>
    <w:rPr>
      <w:color w:val="605E5C"/>
      <w:shd w:val="clear" w:color="auto" w:fill="E1DFDD"/>
    </w:rPr>
  </w:style>
  <w:style w:type="paragraph" w:customStyle="1" w:styleId="xmsonormal">
    <w:name w:val="x_msonormal"/>
    <w:basedOn w:val="Normal"/>
    <w:rsid w:val="007C0F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nlmarticle-title">
    <w:name w:val="x_nlmarticle-title"/>
    <w:basedOn w:val="DefaultParagraphFont"/>
    <w:rsid w:val="007C0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316788">
      <w:bodyDiv w:val="1"/>
      <w:marLeft w:val="0"/>
      <w:marRight w:val="0"/>
      <w:marTop w:val="0"/>
      <w:marBottom w:val="0"/>
      <w:divBdr>
        <w:top w:val="none" w:sz="0" w:space="0" w:color="auto"/>
        <w:left w:val="none" w:sz="0" w:space="0" w:color="auto"/>
        <w:bottom w:val="none" w:sz="0" w:space="0" w:color="auto"/>
        <w:right w:val="none" w:sz="0" w:space="0" w:color="auto"/>
      </w:divBdr>
      <w:divsChild>
        <w:div w:id="164899786">
          <w:marLeft w:val="0"/>
          <w:marRight w:val="0"/>
          <w:marTop w:val="0"/>
          <w:marBottom w:val="0"/>
          <w:divBdr>
            <w:top w:val="none" w:sz="0" w:space="0" w:color="auto"/>
            <w:left w:val="none" w:sz="0" w:space="0" w:color="auto"/>
            <w:bottom w:val="none" w:sz="0" w:space="0" w:color="auto"/>
            <w:right w:val="none" w:sz="0" w:space="0" w:color="auto"/>
          </w:divBdr>
        </w:div>
        <w:div w:id="422382067">
          <w:marLeft w:val="0"/>
          <w:marRight w:val="0"/>
          <w:marTop w:val="0"/>
          <w:marBottom w:val="0"/>
          <w:divBdr>
            <w:top w:val="none" w:sz="0" w:space="0" w:color="auto"/>
            <w:left w:val="none" w:sz="0" w:space="0" w:color="auto"/>
            <w:bottom w:val="none" w:sz="0" w:space="0" w:color="auto"/>
            <w:right w:val="none" w:sz="0" w:space="0" w:color="auto"/>
          </w:divBdr>
        </w:div>
        <w:div w:id="697966773">
          <w:marLeft w:val="0"/>
          <w:marRight w:val="0"/>
          <w:marTop w:val="0"/>
          <w:marBottom w:val="0"/>
          <w:divBdr>
            <w:top w:val="none" w:sz="0" w:space="0" w:color="auto"/>
            <w:left w:val="none" w:sz="0" w:space="0" w:color="auto"/>
            <w:bottom w:val="none" w:sz="0" w:space="0" w:color="auto"/>
            <w:right w:val="none" w:sz="0" w:space="0" w:color="auto"/>
          </w:divBdr>
        </w:div>
        <w:div w:id="814954538">
          <w:marLeft w:val="0"/>
          <w:marRight w:val="0"/>
          <w:marTop w:val="0"/>
          <w:marBottom w:val="0"/>
          <w:divBdr>
            <w:top w:val="none" w:sz="0" w:space="0" w:color="auto"/>
            <w:left w:val="none" w:sz="0" w:space="0" w:color="auto"/>
            <w:bottom w:val="none" w:sz="0" w:space="0" w:color="auto"/>
            <w:right w:val="none" w:sz="0" w:space="0" w:color="auto"/>
          </w:divBdr>
        </w:div>
        <w:div w:id="872156822">
          <w:marLeft w:val="0"/>
          <w:marRight w:val="0"/>
          <w:marTop w:val="0"/>
          <w:marBottom w:val="0"/>
          <w:divBdr>
            <w:top w:val="none" w:sz="0" w:space="0" w:color="auto"/>
            <w:left w:val="none" w:sz="0" w:space="0" w:color="auto"/>
            <w:bottom w:val="none" w:sz="0" w:space="0" w:color="auto"/>
            <w:right w:val="none" w:sz="0" w:space="0" w:color="auto"/>
          </w:divBdr>
        </w:div>
        <w:div w:id="965938684">
          <w:marLeft w:val="0"/>
          <w:marRight w:val="0"/>
          <w:marTop w:val="0"/>
          <w:marBottom w:val="0"/>
          <w:divBdr>
            <w:top w:val="none" w:sz="0" w:space="0" w:color="auto"/>
            <w:left w:val="none" w:sz="0" w:space="0" w:color="auto"/>
            <w:bottom w:val="none" w:sz="0" w:space="0" w:color="auto"/>
            <w:right w:val="none" w:sz="0" w:space="0" w:color="auto"/>
          </w:divBdr>
        </w:div>
        <w:div w:id="1312176310">
          <w:marLeft w:val="0"/>
          <w:marRight w:val="0"/>
          <w:marTop w:val="0"/>
          <w:marBottom w:val="0"/>
          <w:divBdr>
            <w:top w:val="none" w:sz="0" w:space="0" w:color="auto"/>
            <w:left w:val="none" w:sz="0" w:space="0" w:color="auto"/>
            <w:bottom w:val="none" w:sz="0" w:space="0" w:color="auto"/>
            <w:right w:val="none" w:sz="0" w:space="0" w:color="auto"/>
          </w:divBdr>
        </w:div>
        <w:div w:id="1395355065">
          <w:marLeft w:val="0"/>
          <w:marRight w:val="0"/>
          <w:marTop w:val="0"/>
          <w:marBottom w:val="0"/>
          <w:divBdr>
            <w:top w:val="none" w:sz="0" w:space="0" w:color="auto"/>
            <w:left w:val="none" w:sz="0" w:space="0" w:color="auto"/>
            <w:bottom w:val="none" w:sz="0" w:space="0" w:color="auto"/>
            <w:right w:val="none" w:sz="0" w:space="0" w:color="auto"/>
          </w:divBdr>
        </w:div>
        <w:div w:id="1514151373">
          <w:marLeft w:val="0"/>
          <w:marRight w:val="0"/>
          <w:marTop w:val="0"/>
          <w:marBottom w:val="0"/>
          <w:divBdr>
            <w:top w:val="none" w:sz="0" w:space="0" w:color="auto"/>
            <w:left w:val="none" w:sz="0" w:space="0" w:color="auto"/>
            <w:bottom w:val="none" w:sz="0" w:space="0" w:color="auto"/>
            <w:right w:val="none" w:sz="0" w:space="0" w:color="auto"/>
          </w:divBdr>
        </w:div>
        <w:div w:id="1547253548">
          <w:marLeft w:val="0"/>
          <w:marRight w:val="0"/>
          <w:marTop w:val="0"/>
          <w:marBottom w:val="0"/>
          <w:divBdr>
            <w:top w:val="none" w:sz="0" w:space="0" w:color="auto"/>
            <w:left w:val="none" w:sz="0" w:space="0" w:color="auto"/>
            <w:bottom w:val="none" w:sz="0" w:space="0" w:color="auto"/>
            <w:right w:val="none" w:sz="0" w:space="0" w:color="auto"/>
          </w:divBdr>
        </w:div>
        <w:div w:id="1751585819">
          <w:marLeft w:val="0"/>
          <w:marRight w:val="0"/>
          <w:marTop w:val="0"/>
          <w:marBottom w:val="0"/>
          <w:divBdr>
            <w:top w:val="none" w:sz="0" w:space="0" w:color="auto"/>
            <w:left w:val="none" w:sz="0" w:space="0" w:color="auto"/>
            <w:bottom w:val="none" w:sz="0" w:space="0" w:color="auto"/>
            <w:right w:val="none" w:sz="0" w:space="0" w:color="auto"/>
          </w:divBdr>
        </w:div>
        <w:div w:id="1861776749">
          <w:marLeft w:val="0"/>
          <w:marRight w:val="0"/>
          <w:marTop w:val="0"/>
          <w:marBottom w:val="0"/>
          <w:divBdr>
            <w:top w:val="none" w:sz="0" w:space="0" w:color="auto"/>
            <w:left w:val="none" w:sz="0" w:space="0" w:color="auto"/>
            <w:bottom w:val="none" w:sz="0" w:space="0" w:color="auto"/>
            <w:right w:val="none" w:sz="0" w:space="0" w:color="auto"/>
          </w:divBdr>
        </w:div>
      </w:divsChild>
    </w:div>
    <w:div w:id="756748040">
      <w:bodyDiv w:val="1"/>
      <w:marLeft w:val="0"/>
      <w:marRight w:val="0"/>
      <w:marTop w:val="0"/>
      <w:marBottom w:val="0"/>
      <w:divBdr>
        <w:top w:val="none" w:sz="0" w:space="0" w:color="auto"/>
        <w:left w:val="none" w:sz="0" w:space="0" w:color="auto"/>
        <w:bottom w:val="none" w:sz="0" w:space="0" w:color="auto"/>
        <w:right w:val="none" w:sz="0" w:space="0" w:color="auto"/>
      </w:divBdr>
      <w:divsChild>
        <w:div w:id="425079660">
          <w:marLeft w:val="0"/>
          <w:marRight w:val="0"/>
          <w:marTop w:val="0"/>
          <w:marBottom w:val="0"/>
          <w:divBdr>
            <w:top w:val="none" w:sz="0" w:space="0" w:color="auto"/>
            <w:left w:val="none" w:sz="0" w:space="0" w:color="auto"/>
            <w:bottom w:val="none" w:sz="0" w:space="0" w:color="auto"/>
            <w:right w:val="none" w:sz="0" w:space="0" w:color="auto"/>
          </w:divBdr>
        </w:div>
        <w:div w:id="1031758317">
          <w:marLeft w:val="0"/>
          <w:marRight w:val="0"/>
          <w:marTop w:val="0"/>
          <w:marBottom w:val="0"/>
          <w:divBdr>
            <w:top w:val="none" w:sz="0" w:space="0" w:color="auto"/>
            <w:left w:val="none" w:sz="0" w:space="0" w:color="auto"/>
            <w:bottom w:val="none" w:sz="0" w:space="0" w:color="auto"/>
            <w:right w:val="none" w:sz="0" w:space="0" w:color="auto"/>
          </w:divBdr>
        </w:div>
        <w:div w:id="1563371958">
          <w:marLeft w:val="0"/>
          <w:marRight w:val="0"/>
          <w:marTop w:val="0"/>
          <w:marBottom w:val="0"/>
          <w:divBdr>
            <w:top w:val="none" w:sz="0" w:space="0" w:color="auto"/>
            <w:left w:val="none" w:sz="0" w:space="0" w:color="auto"/>
            <w:bottom w:val="none" w:sz="0" w:space="0" w:color="auto"/>
            <w:right w:val="none" w:sz="0" w:space="0" w:color="auto"/>
          </w:divBdr>
        </w:div>
        <w:div w:id="1073089760">
          <w:marLeft w:val="0"/>
          <w:marRight w:val="0"/>
          <w:marTop w:val="0"/>
          <w:marBottom w:val="0"/>
          <w:divBdr>
            <w:top w:val="none" w:sz="0" w:space="0" w:color="auto"/>
            <w:left w:val="none" w:sz="0" w:space="0" w:color="auto"/>
            <w:bottom w:val="none" w:sz="0" w:space="0" w:color="auto"/>
            <w:right w:val="none" w:sz="0" w:space="0" w:color="auto"/>
          </w:divBdr>
        </w:div>
        <w:div w:id="137692277">
          <w:marLeft w:val="0"/>
          <w:marRight w:val="0"/>
          <w:marTop w:val="0"/>
          <w:marBottom w:val="0"/>
          <w:divBdr>
            <w:top w:val="none" w:sz="0" w:space="0" w:color="auto"/>
            <w:left w:val="none" w:sz="0" w:space="0" w:color="auto"/>
            <w:bottom w:val="none" w:sz="0" w:space="0" w:color="auto"/>
            <w:right w:val="none" w:sz="0" w:space="0" w:color="auto"/>
          </w:divBdr>
        </w:div>
        <w:div w:id="2086949414">
          <w:marLeft w:val="0"/>
          <w:marRight w:val="0"/>
          <w:marTop w:val="0"/>
          <w:marBottom w:val="0"/>
          <w:divBdr>
            <w:top w:val="none" w:sz="0" w:space="0" w:color="auto"/>
            <w:left w:val="none" w:sz="0" w:space="0" w:color="auto"/>
            <w:bottom w:val="none" w:sz="0" w:space="0" w:color="auto"/>
            <w:right w:val="none" w:sz="0" w:space="0" w:color="auto"/>
          </w:divBdr>
        </w:div>
      </w:divsChild>
    </w:div>
    <w:div w:id="1239906704">
      <w:bodyDiv w:val="1"/>
      <w:marLeft w:val="0"/>
      <w:marRight w:val="0"/>
      <w:marTop w:val="0"/>
      <w:marBottom w:val="0"/>
      <w:divBdr>
        <w:top w:val="none" w:sz="0" w:space="0" w:color="auto"/>
        <w:left w:val="none" w:sz="0" w:space="0" w:color="auto"/>
        <w:bottom w:val="none" w:sz="0" w:space="0" w:color="auto"/>
        <w:right w:val="none" w:sz="0" w:space="0" w:color="auto"/>
      </w:divBdr>
    </w:div>
    <w:div w:id="1316572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loomberg.com/features/2016-latvia-nazi-memorabilia/" TargetMode="External"/><Relationship Id="rId3" Type="http://schemas.openxmlformats.org/officeDocument/2006/relationships/settings" Target="settings.xml"/><Relationship Id="rId7" Type="http://schemas.openxmlformats.org/officeDocument/2006/relationships/hyperlink" Target="https://www.youtube.com/watch?v=G_K2O6RO1H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x.doi.org/10.11141/ia.3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761CD-85E6-461D-97D4-65F0BF241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4</Pages>
  <Words>1330</Words>
  <Characters>7586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Glascott (1901783)</dc:creator>
  <cp:keywords/>
  <dc:description/>
  <cp:lastModifiedBy>Jack Glascott (1901783)</cp:lastModifiedBy>
  <cp:revision>4</cp:revision>
  <dcterms:created xsi:type="dcterms:W3CDTF">2022-02-15T10:08:00Z</dcterms:created>
  <dcterms:modified xsi:type="dcterms:W3CDTF">2022-02-16T00:19:00Z</dcterms:modified>
</cp:coreProperties>
</file>