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28715E3" w14:textId="77777777" w:rsidR="00D91AEA" w:rsidRDefault="00A9321A" w:rsidP="00A9321A">
      <w:pPr>
        <w:jc w:val="center"/>
        <w:rPr>
          <w:u w:val="single"/>
        </w:rPr>
      </w:pPr>
      <w:r>
        <w:rPr>
          <w:u w:val="single"/>
        </w:rPr>
        <w:t>James Forder HPAH5047 Take Home Exam: What can early Greek literary sources (pre-Alexander the Great) tell us about Archaic and Classical Greek conceptions of the edges of the earth?</w:t>
      </w:r>
    </w:p>
    <w:p w14:paraId="735F8632" w14:textId="16641362" w:rsidR="00A9321A" w:rsidRDefault="00A9321A" w:rsidP="006B3758"/>
    <w:p w14:paraId="184856BE" w14:textId="64DEC307" w:rsidR="00EE56FB" w:rsidRDefault="00EE56FB" w:rsidP="008A23F5">
      <w:pPr>
        <w:spacing w:line="480" w:lineRule="auto"/>
      </w:pPr>
      <w:r>
        <w:t>The representation of the edges of the world in the ancient sources prior to Alexander the Great present the fringes of the world as an extreme mixture of both wealth and danger, in contrast to the relative ‘normality’ of the Mediterranean world. The sources, although certainly not reliable accounts of the reality of India, for example, can give us a good idea of the ways in which the Greeks viewed far away lands. This essay will assess the geographical</w:t>
      </w:r>
      <w:r w:rsidR="005F0DAF">
        <w:t xml:space="preserve"> and</w:t>
      </w:r>
      <w:r>
        <w:t xml:space="preserve"> ethnographical</w:t>
      </w:r>
      <w:r w:rsidR="005F0DAF">
        <w:t xml:space="preserve"> views of various Greek sources and examine their intentions in order to create an idea of the concepts associated with distant lands and peoples on the fringes of the known world.</w:t>
      </w:r>
    </w:p>
    <w:p w14:paraId="7F7A0A63" w14:textId="0871F174" w:rsidR="00A9321A" w:rsidRDefault="00082498" w:rsidP="008A23F5">
      <w:pPr>
        <w:spacing w:line="480" w:lineRule="auto"/>
      </w:pPr>
      <w:r>
        <w:t xml:space="preserve">One aspect of the </w:t>
      </w:r>
      <w:r w:rsidR="00D33C3C">
        <w:t>pre-Alexander conception of the edge of the world which can be obtained from the ancient sources is the Greek idea of what marked the boundary of the inhabited earth. One interpretation is that of the ‘river ocean’ surrounding the continents, as discussed by Aristotle and critiqued by Herodotus.</w:t>
      </w:r>
      <w:r w:rsidR="00D33C3C">
        <w:rPr>
          <w:rStyle w:val="FootnoteReference"/>
        </w:rPr>
        <w:footnoteReference w:id="1"/>
      </w:r>
      <w:r w:rsidR="00D33C3C">
        <w:t xml:space="preserve"> Herodotus, however, tends to use deserts as boundary markers for distant lands, doubting the existence of such an ocean, and proposing the possibility of inhabited lands existing beyond such deserts.</w:t>
      </w:r>
      <w:r w:rsidR="00D33C3C">
        <w:rPr>
          <w:rStyle w:val="FootnoteReference"/>
        </w:rPr>
        <w:footnoteReference w:id="2"/>
      </w:r>
      <w:r w:rsidR="00911F43">
        <w:t xml:space="preserve"> </w:t>
      </w:r>
      <w:r w:rsidR="00D33C3C">
        <w:t>This is an interesting comparison, as it shows a debate over whether or not further lands exist beyond the known regions of the earth. Using an ocean surrounding the continents marks a finite, impassable boundar</w:t>
      </w:r>
      <w:r w:rsidR="00A52E54">
        <w:t>y, whereas a desert marks a potentially passable boundary.</w:t>
      </w:r>
      <w:r w:rsidR="00A52E54">
        <w:rPr>
          <w:rStyle w:val="FootnoteReference"/>
        </w:rPr>
        <w:footnoteReference w:id="3"/>
      </w:r>
      <w:r w:rsidR="00A52E54">
        <w:t xml:space="preserve"> This debate shows that some individuals saw the lack of knowledge of land beyond what was known to them as evidence of its non-existence, and others considered the lack of knowledge to be gaps that could be filled through further exploration and inquiry. </w:t>
      </w:r>
      <w:r w:rsidR="0067366B">
        <w:t xml:space="preserve">However, one aspect of geography </w:t>
      </w:r>
      <w:r w:rsidR="0067366B">
        <w:lastRenderedPageBreak/>
        <w:t>and ethnography that was accepted by Herodotus was the concept of the centre, intermediate and fringes, which continued to be accepted in later sources.</w:t>
      </w:r>
      <w:r w:rsidR="0067366B">
        <w:rPr>
          <w:rStyle w:val="FootnoteReference"/>
        </w:rPr>
        <w:footnoteReference w:id="4"/>
      </w:r>
      <w:r w:rsidR="00600565">
        <w:t xml:space="preserve"> </w:t>
      </w:r>
      <w:r w:rsidR="00A40A3D">
        <w:t>India and Africa are also often conjoined into a single entity, with further highlights this discrepancy between the civilised Greek world and the barbarous fringes.</w:t>
      </w:r>
      <w:r w:rsidR="00A40A3D">
        <w:rPr>
          <w:rStyle w:val="FootnoteReference"/>
        </w:rPr>
        <w:footnoteReference w:id="5"/>
      </w:r>
      <w:r w:rsidR="00A40A3D">
        <w:t xml:space="preserve"> </w:t>
      </w:r>
      <w:r w:rsidR="00600565">
        <w:t xml:space="preserve">Therefore, although </w:t>
      </w:r>
      <w:r w:rsidR="00911F43">
        <w:t>there certainly were disagreements over the boundaries of the inhabited earth, the perception of the Mediterranean being the centre of civilisation remained constant.</w:t>
      </w:r>
    </w:p>
    <w:p w14:paraId="2FAE5279" w14:textId="13A80F8A" w:rsidR="00911F43" w:rsidRDefault="006B2608" w:rsidP="008A23F5">
      <w:pPr>
        <w:spacing w:line="480" w:lineRule="auto"/>
      </w:pPr>
      <w:r>
        <w:t xml:space="preserve">The people </w:t>
      </w:r>
      <w:r w:rsidR="00A40A3D">
        <w:t xml:space="preserve">of the edges of the earth are represented in the sources </w:t>
      </w:r>
      <w:r w:rsidR="00925C8C">
        <w:t xml:space="preserve">in ways that contrast </w:t>
      </w:r>
      <w:r w:rsidR="00741B57">
        <w:t>widely with Greek customs, often using cultural taboos. A particularly striking example of these taboos is the representation of cannibalism as a standard cultural practice</w:t>
      </w:r>
      <w:r w:rsidR="00716924">
        <w:t xml:space="preserve"> by Herodotus</w:t>
      </w:r>
      <w:r w:rsidR="00741B57">
        <w:t xml:space="preserve">. For example, the </w:t>
      </w:r>
      <w:proofErr w:type="spellStart"/>
      <w:r w:rsidR="00741B57">
        <w:t>Padaei</w:t>
      </w:r>
      <w:proofErr w:type="spellEnd"/>
      <w:r w:rsidR="00741B57">
        <w:t xml:space="preserve"> who kill and cannibalise the old and sick and the </w:t>
      </w:r>
      <w:proofErr w:type="spellStart"/>
      <w:r w:rsidR="00741B57">
        <w:t>Callatiae</w:t>
      </w:r>
      <w:proofErr w:type="spellEnd"/>
      <w:r w:rsidR="00741B57">
        <w:t>, who eat their deceased relatives.</w:t>
      </w:r>
      <w:r w:rsidR="00741B57">
        <w:rPr>
          <w:rStyle w:val="FootnoteReference"/>
        </w:rPr>
        <w:footnoteReference w:id="6"/>
      </w:r>
      <w:r w:rsidR="00741B57">
        <w:t xml:space="preserve"> These practices are used partly to provoke a reaction of shock</w:t>
      </w:r>
      <w:r w:rsidR="00716924">
        <w:t xml:space="preserve">, perhaps for entertainment purposes, but also to present the Indians and the edge of the earth in general as a place where the shocking is considered normal. It is also interesting that the account of the </w:t>
      </w:r>
      <w:proofErr w:type="spellStart"/>
      <w:r w:rsidR="00716924">
        <w:t>Callatiae</w:t>
      </w:r>
      <w:proofErr w:type="spellEnd"/>
      <w:r w:rsidR="00716924">
        <w:t xml:space="preserve"> also includes the Indian people being outraged at the Greek practice of cremation as a counterpoint, perhaps to challenge the assumptions of normality the Greeks had towards their own customs. This representation of cannibalism also acts to portray the Indian funerary and religious practices as simplistic and savage, when compared to the Greeks supposedly more complex and sophisticated rites.</w:t>
      </w:r>
      <w:r w:rsidR="00716924">
        <w:rPr>
          <w:rStyle w:val="FootnoteReference"/>
        </w:rPr>
        <w:footnoteReference w:id="7"/>
      </w:r>
      <w:r w:rsidR="00DA4AB7">
        <w:t xml:space="preserve"> </w:t>
      </w:r>
      <w:r w:rsidR="00DA4AB7">
        <w:t>Some other practices which are discussed by Herodotus in a similar vein are the Greek customs of chastity and marriage, compared with the casual and public sexual relations of the people of the fringes,</w:t>
      </w:r>
      <w:r w:rsidR="00DA4AB7">
        <w:rPr>
          <w:rStyle w:val="FootnoteReference"/>
        </w:rPr>
        <w:footnoteReference w:id="8"/>
      </w:r>
      <w:r w:rsidR="00DA4AB7">
        <w:t xml:space="preserve"> and the comparison between Greek agriculture and nomadic sustenance.</w:t>
      </w:r>
      <w:r w:rsidR="00DA4AB7">
        <w:rPr>
          <w:rStyle w:val="FootnoteReference"/>
        </w:rPr>
        <w:footnoteReference w:id="9"/>
      </w:r>
      <w:r w:rsidR="00F04692">
        <w:t xml:space="preserve"> In contrast to these </w:t>
      </w:r>
      <w:r w:rsidR="00F04692">
        <w:lastRenderedPageBreak/>
        <w:t>examples of taboos is the account of people who do not kill animals or sow crops, and leave their old and sick in the desert to die, rather than killing them directly.</w:t>
      </w:r>
      <w:r w:rsidR="00F04692">
        <w:rPr>
          <w:rStyle w:val="FootnoteReference"/>
        </w:rPr>
        <w:footnoteReference w:id="10"/>
      </w:r>
      <w:r w:rsidR="00DA4AB7">
        <w:t xml:space="preserve"> </w:t>
      </w:r>
      <w:r w:rsidR="00F04692">
        <w:t>This is included to show a degree of diversity of customs among the Indian peoples, while also presenting them as ‘noble savages’.</w:t>
      </w:r>
      <w:r w:rsidR="00F04692">
        <w:rPr>
          <w:rStyle w:val="FootnoteReference"/>
        </w:rPr>
        <w:footnoteReference w:id="11"/>
      </w:r>
      <w:r w:rsidR="00F04692">
        <w:t xml:space="preserve"> </w:t>
      </w:r>
      <w:r w:rsidR="00DA4AB7">
        <w:t>These examples reinforce</w:t>
      </w:r>
      <w:r w:rsidR="00716924">
        <w:t xml:space="preserve"> the idea of the Greek and Mediterranean world as the centre of civilisation, with the fringes of the world such as India being far removed from such civilisation, both geographically and culturally, and the further from the centre you go, the more strange and taboo the practices of the residents become.</w:t>
      </w:r>
    </w:p>
    <w:p w14:paraId="76DD5C1D" w14:textId="6D6B8E06" w:rsidR="00DA4AB7" w:rsidRDefault="00DA4AB7" w:rsidP="008A23F5">
      <w:pPr>
        <w:spacing w:line="480" w:lineRule="auto"/>
      </w:pPr>
      <w:r>
        <w:t xml:space="preserve">An important overarching theme of the ancient sources when referring to India is the representation of India as a location of fabulous wealth. For example, </w:t>
      </w:r>
      <w:proofErr w:type="spellStart"/>
      <w:r>
        <w:t>Ctesias</w:t>
      </w:r>
      <w:proofErr w:type="spellEnd"/>
      <w:r>
        <w:t xml:space="preserve"> makes references to fountains of liquid gold,</w:t>
      </w:r>
      <w:r w:rsidR="00751BFB">
        <w:rPr>
          <w:rStyle w:val="FootnoteReference"/>
        </w:rPr>
        <w:footnoteReference w:id="12"/>
      </w:r>
      <w:r>
        <w:t xml:space="preserve"> </w:t>
      </w:r>
      <w:r w:rsidR="00751BFB">
        <w:t>blossom producing usually expensive purple dyes</w:t>
      </w:r>
      <w:r w:rsidR="00751BFB">
        <w:rPr>
          <w:rStyle w:val="FootnoteReference"/>
        </w:rPr>
        <w:footnoteReference w:id="13"/>
      </w:r>
      <w:r w:rsidR="00751BFB">
        <w:t xml:space="preserve"> and exceedingly sweet cheese and wine.</w:t>
      </w:r>
      <w:r w:rsidR="00751BFB">
        <w:rPr>
          <w:rStyle w:val="FootnoteReference"/>
        </w:rPr>
        <w:footnoteReference w:id="14"/>
      </w:r>
      <w:r w:rsidR="00751BFB">
        <w:t xml:space="preserve"> This is expanded upon by Herodotus with accounts such as the ‘gold digging ants’,</w:t>
      </w:r>
      <w:r w:rsidR="00751BFB">
        <w:rPr>
          <w:rStyle w:val="FootnoteReference"/>
        </w:rPr>
        <w:footnoteReference w:id="15"/>
      </w:r>
      <w:r w:rsidR="00751BFB">
        <w:t xml:space="preserve"> and the tribute of 360 talents of gold dust paid by Indians.</w:t>
      </w:r>
      <w:r w:rsidR="00751BFB">
        <w:rPr>
          <w:rStyle w:val="FootnoteReference"/>
        </w:rPr>
        <w:footnoteReference w:id="16"/>
      </w:r>
      <w:r w:rsidR="00751BFB">
        <w:t xml:space="preserve"> This representation of wealth is partly done to generate a sense of marvel at the strangeness of the </w:t>
      </w:r>
      <w:r w:rsidR="00267BA6">
        <w:t>distant world,</w:t>
      </w:r>
      <w:r w:rsidR="00267BA6">
        <w:rPr>
          <w:rStyle w:val="FootnoteReference"/>
        </w:rPr>
        <w:footnoteReference w:id="17"/>
      </w:r>
      <w:r w:rsidR="00267BA6">
        <w:t xml:space="preserve"> but also to give an explanation for the relative prosperity </w:t>
      </w:r>
      <w:r w:rsidR="0057201A">
        <w:t xml:space="preserve">of the Indians, despite their ‘savagery’. It is also interesting that the Indians in Herodotus and </w:t>
      </w:r>
      <w:proofErr w:type="spellStart"/>
      <w:r w:rsidR="0057201A">
        <w:t>Ctesias</w:t>
      </w:r>
      <w:proofErr w:type="spellEnd"/>
      <w:r w:rsidR="0057201A">
        <w:t xml:space="preserve"> obtain their wealth through the work of nature, such as the gold-digging ants, plentiful ready food supplies or the fountains of gold, rather than having to manipulate nature via mining or agriculture, such as in Greece or Bactria. This, according to </w:t>
      </w:r>
      <w:proofErr w:type="spellStart"/>
      <w:r w:rsidR="0057201A">
        <w:t>Karttunen</w:t>
      </w:r>
      <w:proofErr w:type="spellEnd"/>
      <w:r w:rsidR="0057201A">
        <w:t>, presents the fringes of the earth as exceedingly fertile, where work is not necessary to obtain wealth.</w:t>
      </w:r>
      <w:r w:rsidR="0057201A">
        <w:rPr>
          <w:rStyle w:val="FootnoteReference"/>
        </w:rPr>
        <w:footnoteReference w:id="18"/>
      </w:r>
      <w:r w:rsidR="0057201A">
        <w:t xml:space="preserve"> However, to fetch the gold dug up by the ants, the process involve</w:t>
      </w:r>
      <w:r w:rsidR="004D06F6">
        <w:t xml:space="preserve">s long and dangerous </w:t>
      </w:r>
      <w:r w:rsidR="004D06F6">
        <w:lastRenderedPageBreak/>
        <w:t xml:space="preserve">expeditions. </w:t>
      </w:r>
      <w:proofErr w:type="spellStart"/>
      <w:r w:rsidR="004D06F6">
        <w:t>Karttunen</w:t>
      </w:r>
      <w:proofErr w:type="spellEnd"/>
      <w:r w:rsidR="004D06F6">
        <w:t xml:space="preserve"> suggests that this shows fringe-dwellers represented as too primitive to fully exploit their resources.</w:t>
      </w:r>
      <w:r w:rsidR="004D06F6">
        <w:rPr>
          <w:rStyle w:val="FootnoteReference"/>
        </w:rPr>
        <w:footnoteReference w:id="19"/>
      </w:r>
      <w:r w:rsidR="00727AC9">
        <w:t xml:space="preserve"> If these accounts of abundant wealth are in fact the case, then it would be rather useless to exploit the resources to the same extent as the Mediterranean world. Therefore, rather than presenting the Indians as too primitive to obtain the fullest extent of their resources, the abundance of such resources could also be considered an explanation as to why distant people did not ‘civilise’ in the same way as the Greeks. The Greeks, with their relative lack of resources, were forced into creating social and economic innovations such as mining and agriculture to access the resources they had, creating ‘civilisation’ from struggle, whereas in the account of Herodotus, the Indians did not require such innovations to sustain themselves. Therefore, rather than presenting their ‘barbarism’ as a reason for their lack of full exploitation of resources, the abundance of such wealth is used as an explanation for their ‘barbarism’.</w:t>
      </w:r>
      <w:r w:rsidR="00F04692">
        <w:t xml:space="preserve"> </w:t>
      </w:r>
    </w:p>
    <w:p w14:paraId="4203C13F" w14:textId="0133C6F4" w:rsidR="004F22CA" w:rsidRDefault="009069E3" w:rsidP="008A23F5">
      <w:pPr>
        <w:spacing w:line="480" w:lineRule="auto"/>
      </w:pPr>
      <w:r>
        <w:t xml:space="preserve">Another aspect of the early Greek accounts of the edges of the earth, particularly in </w:t>
      </w:r>
      <w:proofErr w:type="spellStart"/>
      <w:r>
        <w:t>Ctesias</w:t>
      </w:r>
      <w:proofErr w:type="spellEnd"/>
      <w:r>
        <w:t>, is the inclusion of dangerous or unusual animals, such as the Manticore,</w:t>
      </w:r>
      <w:r>
        <w:rPr>
          <w:rStyle w:val="FootnoteReference"/>
        </w:rPr>
        <w:footnoteReference w:id="20"/>
      </w:r>
      <w:r>
        <w:t xml:space="preserve"> Pygmies,</w:t>
      </w:r>
      <w:r>
        <w:rPr>
          <w:rStyle w:val="FootnoteReference"/>
        </w:rPr>
        <w:footnoteReference w:id="21"/>
      </w:r>
      <w:r>
        <w:t xml:space="preserve"> </w:t>
      </w:r>
      <w:proofErr w:type="spellStart"/>
      <w:r>
        <w:t>Cynocephaloi</w:t>
      </w:r>
      <w:proofErr w:type="spellEnd"/>
      <w:r>
        <w:t>,</w:t>
      </w:r>
      <w:r>
        <w:rPr>
          <w:rStyle w:val="FootnoteReference"/>
        </w:rPr>
        <w:footnoteReference w:id="22"/>
      </w:r>
      <w:r>
        <w:t xml:space="preserve"> and various other similarly unusual creatures. Interestingly, they are represented as hybrids between various animal species. Although the ethnographic and historical sources do not attempt to explain such phenomena, likely because it would dampen the impact of such unusual creatures on the audience, instead following a literary tradition of presenting the marvellous,</w:t>
      </w:r>
      <w:r>
        <w:rPr>
          <w:rStyle w:val="FootnoteReference"/>
        </w:rPr>
        <w:footnoteReference w:id="23"/>
      </w:r>
      <w:r>
        <w:t xml:space="preserve"> there were attempts by others to do so. Aristotle for example</w:t>
      </w:r>
      <w:r w:rsidR="00933A45">
        <w:t>, attempted to explain it by assuming that a warm climate would create a scarcity of water, leading to animals sharing the same water supply and interbreeding.</w:t>
      </w:r>
      <w:r w:rsidR="00933A45">
        <w:rPr>
          <w:rStyle w:val="FootnoteReference"/>
        </w:rPr>
        <w:footnoteReference w:id="24"/>
      </w:r>
      <w:r>
        <w:t xml:space="preserve"> </w:t>
      </w:r>
      <w:r w:rsidR="00933A45">
        <w:t xml:space="preserve">This attempt to explain </w:t>
      </w:r>
      <w:r w:rsidR="00933A45">
        <w:lastRenderedPageBreak/>
        <w:t xml:space="preserve">the origins of such creatures shows that their existence was often regarded as true, or at the very least plausible. </w:t>
      </w:r>
      <w:r w:rsidR="005950E9">
        <w:t xml:space="preserve">There are also accounts which today are certainly plausible </w:t>
      </w:r>
      <w:r w:rsidR="00D943C5">
        <w:t>or confirmed to be accurate, such as the ‘talking bird’, which is likely a parrot</w:t>
      </w:r>
      <w:r w:rsidR="00D943C5">
        <w:rPr>
          <w:rStyle w:val="FootnoteReference"/>
        </w:rPr>
        <w:footnoteReference w:id="25"/>
      </w:r>
      <w:r w:rsidR="00D943C5">
        <w:t xml:space="preserve"> and a ‘worm’ which is likely referring to crocodiles.</w:t>
      </w:r>
      <w:r w:rsidR="00D943C5">
        <w:rPr>
          <w:rStyle w:val="FootnoteReference"/>
        </w:rPr>
        <w:footnoteReference w:id="26"/>
      </w:r>
      <w:r w:rsidR="00D943C5">
        <w:t xml:space="preserve"> Although the accounts of the talking bird and the worm/ crocodile seem plausible to a modern audience, to an ancient Greek audience, it likely would have been just as fantastical as the </w:t>
      </w:r>
      <w:proofErr w:type="spellStart"/>
      <w:r w:rsidR="00D943C5">
        <w:t>mantichore</w:t>
      </w:r>
      <w:proofErr w:type="spellEnd"/>
      <w:r w:rsidR="00D943C5">
        <w:t xml:space="preserve">. This suggests that </w:t>
      </w:r>
      <w:proofErr w:type="spellStart"/>
      <w:r w:rsidR="00D943C5">
        <w:t>Ctesias</w:t>
      </w:r>
      <w:proofErr w:type="spellEnd"/>
      <w:r w:rsidR="00D943C5">
        <w:t xml:space="preserve"> may have used a mixture of genuine witness testimonies or his own experiences alongside mythological </w:t>
      </w:r>
      <w:proofErr w:type="gramStart"/>
      <w:r w:rsidR="00D943C5">
        <w:t>tales, but</w:t>
      </w:r>
      <w:proofErr w:type="gramEnd"/>
      <w:r w:rsidR="00D943C5">
        <w:t xml:space="preserve"> did not have the means to distinguish between them, with some creatures such as the </w:t>
      </w:r>
      <w:proofErr w:type="spellStart"/>
      <w:r w:rsidR="00D943C5">
        <w:t>Cynocephaloi</w:t>
      </w:r>
      <w:proofErr w:type="spellEnd"/>
      <w:r w:rsidR="00D943C5">
        <w:t xml:space="preserve"> making appearances in Sanskrit works, such as the </w:t>
      </w:r>
      <w:r w:rsidR="00D943C5">
        <w:rPr>
          <w:i/>
        </w:rPr>
        <w:t>Ramayana</w:t>
      </w:r>
      <w:r w:rsidR="00D943C5">
        <w:t>.</w:t>
      </w:r>
      <w:r w:rsidR="00D943C5">
        <w:rPr>
          <w:rStyle w:val="FootnoteReference"/>
        </w:rPr>
        <w:footnoteReference w:id="27"/>
      </w:r>
      <w:r w:rsidR="00D943C5">
        <w:t xml:space="preserve"> </w:t>
      </w:r>
      <w:r w:rsidR="00D943C5">
        <w:t xml:space="preserve">Bevan, on the other hand, suggests the inclusion of Indian mythology as evidence of </w:t>
      </w:r>
      <w:proofErr w:type="spellStart"/>
      <w:r w:rsidR="00D943C5">
        <w:t>Ctesias</w:t>
      </w:r>
      <w:proofErr w:type="spellEnd"/>
      <w:r w:rsidR="00D943C5">
        <w:t xml:space="preserve"> as an ‘uncreative liar’.</w:t>
      </w:r>
      <w:r w:rsidR="00D943C5">
        <w:rPr>
          <w:rStyle w:val="FootnoteReference"/>
        </w:rPr>
        <w:footnoteReference w:id="28"/>
      </w:r>
      <w:r w:rsidR="00D943C5">
        <w:t xml:space="preserve"> However, the fact that he was using Indian mythology does not indicate </w:t>
      </w:r>
      <w:proofErr w:type="spellStart"/>
      <w:r w:rsidR="00D943C5">
        <w:t>Ctesias</w:t>
      </w:r>
      <w:proofErr w:type="spellEnd"/>
      <w:r w:rsidR="00D943C5">
        <w:t xml:space="preserve"> being a liar, but perhaps simply being unable to verify the authenticity of such claims, with the claim of him as a liar being rather severe and unjust.</w:t>
      </w:r>
      <w:r w:rsidR="00D943C5">
        <w:rPr>
          <w:rStyle w:val="FootnoteReference"/>
        </w:rPr>
        <w:footnoteReference w:id="29"/>
      </w:r>
      <w:r w:rsidR="00D943C5">
        <w:t xml:space="preserve"> This shows that </w:t>
      </w:r>
      <w:proofErr w:type="spellStart"/>
      <w:r w:rsidR="00D943C5">
        <w:t>Ctesias</w:t>
      </w:r>
      <w:proofErr w:type="spellEnd"/>
      <w:r w:rsidR="00D943C5">
        <w:t xml:space="preserve"> was basing his work on genuine accounts but was either unable or uninterested in determining their legitimacy.</w:t>
      </w:r>
      <w:r w:rsidR="00EB06A7">
        <w:t xml:space="preserve"> Interestingly, </w:t>
      </w:r>
      <w:proofErr w:type="spellStart"/>
      <w:r w:rsidR="00EB06A7">
        <w:t>Hecataeus</w:t>
      </w:r>
      <w:proofErr w:type="spellEnd"/>
      <w:r w:rsidR="00EB06A7">
        <w:t xml:space="preserve"> does not include any references to beasts in fragments of his work. According to Parker, this is an indication of emerging rationalism in historical writing.</w:t>
      </w:r>
      <w:r w:rsidR="00EB06A7">
        <w:rPr>
          <w:rStyle w:val="FootnoteReference"/>
        </w:rPr>
        <w:footnoteReference w:id="30"/>
      </w:r>
      <w:r w:rsidR="00EB06A7">
        <w:t xml:space="preserve"> </w:t>
      </w:r>
      <w:r w:rsidR="004F22CA">
        <w:t>The purpose of the inclusion of dangerous and unusual creatures in the accounts of the edges of the inhabited world, alongside that of its wealth and abundant resources, is to present the fringes of the world as having both extremes of nature simultaneously, blessing it with wealth, but cursing it with deadly creatures.</w:t>
      </w:r>
      <w:r w:rsidR="004F22CA">
        <w:rPr>
          <w:rStyle w:val="FootnoteReference"/>
        </w:rPr>
        <w:footnoteReference w:id="31"/>
      </w:r>
    </w:p>
    <w:p w14:paraId="4BD0A592" w14:textId="6FA633F7" w:rsidR="00611A05" w:rsidRPr="006F33F4" w:rsidRDefault="00784747" w:rsidP="008A23F5">
      <w:pPr>
        <w:spacing w:line="480" w:lineRule="auto"/>
      </w:pPr>
      <w:r>
        <w:lastRenderedPageBreak/>
        <w:t xml:space="preserve">A question which must be considered is the motivations that early Greek writers had when writing about the edges of the earth. </w:t>
      </w:r>
      <w:proofErr w:type="spellStart"/>
      <w:r>
        <w:t>Scylax</w:t>
      </w:r>
      <w:proofErr w:type="spellEnd"/>
      <w:r>
        <w:t>, for example was allegedly hired by Darius to explore the Indus and the Suez and deliver a report on his findings to inform Darius for his planned campaigns in India.</w:t>
      </w:r>
      <w:r>
        <w:rPr>
          <w:rStyle w:val="FootnoteReference"/>
        </w:rPr>
        <w:footnoteReference w:id="32"/>
      </w:r>
      <w:r>
        <w:t xml:space="preserve"> However, the fantastical nature of his report suggest that it was not in fact addressed to a Persian audience at all, as they would have been more interested in practical, strategic information. A Greek audience on the other hand, would have been more interested in such marvellous tales, suggesting that it was in fact written for a Greek audience, with the intention of entertaining, rather than informing reliably.</w:t>
      </w:r>
      <w:r>
        <w:rPr>
          <w:rStyle w:val="FootnoteReference"/>
        </w:rPr>
        <w:footnoteReference w:id="33"/>
      </w:r>
      <w:r>
        <w:t xml:space="preserve"> This suggests that the Greek audience had an expectation of the east being represented in such a way that gratifies their traditional views of distant lands.</w:t>
      </w:r>
      <w:r w:rsidR="00600565">
        <w:t xml:space="preserve"> It is also debatable whether </w:t>
      </w:r>
      <w:proofErr w:type="spellStart"/>
      <w:r w:rsidR="00600565">
        <w:t>Scylax</w:t>
      </w:r>
      <w:proofErr w:type="spellEnd"/>
      <w:r w:rsidR="00600565">
        <w:t xml:space="preserve"> was in fact travelling through the Ganges, rather than the Indus.</w:t>
      </w:r>
      <w:r w:rsidR="00600565">
        <w:rPr>
          <w:rStyle w:val="FootnoteReference"/>
        </w:rPr>
        <w:footnoteReference w:id="34"/>
      </w:r>
      <w:r>
        <w:t xml:space="preserve"> </w:t>
      </w:r>
      <w:r>
        <w:t xml:space="preserve">Similarly, </w:t>
      </w:r>
      <w:proofErr w:type="spellStart"/>
      <w:r>
        <w:t>Ctesias</w:t>
      </w:r>
      <w:proofErr w:type="spellEnd"/>
      <w:r>
        <w:t xml:space="preserve"> </w:t>
      </w:r>
      <w:r w:rsidR="00441C19">
        <w:t>is primarily viewed in modern scholarship as being mainly interested in providing entertaining details, rather than informative details.</w:t>
      </w:r>
      <w:r w:rsidR="00441C19">
        <w:rPr>
          <w:rStyle w:val="FootnoteReference"/>
        </w:rPr>
        <w:footnoteReference w:id="35"/>
      </w:r>
      <w:r w:rsidR="00441C19">
        <w:t xml:space="preserve"> </w:t>
      </w:r>
      <w:r w:rsidR="00611A05">
        <w:t xml:space="preserve">Herodotus’ account of India </w:t>
      </w:r>
      <w:r w:rsidR="0067366B">
        <w:t xml:space="preserve">also has the same issues to </w:t>
      </w:r>
      <w:proofErr w:type="spellStart"/>
      <w:r w:rsidR="0067366B">
        <w:t>Scylax</w:t>
      </w:r>
      <w:proofErr w:type="spellEnd"/>
      <w:r w:rsidR="0067366B">
        <w:t xml:space="preserve"> and </w:t>
      </w:r>
      <w:proofErr w:type="spellStart"/>
      <w:r w:rsidR="0067366B">
        <w:t>Ctesias</w:t>
      </w:r>
      <w:proofErr w:type="spellEnd"/>
      <w:r w:rsidR="0067366B">
        <w:t>, in that it is a brief portrayal of accounts which are unable to be properly verified due to lack of inquiry, unlike Egypt and Scythia, which had much more developed connections with the Greek world.</w:t>
      </w:r>
      <w:r w:rsidR="0067366B">
        <w:rPr>
          <w:rStyle w:val="FootnoteReference"/>
        </w:rPr>
        <w:footnoteReference w:id="36"/>
      </w:r>
      <w:r w:rsidR="0067366B">
        <w:t xml:space="preserve"> </w:t>
      </w:r>
      <w:r w:rsidR="00AA1D6E">
        <w:t>Another point worth noting is that the Indian subcontinent does not play a role in Herodotus’ primary narrative of the Graeco-Persian wars, therefore the accounts of India were included out of interest, rather than out of necessity.</w:t>
      </w:r>
      <w:r w:rsidR="00AA1D6E">
        <w:rPr>
          <w:rStyle w:val="FootnoteReference"/>
        </w:rPr>
        <w:footnoteReference w:id="37"/>
      </w:r>
      <w:r w:rsidR="00AA1D6E">
        <w:t xml:space="preserve"> This shows that, like </w:t>
      </w:r>
      <w:proofErr w:type="spellStart"/>
      <w:r w:rsidR="00AA1D6E">
        <w:t>Scylax</w:t>
      </w:r>
      <w:proofErr w:type="spellEnd"/>
      <w:r w:rsidR="00AA1D6E">
        <w:t xml:space="preserve"> and </w:t>
      </w:r>
      <w:proofErr w:type="spellStart"/>
      <w:r w:rsidR="00AA1D6E">
        <w:t>Ctesias</w:t>
      </w:r>
      <w:proofErr w:type="spellEnd"/>
      <w:r w:rsidR="00AA1D6E">
        <w:t>, Herodotus was primarily interested in entertaining his audience when writing about the distant world than providing an accurate or reliable account.</w:t>
      </w:r>
      <w:r w:rsidR="00461DB7">
        <w:t xml:space="preserve"> </w:t>
      </w:r>
      <w:proofErr w:type="gramStart"/>
      <w:r w:rsidR="00461DB7">
        <w:t>As a whole, Tola</w:t>
      </w:r>
      <w:proofErr w:type="gramEnd"/>
      <w:r w:rsidR="00461DB7">
        <w:t xml:space="preserve"> and </w:t>
      </w:r>
      <w:proofErr w:type="spellStart"/>
      <w:r w:rsidR="00461DB7">
        <w:t>Dragonetti</w:t>
      </w:r>
      <w:proofErr w:type="spellEnd"/>
      <w:r w:rsidR="00461DB7">
        <w:t xml:space="preserve"> present an interesting proposal for the origin and purpose of the early Greek sources on India as the first stage of relations between India and </w:t>
      </w:r>
      <w:r w:rsidR="00461DB7">
        <w:lastRenderedPageBreak/>
        <w:t>the ‘western world’, with the sources acting as a means of increasing the relations between the peoples of India and the Mediterranean through provoking fascination with the other’s culture and customs.</w:t>
      </w:r>
      <w:r w:rsidR="00461DB7">
        <w:rPr>
          <w:rStyle w:val="FootnoteReference"/>
        </w:rPr>
        <w:footnoteReference w:id="38"/>
      </w:r>
      <w:r w:rsidR="00461DB7">
        <w:t xml:space="preserve"> Therefore, the purpose of the early Greek accounts of India opened the </w:t>
      </w:r>
      <w:r w:rsidR="00600565">
        <w:t xml:space="preserve">intrigue which led to, among other things, Alexander’s campaign against </w:t>
      </w:r>
      <w:proofErr w:type="spellStart"/>
      <w:r w:rsidR="00600565">
        <w:t>Porus</w:t>
      </w:r>
      <w:proofErr w:type="spellEnd"/>
      <w:r w:rsidR="00600565">
        <w:t xml:space="preserve"> and the expansion of Hellenic and Indian culture in both directions.</w:t>
      </w:r>
    </w:p>
    <w:p w14:paraId="424B2B8C" w14:textId="62106628" w:rsidR="00A52E54" w:rsidRDefault="003400DD" w:rsidP="008A23F5">
      <w:pPr>
        <w:spacing w:line="480" w:lineRule="auto"/>
      </w:pPr>
      <w:r>
        <w:t>Overall, the edges of the inhabited world were viewed by the Greeks as both gifted with immense wealth and resources but cursed with dangerous and unusual creatures. The peoples inhabiting these fringes are represented as the opposite of the Greek perception of normality and civilisation. The purpose of this representation was to create an entertaining collection of marvels, aimed at generating interest in these edges of the earth among the Greek population, leading to further interactions between the east and the west.</w:t>
      </w:r>
    </w:p>
    <w:p w14:paraId="0FE5D8AC" w14:textId="7FB5EF56" w:rsidR="00B85253" w:rsidRDefault="00B85253" w:rsidP="008A23F5">
      <w:pPr>
        <w:spacing w:line="480" w:lineRule="auto"/>
      </w:pPr>
    </w:p>
    <w:p w14:paraId="4AA31EEA" w14:textId="2A7ADBFF" w:rsidR="000F153D" w:rsidRDefault="006E4169" w:rsidP="000F153D">
      <w:pPr>
        <w:spacing w:line="480" w:lineRule="auto"/>
        <w:rPr>
          <w:b/>
        </w:rPr>
      </w:pPr>
      <w:r>
        <w:rPr>
          <w:b/>
        </w:rPr>
        <w:t>Word Count: 2</w:t>
      </w:r>
      <w:r w:rsidR="00847DC9">
        <w:rPr>
          <w:b/>
        </w:rPr>
        <w:t>111</w:t>
      </w:r>
      <w:bookmarkStart w:id="0" w:name="_GoBack"/>
      <w:bookmarkEnd w:id="0"/>
    </w:p>
    <w:p w14:paraId="74CE59F0" w14:textId="2B5D522A" w:rsidR="000F153D" w:rsidRDefault="000F153D" w:rsidP="000F153D">
      <w:pPr>
        <w:spacing w:line="480" w:lineRule="auto"/>
        <w:rPr>
          <w:b/>
        </w:rPr>
      </w:pPr>
    </w:p>
    <w:p w14:paraId="3625D71F" w14:textId="64BA8D23" w:rsidR="000F153D" w:rsidRDefault="000F153D" w:rsidP="000F153D">
      <w:pPr>
        <w:spacing w:line="480" w:lineRule="auto"/>
        <w:rPr>
          <w:b/>
        </w:rPr>
      </w:pPr>
    </w:p>
    <w:p w14:paraId="63C55F7D" w14:textId="25ED2E35" w:rsidR="000F153D" w:rsidRDefault="000F153D" w:rsidP="000F153D">
      <w:pPr>
        <w:spacing w:line="480" w:lineRule="auto"/>
        <w:rPr>
          <w:b/>
        </w:rPr>
      </w:pPr>
    </w:p>
    <w:p w14:paraId="17125B08" w14:textId="363B0917" w:rsidR="000F153D" w:rsidRDefault="000F153D" w:rsidP="000F153D">
      <w:pPr>
        <w:spacing w:line="480" w:lineRule="auto"/>
        <w:rPr>
          <w:b/>
        </w:rPr>
      </w:pPr>
    </w:p>
    <w:p w14:paraId="11D88044" w14:textId="39BD5A10" w:rsidR="000F153D" w:rsidRDefault="000F153D" w:rsidP="000F153D">
      <w:pPr>
        <w:spacing w:line="480" w:lineRule="auto"/>
        <w:rPr>
          <w:b/>
        </w:rPr>
      </w:pPr>
    </w:p>
    <w:p w14:paraId="3034FBD8" w14:textId="7BAE53C0" w:rsidR="000F153D" w:rsidRDefault="000F153D" w:rsidP="000F153D">
      <w:pPr>
        <w:spacing w:line="480" w:lineRule="auto"/>
        <w:rPr>
          <w:b/>
        </w:rPr>
      </w:pPr>
    </w:p>
    <w:p w14:paraId="69CFD51F" w14:textId="77777777" w:rsidR="000F153D" w:rsidRPr="000F153D" w:rsidRDefault="000F153D" w:rsidP="000F153D">
      <w:pPr>
        <w:spacing w:line="480" w:lineRule="auto"/>
        <w:rPr>
          <w:b/>
        </w:rPr>
      </w:pPr>
    </w:p>
    <w:p w14:paraId="5027D9F8" w14:textId="0879FB1C" w:rsidR="000A2897" w:rsidRDefault="000A2897" w:rsidP="008A23F5">
      <w:pPr>
        <w:pStyle w:val="Heading1"/>
        <w:spacing w:line="480" w:lineRule="auto"/>
        <w:rPr>
          <w:rFonts w:ascii="Times New Roman" w:hAnsi="Times New Roman" w:cs="Times New Roman"/>
        </w:rPr>
      </w:pPr>
      <w:r>
        <w:rPr>
          <w:rFonts w:ascii="Times New Roman" w:hAnsi="Times New Roman" w:cs="Times New Roman"/>
        </w:rPr>
        <w:lastRenderedPageBreak/>
        <w:t>Ancient Sources</w:t>
      </w:r>
    </w:p>
    <w:p w14:paraId="11F6DE85" w14:textId="5F929447" w:rsidR="000A2897" w:rsidRDefault="000A2897" w:rsidP="008A23F5">
      <w:pPr>
        <w:spacing w:line="480" w:lineRule="auto"/>
        <w:rPr>
          <w:lang w:val="en-US"/>
        </w:rPr>
      </w:pPr>
      <w:r>
        <w:rPr>
          <w:lang w:val="en-US"/>
        </w:rPr>
        <w:t xml:space="preserve">Aristotle, </w:t>
      </w:r>
      <w:r>
        <w:rPr>
          <w:i/>
          <w:lang w:val="en-US"/>
        </w:rPr>
        <w:t>Generation of Animals</w:t>
      </w:r>
      <w:r>
        <w:rPr>
          <w:lang w:val="en-US"/>
        </w:rPr>
        <w:t>. A. L. Peck</w:t>
      </w:r>
      <w:r w:rsidR="00605CBA">
        <w:rPr>
          <w:lang w:val="en-US"/>
        </w:rPr>
        <w:t xml:space="preserve"> (trans.). </w:t>
      </w:r>
      <w:r w:rsidR="00483DCC">
        <w:rPr>
          <w:lang w:val="en-US"/>
        </w:rPr>
        <w:t>1942. London: Harvard University Press.</w:t>
      </w:r>
    </w:p>
    <w:p w14:paraId="154F629A" w14:textId="6158C142" w:rsidR="00483DCC" w:rsidRDefault="00483DCC" w:rsidP="008A23F5">
      <w:pPr>
        <w:spacing w:line="480" w:lineRule="auto"/>
        <w:rPr>
          <w:lang w:val="en-US"/>
        </w:rPr>
      </w:pPr>
      <w:r>
        <w:rPr>
          <w:lang w:val="en-US"/>
        </w:rPr>
        <w:t xml:space="preserve">Aristotle, </w:t>
      </w:r>
      <w:r>
        <w:rPr>
          <w:i/>
          <w:lang w:val="en-US"/>
        </w:rPr>
        <w:t xml:space="preserve">Meteorology. </w:t>
      </w:r>
      <w:r>
        <w:rPr>
          <w:lang w:val="en-US"/>
        </w:rPr>
        <w:t xml:space="preserve">E. W. Webster (trans.). 2009. [Online] Available at: </w:t>
      </w:r>
      <w:hyperlink r:id="rId7" w:history="1">
        <w:r w:rsidRPr="009B2CE9">
          <w:rPr>
            <w:rStyle w:val="Hyperlink"/>
            <w:lang w:val="en-US"/>
          </w:rPr>
          <w:t>http://classics.mit.edu/Aristotle/meteorology.html</w:t>
        </w:r>
      </w:hyperlink>
      <w:r>
        <w:rPr>
          <w:lang w:val="en-US"/>
        </w:rPr>
        <w:t xml:space="preserve"> [Accessed 20th December 2018].</w:t>
      </w:r>
    </w:p>
    <w:p w14:paraId="24FAF98A" w14:textId="6039CD1E" w:rsidR="00483DCC" w:rsidRDefault="00483DCC" w:rsidP="008A23F5">
      <w:pPr>
        <w:spacing w:line="480" w:lineRule="auto"/>
        <w:rPr>
          <w:lang w:val="en-US"/>
        </w:rPr>
      </w:pPr>
      <w:proofErr w:type="spellStart"/>
      <w:r>
        <w:rPr>
          <w:lang w:val="en-US"/>
        </w:rPr>
        <w:t>Ctesias</w:t>
      </w:r>
      <w:proofErr w:type="spellEnd"/>
      <w:r>
        <w:rPr>
          <w:lang w:val="en-US"/>
        </w:rPr>
        <w:t xml:space="preserve">, </w:t>
      </w:r>
      <w:proofErr w:type="spellStart"/>
      <w:r>
        <w:rPr>
          <w:i/>
          <w:lang w:val="en-US"/>
        </w:rPr>
        <w:t>Indika</w:t>
      </w:r>
      <w:proofErr w:type="spellEnd"/>
      <w:r>
        <w:rPr>
          <w:i/>
          <w:lang w:val="en-US"/>
        </w:rPr>
        <w:t xml:space="preserve">. </w:t>
      </w:r>
      <w:r>
        <w:rPr>
          <w:lang w:val="en-US"/>
        </w:rPr>
        <w:t>As seen in course handbook.</w:t>
      </w:r>
    </w:p>
    <w:p w14:paraId="247EF182" w14:textId="79ABF92C" w:rsidR="00483DCC" w:rsidRDefault="00483DCC" w:rsidP="008A23F5">
      <w:pPr>
        <w:spacing w:line="480" w:lineRule="auto"/>
        <w:rPr>
          <w:lang w:val="en-US"/>
        </w:rPr>
      </w:pPr>
      <w:proofErr w:type="spellStart"/>
      <w:r>
        <w:rPr>
          <w:lang w:val="en-US"/>
        </w:rPr>
        <w:t>Diodorus</w:t>
      </w:r>
      <w:proofErr w:type="spellEnd"/>
      <w:r>
        <w:rPr>
          <w:lang w:val="en-US"/>
        </w:rPr>
        <w:t xml:space="preserve"> of Sicily. C. H. </w:t>
      </w:r>
      <w:proofErr w:type="spellStart"/>
      <w:r>
        <w:rPr>
          <w:lang w:val="en-US"/>
        </w:rPr>
        <w:t>Oldfather</w:t>
      </w:r>
      <w:proofErr w:type="spellEnd"/>
      <w:r>
        <w:rPr>
          <w:lang w:val="en-US"/>
        </w:rPr>
        <w:t xml:space="preserve"> (trans.). 1935. London: William Heinemann Ltd.</w:t>
      </w:r>
    </w:p>
    <w:p w14:paraId="0EC2BF83" w14:textId="26726B3C" w:rsidR="00483DCC" w:rsidRDefault="00483DCC" w:rsidP="008A23F5">
      <w:pPr>
        <w:spacing w:line="480" w:lineRule="auto"/>
        <w:rPr>
          <w:lang w:val="en-US"/>
        </w:rPr>
      </w:pPr>
      <w:r>
        <w:rPr>
          <w:lang w:val="en-US"/>
        </w:rPr>
        <w:t xml:space="preserve">Herodotus. </w:t>
      </w:r>
      <w:r>
        <w:rPr>
          <w:i/>
          <w:lang w:val="en-US"/>
        </w:rPr>
        <w:t xml:space="preserve">Histories. </w:t>
      </w:r>
      <w:r>
        <w:rPr>
          <w:lang w:val="en-US"/>
        </w:rPr>
        <w:t xml:space="preserve">George Rawlinson (trans.). 1996 (1858). </w:t>
      </w:r>
      <w:proofErr w:type="spellStart"/>
      <w:r>
        <w:rPr>
          <w:lang w:val="en-US"/>
        </w:rPr>
        <w:t>Ware</w:t>
      </w:r>
      <w:proofErr w:type="spellEnd"/>
      <w:r>
        <w:rPr>
          <w:lang w:val="en-US"/>
        </w:rPr>
        <w:t>: Wordsworth Editions.</w:t>
      </w:r>
    </w:p>
    <w:p w14:paraId="0E8892E6" w14:textId="418DDFAA" w:rsidR="00483DCC" w:rsidRPr="008B3197" w:rsidRDefault="008B3197" w:rsidP="008A23F5">
      <w:pPr>
        <w:spacing w:line="480" w:lineRule="auto"/>
        <w:rPr>
          <w:lang w:val="en-US"/>
        </w:rPr>
      </w:pPr>
      <w:r>
        <w:rPr>
          <w:lang w:val="en-US"/>
        </w:rPr>
        <w:t xml:space="preserve">Polybius. </w:t>
      </w:r>
      <w:r>
        <w:rPr>
          <w:i/>
          <w:lang w:val="en-US"/>
        </w:rPr>
        <w:t xml:space="preserve">The Histories. </w:t>
      </w:r>
      <w:r>
        <w:rPr>
          <w:lang w:val="en-US"/>
        </w:rPr>
        <w:t>Robin Waterfield (trans.). 2010. Oxford: Oxford University Press.</w:t>
      </w:r>
    </w:p>
    <w:p w14:paraId="49C2370B" w14:textId="691A159D" w:rsidR="00B85253" w:rsidRPr="00D33C3C" w:rsidRDefault="000A2897" w:rsidP="008A23F5">
      <w:pPr>
        <w:pStyle w:val="Heading1"/>
        <w:spacing w:line="480" w:lineRule="auto"/>
        <w:rPr>
          <w:rFonts w:ascii="Times New Roman" w:hAnsi="Times New Roman" w:cs="Times New Roman"/>
        </w:rPr>
      </w:pPr>
      <w:r>
        <w:rPr>
          <w:rFonts w:ascii="Times New Roman" w:hAnsi="Times New Roman" w:cs="Times New Roman"/>
        </w:rPr>
        <w:t>Modern Scholarship</w:t>
      </w:r>
    </w:p>
    <w:p w14:paraId="3D69009D" w14:textId="058BA5D4" w:rsidR="006F33F4" w:rsidRPr="00611A05" w:rsidRDefault="006F33F4" w:rsidP="008A23F5">
      <w:pPr>
        <w:pStyle w:val="Bibliography"/>
        <w:spacing w:line="480" w:lineRule="auto"/>
        <w:rPr>
          <w:rFonts w:ascii="Times New Roman" w:hAnsi="Times New Roman" w:cs="Times New Roman"/>
        </w:rPr>
      </w:pPr>
      <w:r>
        <w:rPr>
          <w:rFonts w:ascii="Times New Roman" w:hAnsi="Times New Roman" w:cs="Times New Roman"/>
        </w:rPr>
        <w:t xml:space="preserve">Bevan, E.R., 1922. </w:t>
      </w:r>
      <w:r w:rsidR="00611A05">
        <w:rPr>
          <w:rFonts w:ascii="Times New Roman" w:hAnsi="Times New Roman" w:cs="Times New Roman"/>
        </w:rPr>
        <w:t xml:space="preserve">India in Early Greek and Latin Literature. In: E. J. Rapson, ed. </w:t>
      </w:r>
      <w:r w:rsidR="00611A05">
        <w:rPr>
          <w:rFonts w:ascii="Times New Roman" w:hAnsi="Times New Roman" w:cs="Times New Roman"/>
          <w:i/>
        </w:rPr>
        <w:t xml:space="preserve">The Cambridge History of India. </w:t>
      </w:r>
      <w:r w:rsidR="00611A05">
        <w:rPr>
          <w:rFonts w:ascii="Times New Roman" w:hAnsi="Times New Roman" w:cs="Times New Roman"/>
        </w:rPr>
        <w:t>Cambridge: Cambridge University Press, pp. 391-326.</w:t>
      </w:r>
    </w:p>
    <w:p w14:paraId="6C82A87B" w14:textId="05DE54D4" w:rsidR="00B85253" w:rsidRPr="00D33C3C" w:rsidRDefault="00B85253" w:rsidP="008A23F5">
      <w:pPr>
        <w:pStyle w:val="Bibliography"/>
        <w:spacing w:line="480" w:lineRule="auto"/>
        <w:rPr>
          <w:rFonts w:ascii="Times New Roman" w:hAnsi="Times New Roman" w:cs="Times New Roman"/>
          <w:noProof/>
          <w:sz w:val="24"/>
          <w:szCs w:val="24"/>
          <w:lang w:val="en-US"/>
        </w:rPr>
      </w:pPr>
      <w:r w:rsidRPr="00D33C3C">
        <w:rPr>
          <w:rFonts w:ascii="Times New Roman" w:hAnsi="Times New Roman" w:cs="Times New Roman"/>
        </w:rPr>
        <w:fldChar w:fldCharType="begin"/>
      </w:r>
      <w:r w:rsidRPr="00D33C3C">
        <w:rPr>
          <w:rFonts w:ascii="Times New Roman" w:hAnsi="Times New Roman" w:cs="Times New Roman"/>
        </w:rPr>
        <w:instrText xml:space="preserve"> BIBLIOGRAPHY </w:instrText>
      </w:r>
      <w:r w:rsidRPr="00D33C3C">
        <w:rPr>
          <w:rFonts w:ascii="Times New Roman" w:hAnsi="Times New Roman" w:cs="Times New Roman"/>
        </w:rPr>
        <w:fldChar w:fldCharType="separate"/>
      </w:r>
      <w:r w:rsidRPr="00D33C3C">
        <w:rPr>
          <w:rFonts w:ascii="Times New Roman" w:hAnsi="Times New Roman" w:cs="Times New Roman"/>
          <w:noProof/>
          <w:lang w:val="en-US"/>
        </w:rPr>
        <w:t xml:space="preserve">Bigwood, J. M., 1993. Ctesias' Parrot. </w:t>
      </w:r>
      <w:r w:rsidRPr="00D33C3C">
        <w:rPr>
          <w:rFonts w:ascii="Times New Roman" w:hAnsi="Times New Roman" w:cs="Times New Roman"/>
          <w:i/>
          <w:iCs/>
          <w:noProof/>
          <w:lang w:val="en-US"/>
        </w:rPr>
        <w:t xml:space="preserve">The Classical Quarterly, </w:t>
      </w:r>
      <w:r w:rsidRPr="00D33C3C">
        <w:rPr>
          <w:rFonts w:ascii="Times New Roman" w:hAnsi="Times New Roman" w:cs="Times New Roman"/>
          <w:noProof/>
          <w:lang w:val="en-US"/>
        </w:rPr>
        <w:t>43(1), pp. 321-327.</w:t>
      </w:r>
    </w:p>
    <w:p w14:paraId="1C362622" w14:textId="77777777"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Drews, R., 1973. </w:t>
      </w:r>
      <w:r w:rsidRPr="00D33C3C">
        <w:rPr>
          <w:rFonts w:ascii="Times New Roman" w:hAnsi="Times New Roman" w:cs="Times New Roman"/>
          <w:i/>
          <w:iCs/>
          <w:noProof/>
          <w:lang w:val="en-US"/>
        </w:rPr>
        <w:t xml:space="preserve">The Greek Accounts of Eastern History. </w:t>
      </w:r>
      <w:r w:rsidRPr="00D33C3C">
        <w:rPr>
          <w:rFonts w:ascii="Times New Roman" w:hAnsi="Times New Roman" w:cs="Times New Roman"/>
          <w:noProof/>
          <w:lang w:val="en-US"/>
        </w:rPr>
        <w:t>Washington, D.C: Center for Hellenic Studies.</w:t>
      </w:r>
    </w:p>
    <w:p w14:paraId="13004188" w14:textId="14CF7907" w:rsidR="00B85253"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Karttunen, K., 1989. </w:t>
      </w:r>
      <w:r w:rsidRPr="00D33C3C">
        <w:rPr>
          <w:rFonts w:ascii="Times New Roman" w:hAnsi="Times New Roman" w:cs="Times New Roman"/>
          <w:i/>
          <w:iCs/>
          <w:noProof/>
          <w:lang w:val="en-US"/>
        </w:rPr>
        <w:t xml:space="preserve">India in Early Greek Literature. </w:t>
      </w:r>
      <w:r w:rsidRPr="00D33C3C">
        <w:rPr>
          <w:rFonts w:ascii="Times New Roman" w:hAnsi="Times New Roman" w:cs="Times New Roman"/>
          <w:noProof/>
          <w:lang w:val="en-US"/>
        </w:rPr>
        <w:t>Helsinki: Finnish Oriental Society.</w:t>
      </w:r>
    </w:p>
    <w:p w14:paraId="7662BB89" w14:textId="5571A80F" w:rsidR="00441C19" w:rsidRPr="00441C19" w:rsidRDefault="00441C19" w:rsidP="008A23F5">
      <w:pPr>
        <w:spacing w:line="480" w:lineRule="auto"/>
        <w:rPr>
          <w:lang w:val="en-US"/>
        </w:rPr>
      </w:pPr>
      <w:proofErr w:type="spellStart"/>
      <w:r>
        <w:rPr>
          <w:lang w:val="en-US"/>
        </w:rPr>
        <w:t>Karttunen</w:t>
      </w:r>
      <w:proofErr w:type="spellEnd"/>
      <w:r>
        <w:rPr>
          <w:lang w:val="en-US"/>
        </w:rPr>
        <w:t xml:space="preserve">, K., 1997. </w:t>
      </w:r>
      <w:proofErr w:type="spellStart"/>
      <w:r>
        <w:rPr>
          <w:lang w:val="en-US"/>
        </w:rPr>
        <w:t>Ctesias</w:t>
      </w:r>
      <w:proofErr w:type="spellEnd"/>
      <w:r>
        <w:rPr>
          <w:lang w:val="en-US"/>
        </w:rPr>
        <w:t xml:space="preserve"> in Transmission and Tradition. </w:t>
      </w:r>
      <w:r>
        <w:rPr>
          <w:i/>
          <w:lang w:val="en-US"/>
        </w:rPr>
        <w:t xml:space="preserve">Topoi, </w:t>
      </w:r>
      <w:r>
        <w:rPr>
          <w:lang w:val="en-US"/>
        </w:rPr>
        <w:t>7(2), pp. 635-646.</w:t>
      </w:r>
    </w:p>
    <w:p w14:paraId="0BDEB0B0" w14:textId="7486FD66"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Karttunen, K., 2002. The Ethnography of the Fringes. In: E. J. Bakker, I. J. De Jong &amp; H. Van Wees, eds. </w:t>
      </w:r>
      <w:r w:rsidRPr="00D33C3C">
        <w:rPr>
          <w:rFonts w:ascii="Times New Roman" w:hAnsi="Times New Roman" w:cs="Times New Roman"/>
          <w:i/>
          <w:iCs/>
          <w:noProof/>
          <w:lang w:val="en-US"/>
        </w:rPr>
        <w:t xml:space="preserve">Brill's Companion to Herodotus. </w:t>
      </w:r>
      <w:r w:rsidRPr="00D33C3C">
        <w:rPr>
          <w:rFonts w:ascii="Times New Roman" w:hAnsi="Times New Roman" w:cs="Times New Roman"/>
          <w:noProof/>
          <w:lang w:val="en-US"/>
        </w:rPr>
        <w:t>Leiden; Boston; Koln: Brill, pp. 457-474.</w:t>
      </w:r>
    </w:p>
    <w:p w14:paraId="792CFED7" w14:textId="77777777"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Myres, J. L., 1896. An Attempt to Reconstruct the Maps Used by Herodotus. </w:t>
      </w:r>
      <w:r w:rsidRPr="00D33C3C">
        <w:rPr>
          <w:rFonts w:ascii="Times New Roman" w:hAnsi="Times New Roman" w:cs="Times New Roman"/>
          <w:i/>
          <w:iCs/>
          <w:noProof/>
          <w:lang w:val="en-US"/>
        </w:rPr>
        <w:t xml:space="preserve">The Geographical Journal, </w:t>
      </w:r>
      <w:r w:rsidRPr="00D33C3C">
        <w:rPr>
          <w:rFonts w:ascii="Times New Roman" w:hAnsi="Times New Roman" w:cs="Times New Roman"/>
          <w:noProof/>
          <w:lang w:val="en-US"/>
        </w:rPr>
        <w:t>8(6), pp. 605-629.</w:t>
      </w:r>
    </w:p>
    <w:p w14:paraId="4E397311" w14:textId="79701C7A"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lastRenderedPageBreak/>
        <w:t>Panchenko, D., 1998. Scylax' Circumnavigation of India and Its interpretation in Early Greek Geography, Ethnography and Cosmography, I</w:t>
      </w:r>
      <w:r w:rsidR="00441C19">
        <w:rPr>
          <w:rFonts w:ascii="Times New Roman" w:hAnsi="Times New Roman" w:cs="Times New Roman"/>
          <w:noProof/>
          <w:lang w:val="en-US"/>
        </w:rPr>
        <w:t>n</w:t>
      </w:r>
      <w:r w:rsidRPr="00D33C3C">
        <w:rPr>
          <w:rFonts w:ascii="Times New Roman" w:hAnsi="Times New Roman" w:cs="Times New Roman"/>
          <w:noProof/>
          <w:lang w:val="en-US"/>
        </w:rPr>
        <w:t xml:space="preserve">. </w:t>
      </w:r>
      <w:r w:rsidRPr="00D33C3C">
        <w:rPr>
          <w:rFonts w:ascii="Times New Roman" w:hAnsi="Times New Roman" w:cs="Times New Roman"/>
          <w:i/>
          <w:iCs/>
          <w:noProof/>
          <w:lang w:val="en-US"/>
        </w:rPr>
        <w:t xml:space="preserve">Hyperboreus, </w:t>
      </w:r>
      <w:r w:rsidRPr="00D33C3C">
        <w:rPr>
          <w:rFonts w:ascii="Times New Roman" w:hAnsi="Times New Roman" w:cs="Times New Roman"/>
          <w:noProof/>
          <w:lang w:val="en-US"/>
        </w:rPr>
        <w:t>4(2), pp. 211-242.</w:t>
      </w:r>
    </w:p>
    <w:p w14:paraId="0D0041D9" w14:textId="3EA9479D"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Parker, G., 2008. </w:t>
      </w:r>
      <w:r w:rsidRPr="00D33C3C">
        <w:rPr>
          <w:rFonts w:ascii="Times New Roman" w:hAnsi="Times New Roman" w:cs="Times New Roman"/>
          <w:i/>
          <w:iCs/>
          <w:noProof/>
          <w:lang w:val="en-US"/>
        </w:rPr>
        <w:t xml:space="preserve">The Making of Roman India. </w:t>
      </w:r>
      <w:r w:rsidRPr="00D33C3C">
        <w:rPr>
          <w:rFonts w:ascii="Times New Roman" w:hAnsi="Times New Roman" w:cs="Times New Roman"/>
          <w:noProof/>
          <w:lang w:val="en-US"/>
        </w:rPr>
        <w:t>Cambridge: Cambridge University Press.</w:t>
      </w:r>
    </w:p>
    <w:p w14:paraId="16A6D69F" w14:textId="77777777"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Romm, J., 2008. Geography as Eschatology: Greek Alexander Lore and the Eastern Limits of India. In: G. Parker &amp; C. M. Sinopoli, eds. </w:t>
      </w:r>
      <w:r w:rsidRPr="00D33C3C">
        <w:rPr>
          <w:rFonts w:ascii="Times New Roman" w:hAnsi="Times New Roman" w:cs="Times New Roman"/>
          <w:i/>
          <w:iCs/>
          <w:noProof/>
          <w:lang w:val="en-US"/>
        </w:rPr>
        <w:t xml:space="preserve">Ancient India in its Wider World. </w:t>
      </w:r>
      <w:r w:rsidRPr="00D33C3C">
        <w:rPr>
          <w:rFonts w:ascii="Times New Roman" w:hAnsi="Times New Roman" w:cs="Times New Roman"/>
          <w:noProof/>
          <w:lang w:val="en-US"/>
        </w:rPr>
        <w:t>Michigan: University of Michigan Press, pp. 93-105.</w:t>
      </w:r>
    </w:p>
    <w:p w14:paraId="1984550D" w14:textId="77777777"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Romm, J. S., 1992. </w:t>
      </w:r>
      <w:r w:rsidRPr="00D33C3C">
        <w:rPr>
          <w:rFonts w:ascii="Times New Roman" w:hAnsi="Times New Roman" w:cs="Times New Roman"/>
          <w:i/>
          <w:iCs/>
          <w:noProof/>
          <w:lang w:val="en-US"/>
        </w:rPr>
        <w:t xml:space="preserve">The Edges of the Earth in Ancient Thought. </w:t>
      </w:r>
      <w:r w:rsidRPr="00D33C3C">
        <w:rPr>
          <w:rFonts w:ascii="Times New Roman" w:hAnsi="Times New Roman" w:cs="Times New Roman"/>
          <w:noProof/>
          <w:lang w:val="en-US"/>
        </w:rPr>
        <w:t>Princeton, NJ: Princeton University Press.</w:t>
      </w:r>
    </w:p>
    <w:p w14:paraId="435939B3" w14:textId="77777777" w:rsidR="00B85253" w:rsidRPr="00D33C3C" w:rsidRDefault="00B85253" w:rsidP="008A23F5">
      <w:pPr>
        <w:pStyle w:val="Bibliography"/>
        <w:spacing w:line="480" w:lineRule="auto"/>
        <w:rPr>
          <w:rFonts w:ascii="Times New Roman" w:hAnsi="Times New Roman" w:cs="Times New Roman"/>
          <w:noProof/>
          <w:lang w:val="en-US"/>
        </w:rPr>
      </w:pPr>
      <w:r w:rsidRPr="00D33C3C">
        <w:rPr>
          <w:rFonts w:ascii="Times New Roman" w:hAnsi="Times New Roman" w:cs="Times New Roman"/>
          <w:noProof/>
          <w:lang w:val="en-US"/>
        </w:rPr>
        <w:t xml:space="preserve">Tola, F. &amp; Dragonetti, C., 1986. India and Greece before Alexander. </w:t>
      </w:r>
      <w:r w:rsidRPr="00D33C3C">
        <w:rPr>
          <w:rFonts w:ascii="Times New Roman" w:hAnsi="Times New Roman" w:cs="Times New Roman"/>
          <w:i/>
          <w:iCs/>
          <w:noProof/>
          <w:lang w:val="en-US"/>
        </w:rPr>
        <w:t xml:space="preserve">Annals of the Bhandarkar Oriental Research Institute, </w:t>
      </w:r>
      <w:r w:rsidRPr="00D33C3C">
        <w:rPr>
          <w:rFonts w:ascii="Times New Roman" w:hAnsi="Times New Roman" w:cs="Times New Roman"/>
          <w:noProof/>
          <w:lang w:val="en-US"/>
        </w:rPr>
        <w:t>67(1), pp. 159-194.</w:t>
      </w:r>
    </w:p>
    <w:p w14:paraId="544DBD6F" w14:textId="51075893" w:rsidR="00B85253" w:rsidRPr="00A9321A" w:rsidRDefault="00B85253" w:rsidP="008A23F5">
      <w:pPr>
        <w:spacing w:line="480" w:lineRule="auto"/>
      </w:pPr>
      <w:r w:rsidRPr="00D33C3C">
        <w:rPr>
          <w:rFonts w:cs="Times New Roman"/>
          <w:b/>
          <w:bCs/>
          <w:noProof/>
        </w:rPr>
        <w:fldChar w:fldCharType="end"/>
      </w:r>
    </w:p>
    <w:sectPr w:rsidR="00B85253" w:rsidRPr="00A932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9D4DBD" w14:textId="77777777" w:rsidR="00493EAF" w:rsidRDefault="00493EAF" w:rsidP="00D33C3C">
      <w:pPr>
        <w:spacing w:after="0" w:line="240" w:lineRule="auto"/>
      </w:pPr>
      <w:r>
        <w:separator/>
      </w:r>
    </w:p>
  </w:endnote>
  <w:endnote w:type="continuationSeparator" w:id="0">
    <w:p w14:paraId="212C0866" w14:textId="77777777" w:rsidR="00493EAF" w:rsidRDefault="00493EAF" w:rsidP="00D33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4E6989" w14:textId="77777777" w:rsidR="00493EAF" w:rsidRDefault="00493EAF" w:rsidP="00D33C3C">
      <w:pPr>
        <w:spacing w:after="0" w:line="240" w:lineRule="auto"/>
      </w:pPr>
      <w:r>
        <w:separator/>
      </w:r>
    </w:p>
  </w:footnote>
  <w:footnote w:type="continuationSeparator" w:id="0">
    <w:p w14:paraId="425A96D5" w14:textId="77777777" w:rsidR="00493EAF" w:rsidRDefault="00493EAF" w:rsidP="00D33C3C">
      <w:pPr>
        <w:spacing w:after="0" w:line="240" w:lineRule="auto"/>
      </w:pPr>
      <w:r>
        <w:continuationSeparator/>
      </w:r>
    </w:p>
  </w:footnote>
  <w:footnote w:id="1">
    <w:p w14:paraId="574F1B7D" w14:textId="45AFAE0A" w:rsidR="00D33C3C" w:rsidRPr="00D33C3C" w:rsidRDefault="00D33C3C">
      <w:pPr>
        <w:pStyle w:val="FootnoteText"/>
      </w:pPr>
      <w:r>
        <w:rPr>
          <w:rStyle w:val="FootnoteReference"/>
        </w:rPr>
        <w:footnoteRef/>
      </w:r>
      <w:r>
        <w:t xml:space="preserve"> </w:t>
      </w:r>
      <w:proofErr w:type="spellStart"/>
      <w:r>
        <w:t>Arist</w:t>
      </w:r>
      <w:proofErr w:type="spellEnd"/>
      <w:r>
        <w:t xml:space="preserve">. </w:t>
      </w:r>
      <w:r>
        <w:rPr>
          <w:i/>
        </w:rPr>
        <w:t xml:space="preserve">Mete. </w:t>
      </w:r>
      <w:r>
        <w:t xml:space="preserve">350 a19-22; </w:t>
      </w:r>
      <w:proofErr w:type="spellStart"/>
      <w:r>
        <w:t>Hdt</w:t>
      </w:r>
      <w:proofErr w:type="spellEnd"/>
      <w:r>
        <w:t>. 4.36, 42, 45.</w:t>
      </w:r>
    </w:p>
  </w:footnote>
  <w:footnote w:id="2">
    <w:p w14:paraId="65DF21DD" w14:textId="302FA3F8" w:rsidR="00D33C3C" w:rsidRDefault="00D33C3C">
      <w:pPr>
        <w:pStyle w:val="FootnoteText"/>
      </w:pPr>
      <w:r>
        <w:rPr>
          <w:rStyle w:val="FootnoteReference"/>
        </w:rPr>
        <w:footnoteRef/>
      </w:r>
      <w:r>
        <w:t xml:space="preserve"> </w:t>
      </w:r>
      <w:proofErr w:type="spellStart"/>
      <w:r>
        <w:t>Hdt</w:t>
      </w:r>
      <w:proofErr w:type="spellEnd"/>
      <w:r>
        <w:t>. 2.32; 4.185; 3.98; 4.40.</w:t>
      </w:r>
    </w:p>
  </w:footnote>
  <w:footnote w:id="3">
    <w:p w14:paraId="48E55342" w14:textId="480D712C" w:rsidR="00A52E54" w:rsidRDefault="00A52E54">
      <w:pPr>
        <w:pStyle w:val="FootnoteText"/>
      </w:pPr>
      <w:r>
        <w:rPr>
          <w:rStyle w:val="FootnoteReference"/>
        </w:rPr>
        <w:footnoteRef/>
      </w:r>
      <w:r>
        <w:t xml:space="preserve"> </w:t>
      </w:r>
      <w:proofErr w:type="spellStart"/>
      <w:r>
        <w:t>Karttunen</w:t>
      </w:r>
      <w:proofErr w:type="spellEnd"/>
      <w:r>
        <w:t>, 2002, p. 465; Room, 2008, p. 94.</w:t>
      </w:r>
    </w:p>
  </w:footnote>
  <w:footnote w:id="4">
    <w:p w14:paraId="2E99DD72" w14:textId="725CA782" w:rsidR="0067366B" w:rsidRPr="0067366B" w:rsidRDefault="0067366B">
      <w:pPr>
        <w:pStyle w:val="FootnoteText"/>
      </w:pPr>
      <w:r>
        <w:rPr>
          <w:rStyle w:val="FootnoteReference"/>
        </w:rPr>
        <w:footnoteRef/>
      </w:r>
      <w:r>
        <w:t xml:space="preserve"> </w:t>
      </w:r>
      <w:proofErr w:type="spellStart"/>
      <w:r>
        <w:t>Karttunen</w:t>
      </w:r>
      <w:proofErr w:type="spellEnd"/>
      <w:r>
        <w:t xml:space="preserve">, 2002, p. 457; c.f. Strabo, </w:t>
      </w:r>
      <w:r>
        <w:rPr>
          <w:i/>
        </w:rPr>
        <w:t xml:space="preserve">Geog. </w:t>
      </w:r>
      <w:r>
        <w:t>2.5.3.</w:t>
      </w:r>
    </w:p>
  </w:footnote>
  <w:footnote w:id="5">
    <w:p w14:paraId="07E4D293" w14:textId="3775678A" w:rsidR="00A40A3D" w:rsidRDefault="00A40A3D">
      <w:pPr>
        <w:pStyle w:val="FootnoteText"/>
      </w:pPr>
      <w:r>
        <w:rPr>
          <w:rStyle w:val="FootnoteReference"/>
        </w:rPr>
        <w:footnoteRef/>
      </w:r>
      <w:r>
        <w:t xml:space="preserve"> </w:t>
      </w:r>
      <w:proofErr w:type="spellStart"/>
      <w:r>
        <w:t>Plb</w:t>
      </w:r>
      <w:proofErr w:type="spellEnd"/>
      <w:r>
        <w:t xml:space="preserve">. 3.38.1; </w:t>
      </w:r>
      <w:proofErr w:type="spellStart"/>
      <w:r>
        <w:t>Romm</w:t>
      </w:r>
      <w:proofErr w:type="spellEnd"/>
      <w:r>
        <w:t>, 1992, p. 82.</w:t>
      </w:r>
    </w:p>
  </w:footnote>
  <w:footnote w:id="6">
    <w:p w14:paraId="3F71D007" w14:textId="6324D900" w:rsidR="00741B57" w:rsidRDefault="00741B57">
      <w:pPr>
        <w:pStyle w:val="FootnoteText"/>
      </w:pPr>
      <w:r>
        <w:rPr>
          <w:rStyle w:val="FootnoteReference"/>
        </w:rPr>
        <w:footnoteRef/>
      </w:r>
      <w:r>
        <w:t xml:space="preserve"> </w:t>
      </w:r>
      <w:proofErr w:type="spellStart"/>
      <w:r>
        <w:t>Hdt</w:t>
      </w:r>
      <w:proofErr w:type="spellEnd"/>
      <w:r>
        <w:t>. 3.99.1-2; 3.38.</w:t>
      </w:r>
    </w:p>
  </w:footnote>
  <w:footnote w:id="7">
    <w:p w14:paraId="337CF086" w14:textId="27002A96" w:rsidR="00716924" w:rsidRDefault="00716924">
      <w:pPr>
        <w:pStyle w:val="FootnoteText"/>
      </w:pPr>
      <w:r>
        <w:rPr>
          <w:rStyle w:val="FootnoteReference"/>
        </w:rPr>
        <w:footnoteRef/>
      </w:r>
      <w:r>
        <w:t xml:space="preserve"> </w:t>
      </w:r>
      <w:proofErr w:type="spellStart"/>
      <w:r>
        <w:t>Karttunen</w:t>
      </w:r>
      <w:proofErr w:type="spellEnd"/>
      <w:r>
        <w:t>, 2002, p.p. 460-1.</w:t>
      </w:r>
    </w:p>
  </w:footnote>
  <w:footnote w:id="8">
    <w:p w14:paraId="191AEB6F" w14:textId="77777777" w:rsidR="00DA4AB7" w:rsidRDefault="00DA4AB7" w:rsidP="00DA4AB7">
      <w:pPr>
        <w:pStyle w:val="FootnoteText"/>
      </w:pPr>
      <w:r>
        <w:rPr>
          <w:rStyle w:val="FootnoteReference"/>
        </w:rPr>
        <w:footnoteRef/>
      </w:r>
      <w:r>
        <w:t xml:space="preserve"> </w:t>
      </w:r>
      <w:proofErr w:type="spellStart"/>
      <w:r>
        <w:t>Hdt</w:t>
      </w:r>
      <w:proofErr w:type="spellEnd"/>
      <w:r>
        <w:t>. 3.101.</w:t>
      </w:r>
    </w:p>
  </w:footnote>
  <w:footnote w:id="9">
    <w:p w14:paraId="38C6BADF" w14:textId="77777777" w:rsidR="00DA4AB7" w:rsidRDefault="00DA4AB7" w:rsidP="00DA4AB7">
      <w:pPr>
        <w:pStyle w:val="FootnoteText"/>
      </w:pPr>
      <w:r>
        <w:rPr>
          <w:rStyle w:val="FootnoteReference"/>
        </w:rPr>
        <w:footnoteRef/>
      </w:r>
      <w:r>
        <w:t xml:space="preserve"> </w:t>
      </w:r>
      <w:proofErr w:type="spellStart"/>
      <w:r>
        <w:t>Hdt</w:t>
      </w:r>
      <w:proofErr w:type="spellEnd"/>
      <w:r>
        <w:t>. 3.98-100.</w:t>
      </w:r>
    </w:p>
  </w:footnote>
  <w:footnote w:id="10">
    <w:p w14:paraId="4049000C" w14:textId="0F1E2293" w:rsidR="00F04692" w:rsidRDefault="00F04692">
      <w:pPr>
        <w:pStyle w:val="FootnoteText"/>
      </w:pPr>
      <w:r>
        <w:rPr>
          <w:rStyle w:val="FootnoteReference"/>
        </w:rPr>
        <w:footnoteRef/>
      </w:r>
      <w:r>
        <w:t xml:space="preserve"> </w:t>
      </w:r>
      <w:proofErr w:type="spellStart"/>
      <w:r>
        <w:t>Hdt</w:t>
      </w:r>
      <w:proofErr w:type="spellEnd"/>
      <w:r>
        <w:t>. 3.100.</w:t>
      </w:r>
    </w:p>
  </w:footnote>
  <w:footnote w:id="11">
    <w:p w14:paraId="3168D552" w14:textId="4C60FFFD" w:rsidR="00F04692" w:rsidRDefault="00F04692">
      <w:pPr>
        <w:pStyle w:val="FootnoteText"/>
      </w:pPr>
      <w:r>
        <w:rPr>
          <w:rStyle w:val="FootnoteReference"/>
        </w:rPr>
        <w:footnoteRef/>
      </w:r>
      <w:r>
        <w:t xml:space="preserve"> </w:t>
      </w:r>
      <w:proofErr w:type="spellStart"/>
      <w:r>
        <w:t>Karttunen</w:t>
      </w:r>
      <w:proofErr w:type="spellEnd"/>
      <w:r>
        <w:t>, 2002, p. 462-4.</w:t>
      </w:r>
    </w:p>
  </w:footnote>
  <w:footnote w:id="12">
    <w:p w14:paraId="0A5FAFCC" w14:textId="1611341B" w:rsidR="00751BFB" w:rsidRPr="00751BFB" w:rsidRDefault="00751BFB">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9.</w:t>
      </w:r>
    </w:p>
  </w:footnote>
  <w:footnote w:id="13">
    <w:p w14:paraId="4022110B" w14:textId="01EB1858" w:rsidR="00751BFB" w:rsidRPr="00751BFB" w:rsidRDefault="00751BFB">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38.</w:t>
      </w:r>
    </w:p>
  </w:footnote>
  <w:footnote w:id="14">
    <w:p w14:paraId="0FA1B6EC" w14:textId="330A1146" w:rsidR="00751BFB" w:rsidRPr="00751BFB" w:rsidRDefault="00751BFB">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t xml:space="preserve"> 48.</w:t>
      </w:r>
    </w:p>
  </w:footnote>
  <w:footnote w:id="15">
    <w:p w14:paraId="4D46EFA0" w14:textId="75CED5D7" w:rsidR="00751BFB" w:rsidRDefault="00751BFB">
      <w:pPr>
        <w:pStyle w:val="FootnoteText"/>
      </w:pPr>
      <w:r>
        <w:rPr>
          <w:rStyle w:val="FootnoteReference"/>
        </w:rPr>
        <w:footnoteRef/>
      </w:r>
      <w:r>
        <w:t xml:space="preserve"> </w:t>
      </w:r>
      <w:proofErr w:type="spellStart"/>
      <w:r>
        <w:t>Hdt</w:t>
      </w:r>
      <w:proofErr w:type="spellEnd"/>
      <w:r>
        <w:t>. 3.102-5.</w:t>
      </w:r>
    </w:p>
  </w:footnote>
  <w:footnote w:id="16">
    <w:p w14:paraId="2D07AB4C" w14:textId="0AB33FEE" w:rsidR="00751BFB" w:rsidRDefault="00751BFB">
      <w:pPr>
        <w:pStyle w:val="FootnoteText"/>
      </w:pPr>
      <w:r>
        <w:rPr>
          <w:rStyle w:val="FootnoteReference"/>
        </w:rPr>
        <w:footnoteRef/>
      </w:r>
      <w:r>
        <w:t xml:space="preserve"> </w:t>
      </w:r>
      <w:proofErr w:type="spellStart"/>
      <w:r w:rsidR="0057201A">
        <w:t>Hdt</w:t>
      </w:r>
      <w:proofErr w:type="spellEnd"/>
      <w:r w:rsidR="0057201A">
        <w:t xml:space="preserve">. </w:t>
      </w:r>
      <w:r>
        <w:t>3.94.2.</w:t>
      </w:r>
    </w:p>
  </w:footnote>
  <w:footnote w:id="17">
    <w:p w14:paraId="6F8BF107" w14:textId="1CE24CF4" w:rsidR="00267BA6" w:rsidRDefault="00267BA6">
      <w:pPr>
        <w:pStyle w:val="FootnoteText"/>
      </w:pPr>
      <w:r>
        <w:rPr>
          <w:rStyle w:val="FootnoteReference"/>
        </w:rPr>
        <w:footnoteRef/>
      </w:r>
      <w:r>
        <w:t xml:space="preserve"> </w:t>
      </w:r>
      <w:proofErr w:type="spellStart"/>
      <w:r>
        <w:t>Karttunen</w:t>
      </w:r>
      <w:proofErr w:type="spellEnd"/>
      <w:r>
        <w:t>, 1989, p. 75.</w:t>
      </w:r>
    </w:p>
  </w:footnote>
  <w:footnote w:id="18">
    <w:p w14:paraId="1F4BC23C" w14:textId="7553997D" w:rsidR="0057201A" w:rsidRDefault="0057201A">
      <w:pPr>
        <w:pStyle w:val="FootnoteText"/>
      </w:pPr>
      <w:r>
        <w:rPr>
          <w:rStyle w:val="FootnoteReference"/>
        </w:rPr>
        <w:footnoteRef/>
      </w:r>
      <w:r>
        <w:t xml:space="preserve"> </w:t>
      </w:r>
      <w:proofErr w:type="spellStart"/>
      <w:r>
        <w:t>Karttunen</w:t>
      </w:r>
      <w:proofErr w:type="spellEnd"/>
      <w:r>
        <w:t>, 2002, p. 464.</w:t>
      </w:r>
    </w:p>
  </w:footnote>
  <w:footnote w:id="19">
    <w:p w14:paraId="051F502F" w14:textId="577C86CB" w:rsidR="004D06F6" w:rsidRDefault="004D06F6">
      <w:pPr>
        <w:pStyle w:val="FootnoteText"/>
      </w:pPr>
      <w:r>
        <w:rPr>
          <w:rStyle w:val="FootnoteReference"/>
        </w:rPr>
        <w:footnoteRef/>
      </w:r>
      <w:r>
        <w:t xml:space="preserve"> </w:t>
      </w:r>
      <w:proofErr w:type="spellStart"/>
      <w:r>
        <w:t>Karttunen</w:t>
      </w:r>
      <w:proofErr w:type="spellEnd"/>
      <w:r>
        <w:t>, 2002, p. 465.</w:t>
      </w:r>
    </w:p>
  </w:footnote>
  <w:footnote w:id="20">
    <w:p w14:paraId="2576E0F0" w14:textId="3BA3A906" w:rsidR="009069E3" w:rsidRPr="009069E3" w:rsidRDefault="009069E3">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15.</w:t>
      </w:r>
    </w:p>
  </w:footnote>
  <w:footnote w:id="21">
    <w:p w14:paraId="63671B8F" w14:textId="05A1C2F5" w:rsidR="009069E3" w:rsidRPr="009069E3" w:rsidRDefault="009069E3">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21.</w:t>
      </w:r>
    </w:p>
  </w:footnote>
  <w:footnote w:id="22">
    <w:p w14:paraId="5654D8C2" w14:textId="5CAC7EB5" w:rsidR="009069E3" w:rsidRPr="009069E3" w:rsidRDefault="009069E3">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37-43.</w:t>
      </w:r>
    </w:p>
  </w:footnote>
  <w:footnote w:id="23">
    <w:p w14:paraId="5FF82869" w14:textId="54D05F43" w:rsidR="009069E3" w:rsidRDefault="009069E3">
      <w:pPr>
        <w:pStyle w:val="FootnoteText"/>
      </w:pPr>
      <w:r>
        <w:rPr>
          <w:rStyle w:val="FootnoteReference"/>
        </w:rPr>
        <w:footnoteRef/>
      </w:r>
      <w:r>
        <w:t xml:space="preserve"> </w:t>
      </w:r>
      <w:proofErr w:type="spellStart"/>
      <w:r>
        <w:t>Romm</w:t>
      </w:r>
      <w:proofErr w:type="spellEnd"/>
      <w:r>
        <w:t>, 1992, p. 91.</w:t>
      </w:r>
    </w:p>
  </w:footnote>
  <w:footnote w:id="24">
    <w:p w14:paraId="64C6DEF2" w14:textId="48DB976B" w:rsidR="00933A45" w:rsidRPr="00933A45" w:rsidRDefault="00933A45">
      <w:pPr>
        <w:pStyle w:val="FootnoteText"/>
      </w:pPr>
      <w:r>
        <w:rPr>
          <w:rStyle w:val="FootnoteReference"/>
        </w:rPr>
        <w:footnoteRef/>
      </w:r>
      <w:r>
        <w:t xml:space="preserve"> </w:t>
      </w:r>
      <w:proofErr w:type="spellStart"/>
      <w:r>
        <w:t>Arist</w:t>
      </w:r>
      <w:proofErr w:type="spellEnd"/>
      <w:r>
        <w:t xml:space="preserve">. </w:t>
      </w:r>
      <w:r>
        <w:rPr>
          <w:i/>
        </w:rPr>
        <w:t xml:space="preserve">Gen. Animal. </w:t>
      </w:r>
      <w:r>
        <w:t xml:space="preserve">746b7-14; c.f. </w:t>
      </w:r>
      <w:proofErr w:type="spellStart"/>
      <w:r>
        <w:t>Diod</w:t>
      </w:r>
      <w:proofErr w:type="spellEnd"/>
      <w:r>
        <w:t>. 2.51.2-4</w:t>
      </w:r>
    </w:p>
  </w:footnote>
  <w:footnote w:id="25">
    <w:p w14:paraId="68984A38" w14:textId="6673BC92" w:rsidR="00D943C5" w:rsidRPr="00D943C5" w:rsidRDefault="00D943C5">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8; For a more detailed discussion of the species of the bird, see Bigwood, 1993.</w:t>
      </w:r>
    </w:p>
  </w:footnote>
  <w:footnote w:id="26">
    <w:p w14:paraId="79137328" w14:textId="14D0B1A4" w:rsidR="00D943C5" w:rsidRPr="00D943C5" w:rsidRDefault="00D943C5">
      <w:pPr>
        <w:pStyle w:val="FootnoteText"/>
      </w:pPr>
      <w:r>
        <w:rPr>
          <w:rStyle w:val="FootnoteReference"/>
        </w:rPr>
        <w:footnoteRef/>
      </w:r>
      <w:r>
        <w:t xml:space="preserve"> </w:t>
      </w:r>
      <w:proofErr w:type="spellStart"/>
      <w:r>
        <w:t>Ctesias</w:t>
      </w:r>
      <w:proofErr w:type="spellEnd"/>
      <w:r>
        <w:t xml:space="preserve">, </w:t>
      </w:r>
      <w:proofErr w:type="spellStart"/>
      <w:r>
        <w:rPr>
          <w:i/>
        </w:rPr>
        <w:t>Indika</w:t>
      </w:r>
      <w:proofErr w:type="spellEnd"/>
      <w:r>
        <w:rPr>
          <w:i/>
        </w:rPr>
        <w:t xml:space="preserve"> </w:t>
      </w:r>
      <w:r>
        <w:t>3; 46.</w:t>
      </w:r>
    </w:p>
  </w:footnote>
  <w:footnote w:id="27">
    <w:p w14:paraId="45E867D8" w14:textId="7DFE7A59" w:rsidR="00D943C5" w:rsidRDefault="00D943C5">
      <w:pPr>
        <w:pStyle w:val="FootnoteText"/>
      </w:pPr>
      <w:r>
        <w:rPr>
          <w:rStyle w:val="FootnoteReference"/>
        </w:rPr>
        <w:footnoteRef/>
      </w:r>
      <w:r>
        <w:t xml:space="preserve"> </w:t>
      </w:r>
      <w:proofErr w:type="spellStart"/>
      <w:r w:rsidR="004F22CA">
        <w:t>Romm</w:t>
      </w:r>
      <w:proofErr w:type="spellEnd"/>
      <w:r w:rsidR="004F22CA">
        <w:t>, 1992, p. 87.</w:t>
      </w:r>
    </w:p>
  </w:footnote>
  <w:footnote w:id="28">
    <w:p w14:paraId="620D2803" w14:textId="77777777" w:rsidR="00D943C5" w:rsidRDefault="00D943C5" w:rsidP="00D943C5">
      <w:pPr>
        <w:pStyle w:val="FootnoteText"/>
      </w:pPr>
      <w:r>
        <w:rPr>
          <w:rStyle w:val="FootnoteReference"/>
        </w:rPr>
        <w:footnoteRef/>
      </w:r>
      <w:r>
        <w:t xml:space="preserve"> Bevan, 1922, 397.</w:t>
      </w:r>
    </w:p>
  </w:footnote>
  <w:footnote w:id="29">
    <w:p w14:paraId="2DC4F380" w14:textId="77777777" w:rsidR="00D943C5" w:rsidRDefault="00D943C5" w:rsidP="00D943C5">
      <w:pPr>
        <w:pStyle w:val="FootnoteText"/>
      </w:pPr>
      <w:r>
        <w:rPr>
          <w:rStyle w:val="FootnoteReference"/>
        </w:rPr>
        <w:footnoteRef/>
      </w:r>
      <w:r>
        <w:t xml:space="preserve"> Tola and </w:t>
      </w:r>
      <w:proofErr w:type="spellStart"/>
      <w:r>
        <w:t>Dragonetti</w:t>
      </w:r>
      <w:proofErr w:type="spellEnd"/>
      <w:r>
        <w:t>, 1989, p. 172.</w:t>
      </w:r>
    </w:p>
  </w:footnote>
  <w:footnote w:id="30">
    <w:p w14:paraId="3A642767" w14:textId="6F8F83D1" w:rsidR="00EB06A7" w:rsidRDefault="00EB06A7">
      <w:pPr>
        <w:pStyle w:val="FootnoteText"/>
      </w:pPr>
      <w:r>
        <w:rPr>
          <w:rStyle w:val="FootnoteReference"/>
        </w:rPr>
        <w:footnoteRef/>
      </w:r>
      <w:r>
        <w:t xml:space="preserve"> Parker, 2008, p. 19.</w:t>
      </w:r>
    </w:p>
  </w:footnote>
  <w:footnote w:id="31">
    <w:p w14:paraId="5F3B79D2" w14:textId="3719138A" w:rsidR="004F22CA" w:rsidRDefault="004F22CA">
      <w:pPr>
        <w:pStyle w:val="FootnoteText"/>
      </w:pPr>
      <w:r>
        <w:rPr>
          <w:rStyle w:val="FootnoteReference"/>
        </w:rPr>
        <w:footnoteRef/>
      </w:r>
      <w:r>
        <w:t xml:space="preserve"> </w:t>
      </w:r>
      <w:proofErr w:type="spellStart"/>
      <w:r>
        <w:t>Romm</w:t>
      </w:r>
      <w:proofErr w:type="spellEnd"/>
      <w:r>
        <w:t>, 1992, p. 87.</w:t>
      </w:r>
    </w:p>
  </w:footnote>
  <w:footnote w:id="32">
    <w:p w14:paraId="757A403B" w14:textId="77777777" w:rsidR="00784747" w:rsidRDefault="00784747" w:rsidP="00784747">
      <w:pPr>
        <w:pStyle w:val="FootnoteText"/>
      </w:pPr>
      <w:r>
        <w:rPr>
          <w:rStyle w:val="FootnoteReference"/>
        </w:rPr>
        <w:footnoteRef/>
      </w:r>
      <w:r>
        <w:t xml:space="preserve"> </w:t>
      </w:r>
      <w:proofErr w:type="spellStart"/>
      <w:r>
        <w:t>Hdt</w:t>
      </w:r>
      <w:proofErr w:type="spellEnd"/>
      <w:r>
        <w:t>. 4.44.</w:t>
      </w:r>
    </w:p>
  </w:footnote>
  <w:footnote w:id="33">
    <w:p w14:paraId="6DFF1011" w14:textId="62062F7C" w:rsidR="00784747" w:rsidRDefault="00784747" w:rsidP="00784747">
      <w:pPr>
        <w:pStyle w:val="FootnoteText"/>
      </w:pPr>
      <w:r>
        <w:rPr>
          <w:rStyle w:val="FootnoteReference"/>
        </w:rPr>
        <w:footnoteRef/>
      </w:r>
      <w:r>
        <w:t xml:space="preserve"> </w:t>
      </w:r>
      <w:proofErr w:type="spellStart"/>
      <w:r>
        <w:t>Ro</w:t>
      </w:r>
      <w:r w:rsidR="00441C19">
        <w:t>m</w:t>
      </w:r>
      <w:r>
        <w:t>m</w:t>
      </w:r>
      <w:proofErr w:type="spellEnd"/>
      <w:r>
        <w:t>, 1992, p. 85.</w:t>
      </w:r>
    </w:p>
  </w:footnote>
  <w:footnote w:id="34">
    <w:p w14:paraId="595979D3" w14:textId="0B025A4B" w:rsidR="00600565" w:rsidRDefault="00600565">
      <w:pPr>
        <w:pStyle w:val="FootnoteText"/>
      </w:pPr>
      <w:r>
        <w:rPr>
          <w:rStyle w:val="FootnoteReference"/>
        </w:rPr>
        <w:footnoteRef/>
      </w:r>
      <w:r>
        <w:t xml:space="preserve"> </w:t>
      </w:r>
      <w:proofErr w:type="spellStart"/>
      <w:r>
        <w:t>Myres</w:t>
      </w:r>
      <w:proofErr w:type="spellEnd"/>
      <w:r>
        <w:t xml:space="preserve">, 1896; </w:t>
      </w:r>
      <w:proofErr w:type="spellStart"/>
      <w:r>
        <w:t>Panchenko</w:t>
      </w:r>
      <w:proofErr w:type="spellEnd"/>
      <w:r>
        <w:t>, 1998, p. 213.</w:t>
      </w:r>
    </w:p>
  </w:footnote>
  <w:footnote w:id="35">
    <w:p w14:paraId="71D99572" w14:textId="4E307491" w:rsidR="00441C19" w:rsidRDefault="00441C19">
      <w:pPr>
        <w:pStyle w:val="FootnoteText"/>
      </w:pPr>
      <w:r>
        <w:rPr>
          <w:rStyle w:val="FootnoteReference"/>
        </w:rPr>
        <w:footnoteRef/>
      </w:r>
      <w:r>
        <w:t xml:space="preserve"> </w:t>
      </w:r>
      <w:proofErr w:type="spellStart"/>
      <w:r>
        <w:t>Romm</w:t>
      </w:r>
      <w:proofErr w:type="spellEnd"/>
      <w:r>
        <w:t xml:space="preserve">, 1992, p. 86; </w:t>
      </w:r>
      <w:proofErr w:type="spellStart"/>
      <w:r>
        <w:t>Karttunen</w:t>
      </w:r>
      <w:proofErr w:type="spellEnd"/>
      <w:r>
        <w:t>, 1997, p. 636</w:t>
      </w:r>
    </w:p>
  </w:footnote>
  <w:footnote w:id="36">
    <w:p w14:paraId="6B10F69B" w14:textId="506593D4" w:rsidR="0067366B" w:rsidRDefault="0067366B">
      <w:pPr>
        <w:pStyle w:val="FootnoteText"/>
      </w:pPr>
      <w:r>
        <w:rPr>
          <w:rStyle w:val="FootnoteReference"/>
        </w:rPr>
        <w:footnoteRef/>
      </w:r>
      <w:r>
        <w:t xml:space="preserve"> </w:t>
      </w:r>
      <w:proofErr w:type="spellStart"/>
      <w:r>
        <w:t>Romm</w:t>
      </w:r>
      <w:proofErr w:type="spellEnd"/>
      <w:r>
        <w:t xml:space="preserve">, 1992, p. 92; </w:t>
      </w:r>
      <w:proofErr w:type="spellStart"/>
      <w:r>
        <w:t>Karttunen</w:t>
      </w:r>
      <w:proofErr w:type="spellEnd"/>
      <w:r>
        <w:t xml:space="preserve"> 2002, p.p. 457-8.</w:t>
      </w:r>
    </w:p>
  </w:footnote>
  <w:footnote w:id="37">
    <w:p w14:paraId="27D05E21" w14:textId="3E336E7A" w:rsidR="00AA1D6E" w:rsidRDefault="00AA1D6E">
      <w:pPr>
        <w:pStyle w:val="FootnoteText"/>
      </w:pPr>
      <w:r>
        <w:rPr>
          <w:rStyle w:val="FootnoteReference"/>
        </w:rPr>
        <w:footnoteRef/>
      </w:r>
      <w:r>
        <w:t xml:space="preserve"> </w:t>
      </w:r>
      <w:proofErr w:type="spellStart"/>
      <w:r>
        <w:t>Karttunen</w:t>
      </w:r>
      <w:proofErr w:type="spellEnd"/>
      <w:r>
        <w:t>, 1992, p. 459.</w:t>
      </w:r>
    </w:p>
  </w:footnote>
  <w:footnote w:id="38">
    <w:p w14:paraId="556F0F3A" w14:textId="74C799D3" w:rsidR="00461DB7" w:rsidRDefault="00461DB7">
      <w:pPr>
        <w:pStyle w:val="FootnoteText"/>
      </w:pPr>
      <w:r>
        <w:rPr>
          <w:rStyle w:val="FootnoteReference"/>
        </w:rPr>
        <w:footnoteRef/>
      </w:r>
      <w:r>
        <w:t xml:space="preserve"> Tola and </w:t>
      </w:r>
      <w:proofErr w:type="spellStart"/>
      <w:r>
        <w:t>Dragonetti</w:t>
      </w:r>
      <w:proofErr w:type="spellEnd"/>
      <w:r>
        <w:t>, 1986, p. 189.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321A"/>
    <w:rsid w:val="00082498"/>
    <w:rsid w:val="000A2897"/>
    <w:rsid w:val="000F153D"/>
    <w:rsid w:val="00267BA6"/>
    <w:rsid w:val="003400DD"/>
    <w:rsid w:val="00441C19"/>
    <w:rsid w:val="00461DB7"/>
    <w:rsid w:val="00483DCC"/>
    <w:rsid w:val="00493EAF"/>
    <w:rsid w:val="004D06F6"/>
    <w:rsid w:val="004F22CA"/>
    <w:rsid w:val="0057201A"/>
    <w:rsid w:val="005950E9"/>
    <w:rsid w:val="005F0DAF"/>
    <w:rsid w:val="00600565"/>
    <w:rsid w:val="00605CBA"/>
    <w:rsid w:val="00611A05"/>
    <w:rsid w:val="0067366B"/>
    <w:rsid w:val="006B2608"/>
    <w:rsid w:val="006B3758"/>
    <w:rsid w:val="006E4169"/>
    <w:rsid w:val="006F33F4"/>
    <w:rsid w:val="00716924"/>
    <w:rsid w:val="00727AC9"/>
    <w:rsid w:val="00741B57"/>
    <w:rsid w:val="00751BFB"/>
    <w:rsid w:val="00784747"/>
    <w:rsid w:val="00847DC9"/>
    <w:rsid w:val="00860198"/>
    <w:rsid w:val="008704D0"/>
    <w:rsid w:val="008A23F5"/>
    <w:rsid w:val="008B3197"/>
    <w:rsid w:val="008E72AC"/>
    <w:rsid w:val="009069E3"/>
    <w:rsid w:val="00911F43"/>
    <w:rsid w:val="00912A71"/>
    <w:rsid w:val="00925C8C"/>
    <w:rsid w:val="00933A45"/>
    <w:rsid w:val="00A40A3D"/>
    <w:rsid w:val="00A52E54"/>
    <w:rsid w:val="00A53B6A"/>
    <w:rsid w:val="00A9321A"/>
    <w:rsid w:val="00AA1D6E"/>
    <w:rsid w:val="00B85253"/>
    <w:rsid w:val="00C35D03"/>
    <w:rsid w:val="00CB31CE"/>
    <w:rsid w:val="00D130F0"/>
    <w:rsid w:val="00D33C3C"/>
    <w:rsid w:val="00D943C5"/>
    <w:rsid w:val="00DA4AB7"/>
    <w:rsid w:val="00EB06A7"/>
    <w:rsid w:val="00EE56FB"/>
    <w:rsid w:val="00F046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D573AF"/>
  <w15:chartTrackingRefBased/>
  <w15:docId w15:val="{E9294C23-4659-43B9-9372-D4C513A248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85253"/>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525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semiHidden/>
    <w:unhideWhenUsed/>
    <w:rsid w:val="00B85253"/>
    <w:pPr>
      <w:spacing w:line="360" w:lineRule="auto"/>
    </w:pPr>
    <w:rPr>
      <w:rFonts w:ascii="Comic Sans MS" w:hAnsi="Comic Sans MS"/>
      <w:spacing w:val="10"/>
      <w:sz w:val="22"/>
    </w:rPr>
  </w:style>
  <w:style w:type="paragraph" w:styleId="FootnoteText">
    <w:name w:val="footnote text"/>
    <w:basedOn w:val="Normal"/>
    <w:link w:val="FootnoteTextChar"/>
    <w:uiPriority w:val="99"/>
    <w:semiHidden/>
    <w:unhideWhenUsed/>
    <w:rsid w:val="00D33C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33C3C"/>
    <w:rPr>
      <w:sz w:val="20"/>
      <w:szCs w:val="20"/>
    </w:rPr>
  </w:style>
  <w:style w:type="character" w:styleId="FootnoteReference">
    <w:name w:val="footnote reference"/>
    <w:basedOn w:val="DefaultParagraphFont"/>
    <w:uiPriority w:val="99"/>
    <w:semiHidden/>
    <w:unhideWhenUsed/>
    <w:rsid w:val="00D33C3C"/>
    <w:rPr>
      <w:vertAlign w:val="superscript"/>
    </w:rPr>
  </w:style>
  <w:style w:type="character" w:styleId="Hyperlink">
    <w:name w:val="Hyperlink"/>
    <w:basedOn w:val="DefaultParagraphFont"/>
    <w:uiPriority w:val="99"/>
    <w:unhideWhenUsed/>
    <w:rsid w:val="00483DCC"/>
    <w:rPr>
      <w:color w:val="0563C1" w:themeColor="hyperlink"/>
      <w:u w:val="single"/>
    </w:rPr>
  </w:style>
  <w:style w:type="character" w:styleId="UnresolvedMention">
    <w:name w:val="Unresolved Mention"/>
    <w:basedOn w:val="DefaultParagraphFont"/>
    <w:uiPriority w:val="99"/>
    <w:semiHidden/>
    <w:unhideWhenUsed/>
    <w:rsid w:val="00483D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6817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classics.mit.edu/Aristotle/meteorology.html"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40AFB8F-9B8B-45E6-AA2B-FD50E88AB6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299</TotalTime>
  <Pages>9</Pages>
  <Words>2164</Words>
  <Characters>12337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dc:creator>
  <cp:keywords/>
  <dc:description/>
  <cp:lastModifiedBy>James</cp:lastModifiedBy>
  <cp:revision>20</cp:revision>
  <dcterms:created xsi:type="dcterms:W3CDTF">2018-12-20T10:08:00Z</dcterms:created>
  <dcterms:modified xsi:type="dcterms:W3CDTF">2018-12-20T15:44:00Z</dcterms:modified>
</cp:coreProperties>
</file>