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DE3663A">
      <w:pPr>
        <w:spacing w:line="360" w:lineRule="auto"/>
        <w:rPr>
          <w:rFonts w:hint="default" w:ascii="Times New Roman" w:hAnsi="Times New Roman" w:cs="Times New Roman"/>
          <w:b/>
          <w:bCs/>
          <w:sz w:val="24"/>
          <w:szCs w:val="24"/>
        </w:rPr>
      </w:pPr>
    </w:p>
    <w:p w14:paraId="1F8B616F">
      <w:pPr>
        <w:spacing w:line="360" w:lineRule="auto"/>
        <w:rPr>
          <w:rFonts w:hint="default" w:ascii="Times New Roman" w:hAnsi="Times New Roman" w:cs="Times New Roman"/>
          <w:b/>
          <w:bCs/>
          <w:sz w:val="24"/>
          <w:szCs w:val="24"/>
        </w:rPr>
      </w:pPr>
    </w:p>
    <w:p w14:paraId="3B15F807">
      <w:pPr>
        <w:spacing w:line="360" w:lineRule="auto"/>
        <w:rPr>
          <w:rFonts w:hint="default" w:ascii="Times New Roman" w:hAnsi="Times New Roman" w:cs="Times New Roman"/>
          <w:b/>
          <w:bCs/>
          <w:sz w:val="24"/>
          <w:szCs w:val="24"/>
        </w:rPr>
      </w:pPr>
    </w:p>
    <w:p w14:paraId="20C2CE6E">
      <w:pPr>
        <w:spacing w:line="360" w:lineRule="auto"/>
        <w:rPr>
          <w:rFonts w:hint="default" w:ascii="Times New Roman" w:hAnsi="Times New Roman" w:cs="Times New Roman"/>
          <w:b/>
          <w:bCs/>
          <w:sz w:val="24"/>
          <w:szCs w:val="24"/>
        </w:rPr>
      </w:pPr>
    </w:p>
    <w:p w14:paraId="1B2DB801">
      <w:pPr>
        <w:spacing w:line="360" w:lineRule="auto"/>
        <w:jc w:val="center"/>
        <w:rPr>
          <w:rFonts w:hint="default" w:ascii="Times New Roman" w:hAnsi="Times New Roman" w:cs="Times New Roman"/>
          <w:b/>
          <w:bCs/>
          <w:sz w:val="24"/>
          <w:szCs w:val="24"/>
        </w:rPr>
      </w:pPr>
      <w:r>
        <w:rPr>
          <w:rFonts w:hint="default" w:ascii="Times New Roman" w:hAnsi="Times New Roman" w:cs="Times New Roman"/>
          <w:b/>
          <w:bCs/>
          <w:sz w:val="24"/>
          <w:szCs w:val="24"/>
        </w:rPr>
        <w:t>Analysis of the Production Cost of the Gundam Transformation Shot in Ready Player One</w:t>
      </w:r>
    </w:p>
    <w:p w14:paraId="70E6F8D4">
      <w:pPr>
        <w:spacing w:line="360" w:lineRule="auto"/>
        <w:jc w:val="cente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Zhongyi Cong</w:t>
      </w:r>
    </w:p>
    <w:p w14:paraId="239CA202">
      <w:pPr>
        <w:spacing w:line="360" w:lineRule="auto"/>
        <w:jc w:val="cente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2121979</w:t>
      </w:r>
    </w:p>
    <w:p w14:paraId="007CC942">
      <w:pPr>
        <w:spacing w:line="360" w:lineRule="auto"/>
        <w:jc w:val="cente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2025.5.1</w:t>
      </w:r>
    </w:p>
    <w:p w14:paraId="72C3A80B">
      <w:pPr>
        <w:spacing w:line="360" w:lineRule="auto"/>
        <w:jc w:val="center"/>
        <w:rPr>
          <w:rFonts w:hint="eastAsia" w:ascii="Times New Roman" w:hAnsi="Times New Roman" w:cs="Times New Roman"/>
          <w:b w:val="0"/>
          <w:bCs w:val="0"/>
          <w:sz w:val="24"/>
          <w:szCs w:val="24"/>
          <w:lang w:val="en-US" w:eastAsia="zh-CN"/>
        </w:rPr>
      </w:pPr>
    </w:p>
    <w:p w14:paraId="4FFACC44">
      <w:pPr>
        <w:spacing w:line="360" w:lineRule="auto"/>
        <w:jc w:val="center"/>
        <w:rPr>
          <w:rFonts w:hint="eastAsia" w:ascii="Times New Roman" w:hAnsi="Times New Roman" w:cs="Times New Roman"/>
          <w:b w:val="0"/>
          <w:bCs w:val="0"/>
          <w:sz w:val="24"/>
          <w:szCs w:val="24"/>
          <w:lang w:val="en-US" w:eastAsia="zh-CN"/>
        </w:rPr>
      </w:pPr>
    </w:p>
    <w:p w14:paraId="651019A9">
      <w:pPr>
        <w:spacing w:line="360" w:lineRule="auto"/>
        <w:jc w:val="center"/>
        <w:rPr>
          <w:rFonts w:hint="eastAsia" w:ascii="Times New Roman" w:hAnsi="Times New Roman" w:cs="Times New Roman"/>
          <w:b w:val="0"/>
          <w:bCs w:val="0"/>
          <w:sz w:val="24"/>
          <w:szCs w:val="24"/>
          <w:lang w:val="en-US" w:eastAsia="zh-CN"/>
        </w:rPr>
      </w:pPr>
    </w:p>
    <w:p w14:paraId="7172B6C6">
      <w:pPr>
        <w:spacing w:line="360" w:lineRule="auto"/>
        <w:jc w:val="center"/>
        <w:rPr>
          <w:rFonts w:hint="eastAsia" w:ascii="Times New Roman" w:hAnsi="Times New Roman" w:cs="Times New Roman"/>
          <w:b w:val="0"/>
          <w:bCs w:val="0"/>
          <w:sz w:val="24"/>
          <w:szCs w:val="24"/>
          <w:lang w:val="en-US" w:eastAsia="zh-CN"/>
        </w:rPr>
      </w:pPr>
    </w:p>
    <w:p w14:paraId="2F8E3A22">
      <w:pPr>
        <w:spacing w:line="360" w:lineRule="auto"/>
        <w:jc w:val="center"/>
        <w:rPr>
          <w:rFonts w:hint="eastAsia" w:ascii="Times New Roman" w:hAnsi="Times New Roman" w:cs="Times New Roman"/>
          <w:b w:val="0"/>
          <w:bCs w:val="0"/>
          <w:sz w:val="24"/>
          <w:szCs w:val="24"/>
          <w:lang w:val="en-US" w:eastAsia="zh-CN"/>
        </w:rPr>
      </w:pPr>
    </w:p>
    <w:p w14:paraId="2C9FE4D5">
      <w:pPr>
        <w:spacing w:line="360" w:lineRule="auto"/>
        <w:jc w:val="center"/>
        <w:rPr>
          <w:rFonts w:hint="eastAsia" w:ascii="Times New Roman" w:hAnsi="Times New Roman" w:cs="Times New Roman"/>
          <w:b w:val="0"/>
          <w:bCs w:val="0"/>
          <w:sz w:val="24"/>
          <w:szCs w:val="24"/>
          <w:lang w:val="en-US" w:eastAsia="zh-CN"/>
        </w:rPr>
      </w:pPr>
    </w:p>
    <w:p w14:paraId="5CEF9743">
      <w:pPr>
        <w:spacing w:line="360" w:lineRule="auto"/>
        <w:jc w:val="center"/>
        <w:rPr>
          <w:rFonts w:hint="eastAsia" w:ascii="Times New Roman" w:hAnsi="Times New Roman" w:cs="Times New Roman"/>
          <w:b w:val="0"/>
          <w:bCs w:val="0"/>
          <w:sz w:val="24"/>
          <w:szCs w:val="24"/>
          <w:lang w:val="en-US" w:eastAsia="zh-CN"/>
        </w:rPr>
      </w:pPr>
    </w:p>
    <w:p w14:paraId="218730DC">
      <w:pPr>
        <w:spacing w:line="360" w:lineRule="auto"/>
        <w:jc w:val="center"/>
        <w:rPr>
          <w:rFonts w:hint="eastAsia" w:ascii="Times New Roman" w:hAnsi="Times New Roman" w:cs="Times New Roman"/>
          <w:b w:val="0"/>
          <w:bCs w:val="0"/>
          <w:sz w:val="24"/>
          <w:szCs w:val="24"/>
          <w:lang w:val="en-US" w:eastAsia="zh-CN"/>
        </w:rPr>
      </w:pPr>
    </w:p>
    <w:p w14:paraId="50DA4523">
      <w:pPr>
        <w:spacing w:line="360" w:lineRule="auto"/>
        <w:jc w:val="center"/>
        <w:rPr>
          <w:rFonts w:hint="eastAsia" w:ascii="Times New Roman" w:hAnsi="Times New Roman" w:cs="Times New Roman"/>
          <w:b w:val="0"/>
          <w:bCs w:val="0"/>
          <w:sz w:val="24"/>
          <w:szCs w:val="24"/>
          <w:lang w:val="en-US" w:eastAsia="zh-CN"/>
        </w:rPr>
      </w:pPr>
    </w:p>
    <w:p w14:paraId="21BA2A78">
      <w:pPr>
        <w:spacing w:line="360" w:lineRule="auto"/>
        <w:jc w:val="center"/>
        <w:rPr>
          <w:rFonts w:hint="eastAsia" w:ascii="Times New Roman" w:hAnsi="Times New Roman" w:cs="Times New Roman"/>
          <w:b w:val="0"/>
          <w:bCs w:val="0"/>
          <w:sz w:val="24"/>
          <w:szCs w:val="24"/>
          <w:lang w:val="en-US" w:eastAsia="zh-CN"/>
        </w:rPr>
      </w:pPr>
    </w:p>
    <w:p w14:paraId="3B96751D">
      <w:pPr>
        <w:spacing w:line="360" w:lineRule="auto"/>
        <w:jc w:val="center"/>
        <w:rPr>
          <w:rFonts w:hint="eastAsia" w:ascii="Times New Roman" w:hAnsi="Times New Roman" w:cs="Times New Roman"/>
          <w:b w:val="0"/>
          <w:bCs w:val="0"/>
          <w:sz w:val="24"/>
          <w:szCs w:val="24"/>
          <w:lang w:val="en-US" w:eastAsia="zh-CN"/>
        </w:rPr>
      </w:pPr>
    </w:p>
    <w:p w14:paraId="44261686">
      <w:pPr>
        <w:spacing w:line="360" w:lineRule="auto"/>
        <w:jc w:val="center"/>
        <w:rPr>
          <w:rFonts w:hint="eastAsia" w:ascii="Times New Roman" w:hAnsi="Times New Roman" w:cs="Times New Roman"/>
          <w:b w:val="0"/>
          <w:bCs w:val="0"/>
          <w:sz w:val="24"/>
          <w:szCs w:val="24"/>
          <w:lang w:val="en-US" w:eastAsia="zh-CN"/>
        </w:rPr>
      </w:pPr>
    </w:p>
    <w:p w14:paraId="142C5DA8">
      <w:pPr>
        <w:spacing w:line="360" w:lineRule="auto"/>
        <w:jc w:val="center"/>
        <w:rPr>
          <w:rFonts w:hint="eastAsia" w:ascii="Times New Roman" w:hAnsi="Times New Roman" w:cs="Times New Roman"/>
          <w:b w:val="0"/>
          <w:bCs w:val="0"/>
          <w:sz w:val="24"/>
          <w:szCs w:val="24"/>
          <w:lang w:val="en-US" w:eastAsia="zh-CN"/>
        </w:rPr>
      </w:pPr>
    </w:p>
    <w:p w14:paraId="5B096F81">
      <w:pPr>
        <w:spacing w:line="360" w:lineRule="auto"/>
        <w:jc w:val="center"/>
        <w:rPr>
          <w:rFonts w:hint="eastAsia" w:ascii="Times New Roman" w:hAnsi="Times New Roman" w:cs="Times New Roman"/>
          <w:b w:val="0"/>
          <w:bCs w:val="0"/>
          <w:sz w:val="24"/>
          <w:szCs w:val="24"/>
          <w:lang w:val="en-US" w:eastAsia="zh-CN"/>
        </w:rPr>
      </w:pPr>
    </w:p>
    <w:p w14:paraId="0F67D2D2">
      <w:pPr>
        <w:spacing w:line="360" w:lineRule="auto"/>
        <w:jc w:val="center"/>
        <w:rPr>
          <w:rFonts w:hint="eastAsia" w:ascii="Times New Roman" w:hAnsi="Times New Roman" w:cs="Times New Roman"/>
          <w:b w:val="0"/>
          <w:bCs w:val="0"/>
          <w:sz w:val="24"/>
          <w:szCs w:val="24"/>
          <w:lang w:val="en-US" w:eastAsia="zh-CN"/>
        </w:rPr>
      </w:pPr>
    </w:p>
    <w:p w14:paraId="63D6610B">
      <w:pPr>
        <w:spacing w:line="360" w:lineRule="auto"/>
        <w:jc w:val="center"/>
        <w:rPr>
          <w:rFonts w:hint="eastAsia" w:ascii="Times New Roman" w:hAnsi="Times New Roman" w:cs="Times New Roman"/>
          <w:b w:val="0"/>
          <w:bCs w:val="0"/>
          <w:sz w:val="24"/>
          <w:szCs w:val="24"/>
          <w:lang w:val="en-US" w:eastAsia="zh-CN"/>
        </w:rPr>
      </w:pPr>
    </w:p>
    <w:p w14:paraId="255B67D8">
      <w:pPr>
        <w:spacing w:line="360" w:lineRule="auto"/>
        <w:jc w:val="center"/>
        <w:rPr>
          <w:rFonts w:hint="eastAsia" w:ascii="Times New Roman" w:hAnsi="Times New Roman" w:cs="Times New Roman"/>
          <w:b w:val="0"/>
          <w:bCs w:val="0"/>
          <w:sz w:val="24"/>
          <w:szCs w:val="24"/>
          <w:lang w:val="en-US" w:eastAsia="zh-CN"/>
        </w:rPr>
      </w:pPr>
    </w:p>
    <w:p w14:paraId="402087A9">
      <w:pPr>
        <w:spacing w:line="360" w:lineRule="auto"/>
        <w:jc w:val="center"/>
        <w:rPr>
          <w:rFonts w:hint="eastAsia" w:ascii="Times New Roman" w:hAnsi="Times New Roman" w:cs="Times New Roman"/>
          <w:b w:val="0"/>
          <w:bCs w:val="0"/>
          <w:sz w:val="24"/>
          <w:szCs w:val="24"/>
          <w:lang w:val="en-US" w:eastAsia="zh-CN"/>
        </w:rPr>
      </w:pPr>
    </w:p>
    <w:p w14:paraId="18C71F12">
      <w:pPr>
        <w:spacing w:line="360" w:lineRule="auto"/>
        <w:jc w:val="center"/>
        <w:rPr>
          <w:rFonts w:hint="eastAsia" w:ascii="Times New Roman" w:hAnsi="Times New Roman" w:cs="Times New Roman"/>
          <w:b w:val="0"/>
          <w:bCs w:val="0"/>
          <w:sz w:val="24"/>
          <w:szCs w:val="24"/>
          <w:lang w:val="en-US" w:eastAsia="zh-CN"/>
        </w:rPr>
      </w:pPr>
    </w:p>
    <w:p w14:paraId="6F57EAE7">
      <w:pPr>
        <w:spacing w:line="360" w:lineRule="auto"/>
        <w:jc w:val="center"/>
        <w:rPr>
          <w:rFonts w:hint="eastAsia" w:ascii="Times New Roman" w:hAnsi="Times New Roman" w:cs="Times New Roman"/>
          <w:b w:val="0"/>
          <w:bCs w:val="0"/>
          <w:sz w:val="24"/>
          <w:szCs w:val="24"/>
          <w:lang w:val="en-US" w:eastAsia="zh-CN"/>
        </w:rPr>
      </w:pPr>
    </w:p>
    <w:sdt>
      <w:sdtPr>
        <w:rPr>
          <w:rFonts w:ascii="宋体" w:hAnsi="宋体" w:eastAsia="宋体" w:cstheme="minorBidi"/>
          <w:kern w:val="2"/>
          <w:sz w:val="21"/>
          <w:szCs w:val="24"/>
          <w:lang w:val="en-US" w:eastAsia="zh-CN" w:bidi="ar-SA"/>
        </w:rPr>
        <w:id w:val="147452337"/>
        <w15:color w:val="DBDBDB"/>
        <w:docPartObj>
          <w:docPartGallery w:val="Table of Contents"/>
          <w:docPartUnique/>
        </w:docPartObj>
      </w:sdtPr>
      <w:sdtEndPr>
        <w:rPr>
          <w:rFonts w:hint="default" w:ascii="Times New Roman" w:hAnsi="Times New Roman" w:cs="Times New Roman" w:eastAsiaTheme="minorEastAsia"/>
          <w:bCs w:val="0"/>
          <w:kern w:val="2"/>
          <w:sz w:val="21"/>
          <w:szCs w:val="24"/>
          <w:lang w:val="en-US" w:eastAsia="zh-CN" w:bidi="ar-SA"/>
        </w:rPr>
      </w:sdtEndPr>
      <w:sdtContent>
        <w:p w14:paraId="09DDD625">
          <w:pPr>
            <w:spacing w:before="0" w:beforeLines="0" w:after="0" w:afterLines="0" w:line="360" w:lineRule="auto"/>
            <w:ind w:left="0" w:leftChars="0" w:right="0" w:rightChars="0" w:firstLine="0" w:firstLineChars="0"/>
            <w:jc w:val="center"/>
            <w:rPr>
              <w:rFonts w:hint="default" w:ascii="Times New Roman" w:hAnsi="Times New Roman" w:cs="Times New Roman"/>
              <w:sz w:val="24"/>
              <w:szCs w:val="24"/>
              <w:lang w:val="en-US"/>
            </w:rPr>
          </w:pPr>
          <w:bookmarkStart w:id="16" w:name="_GoBack"/>
          <w:bookmarkEnd w:id="16"/>
          <w:r>
            <w:rPr>
              <w:rFonts w:hint="default" w:ascii="Times New Roman" w:hAnsi="Times New Roman" w:eastAsia="宋体" w:cs="Times New Roman"/>
              <w:kern w:val="2"/>
              <w:sz w:val="24"/>
              <w:szCs w:val="24"/>
              <w:lang w:val="en-US" w:eastAsia="zh-CN" w:bidi="ar-SA"/>
            </w:rPr>
            <w:t>Contents</w:t>
          </w:r>
        </w:p>
        <w:p w14:paraId="6C730EB7">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TOC \o "1-2" \h \u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_Toc18644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_Toc18644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504B8EB6">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_Toc31477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Abstract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_Toc31477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2A428E6B">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_Toc7331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2. Special effects cost analysis of Gundam shot production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_Toc7331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3E58A3E8">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_Toc32348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lang w:val="en-US" w:eastAsia="zh-CN"/>
            </w:rPr>
            <w:t>2.1</w:t>
          </w:r>
          <w:r>
            <w:rPr>
              <w:rFonts w:hint="default" w:ascii="Times New Roman" w:hAnsi="Times New Roman" w:cs="Times New Roman"/>
              <w:bCs/>
              <w:sz w:val="24"/>
              <w:szCs w:val="24"/>
            </w:rPr>
            <w:t xml:space="preserve"> Modeling and binding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_Toc32348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0294218F">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_Toc30743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2.</w:t>
          </w:r>
          <w:r>
            <w:rPr>
              <w:rFonts w:hint="default" w:ascii="Times New Roman" w:hAnsi="Times New Roman" w:cs="Times New Roman"/>
              <w:bCs/>
              <w:sz w:val="24"/>
              <w:szCs w:val="24"/>
              <w:lang w:val="en-US" w:eastAsia="zh-CN"/>
            </w:rPr>
            <w:t>2</w:t>
          </w:r>
          <w:r>
            <w:rPr>
              <w:rFonts w:hint="default" w:ascii="Times New Roman" w:hAnsi="Times New Roman" w:cs="Times New Roman"/>
              <w:bCs/>
              <w:sz w:val="24"/>
              <w:szCs w:val="24"/>
            </w:rPr>
            <w:t xml:space="preserve"> Animation production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_Toc30743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50FEE4E5">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_Toc5283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lang w:val="en-US" w:eastAsia="zh-CN"/>
            </w:rPr>
            <w:t xml:space="preserve">2.3 </w:t>
          </w:r>
          <w:r>
            <w:rPr>
              <w:rFonts w:hint="default" w:ascii="Times New Roman" w:hAnsi="Times New Roman" w:cs="Times New Roman"/>
              <w:bCs/>
              <w:sz w:val="24"/>
              <w:szCs w:val="24"/>
            </w:rPr>
            <w:t>Special effects and rendering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_Toc5283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666BDCC4">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_Toc11901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3. Copyright licensing and cost investigation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_Toc11901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58A98738">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_Toc11365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4. Labor and management cost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_Toc11365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1ADEB16D">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_Toc17014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5. Other cost factors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_Toc17014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02951CA6">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_Toc14929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6. Case Comparative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_Toc14929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15FFB680">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_Toc10314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7. Impact of technology and industrial development on cost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_Toc10314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4AC00C2E">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_Toc4789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8. Production Cycle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1CD5F0AC">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_Toc22432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9. Audience expectations for special effects and the response of the film industry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_Toc22432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4347C928">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_Toc22729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10.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_Toc22729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20DDDAD2">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_Toc4157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rPr>
            <w:t>11. Video Links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_Toc4157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7A1E2DD1">
          <w:pPr>
            <w:pStyle w:val="6"/>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val="0"/>
              <w:sz w:val="24"/>
              <w:szCs w:val="24"/>
              <w:lang w:val="en-US" w:eastAsia="zh-CN"/>
            </w:rPr>
            <w:fldChar w:fldCharType="begin"/>
          </w:r>
          <w:r>
            <w:rPr>
              <w:rFonts w:hint="default" w:ascii="Times New Roman" w:hAnsi="Times New Roman" w:cs="Times New Roman"/>
              <w:bCs w:val="0"/>
              <w:sz w:val="24"/>
              <w:szCs w:val="24"/>
              <w:lang w:val="en-US" w:eastAsia="zh-CN"/>
            </w:rPr>
            <w:instrText xml:space="preserve"> HYPERLINK \l _Toc30980 </w:instrText>
          </w:r>
          <w:r>
            <w:rPr>
              <w:rFonts w:hint="default" w:ascii="Times New Roman" w:hAnsi="Times New Roman" w:cs="Times New Roman"/>
              <w:bCs w:val="0"/>
              <w:sz w:val="24"/>
              <w:szCs w:val="24"/>
              <w:lang w:val="en-US" w:eastAsia="zh-CN"/>
            </w:rPr>
            <w:fldChar w:fldCharType="separate"/>
          </w:r>
          <w:r>
            <w:rPr>
              <w:rFonts w:hint="default" w:ascii="Times New Roman" w:hAnsi="Times New Roman" w:cs="Times New Roman"/>
              <w:bCs/>
              <w:sz w:val="24"/>
              <w:szCs w:val="24"/>
              <w:lang w:val="en-US"/>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_Toc30980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val="0"/>
              <w:sz w:val="24"/>
              <w:szCs w:val="24"/>
              <w:lang w:val="en-US" w:eastAsia="zh-CN"/>
            </w:rPr>
            <w:fldChar w:fldCharType="end"/>
          </w:r>
        </w:p>
        <w:p w14:paraId="77B34A82">
          <w:pPr>
            <w:spacing w:line="360" w:lineRule="auto"/>
            <w:jc w:val="center"/>
            <w:rPr>
              <w:rFonts w:hint="default" w:ascii="Times New Roman" w:hAnsi="Times New Roman" w:cs="Times New Roman" w:eastAsiaTheme="minorEastAsia"/>
              <w:bCs w:val="0"/>
              <w:kern w:val="2"/>
              <w:sz w:val="21"/>
              <w:szCs w:val="24"/>
              <w:lang w:val="en-US" w:eastAsia="zh-CN" w:bidi="ar-SA"/>
            </w:rPr>
            <w:sectPr>
              <w:pgSz w:w="11906" w:h="16838"/>
              <w:pgMar w:top="1440" w:right="1800" w:bottom="1440" w:left="1800" w:header="851" w:footer="992" w:gutter="0"/>
              <w:cols w:space="0" w:num="1"/>
              <w:rtlGutter w:val="0"/>
              <w:docGrid w:type="lines" w:linePitch="317" w:charSpace="0"/>
            </w:sectPr>
          </w:pPr>
          <w:r>
            <w:rPr>
              <w:rFonts w:hint="default" w:ascii="Times New Roman" w:hAnsi="Times New Roman" w:cs="Times New Roman"/>
              <w:bCs w:val="0"/>
              <w:sz w:val="24"/>
              <w:szCs w:val="24"/>
              <w:lang w:val="en-US" w:eastAsia="zh-CN"/>
            </w:rPr>
            <w:fldChar w:fldCharType="end"/>
          </w:r>
        </w:p>
      </w:sdtContent>
    </w:sdt>
    <w:p w14:paraId="0B88EB7E">
      <w:pPr>
        <w:numPr>
          <w:ilvl w:val="0"/>
          <w:numId w:val="1"/>
        </w:numPr>
        <w:spacing w:line="360" w:lineRule="auto"/>
        <w:jc w:val="center"/>
        <w:outlineLvl w:val="0"/>
        <w:rPr>
          <w:rFonts w:hint="default" w:ascii="Times New Roman" w:hAnsi="Times New Roman" w:cs="Times New Roman"/>
          <w:b/>
          <w:bCs/>
          <w:sz w:val="24"/>
          <w:szCs w:val="24"/>
        </w:rPr>
      </w:pPr>
      <w:bookmarkStart w:id="0" w:name="_Toc18644"/>
      <w:r>
        <w:rPr>
          <w:rFonts w:hint="default" w:ascii="Times New Roman" w:hAnsi="Times New Roman" w:cs="Times New Roman"/>
          <w:b/>
          <w:bCs/>
          <w:sz w:val="24"/>
          <w:szCs w:val="24"/>
        </w:rPr>
        <w:t>Introduction</w:t>
      </w:r>
      <w:bookmarkEnd w:id="0"/>
    </w:p>
    <w:p w14:paraId="38726572">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Visual effects, especially in large-scale science fiction films, have become an indispensable part of modern film production. With the advancement of computer technology, virtual characters and scenes in the film have been given life, and film production has entered a new era. As a film that brings together rich cultural symbols, "Ready Player One" not only showcases the classic mecha character Gundam, but also presents it perfectly through superb visual effects. Although the Gundam shot in the movie only lasted 10 seconds, its production process was extremely complex and involved high-tech support from multiple professional fields (VFX Guide, 2021). By analyzing the special effects production cost of Gundam's transformation shots, this article aims to explore the cost structure and influencing factors of modern film special effects production, and further understand the production process and economic logic behind special effects.</w:t>
      </w:r>
    </w:p>
    <w:p w14:paraId="47F98FB5">
      <w:pPr>
        <w:spacing w:line="360" w:lineRule="auto"/>
        <w:jc w:val="center"/>
        <w:rPr>
          <w:rFonts w:hint="default" w:ascii="Times New Roman" w:hAnsi="Times New Roman" w:cs="Times New Roman"/>
          <w:b/>
          <w:bCs/>
          <w:sz w:val="24"/>
          <w:szCs w:val="24"/>
        </w:rPr>
      </w:pPr>
    </w:p>
    <w:p w14:paraId="3FBCA23E">
      <w:pPr>
        <w:spacing w:line="360" w:lineRule="auto"/>
        <w:jc w:val="center"/>
        <w:rPr>
          <w:rFonts w:hint="default" w:ascii="Times New Roman" w:hAnsi="Times New Roman" w:cs="Times New Roman"/>
          <w:b/>
          <w:bCs/>
          <w:sz w:val="24"/>
          <w:szCs w:val="24"/>
        </w:rPr>
      </w:pPr>
    </w:p>
    <w:p w14:paraId="00EF6659">
      <w:pPr>
        <w:spacing w:line="360" w:lineRule="auto"/>
        <w:jc w:val="center"/>
        <w:rPr>
          <w:rFonts w:hint="default" w:ascii="Times New Roman" w:hAnsi="Times New Roman" w:cs="Times New Roman"/>
          <w:b/>
          <w:bCs/>
          <w:sz w:val="24"/>
          <w:szCs w:val="24"/>
        </w:rPr>
      </w:pPr>
    </w:p>
    <w:p w14:paraId="62245350">
      <w:pPr>
        <w:spacing w:line="360" w:lineRule="auto"/>
        <w:jc w:val="center"/>
        <w:rPr>
          <w:rFonts w:hint="default" w:ascii="Times New Roman" w:hAnsi="Times New Roman" w:cs="Times New Roman"/>
          <w:b/>
          <w:bCs/>
          <w:sz w:val="24"/>
          <w:szCs w:val="24"/>
        </w:rPr>
      </w:pPr>
    </w:p>
    <w:p w14:paraId="61069AD5">
      <w:pPr>
        <w:spacing w:line="360" w:lineRule="auto"/>
        <w:jc w:val="center"/>
        <w:rPr>
          <w:rFonts w:hint="default" w:ascii="Times New Roman" w:hAnsi="Times New Roman" w:cs="Times New Roman"/>
          <w:b/>
          <w:bCs/>
          <w:sz w:val="24"/>
          <w:szCs w:val="24"/>
        </w:rPr>
      </w:pPr>
    </w:p>
    <w:p w14:paraId="6A5EEFD9">
      <w:pPr>
        <w:spacing w:line="360" w:lineRule="auto"/>
        <w:jc w:val="center"/>
        <w:rPr>
          <w:rFonts w:hint="default" w:ascii="Times New Roman" w:hAnsi="Times New Roman" w:cs="Times New Roman"/>
          <w:b/>
          <w:bCs/>
          <w:sz w:val="24"/>
          <w:szCs w:val="24"/>
        </w:rPr>
      </w:pPr>
    </w:p>
    <w:p w14:paraId="20C125B9">
      <w:pPr>
        <w:spacing w:line="360" w:lineRule="auto"/>
        <w:jc w:val="center"/>
        <w:rPr>
          <w:rFonts w:hint="default" w:ascii="Times New Roman" w:hAnsi="Times New Roman" w:cs="Times New Roman"/>
          <w:b/>
          <w:bCs/>
          <w:sz w:val="24"/>
          <w:szCs w:val="24"/>
        </w:rPr>
      </w:pPr>
    </w:p>
    <w:p w14:paraId="18702EC9">
      <w:pPr>
        <w:spacing w:line="360" w:lineRule="auto"/>
        <w:jc w:val="center"/>
        <w:rPr>
          <w:rFonts w:hint="default" w:ascii="Times New Roman" w:hAnsi="Times New Roman" w:cs="Times New Roman"/>
          <w:b/>
          <w:bCs/>
          <w:sz w:val="24"/>
          <w:szCs w:val="24"/>
        </w:rPr>
      </w:pPr>
    </w:p>
    <w:p w14:paraId="73912EAB">
      <w:pPr>
        <w:spacing w:line="360" w:lineRule="auto"/>
        <w:jc w:val="center"/>
        <w:rPr>
          <w:rFonts w:hint="default" w:ascii="Times New Roman" w:hAnsi="Times New Roman" w:cs="Times New Roman"/>
          <w:b/>
          <w:bCs/>
          <w:sz w:val="24"/>
          <w:szCs w:val="24"/>
        </w:rPr>
      </w:pPr>
    </w:p>
    <w:p w14:paraId="28B5E938">
      <w:pPr>
        <w:spacing w:line="360" w:lineRule="auto"/>
        <w:jc w:val="center"/>
        <w:rPr>
          <w:rFonts w:hint="default" w:ascii="Times New Roman" w:hAnsi="Times New Roman" w:cs="Times New Roman"/>
          <w:b/>
          <w:bCs/>
          <w:sz w:val="24"/>
          <w:szCs w:val="24"/>
        </w:rPr>
      </w:pPr>
    </w:p>
    <w:p w14:paraId="3FC8C782">
      <w:pPr>
        <w:spacing w:line="360" w:lineRule="auto"/>
        <w:jc w:val="center"/>
        <w:rPr>
          <w:rFonts w:hint="default" w:ascii="Times New Roman" w:hAnsi="Times New Roman" w:cs="Times New Roman"/>
          <w:b/>
          <w:bCs/>
          <w:sz w:val="24"/>
          <w:szCs w:val="24"/>
        </w:rPr>
      </w:pPr>
    </w:p>
    <w:p w14:paraId="4CDCA62C">
      <w:pPr>
        <w:spacing w:line="360" w:lineRule="auto"/>
        <w:jc w:val="center"/>
        <w:rPr>
          <w:rFonts w:hint="default" w:ascii="Times New Roman" w:hAnsi="Times New Roman" w:cs="Times New Roman"/>
          <w:b/>
          <w:bCs/>
          <w:sz w:val="24"/>
          <w:szCs w:val="24"/>
        </w:rPr>
      </w:pPr>
    </w:p>
    <w:p w14:paraId="38514A5C">
      <w:pPr>
        <w:spacing w:line="360" w:lineRule="auto"/>
        <w:jc w:val="center"/>
        <w:rPr>
          <w:rFonts w:hint="default" w:ascii="Times New Roman" w:hAnsi="Times New Roman" w:cs="Times New Roman"/>
          <w:b/>
          <w:bCs/>
          <w:sz w:val="24"/>
          <w:szCs w:val="24"/>
        </w:rPr>
      </w:pPr>
    </w:p>
    <w:p w14:paraId="0F288158">
      <w:pPr>
        <w:spacing w:line="360" w:lineRule="auto"/>
        <w:jc w:val="center"/>
        <w:rPr>
          <w:rFonts w:hint="default" w:ascii="Times New Roman" w:hAnsi="Times New Roman" w:cs="Times New Roman"/>
          <w:b/>
          <w:bCs/>
          <w:sz w:val="24"/>
          <w:szCs w:val="24"/>
        </w:rPr>
      </w:pPr>
    </w:p>
    <w:p w14:paraId="3BCEB7D5">
      <w:pPr>
        <w:spacing w:line="360" w:lineRule="auto"/>
        <w:jc w:val="center"/>
        <w:rPr>
          <w:rFonts w:hint="default" w:ascii="Times New Roman" w:hAnsi="Times New Roman" w:cs="Times New Roman"/>
          <w:b/>
          <w:bCs/>
          <w:sz w:val="24"/>
          <w:szCs w:val="24"/>
        </w:rPr>
      </w:pPr>
    </w:p>
    <w:p w14:paraId="2E179573">
      <w:pPr>
        <w:spacing w:line="360" w:lineRule="auto"/>
        <w:jc w:val="center"/>
        <w:rPr>
          <w:rFonts w:hint="default" w:ascii="Times New Roman" w:hAnsi="Times New Roman" w:cs="Times New Roman"/>
          <w:b/>
          <w:bCs/>
          <w:sz w:val="24"/>
          <w:szCs w:val="24"/>
        </w:rPr>
      </w:pPr>
    </w:p>
    <w:p w14:paraId="39193A93">
      <w:pPr>
        <w:spacing w:line="360" w:lineRule="auto"/>
        <w:jc w:val="center"/>
        <w:outlineLvl w:val="9"/>
        <w:rPr>
          <w:rFonts w:hint="default" w:ascii="Times New Roman" w:hAnsi="Times New Roman" w:cs="Times New Roman"/>
          <w:b/>
          <w:bCs/>
          <w:sz w:val="24"/>
          <w:szCs w:val="24"/>
        </w:rPr>
        <w:sectPr>
          <w:footerReference r:id="rId3" w:type="default"/>
          <w:pgSz w:w="11906" w:h="16838"/>
          <w:pgMar w:top="1440" w:right="1800" w:bottom="1440" w:left="1800" w:header="851" w:footer="992" w:gutter="0"/>
          <w:pgNumType w:fmt="decimal" w:start="1"/>
          <w:cols w:space="0" w:num="1"/>
          <w:rtlGutter w:val="0"/>
          <w:docGrid w:type="lines" w:linePitch="317" w:charSpace="0"/>
        </w:sectPr>
      </w:pPr>
    </w:p>
    <w:p w14:paraId="42F320EA">
      <w:pPr>
        <w:spacing w:line="360" w:lineRule="auto"/>
        <w:jc w:val="center"/>
        <w:outlineLvl w:val="0"/>
        <w:rPr>
          <w:rFonts w:hint="default" w:ascii="Times New Roman" w:hAnsi="Times New Roman" w:cs="Times New Roman"/>
          <w:b/>
          <w:bCs/>
          <w:sz w:val="24"/>
          <w:szCs w:val="24"/>
        </w:rPr>
      </w:pPr>
      <w:bookmarkStart w:id="1" w:name="_Toc31477"/>
      <w:r>
        <w:rPr>
          <w:rFonts w:hint="default" w:ascii="Times New Roman" w:hAnsi="Times New Roman" w:cs="Times New Roman"/>
          <w:b/>
          <w:bCs/>
          <w:sz w:val="24"/>
          <w:szCs w:val="24"/>
        </w:rPr>
        <w:t>Abstract</w:t>
      </w:r>
      <w:bookmarkEnd w:id="1"/>
    </w:p>
    <w:p w14:paraId="30F19AA1">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With the continuous advancement of film technology, visual effects (VFX) play a vital role in modern film production. The movie Ready Player One, released in 2018, brought a shocking visual experience to the audience through the integration of a series of classic cultural IPs. Among them, the brief appearance of Gundam (RX-78-2 Gundam), a representative of the classic Japanese animation, in the film became one of the most iconic and technically challenging shots in the film. Although this shot lasted only 10 seconds, it involved huge production costs, including special effects production, copyright licensing, labor costs, and equipment investment (Williams, 2019). Through the analysis of these costs, this paper reveals the complexity of modern Hollywood blockbusters in visual effects and explores its input-output ratio from an economic perspective.</w:t>
      </w:r>
    </w:p>
    <w:p w14:paraId="7CD76F35">
      <w:pPr>
        <w:spacing w:line="360" w:lineRule="auto"/>
        <w:ind w:firstLine="480" w:firstLineChars="200"/>
        <w:rPr>
          <w:rFonts w:hint="default" w:ascii="Times New Roman" w:hAnsi="Times New Roman" w:cs="Times New Roman"/>
          <w:sz w:val="24"/>
          <w:szCs w:val="24"/>
        </w:rPr>
      </w:pPr>
    </w:p>
    <w:p w14:paraId="4546007F">
      <w:pPr>
        <w:spacing w:line="360" w:lineRule="auto"/>
        <w:ind w:firstLine="480" w:firstLineChars="200"/>
        <w:rPr>
          <w:rFonts w:hint="default" w:ascii="Times New Roman" w:hAnsi="Times New Roman" w:cs="Times New Roman"/>
          <w:sz w:val="24"/>
          <w:szCs w:val="24"/>
        </w:rPr>
      </w:pPr>
    </w:p>
    <w:p w14:paraId="4B2AE53F">
      <w:pPr>
        <w:spacing w:line="360" w:lineRule="auto"/>
        <w:ind w:firstLine="480" w:firstLineChars="200"/>
        <w:rPr>
          <w:rFonts w:hint="default" w:ascii="Times New Roman" w:hAnsi="Times New Roman" w:cs="Times New Roman"/>
          <w:sz w:val="24"/>
          <w:szCs w:val="24"/>
        </w:rPr>
      </w:pPr>
    </w:p>
    <w:p w14:paraId="3D758C0C">
      <w:pPr>
        <w:spacing w:line="360" w:lineRule="auto"/>
        <w:ind w:firstLine="480" w:firstLineChars="200"/>
        <w:rPr>
          <w:rFonts w:hint="default" w:ascii="Times New Roman" w:hAnsi="Times New Roman" w:cs="Times New Roman"/>
          <w:sz w:val="24"/>
          <w:szCs w:val="24"/>
        </w:rPr>
      </w:pPr>
    </w:p>
    <w:p w14:paraId="018DD7B4">
      <w:pPr>
        <w:spacing w:line="360" w:lineRule="auto"/>
        <w:ind w:firstLine="480" w:firstLineChars="200"/>
        <w:rPr>
          <w:rFonts w:hint="default" w:ascii="Times New Roman" w:hAnsi="Times New Roman" w:cs="Times New Roman"/>
          <w:sz w:val="24"/>
          <w:szCs w:val="24"/>
        </w:rPr>
      </w:pPr>
    </w:p>
    <w:p w14:paraId="48906D44">
      <w:pPr>
        <w:spacing w:line="360" w:lineRule="auto"/>
        <w:ind w:firstLine="480" w:firstLineChars="200"/>
        <w:rPr>
          <w:rFonts w:hint="default" w:ascii="Times New Roman" w:hAnsi="Times New Roman" w:cs="Times New Roman"/>
          <w:sz w:val="24"/>
          <w:szCs w:val="24"/>
        </w:rPr>
      </w:pPr>
    </w:p>
    <w:p w14:paraId="09125755">
      <w:pPr>
        <w:spacing w:line="360" w:lineRule="auto"/>
        <w:ind w:firstLine="480" w:firstLineChars="200"/>
        <w:rPr>
          <w:rFonts w:hint="default" w:ascii="Times New Roman" w:hAnsi="Times New Roman" w:cs="Times New Roman"/>
          <w:sz w:val="24"/>
          <w:szCs w:val="24"/>
        </w:rPr>
      </w:pPr>
    </w:p>
    <w:p w14:paraId="69AE757A">
      <w:pPr>
        <w:spacing w:line="360" w:lineRule="auto"/>
        <w:ind w:firstLine="480" w:firstLineChars="200"/>
        <w:rPr>
          <w:rFonts w:hint="default" w:ascii="Times New Roman" w:hAnsi="Times New Roman" w:cs="Times New Roman"/>
          <w:sz w:val="24"/>
          <w:szCs w:val="24"/>
        </w:rPr>
      </w:pPr>
    </w:p>
    <w:p w14:paraId="1F9F56FA">
      <w:pPr>
        <w:spacing w:line="360" w:lineRule="auto"/>
        <w:ind w:firstLine="480" w:firstLineChars="200"/>
        <w:rPr>
          <w:rFonts w:hint="default" w:ascii="Times New Roman" w:hAnsi="Times New Roman" w:cs="Times New Roman"/>
          <w:sz w:val="24"/>
          <w:szCs w:val="24"/>
        </w:rPr>
      </w:pPr>
    </w:p>
    <w:p w14:paraId="209E1C8C">
      <w:pPr>
        <w:spacing w:line="360" w:lineRule="auto"/>
        <w:ind w:firstLine="480" w:firstLineChars="200"/>
        <w:rPr>
          <w:rFonts w:hint="default" w:ascii="Times New Roman" w:hAnsi="Times New Roman" w:cs="Times New Roman"/>
          <w:sz w:val="24"/>
          <w:szCs w:val="24"/>
        </w:rPr>
      </w:pPr>
    </w:p>
    <w:p w14:paraId="6B80FF81">
      <w:pPr>
        <w:spacing w:line="360" w:lineRule="auto"/>
        <w:ind w:firstLine="480" w:firstLineChars="200"/>
        <w:rPr>
          <w:rFonts w:hint="default" w:ascii="Times New Roman" w:hAnsi="Times New Roman" w:cs="Times New Roman"/>
          <w:sz w:val="24"/>
          <w:szCs w:val="24"/>
        </w:rPr>
      </w:pPr>
    </w:p>
    <w:p w14:paraId="61DFA046">
      <w:pPr>
        <w:spacing w:line="360" w:lineRule="auto"/>
        <w:ind w:firstLine="480" w:firstLineChars="200"/>
        <w:rPr>
          <w:rFonts w:hint="default" w:ascii="Times New Roman" w:hAnsi="Times New Roman" w:cs="Times New Roman"/>
          <w:sz w:val="24"/>
          <w:szCs w:val="24"/>
        </w:rPr>
      </w:pPr>
    </w:p>
    <w:p w14:paraId="6390A66B">
      <w:pPr>
        <w:spacing w:line="360" w:lineRule="auto"/>
        <w:ind w:firstLine="480" w:firstLineChars="200"/>
        <w:rPr>
          <w:rFonts w:hint="default" w:ascii="Times New Roman" w:hAnsi="Times New Roman" w:cs="Times New Roman"/>
          <w:sz w:val="24"/>
          <w:szCs w:val="24"/>
        </w:rPr>
      </w:pPr>
    </w:p>
    <w:p w14:paraId="5EDB2065">
      <w:pPr>
        <w:spacing w:line="360" w:lineRule="auto"/>
        <w:ind w:firstLine="480" w:firstLineChars="200"/>
        <w:rPr>
          <w:rFonts w:hint="default" w:ascii="Times New Roman" w:hAnsi="Times New Roman" w:cs="Times New Roman"/>
          <w:sz w:val="24"/>
          <w:szCs w:val="24"/>
        </w:rPr>
      </w:pPr>
    </w:p>
    <w:p w14:paraId="09A23FAA">
      <w:pPr>
        <w:spacing w:line="360" w:lineRule="auto"/>
        <w:ind w:firstLine="480" w:firstLineChars="200"/>
        <w:rPr>
          <w:rFonts w:hint="default" w:ascii="Times New Roman" w:hAnsi="Times New Roman" w:cs="Times New Roman"/>
          <w:sz w:val="24"/>
          <w:szCs w:val="24"/>
        </w:rPr>
      </w:pPr>
    </w:p>
    <w:p w14:paraId="64DFEF94">
      <w:pPr>
        <w:spacing w:line="360" w:lineRule="auto"/>
        <w:ind w:firstLine="480" w:firstLineChars="200"/>
        <w:rPr>
          <w:rFonts w:hint="default" w:ascii="Times New Roman" w:hAnsi="Times New Roman" w:cs="Times New Roman"/>
          <w:sz w:val="24"/>
          <w:szCs w:val="24"/>
        </w:rPr>
      </w:pPr>
    </w:p>
    <w:p w14:paraId="3A1761F5">
      <w:pPr>
        <w:spacing w:line="360" w:lineRule="auto"/>
        <w:ind w:firstLine="480" w:firstLineChars="200"/>
        <w:rPr>
          <w:rFonts w:hint="default" w:ascii="Times New Roman" w:hAnsi="Times New Roman" w:cs="Times New Roman"/>
          <w:sz w:val="24"/>
          <w:szCs w:val="24"/>
        </w:rPr>
      </w:pPr>
    </w:p>
    <w:p w14:paraId="3CE80D4D">
      <w:pPr>
        <w:numPr>
          <w:ilvl w:val="0"/>
          <w:numId w:val="2"/>
        </w:numPr>
        <w:spacing w:line="360" w:lineRule="auto"/>
        <w:outlineLvl w:val="0"/>
        <w:rPr>
          <w:rFonts w:hint="default" w:ascii="Times New Roman" w:hAnsi="Times New Roman" w:cs="Times New Roman"/>
          <w:b/>
          <w:bCs/>
          <w:sz w:val="24"/>
          <w:szCs w:val="24"/>
        </w:rPr>
      </w:pPr>
      <w:bookmarkStart w:id="2" w:name="_Toc7331"/>
      <w:r>
        <w:rPr>
          <w:rFonts w:hint="default" w:ascii="Times New Roman" w:hAnsi="Times New Roman" w:cs="Times New Roman"/>
          <w:b/>
          <w:bCs/>
          <w:sz w:val="24"/>
          <w:szCs w:val="24"/>
        </w:rPr>
        <w:t>Special effects cost analysis of Gundam shot production</w:t>
      </w:r>
      <w:bookmarkEnd w:id="2"/>
    </w:p>
    <w:p w14:paraId="39A985A4">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special effects production of Gundam shots involves multiple links, and each link requires a lot of capital investment and time cost. From modeling, animation production to rendering and special effects synthesis, each step represents a high-tech challenge (Tosti, 2018). This section will analyze in detail the resources and costs required for each step.</w:t>
      </w:r>
    </w:p>
    <w:p w14:paraId="55AC364C">
      <w:pPr>
        <w:spacing w:line="360" w:lineRule="auto"/>
        <w:outlineLvl w:val="1"/>
        <w:rPr>
          <w:rFonts w:hint="default" w:ascii="Times New Roman" w:hAnsi="Times New Roman" w:cs="Times New Roman"/>
          <w:b/>
          <w:bCs/>
          <w:sz w:val="24"/>
          <w:szCs w:val="24"/>
        </w:rPr>
      </w:pPr>
      <w:bookmarkStart w:id="3" w:name="_Toc32348"/>
      <w:r>
        <w:rPr>
          <w:rFonts w:hint="eastAsia" w:ascii="Times New Roman" w:hAnsi="Times New Roman" w:cs="Times New Roman"/>
          <w:b/>
          <w:bCs/>
          <w:sz w:val="24"/>
          <w:szCs w:val="24"/>
          <w:lang w:val="en-US" w:eastAsia="zh-CN"/>
        </w:rPr>
        <w:t>2.1</w:t>
      </w:r>
      <w:r>
        <w:rPr>
          <w:rFonts w:hint="default" w:ascii="Times New Roman" w:hAnsi="Times New Roman" w:cs="Times New Roman"/>
          <w:b/>
          <w:bCs/>
          <w:sz w:val="24"/>
          <w:szCs w:val="24"/>
        </w:rPr>
        <w:t xml:space="preserve"> Modeling and binding</w:t>
      </w:r>
      <w:bookmarkEnd w:id="3"/>
    </w:p>
    <w:p w14:paraId="5B0D8AE6">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Mode</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rPr>
        <w:t>ling and binding is a basic content and closely related to the whole process of special effects production of suture in this work. Gundam is a traditional mecha character in Ready Player One. Its image not only should be true to the original content, but also demand some adaptive changes to be integrated in the whole visual look of the movie. Mode</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rPr>
        <w:t>ling At the modeling stage, a digital model of Gundam is first made with professional 3D software (like Maya and ZBrush). The effort and complexity of this stage is largely in excess. From the shape of the mekameka to the fine structure, it is made very carefully and precisely. Gundam's surface texture and reflection effects in particular is something that needs to be accomplished through mapping technology and careful material design (Williams, 2019). Gundam, a large mecha, was three-dimensionalized with a delicate and elaborate structure of the joints and details. The tactile quality of how it looks onscreen and the metallic reflection would decide what type of visual quality it has. The price of modeling a mechanical body of similar complexity is estimated to be between 20,000 and 50,000 US dollars(The Art of Transformers, 2014). The foreboding figure of Gundam made modeling tend to cost 30000-60000$,depending on level of the team's technology and fine (Theodor, 2018).</w:t>
      </w:r>
    </w:p>
    <w:p w14:paraId="5A5CE4A3">
      <w:pPr>
        <w:spacing w:line="360" w:lineRule="auto"/>
        <w:outlineLvl w:val="1"/>
        <w:rPr>
          <w:rFonts w:hint="default" w:ascii="Times New Roman" w:hAnsi="Times New Roman" w:cs="Times New Roman"/>
          <w:b/>
          <w:bCs/>
          <w:sz w:val="24"/>
          <w:szCs w:val="24"/>
        </w:rPr>
      </w:pPr>
      <w:bookmarkStart w:id="4" w:name="_Toc30743"/>
      <w:r>
        <w:rPr>
          <w:rFonts w:hint="default" w:ascii="Times New Roman" w:hAnsi="Times New Roman" w:cs="Times New Roman"/>
          <w:b/>
          <w:bCs/>
          <w:sz w:val="24"/>
          <w:szCs w:val="24"/>
        </w:rPr>
        <w:t>2.</w:t>
      </w: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rPr>
        <w:t xml:space="preserve"> Animation production</w:t>
      </w:r>
      <w:bookmarkEnd w:id="4"/>
    </w:p>
    <w:p w14:paraId="0E9F5680">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In addition to that other robots got physical properties to reproduce, Gundam's animation production also include weight, how soft or heavly it moves, and how the act fell into the environment. Animators also have to employ the accurate motion-capturing technology, mechanical simulation and dynamic simulation to provide a more natural feel to the movement of the Gundam. Motion capture technology normally relies on specific hardware devices and software that can record the real actor movements and transform them into action scenes of virtual characters (Silva, 2018). This is a very manual design and optimization process. and each frame of production must be manually corrected to achieve a realistic interaction between the Gundam and environment. To give an example, there was the Gundam transformation where we have to embody not only the transformation action of the mecha, but we also want to make a thorough physical simulation of its weight, speed, power etc. in a realistic way. These issues will likely have an impact on the overall animation effect (Tosti, 2018). Also, animators have to take into account how the Gundam is engaging with the other characters in the scene (eg, lead character Parzival) and the face-off itself. In fact, production of this type of complex animation typically ranges from $6,000 to $16,000 per second (Tosti, 2018).</w:t>
      </w:r>
    </w:p>
    <w:p w14:paraId="7E78B5CD">
      <w:pPr>
        <w:spacing w:line="360" w:lineRule="auto"/>
        <w:outlineLvl w:val="1"/>
        <w:rPr>
          <w:rFonts w:hint="default" w:ascii="Times New Roman" w:hAnsi="Times New Roman" w:cs="Times New Roman"/>
          <w:b/>
          <w:bCs/>
          <w:sz w:val="24"/>
          <w:szCs w:val="24"/>
        </w:rPr>
      </w:pPr>
      <w:bookmarkStart w:id="5" w:name="_Toc5283"/>
      <w:r>
        <w:rPr>
          <w:rFonts w:hint="eastAsia" w:ascii="Times New Roman" w:hAnsi="Times New Roman" w:cs="Times New Roman"/>
          <w:b/>
          <w:bCs/>
          <w:sz w:val="24"/>
          <w:szCs w:val="24"/>
          <w:lang w:val="en-US" w:eastAsia="zh-CN"/>
        </w:rPr>
        <w:t xml:space="preserve">2.3 </w:t>
      </w:r>
      <w:r>
        <w:rPr>
          <w:rFonts w:hint="default" w:ascii="Times New Roman" w:hAnsi="Times New Roman" w:cs="Times New Roman"/>
          <w:b/>
          <w:bCs/>
          <w:sz w:val="24"/>
          <w:szCs w:val="24"/>
        </w:rPr>
        <w:t>Special effects and rendering</w:t>
      </w:r>
      <w:bookmarkEnd w:id="5"/>
    </w:p>
    <w:p w14:paraId="72A31033">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drawing>
          <wp:anchor distT="0" distB="0" distL="114300" distR="114300" simplePos="0" relativeHeight="251659264" behindDoc="0" locked="0" layoutInCell="1" allowOverlap="1">
            <wp:simplePos x="0" y="0"/>
            <wp:positionH relativeFrom="column">
              <wp:posOffset>7620</wp:posOffset>
            </wp:positionH>
            <wp:positionV relativeFrom="paragraph">
              <wp:posOffset>892175</wp:posOffset>
            </wp:positionV>
            <wp:extent cx="2980690" cy="1863090"/>
            <wp:effectExtent l="0" t="0" r="10160" b="3810"/>
            <wp:wrapSquare wrapText="bothSides"/>
            <wp:docPr id="1" name="图片 1" descr="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R (1)"/>
                    <pic:cNvPicPr>
                      <a:picLocks noChangeAspect="1"/>
                    </pic:cNvPicPr>
                  </pic:nvPicPr>
                  <pic:blipFill>
                    <a:blip r:embed="rId6"/>
                    <a:stretch>
                      <a:fillRect/>
                    </a:stretch>
                  </pic:blipFill>
                  <pic:spPr>
                    <a:xfrm>
                      <a:off x="0" y="0"/>
                      <a:ext cx="2980690" cy="1863090"/>
                    </a:xfrm>
                    <a:prstGeom prst="rect">
                      <a:avLst/>
                    </a:prstGeom>
                  </pic:spPr>
                </pic:pic>
              </a:graphicData>
            </a:graphic>
          </wp:anchor>
        </w:drawing>
      </w:r>
      <w:r>
        <w:rPr>
          <w:rFonts w:hint="default" w:ascii="Times New Roman" w:hAnsi="Times New Roman" w:cs="Times New Roman"/>
          <w:sz w:val="24"/>
          <w:szCs w:val="24"/>
        </w:rPr>
        <w:t>The Gundam transformation scene in "Ready Player One" is not only a display of models and actions, but also involves a lot of special effects rendering. The production of special effects includes dynamic elements such as smoke, fire, explosions, and energy fluctuations of the Gundam mecha. All these special effects are achieved through advanced particle system software (such as Houdini, FumeFX, etc.), which can simulate complex physical phenomena such as the burning of flames and the diffusion of smoke (VFX Voice, 2018). In the 10-second shot of the Gundam transformation, special effects such as flames and energy fluctuations need to be precisely synchronized with the movements of the mecha and maintain consistency at different angles of the shot.</w:t>
      </w:r>
    </w:p>
    <w:p w14:paraId="1B9AFA25">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rendering process is the most time-consuming and expensive part of movie special effects production. The rendering of each frame usually requires the use of a high-performance GPU cluster for calculation. This process is very computing-intensive and can take hours or even days to render (Glassdoor, 2022). In addition, the special effects shots in the film may need to be modified and optimized many times, so the number of renderings will also increase significantly, which further pushes up the cost. According to the report of VFX Guide (2021), the particle special effects and rendering costs in Gundam shots are roughly between $30,000 and $70,000. Depending on the complexity of the film and the demand for rendering resources, the rendering cost is expected to reach $5,000 to $20,000 per second.</w:t>
      </w:r>
    </w:p>
    <w:p w14:paraId="2B419FDD">
      <w:pPr>
        <w:numPr>
          <w:ilvl w:val="0"/>
          <w:numId w:val="2"/>
        </w:numPr>
        <w:spacing w:line="360" w:lineRule="auto"/>
        <w:ind w:left="0" w:leftChars="0" w:firstLine="0" w:firstLineChars="0"/>
        <w:outlineLvl w:val="0"/>
        <w:rPr>
          <w:rFonts w:hint="default" w:ascii="Times New Roman" w:hAnsi="Times New Roman" w:cs="Times New Roman"/>
          <w:b/>
          <w:bCs/>
          <w:sz w:val="24"/>
          <w:szCs w:val="24"/>
        </w:rPr>
      </w:pPr>
      <w:bookmarkStart w:id="6" w:name="_Toc11901"/>
      <w:r>
        <w:rPr>
          <w:rFonts w:hint="default" w:ascii="Times New Roman" w:hAnsi="Times New Roman" w:cs="Times New Roman"/>
          <w:b/>
          <w:bCs/>
          <w:sz w:val="24"/>
          <w:szCs w:val="24"/>
        </w:rPr>
        <w:t>Copyright licensing and cost investigation</w:t>
      </w:r>
      <w:bookmarkEnd w:id="6"/>
    </w:p>
    <w:p w14:paraId="7132CD0B">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drawing>
          <wp:anchor distT="0" distB="0" distL="114300" distR="114300" simplePos="0" relativeHeight="251660288" behindDoc="0" locked="0" layoutInCell="1" allowOverlap="1">
            <wp:simplePos x="0" y="0"/>
            <wp:positionH relativeFrom="column">
              <wp:posOffset>-146050</wp:posOffset>
            </wp:positionH>
            <wp:positionV relativeFrom="paragraph">
              <wp:posOffset>1053465</wp:posOffset>
            </wp:positionV>
            <wp:extent cx="3566795" cy="2229485"/>
            <wp:effectExtent l="0" t="0" r="14605" b="18415"/>
            <wp:wrapSquare wrapText="bothSides"/>
            <wp:docPr id="4" name="图片 4" descr="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R (3)"/>
                    <pic:cNvPicPr>
                      <a:picLocks noChangeAspect="1"/>
                    </pic:cNvPicPr>
                  </pic:nvPicPr>
                  <pic:blipFill>
                    <a:blip r:embed="rId7"/>
                    <a:stretch>
                      <a:fillRect/>
                    </a:stretch>
                  </pic:blipFill>
                  <pic:spPr>
                    <a:xfrm>
                      <a:off x="0" y="0"/>
                      <a:ext cx="3566795" cy="2229485"/>
                    </a:xfrm>
                    <a:prstGeom prst="rect">
                      <a:avLst/>
                    </a:prstGeom>
                  </pic:spPr>
                </pic:pic>
              </a:graphicData>
            </a:graphic>
          </wp:anchor>
        </w:drawing>
      </w:r>
      <w:r>
        <w:rPr>
          <w:rFonts w:hint="default" w:ascii="Times New Roman" w:hAnsi="Times New Roman" w:cs="Times New Roman"/>
          <w:sz w:val="24"/>
          <w:szCs w:val="24"/>
        </w:rPr>
        <w:t>Gundam is a classic IP owned by Japanese animation companies Sunrise and Bandai Namco Holdings, so in the process of film production, the use of the character of Gundam requires copyright fees. According to ScreenRant (2018), the licensing fee for classic characters like Gundam is usually between $50,000 and $500,000. The level of licensing fees is closely related to the market value of the character, its importance in the film, and the overall budget of the film. Although the shot of Gundam in "Ready Player One" lasts only 10 seconds, due to the high popularity and influence of the IP of Gundam, its copyright fee may be at the higher end of this range.</w:t>
      </w:r>
    </w:p>
    <w:p w14:paraId="5F083152">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Copyright fees are not only fees paid to IP owners, but also include licensing fees for character design, voice, and rights to use in movies. Since "Ready Player One" brings together many classic cultural symbols, the copyright fees involved in the film may accumulate to millions of dollars (Williams, 2019). Therefore, although Gundam only appears in the movie for a few seconds, the copyright fees behind it are an important part of the production cost.</w:t>
      </w:r>
    </w:p>
    <w:p w14:paraId="3C5C4023">
      <w:pPr>
        <w:numPr>
          <w:ilvl w:val="0"/>
          <w:numId w:val="2"/>
        </w:numPr>
        <w:spacing w:line="360" w:lineRule="auto"/>
        <w:ind w:left="0" w:leftChars="0" w:firstLine="0" w:firstLineChars="0"/>
        <w:outlineLvl w:val="0"/>
        <w:rPr>
          <w:rFonts w:hint="default" w:ascii="Times New Roman" w:hAnsi="Times New Roman" w:cs="Times New Roman"/>
          <w:b/>
          <w:bCs/>
          <w:sz w:val="24"/>
          <w:szCs w:val="24"/>
        </w:rPr>
      </w:pPr>
      <w:bookmarkStart w:id="7" w:name="_Toc11365"/>
      <w:r>
        <w:rPr>
          <w:rFonts w:hint="default" w:ascii="Times New Roman" w:hAnsi="Times New Roman" w:cs="Times New Roman"/>
          <w:b/>
          <w:bCs/>
          <w:sz w:val="24"/>
          <w:szCs w:val="24"/>
        </w:rPr>
        <w:t>Labor and management cost analysis</w:t>
      </w:r>
      <w:bookmarkEnd w:id="7"/>
    </w:p>
    <w:p w14:paraId="175506DC">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In special effects production, labor costs are usually the largest expense. The production of Gundam transformation shots involves close collaboration among multiple professional teams, including modelers, animators, special effects artists, renderers, and other technical personnel. According to Glassdoor (2022), the average salary level in the special effects industry is $60 to $150 per hour, depending on the technical requirements and work experience of the position. Taking a team of 10 as an example, assuming that each staff member works 40 hours a week and the work cycle is 6 weeks, the total labor cost expenditure may be as high as $240,000 to $480,000 (Williams, 2019). This fee includes the salaries of animators, special effects artists, modelers, etc., and the costs of project managers and other management personnel must also be considered. Since the Gundam lens of "Ready Player One" is a relatively complex lens, its labor cost is relatively high.</w:t>
      </w:r>
    </w:p>
    <w:p w14:paraId="7DF51099">
      <w:pPr>
        <w:numPr>
          <w:ilvl w:val="0"/>
          <w:numId w:val="2"/>
        </w:numPr>
        <w:spacing w:line="360" w:lineRule="auto"/>
        <w:ind w:left="0" w:leftChars="0" w:firstLine="0" w:firstLineChars="0"/>
        <w:outlineLvl w:val="0"/>
        <w:rPr>
          <w:rFonts w:hint="default" w:ascii="Times New Roman" w:hAnsi="Times New Roman" w:cs="Times New Roman"/>
          <w:sz w:val="24"/>
          <w:szCs w:val="24"/>
        </w:rPr>
      </w:pPr>
      <w:bookmarkStart w:id="8" w:name="_Toc17014"/>
      <w:r>
        <w:rPr>
          <w:rFonts w:hint="default" w:ascii="Times New Roman" w:hAnsi="Times New Roman" w:cs="Times New Roman"/>
          <w:b/>
          <w:bCs/>
          <w:sz w:val="24"/>
          <w:szCs w:val="24"/>
        </w:rPr>
        <w:t>Other cost factors</w:t>
      </w:r>
      <w:bookmarkEnd w:id="8"/>
    </w:p>
    <w:p w14:paraId="167102B7">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In addition to labor and copyright costs, the production of movie special effects also requires a lot of hardware and software resources. High-end special effects companies are usually equipped with high-performance workstations and large-scale storage devices. The purchase and depreciation costs of these devices are important expenses in the production process. The purchase cost of each high-end workstation can reach US$5,000 to US$15,000, equipped with high-performance graphics cards and high-speed storage systems. According to the case of AWS (2019), many movie special effects companies also rely on cloud computing platforms (such as Amazon Web Services) to handle rendering tasks, which also saves the production team a lot of hardware procurement and maintenance costs.</w:t>
      </w:r>
    </w:p>
    <w:p w14:paraId="5FEC8B51">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use of cloud computing platforms not only makes special effects production more efficient, but also effectively reduces the investment and management costs of hardware equipment. With the development of technology, cloud computing platforms provide more flexible and low-cost solutions for the special effects industry. In general, the investment in hardware and software is an expense that cannot be ignored in special effects production, which directly affects the efficiency and quality of special effects production.</w:t>
      </w:r>
    </w:p>
    <w:p w14:paraId="31821B14">
      <w:pPr>
        <w:numPr>
          <w:ilvl w:val="0"/>
          <w:numId w:val="2"/>
        </w:numPr>
        <w:spacing w:line="360" w:lineRule="auto"/>
        <w:ind w:left="0" w:leftChars="0" w:firstLine="0" w:firstLineChars="0"/>
        <w:outlineLvl w:val="0"/>
        <w:rPr>
          <w:rFonts w:hint="default" w:ascii="Times New Roman" w:hAnsi="Times New Roman" w:cs="Times New Roman"/>
          <w:b/>
          <w:bCs/>
          <w:sz w:val="24"/>
          <w:szCs w:val="24"/>
        </w:rPr>
      </w:pPr>
      <w:bookmarkStart w:id="9" w:name="_Toc14929"/>
      <w:r>
        <w:rPr>
          <w:rFonts w:hint="default" w:ascii="Times New Roman" w:hAnsi="Times New Roman" w:cs="Times New Roman"/>
          <w:b/>
          <w:bCs/>
          <w:sz w:val="24"/>
          <w:szCs w:val="24"/>
        </w:rPr>
        <w:t>Case Comparative Analysis</w:t>
      </w:r>
      <w:bookmarkEnd w:id="9"/>
    </w:p>
    <w:p w14:paraId="150B119A">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Compared with the special effects of robot characters in the Transformers series, the special effects production cost of the Gundam shots in Ready Player One is relatively low. Although both involve complex robot animations and highly sophisticated digital special effects, there are significant differences in the scale and technical investment between the two.</w:t>
      </w:r>
    </w:p>
    <w:p w14:paraId="2EDC2C8B">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Transformers series, especially the later works such as Transformers: The Last Knight, involves a large number of robot characters in the special effects production. These robots not only have to move at high speed in various complex environments, but also need to interact with elements in the real world. To achieve these effects, the special effects company Industrial Light and Magic (ILM) used advanced 3D modeling technology, particle systems and physical simulation to finely present the complex robot structure and the naturalness of its movements. In Transformers: The Last Knight, the cost of special effects production alone accounted for more than 40% of the overall production budget, and the cost of this part reached hundreds of millions of dollars (Box Office Mojo, 2017).</w:t>
      </w:r>
    </w:p>
    <w:p w14:paraId="6CC1A76B">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In contrast, although the Gundam shots in Ready Player One are short, accounting for only 10 seconds of the total length of the film, they still require extremely complex special effects. This includes the detailed modeling of the Gundam robots, smooth action animations, and special effects that interact with the environment (such as explosions, sparks, etc.). Although the production cost of this shot is lower than that of the Transformers series, it is still a very challenging technical work, especially in presenting highly delicate details and realism in a short time.</w:t>
      </w:r>
    </w:p>
    <w:p w14:paraId="1387C41E">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Although the production of the Gundam shot does not involve a large number of robot characters like Transformers, it also requires strong technical support and high-level artistic design. In Ready Player One, although the special effects company used similar modeling technology and rendering processes as Transformers, the overall cost was relatively low due to the short time and limited number of characters of the Gundam shot. Overall, this comparison reveals the direct impact of time, scale and number of characters on cost in special effects production.</w:t>
      </w:r>
    </w:p>
    <w:p w14:paraId="66C4210C">
      <w:pPr>
        <w:numPr>
          <w:ilvl w:val="0"/>
          <w:numId w:val="2"/>
        </w:numPr>
        <w:spacing w:line="360" w:lineRule="auto"/>
        <w:ind w:left="0" w:leftChars="0" w:firstLine="0" w:firstLineChars="0"/>
        <w:outlineLvl w:val="0"/>
        <w:rPr>
          <w:rFonts w:hint="default" w:ascii="Times New Roman" w:hAnsi="Times New Roman" w:cs="Times New Roman"/>
          <w:b/>
          <w:bCs/>
          <w:sz w:val="24"/>
          <w:szCs w:val="24"/>
        </w:rPr>
      </w:pPr>
      <w:bookmarkStart w:id="10" w:name="_Toc10314"/>
      <w:r>
        <w:rPr>
          <w:rFonts w:hint="default" w:ascii="Times New Roman" w:hAnsi="Times New Roman" w:cs="Times New Roman"/>
          <w:b/>
          <w:bCs/>
          <w:sz w:val="24"/>
          <w:szCs w:val="24"/>
        </w:rPr>
        <w:t>Impact of technology and industrial development on cost</w:t>
      </w:r>
      <w:bookmarkEnd w:id="10"/>
    </w:p>
    <w:p w14:paraId="6F7F98C3">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With technological developments, the cost of special effects on so-called "B movies" has become affordable to independent film makers. With the growing performance of computer hardware and the popularization of cloud computing technology, the efficiency of special effects production has obtained significant growth. For example, with the advancement of GPU technology, the speed of rendering the movie special effects is significantly improved and the rendering is carried out in a shorter time and at a lower cost (AWS, 2019). Moreover, with the cloud computing increasingly prevailing, then the special effects production studios will not have to invest in a large amount of physical hardware, but they can lease the computing resources to do large scale rendering work, and these can not only save a lot of cost for the hardware investment but also be able to greatly improve the flexibility and efficiency of the </w:t>
      </w:r>
      <w:r>
        <w:rPr>
          <w:rFonts w:hint="eastAsia" w:ascii="Times New Roman" w:hAnsi="Times New Roman" w:cs="Times New Roman"/>
          <w:sz w:val="24"/>
          <w:szCs w:val="24"/>
          <w:lang w:eastAsia="zh-CN"/>
        </w:rPr>
        <w:t>work-flow</w:t>
      </w:r>
      <w:r>
        <w:rPr>
          <w:rFonts w:hint="default" w:ascii="Times New Roman" w:hAnsi="Times New Roman" w:cs="Times New Roman"/>
          <w:sz w:val="24"/>
          <w:szCs w:val="24"/>
        </w:rPr>
        <w:t xml:space="preserve">. Yet despite the economy afforded by advancements in technology, the production of a special effect remains technologically demanding. Special effects with high difficulties, such as </w:t>
      </w:r>
      <w:r>
        <w:rPr>
          <w:rFonts w:hint="eastAsia" w:ascii="Times New Roman" w:hAnsi="Times New Roman" w:cs="Times New Roman"/>
          <w:sz w:val="24"/>
          <w:szCs w:val="24"/>
          <w:lang w:eastAsia="zh-CN"/>
        </w:rPr>
        <w:t>fine-particle-effect</w:t>
      </w:r>
      <w:r>
        <w:rPr>
          <w:rFonts w:hint="default" w:ascii="Times New Roman" w:hAnsi="Times New Roman" w:cs="Times New Roman"/>
          <w:sz w:val="24"/>
          <w:szCs w:val="24"/>
        </w:rPr>
        <w:t>, physical simulation with reality, and precise motion capture, still strongly depend on the calculation of computer. Consider the shot in “Ready Player One” of a Gundam transforming itself. The development of technical equipment has spe</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rPr>
        <w:t xml:space="preserve"> up the rendering process, but the quest for details also greatly increases the demand for computer resources in this rendering process. Particle system rendering, dynamic light and shadow calculation and contact between the Gundam and the background environment, all these are links that must be put into intensive computing. So with advanced technology, even to this day, price for these high difficulty special effects is still unquestionably expensive. </w:t>
      </w:r>
    </w:p>
    <w:p w14:paraId="00B15D7C">
      <w:pPr>
        <w:spacing w:line="360" w:lineRule="auto"/>
        <w:ind w:firstLine="480" w:firstLineChars="200"/>
      </w:pPr>
      <w:r>
        <w:rPr>
          <w:rFonts w:hint="default" w:ascii="Times New Roman" w:hAnsi="Times New Roman" w:cs="Times New Roman"/>
          <w:sz w:val="24"/>
          <w:szCs w:val="24"/>
        </w:rPr>
        <w:t>Furthermore, the growing demands of audiences when it comes to special effects (SFX) have made film producers compete at a global level, forcing them to keep working hard towards an innovative improvement of the product they offer on the movie market (ScreenRant, 2018). For instance, the audience’s anticipation of a Gundam shots is not only about the DIY appearance of the character, but also about its posture controllers, texture effect, action flow, and the naturalness of light and shadow effects. The higher the demand is, the higher is the production cost of movie special effects. The level of cinematics, despite the ever-evolving technology, takes time and resources.</w:t>
      </w:r>
    </w:p>
    <w:p w14:paraId="2F5EBE7B">
      <w:pPr>
        <w:numPr>
          <w:ilvl w:val="0"/>
          <w:numId w:val="2"/>
        </w:numPr>
        <w:bidi w:val="0"/>
        <w:spacing w:line="360" w:lineRule="auto"/>
        <w:ind w:left="0" w:leftChars="0" w:firstLine="0" w:firstLineChars="0"/>
        <w:outlineLvl w:val="0"/>
        <w:rPr>
          <w:rFonts w:hint="default" w:ascii="Times New Roman" w:hAnsi="Times New Roman" w:cs="Times New Roman"/>
          <w:b/>
          <w:bCs/>
          <w:sz w:val="24"/>
          <w:szCs w:val="24"/>
        </w:rPr>
      </w:pPr>
      <w:bookmarkStart w:id="11" w:name="_Toc4789"/>
      <w:r>
        <w:rPr>
          <w:rFonts w:hint="default" w:ascii="Times New Roman" w:hAnsi="Times New Roman" w:cs="Times New Roman"/>
          <w:b/>
          <w:bCs/>
          <w:sz w:val="24"/>
          <w:szCs w:val="24"/>
        </w:rPr>
        <w:t>Production Cycle Analysis</w:t>
      </w:r>
      <w:bookmarkEnd w:id="11"/>
    </w:p>
    <w:p w14:paraId="461F4E56">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ten-second Gundam transformation sequence in Ready Player One, though brief in duration, involved a complex and time-consuming production process. The creation of this single shot reportedly took around three to six months, depending on the size of the visual effects team, their technical expertise, and the director’s quality requirements (Williams, 2019). The production began with concept design and 3D modeling by the art department, followed by rigging, animation setup, motion simulation, visual effects compositing, and final rendering. Each stage required not only technical coordination but also repeated testing and refinement to ensure that the final sequence delivered the intended visual impact and narrative tension.</w:t>
      </w:r>
    </w:p>
    <w:p w14:paraId="3460566C">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Moreover, due to the film’s inclusion of numerous iconic pop culture IPs, director Steven Spielberg maintained a particularly high standard of detail for every shot. This extended the feedback and revision cycle significantly. According to Glassdoor (2022), the typical production timeline for a standard VFX shot is around four to eight weeks. However, for a complex and culturally significant shot like the Gundam scene, extended timelines are expected. It is estimated that more than 50 professionals contributed to this sequence across various production roles, including modelers, animation designers, FX specialists, lighting and rendering technicians, and production coordinators (VFX Guide, 2021).</w:t>
      </w:r>
    </w:p>
    <w:p w14:paraId="3D13DF81">
      <w:pPr>
        <w:bidi w:val="0"/>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This substantial production timeline underscores the strategic importance of visual effects in contemporary cinema—even a brief but visually impactful moment can require months of meticulous work and interdisciplinary collaboration.</w:t>
      </w:r>
    </w:p>
    <w:p w14:paraId="45DBB1BE">
      <w:pPr>
        <w:numPr>
          <w:ilvl w:val="0"/>
          <w:numId w:val="2"/>
        </w:numPr>
        <w:spacing w:line="360" w:lineRule="auto"/>
        <w:ind w:left="0" w:leftChars="0" w:firstLine="0" w:firstLineChars="0"/>
        <w:outlineLvl w:val="0"/>
        <w:rPr>
          <w:rFonts w:hint="default" w:ascii="Times New Roman" w:hAnsi="Times New Roman" w:cs="Times New Roman"/>
          <w:sz w:val="24"/>
          <w:szCs w:val="24"/>
        </w:rPr>
      </w:pPr>
      <w:bookmarkStart w:id="12" w:name="_Toc22432"/>
      <w:r>
        <w:rPr>
          <w:rFonts w:hint="default" w:ascii="Times New Roman" w:hAnsi="Times New Roman" w:cs="Times New Roman"/>
          <w:b/>
          <w:bCs/>
          <w:sz w:val="24"/>
          <w:szCs w:val="24"/>
        </w:rPr>
        <w:t>Audience expectations for special effects and the response of the film industry</w:t>
      </w:r>
      <w:bookmarkEnd w:id="12"/>
    </w:p>
    <w:p w14:paraId="2B96018B">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drawing>
          <wp:anchor distT="0" distB="0" distL="114300" distR="114300" simplePos="0" relativeHeight="251662336" behindDoc="0" locked="0" layoutInCell="1" allowOverlap="1">
            <wp:simplePos x="0" y="0"/>
            <wp:positionH relativeFrom="column">
              <wp:posOffset>-95250</wp:posOffset>
            </wp:positionH>
            <wp:positionV relativeFrom="paragraph">
              <wp:posOffset>688340</wp:posOffset>
            </wp:positionV>
            <wp:extent cx="2120265" cy="3141980"/>
            <wp:effectExtent l="0" t="0" r="13335" b="1270"/>
            <wp:wrapSquare wrapText="bothSides"/>
            <wp:docPr id="6" name="图片 6" descr="OI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OIP (1)"/>
                    <pic:cNvPicPr>
                      <a:picLocks noChangeAspect="1"/>
                    </pic:cNvPicPr>
                  </pic:nvPicPr>
                  <pic:blipFill>
                    <a:blip r:embed="rId8"/>
                    <a:stretch>
                      <a:fillRect/>
                    </a:stretch>
                  </pic:blipFill>
                  <pic:spPr>
                    <a:xfrm>
                      <a:off x="0" y="0"/>
                      <a:ext cx="2120265" cy="3141980"/>
                    </a:xfrm>
                    <a:prstGeom prst="rect">
                      <a:avLst/>
                    </a:prstGeom>
                  </pic:spPr>
                </pic:pic>
              </a:graphicData>
            </a:graphic>
          </wp:anchor>
        </w:drawing>
      </w:r>
      <w:r>
        <w:rPr>
          <w:rFonts w:hint="default" w:ascii="Times New Roman" w:hAnsi="Times New Roman" w:cs="Times New Roman"/>
          <w:sz w:val="24"/>
          <w:szCs w:val="24"/>
        </w:rPr>
        <w:t>As visual effects technology continues to improve, the audience has also raised higher expectations for special effects in movies. Before the release of "Ready Player One", the film market has ushered in a number of science fiction films with visual effects as the main feature, such as the "Avengers" series and the "Transformers" series. These films have raised the audience's expectations for special effects by showing exquisite special effects, grand scenes and shocking visual performances. In particular, the "Transformers" series, the detailed presentation of robot characters and their interaction with the real environment has brought the audience's demand for robots and mechanical special effects to a new height.</w:t>
      </w:r>
    </w:p>
    <w:p w14:paraId="387C0CBB">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drawing>
          <wp:anchor distT="0" distB="0" distL="114300" distR="114300" simplePos="0" relativeHeight="251661312" behindDoc="0" locked="0" layoutInCell="1" allowOverlap="1">
            <wp:simplePos x="0" y="0"/>
            <wp:positionH relativeFrom="column">
              <wp:posOffset>44450</wp:posOffset>
            </wp:positionH>
            <wp:positionV relativeFrom="paragraph">
              <wp:posOffset>426720</wp:posOffset>
            </wp:positionV>
            <wp:extent cx="2071370" cy="2764155"/>
            <wp:effectExtent l="0" t="0" r="5080" b="17145"/>
            <wp:wrapSquare wrapText="bothSides"/>
            <wp:docPr id="5" name="图片 5" descr="R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R (2)"/>
                    <pic:cNvPicPr>
                      <a:picLocks noChangeAspect="1"/>
                    </pic:cNvPicPr>
                  </pic:nvPicPr>
                  <pic:blipFill>
                    <a:blip r:embed="rId9"/>
                    <a:stretch>
                      <a:fillRect/>
                    </a:stretch>
                  </pic:blipFill>
                  <pic:spPr>
                    <a:xfrm>
                      <a:off x="0" y="0"/>
                      <a:ext cx="2071370" cy="2764155"/>
                    </a:xfrm>
                    <a:prstGeom prst="rect">
                      <a:avLst/>
                    </a:prstGeom>
                  </pic:spPr>
                </pic:pic>
              </a:graphicData>
            </a:graphic>
          </wp:anchor>
        </w:drawing>
      </w:r>
      <w:r>
        <w:rPr>
          <w:rFonts w:hint="default" w:ascii="Times New Roman" w:hAnsi="Times New Roman" w:cs="Times New Roman"/>
          <w:sz w:val="24"/>
          <w:szCs w:val="24"/>
        </w:rPr>
        <w:t>In this case, filmmakers have to increase their investment in visual effects to meet the audience's expectations. For example, although Ready Player One is a film set in a virtual world, every visual effect in the film carries huge audience expectations. From the presentation of Gundam, a classic cultural symbol, to the integration of multiple other IPs in the film, the production team strives to bring a shocking audio-visual experience to the audience through fine special effects. In particular, the appearance of Gundam is not only a tribute to this character, but also a challenge to the entire special effects technology and a response to audience expectations.</w:t>
      </w:r>
    </w:p>
    <w:p w14:paraId="5892D48F">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However, although the improvement of special effects technology has brought about an increase in production costs, the film industry's absorption of these costs often depends on the performance of the film box office. Ready Player One is a typical example. With its rich cultural elements and high-level visual effects, the film has won wide audience praise and box office success. According to Box Office Mojo (2018), Ready Player One has exceeded US$500 million in global box office, proving that the investment in special effects production costs is worthwhile. From this perspective, the investment in special effects is not only to meet the visual needs of the audience, but also to promote the overall development of the film industry and compete for market share worldwide.</w:t>
      </w:r>
    </w:p>
    <w:p w14:paraId="7B7BE48E">
      <w:pPr>
        <w:numPr>
          <w:ilvl w:val="0"/>
          <w:numId w:val="2"/>
        </w:numPr>
        <w:spacing w:line="360" w:lineRule="auto"/>
        <w:ind w:left="0" w:leftChars="0" w:firstLine="0" w:firstLineChars="0"/>
        <w:outlineLvl w:val="0"/>
        <w:rPr>
          <w:rFonts w:hint="default" w:ascii="Times New Roman" w:hAnsi="Times New Roman" w:cs="Times New Roman"/>
          <w:b/>
          <w:bCs/>
          <w:sz w:val="24"/>
          <w:szCs w:val="24"/>
        </w:rPr>
      </w:pPr>
      <w:bookmarkStart w:id="13" w:name="_Toc22729"/>
      <w:r>
        <w:rPr>
          <w:rFonts w:hint="default" w:ascii="Times New Roman" w:hAnsi="Times New Roman" w:cs="Times New Roman"/>
          <w:b/>
          <w:bCs/>
          <w:sz w:val="24"/>
          <w:szCs w:val="24"/>
        </w:rPr>
        <w:t>Summary</w:t>
      </w:r>
      <w:bookmarkEnd w:id="13"/>
    </w:p>
    <w:p w14:paraId="635014A7">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A detailed inspection of copyright trading, labour cost and visual resources on the Gundam transformation scene in Ready Player One enables us to observe that, behind just an insignificant 10 second of footage, accompany with it are the high technical barrier and the equally high economic cost they imposes to the film industry. For everything from modelling to animation to rendering to post-production compositing, the workflow demands stacks of cash and men and days. The cost of producing the 10 seconds was estimated to be between $700,000 to $1.2 million in various estimates, including around $200,000 for producing the model and animation; $50 to 70,000 for particle effects and rendering; over $300,000 for royalties; and between 250 to 500,000 for staff and management costs. </w:t>
      </w:r>
    </w:p>
    <w:p w14:paraId="66FF2970">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The shot production cycle was 3-6 months as they employed dozens of digital effects crew members of differing types of work to make the collaboration happen. This tells us that even short clips can account for a considerable fraction of a blockbuster's budget, which indeed verifies once again that in the film industry today, special effects are not just a visual and aural way to attract viewers, but a powerful trend and a significant criteria of the filmmaking capability and imagination. </w:t>
      </w:r>
    </w:p>
    <w:p w14:paraId="5FD6411B">
      <w:pPr>
        <w:spacing w:line="360" w:lineRule="auto"/>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This is the kind of intense deployment of resources and investment that is exactly the reason why modern audiences have growing expectations of VFX quality! Despite it being short, the Gundam scene remains a major visual and emotional high point in the movie and it is now one of the most iconic parts of the entire film. This relationship between input and output also implies the industrial logic of Hollywood VFX films in the pursuit of highest quality in the market competition. </w:t>
      </w:r>
    </w:p>
    <w:p w14:paraId="52C0844F">
      <w:pPr>
        <w:numPr>
          <w:ilvl w:val="0"/>
          <w:numId w:val="2"/>
        </w:numPr>
        <w:bidi w:val="0"/>
        <w:ind w:left="0" w:leftChars="0" w:firstLine="0" w:firstLineChars="0"/>
        <w:outlineLvl w:val="0"/>
        <w:rPr>
          <w:rFonts w:hint="default" w:ascii="Times New Roman" w:hAnsi="Times New Roman" w:cs="Times New Roman"/>
          <w:b/>
          <w:bCs/>
          <w:sz w:val="24"/>
          <w:szCs w:val="24"/>
        </w:rPr>
      </w:pPr>
      <w:bookmarkStart w:id="14" w:name="_Toc4157"/>
      <w:r>
        <w:rPr>
          <w:rFonts w:hint="default" w:ascii="Times New Roman" w:hAnsi="Times New Roman" w:cs="Times New Roman"/>
          <w:b/>
          <w:bCs/>
          <w:sz w:val="24"/>
          <w:szCs w:val="24"/>
        </w:rPr>
        <w:t>Video Links</w:t>
      </w:r>
      <w:bookmarkEnd w:id="14"/>
    </w:p>
    <w:p w14:paraId="2B3534DF">
      <w:pPr>
        <w:keepNext w:val="0"/>
        <w:keepLines w:val="0"/>
        <w:widowControl/>
        <w:suppressLineNumbers w:val="0"/>
        <w:ind w:firstLine="480" w:firstLineChars="200"/>
        <w:jc w:val="left"/>
      </w:pP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rPr>
        <w:t>he Gundam Transformation Shot in Ready Player One</w:t>
      </w:r>
      <w:r>
        <w:rPr>
          <w:rFonts w:hint="eastAsia" w:ascii="Times New Roman" w:hAnsi="Times New Roman" w:cs="Times New Roman"/>
          <w:b w:val="0"/>
          <w:bCs w:val="0"/>
          <w:sz w:val="24"/>
          <w:szCs w:val="24"/>
          <w:lang w:eastAsia="zh-CN"/>
        </w:rPr>
        <w:t>：</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uowtsd-my.sharepoint.com/:v:/g/personal/2121979_student_uwtsd_ac_uk/EbdUmZzpGjhDjpQn651mLxcBPbT-9Y6OsNg0JR-onACrXg?nav=eyJyZWZlcnJhbEluZm8iOnsicmVmZXJyYWxBcHAiOiJPbmVEcml2ZUZvckJ1c2luZXNzIiwicmVmZXJyYWxBcHBQbGF0Zm9ybSI6IldlYiIsInJlZmVycmFsTW9kZSI6InZpZXciLCJyZWZlcnJhbFZpZXciOiJNeUZpbGVzTGlua0NvcHkifX0&amp;e=yO60sO" </w:instrText>
      </w:r>
      <w:r>
        <w:rPr>
          <w:rFonts w:ascii="宋体" w:hAnsi="宋体" w:eastAsia="宋体" w:cs="宋体"/>
          <w:kern w:val="0"/>
          <w:sz w:val="24"/>
          <w:szCs w:val="24"/>
          <w:lang w:val="en-US" w:eastAsia="zh-CN" w:bidi="ar"/>
        </w:rPr>
        <w:fldChar w:fldCharType="separate"/>
      </w:r>
      <w:r>
        <w:rPr>
          <w:rStyle w:val="12"/>
          <w:rFonts w:ascii="宋体" w:hAnsi="宋体" w:eastAsia="宋体" w:cs="宋体"/>
          <w:sz w:val="24"/>
          <w:szCs w:val="24"/>
        </w:rPr>
        <w:t>The Gundam Transformation Shot in Ready Player One.mp4</w:t>
      </w:r>
      <w:r>
        <w:rPr>
          <w:rFonts w:ascii="宋体" w:hAnsi="宋体" w:eastAsia="宋体" w:cs="宋体"/>
          <w:kern w:val="0"/>
          <w:sz w:val="24"/>
          <w:szCs w:val="24"/>
          <w:lang w:val="en-US" w:eastAsia="zh-CN" w:bidi="ar"/>
        </w:rPr>
        <w:fldChar w:fldCharType="end"/>
      </w:r>
    </w:p>
    <w:p w14:paraId="70F218E0">
      <w:pPr>
        <w:spacing w:line="360" w:lineRule="auto"/>
        <w:jc w:val="both"/>
        <w:rPr>
          <w:rFonts w:hint="eastAsia" w:ascii="Times New Roman" w:hAnsi="Times New Roman" w:cs="Times New Roman" w:eastAsiaTheme="minorEastAsia"/>
          <w:b/>
          <w:bCs/>
          <w:sz w:val="24"/>
          <w:szCs w:val="24"/>
          <w:lang w:eastAsia="zh-CN"/>
        </w:rPr>
      </w:pPr>
    </w:p>
    <w:p w14:paraId="5FEC8DCC">
      <w:pPr>
        <w:spacing w:line="360" w:lineRule="auto"/>
        <w:ind w:firstLine="480" w:firstLineChars="200"/>
        <w:rPr>
          <w:rFonts w:hint="default" w:ascii="Times New Roman" w:hAnsi="Times New Roman" w:cs="Times New Roman"/>
          <w:sz w:val="24"/>
          <w:szCs w:val="24"/>
        </w:rPr>
      </w:pPr>
    </w:p>
    <w:p w14:paraId="50976171">
      <w:pPr>
        <w:pStyle w:val="8"/>
        <w:keepNext w:val="0"/>
        <w:keepLines w:val="0"/>
        <w:widowControl/>
        <w:suppressLineNumbers w:val="0"/>
        <w:spacing w:before="0" w:beforeAutospacing="1" w:after="0" w:afterAutospacing="1"/>
        <w:ind w:left="0" w:right="0"/>
      </w:pPr>
    </w:p>
    <w:p w14:paraId="481D5A3E">
      <w:pPr>
        <w:pStyle w:val="8"/>
        <w:keepNext w:val="0"/>
        <w:keepLines w:val="0"/>
        <w:widowControl/>
        <w:suppressLineNumbers w:val="0"/>
        <w:spacing w:before="0" w:beforeAutospacing="1" w:after="0" w:afterAutospacing="1"/>
        <w:ind w:left="0" w:right="0"/>
      </w:pPr>
    </w:p>
    <w:p w14:paraId="301F094D">
      <w:pPr>
        <w:pStyle w:val="8"/>
        <w:keepNext w:val="0"/>
        <w:keepLines w:val="0"/>
        <w:widowControl/>
        <w:suppressLineNumbers w:val="0"/>
        <w:spacing w:before="0" w:beforeAutospacing="1" w:after="0" w:afterAutospacing="1"/>
        <w:ind w:left="0" w:right="0"/>
      </w:pPr>
    </w:p>
    <w:p w14:paraId="38BE8DA9">
      <w:pPr>
        <w:pStyle w:val="8"/>
        <w:keepNext w:val="0"/>
        <w:keepLines w:val="0"/>
        <w:widowControl/>
        <w:suppressLineNumbers w:val="0"/>
        <w:spacing w:before="0" w:beforeAutospacing="1" w:after="0" w:afterAutospacing="1"/>
        <w:ind w:left="0" w:right="0"/>
      </w:pPr>
    </w:p>
    <w:p w14:paraId="5C888968">
      <w:pPr>
        <w:bidi w:val="0"/>
        <w:jc w:val="center"/>
        <w:outlineLvl w:val="9"/>
        <w:rPr>
          <w:rFonts w:hint="default" w:ascii="Times New Roman" w:hAnsi="Times New Roman" w:cs="Times New Roman"/>
          <w:sz w:val="24"/>
          <w:szCs w:val="24"/>
          <w:lang w:val="en-US"/>
        </w:rPr>
      </w:pPr>
    </w:p>
    <w:p w14:paraId="7895CE76">
      <w:pPr>
        <w:bidi w:val="0"/>
        <w:jc w:val="center"/>
        <w:outlineLvl w:val="9"/>
        <w:rPr>
          <w:rFonts w:hint="default" w:ascii="Times New Roman" w:hAnsi="Times New Roman" w:cs="Times New Roman"/>
          <w:sz w:val="24"/>
          <w:szCs w:val="24"/>
          <w:lang w:val="en-US"/>
        </w:rPr>
      </w:pPr>
    </w:p>
    <w:p w14:paraId="7783C9C5">
      <w:pPr>
        <w:bidi w:val="0"/>
        <w:jc w:val="center"/>
        <w:outlineLvl w:val="9"/>
        <w:rPr>
          <w:rFonts w:hint="default" w:ascii="Times New Roman" w:hAnsi="Times New Roman" w:cs="Times New Roman"/>
          <w:sz w:val="24"/>
          <w:szCs w:val="24"/>
          <w:lang w:val="en-US"/>
        </w:rPr>
      </w:pPr>
    </w:p>
    <w:p w14:paraId="0177529B">
      <w:pPr>
        <w:bidi w:val="0"/>
        <w:jc w:val="center"/>
        <w:outlineLvl w:val="9"/>
        <w:rPr>
          <w:rFonts w:hint="default" w:ascii="Times New Roman" w:hAnsi="Times New Roman" w:cs="Times New Roman"/>
          <w:sz w:val="24"/>
          <w:szCs w:val="24"/>
          <w:lang w:val="en-US"/>
        </w:rPr>
      </w:pPr>
    </w:p>
    <w:p w14:paraId="377B7938">
      <w:pPr>
        <w:bidi w:val="0"/>
        <w:jc w:val="center"/>
        <w:outlineLvl w:val="9"/>
        <w:rPr>
          <w:rFonts w:hint="default" w:ascii="Times New Roman" w:hAnsi="Times New Roman" w:cs="Times New Roman"/>
          <w:sz w:val="24"/>
          <w:szCs w:val="24"/>
          <w:lang w:val="en-US"/>
        </w:rPr>
      </w:pPr>
    </w:p>
    <w:p w14:paraId="29A7145A">
      <w:pPr>
        <w:bidi w:val="0"/>
        <w:jc w:val="center"/>
        <w:outlineLvl w:val="9"/>
        <w:rPr>
          <w:rFonts w:hint="default" w:ascii="Times New Roman" w:hAnsi="Times New Roman" w:cs="Times New Roman"/>
          <w:b/>
          <w:bCs/>
          <w:sz w:val="24"/>
          <w:szCs w:val="24"/>
          <w:lang w:val="en-US"/>
        </w:rPr>
      </w:pPr>
    </w:p>
    <w:p w14:paraId="46486ADE">
      <w:pPr>
        <w:bidi w:val="0"/>
        <w:jc w:val="center"/>
        <w:outlineLvl w:val="9"/>
        <w:rPr>
          <w:rFonts w:hint="default" w:ascii="Times New Roman" w:hAnsi="Times New Roman" w:cs="Times New Roman"/>
          <w:b/>
          <w:bCs/>
          <w:sz w:val="24"/>
          <w:szCs w:val="24"/>
          <w:lang w:val="en-US"/>
        </w:rPr>
      </w:pPr>
    </w:p>
    <w:p w14:paraId="2CC48E83">
      <w:pPr>
        <w:bidi w:val="0"/>
        <w:jc w:val="center"/>
        <w:outlineLvl w:val="9"/>
        <w:rPr>
          <w:rFonts w:hint="default" w:ascii="Times New Roman" w:hAnsi="Times New Roman" w:cs="Times New Roman"/>
          <w:b/>
          <w:bCs/>
          <w:sz w:val="24"/>
          <w:szCs w:val="24"/>
          <w:lang w:val="en-US"/>
        </w:rPr>
      </w:pPr>
    </w:p>
    <w:p w14:paraId="6AB7680B">
      <w:pPr>
        <w:bidi w:val="0"/>
        <w:jc w:val="center"/>
        <w:outlineLvl w:val="9"/>
        <w:rPr>
          <w:rFonts w:hint="default" w:ascii="Times New Roman" w:hAnsi="Times New Roman" w:cs="Times New Roman"/>
          <w:b/>
          <w:bCs/>
          <w:sz w:val="24"/>
          <w:szCs w:val="24"/>
          <w:lang w:val="en-US"/>
        </w:rPr>
      </w:pPr>
    </w:p>
    <w:p w14:paraId="47AADA33">
      <w:pPr>
        <w:bidi w:val="0"/>
        <w:jc w:val="center"/>
        <w:outlineLvl w:val="9"/>
        <w:rPr>
          <w:rFonts w:hint="default" w:ascii="Times New Roman" w:hAnsi="Times New Roman" w:cs="Times New Roman"/>
          <w:b/>
          <w:bCs/>
          <w:sz w:val="24"/>
          <w:szCs w:val="24"/>
          <w:lang w:val="en-US"/>
        </w:rPr>
      </w:pPr>
    </w:p>
    <w:p w14:paraId="778E6CEE">
      <w:pPr>
        <w:bidi w:val="0"/>
        <w:jc w:val="center"/>
        <w:outlineLvl w:val="9"/>
        <w:rPr>
          <w:rFonts w:hint="default" w:ascii="Times New Roman" w:hAnsi="Times New Roman" w:cs="Times New Roman"/>
          <w:b/>
          <w:bCs/>
          <w:sz w:val="24"/>
          <w:szCs w:val="24"/>
          <w:lang w:val="en-US"/>
        </w:rPr>
      </w:pPr>
    </w:p>
    <w:p w14:paraId="2D094C64">
      <w:pPr>
        <w:bidi w:val="0"/>
        <w:jc w:val="center"/>
        <w:outlineLvl w:val="9"/>
        <w:rPr>
          <w:rFonts w:hint="default" w:ascii="Times New Roman" w:hAnsi="Times New Roman" w:cs="Times New Roman"/>
          <w:b/>
          <w:bCs/>
          <w:sz w:val="24"/>
          <w:szCs w:val="24"/>
          <w:lang w:val="en-US"/>
        </w:rPr>
      </w:pPr>
    </w:p>
    <w:p w14:paraId="2B5D97DD">
      <w:pPr>
        <w:bidi w:val="0"/>
        <w:jc w:val="center"/>
        <w:outlineLvl w:val="9"/>
        <w:rPr>
          <w:rFonts w:hint="default" w:ascii="Times New Roman" w:hAnsi="Times New Roman" w:cs="Times New Roman"/>
          <w:b/>
          <w:bCs/>
          <w:sz w:val="24"/>
          <w:szCs w:val="24"/>
          <w:lang w:val="en-US"/>
        </w:rPr>
      </w:pPr>
    </w:p>
    <w:p w14:paraId="79F8B9F7">
      <w:pPr>
        <w:bidi w:val="0"/>
        <w:jc w:val="center"/>
        <w:outlineLvl w:val="9"/>
        <w:rPr>
          <w:rFonts w:hint="default" w:ascii="Times New Roman" w:hAnsi="Times New Roman" w:cs="Times New Roman"/>
          <w:b/>
          <w:bCs/>
          <w:sz w:val="24"/>
          <w:szCs w:val="24"/>
          <w:lang w:val="en-US"/>
        </w:rPr>
      </w:pPr>
    </w:p>
    <w:p w14:paraId="0BC30E8C">
      <w:pPr>
        <w:bidi w:val="0"/>
        <w:jc w:val="center"/>
        <w:outlineLvl w:val="9"/>
        <w:rPr>
          <w:rFonts w:hint="default" w:ascii="Times New Roman" w:hAnsi="Times New Roman" w:cs="Times New Roman"/>
          <w:b/>
          <w:bCs/>
          <w:sz w:val="24"/>
          <w:szCs w:val="24"/>
          <w:lang w:val="en-US"/>
        </w:rPr>
      </w:pPr>
    </w:p>
    <w:p w14:paraId="3C69F2AD">
      <w:pPr>
        <w:bidi w:val="0"/>
        <w:jc w:val="center"/>
        <w:outlineLvl w:val="9"/>
        <w:rPr>
          <w:rFonts w:hint="default" w:ascii="Times New Roman" w:hAnsi="Times New Roman" w:cs="Times New Roman"/>
          <w:b/>
          <w:bCs/>
          <w:sz w:val="24"/>
          <w:szCs w:val="24"/>
          <w:lang w:val="en-US"/>
        </w:rPr>
      </w:pPr>
    </w:p>
    <w:p w14:paraId="16FBABFC">
      <w:pPr>
        <w:bidi w:val="0"/>
        <w:jc w:val="center"/>
        <w:outlineLvl w:val="9"/>
        <w:rPr>
          <w:rFonts w:hint="default" w:ascii="Times New Roman" w:hAnsi="Times New Roman" w:cs="Times New Roman"/>
          <w:b/>
          <w:bCs/>
          <w:sz w:val="24"/>
          <w:szCs w:val="24"/>
          <w:lang w:val="en-US"/>
        </w:rPr>
      </w:pPr>
    </w:p>
    <w:p w14:paraId="042D87EF">
      <w:pPr>
        <w:bidi w:val="0"/>
        <w:jc w:val="both"/>
        <w:outlineLvl w:val="9"/>
        <w:rPr>
          <w:rFonts w:hint="default" w:ascii="Times New Roman" w:hAnsi="Times New Roman" w:cs="Times New Roman"/>
          <w:b/>
          <w:bCs/>
          <w:sz w:val="24"/>
          <w:szCs w:val="24"/>
          <w:lang w:val="en-US"/>
        </w:rPr>
      </w:pPr>
    </w:p>
    <w:p w14:paraId="6614D01C">
      <w:pPr>
        <w:bidi w:val="0"/>
        <w:jc w:val="center"/>
        <w:outlineLvl w:val="9"/>
        <w:rPr>
          <w:rFonts w:hint="default" w:ascii="Times New Roman" w:hAnsi="Times New Roman" w:cs="Times New Roman"/>
          <w:b/>
          <w:bCs/>
          <w:sz w:val="24"/>
          <w:szCs w:val="24"/>
          <w:lang w:val="en-US"/>
        </w:rPr>
      </w:pPr>
    </w:p>
    <w:p w14:paraId="26C74264">
      <w:pPr>
        <w:bidi w:val="0"/>
        <w:jc w:val="center"/>
        <w:outlineLvl w:val="0"/>
        <w:rPr>
          <w:rFonts w:hint="default" w:ascii="Times New Roman" w:hAnsi="Times New Roman" w:cs="Times New Roman"/>
          <w:b/>
          <w:bCs/>
          <w:sz w:val="24"/>
          <w:szCs w:val="24"/>
          <w:lang w:val="en-US"/>
        </w:rPr>
      </w:pPr>
      <w:bookmarkStart w:id="15" w:name="_Toc30980"/>
    </w:p>
    <w:p w14:paraId="37755CF6">
      <w:pPr>
        <w:bidi w:val="0"/>
        <w:jc w:val="center"/>
        <w:outlineLvl w:val="0"/>
        <w:rPr>
          <w:rFonts w:hint="default" w:ascii="Times New Roman" w:hAnsi="Times New Roman" w:cs="Times New Roman"/>
          <w:b/>
          <w:bCs/>
          <w:sz w:val="24"/>
          <w:szCs w:val="24"/>
          <w:lang w:val="en-US"/>
        </w:rPr>
      </w:pPr>
      <w:r>
        <w:rPr>
          <w:rFonts w:hint="default" w:ascii="Times New Roman" w:hAnsi="Times New Roman" w:cs="Times New Roman"/>
          <w:b/>
          <w:bCs/>
          <w:sz w:val="24"/>
          <w:szCs w:val="24"/>
          <w:lang w:val="en-US"/>
        </w:rPr>
        <w:t>Reference</w:t>
      </w:r>
      <w:bookmarkEnd w:id="15"/>
    </w:p>
    <w:p w14:paraId="7318A8F5">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AWS. (2019). </w:t>
      </w:r>
      <w:r>
        <w:rPr>
          <w:rStyle w:val="13"/>
          <w:rFonts w:hint="default" w:ascii="Times New Roman" w:hAnsi="Times New Roman" w:cs="Times New Roman"/>
          <w:sz w:val="24"/>
          <w:szCs w:val="24"/>
        </w:rPr>
        <w:t>AWS Case Study: Moving Special Effects to the Cloud.</w:t>
      </w:r>
      <w:r>
        <w:rPr>
          <w:rFonts w:hint="default" w:ascii="Times New Roman" w:hAnsi="Times New Roman" w:cs="Times New Roman"/>
          <w:sz w:val="24"/>
          <w:szCs w:val="24"/>
        </w:rPr>
        <w:t xml:space="preserve"> Amazon Web Services.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"https://aws.amazon.com/case-studies/" \t "_new" </w:instrText>
      </w:r>
      <w:r>
        <w:rPr>
          <w:rFonts w:hint="default" w:ascii="Times New Roman" w:hAnsi="Times New Roman" w:cs="Times New Roman"/>
          <w:sz w:val="24"/>
          <w:szCs w:val="24"/>
        </w:rPr>
        <w:fldChar w:fldCharType="separate"/>
      </w:r>
      <w:r>
        <w:rPr>
          <w:rStyle w:val="14"/>
          <w:rFonts w:hint="default" w:ascii="Times New Roman" w:hAnsi="Times New Roman" w:cs="Times New Roman"/>
          <w:color w:val="auto"/>
          <w:sz w:val="24"/>
          <w:szCs w:val="24"/>
        </w:rPr>
        <w:t>https://aws.amazon.com/case-studies/</w:t>
      </w:r>
      <w:r>
        <w:rPr>
          <w:rFonts w:hint="default" w:ascii="Times New Roman" w:hAnsi="Times New Roman" w:cs="Times New Roman"/>
          <w:sz w:val="24"/>
          <w:szCs w:val="24"/>
        </w:rPr>
        <w:fldChar w:fldCharType="end"/>
      </w:r>
    </w:p>
    <w:p w14:paraId="30F05B3A">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Box Office Mojo. (2017). </w:t>
      </w:r>
      <w:r>
        <w:rPr>
          <w:rStyle w:val="13"/>
          <w:rFonts w:hint="default" w:ascii="Times New Roman" w:hAnsi="Times New Roman" w:cs="Times New Roman"/>
          <w:sz w:val="24"/>
          <w:szCs w:val="24"/>
        </w:rPr>
        <w:t>Transformers: The Last Knight (2017).</w:t>
      </w:r>
      <w:r>
        <w:rPr>
          <w:rFonts w:hint="default" w:ascii="Times New Roman" w:hAnsi="Times New Roman" w:cs="Times New Roman"/>
          <w:sz w:val="24"/>
          <w:szCs w:val="24"/>
        </w:rPr>
        <w:t xml:space="preserv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"https://www.boxofficemojo.com/" \t "_new"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https://www.boxofficemojo.com/</w:t>
      </w:r>
      <w:r>
        <w:rPr>
          <w:rFonts w:hint="default" w:ascii="Times New Roman" w:hAnsi="Times New Roman" w:cs="Times New Roman"/>
          <w:sz w:val="24"/>
          <w:szCs w:val="24"/>
        </w:rPr>
        <w:fldChar w:fldCharType="end"/>
      </w:r>
    </w:p>
    <w:p w14:paraId="295ACD03">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Barnes, B. (2020) </w:t>
      </w:r>
      <w:r>
        <w:rPr>
          <w:rFonts w:hint="default" w:ascii="Times New Roman" w:hAnsi="Times New Roman" w:cs="Times New Roman"/>
          <w:i/>
          <w:iCs/>
          <w:sz w:val="24"/>
          <w:szCs w:val="24"/>
        </w:rPr>
        <w:t>Hollywood’s VFX Economy: The Rising Costs Behind the Magic. New York Times</w:t>
      </w:r>
      <w:r>
        <w:rPr>
          <w:rFonts w:hint="default" w:ascii="Times New Roman" w:hAnsi="Times New Roman" w:cs="Times New Roman"/>
          <w:sz w:val="24"/>
          <w:szCs w:val="24"/>
        </w:rPr>
        <w:t xml:space="preserve">, 15 July. Available at: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"https://www.nytimes.com" \t "_new" </w:instrText>
      </w:r>
      <w:r>
        <w:rPr>
          <w:rFonts w:hint="default" w:ascii="Times New Roman" w:hAnsi="Times New Roman" w:cs="Times New Roman"/>
          <w:color w:val="auto"/>
          <w:sz w:val="24"/>
          <w:szCs w:val="24"/>
        </w:rPr>
        <w:fldChar w:fldCharType="separate"/>
      </w:r>
      <w:r>
        <w:rPr>
          <w:rStyle w:val="14"/>
          <w:rFonts w:hint="default" w:ascii="Times New Roman" w:hAnsi="Times New Roman" w:eastAsia="宋体" w:cs="Times New Roman"/>
          <w:color w:val="auto"/>
          <w:sz w:val="24"/>
          <w:szCs w:val="24"/>
        </w:rPr>
        <w:t>https://www.nytimes.com</w:t>
      </w:r>
      <w:r>
        <w:rPr>
          <w:rFonts w:hint="default" w:ascii="Times New Roman" w:hAnsi="Times New Roman" w:cs="Times New Roman"/>
          <w:color w:val="auto"/>
          <w:sz w:val="24"/>
          <w:szCs w:val="24"/>
        </w:rPr>
        <w:fldChar w:fldCharType="end"/>
      </w:r>
      <w:r>
        <w:rPr>
          <w:rFonts w:hint="default" w:ascii="Times New Roman" w:hAnsi="Times New Roman" w:cs="Times New Roman"/>
          <w:sz w:val="24"/>
          <w:szCs w:val="24"/>
        </w:rPr>
        <w:t xml:space="preserve"> (Accessed: 1 May 2025).</w:t>
      </w:r>
    </w:p>
    <w:p w14:paraId="0D9CED8E">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Glassdoor. (2022). </w:t>
      </w:r>
      <w:r>
        <w:rPr>
          <w:rStyle w:val="13"/>
          <w:rFonts w:hint="default" w:ascii="Times New Roman" w:hAnsi="Times New Roman" w:cs="Times New Roman"/>
          <w:sz w:val="24"/>
          <w:szCs w:val="24"/>
        </w:rPr>
        <w:t>VFX Artist Salary.</w:t>
      </w:r>
      <w:r>
        <w:rPr>
          <w:rFonts w:hint="default" w:ascii="Times New Roman" w:hAnsi="Times New Roman" w:cs="Times New Roman"/>
          <w:sz w:val="24"/>
          <w:szCs w:val="24"/>
        </w:rPr>
        <w:t xml:space="preserv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"https://www.glassdoor.com" \t "_new" </w:instrText>
      </w:r>
      <w:r>
        <w:rPr>
          <w:rFonts w:hint="default" w:ascii="Times New Roman" w:hAnsi="Times New Roman" w:cs="Times New Roman"/>
          <w:sz w:val="24"/>
          <w:szCs w:val="24"/>
        </w:rPr>
        <w:fldChar w:fldCharType="separate"/>
      </w:r>
      <w:r>
        <w:rPr>
          <w:rStyle w:val="14"/>
          <w:rFonts w:hint="default" w:ascii="Times New Roman" w:hAnsi="Times New Roman" w:cs="Times New Roman"/>
          <w:color w:val="auto"/>
          <w:sz w:val="24"/>
          <w:szCs w:val="24"/>
        </w:rPr>
        <w:t>https://www.glassdoor.com</w:t>
      </w:r>
      <w:r>
        <w:rPr>
          <w:rFonts w:hint="default" w:ascii="Times New Roman" w:hAnsi="Times New Roman" w:cs="Times New Roman"/>
          <w:sz w:val="24"/>
          <w:szCs w:val="24"/>
        </w:rPr>
        <w:fldChar w:fldCharType="end"/>
      </w:r>
    </w:p>
    <w:p w14:paraId="2C01B333">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Silva, L. (2018). </w:t>
      </w:r>
      <w:r>
        <w:rPr>
          <w:rFonts w:hint="default" w:ascii="Times New Roman" w:hAnsi="Times New Roman" w:cs="Times New Roman"/>
          <w:i/>
          <w:iCs/>
          <w:sz w:val="24"/>
          <w:szCs w:val="24"/>
        </w:rPr>
        <w:t>The Art of Animation and Motion Capture in Film.</w:t>
      </w:r>
      <w:r>
        <w:rPr>
          <w:rFonts w:hint="default" w:ascii="Times New Roman" w:hAnsi="Times New Roman" w:cs="Times New Roman"/>
          <w:sz w:val="24"/>
          <w:szCs w:val="24"/>
        </w:rPr>
        <w:t xml:space="preserve"> Animation Studies Journal, 12(4), 29-45.</w:t>
      </w:r>
    </w:p>
    <w:p w14:paraId="0B6ACDD7">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ScreenRant. (2018). </w:t>
      </w:r>
      <w:r>
        <w:rPr>
          <w:rStyle w:val="13"/>
          <w:rFonts w:hint="default" w:ascii="Times New Roman" w:hAnsi="Times New Roman" w:cs="Times New Roman"/>
          <w:sz w:val="24"/>
          <w:szCs w:val="24"/>
        </w:rPr>
        <w:t xml:space="preserve">How Visual Effects Are Made for Hollywood Movies. </w:t>
      </w:r>
      <w:r>
        <w:rPr>
          <w:rFonts w:hint="default" w:ascii="Times New Roman" w:hAnsi="Times New Roman" w:cs="Times New Roman"/>
          <w:sz w:val="24"/>
          <w:szCs w:val="24"/>
        </w:rPr>
        <w:t xml:space="preserve">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"https://screenrant.com/" \t "_new" </w:instrText>
      </w:r>
      <w:r>
        <w:rPr>
          <w:rFonts w:hint="default" w:ascii="Times New Roman" w:hAnsi="Times New Roman" w:cs="Times New Roman"/>
          <w:sz w:val="24"/>
          <w:szCs w:val="24"/>
        </w:rPr>
        <w:fldChar w:fldCharType="separate"/>
      </w:r>
      <w:r>
        <w:rPr>
          <w:rStyle w:val="14"/>
          <w:rFonts w:hint="default" w:ascii="Times New Roman" w:hAnsi="Times New Roman" w:cs="Times New Roman"/>
          <w:color w:val="auto"/>
          <w:sz w:val="24"/>
          <w:szCs w:val="24"/>
        </w:rPr>
        <w:t>https://screenrant.com/</w:t>
      </w:r>
      <w:r>
        <w:rPr>
          <w:rFonts w:hint="default" w:ascii="Times New Roman" w:hAnsi="Times New Roman" w:cs="Times New Roman"/>
          <w:sz w:val="24"/>
          <w:szCs w:val="24"/>
        </w:rPr>
        <w:fldChar w:fldCharType="end"/>
      </w:r>
    </w:p>
    <w:p w14:paraId="7054347D">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Tosti, L. (2018).</w:t>
      </w:r>
      <w:r>
        <w:rPr>
          <w:rStyle w:val="13"/>
          <w:rFonts w:hint="default" w:ascii="Times New Roman" w:hAnsi="Times New Roman" w:cs="Times New Roman"/>
          <w:sz w:val="24"/>
          <w:szCs w:val="24"/>
        </w:rPr>
        <w:t xml:space="preserve"> Gundam and the Impact of VFX on Film Culture.</w:t>
      </w:r>
      <w:r>
        <w:rPr>
          <w:rFonts w:hint="default" w:ascii="Times New Roman" w:hAnsi="Times New Roman" w:cs="Times New Roman"/>
          <w:sz w:val="24"/>
          <w:szCs w:val="24"/>
        </w:rPr>
        <w:t xml:space="preserve"> Journal of Animation and Visual Effects, 3(1), 71-85.</w:t>
      </w:r>
    </w:p>
    <w:p w14:paraId="4702162D">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VFX Guide. (2021). </w:t>
      </w:r>
      <w:r>
        <w:rPr>
          <w:rStyle w:val="13"/>
          <w:rFonts w:hint="default" w:ascii="Times New Roman" w:hAnsi="Times New Roman" w:cs="Times New Roman"/>
          <w:sz w:val="24"/>
          <w:szCs w:val="24"/>
        </w:rPr>
        <w:t xml:space="preserve">The Future of Visual Effects: Technology and Costs. </w:t>
      </w:r>
      <w:r>
        <w:rPr>
          <w:rFonts w:hint="default" w:ascii="Times New Roman" w:hAnsi="Times New Roman" w:cs="Times New Roman"/>
          <w:sz w:val="24"/>
          <w:szCs w:val="24"/>
        </w:rPr>
        <w:t xml:space="preserve">VFX Voice.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"https://www.vfxvoice.com/" \t "_new"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https://www.vfxvoice.com/</w:t>
      </w:r>
      <w:r>
        <w:rPr>
          <w:rFonts w:hint="default" w:ascii="Times New Roman" w:hAnsi="Times New Roman" w:cs="Times New Roman"/>
          <w:sz w:val="24"/>
          <w:szCs w:val="24"/>
        </w:rPr>
        <w:fldChar w:fldCharType="end"/>
      </w:r>
    </w:p>
    <w:p w14:paraId="5E961817">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Williams, R. (2019). </w:t>
      </w:r>
      <w:r>
        <w:rPr>
          <w:rStyle w:val="13"/>
          <w:rFonts w:hint="default" w:ascii="Times New Roman" w:hAnsi="Times New Roman" w:cs="Times New Roman"/>
          <w:sz w:val="24"/>
          <w:szCs w:val="24"/>
        </w:rPr>
        <w:t xml:space="preserve">Budgeting for Hollywood: The Costs of Visual Effects. </w:t>
      </w:r>
      <w:r>
        <w:rPr>
          <w:rFonts w:hint="default" w:ascii="Times New Roman" w:hAnsi="Times New Roman" w:cs="Times New Roman"/>
          <w:sz w:val="24"/>
          <w:szCs w:val="24"/>
        </w:rPr>
        <w:t>Hollywood Finance Review, 6(2), 103-120.</w:t>
      </w:r>
    </w:p>
    <w:p w14:paraId="72DCEC11">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The Art of Transformers. (2014). </w:t>
      </w:r>
      <w:r>
        <w:rPr>
          <w:rStyle w:val="13"/>
          <w:rFonts w:hint="default" w:ascii="Times New Roman" w:hAnsi="Times New Roman" w:cs="Times New Roman"/>
          <w:sz w:val="24"/>
          <w:szCs w:val="24"/>
        </w:rPr>
        <w:t>Creating the Mechanical World of Transformers.</w:t>
      </w:r>
      <w:r>
        <w:rPr>
          <w:rStyle w:val="13"/>
          <w:rFonts w:hint="default"/>
        </w:rPr>
        <w:t xml:space="preserve"> </w:t>
      </w:r>
      <w:r>
        <w:rPr>
          <w:rFonts w:hint="default" w:ascii="Times New Roman" w:hAnsi="Times New Roman" w:cs="Times New Roman"/>
          <w:sz w:val="24"/>
          <w:szCs w:val="24"/>
        </w:rPr>
        <w:t xml:space="preserve">Industrial Light &amp; Magic.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"https://www.ilm.com/" \t "_new"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https://www.ilm.com/</w:t>
      </w:r>
      <w:r>
        <w:rPr>
          <w:rFonts w:hint="default" w:ascii="Times New Roman" w:hAnsi="Times New Roman" w:cs="Times New Roman"/>
          <w:sz w:val="24"/>
          <w:szCs w:val="24"/>
        </w:rPr>
        <w:fldChar w:fldCharType="end"/>
      </w:r>
    </w:p>
    <w:p w14:paraId="7AF9E990">
      <w:pPr>
        <w:spacing w:line="360" w:lineRule="auto"/>
        <w:rPr>
          <w:rFonts w:hint="default" w:ascii="Times New Roman" w:hAnsi="Times New Roman" w:cs="Times New Roman"/>
          <w:sz w:val="24"/>
          <w:szCs w:val="24"/>
        </w:rPr>
      </w:pPr>
    </w:p>
    <w:sectPr>
      <w:footerReference r:id="rId4" w:type="default"/>
      <w:pgSz w:w="11906" w:h="16838"/>
      <w:pgMar w:top="1440" w:right="1800" w:bottom="1440" w:left="1800" w:header="851" w:footer="992" w:gutter="0"/>
      <w:pgNumType w:fmt="decimal"/>
      <w:cols w:space="0" w:num="1"/>
      <w:rtlGutter w:val="0"/>
      <w:docGrid w:type="lines" w:linePitch="317"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1FBBD5F">
    <w:pPr>
      <w:pStyle w:val="4"/>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FD7EB82">
                          <w:pPr>
                            <w:pStyle w:val="4"/>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14:paraId="4FD7EB82">
                    <w:pPr>
                      <w:pStyle w:val="4"/>
                    </w:pPr>
                    <w:r>
                      <w:fldChar w:fldCharType="begin"/>
                    </w:r>
                    <w:r>
                      <w:instrText xml:space="preserve"> PAGE  \* MERGEFORMAT </w:instrText>
                    </w:r>
                    <w:r>
                      <w:fldChar w:fldCharType="separate"/>
                    </w:r>
                    <w:r>
                      <w:t>3</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FF473CF">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863BE10">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14:paraId="4863BE10">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CD12DFA"/>
    <w:multiLevelType w:val="singleLevel"/>
    <w:tmpl w:val="BCD12DFA"/>
    <w:lvl w:ilvl="0" w:tentative="0">
      <w:start w:val="1"/>
      <w:numFmt w:val="decimal"/>
      <w:suff w:val="space"/>
      <w:lvlText w:val="%1."/>
      <w:lvlJc w:val="left"/>
    </w:lvl>
  </w:abstractNum>
  <w:abstractNum w:abstractNumId="1">
    <w:nsid w:val="DDD7D572"/>
    <w:multiLevelType w:val="singleLevel"/>
    <w:tmpl w:val="DDD7D572"/>
    <w:lvl w:ilvl="0" w:tentative="0">
      <w:start w:val="2"/>
      <w:numFmt w:val="decimal"/>
      <w:suff w:val="space"/>
      <w:lvlText w:val="%1."/>
      <w:lvlJc w:val="left"/>
      <w:rPr>
        <w:rFonts w:hint="default"/>
        <w:b/>
        <w:bC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48A7ADF"/>
    <w:rsid w:val="0FBF3954"/>
    <w:rsid w:val="32E661B0"/>
    <w:rsid w:val="33C30645"/>
    <w:rsid w:val="3DE73F6C"/>
    <w:rsid w:val="4BC531F3"/>
    <w:rsid w:val="588751FD"/>
    <w:rsid w:val="5FAB7C73"/>
    <w:rsid w:val="648A7ADF"/>
    <w:rsid w:val="64D614CC"/>
    <w:rsid w:val="7673409E"/>
    <w:rsid w:val="7FE63C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5"/>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0">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toc 2"/>
    <w:basedOn w:val="1"/>
    <w:next w:val="1"/>
    <w:qFormat/>
    <w:uiPriority w:val="0"/>
    <w:pPr>
      <w:ind w:left="420" w:leftChars="200"/>
    </w:pPr>
  </w:style>
  <w:style w:type="paragraph" w:styleId="8">
    <w:name w:val="Normal (Web)"/>
    <w:basedOn w:val="1"/>
    <w:qFormat/>
    <w:uiPriority w:val="0"/>
    <w:rPr>
      <w:sz w:val="24"/>
      <w:szCs w:val="24"/>
    </w:rPr>
  </w:style>
  <w:style w:type="character" w:styleId="11">
    <w:name w:val="Strong"/>
    <w:basedOn w:val="10"/>
    <w:qFormat/>
    <w:uiPriority w:val="0"/>
    <w:rPr>
      <w:b/>
    </w:rPr>
  </w:style>
  <w:style w:type="character" w:styleId="12">
    <w:name w:val="FollowedHyperlink"/>
    <w:basedOn w:val="10"/>
    <w:uiPriority w:val="0"/>
    <w:rPr>
      <w:color w:val="800080"/>
      <w:u w:val="single"/>
    </w:rPr>
  </w:style>
  <w:style w:type="character" w:styleId="13">
    <w:name w:val="Emphasis"/>
    <w:basedOn w:val="10"/>
    <w:qFormat/>
    <w:uiPriority w:val="0"/>
    <w:rPr>
      <w:i/>
      <w:iCs/>
    </w:rPr>
  </w:style>
  <w:style w:type="character" w:styleId="14">
    <w:name w:val="Hyperlink"/>
    <w:basedOn w:val="10"/>
    <w:qFormat/>
    <w:uiPriority w:val="0"/>
    <w:rPr>
      <w:color w:val="0000FF"/>
      <w:u w:val="single"/>
    </w:rPr>
  </w:style>
  <w:style w:type="character" w:customStyle="1" w:styleId="15">
    <w:name w:val="标题 1 Char"/>
    <w:link w:val="2"/>
    <w:qFormat/>
    <w:uiPriority w:val="0"/>
    <w:rPr>
      <w:b/>
      <w:kern w:val="44"/>
      <w:sz w:val="44"/>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3412</Words>
  <Characters>19158</Characters>
  <Lines>0</Lines>
  <Paragraphs>0</Paragraphs>
  <TotalTime>5</TotalTime>
  <ScaleCrop>false</ScaleCrop>
  <LinksUpToDate>false</LinksUpToDate>
  <CharactersWithSpaces>22532</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2025-04-28T10:22:00Z</dcterms:created>
  <dc:creator>故</dc:creator>
  <cp:lastModifiedBy>故</cp:lastModifiedBy>
  <dcterms:modified xsi:type="dcterms:W3CDTF">2025-05-04T22:13:11Z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D8F6291F15F048C3A2B88C2916A05139_13</vt:lpwstr>
  </property>
  <property fmtid="{D5CDD505-2E9C-101B-9397-08002B2CF9AE}" pid="4" name="KSOTemplateDocerSaveRecord">
    <vt:lpwstr>eyJoZGlkIjoiODE0ODA5M2FiNjY0MzFjMTZjZGIwNTYzNWZkZjU3YTQiLCJ1c2VySWQiOiI1MDIxMTE3NzcifQ==</vt:lpwstr>
  </property>
</Properties>
</file>