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6ACE5E" w14:textId="4F43CDEB" w:rsidR="00B55610" w:rsidRPr="0015591A" w:rsidRDefault="00030905">
      <w:pPr>
        <w:rPr>
          <w:sz w:val="28"/>
          <w:szCs w:val="28"/>
        </w:rPr>
      </w:pPr>
      <w:r w:rsidRPr="0015591A">
        <w:rPr>
          <w:sz w:val="28"/>
          <w:szCs w:val="28"/>
        </w:rPr>
        <w:t>Nutritional Requirements, DRVs, and Community Interventions for Adults Aged 70+</w:t>
      </w:r>
    </w:p>
    <w:p w14:paraId="258F20C1" w14:textId="28F76875" w:rsidR="00D54E71" w:rsidRPr="0015591A" w:rsidRDefault="00B2622A">
      <w:r w:rsidRPr="0015591A">
        <w:t xml:space="preserve">Kassis et al. (2022) </w:t>
      </w:r>
      <w:r w:rsidR="00E27641">
        <w:t>state</w:t>
      </w:r>
      <w:r w:rsidRPr="0015591A">
        <w:t xml:space="preserve"> that the average age of the global population is increasing. Older </w:t>
      </w:r>
      <w:r w:rsidR="00B22A73" w:rsidRPr="0015591A">
        <w:t>adults</w:t>
      </w:r>
      <w:r w:rsidRPr="0015591A">
        <w:t xml:space="preserve"> need a high quality of life and to make sure they are meeting micronutrient targets for their age group. This is why it is important to make sure the requirements are met to avoid </w:t>
      </w:r>
      <w:r w:rsidR="00155C58" w:rsidRPr="0015591A">
        <w:t>diseases and to promote longevity and reduce the period of ill-health (morbidity). Older adults need a good understanding</w:t>
      </w:r>
      <w:r w:rsidR="00336582" w:rsidRPr="0015591A">
        <w:t xml:space="preserve"> of the </w:t>
      </w:r>
      <w:r w:rsidR="00030905" w:rsidRPr="0015591A">
        <w:t>ageing</w:t>
      </w:r>
      <w:r w:rsidR="00336582" w:rsidRPr="0015591A">
        <w:t xml:space="preserve"> process and its impacts on health. </w:t>
      </w:r>
      <w:r w:rsidR="00F963E2" w:rsidRPr="0015591A">
        <w:t xml:space="preserve">Due to declining physical activity and Basal Metabolic Rate (BMR), </w:t>
      </w:r>
      <w:r w:rsidR="00291A3D" w:rsidRPr="0015591A">
        <w:t>calori</w:t>
      </w:r>
      <w:r w:rsidR="00210481" w:rsidRPr="0015591A">
        <w:t>c</w:t>
      </w:r>
      <w:r w:rsidR="00291A3D" w:rsidRPr="0015591A">
        <w:t xml:space="preserve"> requirements for the 70+ demographic are significantly reduced </w:t>
      </w:r>
      <w:r w:rsidR="0015591A">
        <w:t xml:space="preserve">(Public Health England, 2016) </w:t>
      </w:r>
      <w:r w:rsidR="00291A3D" w:rsidRPr="0015591A">
        <w:t xml:space="preserve">(see Table 1). </w:t>
      </w:r>
      <w:r w:rsidR="00C30DCC" w:rsidRPr="0015591A">
        <w:t xml:space="preserve">The primary challenge is achieving nutrient density, obtaining high levels of vitamins within a restricted energy budget. </w:t>
      </w:r>
      <w:r w:rsidR="005802B4" w:rsidRPr="0015591A">
        <w:t xml:space="preserve">Kaur et al. (2019) </w:t>
      </w:r>
      <w:r w:rsidR="00FE5C27">
        <w:t>mention that as people age,</w:t>
      </w:r>
      <w:r w:rsidR="005802B4" w:rsidRPr="0015591A">
        <w:t xml:space="preserve"> they struggle to eat the right amount of food and</w:t>
      </w:r>
      <w:r w:rsidR="0005289A">
        <w:t>, because of this,</w:t>
      </w:r>
      <w:r w:rsidR="005802B4" w:rsidRPr="0015591A">
        <w:t xml:space="preserve"> do not meet nutritional requirements. </w:t>
      </w:r>
      <w:r w:rsidR="007B2F0B" w:rsidRPr="0015591A">
        <w:t xml:space="preserve">Failure to meet these requirements can lead to malnutrition, muscle wasting (sarcopenia), and increased frailty. </w:t>
      </w:r>
      <w:r w:rsidR="00C45F04" w:rsidRPr="0015591A">
        <w:t xml:space="preserve">Robinson et al. (2023) </w:t>
      </w:r>
      <w:r w:rsidR="00ED0EC2">
        <w:t>state</w:t>
      </w:r>
      <w:r w:rsidR="00C45F04" w:rsidRPr="0015591A">
        <w:t xml:space="preserve"> that information on adult diet and sarcopenia risk in older adults is limited. </w:t>
      </w:r>
    </w:p>
    <w:p w14:paraId="056FCF7E" w14:textId="45A258B7" w:rsidR="00862120" w:rsidRPr="0015591A" w:rsidRDefault="00862120">
      <w:r w:rsidRPr="0015591A">
        <w:t xml:space="preserve">Vitamin D is another important nutrient. The </w:t>
      </w:r>
      <w:r w:rsidR="008D2F61" w:rsidRPr="0015591A">
        <w:t xml:space="preserve">Dietary Reference Values </w:t>
      </w:r>
      <w:r w:rsidR="00057173">
        <w:t>recommend</w:t>
      </w:r>
      <w:r w:rsidR="008D2F61" w:rsidRPr="0015591A">
        <w:t xml:space="preserve"> that both men and women need 10 </w:t>
      </w:r>
      <w:r w:rsidR="006D4057" w:rsidRPr="0015591A">
        <w:t xml:space="preserve">micrograms </w:t>
      </w:r>
      <w:r w:rsidR="005B4620" w:rsidRPr="0015591A">
        <w:t xml:space="preserve">of Vitamin D each day. </w:t>
      </w:r>
      <w:r w:rsidR="00A52D8A" w:rsidRPr="0015591A">
        <w:t>It keeps the bones, teeth, and muscles healthy</w:t>
      </w:r>
      <w:r w:rsidR="0005289A">
        <w:t>,</w:t>
      </w:r>
      <w:r w:rsidR="00F85CE6" w:rsidRPr="0015591A">
        <w:t xml:space="preserve"> which is why it is important that older adults </w:t>
      </w:r>
      <w:r w:rsidR="0005289A">
        <w:t>consume</w:t>
      </w:r>
      <w:r w:rsidR="00F85CE6" w:rsidRPr="0015591A">
        <w:t xml:space="preserve"> enough</w:t>
      </w:r>
      <w:r w:rsidR="00974860" w:rsidRPr="0015591A">
        <w:t xml:space="preserve"> (Public Health England, 20</w:t>
      </w:r>
      <w:r w:rsidR="000B420C" w:rsidRPr="0015591A">
        <w:t>16)</w:t>
      </w:r>
      <w:r w:rsidR="00F85CE6" w:rsidRPr="0015591A">
        <w:t xml:space="preserve">. </w:t>
      </w:r>
      <w:r w:rsidR="00B21035" w:rsidRPr="0015591A">
        <w:t>In the summer months</w:t>
      </w:r>
      <w:r w:rsidR="00CD3D93" w:rsidRPr="0015591A">
        <w:t xml:space="preserve">, </w:t>
      </w:r>
      <w:r w:rsidR="00F94BA5">
        <w:t xml:space="preserve">from </w:t>
      </w:r>
      <w:r w:rsidR="00CD3D93" w:rsidRPr="0015591A">
        <w:t>April to the end of September,</w:t>
      </w:r>
      <w:r w:rsidR="002B5983" w:rsidRPr="0015591A">
        <w:t xml:space="preserve"> it is easy to get this nutrient </w:t>
      </w:r>
      <w:r w:rsidR="003A0EFA" w:rsidRPr="0015591A">
        <w:t xml:space="preserve">due to adequate sunlight </w:t>
      </w:r>
      <w:r w:rsidR="00974860" w:rsidRPr="0015591A">
        <w:t>(NHS, 2020)</w:t>
      </w:r>
      <w:r w:rsidR="002B5983" w:rsidRPr="0015591A">
        <w:t>.</w:t>
      </w:r>
      <w:r w:rsidR="00343E96" w:rsidRPr="0015591A">
        <w:t xml:space="preserve"> Chalcraft et al. (2020) demonstrated that older adults have a reduced capacity to produce Vitamin D through their skin, meaning they may not meet the requirements even with regular sun exposure.</w:t>
      </w:r>
      <w:r w:rsidR="002B5983" w:rsidRPr="0015591A">
        <w:t xml:space="preserve"> It is hard to get it in the autumn and winter months </w:t>
      </w:r>
      <w:r w:rsidR="00CC15A8" w:rsidRPr="0015591A">
        <w:t xml:space="preserve">(October – March) </w:t>
      </w:r>
      <w:r w:rsidR="002B5983" w:rsidRPr="0015591A">
        <w:t xml:space="preserve">due to a lack of sun. </w:t>
      </w:r>
      <w:r w:rsidR="00F94BA5">
        <w:t>Foods that contain Vitamin D include</w:t>
      </w:r>
      <w:r w:rsidR="00E40914" w:rsidRPr="0015591A">
        <w:t xml:space="preserve"> oily fish (salmon, mackerel), red meat, egg yolks, fortified foods, and liver</w:t>
      </w:r>
      <w:r w:rsidR="00974860" w:rsidRPr="0015591A">
        <w:t xml:space="preserve"> (NHS, 2020)</w:t>
      </w:r>
      <w:r w:rsidR="008C5B60" w:rsidRPr="0015591A">
        <w:t>. Taking too much can cause calcium buildup (hypercalcaemia), which weakens the bones and harms the kidneys and the heart.</w:t>
      </w:r>
      <w:r w:rsidR="004526C1" w:rsidRPr="0015591A">
        <w:rPr>
          <w:color w:val="EE0000"/>
        </w:rPr>
        <w:t xml:space="preserve"> </w:t>
      </w:r>
      <w:proofErr w:type="spellStart"/>
      <w:r w:rsidR="00DB1CDB" w:rsidRPr="0015591A">
        <w:t>Mourelatou</w:t>
      </w:r>
      <w:proofErr w:type="spellEnd"/>
      <w:r w:rsidR="00DB1CDB" w:rsidRPr="0015591A">
        <w:t xml:space="preserve"> et al. (2026)</w:t>
      </w:r>
      <w:r w:rsidR="006C1EE8" w:rsidRPr="0015591A">
        <w:t xml:space="preserve"> </w:t>
      </w:r>
      <w:r w:rsidR="00ED0EC2">
        <w:t>state</w:t>
      </w:r>
      <w:r w:rsidR="006C1EE8" w:rsidRPr="0015591A">
        <w:t xml:space="preserve"> that for this age group</w:t>
      </w:r>
      <w:r w:rsidR="00F94BA5">
        <w:t>,</w:t>
      </w:r>
      <w:r w:rsidR="006C1EE8" w:rsidRPr="0015591A">
        <w:t xml:space="preserve"> reducing mortality can happen if they take Vitamin D supplements. </w:t>
      </w:r>
    </w:p>
    <w:p w14:paraId="1AEAD2AC" w14:textId="48C4A7F1" w:rsidR="009A6E98" w:rsidRPr="0015591A" w:rsidRDefault="009A6E98">
      <w:r w:rsidRPr="0015591A">
        <w:t xml:space="preserve">Table 1: UK Dietary Reference Values (DRVs) for </w:t>
      </w:r>
      <w:proofErr w:type="gramStart"/>
      <w:r w:rsidRPr="0015591A">
        <w:t>Adults</w:t>
      </w:r>
      <w:proofErr w:type="gramEnd"/>
      <w:r w:rsidRPr="0015591A">
        <w:t xml:space="preserve"> 70+ </w:t>
      </w:r>
      <w:r w:rsidR="00CE1999" w:rsidRPr="0015591A">
        <w:t>(Public Health England, 2016)</w:t>
      </w:r>
    </w:p>
    <w:tbl>
      <w:tblPr>
        <w:tblStyle w:val="TableGrid"/>
        <w:tblW w:w="0" w:type="auto"/>
        <w:tblLook w:val="04A0" w:firstRow="1" w:lastRow="0" w:firstColumn="1" w:lastColumn="0" w:noHBand="0" w:noVBand="1"/>
      </w:tblPr>
      <w:tblGrid>
        <w:gridCol w:w="3099"/>
        <w:gridCol w:w="3172"/>
        <w:gridCol w:w="2745"/>
      </w:tblGrid>
      <w:tr w:rsidR="00343C83" w:rsidRPr="0015591A" w14:paraId="65B43159" w14:textId="1795D7E9" w:rsidTr="007A6B9A">
        <w:tc>
          <w:tcPr>
            <w:tcW w:w="3099" w:type="dxa"/>
          </w:tcPr>
          <w:p w14:paraId="0B2B51F0" w14:textId="3C7E5A45" w:rsidR="00343C83" w:rsidRPr="0015591A" w:rsidRDefault="00343C83">
            <w:r w:rsidRPr="0015591A">
              <w:t xml:space="preserve">Nutrient </w:t>
            </w:r>
          </w:p>
        </w:tc>
        <w:tc>
          <w:tcPr>
            <w:tcW w:w="5917" w:type="dxa"/>
            <w:gridSpan w:val="2"/>
          </w:tcPr>
          <w:p w14:paraId="6A88B8AB" w14:textId="4CF41425" w:rsidR="00343C83" w:rsidRPr="0015591A" w:rsidRDefault="00343C83">
            <w:r w:rsidRPr="0015591A">
              <w:t>Amount (RNI/daily)</w:t>
            </w:r>
          </w:p>
        </w:tc>
      </w:tr>
      <w:tr w:rsidR="00DA30D8" w:rsidRPr="0015591A" w14:paraId="6FB7862A" w14:textId="77777777" w:rsidTr="00DA30D8">
        <w:tc>
          <w:tcPr>
            <w:tcW w:w="3099" w:type="dxa"/>
          </w:tcPr>
          <w:p w14:paraId="5A53F3DA" w14:textId="77777777" w:rsidR="00DA30D8" w:rsidRPr="0015591A" w:rsidRDefault="00DA30D8"/>
        </w:tc>
        <w:tc>
          <w:tcPr>
            <w:tcW w:w="3172" w:type="dxa"/>
          </w:tcPr>
          <w:p w14:paraId="492DBD03" w14:textId="2A2E9B75" w:rsidR="00DA30D8" w:rsidRPr="0015591A" w:rsidRDefault="00DA30D8">
            <w:r w:rsidRPr="0015591A">
              <w:t>Males</w:t>
            </w:r>
          </w:p>
        </w:tc>
        <w:tc>
          <w:tcPr>
            <w:tcW w:w="2745" w:type="dxa"/>
          </w:tcPr>
          <w:p w14:paraId="61BECC7B" w14:textId="388857F9" w:rsidR="00DA30D8" w:rsidRPr="0015591A" w:rsidRDefault="00DA30D8">
            <w:r w:rsidRPr="0015591A">
              <w:t xml:space="preserve">Females </w:t>
            </w:r>
          </w:p>
        </w:tc>
      </w:tr>
      <w:tr w:rsidR="00343C83" w:rsidRPr="0015591A" w14:paraId="6EF927A1" w14:textId="78EAFADB" w:rsidTr="00343C83">
        <w:tc>
          <w:tcPr>
            <w:tcW w:w="3099" w:type="dxa"/>
          </w:tcPr>
          <w:p w14:paraId="4CD60F87" w14:textId="28418AA0" w:rsidR="00343C83" w:rsidRPr="0015591A" w:rsidRDefault="00343C83">
            <w:r w:rsidRPr="0015591A">
              <w:t>Energy (</w:t>
            </w:r>
            <w:r w:rsidR="005E48A5" w:rsidRPr="0015591A">
              <w:t>kcal/day)</w:t>
            </w:r>
          </w:p>
        </w:tc>
        <w:tc>
          <w:tcPr>
            <w:tcW w:w="3172" w:type="dxa"/>
          </w:tcPr>
          <w:p w14:paraId="4B1E92F9" w14:textId="4953A206" w:rsidR="00343C83" w:rsidRPr="0015591A" w:rsidRDefault="005E48A5">
            <w:r w:rsidRPr="0015591A">
              <w:t>2294</w:t>
            </w:r>
          </w:p>
        </w:tc>
        <w:tc>
          <w:tcPr>
            <w:tcW w:w="2745" w:type="dxa"/>
          </w:tcPr>
          <w:p w14:paraId="69A6AE06" w14:textId="09753918" w:rsidR="00343C83" w:rsidRPr="0015591A" w:rsidRDefault="005E48A5">
            <w:r w:rsidRPr="0015591A">
              <w:t>1840</w:t>
            </w:r>
          </w:p>
        </w:tc>
      </w:tr>
      <w:tr w:rsidR="00EB3237" w:rsidRPr="0015591A" w14:paraId="2F2C8EB0" w14:textId="77EEB22F" w:rsidTr="001C3B27">
        <w:tc>
          <w:tcPr>
            <w:tcW w:w="9016" w:type="dxa"/>
            <w:gridSpan w:val="3"/>
          </w:tcPr>
          <w:p w14:paraId="1B36B774" w14:textId="45F8143D" w:rsidR="00EB3237" w:rsidRPr="0015591A" w:rsidRDefault="00EB3237">
            <w:r w:rsidRPr="0015591A">
              <w:t xml:space="preserve">Macronutrients </w:t>
            </w:r>
          </w:p>
        </w:tc>
      </w:tr>
      <w:tr w:rsidR="00343C83" w:rsidRPr="0015591A" w14:paraId="7E10E0EE" w14:textId="390853DE" w:rsidTr="00343C83">
        <w:tc>
          <w:tcPr>
            <w:tcW w:w="3099" w:type="dxa"/>
          </w:tcPr>
          <w:p w14:paraId="5B6AD146" w14:textId="5202F905" w:rsidR="00343C83" w:rsidRPr="0015591A" w:rsidRDefault="00EB3237">
            <w:r w:rsidRPr="0015591A">
              <w:t>Protein (g/day)</w:t>
            </w:r>
          </w:p>
        </w:tc>
        <w:tc>
          <w:tcPr>
            <w:tcW w:w="3172" w:type="dxa"/>
          </w:tcPr>
          <w:p w14:paraId="2BEB5461" w14:textId="53ED335F" w:rsidR="00343C83" w:rsidRPr="0015591A" w:rsidRDefault="00B130F6">
            <w:r w:rsidRPr="0015591A">
              <w:t>53.3</w:t>
            </w:r>
          </w:p>
        </w:tc>
        <w:tc>
          <w:tcPr>
            <w:tcW w:w="2745" w:type="dxa"/>
          </w:tcPr>
          <w:p w14:paraId="0F86445E" w14:textId="41B6EA3D" w:rsidR="00343C83" w:rsidRPr="0015591A" w:rsidRDefault="00B130F6">
            <w:r w:rsidRPr="0015591A">
              <w:t>46.5</w:t>
            </w:r>
          </w:p>
        </w:tc>
      </w:tr>
      <w:tr w:rsidR="00343C83" w:rsidRPr="0015591A" w14:paraId="5813AE5D" w14:textId="7AA48BFF" w:rsidTr="00343C83">
        <w:tc>
          <w:tcPr>
            <w:tcW w:w="3099" w:type="dxa"/>
          </w:tcPr>
          <w:p w14:paraId="6892068A" w14:textId="1B0F89A5" w:rsidR="00343C83" w:rsidRPr="0015591A" w:rsidRDefault="00E67BE6">
            <w:r w:rsidRPr="0015591A">
              <w:t xml:space="preserve">Fat (g/day) </w:t>
            </w:r>
            <w:r w:rsidR="004705AB" w:rsidRPr="0015591A">
              <w:t>[less than]</w:t>
            </w:r>
          </w:p>
        </w:tc>
        <w:tc>
          <w:tcPr>
            <w:tcW w:w="3172" w:type="dxa"/>
          </w:tcPr>
          <w:p w14:paraId="4511D48B" w14:textId="76600BD7" w:rsidR="00343C83" w:rsidRPr="0015591A" w:rsidRDefault="004705AB">
            <w:r w:rsidRPr="0015591A">
              <w:t>89</w:t>
            </w:r>
          </w:p>
        </w:tc>
        <w:tc>
          <w:tcPr>
            <w:tcW w:w="2745" w:type="dxa"/>
          </w:tcPr>
          <w:p w14:paraId="159BB64B" w14:textId="3C52A66B" w:rsidR="00343C83" w:rsidRPr="0015591A" w:rsidRDefault="004705AB">
            <w:r w:rsidRPr="0015591A">
              <w:t>72</w:t>
            </w:r>
          </w:p>
        </w:tc>
      </w:tr>
      <w:tr w:rsidR="00343C83" w:rsidRPr="0015591A" w14:paraId="47F84C88" w14:textId="5E8D0BE8" w:rsidTr="00343C83">
        <w:tc>
          <w:tcPr>
            <w:tcW w:w="3099" w:type="dxa"/>
          </w:tcPr>
          <w:p w14:paraId="061505C6" w14:textId="67C1E4F8" w:rsidR="00343C83" w:rsidRPr="0015591A" w:rsidRDefault="004705AB">
            <w:r w:rsidRPr="0015591A">
              <w:t>Saturated fat (g/day) [less than]</w:t>
            </w:r>
          </w:p>
        </w:tc>
        <w:tc>
          <w:tcPr>
            <w:tcW w:w="3172" w:type="dxa"/>
          </w:tcPr>
          <w:p w14:paraId="6F8B2431" w14:textId="181193D5" w:rsidR="00343C83" w:rsidRPr="0015591A" w:rsidRDefault="00DD4E5D">
            <w:r w:rsidRPr="0015591A">
              <w:t>28</w:t>
            </w:r>
          </w:p>
        </w:tc>
        <w:tc>
          <w:tcPr>
            <w:tcW w:w="2745" w:type="dxa"/>
          </w:tcPr>
          <w:p w14:paraId="640EA0A4" w14:textId="25B49989" w:rsidR="00343C83" w:rsidRPr="0015591A" w:rsidRDefault="00DD4E5D">
            <w:r w:rsidRPr="0015591A">
              <w:t>23</w:t>
            </w:r>
          </w:p>
        </w:tc>
      </w:tr>
      <w:tr w:rsidR="006E672F" w:rsidRPr="0015591A" w14:paraId="00DE302D" w14:textId="77777777" w:rsidTr="00343C83">
        <w:tc>
          <w:tcPr>
            <w:tcW w:w="3099" w:type="dxa"/>
          </w:tcPr>
          <w:p w14:paraId="4E714E8B" w14:textId="7627721E" w:rsidR="006E672F" w:rsidRPr="0015591A" w:rsidRDefault="00C271DC">
            <w:r w:rsidRPr="0015591A">
              <w:t>Carbohydrate (g/day) [at least]</w:t>
            </w:r>
          </w:p>
        </w:tc>
        <w:tc>
          <w:tcPr>
            <w:tcW w:w="3172" w:type="dxa"/>
          </w:tcPr>
          <w:p w14:paraId="6BDEFC51" w14:textId="6964F678" w:rsidR="006E672F" w:rsidRPr="0015591A" w:rsidRDefault="0030455A">
            <w:r w:rsidRPr="0015591A">
              <w:t>306</w:t>
            </w:r>
          </w:p>
        </w:tc>
        <w:tc>
          <w:tcPr>
            <w:tcW w:w="2745" w:type="dxa"/>
          </w:tcPr>
          <w:p w14:paraId="648296C0" w14:textId="5ABB05BC" w:rsidR="006E672F" w:rsidRPr="0015591A" w:rsidRDefault="0030455A">
            <w:r w:rsidRPr="0015591A">
              <w:t>245</w:t>
            </w:r>
          </w:p>
        </w:tc>
      </w:tr>
      <w:tr w:rsidR="006E672F" w:rsidRPr="0015591A" w14:paraId="1F1A702E" w14:textId="77777777" w:rsidTr="00343C83">
        <w:tc>
          <w:tcPr>
            <w:tcW w:w="3099" w:type="dxa"/>
          </w:tcPr>
          <w:p w14:paraId="477AA7B3" w14:textId="18485660" w:rsidR="006E672F" w:rsidRPr="0015591A" w:rsidRDefault="0030455A">
            <w:r w:rsidRPr="0015591A">
              <w:lastRenderedPageBreak/>
              <w:t>Free sugars (g/day) [less than]</w:t>
            </w:r>
          </w:p>
        </w:tc>
        <w:tc>
          <w:tcPr>
            <w:tcW w:w="3172" w:type="dxa"/>
          </w:tcPr>
          <w:p w14:paraId="478057DE" w14:textId="6982630C" w:rsidR="006E672F" w:rsidRPr="0015591A" w:rsidRDefault="006F3683">
            <w:r w:rsidRPr="0015591A">
              <w:t>31</w:t>
            </w:r>
          </w:p>
        </w:tc>
        <w:tc>
          <w:tcPr>
            <w:tcW w:w="2745" w:type="dxa"/>
          </w:tcPr>
          <w:p w14:paraId="21B7B153" w14:textId="15926768" w:rsidR="006E672F" w:rsidRPr="0015591A" w:rsidRDefault="006F3683">
            <w:r w:rsidRPr="0015591A">
              <w:t>25</w:t>
            </w:r>
          </w:p>
        </w:tc>
      </w:tr>
      <w:tr w:rsidR="006E672F" w:rsidRPr="0015591A" w14:paraId="66FF0C12" w14:textId="77777777" w:rsidTr="00343C83">
        <w:tc>
          <w:tcPr>
            <w:tcW w:w="3099" w:type="dxa"/>
          </w:tcPr>
          <w:p w14:paraId="7D15FCEC" w14:textId="63502F38" w:rsidR="006E672F" w:rsidRPr="0015591A" w:rsidRDefault="006F3683">
            <w:r w:rsidRPr="0015591A">
              <w:t>Salt (g/day) [less than]</w:t>
            </w:r>
          </w:p>
        </w:tc>
        <w:tc>
          <w:tcPr>
            <w:tcW w:w="3172" w:type="dxa"/>
          </w:tcPr>
          <w:p w14:paraId="4F94E49E" w14:textId="2767E0D8" w:rsidR="006E672F" w:rsidRPr="0015591A" w:rsidRDefault="00D46B72">
            <w:r>
              <w:t>6.0</w:t>
            </w:r>
          </w:p>
        </w:tc>
        <w:tc>
          <w:tcPr>
            <w:tcW w:w="2745" w:type="dxa"/>
          </w:tcPr>
          <w:p w14:paraId="1E13570B" w14:textId="76BE7872" w:rsidR="006E672F" w:rsidRPr="0015591A" w:rsidRDefault="00D46B72">
            <w:r>
              <w:t>6.0</w:t>
            </w:r>
          </w:p>
        </w:tc>
      </w:tr>
      <w:tr w:rsidR="006F3683" w:rsidRPr="0015591A" w14:paraId="6FBE9068" w14:textId="77777777" w:rsidTr="00343C83">
        <w:tc>
          <w:tcPr>
            <w:tcW w:w="3099" w:type="dxa"/>
          </w:tcPr>
          <w:p w14:paraId="115FDE0A" w14:textId="62C12A67" w:rsidR="006F3683" w:rsidRPr="0015591A" w:rsidRDefault="00397315">
            <w:r w:rsidRPr="0015591A">
              <w:t xml:space="preserve">Dietary fibre (g/day) </w:t>
            </w:r>
          </w:p>
        </w:tc>
        <w:tc>
          <w:tcPr>
            <w:tcW w:w="3172" w:type="dxa"/>
          </w:tcPr>
          <w:p w14:paraId="25D5E254" w14:textId="28052951" w:rsidR="006F3683" w:rsidRPr="0015591A" w:rsidRDefault="00397315">
            <w:r w:rsidRPr="0015591A">
              <w:t>30</w:t>
            </w:r>
          </w:p>
        </w:tc>
        <w:tc>
          <w:tcPr>
            <w:tcW w:w="2745" w:type="dxa"/>
          </w:tcPr>
          <w:p w14:paraId="195868F0" w14:textId="78FFF3E9" w:rsidR="006F3683" w:rsidRPr="0015591A" w:rsidRDefault="00397315">
            <w:r w:rsidRPr="0015591A">
              <w:t>30</w:t>
            </w:r>
          </w:p>
        </w:tc>
      </w:tr>
      <w:tr w:rsidR="005C60D8" w:rsidRPr="0015591A" w14:paraId="5995BEC8" w14:textId="77777777" w:rsidTr="005E7AAB">
        <w:tc>
          <w:tcPr>
            <w:tcW w:w="9016" w:type="dxa"/>
            <w:gridSpan w:val="3"/>
          </w:tcPr>
          <w:p w14:paraId="3F7A8038" w14:textId="3E579F71" w:rsidR="005C60D8" w:rsidRPr="0015591A" w:rsidRDefault="005C60D8">
            <w:r w:rsidRPr="0015591A">
              <w:t xml:space="preserve">Vitamins </w:t>
            </w:r>
          </w:p>
        </w:tc>
      </w:tr>
      <w:tr w:rsidR="005C60D8" w:rsidRPr="0015591A" w14:paraId="50B404C1" w14:textId="77777777" w:rsidTr="00343C83">
        <w:tc>
          <w:tcPr>
            <w:tcW w:w="3099" w:type="dxa"/>
          </w:tcPr>
          <w:p w14:paraId="2CFD3119" w14:textId="779A8FCD" w:rsidR="005C60D8" w:rsidRPr="0015591A" w:rsidRDefault="00BE723F">
            <w:r w:rsidRPr="0015591A">
              <w:t xml:space="preserve">Vitamin A </w:t>
            </w:r>
            <w:r w:rsidR="00EA1BC9" w:rsidRPr="0015591A">
              <w:t>(µg/day)</w:t>
            </w:r>
          </w:p>
        </w:tc>
        <w:tc>
          <w:tcPr>
            <w:tcW w:w="3172" w:type="dxa"/>
          </w:tcPr>
          <w:p w14:paraId="08515464" w14:textId="3EBFD4EE" w:rsidR="005C60D8" w:rsidRPr="0015591A" w:rsidRDefault="0059299B">
            <w:r w:rsidRPr="0015591A">
              <w:t>700</w:t>
            </w:r>
          </w:p>
        </w:tc>
        <w:tc>
          <w:tcPr>
            <w:tcW w:w="2745" w:type="dxa"/>
          </w:tcPr>
          <w:p w14:paraId="331F3EAB" w14:textId="65115A0C" w:rsidR="005C60D8" w:rsidRPr="0015591A" w:rsidRDefault="0059299B">
            <w:r w:rsidRPr="0015591A">
              <w:t>600</w:t>
            </w:r>
          </w:p>
        </w:tc>
      </w:tr>
      <w:tr w:rsidR="005C60D8" w:rsidRPr="0015591A" w14:paraId="299C51AA" w14:textId="77777777" w:rsidTr="00343C83">
        <w:tc>
          <w:tcPr>
            <w:tcW w:w="3099" w:type="dxa"/>
          </w:tcPr>
          <w:p w14:paraId="213A1827" w14:textId="714D824C" w:rsidR="005C60D8" w:rsidRPr="0015591A" w:rsidRDefault="00EA1BC9">
            <w:r w:rsidRPr="0015591A">
              <w:t>Vitamin B</w:t>
            </w:r>
            <w:r w:rsidRPr="0015591A">
              <w:rPr>
                <w:vertAlign w:val="subscript"/>
              </w:rPr>
              <w:t>12</w:t>
            </w:r>
            <w:r w:rsidRPr="0015591A">
              <w:t xml:space="preserve"> (µg/day)</w:t>
            </w:r>
          </w:p>
        </w:tc>
        <w:tc>
          <w:tcPr>
            <w:tcW w:w="3172" w:type="dxa"/>
          </w:tcPr>
          <w:p w14:paraId="4CBD4DC2" w14:textId="272BCD79" w:rsidR="005C60D8" w:rsidRPr="0015591A" w:rsidRDefault="0059299B">
            <w:r w:rsidRPr="0015591A">
              <w:t>1.5</w:t>
            </w:r>
          </w:p>
        </w:tc>
        <w:tc>
          <w:tcPr>
            <w:tcW w:w="2745" w:type="dxa"/>
          </w:tcPr>
          <w:p w14:paraId="155CF128" w14:textId="3227EFBA" w:rsidR="005C60D8" w:rsidRPr="0015591A" w:rsidRDefault="0059299B">
            <w:r w:rsidRPr="0015591A">
              <w:t>1.5</w:t>
            </w:r>
          </w:p>
        </w:tc>
      </w:tr>
      <w:tr w:rsidR="005C60D8" w:rsidRPr="0015591A" w14:paraId="3A438AD0" w14:textId="77777777" w:rsidTr="00343C83">
        <w:tc>
          <w:tcPr>
            <w:tcW w:w="3099" w:type="dxa"/>
          </w:tcPr>
          <w:p w14:paraId="79F4C7F3" w14:textId="4050E27F" w:rsidR="005C60D8" w:rsidRPr="0015591A" w:rsidRDefault="00FF2A24">
            <w:r w:rsidRPr="0015591A">
              <w:t>Vitamin C (mg/day)</w:t>
            </w:r>
          </w:p>
        </w:tc>
        <w:tc>
          <w:tcPr>
            <w:tcW w:w="3172" w:type="dxa"/>
          </w:tcPr>
          <w:p w14:paraId="3EA7A97E" w14:textId="211E374D" w:rsidR="005C60D8" w:rsidRPr="0015591A" w:rsidRDefault="009A6863">
            <w:r w:rsidRPr="0015591A">
              <w:t>40</w:t>
            </w:r>
          </w:p>
        </w:tc>
        <w:tc>
          <w:tcPr>
            <w:tcW w:w="2745" w:type="dxa"/>
          </w:tcPr>
          <w:p w14:paraId="411E161F" w14:textId="654B5A11" w:rsidR="005C60D8" w:rsidRPr="0015591A" w:rsidRDefault="009A6863">
            <w:r w:rsidRPr="0015591A">
              <w:t>40</w:t>
            </w:r>
          </w:p>
        </w:tc>
      </w:tr>
      <w:tr w:rsidR="005C60D8" w:rsidRPr="0015591A" w14:paraId="54491377" w14:textId="77777777" w:rsidTr="00343C83">
        <w:tc>
          <w:tcPr>
            <w:tcW w:w="3099" w:type="dxa"/>
          </w:tcPr>
          <w:p w14:paraId="35FCDB74" w14:textId="509D6BF6" w:rsidR="005C60D8" w:rsidRPr="0015591A" w:rsidRDefault="00FF2A24">
            <w:r w:rsidRPr="0015591A">
              <w:t>Vitamin D (µg/day)</w:t>
            </w:r>
          </w:p>
        </w:tc>
        <w:tc>
          <w:tcPr>
            <w:tcW w:w="3172" w:type="dxa"/>
          </w:tcPr>
          <w:p w14:paraId="407BB1F4" w14:textId="0B78BFB1" w:rsidR="005C60D8" w:rsidRPr="0015591A" w:rsidRDefault="009A6863">
            <w:r w:rsidRPr="0015591A">
              <w:t>10</w:t>
            </w:r>
          </w:p>
        </w:tc>
        <w:tc>
          <w:tcPr>
            <w:tcW w:w="2745" w:type="dxa"/>
          </w:tcPr>
          <w:p w14:paraId="6466BC0C" w14:textId="75E1AB3C" w:rsidR="005C60D8" w:rsidRPr="0015591A" w:rsidRDefault="009A6863">
            <w:r w:rsidRPr="0015591A">
              <w:t>10</w:t>
            </w:r>
          </w:p>
        </w:tc>
      </w:tr>
      <w:tr w:rsidR="009A6863" w:rsidRPr="0015591A" w14:paraId="63649EB6" w14:textId="77777777" w:rsidTr="00565ECA">
        <w:tc>
          <w:tcPr>
            <w:tcW w:w="9016" w:type="dxa"/>
            <w:gridSpan w:val="3"/>
          </w:tcPr>
          <w:p w14:paraId="2E2BDA5B" w14:textId="135C8A81" w:rsidR="009A6863" w:rsidRPr="0015591A" w:rsidRDefault="009A6863">
            <w:r w:rsidRPr="0015591A">
              <w:t>Minerals</w:t>
            </w:r>
          </w:p>
        </w:tc>
      </w:tr>
      <w:tr w:rsidR="009A6863" w:rsidRPr="0015591A" w14:paraId="06F198E4" w14:textId="77777777" w:rsidTr="00343C83">
        <w:tc>
          <w:tcPr>
            <w:tcW w:w="3099" w:type="dxa"/>
          </w:tcPr>
          <w:p w14:paraId="0FEFEAC5" w14:textId="3B9EBB2F" w:rsidR="009A6863" w:rsidRPr="0015591A" w:rsidRDefault="005232D5">
            <w:r w:rsidRPr="0015591A">
              <w:t>Iron (mg/d)</w:t>
            </w:r>
          </w:p>
        </w:tc>
        <w:tc>
          <w:tcPr>
            <w:tcW w:w="3172" w:type="dxa"/>
          </w:tcPr>
          <w:p w14:paraId="020E5426" w14:textId="20A1D23D" w:rsidR="009A6863" w:rsidRPr="0015591A" w:rsidRDefault="009851E0">
            <w:r w:rsidRPr="0015591A">
              <w:t>8.7</w:t>
            </w:r>
          </w:p>
        </w:tc>
        <w:tc>
          <w:tcPr>
            <w:tcW w:w="2745" w:type="dxa"/>
          </w:tcPr>
          <w:p w14:paraId="7ABEDB57" w14:textId="7E356C44" w:rsidR="009A6863" w:rsidRPr="0015591A" w:rsidRDefault="009851E0">
            <w:r w:rsidRPr="0015591A">
              <w:t>8.7</w:t>
            </w:r>
          </w:p>
        </w:tc>
      </w:tr>
      <w:tr w:rsidR="009A6863" w:rsidRPr="0015591A" w14:paraId="75B2229E" w14:textId="77777777" w:rsidTr="00343C83">
        <w:tc>
          <w:tcPr>
            <w:tcW w:w="3099" w:type="dxa"/>
          </w:tcPr>
          <w:p w14:paraId="67E46E41" w14:textId="133DD52F" w:rsidR="009A6863" w:rsidRPr="0015591A" w:rsidRDefault="005232D5">
            <w:r w:rsidRPr="0015591A">
              <w:t xml:space="preserve">Calcium (mg/day) </w:t>
            </w:r>
          </w:p>
        </w:tc>
        <w:tc>
          <w:tcPr>
            <w:tcW w:w="3172" w:type="dxa"/>
          </w:tcPr>
          <w:p w14:paraId="4166A4FB" w14:textId="26B02919" w:rsidR="009A6863" w:rsidRPr="0015591A" w:rsidRDefault="00BE22CC">
            <w:r w:rsidRPr="0015591A">
              <w:t>700</w:t>
            </w:r>
          </w:p>
        </w:tc>
        <w:tc>
          <w:tcPr>
            <w:tcW w:w="2745" w:type="dxa"/>
          </w:tcPr>
          <w:p w14:paraId="19D40435" w14:textId="374FA72C" w:rsidR="009A6863" w:rsidRPr="0015591A" w:rsidRDefault="00BE22CC">
            <w:r w:rsidRPr="0015591A">
              <w:t>700</w:t>
            </w:r>
          </w:p>
        </w:tc>
      </w:tr>
      <w:tr w:rsidR="005232D5" w:rsidRPr="0015591A" w14:paraId="6310E4FE" w14:textId="77777777" w:rsidTr="00343C83">
        <w:tc>
          <w:tcPr>
            <w:tcW w:w="3099" w:type="dxa"/>
          </w:tcPr>
          <w:p w14:paraId="31F6A130" w14:textId="1EC8B606" w:rsidR="005232D5" w:rsidRPr="0015591A" w:rsidRDefault="000F53E7">
            <w:r w:rsidRPr="0015591A">
              <w:t xml:space="preserve">Magnesium (mg/day) </w:t>
            </w:r>
          </w:p>
        </w:tc>
        <w:tc>
          <w:tcPr>
            <w:tcW w:w="3172" w:type="dxa"/>
          </w:tcPr>
          <w:p w14:paraId="5D928A13" w14:textId="1ADE6357" w:rsidR="005232D5" w:rsidRPr="0015591A" w:rsidRDefault="00C07858">
            <w:r w:rsidRPr="0015591A">
              <w:t>300</w:t>
            </w:r>
          </w:p>
        </w:tc>
        <w:tc>
          <w:tcPr>
            <w:tcW w:w="2745" w:type="dxa"/>
          </w:tcPr>
          <w:p w14:paraId="59C7DA5C" w14:textId="5258FD7D" w:rsidR="005232D5" w:rsidRPr="0015591A" w:rsidRDefault="00C07858" w:rsidP="00C07858">
            <w:pPr>
              <w:tabs>
                <w:tab w:val="center" w:pos="1264"/>
              </w:tabs>
            </w:pPr>
            <w:r w:rsidRPr="0015591A">
              <w:t>270</w:t>
            </w:r>
          </w:p>
        </w:tc>
      </w:tr>
      <w:tr w:rsidR="000F53E7" w:rsidRPr="0015591A" w14:paraId="29A63663" w14:textId="77777777" w:rsidTr="00343C83">
        <w:tc>
          <w:tcPr>
            <w:tcW w:w="3099" w:type="dxa"/>
          </w:tcPr>
          <w:p w14:paraId="42F567D5" w14:textId="0DF3AAC1" w:rsidR="000F53E7" w:rsidRPr="0015591A" w:rsidRDefault="000F53E7">
            <w:r w:rsidRPr="0015591A">
              <w:t xml:space="preserve">Potassium (mg/day) </w:t>
            </w:r>
          </w:p>
        </w:tc>
        <w:tc>
          <w:tcPr>
            <w:tcW w:w="3172" w:type="dxa"/>
          </w:tcPr>
          <w:p w14:paraId="5B9D2B0C" w14:textId="3F84FA39" w:rsidR="000F53E7" w:rsidRPr="0015591A" w:rsidRDefault="00C07858">
            <w:r w:rsidRPr="0015591A">
              <w:t>3500</w:t>
            </w:r>
          </w:p>
        </w:tc>
        <w:tc>
          <w:tcPr>
            <w:tcW w:w="2745" w:type="dxa"/>
          </w:tcPr>
          <w:p w14:paraId="37894EF1" w14:textId="3C98CD55" w:rsidR="000F53E7" w:rsidRPr="0015591A" w:rsidRDefault="00C07858">
            <w:r w:rsidRPr="0015591A">
              <w:t>3500</w:t>
            </w:r>
          </w:p>
        </w:tc>
      </w:tr>
      <w:tr w:rsidR="000F53E7" w:rsidRPr="0015591A" w14:paraId="42D44A15" w14:textId="77777777" w:rsidTr="00343C83">
        <w:tc>
          <w:tcPr>
            <w:tcW w:w="3099" w:type="dxa"/>
          </w:tcPr>
          <w:p w14:paraId="02874B59" w14:textId="68DCD539" w:rsidR="000F53E7" w:rsidRPr="0015591A" w:rsidRDefault="009851E0">
            <w:r w:rsidRPr="0015591A">
              <w:t>Zinc (mg/day)</w:t>
            </w:r>
          </w:p>
        </w:tc>
        <w:tc>
          <w:tcPr>
            <w:tcW w:w="3172" w:type="dxa"/>
          </w:tcPr>
          <w:p w14:paraId="1B62576C" w14:textId="017FB7C6" w:rsidR="000F53E7" w:rsidRPr="0015591A" w:rsidRDefault="00C07858">
            <w:r w:rsidRPr="0015591A">
              <w:t>9.5</w:t>
            </w:r>
          </w:p>
        </w:tc>
        <w:tc>
          <w:tcPr>
            <w:tcW w:w="2745" w:type="dxa"/>
          </w:tcPr>
          <w:p w14:paraId="26C085A8" w14:textId="58DB0029" w:rsidR="000F53E7" w:rsidRPr="0015591A" w:rsidRDefault="00C07858">
            <w:r w:rsidRPr="0015591A">
              <w:t>7.0</w:t>
            </w:r>
          </w:p>
        </w:tc>
      </w:tr>
    </w:tbl>
    <w:p w14:paraId="459CB221" w14:textId="37231A24" w:rsidR="00FA0ED2" w:rsidRPr="00FA0ED2" w:rsidRDefault="00FA0ED2">
      <w:pPr>
        <w:rPr>
          <w:sz w:val="20"/>
          <w:szCs w:val="20"/>
        </w:rPr>
      </w:pPr>
      <w:r>
        <w:rPr>
          <w:sz w:val="20"/>
          <w:szCs w:val="20"/>
        </w:rPr>
        <w:t xml:space="preserve">Note: 75+ category used as this </w:t>
      </w:r>
      <w:r w:rsidR="00EF3FC5">
        <w:rPr>
          <w:sz w:val="20"/>
          <w:szCs w:val="20"/>
        </w:rPr>
        <w:t xml:space="preserve">most closely represents the demographic; no specific 70+ category exists. </w:t>
      </w:r>
    </w:p>
    <w:p w14:paraId="01DA5626" w14:textId="15DA3DD1" w:rsidR="005D2280" w:rsidRPr="0015591A" w:rsidRDefault="006A3EBC">
      <w:r w:rsidRPr="0015591A">
        <w:t xml:space="preserve">While the nutrients discussed above are important, the effectiveness of these recommendations depends on how the DRVs are structured and communicated. </w:t>
      </w:r>
      <w:r w:rsidR="00344E85" w:rsidRPr="0015591A">
        <w:t>One good point of the Dietary Reference Value</w:t>
      </w:r>
      <w:r w:rsidR="00A348B8" w:rsidRPr="0015591A">
        <w:t>s and advice for the over 70s is how precise they are</w:t>
      </w:r>
      <w:r w:rsidR="00D60D4F" w:rsidRPr="0015591A">
        <w:t xml:space="preserve"> (</w:t>
      </w:r>
      <w:r w:rsidR="00D85B4F" w:rsidRPr="0015591A">
        <w:t>SACN, 2011</w:t>
      </w:r>
      <w:r w:rsidR="00D60D4F" w:rsidRPr="0015591A">
        <w:t>)</w:t>
      </w:r>
      <w:r w:rsidR="00A348B8" w:rsidRPr="0015591A">
        <w:t xml:space="preserve">. The NHS </w:t>
      </w:r>
      <w:r w:rsidR="007B2A1B" w:rsidRPr="0015591A">
        <w:t xml:space="preserve">(2022) </w:t>
      </w:r>
      <w:r w:rsidR="00A348B8" w:rsidRPr="0015591A">
        <w:t xml:space="preserve">recommends people of any age to eat 2,000 calories (women) and 2,500 (men). </w:t>
      </w:r>
      <w:r w:rsidR="00834537" w:rsidRPr="0015591A">
        <w:t>The calori</w:t>
      </w:r>
      <w:r w:rsidR="00210481" w:rsidRPr="0015591A">
        <w:t>c</w:t>
      </w:r>
      <w:r w:rsidR="00834537" w:rsidRPr="0015591A">
        <w:t xml:space="preserve"> guidelines are too broad and do</w:t>
      </w:r>
      <w:r w:rsidR="00EC7873">
        <w:t xml:space="preserve"> not</w:t>
      </w:r>
      <w:r w:rsidR="00834537" w:rsidRPr="0015591A">
        <w:t xml:space="preserve"> account for</w:t>
      </w:r>
      <w:r w:rsidR="00A4674B" w:rsidRPr="0015591A">
        <w:t xml:space="preserve"> people</w:t>
      </w:r>
      <w:r w:rsidR="00834537" w:rsidRPr="0015591A">
        <w:t xml:space="preserve"> needing less as they get older </w:t>
      </w:r>
      <w:r w:rsidR="0059109B" w:rsidRPr="0015591A">
        <w:t>and the physical changes that happen</w:t>
      </w:r>
      <w:r w:rsidR="00834537" w:rsidRPr="0015591A">
        <w:t xml:space="preserve">. The </w:t>
      </w:r>
      <w:r w:rsidR="00C26FCF" w:rsidRPr="0015591A">
        <w:t>DRVs</w:t>
      </w:r>
      <w:r w:rsidR="00834537" w:rsidRPr="0015591A">
        <w:t xml:space="preserve"> are more specific and look at each age group and </w:t>
      </w:r>
      <w:r w:rsidR="00814F6C" w:rsidRPr="0015591A">
        <w:t>the caloric requirements</w:t>
      </w:r>
      <w:r w:rsidR="00D60D4F" w:rsidRPr="0015591A">
        <w:t xml:space="preserve"> (Public Health England, 2016)</w:t>
      </w:r>
      <w:r w:rsidR="00814F6C" w:rsidRPr="0015591A">
        <w:t xml:space="preserve">. </w:t>
      </w:r>
      <w:r w:rsidR="00197D3F" w:rsidRPr="0015591A">
        <w:t>The guidelines acknowledge that as people age</w:t>
      </w:r>
      <w:r w:rsidR="000A0203">
        <w:t>,</w:t>
      </w:r>
      <w:r w:rsidR="00197D3F" w:rsidRPr="0015591A">
        <w:t xml:space="preserve"> they lose muscle mass and need to eat less. </w:t>
      </w:r>
      <w:r w:rsidR="00F37028" w:rsidRPr="0015591A">
        <w:t xml:space="preserve">This also gives dietitians and </w:t>
      </w:r>
      <w:r w:rsidR="006374D2" w:rsidRPr="0015591A">
        <w:t>geriatricians</w:t>
      </w:r>
      <w:r w:rsidR="00BE56D1" w:rsidRPr="0015591A">
        <w:t xml:space="preserve"> a baseline for their clients</w:t>
      </w:r>
      <w:r w:rsidR="00FF55CB">
        <w:t>,</w:t>
      </w:r>
      <w:r w:rsidR="00BE56D1" w:rsidRPr="0015591A">
        <w:t xml:space="preserve"> so they know if they are eating less than the guidelines,</w:t>
      </w:r>
      <w:r w:rsidR="00F37028" w:rsidRPr="0015591A">
        <w:t xml:space="preserve"> they could be undernourished</w:t>
      </w:r>
      <w:r w:rsidR="00C9550E" w:rsidRPr="0015591A">
        <w:t xml:space="preserve"> </w:t>
      </w:r>
      <w:r w:rsidR="00F31807" w:rsidRPr="0015591A">
        <w:t xml:space="preserve">(Norman, </w:t>
      </w:r>
      <w:proofErr w:type="spellStart"/>
      <w:r w:rsidR="00F31807" w:rsidRPr="0015591A">
        <w:t>Haß</w:t>
      </w:r>
      <w:proofErr w:type="spellEnd"/>
      <w:r w:rsidR="00F31807" w:rsidRPr="0015591A">
        <w:t xml:space="preserve"> and </w:t>
      </w:r>
      <w:proofErr w:type="spellStart"/>
      <w:r w:rsidR="00F31807" w:rsidRPr="0015591A">
        <w:t>Pirlich</w:t>
      </w:r>
      <w:proofErr w:type="spellEnd"/>
      <w:r w:rsidR="00F31807" w:rsidRPr="0015591A">
        <w:t>, 2021)</w:t>
      </w:r>
      <w:r w:rsidR="00F37028" w:rsidRPr="0015591A">
        <w:t xml:space="preserve">. </w:t>
      </w:r>
      <w:r w:rsidR="00BE56D1" w:rsidRPr="0015591A">
        <w:t>Although the requirements are more specific than the NHS guidelines</w:t>
      </w:r>
      <w:r w:rsidR="005864DF" w:rsidRPr="0015591A">
        <w:t>,</w:t>
      </w:r>
      <w:r w:rsidR="00BE56D1" w:rsidRPr="0015591A">
        <w:t xml:space="preserve"> it </w:t>
      </w:r>
      <w:r w:rsidR="00210481" w:rsidRPr="0015591A">
        <w:t xml:space="preserve">could also be </w:t>
      </w:r>
      <w:r w:rsidR="000A0203">
        <w:t>seen as a limitation</w:t>
      </w:r>
      <w:r w:rsidR="00210481" w:rsidRPr="0015591A">
        <w:t>.</w:t>
      </w:r>
      <w:r w:rsidR="00BE56D1" w:rsidRPr="0015591A">
        <w:t xml:space="preserve"> </w:t>
      </w:r>
      <w:r w:rsidR="00420A1A" w:rsidRPr="0015591A">
        <w:t>It does not look at the person as an individual</w:t>
      </w:r>
      <w:r w:rsidR="005864DF" w:rsidRPr="0015591A">
        <w:t xml:space="preserve"> (Public Health England, 2022)</w:t>
      </w:r>
      <w:r w:rsidR="00420A1A" w:rsidRPr="0015591A">
        <w:t xml:space="preserve">. </w:t>
      </w:r>
      <w:r w:rsidR="006A6A57" w:rsidRPr="0015591A">
        <w:t xml:space="preserve">The lack of personalised nutritional care is one of the aspects that leads to malnutrition, which </w:t>
      </w:r>
      <w:r w:rsidR="00D00010" w:rsidRPr="0015591A">
        <w:t xml:space="preserve">Geirsdóttir and Bell (2021) state costs England £19.6 billion annually. This shows that the current </w:t>
      </w:r>
      <w:r w:rsidR="00210481" w:rsidRPr="0015591A">
        <w:t xml:space="preserve">NHS </w:t>
      </w:r>
      <w:r w:rsidR="00D00010" w:rsidRPr="0015591A">
        <w:t xml:space="preserve">guidelines are not just a health risk, but a major financial burden as well. </w:t>
      </w:r>
      <w:r w:rsidR="00620F40" w:rsidRPr="0015591A">
        <w:t>If they eat the same calories</w:t>
      </w:r>
      <w:r w:rsidR="009B6758" w:rsidRPr="0015591A">
        <w:t>,</w:t>
      </w:r>
      <w:r w:rsidR="00620F40" w:rsidRPr="0015591A">
        <w:t xml:space="preserve"> it w</w:t>
      </w:r>
      <w:r w:rsidR="00EC7873">
        <w:t xml:space="preserve">ill not </w:t>
      </w:r>
      <w:r w:rsidR="00620F40" w:rsidRPr="0015591A">
        <w:t xml:space="preserve">be enough to meet their Total Energy Expenditure (TEE). </w:t>
      </w:r>
      <w:r w:rsidR="00C31BBD" w:rsidRPr="0015591A">
        <w:t xml:space="preserve">If </w:t>
      </w:r>
      <w:r w:rsidR="009B6758" w:rsidRPr="0015591A">
        <w:t>they eat the same calories no matter height or activity level,</w:t>
      </w:r>
      <w:r w:rsidR="00C31BBD" w:rsidRPr="0015591A">
        <w:t xml:space="preserve"> they will lose weight unintentionally</w:t>
      </w:r>
      <w:r w:rsidR="00B66EA6" w:rsidRPr="0015591A">
        <w:t xml:space="preserve"> (Coelho-Júnior et al., 2024)</w:t>
      </w:r>
      <w:r w:rsidR="009B6758" w:rsidRPr="0015591A">
        <w:t>. This weight is muscle mass</w:t>
      </w:r>
      <w:r w:rsidR="00FF55CB">
        <w:t>,</w:t>
      </w:r>
      <w:r w:rsidR="009B6758" w:rsidRPr="0015591A">
        <w:t xml:space="preserve"> which can lead to frailty and </w:t>
      </w:r>
      <w:r w:rsidR="00210481" w:rsidRPr="0015591A">
        <w:t xml:space="preserve">a </w:t>
      </w:r>
      <w:r w:rsidR="009B6758" w:rsidRPr="0015591A">
        <w:t>higher risk of falls</w:t>
      </w:r>
      <w:r w:rsidR="0002721D" w:rsidRPr="0015591A">
        <w:t xml:space="preserve"> (Papadopoulou, 2020)</w:t>
      </w:r>
      <w:r w:rsidR="009B6758" w:rsidRPr="0015591A">
        <w:t xml:space="preserve">. </w:t>
      </w:r>
      <w:r w:rsidR="00B45194" w:rsidRPr="0015591A">
        <w:t xml:space="preserve">These targets are based on the population average created by Public Health England (2016), which acts as a phantom individual. While this helps create a standard, it ignores the reality that no two </w:t>
      </w:r>
      <w:r w:rsidR="00D60D4F" w:rsidRPr="0015591A">
        <w:t>70-year-olds</w:t>
      </w:r>
      <w:r w:rsidR="00B45194" w:rsidRPr="0015591A">
        <w:t xml:space="preserve"> are the same.</w:t>
      </w:r>
    </w:p>
    <w:p w14:paraId="2AF2C9DF" w14:textId="00AFEBB3" w:rsidR="00F31807" w:rsidRPr="0015591A" w:rsidRDefault="00F31807">
      <w:r w:rsidRPr="0015591A">
        <w:t xml:space="preserve">Another good point is that </w:t>
      </w:r>
      <w:r w:rsidR="00D0272C" w:rsidRPr="0015591A">
        <w:t xml:space="preserve">the </w:t>
      </w:r>
      <w:r w:rsidR="00C26FCF" w:rsidRPr="0015591A">
        <w:t>DRVs</w:t>
      </w:r>
      <w:r w:rsidR="00D0272C" w:rsidRPr="0015591A">
        <w:t xml:space="preserve"> are very accessible to older adults</w:t>
      </w:r>
      <w:r w:rsidR="00F905CA" w:rsidRPr="0015591A">
        <w:t xml:space="preserve"> (Public Health England, 2016)</w:t>
      </w:r>
      <w:r w:rsidR="00D0272C" w:rsidRPr="0015591A">
        <w:t>. These numbers are on a public website</w:t>
      </w:r>
      <w:r w:rsidR="00455C93" w:rsidRPr="0015591A">
        <w:t>,</w:t>
      </w:r>
      <w:r w:rsidR="00D0272C" w:rsidRPr="0015591A">
        <w:t xml:space="preserve"> a son, daughter, carer, or even themselves can easily access them. </w:t>
      </w:r>
      <w:r w:rsidR="00721C67" w:rsidRPr="0015591A">
        <w:t xml:space="preserve">Families can advocate for </w:t>
      </w:r>
      <w:r w:rsidR="00455C93" w:rsidRPr="0015591A">
        <w:t>someone,</w:t>
      </w:r>
      <w:r w:rsidR="00721C67" w:rsidRPr="0015591A">
        <w:t xml:space="preserve"> or it helps a medical professional to know what that person should be doing or aiming for</w:t>
      </w:r>
      <w:r w:rsidR="00086392" w:rsidRPr="0015591A">
        <w:t xml:space="preserve">. </w:t>
      </w:r>
      <w:r w:rsidR="002C4CC5" w:rsidRPr="0015591A">
        <w:t xml:space="preserve">Moore (2018) states </w:t>
      </w:r>
      <w:r w:rsidR="002C4CC5" w:rsidRPr="0015591A">
        <w:lastRenderedPageBreak/>
        <w:t xml:space="preserve">that older adults need family members to help them monitor their intake to ensure they are meeting their nutritional requirements. </w:t>
      </w:r>
      <w:r w:rsidR="00553007" w:rsidRPr="0015591A">
        <w:t>Silva et al. (20</w:t>
      </w:r>
      <w:r w:rsidR="002A7BE6" w:rsidRPr="0015591A">
        <w:t>23</w:t>
      </w:r>
      <w:r w:rsidR="00553007" w:rsidRPr="0015591A">
        <w:t xml:space="preserve">) explain that people are unsure about what they should eat </w:t>
      </w:r>
      <w:r w:rsidR="00703D18" w:rsidRPr="0015591A">
        <w:t>every day</w:t>
      </w:r>
      <w:r w:rsidR="00553007" w:rsidRPr="0015591A">
        <w:t xml:space="preserve"> for health. The </w:t>
      </w:r>
      <w:r w:rsidR="003C31C7" w:rsidRPr="0015591A">
        <w:t>science-based information out there</w:t>
      </w:r>
      <w:r w:rsidR="006D1244" w:rsidRPr="0015591A">
        <w:t xml:space="preserve"> can be overwhelming, and people </w:t>
      </w:r>
      <w:r w:rsidR="005F421F" w:rsidRPr="0015591A">
        <w:t xml:space="preserve">can </w:t>
      </w:r>
      <w:r w:rsidR="006D1244" w:rsidRPr="0015591A">
        <w:t>struggle with it</w:t>
      </w:r>
      <w:r w:rsidR="003C31C7" w:rsidRPr="0015591A">
        <w:t xml:space="preserve">. </w:t>
      </w:r>
      <w:r w:rsidR="00221729" w:rsidRPr="0015591A">
        <w:t>If older adults can use the numbers to stay healthy</w:t>
      </w:r>
      <w:r w:rsidR="00C56039" w:rsidRPr="0015591A">
        <w:t>, this means</w:t>
      </w:r>
      <w:r w:rsidR="00221729" w:rsidRPr="0015591A">
        <w:t xml:space="preserve"> there are fewer </w:t>
      </w:r>
      <w:r w:rsidR="005B7ABF" w:rsidRPr="0015591A">
        <w:t>adults in A&amp;E with falls or fractures</w:t>
      </w:r>
      <w:r w:rsidR="0058410D" w:rsidRPr="0015591A">
        <w:t xml:space="preserve"> (Robinson et al., 2023; </w:t>
      </w:r>
      <w:r w:rsidR="00CF542F" w:rsidRPr="0015591A">
        <w:t>Coelho-Júnior et al., 2025)</w:t>
      </w:r>
      <w:r w:rsidR="005B7ABF" w:rsidRPr="0015591A">
        <w:t xml:space="preserve">. </w:t>
      </w:r>
      <w:r w:rsidR="00FF00C7" w:rsidRPr="0015591A">
        <w:t>This acts as a form of preventative nutrition, reducing the revolving door of hospital admissions and putting less pressure on the NHS</w:t>
      </w:r>
      <w:r w:rsidR="00CF542F" w:rsidRPr="0015591A">
        <w:t xml:space="preserve"> (Geirsdóttir and Bell, 2021; Kassis et al., 2023)</w:t>
      </w:r>
      <w:r w:rsidR="00FF00C7" w:rsidRPr="0015591A">
        <w:t>.</w:t>
      </w:r>
      <w:r w:rsidR="005B7ABF" w:rsidRPr="0015591A">
        <w:t xml:space="preserve"> </w:t>
      </w:r>
      <w:r w:rsidR="00AC4D98" w:rsidRPr="0015591A">
        <w:t>The guidelines are not perfectly individualise</w:t>
      </w:r>
      <w:r w:rsidR="00253C55" w:rsidRPr="0015591A">
        <w:t>d, but their simplicity</w:t>
      </w:r>
      <w:r w:rsidR="00343F30" w:rsidRPr="0015591A">
        <w:t xml:space="preserve"> addresses the issue of health literacy. </w:t>
      </w:r>
      <w:r w:rsidR="007E352A" w:rsidRPr="0015591A">
        <w:t xml:space="preserve">A basic guideline that someone can follow </w:t>
      </w:r>
      <w:r w:rsidR="00343F30" w:rsidRPr="0015591A">
        <w:t xml:space="preserve">is more effective for public health outcomes </w:t>
      </w:r>
      <w:r w:rsidR="00DE4FC6" w:rsidRPr="0015591A">
        <w:t>than a complex clinical model that is difficult to implement at home</w:t>
      </w:r>
      <w:r w:rsidR="00483D99" w:rsidRPr="0015591A">
        <w:t xml:space="preserve"> (Kaur et al., 2019)</w:t>
      </w:r>
      <w:r w:rsidR="00DE4FC6" w:rsidRPr="0015591A">
        <w:t xml:space="preserve">. </w:t>
      </w:r>
      <w:r w:rsidR="00892574" w:rsidRPr="0015591A">
        <w:t xml:space="preserve">Marmot et al. (2020) argue that reducing health inequalities remains a national priority and that achieving this requires empowering families and communities to take control of their own health. </w:t>
      </w:r>
    </w:p>
    <w:p w14:paraId="1A3A2309" w14:textId="4299104B" w:rsidR="00261F29" w:rsidRPr="0015591A" w:rsidRDefault="00A55650">
      <w:r w:rsidRPr="0015591A">
        <w:t xml:space="preserve">The last bad point about the guidelines is that the DRVs age category is broad. The last age category </w:t>
      </w:r>
      <w:r w:rsidR="00BE1791" w:rsidRPr="0015591A">
        <w:t xml:space="preserve">on the DRVs </w:t>
      </w:r>
      <w:r w:rsidRPr="0015591A">
        <w:t xml:space="preserve">is </w:t>
      </w:r>
      <w:r w:rsidR="00BE1791" w:rsidRPr="0015591A">
        <w:t xml:space="preserve">75+, which Norman, </w:t>
      </w:r>
      <w:proofErr w:type="spellStart"/>
      <w:r w:rsidR="00BE1791" w:rsidRPr="0015591A">
        <w:t>Haß</w:t>
      </w:r>
      <w:proofErr w:type="spellEnd"/>
      <w:r w:rsidR="00BE1791" w:rsidRPr="0015591A">
        <w:t xml:space="preserve">, and </w:t>
      </w:r>
      <w:proofErr w:type="spellStart"/>
      <w:r w:rsidR="00BE1791" w:rsidRPr="0015591A">
        <w:t>Pirlich</w:t>
      </w:r>
      <w:proofErr w:type="spellEnd"/>
      <w:r w:rsidR="00BE1791" w:rsidRPr="0015591A">
        <w:t xml:space="preserve"> (2021) identify as problematic because it lumps the oldest old and the youngest old into</w:t>
      </w:r>
      <w:r w:rsidRPr="0015591A">
        <w:t xml:space="preserve"> the same category. The biggest risk for an older person </w:t>
      </w:r>
      <w:r w:rsidR="008A79ED" w:rsidRPr="0015591A">
        <w:t xml:space="preserve">(80+) </w:t>
      </w:r>
      <w:r w:rsidRPr="0015591A">
        <w:t>is becoming frail and stopping eating altogether</w:t>
      </w:r>
      <w:r w:rsidR="008A79ED" w:rsidRPr="0015591A">
        <w:t>, which is why it is important for their calori</w:t>
      </w:r>
      <w:r w:rsidR="00210481" w:rsidRPr="0015591A">
        <w:t>c</w:t>
      </w:r>
      <w:r w:rsidR="008A79ED" w:rsidRPr="0015591A">
        <w:t xml:space="preserve"> intake to be lowered and made</w:t>
      </w:r>
      <w:r w:rsidRPr="0015591A">
        <w:t xml:space="preserve"> more achievable</w:t>
      </w:r>
      <w:r w:rsidR="00AA1030" w:rsidRPr="0015591A">
        <w:t xml:space="preserve"> (</w:t>
      </w:r>
      <w:r w:rsidR="00D254A6" w:rsidRPr="0015591A">
        <w:t xml:space="preserve">Robinson et al., 2023; </w:t>
      </w:r>
      <w:r w:rsidR="00AA1030" w:rsidRPr="0015591A">
        <w:t>Coelho-Júnior et al., 2025)</w:t>
      </w:r>
      <w:r w:rsidRPr="0015591A">
        <w:t xml:space="preserve">. The guidelines also fail to mention that at the end of life, the psychological benefit of </w:t>
      </w:r>
      <w:r w:rsidR="007842D7" w:rsidRPr="0015591A">
        <w:t>unrestricted eating</w:t>
      </w:r>
      <w:r w:rsidRPr="0015591A">
        <w:rPr>
          <w:color w:val="EE0000"/>
        </w:rPr>
        <w:t xml:space="preserve"> </w:t>
      </w:r>
      <w:r w:rsidRPr="0015591A">
        <w:t>is just as important as physical fuel</w:t>
      </w:r>
      <w:r w:rsidR="0022254E" w:rsidRPr="0015591A">
        <w:t xml:space="preserve"> (Geirsdóttir and Bell, 2021)</w:t>
      </w:r>
      <w:r w:rsidR="004B6E91" w:rsidRPr="0015591A">
        <w:t xml:space="preserve">. </w:t>
      </w:r>
      <w:r w:rsidR="008A79ED" w:rsidRPr="0015591A">
        <w:t>But for the 75–79-year-olds, the calorie intake is achievable, as they are often seen as still being active and need the calories for fuel</w:t>
      </w:r>
      <w:r w:rsidR="00F020C8" w:rsidRPr="0015591A">
        <w:t xml:space="preserve"> (Palombi et al., 2025)</w:t>
      </w:r>
      <w:r w:rsidR="008A79ED" w:rsidRPr="0015591A">
        <w:t>.</w:t>
      </w:r>
    </w:p>
    <w:p w14:paraId="2E8B9148" w14:textId="40AE8454" w:rsidR="00F4370F" w:rsidRPr="0015591A" w:rsidRDefault="00E1349A">
      <w:r w:rsidRPr="0015591A">
        <w:t xml:space="preserve">Bailey Greetham-Clark, the founder of the initiative Be Great Fitness (n.d.), launched a partnership in August 2024 with the Tanglewood Care Homes group to improve the health of older residents. Greetham-Clark uses light movement, such as seated exercises with balls and beanbags, to help residents stay active. While he is often seen on social media doing these exercises with residents, his work is formally recognised as a national health intervention; he was appointed as the </w:t>
      </w:r>
      <w:r w:rsidR="004D00B4">
        <w:t>first-ever</w:t>
      </w:r>
      <w:r w:rsidRPr="0015591A">
        <w:t xml:space="preserve"> Ambassador for Physical Activity for Care England (2024), a major national health and social care organisation. </w:t>
      </w:r>
      <w:r w:rsidR="0009348C" w:rsidRPr="0015591A">
        <w:t xml:space="preserve">Palombi, Chirico and Lucidi (2025) suggest that older adults are more likely to engage in exercise if it is light, socialised, and fun. </w:t>
      </w:r>
      <w:r w:rsidRPr="0015591A">
        <w:t>This initiative has gained significant political backing, including a meeting in early 2026 between Greetham</w:t>
      </w:r>
      <w:r w:rsidR="00183E4D" w:rsidRPr="0015591A">
        <w:t>-</w:t>
      </w:r>
      <w:r w:rsidRPr="0015591A">
        <w:t>Clark and Stephen Kinnock, the Minister of State for Care</w:t>
      </w:r>
      <w:r w:rsidR="00765A02" w:rsidRPr="0015591A">
        <w:t>, to discuss the role of prevention in social care</w:t>
      </w:r>
      <w:r w:rsidR="009F3F68" w:rsidRPr="0015591A">
        <w:t xml:space="preserve">. This partnership led to the joint report </w:t>
      </w:r>
      <w:r w:rsidR="009F3F68" w:rsidRPr="0015591A">
        <w:rPr>
          <w:i/>
          <w:iCs/>
        </w:rPr>
        <w:t xml:space="preserve">From Inactivity to Independence </w:t>
      </w:r>
      <w:r w:rsidR="009F3F68" w:rsidRPr="0015591A">
        <w:t>(Care England and Be Great Fitness, 2026), which provides evidence that structured movement can help stabilise a resident’s nutritional status and overall physical health without the need for increased medication</w:t>
      </w:r>
      <w:r w:rsidR="00BD7FE8" w:rsidRPr="0015591A">
        <w:t xml:space="preserve"> (Papadopoulou, 2020)</w:t>
      </w:r>
      <w:r w:rsidR="009F3F68" w:rsidRPr="0015591A">
        <w:t xml:space="preserve">. </w:t>
      </w:r>
    </w:p>
    <w:p w14:paraId="01606520" w14:textId="1821B34C" w:rsidR="00B12F97" w:rsidRPr="0015591A" w:rsidRDefault="00B12F97">
      <w:r w:rsidRPr="0015591A">
        <w:t xml:space="preserve">Be Great Fitness has seen significant success due to the high engagement levels of its founder, Bailey Greetham-Clark. However, a critical review reveals potential challenges regarding the sustainability and scalability of the model. A primary concern is the </w:t>
      </w:r>
      <w:r w:rsidRPr="0015591A">
        <w:lastRenderedPageBreak/>
        <w:t>personality-led nature of the initiative; Greetham-Clark’s infectious energy is a key motivator for residents</w:t>
      </w:r>
      <w:r w:rsidR="00CA391F" w:rsidRPr="0015591A">
        <w:t>, which may be difficult for regular care staff to replicate</w:t>
      </w:r>
      <w:r w:rsidR="005546CF" w:rsidRPr="0015591A">
        <w:t xml:space="preserve"> (Palombi</w:t>
      </w:r>
      <w:r w:rsidR="000F0680" w:rsidRPr="0015591A">
        <w:t xml:space="preserve">, Chirico and Lucidi </w:t>
      </w:r>
      <w:r w:rsidR="005546CF" w:rsidRPr="0015591A">
        <w:t>2025)</w:t>
      </w:r>
      <w:r w:rsidR="00CA391F" w:rsidRPr="0015591A">
        <w:t>. Furthermore, while the intervention is effective during his visits, there is a risk that the health benefits could be lost if movement is not maintained daily</w:t>
      </w:r>
      <w:r w:rsidR="00A66B1C" w:rsidRPr="0015591A">
        <w:t xml:space="preserve"> (Kassis et al., 2023</w:t>
      </w:r>
      <w:r w:rsidR="00317C3F" w:rsidRPr="0015591A">
        <w:t>; Robinson et al., 2023</w:t>
      </w:r>
      <w:r w:rsidR="00A66B1C" w:rsidRPr="0015591A">
        <w:t>)</w:t>
      </w:r>
      <w:r w:rsidR="00CA391F" w:rsidRPr="0015591A">
        <w:t xml:space="preserve"> Most care staff are primarily focused on the clinical and operational running of the home, meaning they may lack the time or specific training required to keep the momentum of the initiative going between external </w:t>
      </w:r>
      <w:r w:rsidR="00CA4735" w:rsidRPr="0015591A">
        <w:t>v</w:t>
      </w:r>
      <w:r w:rsidR="00CA391F" w:rsidRPr="0015591A">
        <w:t>isits</w:t>
      </w:r>
      <w:r w:rsidR="005546CF" w:rsidRPr="0015591A">
        <w:t xml:space="preserve"> (Forster</w:t>
      </w:r>
      <w:r w:rsidR="000F0680" w:rsidRPr="0015591A">
        <w:t xml:space="preserve">, Godfrey and Green </w:t>
      </w:r>
      <w:r w:rsidR="005546CF" w:rsidRPr="0015591A">
        <w:t>2017</w:t>
      </w:r>
      <w:r w:rsidR="008C477E" w:rsidRPr="0015591A">
        <w:t xml:space="preserve">; </w:t>
      </w:r>
      <w:r w:rsidR="00A66B1C" w:rsidRPr="0015591A">
        <w:t xml:space="preserve">Norman, </w:t>
      </w:r>
      <w:proofErr w:type="spellStart"/>
      <w:r w:rsidR="00A66B1C" w:rsidRPr="0015591A">
        <w:t>Haß</w:t>
      </w:r>
      <w:proofErr w:type="spellEnd"/>
      <w:r w:rsidR="00A66B1C" w:rsidRPr="0015591A">
        <w:t xml:space="preserve"> and </w:t>
      </w:r>
      <w:proofErr w:type="spellStart"/>
      <w:r w:rsidR="00A66B1C" w:rsidRPr="0015591A">
        <w:t>Pirlich</w:t>
      </w:r>
      <w:proofErr w:type="spellEnd"/>
      <w:r w:rsidR="00A66B1C" w:rsidRPr="0015591A">
        <w:t>, 2021</w:t>
      </w:r>
      <w:r w:rsidR="005546CF" w:rsidRPr="0015591A">
        <w:t>)</w:t>
      </w:r>
      <w:r w:rsidR="00CA391F" w:rsidRPr="0015591A">
        <w:t>.</w:t>
      </w:r>
    </w:p>
    <w:p w14:paraId="29930E30" w14:textId="313163AC" w:rsidR="009D6481" w:rsidRPr="0015591A" w:rsidRDefault="009D6481">
      <w:r w:rsidRPr="0015591A">
        <w:t xml:space="preserve">At a local level, the St John’s Methodist </w:t>
      </w:r>
      <w:r w:rsidR="009D024B" w:rsidRPr="0015591A">
        <w:t xml:space="preserve">Church ‘Chatty Café’ and Friday Community Hub (2024) in Llandudno serves as an important venue in the town and surrounding area </w:t>
      </w:r>
      <w:r w:rsidR="008706B2" w:rsidRPr="0015591A">
        <w:t>designed to imp</w:t>
      </w:r>
      <w:r w:rsidR="00D6018A" w:rsidRPr="0015591A">
        <w:t>rove the nutritional intake and social wellbeing of older residents</w:t>
      </w:r>
      <w:r w:rsidR="00FA61B6" w:rsidRPr="0015591A">
        <w:t xml:space="preserve"> (Silva et al., 2023)</w:t>
      </w:r>
      <w:r w:rsidR="00D6018A" w:rsidRPr="0015591A">
        <w:t xml:space="preserve">. </w:t>
      </w:r>
      <w:r w:rsidR="002970CC" w:rsidRPr="0015591A">
        <w:t>Although open to all ages, this volunteer run initiative specifically supports the assignment’s focus on the 70+ demographic by providing a social environment that encourages nutritional intake</w:t>
      </w:r>
      <w:r w:rsidR="001540AE" w:rsidRPr="0015591A">
        <w:t xml:space="preserve"> (Coelho-Júnior et al., 2025)</w:t>
      </w:r>
      <w:r w:rsidR="002970CC" w:rsidRPr="0015591A">
        <w:t xml:space="preserve">. </w:t>
      </w:r>
    </w:p>
    <w:p w14:paraId="7BAD182C" w14:textId="014E6F27" w:rsidR="002C730D" w:rsidRPr="0015591A" w:rsidRDefault="006D6916">
      <w:r w:rsidRPr="0015591A">
        <w:t>A primary strength of the Chatty Café is that the social environment encourages intake through social facilitation</w:t>
      </w:r>
      <w:r w:rsidR="00D35074">
        <w:t>,</w:t>
      </w:r>
      <w:r w:rsidRPr="0015591A">
        <w:t xml:space="preserve"> where seeing others eat helps older adults eat more naturally</w:t>
      </w:r>
      <w:r w:rsidR="002A1D83" w:rsidRPr="0015591A">
        <w:t xml:space="preserve"> (Silva et al., 2023)</w:t>
      </w:r>
      <w:r w:rsidRPr="0015591A">
        <w:t xml:space="preserve">. The lack of time pressure and a simple, predictable environment are vital for the 70+ demographic, as </w:t>
      </w:r>
      <w:r w:rsidR="00254ABD" w:rsidRPr="0015591A">
        <w:t>these</w:t>
      </w:r>
      <w:r w:rsidRPr="0015591A">
        <w:t xml:space="preserve"> reduce the cognitive fatigue or choice overload often found in modern settings</w:t>
      </w:r>
      <w:r w:rsidR="00B22A73" w:rsidRPr="0015591A">
        <w:t xml:space="preserve"> (Jeff et al., 2025)</w:t>
      </w:r>
      <w:r w:rsidRPr="0015591A">
        <w:t xml:space="preserve">. By providing familiar, </w:t>
      </w:r>
      <w:r w:rsidR="00D35074">
        <w:t>high-calorie</w:t>
      </w:r>
      <w:r w:rsidRPr="0015591A">
        <w:t xml:space="preserve"> foods like cakes and baps, the initiative directly addresses anorexia of ageing and fuel poverty</w:t>
      </w:r>
      <w:r w:rsidR="002A1D83" w:rsidRPr="0015591A">
        <w:t xml:space="preserve"> (Papadopoulou, 2020)</w:t>
      </w:r>
      <w:r w:rsidRPr="0015591A">
        <w:t>. In this age group, nutritional liberalisation prioritising calories and the act of eating over strict healthy eating rules is essential to prevent rapid weight loss and decline</w:t>
      </w:r>
      <w:r w:rsidR="002A1D83" w:rsidRPr="0015591A">
        <w:t xml:space="preserve"> (Robinson et al., 2023)</w:t>
      </w:r>
      <w:r w:rsidRPr="0015591A">
        <w:t xml:space="preserve">. Furthermore, the </w:t>
      </w:r>
      <w:r w:rsidR="00EE79A7" w:rsidRPr="0015591A">
        <w:t>‘</w:t>
      </w:r>
      <w:r w:rsidRPr="0015591A">
        <w:t>home away from home</w:t>
      </w:r>
      <w:r w:rsidR="00EE79A7" w:rsidRPr="0015591A">
        <w:t>’</w:t>
      </w:r>
      <w:r w:rsidRPr="0015591A">
        <w:t xml:space="preserve"> atmosphere created by familiar volunteers removes the shame and cost barriers, ensuring vulnerable residents have access to a hot meal without judgement</w:t>
      </w:r>
      <w:r w:rsidR="002E4A8F" w:rsidRPr="0015591A">
        <w:t xml:space="preserve"> (</w:t>
      </w:r>
      <w:r w:rsidR="00CD448F" w:rsidRPr="0015591A">
        <w:t xml:space="preserve">Jeff et al., 2025). </w:t>
      </w:r>
    </w:p>
    <w:p w14:paraId="798A9127" w14:textId="0A131513" w:rsidR="006D6916" w:rsidRPr="0015591A" w:rsidRDefault="006D6916">
      <w:r w:rsidRPr="0015591A">
        <w:t xml:space="preserve">However, significant </w:t>
      </w:r>
      <w:r w:rsidR="00DE2619" w:rsidRPr="0015591A">
        <w:t xml:space="preserve">problems </w:t>
      </w:r>
      <w:r w:rsidRPr="0015591A">
        <w:t xml:space="preserve">exist regarding the intervention’s consistency and clinical balance. Because the café only operates one day a week, a </w:t>
      </w:r>
      <w:r w:rsidR="000C3FF5">
        <w:t>six-day</w:t>
      </w:r>
      <w:r w:rsidRPr="0015591A">
        <w:t xml:space="preserve"> gap occurs where the nutritional and social benefits may be lost to isolation and poor dietary habits at home</w:t>
      </w:r>
      <w:r w:rsidR="0055707E" w:rsidRPr="0015591A">
        <w:t xml:space="preserve"> (Kassis et al., 2023)</w:t>
      </w:r>
      <w:r w:rsidRPr="0015591A">
        <w:t xml:space="preserve">. One meal is insufficient to sustain </w:t>
      </w:r>
      <w:r w:rsidR="000E1471" w:rsidRPr="0015591A">
        <w:t>long-term</w:t>
      </w:r>
      <w:r w:rsidRPr="0015591A">
        <w:t xml:space="preserve"> health</w:t>
      </w:r>
      <w:r w:rsidR="006278DD" w:rsidRPr="0015591A">
        <w:t xml:space="preserve"> (Jeff et al., 2025)</w:t>
      </w:r>
      <w:r w:rsidRPr="0015591A">
        <w:t xml:space="preserve">. </w:t>
      </w:r>
      <w:r w:rsidR="000E1471" w:rsidRPr="0015591A">
        <w:t>Additionally, the free-for-all</w:t>
      </w:r>
      <w:r w:rsidRPr="0015591A">
        <w:t xml:space="preserve"> system lacks portion control, which presents a clinical risk for those managing conditions like hypertension, as high salt and high sugar foods are difficult to avoid when they are the primary options</w:t>
      </w:r>
      <w:r w:rsidR="0055707E" w:rsidRPr="0015591A">
        <w:t xml:space="preserve"> (Norman, </w:t>
      </w:r>
      <w:proofErr w:type="spellStart"/>
      <w:r w:rsidR="0055707E" w:rsidRPr="0015591A">
        <w:t>Haß</w:t>
      </w:r>
      <w:proofErr w:type="spellEnd"/>
      <w:r w:rsidR="0055707E" w:rsidRPr="0015591A">
        <w:t xml:space="preserve"> and </w:t>
      </w:r>
      <w:proofErr w:type="spellStart"/>
      <w:r w:rsidR="0055707E" w:rsidRPr="0015591A">
        <w:t>Pirlich</w:t>
      </w:r>
      <w:proofErr w:type="spellEnd"/>
      <w:r w:rsidR="0055707E" w:rsidRPr="0015591A">
        <w:t>, 2021)</w:t>
      </w:r>
      <w:r w:rsidRPr="0015591A">
        <w:t xml:space="preserve">. There is also a logistical risk to nutritional equity; without set portions, </w:t>
      </w:r>
      <w:r w:rsidR="000E1471" w:rsidRPr="0015591A">
        <w:t>high-protein stock can deplete quickly, potentially leaving latecomers with lower-quality</w:t>
      </w:r>
      <w:r w:rsidRPr="0015591A">
        <w:t xml:space="preserve"> options</w:t>
      </w:r>
      <w:r w:rsidR="0095418F" w:rsidRPr="0015591A">
        <w:t xml:space="preserve"> (Jeff et al., 2025)</w:t>
      </w:r>
      <w:r w:rsidRPr="0015591A">
        <w:t>. Ultimately, while the café succeeds in promoting immediate energy intake, it fails to account for the specific micronutrient needs of the oldest old or provide a sustainable, daily nutritional solution</w:t>
      </w:r>
      <w:r w:rsidR="00B96774" w:rsidRPr="0015591A">
        <w:t xml:space="preserve"> (Papadopoulou, 2020)</w:t>
      </w:r>
      <w:r w:rsidRPr="0015591A">
        <w:t xml:space="preserve">. </w:t>
      </w:r>
    </w:p>
    <w:p w14:paraId="55859812" w14:textId="2AF93FF3" w:rsidR="00935B93" w:rsidRPr="0015591A" w:rsidRDefault="00970570" w:rsidP="0014717E">
      <w:r w:rsidRPr="0015591A">
        <w:t xml:space="preserve">The Isle of Man </w:t>
      </w:r>
      <w:r w:rsidR="00EA5A03" w:rsidRPr="0015591A">
        <w:t xml:space="preserve">government (via Bus Vannin and Isle of Man transport) operates a unique, </w:t>
      </w:r>
      <w:r w:rsidR="000E1471" w:rsidRPr="0015591A">
        <w:t>island-wide network that combines modern low-floor buses with a 150-year-old</w:t>
      </w:r>
      <w:r w:rsidR="00A22738" w:rsidRPr="0015591A">
        <w:t xml:space="preserve"> rail system. </w:t>
      </w:r>
      <w:r w:rsidR="004F7B40" w:rsidRPr="0015591A">
        <w:lastRenderedPageBreak/>
        <w:t xml:space="preserve">It </w:t>
      </w:r>
      <w:r w:rsidR="00D036A6" w:rsidRPr="0015591A">
        <w:t>is a lifeline for the locals, specifically the 70+ age group</w:t>
      </w:r>
      <w:r w:rsidR="00641106" w:rsidRPr="0015591A">
        <w:t xml:space="preserve"> (Isle of Man Government, 2024b)</w:t>
      </w:r>
      <w:r w:rsidR="00D036A6" w:rsidRPr="0015591A">
        <w:t xml:space="preserve">. </w:t>
      </w:r>
      <w:r w:rsidR="004F7B40" w:rsidRPr="0015591A">
        <w:t xml:space="preserve">It enables them to be able to get </w:t>
      </w:r>
      <w:r w:rsidR="00D036A6" w:rsidRPr="0015591A">
        <w:t>everywhere across the island without a car</w:t>
      </w:r>
      <w:r w:rsidR="004B0CF8" w:rsidRPr="0015591A">
        <w:t xml:space="preserve"> (Marmot et al., 2020)</w:t>
      </w:r>
      <w:r w:rsidR="00D036A6" w:rsidRPr="0015591A">
        <w:t xml:space="preserve">. They also get exercise walking to the mode of transportation. </w:t>
      </w:r>
      <w:r w:rsidR="00A81350" w:rsidRPr="0015591A">
        <w:t xml:space="preserve">Transport options on the island include standard buses and heritage services such as the Isle of Man Steam Railway, the </w:t>
      </w:r>
      <w:proofErr w:type="spellStart"/>
      <w:r w:rsidR="00A81350" w:rsidRPr="0015591A">
        <w:t>Snaefell</w:t>
      </w:r>
      <w:proofErr w:type="spellEnd"/>
      <w:r w:rsidR="00A81350" w:rsidRPr="0015591A">
        <w:t xml:space="preserve"> Mountain Railway, and the Manx Electric Railway (MER). </w:t>
      </w:r>
      <w:r w:rsidR="00935B93" w:rsidRPr="0015591A">
        <w:t xml:space="preserve">The </w:t>
      </w:r>
      <w:r w:rsidR="000E1471" w:rsidRPr="0015591A">
        <w:t xml:space="preserve">Go Silver card, </w:t>
      </w:r>
      <w:r w:rsidR="00110F91" w:rsidRPr="0015591A">
        <w:t>as it's called</w:t>
      </w:r>
      <w:r w:rsidR="000E1471" w:rsidRPr="0015591A">
        <w:t xml:space="preserve">, has a £10 administrative fee but is </w:t>
      </w:r>
      <w:r w:rsidR="00F7570A" w:rsidRPr="0015591A">
        <w:t>otherwise</w:t>
      </w:r>
      <w:r w:rsidR="00FC411F" w:rsidRPr="0015591A">
        <w:t xml:space="preserve"> free for seniors to use on buses</w:t>
      </w:r>
      <w:r w:rsidR="008C23F3" w:rsidRPr="0015591A">
        <w:t xml:space="preserve"> (Isle of Man Government, 2024</w:t>
      </w:r>
      <w:r w:rsidR="00641106" w:rsidRPr="0015591A">
        <w:t>a</w:t>
      </w:r>
      <w:r w:rsidR="008C23F3" w:rsidRPr="0015591A">
        <w:t>)</w:t>
      </w:r>
      <w:r w:rsidR="00FC411F" w:rsidRPr="0015591A">
        <w:t xml:space="preserve">. </w:t>
      </w:r>
    </w:p>
    <w:p w14:paraId="601540F7" w14:textId="5F243B89" w:rsidR="00E43FAF" w:rsidRPr="0015591A" w:rsidRDefault="004F7B40" w:rsidP="0014717E">
      <w:r w:rsidRPr="0015591A">
        <w:t>The network provides essential independence and connectivity, serving as a lifeline that reduces caregiver dependency</w:t>
      </w:r>
      <w:r w:rsidR="00371773" w:rsidRPr="0015591A">
        <w:t xml:space="preserve"> (Marmot et al., 2020)</w:t>
      </w:r>
      <w:r w:rsidRPr="0015591A">
        <w:t>. This freedom of mobility is vital for mental health, allowing residents to access shops and social clubs autonomously. By offering variety across four transport modes, the system maintains engagement and ensures consistent access to nutritional and social hubs</w:t>
      </w:r>
      <w:r w:rsidR="008C7A11" w:rsidRPr="0015591A">
        <w:t xml:space="preserve"> (Silva et al., 2023)</w:t>
      </w:r>
      <w:r w:rsidRPr="0015591A">
        <w:t xml:space="preserve">. </w:t>
      </w:r>
      <w:r w:rsidR="000E1471" w:rsidRPr="0015591A">
        <w:t>The scheme</w:t>
      </w:r>
      <w:r w:rsidR="00645B29" w:rsidRPr="0015591A">
        <w:t xml:space="preserve"> </w:t>
      </w:r>
      <w:r w:rsidRPr="0015591A">
        <w:t xml:space="preserve">improves wellbeing by requiring travel that is not </w:t>
      </w:r>
      <w:r w:rsidR="000E1471" w:rsidRPr="0015591A">
        <w:t>door-to-door</w:t>
      </w:r>
      <w:r w:rsidRPr="0015591A">
        <w:t>, promoting accidental exercise through walking to transport hubs</w:t>
      </w:r>
      <w:r w:rsidR="003625BA" w:rsidRPr="0015591A">
        <w:t xml:space="preserve"> (Patterson et al., 2019)</w:t>
      </w:r>
      <w:r w:rsidRPr="0015591A">
        <w:t>. Because there are fun options, older adults have extrinsic motivation where the reward, the train ride or a social lunch, makes the effort more appealing than intrinsic motivation (walking for the sake of it</w:t>
      </w:r>
      <w:r w:rsidR="00CF4557">
        <w:t>) (</w:t>
      </w:r>
      <w:r w:rsidR="008C7A11" w:rsidRPr="0015591A">
        <w:t>Palombi et al., 2025</w:t>
      </w:r>
      <w:r w:rsidRPr="0015591A">
        <w:t>). This encourages them to leave the house to reach a café, ensuring better nutritional intake through social engagement</w:t>
      </w:r>
      <w:r w:rsidR="00856351" w:rsidRPr="0015591A">
        <w:t xml:space="preserve"> (Silva et al., 2023)</w:t>
      </w:r>
      <w:r w:rsidRPr="0015591A">
        <w:t xml:space="preserve">. </w:t>
      </w:r>
    </w:p>
    <w:p w14:paraId="37F125C7" w14:textId="335348ED" w:rsidR="00963ABC" w:rsidRPr="0015591A" w:rsidRDefault="00963ABC">
      <w:r w:rsidRPr="0015591A">
        <w:t xml:space="preserve">Travel is limited to specific times in the </w:t>
      </w:r>
      <w:r w:rsidR="00B24E2D" w:rsidRPr="0015591A">
        <w:t>weekda</w:t>
      </w:r>
      <w:r w:rsidRPr="0015591A">
        <w:t>y</w:t>
      </w:r>
      <w:r w:rsidR="00B24E2D" w:rsidRPr="0015591A">
        <w:t xml:space="preserve"> (Isle of Man Government, 2024a)</w:t>
      </w:r>
      <w:r w:rsidRPr="0015591A">
        <w:t xml:space="preserve">. This is a barrier for </w:t>
      </w:r>
      <w:r w:rsidR="00B22A73" w:rsidRPr="0015591A">
        <w:t>older adults</w:t>
      </w:r>
      <w:r w:rsidRPr="0015591A">
        <w:t xml:space="preserve"> attending early social events or dinners</w:t>
      </w:r>
      <w:r w:rsidR="003B2594" w:rsidRPr="0015591A">
        <w:t xml:space="preserve"> (Marmot et al., 2020)</w:t>
      </w:r>
      <w:r w:rsidRPr="0015591A">
        <w:t>. Furthermore,</w:t>
      </w:r>
      <w:r w:rsidR="002A4AE0" w:rsidRPr="0015591A">
        <w:t xml:space="preserve"> </w:t>
      </w:r>
      <w:r w:rsidRPr="0015591A">
        <w:t xml:space="preserve">the seasonality of the heritage transport (March – October) creates </w:t>
      </w:r>
      <w:r w:rsidR="004F7B40" w:rsidRPr="0015591A">
        <w:t>a significant vulnerability during winter</w:t>
      </w:r>
      <w:r w:rsidR="00477C3D" w:rsidRPr="0015591A">
        <w:t xml:space="preserve"> (Isle of Man Government, 2024a</w:t>
      </w:r>
      <w:r w:rsidR="005B557C" w:rsidRPr="0015591A">
        <w:t>)</w:t>
      </w:r>
      <w:r w:rsidR="004F7B40" w:rsidRPr="0015591A">
        <w:t>.</w:t>
      </w:r>
      <w:r w:rsidR="002A4AE0" w:rsidRPr="0015591A">
        <w:t xml:space="preserve"> </w:t>
      </w:r>
      <w:r w:rsidR="00A81350" w:rsidRPr="0015591A">
        <w:t xml:space="preserve">The </w:t>
      </w:r>
      <w:r w:rsidR="002528FA">
        <w:t>high-risk</w:t>
      </w:r>
      <w:r w:rsidR="00A81350" w:rsidRPr="0015591A">
        <w:t xml:space="preserve"> months where Seasonal Affective Disorder (SAD) is most likely are the same months that the residents will have to go back on the bus because the heritage transport is closed </w:t>
      </w:r>
      <w:r w:rsidR="00BF132F" w:rsidRPr="0015591A">
        <w:t>(Silva et al., 2023)</w:t>
      </w:r>
      <w:r w:rsidR="00AD09C9" w:rsidRPr="0015591A">
        <w:t>. Whilst a good mode of transport</w:t>
      </w:r>
      <w:r w:rsidR="004F7B40" w:rsidRPr="0015591A">
        <w:t xml:space="preserve">, it is seen as </w:t>
      </w:r>
      <w:r w:rsidR="00AD09C9" w:rsidRPr="0015591A">
        <w:t>boring to some</w:t>
      </w:r>
      <w:r w:rsidR="00564523" w:rsidRPr="0015591A">
        <w:t xml:space="preserve"> (Palombi et al., 2025)</w:t>
      </w:r>
      <w:r w:rsidR="00A81350" w:rsidRPr="0015591A">
        <w:t>, which can discourage older adults from leaving the house to socialise or shop for food</w:t>
      </w:r>
      <w:r w:rsidR="00AD09C9" w:rsidRPr="0015591A">
        <w:t xml:space="preserve">. </w:t>
      </w:r>
      <w:r w:rsidR="00A81350" w:rsidRPr="0015591A">
        <w:t>Consequently, t</w:t>
      </w:r>
      <w:r w:rsidR="000101E6" w:rsidRPr="0015591A">
        <w:t xml:space="preserve">he winter months </w:t>
      </w:r>
      <w:r w:rsidR="00A81350" w:rsidRPr="0015591A">
        <w:t>become</w:t>
      </w:r>
      <w:r w:rsidR="000101E6" w:rsidRPr="0015591A">
        <w:t xml:space="preserve"> </w:t>
      </w:r>
      <w:r w:rsidR="004F7B40" w:rsidRPr="0015591A">
        <w:t>high-risk</w:t>
      </w:r>
      <w:r w:rsidR="000101E6" w:rsidRPr="0015591A">
        <w:t xml:space="preserve"> for their </w:t>
      </w:r>
      <w:r w:rsidR="004F7B40" w:rsidRPr="0015591A">
        <w:t>well-being</w:t>
      </w:r>
      <w:r w:rsidR="000101E6" w:rsidRPr="0015591A">
        <w:t xml:space="preserve"> and nutrition</w:t>
      </w:r>
      <w:r w:rsidR="00C500DA" w:rsidRPr="0015591A">
        <w:t xml:space="preserve"> </w:t>
      </w:r>
      <w:r w:rsidR="00A81350" w:rsidRPr="0015591A">
        <w:t xml:space="preserve">as they may choose to stay at home rather than travel </w:t>
      </w:r>
      <w:r w:rsidR="00C500DA" w:rsidRPr="0015591A">
        <w:t>(Meredith et al., 2023)</w:t>
      </w:r>
      <w:r w:rsidR="000101E6" w:rsidRPr="0015591A">
        <w:t xml:space="preserve">. </w:t>
      </w:r>
      <w:r w:rsidR="00711E6A">
        <w:t>Excluding</w:t>
      </w:r>
      <w:r w:rsidRPr="0015591A">
        <w:t xml:space="preserve"> the horse tram from the </w:t>
      </w:r>
      <w:r w:rsidR="004F7B40" w:rsidRPr="0015591A">
        <w:t>Go Silver</w:t>
      </w:r>
      <w:r w:rsidRPr="0015591A">
        <w:t xml:space="preserve"> card creates a financial barrier to a vital community link</w:t>
      </w:r>
      <w:r w:rsidR="004A1B94" w:rsidRPr="0015591A">
        <w:t xml:space="preserve"> (Marmot et al., 2020)</w:t>
      </w:r>
      <w:r w:rsidRPr="0015591A">
        <w:t>. While the government classifies it as a tourist attraction, it serves as an essential tool for social connectivity and functional mobility for the 70+ demographic</w:t>
      </w:r>
      <w:r w:rsidR="0085501D" w:rsidRPr="0015591A">
        <w:t xml:space="preserve"> (Patterson et al., 2019)</w:t>
      </w:r>
      <w:r w:rsidRPr="0015591A">
        <w:t>. The cost of a ticket may discourage short trips to local cafés, leading to sedentary behaviour or meal skipping</w:t>
      </w:r>
      <w:r w:rsidR="00170B9F" w:rsidRPr="0015591A">
        <w:t xml:space="preserve"> (Robinson et al., 2023)</w:t>
      </w:r>
      <w:r w:rsidRPr="0015591A">
        <w:t>. Unlike the bus, the tram offers a safer boarding environment and fosters spontaneous social interaction, which is critical for residents at risk of isolation</w:t>
      </w:r>
      <w:r w:rsidR="00CE6208" w:rsidRPr="0015591A">
        <w:t xml:space="preserve"> (Norman, </w:t>
      </w:r>
      <w:proofErr w:type="spellStart"/>
      <w:r w:rsidR="00CE6208" w:rsidRPr="0015591A">
        <w:t>Haß</w:t>
      </w:r>
      <w:proofErr w:type="spellEnd"/>
      <w:r w:rsidR="00CE6208" w:rsidRPr="0015591A">
        <w:t xml:space="preserve"> and </w:t>
      </w:r>
      <w:proofErr w:type="spellStart"/>
      <w:r w:rsidR="00CE6208" w:rsidRPr="0015591A">
        <w:t>Pirlich</w:t>
      </w:r>
      <w:proofErr w:type="spellEnd"/>
      <w:r w:rsidR="00CE6208" w:rsidRPr="0015591A">
        <w:t xml:space="preserve">, 2021). </w:t>
      </w:r>
    </w:p>
    <w:p w14:paraId="2E8F0F6F" w14:textId="400E52F7" w:rsidR="00D33488" w:rsidRDefault="00DA52E7">
      <w:r w:rsidRPr="0015591A">
        <w:t>To conclude, nutrition and physical activity are important for older adults</w:t>
      </w:r>
      <w:r w:rsidR="002528FA">
        <w:t>, as without them,</w:t>
      </w:r>
      <w:r w:rsidRPr="0015591A">
        <w:t xml:space="preserve"> they will struggle. The DRVs are good</w:t>
      </w:r>
      <w:r w:rsidR="005E2055">
        <w:t>;</w:t>
      </w:r>
      <w:r w:rsidRPr="0015591A">
        <w:t xml:space="preserve"> however, as </w:t>
      </w:r>
      <w:r w:rsidR="00711E6A">
        <w:t>this essay shows, there are some weaknesses: the guidelines are often too broad and fail to consider</w:t>
      </w:r>
      <w:r w:rsidR="0040439C" w:rsidRPr="0015591A">
        <w:t xml:space="preserve"> the person as an individual</w:t>
      </w:r>
      <w:r w:rsidRPr="0015591A">
        <w:t xml:space="preserve">. Calories and Vitamin D are important </w:t>
      </w:r>
      <w:r w:rsidR="00460358" w:rsidRPr="0015591A">
        <w:t>for older adults</w:t>
      </w:r>
      <w:r w:rsidR="00D5323C" w:rsidRPr="0015591A">
        <w:t xml:space="preserve">. </w:t>
      </w:r>
      <w:r w:rsidR="001B4B3F" w:rsidRPr="0015591A">
        <w:t xml:space="preserve">Be Great Fitness’s project </w:t>
      </w:r>
      <w:r w:rsidR="001B4B3F" w:rsidRPr="0015591A">
        <w:lastRenderedPageBreak/>
        <w:t>helps older adults in care homes who are struggling with exercise</w:t>
      </w:r>
      <w:r w:rsidR="002528FA">
        <w:t>,</w:t>
      </w:r>
      <w:r w:rsidR="001B4B3F" w:rsidRPr="0015591A">
        <w:t xml:space="preserve"> and it ensures they are getting exercise whilst socialising. Despite this, the project faces </w:t>
      </w:r>
      <w:r w:rsidR="00423E39">
        <w:t>sustainability challenges, as staff may lack the time to maintain the initiative or struggle to replicate the specific positive nature needed</w:t>
      </w:r>
      <w:r w:rsidR="001B4B3F" w:rsidRPr="0015591A">
        <w:t xml:space="preserve"> to keep residents engaged. </w:t>
      </w:r>
      <w:r w:rsidR="0040439C" w:rsidRPr="0015591A">
        <w:t xml:space="preserve">Socialising at </w:t>
      </w:r>
      <w:r w:rsidR="00F5563C" w:rsidRPr="0015591A">
        <w:t xml:space="preserve">a </w:t>
      </w:r>
      <w:r w:rsidR="0040439C" w:rsidRPr="0015591A">
        <w:t>café is important for older adults to meet people and encourages them to eat more.</w:t>
      </w:r>
      <w:r w:rsidR="00576FD2" w:rsidRPr="0015591A">
        <w:t xml:space="preserve"> </w:t>
      </w:r>
      <w:r w:rsidR="00CA4735" w:rsidRPr="0015591A">
        <w:t xml:space="preserve">However, a limitation of the Chatty Café is that it only runs one day a week and relies on a free-for-all system, which may not provide consistent support. </w:t>
      </w:r>
      <w:r w:rsidR="001B4B3F" w:rsidRPr="0015591A">
        <w:t xml:space="preserve">The Isle of Man needs to treat transport as an essential, not just an added extra, as this will keep the older population independent. Currently, the effectiveness of this transport is limited by its seasonality and the fact that the horse tram is excluded from the Go Silver scheme, reducing options for those who need them most. </w:t>
      </w:r>
      <w:r w:rsidR="00B22A73" w:rsidRPr="0015591A">
        <w:t>Having these lifelines prevents frailty and ensures the older population has</w:t>
      </w:r>
      <w:r w:rsidR="00FA4F00" w:rsidRPr="0015591A">
        <w:t xml:space="preserve"> a good quality of life. </w:t>
      </w:r>
    </w:p>
    <w:p w14:paraId="062BB4E0" w14:textId="4B496B66" w:rsidR="0015591A" w:rsidRPr="0015591A" w:rsidRDefault="0015591A">
      <w:r>
        <w:t>Word count: 25</w:t>
      </w:r>
      <w:r w:rsidR="000451B2">
        <w:t>7</w:t>
      </w:r>
      <w:r w:rsidR="00455EB9">
        <w:t>1</w:t>
      </w:r>
    </w:p>
    <w:p w14:paraId="3D980055" w14:textId="1DCF96AE" w:rsidR="00D33488" w:rsidRPr="0015591A" w:rsidRDefault="00D33488">
      <w:r w:rsidRPr="0015591A">
        <w:br w:type="page"/>
      </w:r>
    </w:p>
    <w:p w14:paraId="15DA118D" w14:textId="483EC58D" w:rsidR="00AA73CA" w:rsidRPr="00D957B3" w:rsidRDefault="009D6481">
      <w:pPr>
        <w:rPr>
          <w:b/>
          <w:bCs/>
          <w:sz w:val="28"/>
          <w:szCs w:val="28"/>
        </w:rPr>
      </w:pPr>
      <w:r w:rsidRPr="00D957B3">
        <w:rPr>
          <w:b/>
          <w:bCs/>
          <w:sz w:val="28"/>
          <w:szCs w:val="28"/>
        </w:rPr>
        <w:lastRenderedPageBreak/>
        <w:t>R</w:t>
      </w:r>
      <w:r w:rsidR="00AA73CA" w:rsidRPr="00D957B3">
        <w:rPr>
          <w:b/>
          <w:bCs/>
          <w:sz w:val="28"/>
          <w:szCs w:val="28"/>
        </w:rPr>
        <w:t xml:space="preserve">eference list </w:t>
      </w:r>
    </w:p>
    <w:p w14:paraId="3234A1E7" w14:textId="77777777" w:rsidR="00D33488" w:rsidRPr="0015591A" w:rsidRDefault="00D33488">
      <w:r w:rsidRPr="0015591A">
        <w:t xml:space="preserve">Be Great Fitness (n.d.) </w:t>
      </w:r>
      <w:r w:rsidRPr="0015591A">
        <w:rPr>
          <w:i/>
          <w:iCs/>
        </w:rPr>
        <w:t xml:space="preserve">Fitness for Care Homes. </w:t>
      </w:r>
      <w:r w:rsidRPr="0015591A">
        <w:t xml:space="preserve">Available at: </w:t>
      </w:r>
      <w:hyperlink r:id="rId8" w:history="1">
        <w:r w:rsidRPr="0015591A">
          <w:rPr>
            <w:rStyle w:val="Hyperlink"/>
          </w:rPr>
          <w:t>https://begreatfitness.org/</w:t>
        </w:r>
      </w:hyperlink>
      <w:r w:rsidRPr="0015591A">
        <w:t xml:space="preserve"> (Accessed: 16 March 2026). </w:t>
      </w:r>
    </w:p>
    <w:p w14:paraId="2833E8EC" w14:textId="77777777" w:rsidR="00D33488" w:rsidRPr="0015591A" w:rsidRDefault="00D33488" w:rsidP="002A7BE6">
      <w:r w:rsidRPr="0015591A">
        <w:t xml:space="preserve">Care England (2024). </w:t>
      </w:r>
      <w:r w:rsidRPr="0015591A">
        <w:rPr>
          <w:i/>
          <w:iCs/>
        </w:rPr>
        <w:t xml:space="preserve">Care England appoints first every Ambassador for Physical Activity. </w:t>
      </w:r>
      <w:r w:rsidRPr="0015591A">
        <w:t xml:space="preserve">Available at: </w:t>
      </w:r>
      <w:hyperlink r:id="rId9" w:history="1">
        <w:r w:rsidRPr="0015591A">
          <w:rPr>
            <w:rStyle w:val="Hyperlink"/>
          </w:rPr>
          <w:t>https://www.careengland.org.uk/care-england-announces-first-ever-ambassador-to-champion-fitness-and-wellbeing-in-care-homes/</w:t>
        </w:r>
      </w:hyperlink>
      <w:r w:rsidRPr="0015591A">
        <w:t xml:space="preserve"> (Accessed: 17 April 2025). </w:t>
      </w:r>
    </w:p>
    <w:p w14:paraId="6A7B5C94" w14:textId="77777777" w:rsidR="00D33488" w:rsidRPr="0015591A" w:rsidRDefault="00D33488">
      <w:r w:rsidRPr="0015591A">
        <w:t xml:space="preserve">Care England and Be Great Fitness (2026) </w:t>
      </w:r>
      <w:r w:rsidRPr="0015591A">
        <w:rPr>
          <w:i/>
          <w:iCs/>
        </w:rPr>
        <w:t xml:space="preserve">From Inactivity to Independence: Measuring the impact of movement in adult social care. </w:t>
      </w:r>
      <w:r w:rsidRPr="0015591A">
        <w:t xml:space="preserve">London: Care England. Available at: </w:t>
      </w:r>
      <w:hyperlink r:id="rId10" w:history="1">
        <w:r w:rsidRPr="0015591A">
          <w:rPr>
            <w:rStyle w:val="Hyperlink"/>
          </w:rPr>
          <w:t>https://www.careengland.org.uk/fitness_two/</w:t>
        </w:r>
      </w:hyperlink>
      <w:r w:rsidRPr="0015591A">
        <w:t xml:space="preserve"> (Accessed: 16 March 2026).</w:t>
      </w:r>
    </w:p>
    <w:p w14:paraId="199B9879" w14:textId="77777777" w:rsidR="00D33488" w:rsidRPr="0015591A" w:rsidRDefault="00D33488" w:rsidP="001E6C08">
      <w:r w:rsidRPr="0015591A">
        <w:t xml:space="preserve">Chalcraft, J.R., Cardinal, L.M., Wechsler, P.J., Hollis, B.W., Gerow, K.G., Alexander, B.M., Keith, J.F. and Larson-Meyer, D.E. (2020). Vitamin D Synthesis Following a Single Bout of Sun Exposure in Older and Younger Men and Women. </w:t>
      </w:r>
      <w:r w:rsidRPr="0015591A">
        <w:rPr>
          <w:i/>
          <w:iCs/>
        </w:rPr>
        <w:t>Nutrients</w:t>
      </w:r>
      <w:r w:rsidRPr="0015591A">
        <w:t xml:space="preserve">, 12(8), p.2237. </w:t>
      </w:r>
      <w:proofErr w:type="spellStart"/>
      <w:proofErr w:type="gramStart"/>
      <w:r w:rsidRPr="0015591A">
        <w:t>doi:https</w:t>
      </w:r>
      <w:proofErr w:type="spellEnd"/>
      <w:r w:rsidRPr="0015591A">
        <w:t>://doi.org/10.3390/nu12082237</w:t>
      </w:r>
      <w:proofErr w:type="gramEnd"/>
      <w:r w:rsidRPr="0015591A">
        <w:t>.</w:t>
      </w:r>
    </w:p>
    <w:p w14:paraId="0135135B" w14:textId="77777777" w:rsidR="00D33488" w:rsidRPr="0015591A" w:rsidRDefault="00D33488" w:rsidP="00D40283">
      <w:r w:rsidRPr="0015591A">
        <w:t xml:space="preserve">Coelho-Júnior, H.J., Álvarez-Bustos, A., Russo, A., Rodriguez-Mañas, L., Landi, F. and Marzetti, E. (2025). Associations between malnutrition and physical performance, sarcopenia, and frailty in older adults. </w:t>
      </w:r>
      <w:r w:rsidRPr="0015591A">
        <w:rPr>
          <w:i/>
          <w:iCs/>
        </w:rPr>
        <w:t>BMC Geriatrics</w:t>
      </w:r>
      <w:r w:rsidRPr="0015591A">
        <w:t xml:space="preserve">, 25(1). </w:t>
      </w:r>
      <w:proofErr w:type="spellStart"/>
      <w:proofErr w:type="gramStart"/>
      <w:r w:rsidRPr="0015591A">
        <w:t>doi:https</w:t>
      </w:r>
      <w:proofErr w:type="spellEnd"/>
      <w:r w:rsidRPr="0015591A">
        <w:t>://doi.org/10.1186/s12877-025-06274-0</w:t>
      </w:r>
      <w:proofErr w:type="gramEnd"/>
      <w:r w:rsidRPr="0015591A">
        <w:t>.</w:t>
      </w:r>
    </w:p>
    <w:p w14:paraId="6C3442C7" w14:textId="77777777" w:rsidR="00D33488" w:rsidRPr="0015591A" w:rsidRDefault="00D33488" w:rsidP="005546CF">
      <w:r w:rsidRPr="0015591A">
        <w:t xml:space="preserve">Forster, A., Godfrey, M. and Green, J. (2017) 'Research Exploring Physical Activity in Care Homes (REACH): study protocol for a randomised controlled trial', </w:t>
      </w:r>
      <w:r w:rsidRPr="0015591A">
        <w:rPr>
          <w:i/>
          <w:iCs/>
        </w:rPr>
        <w:t>Trials</w:t>
      </w:r>
      <w:r w:rsidRPr="0015591A">
        <w:t>, 18(1), p. 182.</w:t>
      </w:r>
    </w:p>
    <w:p w14:paraId="2BF2B964" w14:textId="77777777" w:rsidR="00D33488" w:rsidRPr="0015591A" w:rsidRDefault="00D33488" w:rsidP="00D40283">
      <w:r w:rsidRPr="0015591A">
        <w:t xml:space="preserve">Geirsdóttir, Ó.G. and Bell, J.J. (eds.) (2021). </w:t>
      </w:r>
      <w:r w:rsidRPr="0015591A">
        <w:rPr>
          <w:i/>
          <w:iCs/>
        </w:rPr>
        <w:t>Interdisciplinary nutritional management and care for older adults: an evidence-based practical guide for nurses</w:t>
      </w:r>
      <w:r w:rsidRPr="0015591A">
        <w:t>. Cham: Springer.</w:t>
      </w:r>
    </w:p>
    <w:p w14:paraId="19BF0254" w14:textId="77777777" w:rsidR="00D33488" w:rsidRPr="0015591A" w:rsidRDefault="00D33488" w:rsidP="002A7BE6">
      <w:r w:rsidRPr="0015591A">
        <w:t xml:space="preserve">Isle of Man Government (2024a) </w:t>
      </w:r>
      <w:r w:rsidRPr="0015591A">
        <w:rPr>
          <w:i/>
          <w:iCs/>
        </w:rPr>
        <w:t>Go Cards: Go Silver.</w:t>
      </w:r>
      <w:r w:rsidRPr="0015591A">
        <w:t xml:space="preserve"> Available at: </w:t>
      </w:r>
      <w:hyperlink r:id="rId11" w:history="1">
        <w:r w:rsidRPr="0015591A">
          <w:rPr>
            <w:rStyle w:val="Hyperlink"/>
          </w:rPr>
          <w:t>https://www.iombusandrail.im/fares-and-go-cards/go-cards/</w:t>
        </w:r>
      </w:hyperlink>
      <w:r w:rsidRPr="0015591A">
        <w:t xml:space="preserve"> (Accessed: 17 April 2026).</w:t>
      </w:r>
    </w:p>
    <w:p w14:paraId="4FC9118E" w14:textId="77777777" w:rsidR="00D33488" w:rsidRPr="0015591A" w:rsidRDefault="00D33488" w:rsidP="002E4A8F">
      <w:r w:rsidRPr="0015591A">
        <w:t xml:space="preserve">‌Isle of Man Government (2024b) </w:t>
      </w:r>
      <w:r w:rsidRPr="0015591A">
        <w:rPr>
          <w:i/>
          <w:iCs/>
        </w:rPr>
        <w:t xml:space="preserve">Public Transport. </w:t>
      </w:r>
      <w:r w:rsidRPr="0015591A">
        <w:t xml:space="preserve">Available at: </w:t>
      </w:r>
      <w:hyperlink r:id="rId12" w:history="1">
        <w:r w:rsidRPr="0015591A">
          <w:rPr>
            <w:rStyle w:val="Hyperlink"/>
          </w:rPr>
          <w:t>https://www.iombusandrail.im/</w:t>
        </w:r>
      </w:hyperlink>
      <w:r w:rsidRPr="0015591A">
        <w:t xml:space="preserve"> (Accessed: 20 April 2026).</w:t>
      </w:r>
    </w:p>
    <w:p w14:paraId="6FB34189" w14:textId="77777777" w:rsidR="00D33488" w:rsidRPr="0015591A" w:rsidRDefault="00D33488" w:rsidP="002E4A8F">
      <w:r w:rsidRPr="0015591A">
        <w:t xml:space="preserve">Jeff, P., </w:t>
      </w:r>
      <w:proofErr w:type="spellStart"/>
      <w:r w:rsidRPr="0015591A">
        <w:t>Benzimra</w:t>
      </w:r>
      <w:proofErr w:type="spellEnd"/>
      <w:r w:rsidRPr="0015591A">
        <w:t xml:space="preserve">, A., Murphy, J.L., Fenge, L.-A., Devis-Rozental, C. and </w:t>
      </w:r>
      <w:proofErr w:type="spellStart"/>
      <w:r w:rsidRPr="0015591A">
        <w:t>Amenyah</w:t>
      </w:r>
      <w:proofErr w:type="spellEnd"/>
      <w:r w:rsidRPr="0015591A">
        <w:t>, S.D. (2025). Impact of Community‐Based Food Interventions on Health, Well‐being, and Social Connectedness of Older Adults: A Scoping Review. </w:t>
      </w:r>
      <w:r w:rsidRPr="0015591A">
        <w:rPr>
          <w:i/>
          <w:iCs/>
        </w:rPr>
        <w:t>Health &amp; Social Care in the Community</w:t>
      </w:r>
      <w:r w:rsidRPr="0015591A">
        <w:t xml:space="preserve">, 2025(1). </w:t>
      </w:r>
      <w:proofErr w:type="spellStart"/>
      <w:proofErr w:type="gramStart"/>
      <w:r w:rsidRPr="0015591A">
        <w:t>doi:https</w:t>
      </w:r>
      <w:proofErr w:type="spellEnd"/>
      <w:r w:rsidRPr="0015591A">
        <w:t>://doi.org/10.1155/</w:t>
      </w:r>
      <w:proofErr w:type="spellStart"/>
      <w:r w:rsidRPr="0015591A">
        <w:t>hsc</w:t>
      </w:r>
      <w:proofErr w:type="spellEnd"/>
      <w:r w:rsidRPr="0015591A">
        <w:t>/6677936</w:t>
      </w:r>
      <w:proofErr w:type="gramEnd"/>
      <w:r w:rsidRPr="0015591A">
        <w:t>.</w:t>
      </w:r>
    </w:p>
    <w:p w14:paraId="4AE61383" w14:textId="77777777" w:rsidR="00D33488" w:rsidRPr="0015591A" w:rsidRDefault="00D33488" w:rsidP="00E70489">
      <w:r w:rsidRPr="0015591A">
        <w:t xml:space="preserve">Kassis, A., Fichot, M.-C., </w:t>
      </w:r>
      <w:proofErr w:type="spellStart"/>
      <w:r w:rsidRPr="0015591A">
        <w:t>Horcajada</w:t>
      </w:r>
      <w:proofErr w:type="spellEnd"/>
      <w:r w:rsidRPr="0015591A">
        <w:t xml:space="preserve">, M.-N., Horstman, A.M., Duncan, P.I., </w:t>
      </w:r>
      <w:proofErr w:type="spellStart"/>
      <w:r w:rsidRPr="0015591A">
        <w:t>Bergonzelli</w:t>
      </w:r>
      <w:proofErr w:type="spellEnd"/>
      <w:r w:rsidRPr="0015591A">
        <w:t xml:space="preserve">, G., </w:t>
      </w:r>
      <w:proofErr w:type="spellStart"/>
      <w:r w:rsidRPr="0015591A">
        <w:t>Preitner</w:t>
      </w:r>
      <w:proofErr w:type="spellEnd"/>
      <w:r w:rsidRPr="0015591A">
        <w:t xml:space="preserve">, N., Zimmermann, D., Bosco, N., Vidal, K. and Donato-Capel, L. (2023). Nutritional and lifestyle management of the aging journey: A narrative review. </w:t>
      </w:r>
      <w:r w:rsidRPr="0015591A">
        <w:rPr>
          <w:i/>
          <w:iCs/>
        </w:rPr>
        <w:t>Frontiers in Nutrition</w:t>
      </w:r>
      <w:r w:rsidRPr="0015591A">
        <w:t xml:space="preserve">, 9. </w:t>
      </w:r>
      <w:proofErr w:type="spellStart"/>
      <w:proofErr w:type="gramStart"/>
      <w:r w:rsidRPr="0015591A">
        <w:t>doi:https</w:t>
      </w:r>
      <w:proofErr w:type="spellEnd"/>
      <w:r w:rsidRPr="0015591A">
        <w:t>://doi.org/10.3389/fnut.2022.1087505</w:t>
      </w:r>
      <w:proofErr w:type="gramEnd"/>
      <w:r w:rsidRPr="0015591A">
        <w:t>.</w:t>
      </w:r>
    </w:p>
    <w:p w14:paraId="77877469" w14:textId="77777777" w:rsidR="00D33488" w:rsidRPr="0015591A" w:rsidRDefault="00D33488" w:rsidP="0094105E">
      <w:r w:rsidRPr="0015591A">
        <w:lastRenderedPageBreak/>
        <w:t xml:space="preserve">Kaur D. </w:t>
      </w:r>
      <w:proofErr w:type="spellStart"/>
      <w:r w:rsidRPr="0015591A">
        <w:t>Rasane</w:t>
      </w:r>
      <w:proofErr w:type="spellEnd"/>
      <w:r w:rsidRPr="0015591A">
        <w:t xml:space="preserve">, P., Singh, J., Kaur, S., Kumar, V., Mahato, D.K., Dey, A., Dhawan, K. and Kumar, S. (2019). Nutritional interventions for elderly and considerations for the development of geriatric foods. </w:t>
      </w:r>
      <w:r w:rsidRPr="0015591A">
        <w:rPr>
          <w:i/>
          <w:iCs/>
        </w:rPr>
        <w:t>Current Aging Science</w:t>
      </w:r>
      <w:r w:rsidRPr="0015591A">
        <w:t xml:space="preserve">, 12(1), pp.15-27. </w:t>
      </w:r>
    </w:p>
    <w:p w14:paraId="2289C899" w14:textId="77777777" w:rsidR="00D33488" w:rsidRPr="0015591A" w:rsidRDefault="00D33488" w:rsidP="00DC3969">
      <w:r w:rsidRPr="0015591A">
        <w:t xml:space="preserve">Marmot, M., Allen, J., Boyce, t., Goldblatt, P. and Morrison, J. (2020). </w:t>
      </w:r>
      <w:r w:rsidRPr="0015591A">
        <w:rPr>
          <w:i/>
          <w:iCs/>
        </w:rPr>
        <w:t xml:space="preserve">Health equity in England: </w:t>
      </w:r>
      <w:proofErr w:type="gramStart"/>
      <w:r w:rsidRPr="0015591A">
        <w:rPr>
          <w:i/>
          <w:iCs/>
        </w:rPr>
        <w:t>the</w:t>
      </w:r>
      <w:proofErr w:type="gramEnd"/>
      <w:r w:rsidRPr="0015591A">
        <w:rPr>
          <w:i/>
          <w:iCs/>
        </w:rPr>
        <w:t xml:space="preserve"> Marmot Review 10 years on. </w:t>
      </w:r>
      <w:r w:rsidRPr="0015591A">
        <w:t>London: institute of health equity.</w:t>
      </w:r>
    </w:p>
    <w:p w14:paraId="1AE15127" w14:textId="77777777" w:rsidR="00D33488" w:rsidRPr="0015591A" w:rsidRDefault="00D33488" w:rsidP="00C500DA">
      <w:r w:rsidRPr="0015591A">
        <w:t xml:space="preserve">‌Meredith, S.J., Cox, N.J., Ibrahim, K., Higson, J., McNiff, J., Mitchell, S., Rutherford, M., Wijayendran, A., </w:t>
      </w:r>
      <w:proofErr w:type="spellStart"/>
      <w:r w:rsidRPr="0015591A">
        <w:t>Shenkin</w:t>
      </w:r>
      <w:proofErr w:type="spellEnd"/>
      <w:r w:rsidRPr="0015591A">
        <w:t>, S.D., Kilgour, A.H.M. and Lim, S.E.R. (2023). Factors That Influence Older Adults’ Participation in Physical activity: a Systematic Review of Qualitative Studies. </w:t>
      </w:r>
      <w:r w:rsidRPr="0015591A">
        <w:rPr>
          <w:i/>
          <w:iCs/>
        </w:rPr>
        <w:t>Age and Ageing</w:t>
      </w:r>
      <w:r w:rsidRPr="0015591A">
        <w:t xml:space="preserve">, [online] 52(8), pp.1–15. </w:t>
      </w:r>
      <w:proofErr w:type="spellStart"/>
      <w:proofErr w:type="gramStart"/>
      <w:r w:rsidRPr="0015591A">
        <w:t>doi:https</w:t>
      </w:r>
      <w:proofErr w:type="spellEnd"/>
      <w:r w:rsidRPr="0015591A">
        <w:t>://doi.org/10.1093/ageing/afad145</w:t>
      </w:r>
      <w:proofErr w:type="gramEnd"/>
      <w:r w:rsidRPr="0015591A">
        <w:t>.</w:t>
      </w:r>
    </w:p>
    <w:p w14:paraId="50F30827" w14:textId="77777777" w:rsidR="00D33488" w:rsidRPr="0015591A" w:rsidRDefault="00D33488" w:rsidP="00661E49">
      <w:proofErr w:type="spellStart"/>
      <w:r w:rsidRPr="0015591A">
        <w:t>Mourelatou</w:t>
      </w:r>
      <w:proofErr w:type="spellEnd"/>
      <w:r w:rsidRPr="0015591A">
        <w:t xml:space="preserve">, N.G., </w:t>
      </w:r>
      <w:proofErr w:type="spellStart"/>
      <w:r w:rsidRPr="0015591A">
        <w:t>Rebelos</w:t>
      </w:r>
      <w:proofErr w:type="spellEnd"/>
      <w:r w:rsidRPr="0015591A">
        <w:t xml:space="preserve">, E., Hughes, M., Kounatidis, D. and Jude, E.B. (2026). Vitamin D and Older Adults: To Supplement or Not to Supplement? </w:t>
      </w:r>
      <w:r w:rsidRPr="0015591A">
        <w:rPr>
          <w:i/>
          <w:iCs/>
        </w:rPr>
        <w:t>Drugs &amp; Aging</w:t>
      </w:r>
      <w:r w:rsidRPr="0015591A">
        <w:t xml:space="preserve">, 43(2), pp.111–121. </w:t>
      </w:r>
      <w:proofErr w:type="spellStart"/>
      <w:proofErr w:type="gramStart"/>
      <w:r w:rsidRPr="0015591A">
        <w:t>doi:https</w:t>
      </w:r>
      <w:proofErr w:type="spellEnd"/>
      <w:r w:rsidRPr="0015591A">
        <w:t>://doi.org/10.1007/s40266-025-01277-3</w:t>
      </w:r>
      <w:proofErr w:type="gramEnd"/>
      <w:r w:rsidRPr="0015591A">
        <w:t>.</w:t>
      </w:r>
    </w:p>
    <w:p w14:paraId="168CA8D8" w14:textId="77777777" w:rsidR="00D33488" w:rsidRPr="0015591A" w:rsidRDefault="00D33488" w:rsidP="00DC3969">
      <w:r w:rsidRPr="0015591A">
        <w:t xml:space="preserve">NHS (2020). </w:t>
      </w:r>
      <w:r w:rsidRPr="0015591A">
        <w:rPr>
          <w:i/>
          <w:iCs/>
        </w:rPr>
        <w:t>Vitamin D - Vitamins and Minerals</w:t>
      </w:r>
      <w:r w:rsidRPr="0015591A">
        <w:t xml:space="preserve">. NHS. Available at: </w:t>
      </w:r>
      <w:hyperlink r:id="rId13" w:history="1">
        <w:r w:rsidRPr="0015591A">
          <w:rPr>
            <w:rStyle w:val="Hyperlink"/>
          </w:rPr>
          <w:t>https://www.nhs.uk/conditions/vitamins-and-minerals/vitamin-d/</w:t>
        </w:r>
      </w:hyperlink>
      <w:r w:rsidRPr="0015591A">
        <w:t xml:space="preserve">. (Accessed: 12 April 2026). </w:t>
      </w:r>
    </w:p>
    <w:p w14:paraId="2D3636CB" w14:textId="77777777" w:rsidR="00D33488" w:rsidRPr="0015591A" w:rsidRDefault="00D33488" w:rsidP="002F2171">
      <w:r w:rsidRPr="0015591A">
        <w:t xml:space="preserve">NHS (2022). </w:t>
      </w:r>
      <w:r w:rsidRPr="0015591A">
        <w:rPr>
          <w:i/>
          <w:iCs/>
        </w:rPr>
        <w:t>Calorie counting - Better Health</w:t>
      </w:r>
      <w:r w:rsidRPr="0015591A">
        <w:t xml:space="preserve">. [online] nhs.uk. Available at: </w:t>
      </w:r>
      <w:hyperlink r:id="rId14" w:history="1">
        <w:r w:rsidRPr="0015591A">
          <w:rPr>
            <w:rStyle w:val="Hyperlink"/>
          </w:rPr>
          <w:t>https://www.nhs.uk/better-health/lose-weight/calorie-counting/</w:t>
        </w:r>
      </w:hyperlink>
      <w:r w:rsidRPr="0015591A">
        <w:t>. (Accessed: 12 April 2026).</w:t>
      </w:r>
    </w:p>
    <w:p w14:paraId="13E0D8CC" w14:textId="1A83302B" w:rsidR="00D33488" w:rsidRPr="0015591A" w:rsidRDefault="00D33488" w:rsidP="0094105E">
      <w:r w:rsidRPr="0015591A">
        <w:t xml:space="preserve">Norman, K., </w:t>
      </w:r>
      <w:proofErr w:type="spellStart"/>
      <w:r w:rsidRPr="0015591A">
        <w:t>Ha</w:t>
      </w:r>
      <w:r w:rsidR="00A035EC" w:rsidRPr="0015591A">
        <w:t>ß</w:t>
      </w:r>
      <w:proofErr w:type="spellEnd"/>
      <w:r w:rsidRPr="0015591A">
        <w:t xml:space="preserve">, U. and </w:t>
      </w:r>
      <w:proofErr w:type="spellStart"/>
      <w:r w:rsidRPr="0015591A">
        <w:t>Pirlich</w:t>
      </w:r>
      <w:proofErr w:type="spellEnd"/>
      <w:r w:rsidRPr="0015591A">
        <w:t xml:space="preserve">, M. (2021). Malnutrition in older adults—recent advances and remaining challenges. </w:t>
      </w:r>
      <w:r w:rsidRPr="0015591A">
        <w:rPr>
          <w:i/>
          <w:iCs/>
        </w:rPr>
        <w:t>Nutrients</w:t>
      </w:r>
      <w:r w:rsidRPr="0015591A">
        <w:t xml:space="preserve">, 13(8), p.2764. </w:t>
      </w:r>
      <w:proofErr w:type="spellStart"/>
      <w:proofErr w:type="gramStart"/>
      <w:r w:rsidRPr="0015591A">
        <w:t>doi:https</w:t>
      </w:r>
      <w:proofErr w:type="spellEnd"/>
      <w:r w:rsidRPr="0015591A">
        <w:t>://doi.org/10.3390/nu13082764</w:t>
      </w:r>
      <w:proofErr w:type="gramEnd"/>
      <w:r w:rsidRPr="0015591A">
        <w:t>.</w:t>
      </w:r>
    </w:p>
    <w:p w14:paraId="33E9D5CA" w14:textId="77777777" w:rsidR="00D33488" w:rsidRPr="0015591A" w:rsidRDefault="00D33488">
      <w:r w:rsidRPr="0015591A">
        <w:t xml:space="preserve">Palombi, T., Chirico, A. and Lucidi, F. (2025) 'Motivation, psychological needs and physical activity in older adults: a qualitative review', </w:t>
      </w:r>
      <w:r w:rsidRPr="0015591A">
        <w:rPr>
          <w:i/>
          <w:iCs/>
        </w:rPr>
        <w:t>Age and Ageing</w:t>
      </w:r>
      <w:r w:rsidRPr="0015591A">
        <w:t>, 54(7).</w:t>
      </w:r>
    </w:p>
    <w:p w14:paraId="2CBB6B65" w14:textId="77777777" w:rsidR="00D33488" w:rsidRPr="0015591A" w:rsidRDefault="00D33488" w:rsidP="009206EF">
      <w:r w:rsidRPr="0015591A">
        <w:t xml:space="preserve">Papadopoulou, S.K. (2020). Sarcopenia: </w:t>
      </w:r>
      <w:proofErr w:type="gramStart"/>
      <w:r w:rsidRPr="0015591A">
        <w:t>a</w:t>
      </w:r>
      <w:proofErr w:type="gramEnd"/>
      <w:r w:rsidRPr="0015591A">
        <w:t xml:space="preserve"> Contemporary Health Problem among Older Adult Populations. </w:t>
      </w:r>
      <w:r w:rsidRPr="0015591A">
        <w:rPr>
          <w:i/>
          <w:iCs/>
        </w:rPr>
        <w:t>Nutrients</w:t>
      </w:r>
      <w:r w:rsidRPr="0015591A">
        <w:t xml:space="preserve">, [online] 12(5), p.1293. </w:t>
      </w:r>
      <w:proofErr w:type="spellStart"/>
      <w:proofErr w:type="gramStart"/>
      <w:r w:rsidRPr="0015591A">
        <w:t>doi:https</w:t>
      </w:r>
      <w:proofErr w:type="spellEnd"/>
      <w:r w:rsidRPr="0015591A">
        <w:t>://doi.org/10.3390/nu12051293</w:t>
      </w:r>
      <w:proofErr w:type="gramEnd"/>
      <w:r w:rsidRPr="0015591A">
        <w:t>.</w:t>
      </w:r>
    </w:p>
    <w:p w14:paraId="2D13C055" w14:textId="77777777" w:rsidR="00D33488" w:rsidRPr="0015591A" w:rsidRDefault="00D33488" w:rsidP="003625BA">
      <w:r w:rsidRPr="0015591A">
        <w:t xml:space="preserve">Patterson, R., Webb, E., Hone, T., Millett, C. and Laverty, A.A. (2019). Associations of Public Transportation Use </w:t>
      </w:r>
      <w:proofErr w:type="gramStart"/>
      <w:r w:rsidRPr="0015591A">
        <w:t>With</w:t>
      </w:r>
      <w:proofErr w:type="gramEnd"/>
      <w:r w:rsidRPr="0015591A">
        <w:t xml:space="preserve"> Cardiometabolic Health: A Systematic Review and Meta-Analysis. </w:t>
      </w:r>
      <w:r w:rsidRPr="0015591A">
        <w:rPr>
          <w:i/>
          <w:iCs/>
        </w:rPr>
        <w:t>American Journal of Epidemiology</w:t>
      </w:r>
      <w:r w:rsidRPr="0015591A">
        <w:t xml:space="preserve">, 188(4), pp.785–795. </w:t>
      </w:r>
      <w:proofErr w:type="spellStart"/>
      <w:proofErr w:type="gramStart"/>
      <w:r w:rsidRPr="0015591A">
        <w:t>doi:https</w:t>
      </w:r>
      <w:proofErr w:type="spellEnd"/>
      <w:r w:rsidRPr="0015591A">
        <w:t>://doi.org/10.1093/</w:t>
      </w:r>
      <w:proofErr w:type="spellStart"/>
      <w:r w:rsidRPr="0015591A">
        <w:t>aje</w:t>
      </w:r>
      <w:proofErr w:type="spellEnd"/>
      <w:r w:rsidRPr="0015591A">
        <w:t>/kwz012</w:t>
      </w:r>
      <w:proofErr w:type="gramEnd"/>
      <w:r w:rsidRPr="0015591A">
        <w:t>.</w:t>
      </w:r>
    </w:p>
    <w:p w14:paraId="69C65105" w14:textId="77777777" w:rsidR="00D33488" w:rsidRPr="0015591A" w:rsidRDefault="00D33488" w:rsidP="00553B0F">
      <w:r w:rsidRPr="0015591A">
        <w:t xml:space="preserve">Public Health England (2016). </w:t>
      </w:r>
      <w:r w:rsidRPr="0015591A">
        <w:rPr>
          <w:i/>
          <w:iCs/>
        </w:rPr>
        <w:t>Government Dietary Recommendations Government Recommendations for Energy and Nutrients for Males and Females Aged 1 - 18 Years and 19+ Years</w:t>
      </w:r>
      <w:r w:rsidRPr="0015591A">
        <w:t xml:space="preserve">. </w:t>
      </w:r>
      <w:r w:rsidRPr="0015591A">
        <w:rPr>
          <w:i/>
          <w:iCs/>
        </w:rPr>
        <w:t>GOV.UK</w:t>
      </w:r>
      <w:r w:rsidRPr="0015591A">
        <w:t xml:space="preserve">, Public Health England, pp.6–11. Available at: </w:t>
      </w:r>
      <w:hyperlink r:id="rId15" w:history="1">
        <w:r w:rsidRPr="0015591A">
          <w:rPr>
            <w:rStyle w:val="Hyperlink"/>
          </w:rPr>
          <w:t>https://assets.publishing.service.gov.uk/government/uploads/system/uploads/attachment_data/file/618167/government_dietary_recommendations.pdf</w:t>
        </w:r>
      </w:hyperlink>
      <w:r w:rsidRPr="0015591A">
        <w:t>. (Accessed: 10 April 2026).</w:t>
      </w:r>
    </w:p>
    <w:p w14:paraId="781F2C57" w14:textId="77777777" w:rsidR="00D33488" w:rsidRPr="0015591A" w:rsidRDefault="00D33488" w:rsidP="006174C4">
      <w:r w:rsidRPr="0015591A">
        <w:lastRenderedPageBreak/>
        <w:t xml:space="preserve">Robinson, S., </w:t>
      </w:r>
      <w:proofErr w:type="spellStart"/>
      <w:r w:rsidRPr="0015591A">
        <w:t>Granic</w:t>
      </w:r>
      <w:proofErr w:type="spellEnd"/>
      <w:r w:rsidRPr="0015591A">
        <w:t xml:space="preserve">, A., Cruz-Jentoft, A.J. and Sayer, A.A. (2023). The role of nutrition in the prevention of sarcopenia. </w:t>
      </w:r>
      <w:r w:rsidRPr="0015591A">
        <w:rPr>
          <w:i/>
          <w:iCs/>
        </w:rPr>
        <w:t>The American Journal of Clinical Nutrition</w:t>
      </w:r>
      <w:r w:rsidRPr="0015591A">
        <w:t xml:space="preserve">, 118(5). </w:t>
      </w:r>
      <w:proofErr w:type="spellStart"/>
      <w:proofErr w:type="gramStart"/>
      <w:r w:rsidRPr="0015591A">
        <w:t>doi:https</w:t>
      </w:r>
      <w:proofErr w:type="spellEnd"/>
      <w:r w:rsidRPr="0015591A">
        <w:t>://doi.org/10.1016/j.ajcnut.2023.08.015</w:t>
      </w:r>
      <w:proofErr w:type="gramEnd"/>
      <w:r w:rsidRPr="0015591A">
        <w:t>.</w:t>
      </w:r>
    </w:p>
    <w:p w14:paraId="5EF50BA7" w14:textId="77777777" w:rsidR="00D33488" w:rsidRPr="0015591A" w:rsidRDefault="00D33488" w:rsidP="00EE13B8">
      <w:r w:rsidRPr="0015591A">
        <w:t xml:space="preserve">SACN (2011). </w:t>
      </w:r>
      <w:r w:rsidRPr="0015591A">
        <w:rPr>
          <w:i/>
          <w:iCs/>
        </w:rPr>
        <w:t>SACN Dietary Reference Values for Energy</w:t>
      </w:r>
      <w:r w:rsidRPr="0015591A">
        <w:t xml:space="preserve">. GOV.UK. Available at: </w:t>
      </w:r>
      <w:hyperlink r:id="rId16" w:history="1">
        <w:r w:rsidRPr="0015591A">
          <w:rPr>
            <w:rStyle w:val="Hyperlink"/>
          </w:rPr>
          <w:t>https://www.gov.uk/government/publications/sacn-dietary-reference-values-for-energy</w:t>
        </w:r>
      </w:hyperlink>
      <w:r w:rsidRPr="0015591A">
        <w:t>. (Accessed: 12 April 2026).</w:t>
      </w:r>
    </w:p>
    <w:p w14:paraId="79CCDDDB" w14:textId="77777777" w:rsidR="00D33488" w:rsidRPr="0015591A" w:rsidRDefault="00D33488" w:rsidP="002A7BE6">
      <w:r w:rsidRPr="0015591A">
        <w:t xml:space="preserve">Silva, P., Araújo, R., Lopes, F. and Ray, S. (2023). Nutrition and food literacy: Framing the challenges to health communication. </w:t>
      </w:r>
      <w:r w:rsidRPr="0015591A">
        <w:rPr>
          <w:i/>
          <w:iCs/>
        </w:rPr>
        <w:t>Nutrients</w:t>
      </w:r>
      <w:r w:rsidRPr="0015591A">
        <w:t xml:space="preserve">, [online] 15(22), p.4708. </w:t>
      </w:r>
      <w:proofErr w:type="spellStart"/>
      <w:proofErr w:type="gramStart"/>
      <w:r w:rsidRPr="0015591A">
        <w:t>doi:https</w:t>
      </w:r>
      <w:proofErr w:type="spellEnd"/>
      <w:r w:rsidRPr="0015591A">
        <w:t>://doi.org/10.3390/nu15224708</w:t>
      </w:r>
      <w:proofErr w:type="gramEnd"/>
      <w:r w:rsidRPr="0015591A">
        <w:t xml:space="preserve">. </w:t>
      </w:r>
    </w:p>
    <w:p w14:paraId="436812BE" w14:textId="77777777" w:rsidR="00D33488" w:rsidRPr="0015591A" w:rsidRDefault="00D33488" w:rsidP="005546CF">
      <w:r w:rsidRPr="0015591A">
        <w:t xml:space="preserve">The Chatty Café Scheme (2024) </w:t>
      </w:r>
      <w:r w:rsidRPr="0015591A">
        <w:rPr>
          <w:i/>
          <w:iCs/>
        </w:rPr>
        <w:t>St John's Methodist Church Llandudno</w:t>
      </w:r>
      <w:r w:rsidRPr="0015591A">
        <w:t xml:space="preserve">. Available at: </w:t>
      </w:r>
      <w:hyperlink r:id="rId17" w:tgtFrame="_blank" w:history="1">
        <w:r w:rsidRPr="0015591A">
          <w:rPr>
            <w:rStyle w:val="Hyperlink"/>
          </w:rPr>
          <w:t>https://thechattycafescheme.co.uk/venue/st-johns-methodist-church-llandudno/</w:t>
        </w:r>
      </w:hyperlink>
      <w:r w:rsidRPr="0015591A">
        <w:t xml:space="preserve"> (Accessed: 18 March 2026). </w:t>
      </w:r>
    </w:p>
    <w:sectPr w:rsidR="00D33488" w:rsidRPr="0015591A">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CEE6E8" w14:textId="77777777" w:rsidR="000F69BD" w:rsidRDefault="000F69BD" w:rsidP="00F835E3">
      <w:pPr>
        <w:spacing w:after="0" w:line="240" w:lineRule="auto"/>
      </w:pPr>
      <w:r>
        <w:separator/>
      </w:r>
    </w:p>
  </w:endnote>
  <w:endnote w:type="continuationSeparator" w:id="0">
    <w:p w14:paraId="340F678E" w14:textId="77777777" w:rsidR="000F69BD" w:rsidRDefault="000F69BD" w:rsidP="00F835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8419202"/>
      <w:docPartObj>
        <w:docPartGallery w:val="Page Numbers (Bottom of Page)"/>
        <w:docPartUnique/>
      </w:docPartObj>
    </w:sdtPr>
    <w:sdtEndPr/>
    <w:sdtContent>
      <w:sdt>
        <w:sdtPr>
          <w:id w:val="1728636285"/>
          <w:docPartObj>
            <w:docPartGallery w:val="Page Numbers (Top of Page)"/>
            <w:docPartUnique/>
          </w:docPartObj>
        </w:sdtPr>
        <w:sdtEndPr/>
        <w:sdtContent>
          <w:p w14:paraId="09ECDE88" w14:textId="64B4365F" w:rsidR="00D25643" w:rsidRDefault="00D25643">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36699670" w14:textId="77777777" w:rsidR="00F835E3" w:rsidRDefault="00F835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C8AA47" w14:textId="77777777" w:rsidR="000F69BD" w:rsidRDefault="000F69BD" w:rsidP="00F835E3">
      <w:pPr>
        <w:spacing w:after="0" w:line="240" w:lineRule="auto"/>
      </w:pPr>
      <w:r>
        <w:separator/>
      </w:r>
    </w:p>
  </w:footnote>
  <w:footnote w:type="continuationSeparator" w:id="0">
    <w:p w14:paraId="103FA78E" w14:textId="77777777" w:rsidR="000F69BD" w:rsidRDefault="000F69BD" w:rsidP="00F835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E546D"/>
    <w:multiLevelType w:val="multilevel"/>
    <w:tmpl w:val="38D4A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A404ED"/>
    <w:multiLevelType w:val="multilevel"/>
    <w:tmpl w:val="64E4E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5C4CB6"/>
    <w:multiLevelType w:val="multilevel"/>
    <w:tmpl w:val="5D143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827485"/>
    <w:multiLevelType w:val="multilevel"/>
    <w:tmpl w:val="A0C07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8410EE8"/>
    <w:multiLevelType w:val="multilevel"/>
    <w:tmpl w:val="F7BEB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A455B42"/>
    <w:multiLevelType w:val="multilevel"/>
    <w:tmpl w:val="67825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DE46A8"/>
    <w:multiLevelType w:val="multilevel"/>
    <w:tmpl w:val="CC0ED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07D6F2F"/>
    <w:multiLevelType w:val="multilevel"/>
    <w:tmpl w:val="7E0AB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AD878A6"/>
    <w:multiLevelType w:val="multilevel"/>
    <w:tmpl w:val="7F961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23969810">
    <w:abstractNumId w:val="5"/>
  </w:num>
  <w:num w:numId="2" w16cid:durableId="1888099210">
    <w:abstractNumId w:val="0"/>
  </w:num>
  <w:num w:numId="3" w16cid:durableId="1088884537">
    <w:abstractNumId w:val="6"/>
  </w:num>
  <w:num w:numId="4" w16cid:durableId="769274009">
    <w:abstractNumId w:val="2"/>
  </w:num>
  <w:num w:numId="5" w16cid:durableId="438136441">
    <w:abstractNumId w:val="1"/>
  </w:num>
  <w:num w:numId="6" w16cid:durableId="1127046074">
    <w:abstractNumId w:val="3"/>
  </w:num>
  <w:num w:numId="7" w16cid:durableId="179781573">
    <w:abstractNumId w:val="4"/>
  </w:num>
  <w:num w:numId="8" w16cid:durableId="1898279594">
    <w:abstractNumId w:val="7"/>
  </w:num>
  <w:num w:numId="9" w16cid:durableId="17249915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3CA"/>
    <w:rsid w:val="00000AE8"/>
    <w:rsid w:val="00002906"/>
    <w:rsid w:val="000101E6"/>
    <w:rsid w:val="0001249A"/>
    <w:rsid w:val="00020C0D"/>
    <w:rsid w:val="000222EF"/>
    <w:rsid w:val="0002721D"/>
    <w:rsid w:val="00030905"/>
    <w:rsid w:val="00045118"/>
    <w:rsid w:val="000451B2"/>
    <w:rsid w:val="0005289A"/>
    <w:rsid w:val="00057173"/>
    <w:rsid w:val="00070F71"/>
    <w:rsid w:val="0007548B"/>
    <w:rsid w:val="00080765"/>
    <w:rsid w:val="00086392"/>
    <w:rsid w:val="000867EF"/>
    <w:rsid w:val="0009348C"/>
    <w:rsid w:val="000A0203"/>
    <w:rsid w:val="000A61BD"/>
    <w:rsid w:val="000B420C"/>
    <w:rsid w:val="000B4AC5"/>
    <w:rsid w:val="000C37B0"/>
    <w:rsid w:val="000C3FF5"/>
    <w:rsid w:val="000D567B"/>
    <w:rsid w:val="000E1471"/>
    <w:rsid w:val="000E3AEF"/>
    <w:rsid w:val="000F0680"/>
    <w:rsid w:val="000F10D2"/>
    <w:rsid w:val="000F53E7"/>
    <w:rsid w:val="000F69BD"/>
    <w:rsid w:val="001004BE"/>
    <w:rsid w:val="00102555"/>
    <w:rsid w:val="00105991"/>
    <w:rsid w:val="00110F91"/>
    <w:rsid w:val="00114382"/>
    <w:rsid w:val="00116FD5"/>
    <w:rsid w:val="00121D08"/>
    <w:rsid w:val="001231A5"/>
    <w:rsid w:val="00142395"/>
    <w:rsid w:val="0014717E"/>
    <w:rsid w:val="001540AE"/>
    <w:rsid w:val="00155124"/>
    <w:rsid w:val="0015591A"/>
    <w:rsid w:val="00155C58"/>
    <w:rsid w:val="001566D7"/>
    <w:rsid w:val="00170B9F"/>
    <w:rsid w:val="00170C39"/>
    <w:rsid w:val="001741AD"/>
    <w:rsid w:val="00176165"/>
    <w:rsid w:val="00180C85"/>
    <w:rsid w:val="00183E4D"/>
    <w:rsid w:val="00191546"/>
    <w:rsid w:val="00197D3F"/>
    <w:rsid w:val="001A065F"/>
    <w:rsid w:val="001B4B3F"/>
    <w:rsid w:val="001C36A9"/>
    <w:rsid w:val="001D5F59"/>
    <w:rsid w:val="001E4275"/>
    <w:rsid w:val="001E6C08"/>
    <w:rsid w:val="001F60F3"/>
    <w:rsid w:val="002016B7"/>
    <w:rsid w:val="00201B60"/>
    <w:rsid w:val="002026C0"/>
    <w:rsid w:val="0020796D"/>
    <w:rsid w:val="00210481"/>
    <w:rsid w:val="00221729"/>
    <w:rsid w:val="0022254E"/>
    <w:rsid w:val="00237390"/>
    <w:rsid w:val="002409DD"/>
    <w:rsid w:val="002528FA"/>
    <w:rsid w:val="002529F0"/>
    <w:rsid w:val="00253C55"/>
    <w:rsid w:val="00254ABD"/>
    <w:rsid w:val="00261F29"/>
    <w:rsid w:val="002805C8"/>
    <w:rsid w:val="002830CF"/>
    <w:rsid w:val="00291A3D"/>
    <w:rsid w:val="00292508"/>
    <w:rsid w:val="002970CC"/>
    <w:rsid w:val="002A1D83"/>
    <w:rsid w:val="002A4AE0"/>
    <w:rsid w:val="002A7BE6"/>
    <w:rsid w:val="002B5983"/>
    <w:rsid w:val="002C4CC5"/>
    <w:rsid w:val="002C730D"/>
    <w:rsid w:val="002D4BED"/>
    <w:rsid w:val="002E4A8F"/>
    <w:rsid w:val="002F2171"/>
    <w:rsid w:val="0030455A"/>
    <w:rsid w:val="00316642"/>
    <w:rsid w:val="00317C3F"/>
    <w:rsid w:val="00321205"/>
    <w:rsid w:val="00325DA1"/>
    <w:rsid w:val="00336582"/>
    <w:rsid w:val="00343C83"/>
    <w:rsid w:val="00343E96"/>
    <w:rsid w:val="00343F30"/>
    <w:rsid w:val="00344E85"/>
    <w:rsid w:val="003625BA"/>
    <w:rsid w:val="00364D3E"/>
    <w:rsid w:val="00371773"/>
    <w:rsid w:val="00397315"/>
    <w:rsid w:val="003A0EFA"/>
    <w:rsid w:val="003B0473"/>
    <w:rsid w:val="003B1183"/>
    <w:rsid w:val="003B2594"/>
    <w:rsid w:val="003C31C7"/>
    <w:rsid w:val="003C5152"/>
    <w:rsid w:val="003E525D"/>
    <w:rsid w:val="00401B67"/>
    <w:rsid w:val="00402C76"/>
    <w:rsid w:val="0040439C"/>
    <w:rsid w:val="00420A1A"/>
    <w:rsid w:val="0042377F"/>
    <w:rsid w:val="00423E39"/>
    <w:rsid w:val="00433BFC"/>
    <w:rsid w:val="00444559"/>
    <w:rsid w:val="004526C1"/>
    <w:rsid w:val="00455C93"/>
    <w:rsid w:val="00455EB9"/>
    <w:rsid w:val="00457809"/>
    <w:rsid w:val="00460358"/>
    <w:rsid w:val="004647DB"/>
    <w:rsid w:val="00464A6E"/>
    <w:rsid w:val="004705AB"/>
    <w:rsid w:val="00471BC5"/>
    <w:rsid w:val="0047280C"/>
    <w:rsid w:val="00477C3D"/>
    <w:rsid w:val="00483D99"/>
    <w:rsid w:val="004A1B94"/>
    <w:rsid w:val="004B0CF8"/>
    <w:rsid w:val="004B6E91"/>
    <w:rsid w:val="004C3FD2"/>
    <w:rsid w:val="004D00B4"/>
    <w:rsid w:val="004E4428"/>
    <w:rsid w:val="004F6843"/>
    <w:rsid w:val="004F7B40"/>
    <w:rsid w:val="005031ED"/>
    <w:rsid w:val="0050570C"/>
    <w:rsid w:val="00511F39"/>
    <w:rsid w:val="005232D5"/>
    <w:rsid w:val="00542A50"/>
    <w:rsid w:val="0054672E"/>
    <w:rsid w:val="005527A6"/>
    <w:rsid w:val="00553007"/>
    <w:rsid w:val="00553B0F"/>
    <w:rsid w:val="005546CF"/>
    <w:rsid w:val="0055707E"/>
    <w:rsid w:val="00560D0C"/>
    <w:rsid w:val="00563965"/>
    <w:rsid w:val="00564523"/>
    <w:rsid w:val="00565C7B"/>
    <w:rsid w:val="00576FD2"/>
    <w:rsid w:val="005802B4"/>
    <w:rsid w:val="0058410D"/>
    <w:rsid w:val="005864DF"/>
    <w:rsid w:val="0059109B"/>
    <w:rsid w:val="0059299B"/>
    <w:rsid w:val="005B4620"/>
    <w:rsid w:val="005B557C"/>
    <w:rsid w:val="005B7ABF"/>
    <w:rsid w:val="005C2230"/>
    <w:rsid w:val="005C60D8"/>
    <w:rsid w:val="005D0BF6"/>
    <w:rsid w:val="005D2280"/>
    <w:rsid w:val="005D3DC9"/>
    <w:rsid w:val="005E2055"/>
    <w:rsid w:val="005E4567"/>
    <w:rsid w:val="005E48A5"/>
    <w:rsid w:val="005F421F"/>
    <w:rsid w:val="006174C4"/>
    <w:rsid w:val="00620F40"/>
    <w:rsid w:val="006278DD"/>
    <w:rsid w:val="00635F28"/>
    <w:rsid w:val="006374D2"/>
    <w:rsid w:val="00641106"/>
    <w:rsid w:val="00644258"/>
    <w:rsid w:val="00645B29"/>
    <w:rsid w:val="00646E11"/>
    <w:rsid w:val="00654E9E"/>
    <w:rsid w:val="00661E49"/>
    <w:rsid w:val="00662D6C"/>
    <w:rsid w:val="00666579"/>
    <w:rsid w:val="00693989"/>
    <w:rsid w:val="006A3EBC"/>
    <w:rsid w:val="006A6A57"/>
    <w:rsid w:val="006B25EA"/>
    <w:rsid w:val="006C1EE8"/>
    <w:rsid w:val="006D1244"/>
    <w:rsid w:val="006D1D04"/>
    <w:rsid w:val="006D4057"/>
    <w:rsid w:val="006D6916"/>
    <w:rsid w:val="006E672F"/>
    <w:rsid w:val="006F3683"/>
    <w:rsid w:val="00703D18"/>
    <w:rsid w:val="00711E6A"/>
    <w:rsid w:val="00721C67"/>
    <w:rsid w:val="007247D4"/>
    <w:rsid w:val="007338B7"/>
    <w:rsid w:val="0074553E"/>
    <w:rsid w:val="00745707"/>
    <w:rsid w:val="00750794"/>
    <w:rsid w:val="0076132C"/>
    <w:rsid w:val="00765A02"/>
    <w:rsid w:val="00765BC2"/>
    <w:rsid w:val="0077198A"/>
    <w:rsid w:val="007842D7"/>
    <w:rsid w:val="00785F1E"/>
    <w:rsid w:val="00786859"/>
    <w:rsid w:val="007B2A1B"/>
    <w:rsid w:val="007B2F0B"/>
    <w:rsid w:val="007D44CA"/>
    <w:rsid w:val="007D4D8C"/>
    <w:rsid w:val="007E352A"/>
    <w:rsid w:val="00814F6C"/>
    <w:rsid w:val="00834537"/>
    <w:rsid w:val="00843907"/>
    <w:rsid w:val="00851287"/>
    <w:rsid w:val="0085501D"/>
    <w:rsid w:val="00856351"/>
    <w:rsid w:val="0086139A"/>
    <w:rsid w:val="00862120"/>
    <w:rsid w:val="008706B2"/>
    <w:rsid w:val="008806C1"/>
    <w:rsid w:val="00881C80"/>
    <w:rsid w:val="00882AC5"/>
    <w:rsid w:val="00892574"/>
    <w:rsid w:val="008A79ED"/>
    <w:rsid w:val="008C23F3"/>
    <w:rsid w:val="008C3D3C"/>
    <w:rsid w:val="008C477E"/>
    <w:rsid w:val="008C5B60"/>
    <w:rsid w:val="008C7A11"/>
    <w:rsid w:val="008D0AFE"/>
    <w:rsid w:val="008D2F61"/>
    <w:rsid w:val="008D3BC1"/>
    <w:rsid w:val="008D7D66"/>
    <w:rsid w:val="008E2966"/>
    <w:rsid w:val="008F35EC"/>
    <w:rsid w:val="009206EF"/>
    <w:rsid w:val="009323FD"/>
    <w:rsid w:val="00932A50"/>
    <w:rsid w:val="00935B93"/>
    <w:rsid w:val="0094105E"/>
    <w:rsid w:val="0095418F"/>
    <w:rsid w:val="00963ABC"/>
    <w:rsid w:val="00967665"/>
    <w:rsid w:val="00970570"/>
    <w:rsid w:val="00974860"/>
    <w:rsid w:val="009851E0"/>
    <w:rsid w:val="009A1F9B"/>
    <w:rsid w:val="009A2F54"/>
    <w:rsid w:val="009A6863"/>
    <w:rsid w:val="009A6E98"/>
    <w:rsid w:val="009A7D86"/>
    <w:rsid w:val="009B6758"/>
    <w:rsid w:val="009C558D"/>
    <w:rsid w:val="009D024B"/>
    <w:rsid w:val="009D5080"/>
    <w:rsid w:val="009D6481"/>
    <w:rsid w:val="009F1CFA"/>
    <w:rsid w:val="009F3F68"/>
    <w:rsid w:val="00A035EC"/>
    <w:rsid w:val="00A04096"/>
    <w:rsid w:val="00A0623A"/>
    <w:rsid w:val="00A103A9"/>
    <w:rsid w:val="00A11316"/>
    <w:rsid w:val="00A22738"/>
    <w:rsid w:val="00A30B53"/>
    <w:rsid w:val="00A348B8"/>
    <w:rsid w:val="00A4674B"/>
    <w:rsid w:val="00A52D8A"/>
    <w:rsid w:val="00A5304D"/>
    <w:rsid w:val="00A55650"/>
    <w:rsid w:val="00A55801"/>
    <w:rsid w:val="00A65C7B"/>
    <w:rsid w:val="00A66B1C"/>
    <w:rsid w:val="00A73478"/>
    <w:rsid w:val="00A76401"/>
    <w:rsid w:val="00A81350"/>
    <w:rsid w:val="00A918C0"/>
    <w:rsid w:val="00AA1030"/>
    <w:rsid w:val="00AA1F34"/>
    <w:rsid w:val="00AA73CA"/>
    <w:rsid w:val="00AC1F5E"/>
    <w:rsid w:val="00AC4D98"/>
    <w:rsid w:val="00AD09C9"/>
    <w:rsid w:val="00AE0476"/>
    <w:rsid w:val="00AE2C02"/>
    <w:rsid w:val="00B07E03"/>
    <w:rsid w:val="00B12F97"/>
    <w:rsid w:val="00B130F6"/>
    <w:rsid w:val="00B21035"/>
    <w:rsid w:val="00B22A73"/>
    <w:rsid w:val="00B2456E"/>
    <w:rsid w:val="00B24E2D"/>
    <w:rsid w:val="00B2622A"/>
    <w:rsid w:val="00B34077"/>
    <w:rsid w:val="00B45194"/>
    <w:rsid w:val="00B4526A"/>
    <w:rsid w:val="00B55610"/>
    <w:rsid w:val="00B66C6C"/>
    <w:rsid w:val="00B66EA6"/>
    <w:rsid w:val="00B763B2"/>
    <w:rsid w:val="00B92DA5"/>
    <w:rsid w:val="00B94CB8"/>
    <w:rsid w:val="00B96774"/>
    <w:rsid w:val="00B97C76"/>
    <w:rsid w:val="00BA0B7E"/>
    <w:rsid w:val="00BA243F"/>
    <w:rsid w:val="00BA52C1"/>
    <w:rsid w:val="00BA632F"/>
    <w:rsid w:val="00BD7FE8"/>
    <w:rsid w:val="00BE1791"/>
    <w:rsid w:val="00BE22CC"/>
    <w:rsid w:val="00BE3A6A"/>
    <w:rsid w:val="00BE56D1"/>
    <w:rsid w:val="00BE723F"/>
    <w:rsid w:val="00BF132F"/>
    <w:rsid w:val="00BF2FA7"/>
    <w:rsid w:val="00C02639"/>
    <w:rsid w:val="00C07858"/>
    <w:rsid w:val="00C07B3E"/>
    <w:rsid w:val="00C15E37"/>
    <w:rsid w:val="00C26FCF"/>
    <w:rsid w:val="00C271DC"/>
    <w:rsid w:val="00C30DCC"/>
    <w:rsid w:val="00C31BBD"/>
    <w:rsid w:val="00C424C1"/>
    <w:rsid w:val="00C45F04"/>
    <w:rsid w:val="00C500DA"/>
    <w:rsid w:val="00C56039"/>
    <w:rsid w:val="00C67812"/>
    <w:rsid w:val="00C76595"/>
    <w:rsid w:val="00C81258"/>
    <w:rsid w:val="00C81EAB"/>
    <w:rsid w:val="00C9550E"/>
    <w:rsid w:val="00CA391F"/>
    <w:rsid w:val="00CA4735"/>
    <w:rsid w:val="00CA727D"/>
    <w:rsid w:val="00CB09AC"/>
    <w:rsid w:val="00CC15A8"/>
    <w:rsid w:val="00CC666D"/>
    <w:rsid w:val="00CD3D93"/>
    <w:rsid w:val="00CD448F"/>
    <w:rsid w:val="00CE1999"/>
    <w:rsid w:val="00CE2E43"/>
    <w:rsid w:val="00CE4C5B"/>
    <w:rsid w:val="00CE6208"/>
    <w:rsid w:val="00CE7ED0"/>
    <w:rsid w:val="00CF2A82"/>
    <w:rsid w:val="00CF4557"/>
    <w:rsid w:val="00CF542F"/>
    <w:rsid w:val="00D00010"/>
    <w:rsid w:val="00D0272C"/>
    <w:rsid w:val="00D036A6"/>
    <w:rsid w:val="00D15916"/>
    <w:rsid w:val="00D254A6"/>
    <w:rsid w:val="00D25643"/>
    <w:rsid w:val="00D31516"/>
    <w:rsid w:val="00D33488"/>
    <w:rsid w:val="00D35074"/>
    <w:rsid w:val="00D40283"/>
    <w:rsid w:val="00D46B72"/>
    <w:rsid w:val="00D5322F"/>
    <w:rsid w:val="00D5323C"/>
    <w:rsid w:val="00D54E71"/>
    <w:rsid w:val="00D57C7C"/>
    <w:rsid w:val="00D6018A"/>
    <w:rsid w:val="00D60D4F"/>
    <w:rsid w:val="00D85B4F"/>
    <w:rsid w:val="00D957B3"/>
    <w:rsid w:val="00DA30D8"/>
    <w:rsid w:val="00DA52E7"/>
    <w:rsid w:val="00DB1CDB"/>
    <w:rsid w:val="00DC3969"/>
    <w:rsid w:val="00DD4E5D"/>
    <w:rsid w:val="00DE2378"/>
    <w:rsid w:val="00DE2619"/>
    <w:rsid w:val="00DE37F5"/>
    <w:rsid w:val="00DE4FC6"/>
    <w:rsid w:val="00E0022D"/>
    <w:rsid w:val="00E021F3"/>
    <w:rsid w:val="00E0772F"/>
    <w:rsid w:val="00E1349A"/>
    <w:rsid w:val="00E242C8"/>
    <w:rsid w:val="00E27641"/>
    <w:rsid w:val="00E40914"/>
    <w:rsid w:val="00E43FAF"/>
    <w:rsid w:val="00E458FF"/>
    <w:rsid w:val="00E604AD"/>
    <w:rsid w:val="00E67BE6"/>
    <w:rsid w:val="00E70489"/>
    <w:rsid w:val="00E7328C"/>
    <w:rsid w:val="00EA1BC9"/>
    <w:rsid w:val="00EA5A03"/>
    <w:rsid w:val="00EB3237"/>
    <w:rsid w:val="00EB5ECF"/>
    <w:rsid w:val="00EC535C"/>
    <w:rsid w:val="00EC7873"/>
    <w:rsid w:val="00ED0EC2"/>
    <w:rsid w:val="00ED3301"/>
    <w:rsid w:val="00ED7817"/>
    <w:rsid w:val="00EE13B8"/>
    <w:rsid w:val="00EE79A7"/>
    <w:rsid w:val="00EF38EC"/>
    <w:rsid w:val="00EF3FC5"/>
    <w:rsid w:val="00F020C8"/>
    <w:rsid w:val="00F0241D"/>
    <w:rsid w:val="00F22978"/>
    <w:rsid w:val="00F25A9D"/>
    <w:rsid w:val="00F315B0"/>
    <w:rsid w:val="00F31807"/>
    <w:rsid w:val="00F37028"/>
    <w:rsid w:val="00F4370F"/>
    <w:rsid w:val="00F5563C"/>
    <w:rsid w:val="00F74EE9"/>
    <w:rsid w:val="00F7570A"/>
    <w:rsid w:val="00F831D7"/>
    <w:rsid w:val="00F835E3"/>
    <w:rsid w:val="00F85CE6"/>
    <w:rsid w:val="00F905CA"/>
    <w:rsid w:val="00F94BA5"/>
    <w:rsid w:val="00F963E2"/>
    <w:rsid w:val="00FA0ED2"/>
    <w:rsid w:val="00FA1C66"/>
    <w:rsid w:val="00FA2E67"/>
    <w:rsid w:val="00FA4CD4"/>
    <w:rsid w:val="00FA4F00"/>
    <w:rsid w:val="00FA61B6"/>
    <w:rsid w:val="00FC3291"/>
    <w:rsid w:val="00FC411F"/>
    <w:rsid w:val="00FC6435"/>
    <w:rsid w:val="00FD20F1"/>
    <w:rsid w:val="00FE5C27"/>
    <w:rsid w:val="00FF00C7"/>
    <w:rsid w:val="00FF27D7"/>
    <w:rsid w:val="00FF2A24"/>
    <w:rsid w:val="00FF55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02A89"/>
  <w15:chartTrackingRefBased/>
  <w15:docId w15:val="{54E50A18-9D11-4703-80FB-2612E9526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73C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A73C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A73C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A73C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A73C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A73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73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73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73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73C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A73C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A73C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A73C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A73C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A73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73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73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73CA"/>
    <w:rPr>
      <w:rFonts w:eastAsiaTheme="majorEastAsia" w:cstheme="majorBidi"/>
      <w:color w:val="272727" w:themeColor="text1" w:themeTint="D8"/>
    </w:rPr>
  </w:style>
  <w:style w:type="paragraph" w:styleId="Title">
    <w:name w:val="Title"/>
    <w:basedOn w:val="Normal"/>
    <w:next w:val="Normal"/>
    <w:link w:val="TitleChar"/>
    <w:uiPriority w:val="10"/>
    <w:qFormat/>
    <w:rsid w:val="00AA73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73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73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73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73CA"/>
    <w:pPr>
      <w:spacing w:before="160"/>
      <w:jc w:val="center"/>
    </w:pPr>
    <w:rPr>
      <w:i/>
      <w:iCs/>
      <w:color w:val="404040" w:themeColor="text1" w:themeTint="BF"/>
    </w:rPr>
  </w:style>
  <w:style w:type="character" w:customStyle="1" w:styleId="QuoteChar">
    <w:name w:val="Quote Char"/>
    <w:basedOn w:val="DefaultParagraphFont"/>
    <w:link w:val="Quote"/>
    <w:uiPriority w:val="29"/>
    <w:rsid w:val="00AA73CA"/>
    <w:rPr>
      <w:i/>
      <w:iCs/>
      <w:color w:val="404040" w:themeColor="text1" w:themeTint="BF"/>
    </w:rPr>
  </w:style>
  <w:style w:type="paragraph" w:styleId="ListParagraph">
    <w:name w:val="List Paragraph"/>
    <w:basedOn w:val="Normal"/>
    <w:uiPriority w:val="34"/>
    <w:qFormat/>
    <w:rsid w:val="00AA73CA"/>
    <w:pPr>
      <w:ind w:left="720"/>
      <w:contextualSpacing/>
    </w:pPr>
  </w:style>
  <w:style w:type="character" w:styleId="IntenseEmphasis">
    <w:name w:val="Intense Emphasis"/>
    <w:basedOn w:val="DefaultParagraphFont"/>
    <w:uiPriority w:val="21"/>
    <w:qFormat/>
    <w:rsid w:val="00AA73CA"/>
    <w:rPr>
      <w:i/>
      <w:iCs/>
      <w:color w:val="2F5496" w:themeColor="accent1" w:themeShade="BF"/>
    </w:rPr>
  </w:style>
  <w:style w:type="paragraph" w:styleId="IntenseQuote">
    <w:name w:val="Intense Quote"/>
    <w:basedOn w:val="Normal"/>
    <w:next w:val="Normal"/>
    <w:link w:val="IntenseQuoteChar"/>
    <w:uiPriority w:val="30"/>
    <w:qFormat/>
    <w:rsid w:val="00AA73C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A73CA"/>
    <w:rPr>
      <w:i/>
      <w:iCs/>
      <w:color w:val="2F5496" w:themeColor="accent1" w:themeShade="BF"/>
    </w:rPr>
  </w:style>
  <w:style w:type="character" w:styleId="IntenseReference">
    <w:name w:val="Intense Reference"/>
    <w:basedOn w:val="DefaultParagraphFont"/>
    <w:uiPriority w:val="32"/>
    <w:qFormat/>
    <w:rsid w:val="00AA73CA"/>
    <w:rPr>
      <w:b/>
      <w:bCs/>
      <w:smallCaps/>
      <w:color w:val="2F5496" w:themeColor="accent1" w:themeShade="BF"/>
      <w:spacing w:val="5"/>
    </w:rPr>
  </w:style>
  <w:style w:type="character" w:styleId="Hyperlink">
    <w:name w:val="Hyperlink"/>
    <w:basedOn w:val="DefaultParagraphFont"/>
    <w:uiPriority w:val="99"/>
    <w:unhideWhenUsed/>
    <w:rsid w:val="00AA73CA"/>
    <w:rPr>
      <w:color w:val="0563C1" w:themeColor="hyperlink"/>
      <w:u w:val="single"/>
    </w:rPr>
  </w:style>
  <w:style w:type="character" w:styleId="UnresolvedMention">
    <w:name w:val="Unresolved Mention"/>
    <w:basedOn w:val="DefaultParagraphFont"/>
    <w:uiPriority w:val="99"/>
    <w:semiHidden/>
    <w:unhideWhenUsed/>
    <w:rsid w:val="00AA73CA"/>
    <w:rPr>
      <w:color w:val="605E5C"/>
      <w:shd w:val="clear" w:color="auto" w:fill="E1DFDD"/>
    </w:rPr>
  </w:style>
  <w:style w:type="paragraph" w:styleId="NormalWeb">
    <w:name w:val="Normal (Web)"/>
    <w:basedOn w:val="Normal"/>
    <w:uiPriority w:val="99"/>
    <w:semiHidden/>
    <w:unhideWhenUsed/>
    <w:rsid w:val="00121D0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9A6E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835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35E3"/>
  </w:style>
  <w:style w:type="paragraph" w:styleId="Footer">
    <w:name w:val="footer"/>
    <w:basedOn w:val="Normal"/>
    <w:link w:val="FooterChar"/>
    <w:uiPriority w:val="99"/>
    <w:unhideWhenUsed/>
    <w:rsid w:val="00F835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35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egreatfitness.org/" TargetMode="External"/><Relationship Id="rId13" Type="http://schemas.openxmlformats.org/officeDocument/2006/relationships/hyperlink" Target="https://www.nhs.uk/conditions/vitamins-and-minerals/vitamin-d/"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ombusandrail.im/" TargetMode="External"/><Relationship Id="rId17" Type="http://schemas.openxmlformats.org/officeDocument/2006/relationships/hyperlink" Target="https://thechattycafescheme.co.uk/venue/st-johns-methodist-church-llandudno/" TargetMode="External"/><Relationship Id="rId2" Type="http://schemas.openxmlformats.org/officeDocument/2006/relationships/numbering" Target="numbering.xml"/><Relationship Id="rId16" Type="http://schemas.openxmlformats.org/officeDocument/2006/relationships/hyperlink" Target="https://www.gov.uk/government/publications/sacn-dietary-reference-values-for-energ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ombusandrail.im/fares-and-go-cards/go-cards/" TargetMode="External"/><Relationship Id="rId5" Type="http://schemas.openxmlformats.org/officeDocument/2006/relationships/webSettings" Target="webSettings.xml"/><Relationship Id="rId15" Type="http://schemas.openxmlformats.org/officeDocument/2006/relationships/hyperlink" Target="https://assets.publishing.service.gov.uk/government/uploads/system/uploads/attachment_data/file/618167/government_dietary_recommendations.pdf" TargetMode="External"/><Relationship Id="rId10" Type="http://schemas.openxmlformats.org/officeDocument/2006/relationships/hyperlink" Target="https://www.careengland.org.uk/fitness_tw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areengland.org.uk/care-england-announces-first-ever-ambassador-to-champion-fitness-and-wellbeing-in-care-homes/" TargetMode="External"/><Relationship Id="rId14" Type="http://schemas.openxmlformats.org/officeDocument/2006/relationships/hyperlink" Target="https://www.nhs.uk/better-health/lose-weight/calorie-coun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7161C4-05DB-4025-AF9F-1F886080E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3500</Words>
  <Characters>19956</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Vernon (2304964)</dc:creator>
  <cp:keywords/>
  <dc:description/>
  <cp:lastModifiedBy>Emily Vernon (2304964)</cp:lastModifiedBy>
  <cp:revision>2</cp:revision>
  <dcterms:created xsi:type="dcterms:W3CDTF">2026-04-23T10:54:00Z</dcterms:created>
  <dcterms:modified xsi:type="dcterms:W3CDTF">2026-04-23T10:54:00Z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83dafebb-2f4c-4504-836a-ed5343953846</vt:lpwstr>
  </property>
</Properties>
</file>