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231" w:rsidRDefault="00A45C68" w:rsidP="00A45C68">
      <w:pPr>
        <w:jc w:val="center"/>
        <w:rPr>
          <w:u w:val="single"/>
        </w:rPr>
      </w:pPr>
      <w:r w:rsidRPr="00A45C68">
        <w:rPr>
          <w:u w:val="single"/>
        </w:rPr>
        <w:t>Design a person-centred se</w:t>
      </w:r>
      <w:r w:rsidR="00870904">
        <w:rPr>
          <w:u w:val="single"/>
        </w:rPr>
        <w:t xml:space="preserve">rvice for vulnerable children. </w:t>
      </w:r>
    </w:p>
    <w:p w:rsidR="00B142CE" w:rsidRDefault="00B142CE" w:rsidP="00A45C68"/>
    <w:p w:rsidR="00AD5D67" w:rsidRDefault="00912A93" w:rsidP="00912A93">
      <w:r>
        <w:t>Person-centred planning is creating a holistic approach to</w:t>
      </w:r>
      <w:r w:rsidR="00F53657">
        <w:t>wards</w:t>
      </w:r>
      <w:r>
        <w:t xml:space="preserve"> aiding those with a disability to be given the same rights and </w:t>
      </w:r>
      <w:r w:rsidR="00F53657">
        <w:t>opportunities</w:t>
      </w:r>
      <w:r>
        <w:t xml:space="preserve"> as those without. This is supported by</w:t>
      </w:r>
      <w:r w:rsidR="00131FE7">
        <w:t xml:space="preserve"> </w:t>
      </w:r>
      <w:proofErr w:type="spellStart"/>
      <w:r>
        <w:t>Laylock</w:t>
      </w:r>
      <w:proofErr w:type="spellEnd"/>
      <w:r>
        <w:t xml:space="preserve"> </w:t>
      </w:r>
      <w:r w:rsidR="00131FE7">
        <w:t>(2004)</w:t>
      </w:r>
      <w:r>
        <w:t xml:space="preserve"> who states that “Person centred planning is rooted in the belief that people with disabilities are entitled to the same rights, opportunities and choices as other members of the community.” </w:t>
      </w:r>
      <w:r w:rsidR="00131FE7">
        <w:t xml:space="preserve"> </w:t>
      </w:r>
      <w:r w:rsidR="00AD5D67">
        <w:t>Person-centred planning became Government policy in 2001 via the Department of Health’s “Valuing People” report which outlined the 4 guiding principles of aiding those with disabilities which were “Rights, Independent Living, Control and Inclusion”. By this, they mean that the aim of the project is to help realise that people with disabilities have the same rights as everyone else, having the support to live and travel where they would like and to be able to participate in their community. It was later updated in 2009 under the title of “Valuing People Now</w:t>
      </w:r>
      <w:r w:rsidR="003F0024">
        <w:t>”.</w:t>
      </w:r>
      <w:r w:rsidR="00AD5D67">
        <w:t xml:space="preserve"> </w:t>
      </w:r>
      <w:r w:rsidR="003F0024">
        <w:t xml:space="preserve"> </w:t>
      </w:r>
      <w:r w:rsidR="00AD5D67">
        <w:t>In it, it states that “</w:t>
      </w:r>
      <w:r w:rsidR="003F0024">
        <w:t>This strategy is written from a human rights based approach, on the fundamental principle that people with learning disabilities have the same human rights as everyone else”.</w:t>
      </w:r>
      <w:r w:rsidR="00D13066">
        <w:t xml:space="preserve"> This has been incorporated into all person-centred planning approaches that are used today.</w:t>
      </w:r>
    </w:p>
    <w:p w:rsidR="003F0024" w:rsidRDefault="00B142CE" w:rsidP="00A45C68">
      <w:r>
        <w:t>Person-centred planning is important in today’s society. It has many key roles in enabling t</w:t>
      </w:r>
      <w:r w:rsidR="00AD5D67">
        <w:t xml:space="preserve">hose who are less privileged </w:t>
      </w:r>
      <w:r>
        <w:t>than the majority of the members of society</w:t>
      </w:r>
      <w:r w:rsidR="00A82EBE">
        <w:t xml:space="preserve"> to reach their potential in education and their day to day lives</w:t>
      </w:r>
      <w:r>
        <w:t>. It aim</w:t>
      </w:r>
      <w:r w:rsidR="00AD5D67">
        <w:t>s to improve the lives of people with disabilities by incorporating</w:t>
      </w:r>
      <w:r>
        <w:t xml:space="preserve"> the many typ</w:t>
      </w:r>
      <w:r w:rsidR="00AD5D67">
        <w:t>es of person-centred planning and</w:t>
      </w:r>
      <w:r>
        <w:t xml:space="preserve"> empowering people to feel and realise that they have the same capabilities as everyone else and shows them that they do have a choice in what they can do and how they do it.</w:t>
      </w:r>
      <w:r w:rsidR="00F017E4">
        <w:t xml:space="preserve"> It should also enable people to become autonomous and take control of their own life, helping people to look after themselves and make decisions instead of people making them for them.</w:t>
      </w:r>
      <w:r w:rsidR="00A82EBE">
        <w:t xml:space="preserve"> For others who do need constant support, it can help plan around their needs and interests to help make sure that they achieve their wants and goals with the support of close friends and family. </w:t>
      </w:r>
    </w:p>
    <w:p w:rsidR="00A45C68" w:rsidRDefault="00A82EBE" w:rsidP="00A45C68">
      <w:r>
        <w:t xml:space="preserve">Due to the many different approaches to person-centred planning, it is important to weigh up the benefits and disadvantages of each approach to utilize the best aspects from each when incorporating it into a person-centred service. This can be a range of things such </w:t>
      </w:r>
      <w:r w:rsidR="007A2902">
        <w:t xml:space="preserve">as incorporating key workers to assign to each individual to aid them or creating a team of family members and friends to volunteer to come up with a plan of action for the individual to help them towards their goals. The main component of each of these should be the individual themselves and evaluate what would work best for them. </w:t>
      </w:r>
      <w:r w:rsidR="008D217C">
        <w:t xml:space="preserve">The group </w:t>
      </w:r>
      <w:r w:rsidR="00091377">
        <w:t>that will be focused</w:t>
      </w:r>
      <w:r w:rsidR="008D217C">
        <w:t xml:space="preserve"> on</w:t>
      </w:r>
      <w:r w:rsidR="00091377">
        <w:t xml:space="preserve"> in this service</w:t>
      </w:r>
      <w:r w:rsidR="008D217C">
        <w:t xml:space="preserve"> is children </w:t>
      </w:r>
      <w:r w:rsidR="00091377">
        <w:t xml:space="preserve">with </w:t>
      </w:r>
      <w:r w:rsidR="008D217C">
        <w:t>Autism Spectrum Disorder (ASD)</w:t>
      </w:r>
      <w:r w:rsidR="004F488E">
        <w:t xml:space="preserve"> as they would benefit the most from this service, due to the wide range of support that can be given. This is important due to the highly varied nature of people with ASD, whose personalities can be of an extreme nature, such as being compulsively obsessed with certain objects or needing support to speak up about their wants and needs. This is supported by the National Autistic Society (2016) who state that “</w:t>
      </w:r>
      <w:r w:rsidR="004F488E" w:rsidRPr="004F488E">
        <w:t>Autistic people might also become attached to objects (or parts of objects), such as toys, figurines or model cars – or more unusual objects like milk bottle tops, stones or shoes.</w:t>
      </w:r>
      <w:r w:rsidR="004F488E">
        <w:t>” and also that “</w:t>
      </w:r>
      <w:r w:rsidR="004F488E" w:rsidRPr="004F488E">
        <w:t>Some</w:t>
      </w:r>
      <w:r w:rsidR="004F488E">
        <w:t xml:space="preserve"> [autistic people]</w:t>
      </w:r>
      <w:r w:rsidR="004F488E" w:rsidRPr="004F488E">
        <w:t xml:space="preserve"> may not speak, or have fairly limited speech.</w:t>
      </w:r>
      <w:r w:rsidR="004F488E">
        <w:t>”</w:t>
      </w:r>
    </w:p>
    <w:p w:rsidR="00131FE7" w:rsidRDefault="000135BD" w:rsidP="00A45C68">
      <w:r>
        <w:t xml:space="preserve">Before analysing the most appropriate forms of Person Centred Planning, it is important to note what type of inequality the service will be tackling. Thompson’s model of inequalities and </w:t>
      </w:r>
      <w:r>
        <w:lastRenderedPageBreak/>
        <w:t>discr</w:t>
      </w:r>
      <w:r w:rsidR="000474F4">
        <w:t xml:space="preserve">imination </w:t>
      </w:r>
      <w:r>
        <w:t xml:space="preserve">aids in identifying how children with ASD are marginalised within society. </w:t>
      </w:r>
      <w:r w:rsidR="000474F4">
        <w:t>According to his model, c</w:t>
      </w:r>
      <w:r>
        <w:t>hildren with ASD are marginalised on a personal level due to individual’s thoughts and feelings about those with ASD</w:t>
      </w:r>
      <w:r w:rsidR="00F470A6">
        <w:t>.</w:t>
      </w:r>
      <w:r w:rsidR="00F470A6" w:rsidRPr="00F470A6">
        <w:t xml:space="preserve"> </w:t>
      </w:r>
      <w:r w:rsidR="00F470A6">
        <w:t xml:space="preserve">This is highlighted in how children with ASD are treated by their peers within school settings. This is supported by </w:t>
      </w:r>
      <w:proofErr w:type="spellStart"/>
      <w:r w:rsidR="00F470A6">
        <w:t>Symes</w:t>
      </w:r>
      <w:proofErr w:type="spellEnd"/>
      <w:r w:rsidR="00F470A6">
        <w:t xml:space="preserve"> &amp; Humphrey (2010) who state that “</w:t>
      </w:r>
      <w:r w:rsidR="00F470A6" w:rsidRPr="00365A89">
        <w:t>pupils with ASD experienced higher levels of rejection and lower levels of acceptance</w:t>
      </w:r>
      <w:r w:rsidR="00F470A6">
        <w:t>” and that “</w:t>
      </w:r>
      <w:r w:rsidR="00F470A6" w:rsidRPr="00365A89">
        <w:t>lower levels of peer social support and higher levels of bullying</w:t>
      </w:r>
      <w:r w:rsidR="00F470A6">
        <w:t xml:space="preserve">”. While this could be included in the cultural section of the model of inequality due to the children conforming to this idea, this is mainly only found within the microcosm of a school setting rather than outside of this setting. </w:t>
      </w:r>
      <w:r>
        <w:t xml:space="preserve"> </w:t>
      </w:r>
    </w:p>
    <w:p w:rsidR="000135BD" w:rsidRDefault="00F470A6" w:rsidP="00A45C68">
      <w:r>
        <w:t>It is definitely not an institutionalised belief propagated by the Government however.</w:t>
      </w:r>
      <w:r w:rsidR="00AA68F0">
        <w:t xml:space="preserve"> This is shown by the Welsh Government formally adopting the social model of disability in 2002 where they state that “</w:t>
      </w:r>
      <w:r w:rsidR="00AA68F0" w:rsidRPr="00AA68F0">
        <w:t>The Social Model of Disability makes the important difference between ‘impairment’ and ‘disability’. It recognises that people with impairments are disabled by the barriers that commonly exist in a society.</w:t>
      </w:r>
      <w:r w:rsidR="00AA68F0">
        <w:t>” By this, they mean that it is things in society that are marginalising people with ‘impairments’ such as buildings without wheelchair access. This relates to children with ASD as it is not the fault of the</w:t>
      </w:r>
      <w:r>
        <w:t xml:space="preserve"> person that </w:t>
      </w:r>
      <w:r w:rsidR="00677D26">
        <w:t xml:space="preserve">they </w:t>
      </w:r>
      <w:r>
        <w:t>cannot foc</w:t>
      </w:r>
      <w:r w:rsidR="00677D26">
        <w:t>us within a class setting without a support worker</w:t>
      </w:r>
      <w:r w:rsidR="00AA68F0">
        <w:t xml:space="preserve">, it is society’s job to make sure that </w:t>
      </w:r>
      <w:r w:rsidR="00677D26">
        <w:t xml:space="preserve">a support worker is available </w:t>
      </w:r>
      <w:r>
        <w:t>so that they can focus in class just as well as the rest of the children</w:t>
      </w:r>
      <w:r w:rsidR="00677D26">
        <w:t>.</w:t>
      </w:r>
      <w:r w:rsidR="000135BD">
        <w:t xml:space="preserve"> </w:t>
      </w:r>
    </w:p>
    <w:p w:rsidR="007C121A" w:rsidRDefault="00D13066" w:rsidP="00813113">
      <w:r>
        <w:t>In a new service dedicated towards a</w:t>
      </w:r>
      <w:r w:rsidR="00961E7B">
        <w:t>iding</w:t>
      </w:r>
      <w:r w:rsidR="008D217C">
        <w:t xml:space="preserve"> children with ASD</w:t>
      </w:r>
      <w:r w:rsidR="00961E7B">
        <w:t>, one approach that c</w:t>
      </w:r>
      <w:r>
        <w:t xml:space="preserve">ould be </w:t>
      </w:r>
      <w:r w:rsidR="00961E7B">
        <w:t xml:space="preserve">useful </w:t>
      </w:r>
      <w:r>
        <w:t>to incorporate would be</w:t>
      </w:r>
      <w:r w:rsidR="00DF61E1">
        <w:t xml:space="preserve"> Personal Futures Planning.</w:t>
      </w:r>
      <w:r w:rsidR="00813113">
        <w:t xml:space="preserve"> The idea behind this approach is that a group of volunteers who are close to the vulnerable child, such as friends and family, agree to meet and discuss with the child what their hopes and fears to help create a plan around realising those dreams and overcoming those fears. They will also discuss ideas on how to reach daily/weekly/monthly goals such as doing their homework and good behaviour at home. However, according to Mount</w:t>
      </w:r>
      <w:r w:rsidR="000F10B2">
        <w:t xml:space="preserve"> </w:t>
      </w:r>
      <w:r w:rsidR="00813113">
        <w:t xml:space="preserve">(1987 cited in </w:t>
      </w:r>
      <w:proofErr w:type="spellStart"/>
      <w:r w:rsidR="00813113">
        <w:t>Rasheed</w:t>
      </w:r>
      <w:proofErr w:type="spellEnd"/>
      <w:r w:rsidR="00813113">
        <w:t xml:space="preserve"> 2006) “Personal Futures planning is much more than a meeting; it is an ongoing process of social change.”</w:t>
      </w:r>
      <w:r w:rsidR="000F10B2">
        <w:t xml:space="preserve"> This means that it is a commitment for the volunteers to attend each meeting as it is important for these children to have their reliable base to aid them to reach their dreams and goals.</w:t>
      </w:r>
      <w:r w:rsidR="008D217C">
        <w:t xml:space="preserve"> This is important as children with ASD have been found to be excluded from many social groups and have trouble making friends compared to children without ASD. This is supported by O’Hagan &amp; Hebron (2016) who state that “s</w:t>
      </w:r>
      <w:r w:rsidR="008D217C" w:rsidRPr="008D217C">
        <w:t>tudents were found to have an understanding of friendship, although parents often felt it was theoretical and did not correlate with their own</w:t>
      </w:r>
      <w:r w:rsidR="008D217C">
        <w:t xml:space="preserve"> experiences.“ This means that while the students understood the logistics of friendship, they weren’t actively participating in it. This is further</w:t>
      </w:r>
      <w:r w:rsidR="007C121A">
        <w:t xml:space="preserve"> backed up by the statement from them that states that</w:t>
      </w:r>
      <w:r w:rsidR="008D217C">
        <w:t xml:space="preserve"> “</w:t>
      </w:r>
      <w:r w:rsidR="008D217C" w:rsidRPr="008D217C">
        <w:t>All of the students expressed a desire for friendship and reported having experienced loneliness</w:t>
      </w:r>
      <w:r w:rsidR="007C121A">
        <w:t xml:space="preserve">”. </w:t>
      </w:r>
      <w:r w:rsidR="00530D8B">
        <w:t xml:space="preserve">So, by surrounding the child with a group of people they can trust and rely on, it can aid in reducing these feelings of loneliness while also striving to aid the child in their future </w:t>
      </w:r>
      <w:r w:rsidR="00677D26">
        <w:t>endeavours</w:t>
      </w:r>
      <w:r w:rsidR="00530D8B">
        <w:t>.</w:t>
      </w:r>
      <w:r w:rsidR="00783899">
        <w:t xml:space="preserve"> This helps with social inclusion, as it is a stepping stone to helping the child learn how to interact with people in school more naturally and appropriately.</w:t>
      </w:r>
    </w:p>
    <w:p w:rsidR="00961E7B" w:rsidRDefault="00961E7B" w:rsidP="00813113">
      <w:r>
        <w:t xml:space="preserve"> According to </w:t>
      </w:r>
      <w:proofErr w:type="spellStart"/>
      <w:r>
        <w:t>Debenham</w:t>
      </w:r>
      <w:proofErr w:type="spellEnd"/>
      <w:r>
        <w:t xml:space="preserve"> (2018)</w:t>
      </w:r>
      <w:r w:rsidR="000F10B2">
        <w:t xml:space="preserve"> </w:t>
      </w:r>
      <w:r w:rsidR="00651EFF">
        <w:t>Personal Futures P</w:t>
      </w:r>
      <w:r w:rsidR="00600DA3">
        <w:t xml:space="preserve">lanning has </w:t>
      </w:r>
      <w:proofErr w:type="gramStart"/>
      <w:r w:rsidR="00600DA3">
        <w:t>many strengths</w:t>
      </w:r>
      <w:proofErr w:type="gramEnd"/>
      <w:r w:rsidR="00600DA3">
        <w:t xml:space="preserve"> such</w:t>
      </w:r>
      <w:r w:rsidR="00651EFF">
        <w:t xml:space="preserve"> as</w:t>
      </w:r>
      <w:r>
        <w:t xml:space="preserve"> “improved health, social inclusion – overall, a better quality of life”.</w:t>
      </w:r>
      <w:r w:rsidR="00913BFE">
        <w:t xml:space="preserve"> This fits in well with the four main outlined goals of the ‘Valuing people’ report as it shows how </w:t>
      </w:r>
      <w:r w:rsidR="007C121A">
        <w:t>children with ASD still have the same potential</w:t>
      </w:r>
      <w:r w:rsidR="00913BFE">
        <w:t xml:space="preserve"> to reach their goal, regardless of the need to rely on a supportive g</w:t>
      </w:r>
      <w:r w:rsidR="007C121A">
        <w:t>roup as</w:t>
      </w:r>
      <w:r w:rsidR="00913BFE">
        <w:t xml:space="preserve"> all this ensures is that</w:t>
      </w:r>
      <w:r w:rsidR="00651EFF">
        <w:t xml:space="preserve"> these children are receiving the same opportunities as those in a more privileged position. </w:t>
      </w:r>
      <w:r>
        <w:t xml:space="preserve"> It can be also useful for the care managers that work towards setting up this type of scenario for the </w:t>
      </w:r>
      <w:r>
        <w:lastRenderedPageBreak/>
        <w:t xml:space="preserve">vulnerable children. According to Johnson (2006) “The plan and circle of support keep </w:t>
      </w:r>
      <w:r w:rsidR="00F64063">
        <w:t xml:space="preserve">key workers </w:t>
      </w:r>
      <w:r>
        <w:t>on task really well” and that “</w:t>
      </w:r>
      <w:r w:rsidRPr="00961E7B">
        <w:t>a person -centred plan is a great way of getting to know a person with more severe learning disabilities or communication problems, when you only have limited time to spend with each person</w:t>
      </w:r>
      <w:r>
        <w:t>”</w:t>
      </w:r>
      <w:r w:rsidR="00F64063">
        <w:t>. This is necessary as the key</w:t>
      </w:r>
      <w:r>
        <w:t xml:space="preserve"> workers will usually take the lead role in the group, directing them towards their goal. If they understand more about the child, it would logically mean that they can direct the group discussion in a way they feel would benefit the child the most.</w:t>
      </w:r>
    </w:p>
    <w:p w:rsidR="003F0024" w:rsidRDefault="00961E7B" w:rsidP="00913BFE">
      <w:r>
        <w:t xml:space="preserve"> However there are some downsides to Personal Futures Planning</w:t>
      </w:r>
      <w:r w:rsidR="00913BFE">
        <w:t xml:space="preserve">. Studies such as the one conducted by </w:t>
      </w:r>
      <w:proofErr w:type="spellStart"/>
      <w:r w:rsidR="00913BFE">
        <w:t>Rudkin</w:t>
      </w:r>
      <w:proofErr w:type="spellEnd"/>
      <w:r w:rsidR="00913BFE">
        <w:t xml:space="preserve"> &amp; Rowe (1999) state that “There is surprisingly little evidence to support any form of lifestyle planning or lifestyle planning in general.” However they do go on to say that “However, there may be good ethical reasons for pursuing lifestyle planning with certain patient groups.” By this, they mean that while there isn’t any qualitative support for the idea of Personal Futures Planning, for marginalised and vulnerable people there should still be an obligation to support and help those who need it. </w:t>
      </w:r>
      <w:r w:rsidR="007C121A">
        <w:t xml:space="preserve"> It is also a long term commitment and due to people having many other obligations in their life, it is not an easy task to ensure all of the members of the original group can continue to attend.</w:t>
      </w:r>
    </w:p>
    <w:p w:rsidR="00063530" w:rsidRDefault="00530D8B" w:rsidP="003206EA">
      <w:r>
        <w:t xml:space="preserve">Another </w:t>
      </w:r>
      <w:r w:rsidR="00063530">
        <w:t>key aspect of the service will be the creation of a one-page profile for each of the users.</w:t>
      </w:r>
      <w:r>
        <w:t xml:space="preserve"> This is a collection of key aspects of the child containing what’s important to them, their personal qualities such as their temperament, sense of humour or their kindness and finally a list of things that this child would need extra support with. This will be the building block upon which the other aspect of the service will build upon as it gives a brief outline of who the person is and what is important to them before delving deeper into providing an action plan on what can be done for this child. An example for this would be that one of the things that is important to the child would be video g</w:t>
      </w:r>
      <w:r w:rsidR="008026C6">
        <w:t>ames, so during the Personal Futures Planning stage, they would take note of this and possibly suggest a system where if the child completes all of their homework</w:t>
      </w:r>
      <w:r w:rsidR="00E92B60">
        <w:t xml:space="preserve"> for the week, they are allowed to use a couple hours on the weekend to play video games.</w:t>
      </w:r>
      <w:r w:rsidR="003206EA">
        <w:t xml:space="preserve"> One page profiles are supported by Erwin &amp; Sanderson (2015) who state that “The one-page </w:t>
      </w:r>
      <w:r w:rsidR="00764794">
        <w:t>profile</w:t>
      </w:r>
      <w:r w:rsidR="003206EA">
        <w:t xml:space="preserve"> can act as ‘the child’s voice’ at major decision points, informing a more meaningful direction based on what matters to the child/ young person.” This means that if a child is unsure or cannot speak up about something that is important, the support worker can refer to the one page profile to gauge an idea about how to approach a situation involving the child, taking into account the child’s personality and how they would want the situation to be approached.</w:t>
      </w:r>
      <w:r w:rsidR="00733964">
        <w:t xml:space="preserve"> </w:t>
      </w:r>
    </w:p>
    <w:p w:rsidR="00733964" w:rsidRDefault="00733964" w:rsidP="005853F3">
      <w:r>
        <w:t>This metho</w:t>
      </w:r>
      <w:r w:rsidR="00783899">
        <w:t>d would aid social inclusion in a number of ways</w:t>
      </w:r>
      <w:r w:rsidR="00F64063">
        <w:t>. If a child wasn’t focusing on their school work</w:t>
      </w:r>
      <w:r w:rsidR="00783899">
        <w:t>, the key worker would review the one page profile and see that the child has</w:t>
      </w:r>
      <w:r w:rsidR="005853F3">
        <w:t xml:space="preserve"> an intense interest in trucks</w:t>
      </w:r>
      <w:r w:rsidR="00783899">
        <w:t>. They would then refer this to a member of their support group such as a teacher at school, who can then aid them with</w:t>
      </w:r>
      <w:r w:rsidR="005853F3">
        <w:t xml:space="preserve"> incorporating this interest into their work at school</w:t>
      </w:r>
      <w:r w:rsidR="00783899">
        <w:t xml:space="preserve">. This is supported by </w:t>
      </w:r>
      <w:r w:rsidR="005853F3">
        <w:t xml:space="preserve">Gunn &amp; Delafield-Butt (2015) who found that “substantial benefits in social engagement, learning, and </w:t>
      </w:r>
      <w:proofErr w:type="spellStart"/>
      <w:r w:rsidR="005853F3">
        <w:t>behavior</w:t>
      </w:r>
      <w:proofErr w:type="spellEnd"/>
      <w:r w:rsidR="005853F3">
        <w:t xml:space="preserve"> for children with ASD when their RI is included in classroom practice.” An RI in this scenario is a restricted interest, relating back to the obsessions some children get with particular objects.</w:t>
      </w:r>
      <w:r w:rsidR="00870904">
        <w:t xml:space="preserve"> However, there are some downsides to the use of one-page profiles such as the fact that children are complex and that you can only gain a superficial idea of what a person is like from one page of facts about them and without any interaction it would be difficult to gauge exactly what a person is like. However this is mitigated when used in tandem with the Personal </w:t>
      </w:r>
      <w:r w:rsidR="00870904">
        <w:lastRenderedPageBreak/>
        <w:t>Futures Planning as it then includes interaction with people closest to them and the child themselves, painting an overall more accurate picture of the child.</w:t>
      </w:r>
    </w:p>
    <w:p w:rsidR="00F64063" w:rsidRDefault="00F64063" w:rsidP="005853F3">
      <w:r>
        <w:t xml:space="preserve">Using these two primary methods of Person Centred Planning, the service would act as an outline of how the child can approach everything they would like to do in life. The one page profile would act as a </w:t>
      </w:r>
      <w:r w:rsidR="000474F4">
        <w:t>base that</w:t>
      </w:r>
      <w:r>
        <w:t xml:space="preserve"> would be passed o</w:t>
      </w:r>
      <w:r w:rsidR="000474F4">
        <w:t>nto the key worker at the centre</w:t>
      </w:r>
      <w:r>
        <w:t>. The key w</w:t>
      </w:r>
      <w:r w:rsidR="000474F4">
        <w:t>orker can then map out a few important</w:t>
      </w:r>
      <w:r>
        <w:t xml:space="preserve"> things they believe would be good starting points in aiding the child, such as realistic goals the child can attain and possible routes to go about this. Then there would be a Personal Futures Planning session, with volunteer friends and family of the child attending who will understand the most about the child. The key worker could then discuss what she thinks would be a good approach to helping the child</w:t>
      </w:r>
      <w:r w:rsidR="000474F4">
        <w:t xml:space="preserve"> achieve their goals</w:t>
      </w:r>
      <w:r>
        <w:t xml:space="preserve"> and will then receive feedback from the friends and family to ensure that the approach they are taking is the right one. Once this is completed the group will meet again at an appropriate date to see how the child is coming along in reaching their targets and if any adjustments need to be made.</w:t>
      </w:r>
    </w:p>
    <w:p w:rsidR="00C41BF6" w:rsidRDefault="00C41BF6" w:rsidP="00C41BF6">
      <w:r>
        <w:t>One example of other services that provide person-centred care is the NHS. Galloway (2017) outlines that they provide this person-centred care by providing “To achieve care that is person-centred, the nurse needs to recognize individuality and diversity, whilst consulting with and involving the individual at all stages of their patient journey”.</w:t>
      </w:r>
      <w:r w:rsidR="008E19B9">
        <w:t xml:space="preserve"> In this guide, they outline the importance of making sure that there are no accounts of discrimination such as “ageism” “sexuality” and “religion”. However, within their report there is no mention of creating a one-page report for the patient to fully understand their needs and wants, which I believe is one the opportunities our person-centred services provides, in that it is far more personal and an in-depth level of care compared to the NHS which wouldn’t have the ability to provide the same level of personalisation due to the number of people they provide care for vastly outnumbers our service.</w:t>
      </w:r>
      <w:r w:rsidR="006B56DD">
        <w:t xml:space="preserve"> We also have a stronger relationship with the people important to the child’s every day life, such as teachers and parents so that when the child is not directly in one of our meetings, their personal plan is still being monitored and implemented by the people closest to them.</w:t>
      </w:r>
      <w:r w:rsidR="008E19B9">
        <w:t xml:space="preserve"> However one of the barriers for our service would be that it wouldn’t be able to reach the same level of coverage as the NHS as the level of care they provide is much broader and can accommodate many more people whereas our service is more streamlined. Funding would also be a barrier to providing the same level of care </w:t>
      </w:r>
      <w:r w:rsidR="000474F4">
        <w:t>as the NHS as with their funding they</w:t>
      </w:r>
      <w:r w:rsidR="008E19B9">
        <w:t xml:space="preserve"> are able to employ more people to provide care for children with ASD than our service.</w:t>
      </w:r>
    </w:p>
    <w:p w:rsidR="0035774B" w:rsidRDefault="0035774B" w:rsidP="00C41BF6">
      <w:r>
        <w:t xml:space="preserve">To conclude, the building blocks of the service are the values found in the 2009 report “Valuing People Now” which is to make sure that children with ASD are given the same rights and opportunities as those without and are given the help and aid necessary to be able to thrive in today’s society. It aims to be socially inclusive, meaning that every step is taken to make sure the children are not being marginalised from society and that they are valued as an equal member of that society. </w:t>
      </w:r>
      <w:r w:rsidR="002C46C7">
        <w:t>This is done by carefully planning around researched backed person-centred care such as Personal Futures Planning, One Page Reports and by taking into accounts the social model of disability and planning accordingly. On top of this, the service realise each child as a unique individual who is not defined by their disability but are listened to and their thoughts and opinions are at the heart of providing the care necessary to help realise their goals and dreams.</w:t>
      </w:r>
      <w:r w:rsidR="00F37B81">
        <w:t xml:space="preserve"> By surrounding the children with those closest to them, it gives them a safe place to discuss and analyse how they can achieve the things they want to with the help of those around them.</w:t>
      </w:r>
    </w:p>
    <w:p w:rsidR="00B03EF9" w:rsidRPr="00B03EF9" w:rsidRDefault="00B03EF9" w:rsidP="00B03EF9">
      <w:pPr>
        <w:spacing w:after="100" w:afterAutospacing="1" w:line="240" w:lineRule="auto"/>
        <w:outlineLvl w:val="1"/>
        <w:rPr>
          <w:rFonts w:eastAsia="Times New Roman" w:cs="Times New Roman"/>
          <w:color w:val="000000"/>
          <w:lang w:eastAsia="en-GB"/>
        </w:rPr>
      </w:pPr>
      <w:r w:rsidRPr="00B03EF9">
        <w:rPr>
          <w:rFonts w:eastAsia="Times New Roman" w:cs="Times New Roman"/>
          <w:color w:val="000000"/>
          <w:lang w:eastAsia="en-GB"/>
        </w:rPr>
        <w:lastRenderedPageBreak/>
        <w:t>References</w:t>
      </w:r>
    </w:p>
    <w:p w:rsidR="00B03EF9" w:rsidRPr="00B03EF9" w:rsidRDefault="00B03EF9" w:rsidP="00B03EF9">
      <w:pPr>
        <w:spacing w:after="180" w:line="240" w:lineRule="auto"/>
        <w:ind w:left="450" w:hanging="450"/>
        <w:rPr>
          <w:rFonts w:eastAsia="Times New Roman" w:cs="Times New Roman"/>
          <w:color w:val="000000"/>
          <w:lang w:eastAsia="en-GB"/>
        </w:rPr>
      </w:pPr>
      <w:proofErr w:type="spellStart"/>
      <w:r w:rsidRPr="00B03EF9">
        <w:rPr>
          <w:rFonts w:eastAsia="Times New Roman" w:cs="Times New Roman"/>
          <w:color w:val="000000"/>
          <w:lang w:eastAsia="en-GB"/>
        </w:rPr>
        <w:t>Debenham</w:t>
      </w:r>
      <w:proofErr w:type="spellEnd"/>
      <w:r w:rsidRPr="00B03EF9">
        <w:rPr>
          <w:rFonts w:eastAsia="Times New Roman" w:cs="Times New Roman"/>
          <w:color w:val="000000"/>
          <w:lang w:eastAsia="en-GB"/>
        </w:rPr>
        <w:t>, L. (2018). </w:t>
      </w:r>
      <w:r w:rsidRPr="00B03EF9">
        <w:rPr>
          <w:rFonts w:eastAsia="Times New Roman" w:cs="Times New Roman"/>
          <w:i/>
          <w:iCs/>
          <w:color w:val="000000"/>
          <w:lang w:eastAsia="en-GB"/>
        </w:rPr>
        <w:t>What is Person-Centred Planning</w:t>
      </w:r>
      <w:proofErr w:type="gramStart"/>
      <w:r w:rsidRPr="00B03EF9">
        <w:rPr>
          <w:rFonts w:eastAsia="Times New Roman" w:cs="Times New Roman"/>
          <w:i/>
          <w:iCs/>
          <w:color w:val="000000"/>
          <w:lang w:eastAsia="en-GB"/>
        </w:rPr>
        <w:t>?</w:t>
      </w:r>
      <w:r w:rsidRPr="00B03EF9">
        <w:rPr>
          <w:rFonts w:eastAsia="Times New Roman" w:cs="Times New Roman"/>
          <w:color w:val="000000"/>
          <w:lang w:eastAsia="en-GB"/>
        </w:rPr>
        <w:t>.</w:t>
      </w:r>
      <w:proofErr w:type="gramEnd"/>
      <w:r w:rsidRPr="00B03EF9">
        <w:rPr>
          <w:rFonts w:eastAsia="Times New Roman" w:cs="Times New Roman"/>
          <w:color w:val="000000"/>
          <w:lang w:eastAsia="en-GB"/>
        </w:rPr>
        <w:t xml:space="preserve"> [</w:t>
      </w:r>
      <w:proofErr w:type="gramStart"/>
      <w:r w:rsidRPr="00B03EF9">
        <w:rPr>
          <w:rFonts w:eastAsia="Times New Roman" w:cs="Times New Roman"/>
          <w:color w:val="000000"/>
          <w:lang w:eastAsia="en-GB"/>
        </w:rPr>
        <w:t>online</w:t>
      </w:r>
      <w:proofErr w:type="gramEnd"/>
      <w:r w:rsidRPr="00B03EF9">
        <w:rPr>
          <w:rFonts w:eastAsia="Times New Roman" w:cs="Times New Roman"/>
          <w:color w:val="000000"/>
          <w:lang w:eastAsia="en-GB"/>
        </w:rPr>
        <w:t>] Aboutlearningdisabilities.co.uk. Available at: http://www.aboutlearningdisabilities.co.uk/what-personcentred-planning.html [Accessed 23 Apr. 2018].</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Erwin, L. and Sanderson, H. (2015).</w:t>
      </w:r>
      <w:proofErr w:type="gramEnd"/>
      <w:r w:rsidRPr="00B03EF9">
        <w:rPr>
          <w:rFonts w:eastAsia="Times New Roman" w:cs="Times New Roman"/>
          <w:color w:val="000000"/>
          <w:lang w:eastAsia="en-GB"/>
        </w:rPr>
        <w:t> </w:t>
      </w:r>
      <w:r w:rsidRPr="00B03EF9">
        <w:rPr>
          <w:rFonts w:eastAsia="Times New Roman" w:cs="Times New Roman"/>
          <w:i/>
          <w:iCs/>
          <w:color w:val="000000"/>
          <w:lang w:eastAsia="en-GB"/>
        </w:rPr>
        <w:t xml:space="preserve">One-page </w:t>
      </w:r>
      <w:r w:rsidR="00764794">
        <w:rPr>
          <w:rFonts w:eastAsia="Times New Roman" w:cs="Times New Roman"/>
          <w:i/>
          <w:iCs/>
          <w:color w:val="000000"/>
          <w:lang w:eastAsia="en-GB"/>
        </w:rPr>
        <w:t>profile</w:t>
      </w:r>
      <w:r w:rsidRPr="00B03EF9">
        <w:rPr>
          <w:rFonts w:eastAsia="Times New Roman" w:cs="Times New Roman"/>
          <w:i/>
          <w:iCs/>
          <w:color w:val="000000"/>
          <w:lang w:eastAsia="en-GB"/>
        </w:rPr>
        <w:t>s with children and young people</w:t>
      </w:r>
      <w:r w:rsidRPr="00B03EF9">
        <w:rPr>
          <w:rFonts w:eastAsia="Times New Roman" w:cs="Times New Roman"/>
          <w:color w:val="000000"/>
          <w:lang w:eastAsia="en-GB"/>
        </w:rPr>
        <w:t xml:space="preserve">. Bedford: </w:t>
      </w:r>
      <w:proofErr w:type="spellStart"/>
      <w:r w:rsidRPr="00B03EF9">
        <w:rPr>
          <w:rFonts w:eastAsia="Times New Roman" w:cs="Times New Roman"/>
          <w:color w:val="000000"/>
          <w:lang w:eastAsia="en-GB"/>
        </w:rPr>
        <w:t>helensandersonassociates</w:t>
      </w:r>
      <w:proofErr w:type="spellEnd"/>
      <w:r w:rsidRPr="00B03EF9">
        <w:rPr>
          <w:rFonts w:eastAsia="Times New Roman" w:cs="Times New Roman"/>
          <w:color w:val="000000"/>
          <w:lang w:eastAsia="en-GB"/>
        </w:rPr>
        <w:t>, pp.3-6.</w:t>
      </w:r>
    </w:p>
    <w:p w:rsidR="00B03EF9" w:rsidRPr="00B03EF9" w:rsidRDefault="00B03EF9" w:rsidP="00B03EF9">
      <w:pPr>
        <w:spacing w:after="180" w:line="240" w:lineRule="auto"/>
        <w:ind w:left="450" w:hanging="450"/>
        <w:rPr>
          <w:rFonts w:eastAsia="Times New Roman" w:cs="Times New Roman"/>
          <w:color w:val="000000"/>
          <w:lang w:eastAsia="en-GB"/>
        </w:rPr>
      </w:pPr>
      <w:r w:rsidRPr="00B03EF9">
        <w:rPr>
          <w:rFonts w:eastAsia="Times New Roman" w:cs="Times New Roman"/>
          <w:color w:val="000000"/>
          <w:lang w:eastAsia="en-GB"/>
        </w:rPr>
        <w:t>Galloway, J. (2017). </w:t>
      </w:r>
      <w:proofErr w:type="gramStart"/>
      <w:r w:rsidRPr="00B03EF9">
        <w:rPr>
          <w:rFonts w:eastAsia="Times New Roman" w:cs="Times New Roman"/>
          <w:i/>
          <w:iCs/>
          <w:color w:val="000000"/>
          <w:lang w:eastAsia="en-GB"/>
        </w:rPr>
        <w:t>Dignity, values, attitudes, and person-centred care</w:t>
      </w:r>
      <w:r w:rsidRPr="00B03EF9">
        <w:rPr>
          <w:rFonts w:eastAsia="Times New Roman" w:cs="Times New Roman"/>
          <w:color w:val="000000"/>
          <w:lang w:eastAsia="en-GB"/>
        </w:rPr>
        <w:t>.</w:t>
      </w:r>
      <w:proofErr w:type="gramEnd"/>
      <w:r w:rsidRPr="00B03EF9">
        <w:rPr>
          <w:rFonts w:eastAsia="Times New Roman" w:cs="Times New Roman"/>
          <w:color w:val="000000"/>
          <w:lang w:eastAsia="en-GB"/>
        </w:rPr>
        <w:t xml:space="preserve"> [</w:t>
      </w:r>
      <w:proofErr w:type="spellStart"/>
      <w:proofErr w:type="gramStart"/>
      <w:r w:rsidRPr="00B03EF9">
        <w:rPr>
          <w:rFonts w:eastAsia="Times New Roman" w:cs="Times New Roman"/>
          <w:color w:val="000000"/>
          <w:lang w:eastAsia="en-GB"/>
        </w:rPr>
        <w:t>ebook</w:t>
      </w:r>
      <w:proofErr w:type="spellEnd"/>
      <w:proofErr w:type="gramEnd"/>
      <w:r w:rsidRPr="00B03EF9">
        <w:rPr>
          <w:rFonts w:eastAsia="Times New Roman" w:cs="Times New Roman"/>
          <w:color w:val="000000"/>
          <w:lang w:eastAsia="en-GB"/>
        </w:rPr>
        <w:t>] East Sussex: NHS, pp.3-7. Available at: https://www.esht.nhs.uk/wp-content/uploads/2017/08/Dignity-values-attitudes-and-person-centred-care.pdf [Accessed 27 Apr. 2018].</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Gunn, K. and Delafield-Butt, J. (2016).</w:t>
      </w:r>
      <w:proofErr w:type="gramEnd"/>
      <w:r w:rsidRPr="00B03EF9">
        <w:rPr>
          <w:rFonts w:eastAsia="Times New Roman" w:cs="Times New Roman"/>
          <w:color w:val="000000"/>
          <w:lang w:eastAsia="en-GB"/>
        </w:rPr>
        <w:t xml:space="preserve"> Teaching Children </w:t>
      </w:r>
      <w:proofErr w:type="gramStart"/>
      <w:r w:rsidRPr="00B03EF9">
        <w:rPr>
          <w:rFonts w:eastAsia="Times New Roman" w:cs="Times New Roman"/>
          <w:color w:val="000000"/>
          <w:lang w:eastAsia="en-GB"/>
        </w:rPr>
        <w:t>With</w:t>
      </w:r>
      <w:proofErr w:type="gramEnd"/>
      <w:r w:rsidRPr="00B03EF9">
        <w:rPr>
          <w:rFonts w:eastAsia="Times New Roman" w:cs="Times New Roman"/>
          <w:color w:val="000000"/>
          <w:lang w:eastAsia="en-GB"/>
        </w:rPr>
        <w:t xml:space="preserve"> Autism Spectrum Disorder With Restricted Interests. </w:t>
      </w:r>
      <w:proofErr w:type="gramStart"/>
      <w:r w:rsidRPr="00B03EF9">
        <w:rPr>
          <w:rFonts w:eastAsia="Times New Roman" w:cs="Times New Roman"/>
          <w:i/>
          <w:iCs/>
          <w:color w:val="000000"/>
          <w:lang w:eastAsia="en-GB"/>
        </w:rPr>
        <w:t>Review of Educational Research</w:t>
      </w:r>
      <w:r w:rsidRPr="00B03EF9">
        <w:rPr>
          <w:rFonts w:eastAsia="Times New Roman" w:cs="Times New Roman"/>
          <w:color w:val="000000"/>
          <w:lang w:eastAsia="en-GB"/>
        </w:rPr>
        <w:t>, 86(2), p.412.</w:t>
      </w:r>
      <w:proofErr w:type="gramEnd"/>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HM Government (2009).</w:t>
      </w:r>
      <w:proofErr w:type="gramEnd"/>
      <w:r w:rsidRPr="00B03EF9">
        <w:rPr>
          <w:rFonts w:eastAsia="Times New Roman" w:cs="Times New Roman"/>
          <w:color w:val="000000"/>
          <w:lang w:eastAsia="en-GB"/>
        </w:rPr>
        <w:t> </w:t>
      </w:r>
      <w:r w:rsidRPr="00B03EF9">
        <w:rPr>
          <w:rFonts w:eastAsia="Times New Roman" w:cs="Times New Roman"/>
          <w:i/>
          <w:iCs/>
          <w:color w:val="000000"/>
          <w:lang w:eastAsia="en-GB"/>
        </w:rPr>
        <w:t xml:space="preserve">Valuing People </w:t>
      </w:r>
      <w:proofErr w:type="gramStart"/>
      <w:r w:rsidRPr="00B03EF9">
        <w:rPr>
          <w:rFonts w:eastAsia="Times New Roman" w:cs="Times New Roman"/>
          <w:i/>
          <w:iCs/>
          <w:color w:val="000000"/>
          <w:lang w:eastAsia="en-GB"/>
        </w:rPr>
        <w:t>Now</w:t>
      </w:r>
      <w:proofErr w:type="gramEnd"/>
      <w:r w:rsidRPr="00B03EF9">
        <w:rPr>
          <w:rFonts w:eastAsia="Times New Roman" w:cs="Times New Roman"/>
          <w:i/>
          <w:iCs/>
          <w:color w:val="000000"/>
          <w:lang w:eastAsia="en-GB"/>
        </w:rPr>
        <w:t>: a new three-year strategy for people with learning disabilities</w:t>
      </w:r>
      <w:r w:rsidRPr="00B03EF9">
        <w:rPr>
          <w:rFonts w:eastAsia="Times New Roman" w:cs="Times New Roman"/>
          <w:color w:val="000000"/>
          <w:lang w:eastAsia="en-GB"/>
        </w:rPr>
        <w:t>. London: Crown Copyright, pp.6-7.</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Johnson, M. (2006).</w:t>
      </w:r>
      <w:proofErr w:type="gramEnd"/>
      <w:r w:rsidRPr="00B03EF9">
        <w:rPr>
          <w:rFonts w:eastAsia="Times New Roman" w:cs="Times New Roman"/>
          <w:color w:val="000000"/>
          <w:lang w:eastAsia="en-GB"/>
        </w:rPr>
        <w:t xml:space="preserve"> </w:t>
      </w:r>
      <w:proofErr w:type="gramStart"/>
      <w:r w:rsidRPr="00B03EF9">
        <w:rPr>
          <w:rFonts w:eastAsia="Times New Roman" w:cs="Times New Roman"/>
          <w:color w:val="000000"/>
          <w:lang w:eastAsia="en-GB"/>
        </w:rPr>
        <w:t>Person-centred planning and care managers.</w:t>
      </w:r>
      <w:proofErr w:type="gramEnd"/>
      <w:r w:rsidRPr="00B03EF9">
        <w:rPr>
          <w:rFonts w:eastAsia="Times New Roman" w:cs="Times New Roman"/>
          <w:color w:val="000000"/>
          <w:lang w:eastAsia="en-GB"/>
        </w:rPr>
        <w:t> </w:t>
      </w:r>
      <w:proofErr w:type="gramStart"/>
      <w:r w:rsidRPr="00B03EF9">
        <w:rPr>
          <w:rFonts w:eastAsia="Times New Roman" w:cs="Times New Roman"/>
          <w:i/>
          <w:iCs/>
          <w:color w:val="000000"/>
          <w:lang w:eastAsia="en-GB"/>
        </w:rPr>
        <w:t>Learning Disability Today</w:t>
      </w:r>
      <w:r w:rsidRPr="00B03EF9">
        <w:rPr>
          <w:rFonts w:eastAsia="Times New Roman" w:cs="Times New Roman"/>
          <w:color w:val="000000"/>
          <w:lang w:eastAsia="en-GB"/>
        </w:rPr>
        <w:t>, 6(3), pp.32-35.</w:t>
      </w:r>
      <w:proofErr w:type="gramEnd"/>
    </w:p>
    <w:p w:rsidR="00B03EF9" w:rsidRPr="00B03EF9" w:rsidRDefault="00B03EF9" w:rsidP="00B03EF9">
      <w:proofErr w:type="spellStart"/>
      <w:r w:rsidRPr="00B03EF9">
        <w:t>Laycock</w:t>
      </w:r>
      <w:proofErr w:type="spellEnd"/>
      <w:r w:rsidRPr="00B03EF9">
        <w:t>, B (2004). "</w:t>
      </w:r>
      <w:r w:rsidRPr="00B03EF9">
        <w:rPr>
          <w:i/>
        </w:rPr>
        <w:t>What is person centred planning</w:t>
      </w:r>
      <w:r w:rsidRPr="00B03EF9">
        <w:t xml:space="preserve">?" </w:t>
      </w:r>
      <w:proofErr w:type="gramStart"/>
      <w:r w:rsidRPr="00B03EF9">
        <w:t>(PDF).</w:t>
      </w:r>
      <w:proofErr w:type="gramEnd"/>
      <w:r w:rsidRPr="00B03EF9">
        <w:t xml:space="preserve"> Banbury, UK: Families L</w:t>
      </w:r>
      <w:r>
        <w:t>eading Planning UK. [Accessed 19</w:t>
      </w:r>
      <w:r w:rsidRPr="00B03EF9">
        <w:t xml:space="preserve"> April 2018.</w:t>
      </w:r>
      <w:r>
        <w:t>]</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O’Hagan, S. and Hebron, J. (2016).</w:t>
      </w:r>
      <w:proofErr w:type="gramEnd"/>
      <w:r w:rsidRPr="00B03EF9">
        <w:rPr>
          <w:rFonts w:eastAsia="Times New Roman" w:cs="Times New Roman"/>
          <w:color w:val="000000"/>
          <w:lang w:eastAsia="en-GB"/>
        </w:rPr>
        <w:t xml:space="preserve"> </w:t>
      </w:r>
      <w:proofErr w:type="gramStart"/>
      <w:r w:rsidRPr="00B03EF9">
        <w:rPr>
          <w:rFonts w:eastAsia="Times New Roman" w:cs="Times New Roman"/>
          <w:color w:val="000000"/>
          <w:lang w:eastAsia="en-GB"/>
        </w:rPr>
        <w:t>Perceptions of friendship among adolescents with autism spectrum conditions in a mainstream high school resource provision.</w:t>
      </w:r>
      <w:proofErr w:type="gramEnd"/>
      <w:r w:rsidRPr="00B03EF9">
        <w:rPr>
          <w:rFonts w:eastAsia="Times New Roman" w:cs="Times New Roman"/>
          <w:color w:val="000000"/>
          <w:lang w:eastAsia="en-GB"/>
        </w:rPr>
        <w:t> </w:t>
      </w:r>
      <w:proofErr w:type="gramStart"/>
      <w:r w:rsidRPr="00B03EF9">
        <w:rPr>
          <w:rFonts w:eastAsia="Times New Roman" w:cs="Times New Roman"/>
          <w:i/>
          <w:iCs/>
          <w:color w:val="000000"/>
          <w:lang w:eastAsia="en-GB"/>
        </w:rPr>
        <w:t>European Journal of Special Needs Education</w:t>
      </w:r>
      <w:r w:rsidRPr="00B03EF9">
        <w:rPr>
          <w:rFonts w:eastAsia="Times New Roman" w:cs="Times New Roman"/>
          <w:color w:val="000000"/>
          <w:lang w:eastAsia="en-GB"/>
        </w:rPr>
        <w:t>, 32(3), pp.314-328.</w:t>
      </w:r>
      <w:proofErr w:type="gramEnd"/>
    </w:p>
    <w:p w:rsidR="00B03EF9" w:rsidRPr="00B03EF9" w:rsidRDefault="00B03EF9" w:rsidP="00B03EF9">
      <w:pPr>
        <w:spacing w:after="180" w:line="240" w:lineRule="auto"/>
        <w:ind w:left="450" w:hanging="450"/>
        <w:rPr>
          <w:rFonts w:eastAsia="Times New Roman" w:cs="Times New Roman"/>
          <w:color w:val="000000"/>
          <w:lang w:eastAsia="en-GB"/>
        </w:rPr>
      </w:pPr>
      <w:proofErr w:type="spellStart"/>
      <w:r w:rsidRPr="00B03EF9">
        <w:rPr>
          <w:rFonts w:eastAsia="Times New Roman" w:cs="Times New Roman"/>
          <w:color w:val="000000"/>
          <w:lang w:eastAsia="en-GB"/>
        </w:rPr>
        <w:t>Rasheed</w:t>
      </w:r>
      <w:proofErr w:type="spellEnd"/>
      <w:r w:rsidRPr="00B03EF9">
        <w:rPr>
          <w:rFonts w:eastAsia="Times New Roman" w:cs="Times New Roman"/>
          <w:color w:val="000000"/>
          <w:lang w:eastAsia="en-GB"/>
        </w:rPr>
        <w:t>, S., Fore, C. and Miller, S. (2006). Person-</w:t>
      </w:r>
      <w:proofErr w:type="spellStart"/>
      <w:r w:rsidRPr="00B03EF9">
        <w:rPr>
          <w:rFonts w:eastAsia="Times New Roman" w:cs="Times New Roman"/>
          <w:color w:val="000000"/>
          <w:lang w:eastAsia="en-GB"/>
        </w:rPr>
        <w:t>Centered</w:t>
      </w:r>
      <w:proofErr w:type="spellEnd"/>
      <w:r w:rsidRPr="00B03EF9">
        <w:rPr>
          <w:rFonts w:eastAsia="Times New Roman" w:cs="Times New Roman"/>
          <w:color w:val="000000"/>
          <w:lang w:eastAsia="en-GB"/>
        </w:rPr>
        <w:t xml:space="preserve"> Planning: Practices, Promises, and Provisos. </w:t>
      </w:r>
      <w:proofErr w:type="gramStart"/>
      <w:r w:rsidRPr="00B03EF9">
        <w:rPr>
          <w:rFonts w:eastAsia="Times New Roman" w:cs="Times New Roman"/>
          <w:i/>
          <w:iCs/>
          <w:color w:val="000000"/>
          <w:lang w:eastAsia="en-GB"/>
        </w:rPr>
        <w:t>Journal for Vocational Special Needs Education</w:t>
      </w:r>
      <w:r w:rsidRPr="00B03EF9">
        <w:rPr>
          <w:rFonts w:eastAsia="Times New Roman" w:cs="Times New Roman"/>
          <w:color w:val="000000"/>
          <w:lang w:eastAsia="en-GB"/>
        </w:rPr>
        <w:t>, [online] 28(3), pp.47-59.</w:t>
      </w:r>
      <w:proofErr w:type="gramEnd"/>
      <w:r w:rsidRPr="00B03EF9">
        <w:rPr>
          <w:rFonts w:eastAsia="Times New Roman" w:cs="Times New Roman"/>
          <w:color w:val="000000"/>
          <w:lang w:eastAsia="en-GB"/>
        </w:rPr>
        <w:t xml:space="preserve"> Available at: https://eric.ed.gov/?q=EJ854374&amp;id=EJ854374 [Accessed 24 Apr. 2018].</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Robertson, J., Emerson, E., Hatton, C. and Elliott, J. (2005).</w:t>
      </w:r>
      <w:proofErr w:type="gramEnd"/>
      <w:r w:rsidRPr="00B03EF9">
        <w:rPr>
          <w:rFonts w:eastAsia="Times New Roman" w:cs="Times New Roman"/>
          <w:color w:val="000000"/>
          <w:lang w:eastAsia="en-GB"/>
        </w:rPr>
        <w:t> </w:t>
      </w:r>
      <w:r w:rsidRPr="00B03EF9">
        <w:rPr>
          <w:rFonts w:eastAsia="Times New Roman" w:cs="Times New Roman"/>
          <w:i/>
          <w:iCs/>
          <w:color w:val="000000"/>
          <w:lang w:eastAsia="en-GB"/>
        </w:rPr>
        <w:t>The Impact of Person Centred Planning</w:t>
      </w:r>
      <w:r w:rsidRPr="00B03EF9">
        <w:rPr>
          <w:rFonts w:eastAsia="Times New Roman" w:cs="Times New Roman"/>
          <w:color w:val="000000"/>
          <w:lang w:eastAsia="en-GB"/>
        </w:rPr>
        <w:t>. Lancaster: Institute for Health Research, Lancaster University, pp.i-8, 113.</w:t>
      </w:r>
    </w:p>
    <w:p w:rsidR="00B03EF9" w:rsidRPr="00B03EF9" w:rsidRDefault="00B03EF9" w:rsidP="00B03EF9">
      <w:pPr>
        <w:spacing w:after="180" w:line="240" w:lineRule="auto"/>
        <w:ind w:left="450" w:hanging="450"/>
        <w:rPr>
          <w:rFonts w:eastAsia="Times New Roman" w:cs="Times New Roman"/>
          <w:color w:val="000000"/>
          <w:lang w:eastAsia="en-GB"/>
        </w:rPr>
      </w:pPr>
      <w:proofErr w:type="spellStart"/>
      <w:proofErr w:type="gramStart"/>
      <w:r w:rsidRPr="00B03EF9">
        <w:rPr>
          <w:rFonts w:eastAsia="Times New Roman" w:cs="Times New Roman"/>
          <w:color w:val="000000"/>
          <w:lang w:eastAsia="en-GB"/>
        </w:rPr>
        <w:t>Rudkin</w:t>
      </w:r>
      <w:proofErr w:type="spellEnd"/>
      <w:r w:rsidRPr="00B03EF9">
        <w:rPr>
          <w:rFonts w:eastAsia="Times New Roman" w:cs="Times New Roman"/>
          <w:color w:val="000000"/>
          <w:lang w:eastAsia="en-GB"/>
        </w:rPr>
        <w:t>, A. and Rowe, D. (1999).</w:t>
      </w:r>
      <w:proofErr w:type="gramEnd"/>
      <w:r w:rsidRPr="00B03EF9">
        <w:rPr>
          <w:rFonts w:eastAsia="Times New Roman" w:cs="Times New Roman"/>
          <w:color w:val="000000"/>
          <w:lang w:eastAsia="en-GB"/>
        </w:rPr>
        <w:t xml:space="preserve"> A systematic review of the evidence base for lifestyle planning in adults with learning disabilities: implications for other disabled populations. </w:t>
      </w:r>
      <w:proofErr w:type="gramStart"/>
      <w:r w:rsidRPr="00B03EF9">
        <w:rPr>
          <w:rFonts w:eastAsia="Times New Roman" w:cs="Times New Roman"/>
          <w:i/>
          <w:iCs/>
          <w:color w:val="000000"/>
          <w:lang w:eastAsia="en-GB"/>
        </w:rPr>
        <w:t>Clinical Rehabilitation</w:t>
      </w:r>
      <w:r w:rsidRPr="00B03EF9">
        <w:rPr>
          <w:rFonts w:eastAsia="Times New Roman" w:cs="Times New Roman"/>
          <w:color w:val="000000"/>
          <w:lang w:eastAsia="en-GB"/>
        </w:rPr>
        <w:t>, 13(5), pp.363-372.</w:t>
      </w:r>
      <w:proofErr w:type="gramEnd"/>
    </w:p>
    <w:p w:rsidR="00B03EF9" w:rsidRPr="00B03EF9" w:rsidRDefault="00B03EF9" w:rsidP="00B03EF9">
      <w:pPr>
        <w:spacing w:after="180" w:line="240" w:lineRule="auto"/>
        <w:ind w:left="450" w:hanging="450"/>
        <w:rPr>
          <w:rFonts w:eastAsia="Times New Roman" w:cs="Times New Roman"/>
          <w:color w:val="000000"/>
          <w:lang w:eastAsia="en-GB"/>
        </w:rPr>
      </w:pPr>
      <w:proofErr w:type="spellStart"/>
      <w:proofErr w:type="gramStart"/>
      <w:r w:rsidRPr="00B03EF9">
        <w:rPr>
          <w:rFonts w:eastAsia="Times New Roman" w:cs="Times New Roman"/>
          <w:color w:val="000000"/>
          <w:lang w:eastAsia="en-GB"/>
        </w:rPr>
        <w:t>Symes</w:t>
      </w:r>
      <w:proofErr w:type="spellEnd"/>
      <w:r w:rsidRPr="00B03EF9">
        <w:rPr>
          <w:rFonts w:eastAsia="Times New Roman" w:cs="Times New Roman"/>
          <w:color w:val="000000"/>
          <w:lang w:eastAsia="en-GB"/>
        </w:rPr>
        <w:t>, W. and Humphrey, N. (2010).</w:t>
      </w:r>
      <w:proofErr w:type="gramEnd"/>
      <w:r w:rsidRPr="00B03EF9">
        <w:rPr>
          <w:rFonts w:eastAsia="Times New Roman" w:cs="Times New Roman"/>
          <w:color w:val="000000"/>
          <w:lang w:eastAsia="en-GB"/>
        </w:rPr>
        <w:t xml:space="preserve"> Peer-group indicators of social inclusion among pupils with autistic spectrum disorders (ASD) in mainstream secondary schools: A comparative study. </w:t>
      </w:r>
      <w:proofErr w:type="gramStart"/>
      <w:r w:rsidRPr="00B03EF9">
        <w:rPr>
          <w:rFonts w:eastAsia="Times New Roman" w:cs="Times New Roman"/>
          <w:i/>
          <w:iCs/>
          <w:color w:val="000000"/>
          <w:lang w:eastAsia="en-GB"/>
        </w:rPr>
        <w:t>School Psychology International</w:t>
      </w:r>
      <w:r w:rsidRPr="00B03EF9">
        <w:rPr>
          <w:rFonts w:eastAsia="Times New Roman" w:cs="Times New Roman"/>
          <w:color w:val="000000"/>
          <w:lang w:eastAsia="en-GB"/>
        </w:rPr>
        <w:t>, 31(5), pp.478-494.</w:t>
      </w:r>
      <w:proofErr w:type="gramEnd"/>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The National Autistic Society (2016).</w:t>
      </w:r>
      <w:proofErr w:type="gramEnd"/>
      <w:r w:rsidRPr="00B03EF9">
        <w:rPr>
          <w:rFonts w:eastAsia="Times New Roman" w:cs="Times New Roman"/>
          <w:color w:val="000000"/>
          <w:lang w:eastAsia="en-GB"/>
        </w:rPr>
        <w:t> </w:t>
      </w:r>
      <w:proofErr w:type="gramStart"/>
      <w:r w:rsidRPr="00B03EF9">
        <w:rPr>
          <w:rFonts w:eastAsia="Times New Roman" w:cs="Times New Roman"/>
          <w:i/>
          <w:iCs/>
          <w:color w:val="000000"/>
          <w:lang w:eastAsia="en-GB"/>
        </w:rPr>
        <w:t>Autism - NAS</w:t>
      </w:r>
      <w:r w:rsidRPr="00B03EF9">
        <w:rPr>
          <w:rFonts w:eastAsia="Times New Roman" w:cs="Times New Roman"/>
          <w:color w:val="000000"/>
          <w:lang w:eastAsia="en-GB"/>
        </w:rPr>
        <w:t>.</w:t>
      </w:r>
      <w:proofErr w:type="gramEnd"/>
      <w:r w:rsidRPr="00B03EF9">
        <w:rPr>
          <w:rFonts w:eastAsia="Times New Roman" w:cs="Times New Roman"/>
          <w:color w:val="000000"/>
          <w:lang w:eastAsia="en-GB"/>
        </w:rPr>
        <w:t xml:space="preserve"> [</w:t>
      </w:r>
      <w:proofErr w:type="gramStart"/>
      <w:r w:rsidRPr="00B03EF9">
        <w:rPr>
          <w:rFonts w:eastAsia="Times New Roman" w:cs="Times New Roman"/>
          <w:color w:val="000000"/>
          <w:lang w:eastAsia="en-GB"/>
        </w:rPr>
        <w:t>online</w:t>
      </w:r>
      <w:proofErr w:type="gramEnd"/>
      <w:r w:rsidRPr="00B03EF9">
        <w:rPr>
          <w:rFonts w:eastAsia="Times New Roman" w:cs="Times New Roman"/>
          <w:color w:val="000000"/>
          <w:lang w:eastAsia="en-GB"/>
        </w:rPr>
        <w:t>] Autism.org.uk. Available at: http://www.autism.org.uk/about/what-is/asd.aspx [Accessed 24 Apr. 2018].</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The National Autistic Society (2018).</w:t>
      </w:r>
      <w:proofErr w:type="gramEnd"/>
      <w:r w:rsidRPr="00B03EF9">
        <w:rPr>
          <w:rFonts w:eastAsia="Times New Roman" w:cs="Times New Roman"/>
          <w:color w:val="000000"/>
          <w:lang w:eastAsia="en-GB"/>
        </w:rPr>
        <w:t> </w:t>
      </w:r>
      <w:r w:rsidRPr="00B03EF9">
        <w:rPr>
          <w:rFonts w:eastAsia="Times New Roman" w:cs="Times New Roman"/>
          <w:i/>
          <w:iCs/>
          <w:color w:val="000000"/>
          <w:lang w:eastAsia="en-GB"/>
        </w:rPr>
        <w:t>Asperger syndrome - NAS</w:t>
      </w:r>
      <w:r w:rsidRPr="00B03EF9">
        <w:rPr>
          <w:rFonts w:eastAsia="Times New Roman" w:cs="Times New Roman"/>
          <w:color w:val="000000"/>
          <w:lang w:eastAsia="en-GB"/>
        </w:rPr>
        <w:t>. [</w:t>
      </w:r>
      <w:proofErr w:type="gramStart"/>
      <w:r w:rsidRPr="00B03EF9">
        <w:rPr>
          <w:rFonts w:eastAsia="Times New Roman" w:cs="Times New Roman"/>
          <w:color w:val="000000"/>
          <w:lang w:eastAsia="en-GB"/>
        </w:rPr>
        <w:t>online</w:t>
      </w:r>
      <w:proofErr w:type="gramEnd"/>
      <w:r w:rsidRPr="00B03EF9">
        <w:rPr>
          <w:rFonts w:eastAsia="Times New Roman" w:cs="Times New Roman"/>
          <w:color w:val="000000"/>
          <w:lang w:eastAsia="en-GB"/>
        </w:rPr>
        <w:t>] Autism.org.uk. Available at: http://www.autism.org.uk/about/what-is/asperger.aspx [Accessed 21 Apr. 2018].</w:t>
      </w:r>
    </w:p>
    <w:p w:rsidR="00B03EF9" w:rsidRPr="00B03EF9" w:rsidRDefault="00B03EF9" w:rsidP="00B03EF9">
      <w:pPr>
        <w:spacing w:after="180" w:line="240" w:lineRule="auto"/>
        <w:ind w:left="450" w:hanging="450"/>
        <w:rPr>
          <w:rFonts w:eastAsia="Times New Roman" w:cs="Times New Roman"/>
          <w:color w:val="000000"/>
          <w:lang w:eastAsia="en-GB"/>
        </w:rPr>
      </w:pPr>
      <w:proofErr w:type="gramStart"/>
      <w:r w:rsidRPr="00B03EF9">
        <w:rPr>
          <w:rFonts w:eastAsia="Times New Roman" w:cs="Times New Roman"/>
          <w:color w:val="000000"/>
          <w:lang w:eastAsia="en-GB"/>
        </w:rPr>
        <w:t>Welsh Assembly Government (2013).</w:t>
      </w:r>
      <w:proofErr w:type="gramEnd"/>
      <w:r w:rsidRPr="00B03EF9">
        <w:rPr>
          <w:rFonts w:eastAsia="Times New Roman" w:cs="Times New Roman"/>
          <w:color w:val="000000"/>
          <w:lang w:eastAsia="en-GB"/>
        </w:rPr>
        <w:t> </w:t>
      </w:r>
      <w:proofErr w:type="gramStart"/>
      <w:r w:rsidRPr="00B03EF9">
        <w:rPr>
          <w:rFonts w:eastAsia="Times New Roman" w:cs="Times New Roman"/>
          <w:i/>
          <w:iCs/>
          <w:color w:val="000000"/>
          <w:lang w:eastAsia="en-GB"/>
        </w:rPr>
        <w:t xml:space="preserve">Welsh </w:t>
      </w:r>
      <w:proofErr w:type="spellStart"/>
      <w:r w:rsidRPr="00B03EF9">
        <w:rPr>
          <w:rFonts w:eastAsia="Times New Roman" w:cs="Times New Roman"/>
          <w:i/>
          <w:iCs/>
          <w:color w:val="000000"/>
          <w:lang w:eastAsia="en-GB"/>
        </w:rPr>
        <w:t>Government|Social</w:t>
      </w:r>
      <w:proofErr w:type="spellEnd"/>
      <w:r w:rsidRPr="00B03EF9">
        <w:rPr>
          <w:rFonts w:eastAsia="Times New Roman" w:cs="Times New Roman"/>
          <w:i/>
          <w:iCs/>
          <w:color w:val="000000"/>
          <w:lang w:eastAsia="en-GB"/>
        </w:rPr>
        <w:t xml:space="preserve"> Model of Disability</w:t>
      </w:r>
      <w:r w:rsidRPr="00B03EF9">
        <w:rPr>
          <w:rFonts w:eastAsia="Times New Roman" w:cs="Times New Roman"/>
          <w:color w:val="000000"/>
          <w:lang w:eastAsia="en-GB"/>
        </w:rPr>
        <w:t>.</w:t>
      </w:r>
      <w:proofErr w:type="gramEnd"/>
      <w:r w:rsidRPr="00B03EF9">
        <w:rPr>
          <w:rFonts w:eastAsia="Times New Roman" w:cs="Times New Roman"/>
          <w:color w:val="000000"/>
          <w:lang w:eastAsia="en-GB"/>
        </w:rPr>
        <w:t xml:space="preserve"> [</w:t>
      </w:r>
      <w:proofErr w:type="gramStart"/>
      <w:r w:rsidRPr="00B03EF9">
        <w:rPr>
          <w:rFonts w:eastAsia="Times New Roman" w:cs="Times New Roman"/>
          <w:color w:val="000000"/>
          <w:lang w:eastAsia="en-GB"/>
        </w:rPr>
        <w:t>online</w:t>
      </w:r>
      <w:proofErr w:type="gramEnd"/>
      <w:r w:rsidRPr="00B03EF9">
        <w:rPr>
          <w:rFonts w:eastAsia="Times New Roman" w:cs="Times New Roman"/>
          <w:color w:val="000000"/>
          <w:lang w:eastAsia="en-GB"/>
        </w:rPr>
        <w:t xml:space="preserve">] </w:t>
      </w:r>
      <w:proofErr w:type="spellStart"/>
      <w:r w:rsidRPr="00B03EF9">
        <w:rPr>
          <w:rFonts w:eastAsia="Times New Roman" w:cs="Times New Roman"/>
          <w:color w:val="000000"/>
          <w:lang w:eastAsia="en-GB"/>
        </w:rPr>
        <w:t>Gov.wales</w:t>
      </w:r>
      <w:proofErr w:type="spellEnd"/>
      <w:r w:rsidRPr="00B03EF9">
        <w:rPr>
          <w:rFonts w:eastAsia="Times New Roman" w:cs="Times New Roman"/>
          <w:color w:val="000000"/>
          <w:lang w:eastAsia="en-GB"/>
        </w:rPr>
        <w:t>. Available at: http://gov.wales/topics/people-and-communities/equality-diversity/rightsequality/disability/socialmodel/?lang=en [Accessed 22 Apr. 2018].</w:t>
      </w:r>
    </w:p>
    <w:p w:rsidR="00B03EF9" w:rsidRDefault="00B03EF9" w:rsidP="005853F3"/>
    <w:p w:rsidR="007C121A" w:rsidRDefault="007C121A" w:rsidP="00913BFE"/>
    <w:p w:rsidR="00E043CA" w:rsidRDefault="00E043CA" w:rsidP="00913BFE"/>
    <w:p w:rsidR="007A2902" w:rsidRPr="00A45C68" w:rsidRDefault="00D22D82" w:rsidP="00A45C68">
      <w:r>
        <w:t xml:space="preserve"> </w:t>
      </w:r>
    </w:p>
    <w:sectPr w:rsidR="007A2902" w:rsidRPr="00A45C68" w:rsidSect="004F22C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45C68"/>
    <w:rsid w:val="0000757D"/>
    <w:rsid w:val="000135BD"/>
    <w:rsid w:val="000474F4"/>
    <w:rsid w:val="00063530"/>
    <w:rsid w:val="00091377"/>
    <w:rsid w:val="000B199C"/>
    <w:rsid w:val="000F10B2"/>
    <w:rsid w:val="00131FE7"/>
    <w:rsid w:val="002B555A"/>
    <w:rsid w:val="002C46C7"/>
    <w:rsid w:val="003206EA"/>
    <w:rsid w:val="0035774B"/>
    <w:rsid w:val="00361A25"/>
    <w:rsid w:val="00365A89"/>
    <w:rsid w:val="003F0024"/>
    <w:rsid w:val="004F22C7"/>
    <w:rsid w:val="004F488E"/>
    <w:rsid w:val="00530D8B"/>
    <w:rsid w:val="0053399D"/>
    <w:rsid w:val="005853F3"/>
    <w:rsid w:val="00600DA3"/>
    <w:rsid w:val="00651EFF"/>
    <w:rsid w:val="00677D26"/>
    <w:rsid w:val="006B56DD"/>
    <w:rsid w:val="00733964"/>
    <w:rsid w:val="00764794"/>
    <w:rsid w:val="00782D5E"/>
    <w:rsid w:val="00783899"/>
    <w:rsid w:val="007A2902"/>
    <w:rsid w:val="007C121A"/>
    <w:rsid w:val="008026C6"/>
    <w:rsid w:val="00813113"/>
    <w:rsid w:val="00870904"/>
    <w:rsid w:val="008C063C"/>
    <w:rsid w:val="008D217C"/>
    <w:rsid w:val="008E19B9"/>
    <w:rsid w:val="00912A93"/>
    <w:rsid w:val="00913BFE"/>
    <w:rsid w:val="00961E7B"/>
    <w:rsid w:val="009E7797"/>
    <w:rsid w:val="00A45C68"/>
    <w:rsid w:val="00A82EBE"/>
    <w:rsid w:val="00AA68F0"/>
    <w:rsid w:val="00AD5D67"/>
    <w:rsid w:val="00B03EF9"/>
    <w:rsid w:val="00B142CE"/>
    <w:rsid w:val="00B6240B"/>
    <w:rsid w:val="00C41BF6"/>
    <w:rsid w:val="00C61D2F"/>
    <w:rsid w:val="00CF0E5E"/>
    <w:rsid w:val="00D13066"/>
    <w:rsid w:val="00D22D82"/>
    <w:rsid w:val="00D425B0"/>
    <w:rsid w:val="00DF61E1"/>
    <w:rsid w:val="00E043CA"/>
    <w:rsid w:val="00E92B60"/>
    <w:rsid w:val="00EC1424"/>
    <w:rsid w:val="00F017E4"/>
    <w:rsid w:val="00F37B81"/>
    <w:rsid w:val="00F37F49"/>
    <w:rsid w:val="00F470A6"/>
    <w:rsid w:val="00F53657"/>
    <w:rsid w:val="00F640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2C7"/>
  </w:style>
  <w:style w:type="paragraph" w:styleId="Heading2">
    <w:name w:val="heading 2"/>
    <w:basedOn w:val="Normal"/>
    <w:link w:val="Heading2Char"/>
    <w:uiPriority w:val="9"/>
    <w:qFormat/>
    <w:rsid w:val="00B03EF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03EF9"/>
    <w:rPr>
      <w:color w:val="0000FF"/>
      <w:u w:val="single"/>
    </w:rPr>
  </w:style>
  <w:style w:type="character" w:customStyle="1" w:styleId="reference-accessdate">
    <w:name w:val="reference-accessdate"/>
    <w:basedOn w:val="DefaultParagraphFont"/>
    <w:rsid w:val="00B03EF9"/>
  </w:style>
  <w:style w:type="character" w:customStyle="1" w:styleId="nowrap">
    <w:name w:val="nowrap"/>
    <w:basedOn w:val="DefaultParagraphFont"/>
    <w:rsid w:val="00B03EF9"/>
  </w:style>
  <w:style w:type="character" w:customStyle="1" w:styleId="Heading2Char">
    <w:name w:val="Heading 2 Char"/>
    <w:basedOn w:val="DefaultParagraphFont"/>
    <w:link w:val="Heading2"/>
    <w:uiPriority w:val="9"/>
    <w:rsid w:val="00B03EF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03E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62620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2238</TotalTime>
  <Pages>6</Pages>
  <Words>2807</Words>
  <Characters>16001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46</cp:revision>
  <dcterms:created xsi:type="dcterms:W3CDTF">2018-04-25T14:27:00Z</dcterms:created>
  <dcterms:modified xsi:type="dcterms:W3CDTF">2018-04-27T04:44:00Z</dcterms:modified>
</cp:coreProperties>
</file>