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2B6D60" w:rsidP="7E6D291B" w:rsidRDefault="132B6D60" w14:paraId="341FC402" w14:textId="50E2B59F">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Section 2 of the Homicide Act of 1957 in England and Wales governed the </w:t>
      </w:r>
      <w:r w:rsidRPr="7E6D291B" w:rsidR="1A8BD27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defence</w:t>
      </w: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of </w:t>
      </w:r>
      <w:r w:rsidRPr="7E6D291B" w:rsidR="3588250A">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diminished</w:t>
      </w: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responsibility in murder prosecutions. According to this law, a defendant could not properly raise the defence of reduced culpability unless certain conditions were met. First, the defendant had to show that they had a mental disorder that was known to them at the time of the offense, one that seriously impaired their capacity for clear thought. The killing must also have been materially </w:t>
      </w: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impacted</w:t>
      </w: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by the defendant's inability to control their behaviour, exercise restraint, or follow the law </w:t>
      </w: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because of</w:t>
      </w:r>
      <w:r w:rsidRPr="7E6D291B" w:rsidR="132B6D60">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their abnormal mental function. If these requirements are met, the charge of murder may be changed to manslaughter, and the defendant's punishment may be lessened. The most recent and correct information should be obtained by consulting current legal sources. Nevertheless, it is crucial to be aware that laws can change.</w:t>
      </w:r>
    </w:p>
    <w:p w:rsidR="01B4DEEB" w:rsidP="7E6D291B" w:rsidRDefault="01B4DEEB" w14:paraId="5A4A5B4D" w14:textId="6F3FF58E">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The defence of diminished responsibility in murder cases was covered in Section 2 of the Homicide Act of 1957 in England and Wales. Certain conditions had to be satisfied for a defendant to successfully assert diminished responsibility under this law. To begin with, the defendant had to show that a mental condition existed at the time the act was committed. This mental abnormality had to significantly impair the person's ability to think clearly, and it could be caused by a variety of recognised physical or mental illnesses. Second, the killing must have been significantly caused by or contributed to by the abnormality of mental function. </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The defendant's </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capacity</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to </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comprehend</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the nature of their behaviour, exercise restraint, or abide by the law had to be materially compromised. The charge of murder might be changed to manslaughter if these conditions are satisfied and the defence of diminished responsibility is successfully </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established</w:t>
      </w:r>
      <w:r w:rsidRPr="7E6D291B" w:rsidR="01B4DEEB">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which would result in a reduced punishment for the defendant.</w:t>
      </w:r>
    </w:p>
    <w:p w:rsidR="2B775C4D" w:rsidP="7E6D291B" w:rsidRDefault="2B775C4D" w14:paraId="3919DCB5" w14:textId="620FE2BD">
      <w:pPr>
        <w:pStyle w:val="Normal"/>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One of the most important aspects of criminal law is the defence of diminished responsibility, which </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complex understanding of guilt by recognising the complex relationship between mental illness and criminal behaviour</w:t>
      </w:r>
      <w:r w:rsidRPr="7E6D291B" w:rsidR="7D30C76E">
        <w:rPr>
          <w:rFonts w:ascii="Calibri" w:hAnsi="Calibri" w:eastAsia="Calibri" w:cs="Calibri"/>
          <w:noProof w:val="0"/>
          <w:sz w:val="22"/>
          <w:szCs w:val="22"/>
          <w:lang w:val="en-GB"/>
        </w:rPr>
        <w:t xml:space="preserve"> (</w:t>
      </w:r>
      <w:r w:rsidRPr="7E6D291B" w:rsidR="7D30C76E">
        <w:rPr>
          <w:rFonts w:ascii="Calibri" w:hAnsi="Calibri" w:eastAsia="Calibri" w:cs="Calibri"/>
          <w:noProof w:val="0"/>
          <w:sz w:val="22"/>
          <w:szCs w:val="22"/>
          <w:lang w:val="en-GB"/>
        </w:rPr>
        <w:t>Botterell</w:t>
      </w:r>
      <w:r w:rsidRPr="7E6D291B" w:rsidR="7D30C76E">
        <w:rPr>
          <w:rFonts w:ascii="Calibri" w:hAnsi="Calibri" w:eastAsia="Calibri" w:cs="Calibri"/>
          <w:noProof w:val="0"/>
          <w:sz w:val="22"/>
          <w:szCs w:val="22"/>
          <w:lang w:val="en-GB"/>
        </w:rPr>
        <w:t>, 2023)</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This defence, which aims to lessen the severity of the legal repercussions, is based on the understanding that some people may function with markedly reduced mental </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capacity</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E6D291B" w:rsidR="4FF664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because of</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diagnosed mental disorders or impairments. The defence team aims to create a strong connection between the accused's psychological state and the commission of the crime by investigating their mental state at the time of the offence. This strategy reflects a societal understanding that mental health issues can have a significant impact on behaviour and lessen the accused's moral culpability. It emphasises how the legal system is sensitive to the intricacies of human psychology and promotes the fair and compassionate administration of justice. Adopting the defence of diminished responsibility promotes a more compassionate and comprehensive approach to criminal proceedings and highlights the growing acknowledgement of mental health complexities in the legal system</w:t>
      </w:r>
      <w:r w:rsidRPr="7E6D291B" w:rsidR="23081BDF">
        <w:rPr>
          <w:rFonts w:ascii="Calibri" w:hAnsi="Calibri" w:eastAsia="Calibri" w:cs="Calibri"/>
          <w:noProof w:val="0"/>
          <w:sz w:val="22"/>
          <w:szCs w:val="22"/>
          <w:lang w:val="en-GB"/>
        </w:rPr>
        <w:t xml:space="preserve"> (James, 2013)</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all of which work towards ensuring a just and </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equitable</w:t>
      </w:r>
      <w:r w:rsidRPr="7E6D291B" w:rsidR="2B775C4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legal system that considers the unique circumstances and mental health of the accused.</w:t>
      </w:r>
    </w:p>
    <w:p w:rsidR="3D6BA2EB" w:rsidP="7E6D291B" w:rsidRDefault="3D6BA2EB" w14:paraId="7B989EF7" w14:textId="0E6CE7D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7E6D291B"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Section 52 of </w:t>
      </w:r>
      <w:r w:rsidRPr="7E6D291B"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w:t>
      </w:r>
      <w:r w:rsidRPr="7E6D291B" w:rsidR="78FE2A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coroners</w:t>
      </w:r>
      <w:r w:rsidRPr="7E6D291B"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justice act 2009</w:t>
      </w:r>
      <w:r w:rsidRPr="7E6D291B"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replaced the meaning of diminished responsibility of </w:t>
      </w:r>
      <w:r w:rsidRPr="7E6D291B" w:rsidR="76562D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homicide</w:t>
      </w:r>
      <w:r w:rsidRPr="7E6D291B"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act 1957.</w:t>
      </w:r>
      <w:r w:rsidRPr="7E6D291B" w:rsidR="79F964DF">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w:t>
      </w:r>
      <w:r w:rsidRPr="7E6D291B"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This is now applied for any prosecution of murder that was </w:t>
      </w:r>
      <w:r w:rsidRPr="7E6D291B" w:rsidR="0FE506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occurring</w:t>
      </w:r>
      <w:r w:rsidRPr="7E6D291B"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before the 4 of </w:t>
      </w:r>
      <w:r w:rsidRPr="7E6D291B" w:rsidR="3C9AD9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October</w:t>
      </w:r>
      <w:r w:rsidRPr="7E6D291B"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2010</w:t>
      </w:r>
      <w:r w:rsidRPr="7E6D291B"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are many </w:t>
      </w:r>
      <w:r w:rsidRPr="7E6D291B" w:rsidR="3E39E7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partials'</w:t>
      </w:r>
      <w:r w:rsidRPr="7E6D291B"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defences to murder, what this means is that someone was still killed but it </w:t>
      </w:r>
      <w:r w:rsidRPr="7E6D291B" w:rsidR="1EF64C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was not</w:t>
      </w:r>
      <w:r w:rsidRPr="7E6D291B"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intentional therefore meanin</w:t>
      </w:r>
      <w:r w:rsidRPr="7E6D291B" w:rsidR="4042D9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g it was manslaughter</w:t>
      </w:r>
      <w:r w:rsidRPr="7E6D291B" w:rsidR="40E5C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case that involves the coroners and justice act (2009) is the case R v. David Norris and Gary </w:t>
      </w:r>
      <w:r w:rsidRPr="7E6D291B" w:rsidR="520FF6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Dobson</w:t>
      </w:r>
      <w:r w:rsidRPr="7E6D291B" w:rsidR="68644C3A">
        <w:rPr>
          <w:rFonts w:ascii="Calibri" w:hAnsi="Calibri" w:eastAsia="Calibri" w:cs="Calibri"/>
          <w:noProof w:val="0"/>
          <w:sz w:val="22"/>
          <w:szCs w:val="22"/>
          <w:lang w:val="en-GB"/>
        </w:rPr>
        <w:t xml:space="preserve"> (</w:t>
      </w:r>
      <w:r w:rsidRPr="7E6D291B" w:rsidR="68644C3A">
        <w:rPr>
          <w:rFonts w:ascii="Calibri" w:hAnsi="Calibri" w:eastAsia="Calibri" w:cs="Calibri"/>
          <w:i w:val="1"/>
          <w:iCs w:val="1"/>
          <w:noProof w:val="0"/>
          <w:sz w:val="22"/>
          <w:szCs w:val="22"/>
          <w:lang w:val="en-GB"/>
        </w:rPr>
        <w:t>R v Dobson,</w:t>
      </w:r>
      <w:r w:rsidRPr="7E6D291B" w:rsidR="68644C3A">
        <w:rPr>
          <w:rFonts w:ascii="Calibri" w:hAnsi="Calibri" w:eastAsia="Calibri" w:cs="Calibri"/>
          <w:noProof w:val="0"/>
          <w:sz w:val="22"/>
          <w:szCs w:val="22"/>
          <w:lang w:val="en-GB"/>
        </w:rPr>
        <w:t xml:space="preserve"> 2011)</w:t>
      </w:r>
      <w:r w:rsidRPr="7E6D291B" w:rsidR="40E5CB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E6D291B" w:rsidR="1E49B8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David and Gary were charged with murder</w:t>
      </w:r>
      <w:r w:rsidRPr="7E6D291B" w:rsidR="28ED36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This trial was </w:t>
      </w:r>
      <w:r w:rsidRPr="7E6D291B" w:rsidR="6B3B4C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notable</w:t>
      </w:r>
      <w:r w:rsidRPr="7E6D291B" w:rsidR="28ED36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for the use of a provision under the </w:t>
      </w:r>
      <w:r w:rsidRPr="7E6D291B" w:rsidR="6B3B4C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coroners</w:t>
      </w:r>
      <w:r w:rsidRPr="7E6D291B" w:rsidR="28ED36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w:t>
      </w:r>
      <w:r w:rsidRPr="7E6D291B" w:rsidR="5CA1F1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justice</w:t>
      </w:r>
      <w:r w:rsidRPr="7E6D291B" w:rsidR="28ED36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act (2009) that allowed for the admission of evidence from anonymous witnesses to protect their identity and ensure their safety</w:t>
      </w:r>
      <w:r w:rsidRPr="7E6D291B" w:rsidR="35BA63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it also </w:t>
      </w:r>
      <w:r w:rsidRPr="7E6D291B" w:rsidR="35BA63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provided</w:t>
      </w:r>
      <w:r w:rsidRPr="7E6D291B" w:rsidR="35BA63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E6D291B" w:rsidR="35BA63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additional</w:t>
      </w:r>
      <w:r w:rsidRPr="7E6D291B" w:rsidR="35BA63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protections for witnesses in high profile cases.</w:t>
      </w:r>
    </w:p>
    <w:p w:rsidR="12A56C8B" w:rsidP="7E6D291B" w:rsidRDefault="12A56C8B" w14:paraId="723B905E" w14:textId="4E510C78">
      <w:pPr>
        <w:pStyle w:val="Normal"/>
        <w:rPr>
          <w:b w:val="0"/>
          <w:bCs w:val="0"/>
          <w:i w:val="0"/>
          <w:iCs w:val="0"/>
          <w:color w:val="auto"/>
          <w:u w:val="none"/>
        </w:rPr>
      </w:pPr>
      <w:r w:rsidRPr="7E6D291B" w:rsidR="12A56C8B">
        <w:rPr>
          <w:b w:val="0"/>
          <w:bCs w:val="0"/>
          <w:i w:val="0"/>
          <w:iCs w:val="0"/>
          <w:color w:val="auto"/>
          <w:u w:val="none"/>
        </w:rPr>
        <w:t xml:space="preserve">The changes made to the diminished responsibility defence may have positive and negative effects on the legal system. On the </w:t>
      </w:r>
      <w:r w:rsidRPr="7E6D291B" w:rsidR="3E9AC0B2">
        <w:rPr>
          <w:b w:val="0"/>
          <w:bCs w:val="0"/>
          <w:i w:val="0"/>
          <w:iCs w:val="0"/>
          <w:color w:val="auto"/>
          <w:u w:val="none"/>
        </w:rPr>
        <w:t>positive</w:t>
      </w:r>
      <w:r w:rsidRPr="7E6D291B" w:rsidR="12A56C8B">
        <w:rPr>
          <w:b w:val="0"/>
          <w:bCs w:val="0"/>
          <w:i w:val="0"/>
          <w:iCs w:val="0"/>
          <w:color w:val="auto"/>
          <w:u w:val="none"/>
        </w:rPr>
        <w:t xml:space="preserve"> side, because they recognise the complex connection between criminal behaviour and mental health</w:t>
      </w:r>
      <w:r w:rsidRPr="7E6D291B" w:rsidR="3A7547DB">
        <w:rPr>
          <w:rFonts w:ascii="Calibri" w:hAnsi="Calibri" w:eastAsia="Calibri" w:cs="Calibri"/>
          <w:noProof w:val="0"/>
          <w:sz w:val="22"/>
          <w:szCs w:val="22"/>
          <w:lang w:val="en-GB"/>
        </w:rPr>
        <w:t xml:space="preserve"> (MacPhail &amp; Jones, 2013)</w:t>
      </w:r>
      <w:r w:rsidRPr="7E6D291B" w:rsidR="12A56C8B">
        <w:rPr>
          <w:b w:val="0"/>
          <w:bCs w:val="0"/>
          <w:i w:val="0"/>
          <w:iCs w:val="0"/>
          <w:color w:val="auto"/>
          <w:u w:val="none"/>
        </w:rPr>
        <w:t xml:space="preserve">, the revisions might encourage a more compassionate and nuanced approach to justice. This might result in more </w:t>
      </w:r>
      <w:r w:rsidRPr="7E6D291B" w:rsidR="12A56C8B">
        <w:rPr>
          <w:b w:val="0"/>
          <w:bCs w:val="0"/>
          <w:i w:val="0"/>
          <w:iCs w:val="0"/>
          <w:color w:val="auto"/>
          <w:u w:val="none"/>
        </w:rPr>
        <w:t>equitable</w:t>
      </w:r>
      <w:r w:rsidRPr="7E6D291B" w:rsidR="12A56C8B">
        <w:rPr>
          <w:b w:val="0"/>
          <w:bCs w:val="0"/>
          <w:i w:val="0"/>
          <w:iCs w:val="0"/>
          <w:color w:val="auto"/>
          <w:u w:val="none"/>
        </w:rPr>
        <w:t xml:space="preserve"> outcomes by acknowledging the influence of mental illnesses on an individual's responsibility. Furthermore, revisions can ensure that legal responses stay current and sensitive to new scientific understandings of mental health by bringing legal frameworks into line with these developments. These adjustments could, nevertheless, also bring difficulties. </w:t>
      </w:r>
      <w:r w:rsidRPr="7E6D291B" w:rsidR="5034179D">
        <w:rPr>
          <w:b w:val="0"/>
          <w:bCs w:val="0"/>
          <w:i w:val="0"/>
          <w:iCs w:val="0"/>
          <w:color w:val="auto"/>
          <w:u w:val="none"/>
        </w:rPr>
        <w:t>There is a risk of a</w:t>
      </w:r>
      <w:r w:rsidRPr="7E6D291B" w:rsidR="12A56C8B">
        <w:rPr>
          <w:b w:val="0"/>
          <w:bCs w:val="0"/>
          <w:i w:val="0"/>
          <w:iCs w:val="0"/>
          <w:color w:val="auto"/>
          <w:u w:val="none"/>
        </w:rPr>
        <w:t>buse</w:t>
      </w:r>
      <w:r w:rsidRPr="7E6D291B" w:rsidR="0F5C3EE3">
        <w:rPr>
          <w:b w:val="0"/>
          <w:bCs w:val="0"/>
          <w:i w:val="0"/>
          <w:iCs w:val="0"/>
          <w:color w:val="auto"/>
          <w:u w:val="none"/>
        </w:rPr>
        <w:t xml:space="preserve"> </w:t>
      </w:r>
      <w:r w:rsidRPr="7E6D291B" w:rsidR="12A56C8B">
        <w:rPr>
          <w:b w:val="0"/>
          <w:bCs w:val="0"/>
          <w:i w:val="0"/>
          <w:iCs w:val="0"/>
          <w:color w:val="auto"/>
          <w:u w:val="none"/>
        </w:rPr>
        <w:t xml:space="preserve">since people may try to take advantage of the defence to lessen their legal repercussions, which could make court cases more difficult. The legal system might grow more complex, requiring in-depth evaluations of the defendant's mental state, which might lead to longer trial times and higher related expenses. Additionally, the general public's </w:t>
      </w:r>
      <w:r w:rsidRPr="7E6D291B" w:rsidR="12A56C8B">
        <w:rPr>
          <w:b w:val="0"/>
          <w:bCs w:val="0"/>
          <w:i w:val="0"/>
          <w:iCs w:val="0"/>
          <w:color w:val="auto"/>
          <w:u w:val="none"/>
        </w:rPr>
        <w:t>perception</w:t>
      </w:r>
      <w:r w:rsidRPr="7E6D291B" w:rsidR="12A56C8B">
        <w:rPr>
          <w:b w:val="0"/>
          <w:bCs w:val="0"/>
          <w:i w:val="0"/>
          <w:iCs w:val="0"/>
          <w:color w:val="auto"/>
          <w:u w:val="none"/>
        </w:rPr>
        <w:t xml:space="preserve"> may be problematic because changes may be met with scepticism, casting doubt on the possibility of giving criminals a pass</w:t>
      </w:r>
      <w:r w:rsidRPr="7E6D291B" w:rsidR="3C3A7311">
        <w:rPr>
          <w:rFonts w:ascii="Calibri" w:hAnsi="Calibri" w:eastAsia="Calibri" w:cs="Calibri"/>
          <w:noProof w:val="0"/>
          <w:sz w:val="22"/>
          <w:szCs w:val="22"/>
          <w:lang w:val="en-GB"/>
        </w:rPr>
        <w:t xml:space="preserve"> (Pickett, 2019)</w:t>
      </w:r>
      <w:r w:rsidRPr="7E6D291B" w:rsidR="12A56C8B">
        <w:rPr>
          <w:b w:val="0"/>
          <w:bCs w:val="0"/>
          <w:i w:val="0"/>
          <w:iCs w:val="0"/>
          <w:color w:val="auto"/>
          <w:u w:val="none"/>
        </w:rPr>
        <w:t xml:space="preserve">. Navigating the benefits and drawbacks of changes to the diminished responsibility defence </w:t>
      </w:r>
      <w:r w:rsidRPr="7E6D291B" w:rsidR="12A56C8B">
        <w:rPr>
          <w:b w:val="0"/>
          <w:bCs w:val="0"/>
          <w:i w:val="0"/>
          <w:iCs w:val="0"/>
          <w:color w:val="auto"/>
          <w:u w:val="none"/>
        </w:rPr>
        <w:t>necessitates</w:t>
      </w:r>
      <w:r w:rsidRPr="7E6D291B" w:rsidR="12A56C8B">
        <w:rPr>
          <w:b w:val="0"/>
          <w:bCs w:val="0"/>
          <w:i w:val="0"/>
          <w:iCs w:val="0"/>
          <w:color w:val="auto"/>
          <w:u w:val="none"/>
        </w:rPr>
        <w:t xml:space="preserve"> striking a balance between compassion, legal accuracy, and public safety.</w:t>
      </w:r>
    </w:p>
    <w:p w:rsidR="7E6D291B" w:rsidP="7E6D291B" w:rsidRDefault="7E6D291B" w14:paraId="20BF2554" w14:textId="09914E84">
      <w:pPr>
        <w:pStyle w:val="Normal"/>
        <w:rPr>
          <w:b w:val="0"/>
          <w:bCs w:val="0"/>
          <w:i w:val="0"/>
          <w:iCs w:val="0"/>
          <w:color w:val="auto"/>
          <w:sz w:val="24"/>
          <w:szCs w:val="24"/>
          <w:u w:val="none"/>
        </w:rPr>
      </w:pPr>
    </w:p>
    <w:p w:rsidR="78A97A03" w:rsidP="7E6D291B" w:rsidRDefault="78A97A03" w14:paraId="43E746B2" w14:textId="1E6CD074">
      <w:pPr>
        <w:pStyle w:val="Normal"/>
        <w:rPr>
          <w:rFonts w:ascii="Calibri" w:hAnsi="Calibri" w:eastAsia="Calibri" w:cs="Calibri"/>
          <w:b w:val="0"/>
          <w:bCs w:val="0"/>
          <w:i w:val="0"/>
          <w:iCs w:val="0"/>
          <w:noProof w:val="0"/>
          <w:color w:val="auto"/>
          <w:sz w:val="22"/>
          <w:szCs w:val="22"/>
          <w:u w:val="none"/>
          <w:lang w:val="en-GB"/>
        </w:rPr>
      </w:pPr>
      <w:r w:rsidRPr="7E6D291B" w:rsidR="09089E76">
        <w:rPr>
          <w:sz w:val="22"/>
          <w:szCs w:val="22"/>
        </w:rPr>
        <w:t xml:space="preserve">Several significant suggestions for </w:t>
      </w:r>
      <w:r w:rsidRPr="7E6D291B" w:rsidR="09089E76">
        <w:rPr>
          <w:sz w:val="22"/>
          <w:szCs w:val="22"/>
        </w:rPr>
        <w:t>additional</w:t>
      </w:r>
      <w:r w:rsidRPr="7E6D291B" w:rsidR="09089E76">
        <w:rPr>
          <w:sz w:val="22"/>
          <w:szCs w:val="22"/>
        </w:rPr>
        <w:t xml:space="preserve"> reform can be taken into consideration to strengthen and improve the legislative frameworks controlling the defence of diminished responsibility in England and Wales. First, more funding must be </w:t>
      </w:r>
      <w:r w:rsidRPr="7E6D291B" w:rsidR="09089E76">
        <w:rPr>
          <w:sz w:val="22"/>
          <w:szCs w:val="22"/>
        </w:rPr>
        <w:t>allocated</w:t>
      </w:r>
      <w:r w:rsidRPr="7E6D291B" w:rsidR="09089E76">
        <w:rPr>
          <w:sz w:val="22"/>
          <w:szCs w:val="22"/>
        </w:rPr>
        <w:t xml:space="preserve"> to mental health specialists and resources to enable thorough and precise evaluations of defendants' mental conditions. This would guarantee a more sophisticated comprehension of the intricate relationship between criminal behaviour and mental health</w:t>
      </w:r>
      <w:r w:rsidRPr="7E6D291B" w:rsidR="1A9D6196">
        <w:rPr>
          <w:rFonts w:ascii="Calibri" w:hAnsi="Calibri" w:eastAsia="Calibri" w:cs="Calibri"/>
          <w:noProof w:val="0"/>
          <w:sz w:val="22"/>
          <w:szCs w:val="22"/>
          <w:lang w:val="en-GB"/>
        </w:rPr>
        <w:t xml:space="preserve"> (Ferreiraa, 2015)</w:t>
      </w:r>
      <w:r w:rsidRPr="7E6D291B" w:rsidR="09089E76">
        <w:rPr>
          <w:sz w:val="22"/>
          <w:szCs w:val="22"/>
        </w:rPr>
        <w:t>. Fur</w:t>
      </w:r>
      <w:r w:rsidRPr="7E6D291B" w:rsidR="09089E76">
        <w:rPr>
          <w:sz w:val="22"/>
          <w:szCs w:val="22"/>
        </w:rPr>
        <w:t>thermore,</w:t>
      </w:r>
      <w:r w:rsidRPr="7E6D291B" w:rsidR="09089E76">
        <w:rPr>
          <w:sz w:val="22"/>
          <w:szCs w:val="22"/>
        </w:rPr>
        <w:t xml:space="preserve"> continuing education and training programmes are crucial for keeping legal professionals up to date on the most recent advancements in neuroscience, psychology, and psychiatry. This helps to ensure that the legal system is prepared to handle complex cases involving mental health issues. Campaigns for public awareness should also be launched to reduce stigma, foster empathy, and dispel myths about mental health issues. Moreover, it is imperative to institute a periodic evaluation process for the legal structures concerning diminished responsibility to guarantee their sustained applicability, adaptability to new scientific discoveries, and conformity with public </w:t>
      </w:r>
      <w:r w:rsidRPr="7E6D291B" w:rsidR="09089E76">
        <w:rPr>
          <w:sz w:val="22"/>
          <w:szCs w:val="22"/>
        </w:rPr>
        <w:t>perceptions</w:t>
      </w:r>
      <w:r w:rsidRPr="7E6D291B" w:rsidR="09089E76">
        <w:rPr>
          <w:sz w:val="22"/>
          <w:szCs w:val="22"/>
        </w:rPr>
        <w:t>. This could en</w:t>
      </w:r>
      <w:r w:rsidRPr="7E6D291B" w:rsidR="09089E76">
        <w:rPr>
          <w:sz w:val="22"/>
          <w:szCs w:val="22"/>
        </w:rPr>
        <w:t>tail a spec</w:t>
      </w:r>
      <w:r w:rsidRPr="7E6D291B" w:rsidR="09089E76">
        <w:rPr>
          <w:sz w:val="22"/>
          <w:szCs w:val="22"/>
        </w:rPr>
        <w:t xml:space="preserve">ial committee made up of professionals in the fields of law, medicine, and mental health who </w:t>
      </w:r>
      <w:r w:rsidRPr="7E6D291B" w:rsidR="09089E76">
        <w:rPr>
          <w:sz w:val="22"/>
          <w:szCs w:val="22"/>
        </w:rPr>
        <w:t>are responsible for</w:t>
      </w:r>
      <w:r w:rsidRPr="7E6D291B" w:rsidR="09089E76">
        <w:rPr>
          <w:sz w:val="22"/>
          <w:szCs w:val="22"/>
        </w:rPr>
        <w:t xml:space="preserve"> doing </w:t>
      </w:r>
      <w:r w:rsidRPr="7E6D291B" w:rsidR="09089E76">
        <w:rPr>
          <w:sz w:val="22"/>
          <w:szCs w:val="22"/>
        </w:rPr>
        <w:t>regular reviews and</w:t>
      </w:r>
      <w:r w:rsidRPr="7E6D291B" w:rsidR="09089E76">
        <w:rPr>
          <w:sz w:val="22"/>
          <w:szCs w:val="22"/>
        </w:rPr>
        <w:t xml:space="preserve"> updates. All these suggestions work together to </w:t>
      </w:r>
      <w:r w:rsidRPr="7E6D291B" w:rsidR="09089E76">
        <w:rPr>
          <w:sz w:val="22"/>
          <w:szCs w:val="22"/>
        </w:rPr>
        <w:t>establish</w:t>
      </w:r>
      <w:r w:rsidRPr="7E6D291B" w:rsidR="09089E76">
        <w:rPr>
          <w:sz w:val="22"/>
          <w:szCs w:val="22"/>
        </w:rPr>
        <w:t xml:space="preserve"> a legal framewor</w:t>
      </w:r>
      <w:r w:rsidRPr="7E6D291B" w:rsidR="09089E76">
        <w:rPr>
          <w:sz w:val="22"/>
          <w:szCs w:val="22"/>
        </w:rPr>
        <w:t>k that is</w:t>
      </w:r>
      <w:r w:rsidRPr="7E6D291B" w:rsidR="09089E76">
        <w:rPr>
          <w:sz w:val="22"/>
          <w:szCs w:val="22"/>
        </w:rPr>
        <w:t xml:space="preserve"> fair, just, and flexible enough to change as our knowledge of the intricacies of mental health issues in the context of the criminal justice system does</w:t>
      </w:r>
      <w:r w:rsidRPr="7E6D291B" w:rsidR="599AD229">
        <w:rPr>
          <w:rFonts w:ascii="Calibri" w:hAnsi="Calibri" w:eastAsia="Calibri" w:cs="Calibri"/>
          <w:noProof w:val="0"/>
          <w:sz w:val="22"/>
          <w:szCs w:val="22"/>
          <w:lang w:val="en-GB"/>
        </w:rPr>
        <w:t xml:space="preserve"> (Bettinson, 2019)</w:t>
      </w:r>
      <w:r w:rsidRPr="7E6D291B" w:rsidR="09089E76">
        <w:rPr>
          <w:sz w:val="22"/>
          <w:szCs w:val="22"/>
        </w:rPr>
        <w:t>.</w:t>
      </w:r>
      <w:r>
        <w:br/>
      </w:r>
    </w:p>
    <w:p w:rsidR="78A97A03" w:rsidP="7E6D291B" w:rsidRDefault="78A97A03" w14:paraId="62DAF3E4" w14:textId="0A9DC37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conclusion, Section 2 of the Homicide Act of 1957 in England and Wales served as the foundation for the defence of diminished responsibility in murder cases,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establishing</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stringent conditions for its proper invocation. To successfully assert diminished responsibility, a defendant had to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demonstrate</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existence of a mental condition at the time of the offense</w:t>
      </w:r>
      <w:r w:rsidRPr="7E6D291B" w:rsidR="47485979">
        <w:rPr>
          <w:rFonts w:ascii="Calibri" w:hAnsi="Calibri" w:eastAsia="Calibri" w:cs="Calibri"/>
          <w:noProof w:val="0"/>
          <w:sz w:val="22"/>
          <w:szCs w:val="22"/>
          <w:lang w:val="en-GB"/>
        </w:rPr>
        <w:t xml:space="preserve"> (Sparks, 1964)</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significantly impairing clear thinking and stemming from recognized physical or mental illnesses. The legislation required that the killing be significantly caused by or contributed to by the abnormality of mental function, materially compromising the defendant's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comprehend</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their behaviour, exercise restraint, or abide by the law. The charge of murder could then be changed to manslaughter, leading to a reduced punishment for the defendant. The need for such legal provisions stemmed from a societal recognition of the complex relationship between mental illness and criminal behaviours, emphasizing the legal system's sensitivity to the intricacies of human psychology and promoting a fair and compassionate administration of justice.</w:t>
      </w:r>
      <w:r w:rsidRPr="7E6D291B" w:rsidR="40319A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Subsequent</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changes introduced by Section 52 of the Coroners and Justice Act 2009 replaced the meaning of diminished responsibility from the Homicide Act 1957,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impacting</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murder prosecutions occurring before October 4, 2010</w:t>
      </w:r>
      <w:r w:rsidRPr="7E6D291B" w:rsidR="4B7ECF9F">
        <w:rPr>
          <w:rFonts w:ascii="Calibri" w:hAnsi="Calibri" w:eastAsia="Calibri" w:cs="Calibri"/>
          <w:noProof w:val="0"/>
          <w:sz w:val="22"/>
          <w:szCs w:val="22"/>
          <w:lang w:val="en-GB"/>
        </w:rPr>
        <w:t xml:space="preserve"> (Kc, 2023)</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These changes aimed to align legal frameworks with scientific insights and introduced partial defences to murder, allowing for manslaughter charges in cases where the killing was not intentional. While the modifications encouraged a more compassionate and nuanced approach to justice, recognizing the influence of mental illnesses on individual responsibility, they also posed challenges such as potential abuse, increased legal complexity, and public scepticism.</w:t>
      </w:r>
      <w:r w:rsidRPr="7E6D291B" w:rsidR="0BC4D1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E6D291B" w:rsidR="209B5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Navigating the benefits and drawbacks of changes to the diminished responsibility defence requires a delicate balance between compassion, legal accuracy, and public safety.</w:t>
      </w:r>
    </w:p>
    <w:p w:rsidR="78A97A03" w:rsidP="78A97A03" w:rsidRDefault="78A97A03" w14:paraId="1B33BE2A" w14:textId="08FC21D1">
      <w:pPr>
        <w:pStyle w:val="Normal"/>
        <w:rPr>
          <w:b w:val="0"/>
          <w:bCs w:val="0"/>
          <w:color w:val="auto"/>
        </w:rPr>
      </w:pPr>
    </w:p>
    <w:p w:rsidR="78A97A03" w:rsidP="78A97A03" w:rsidRDefault="78A97A03" w14:paraId="69D2C002" w14:textId="280EEAFB">
      <w:pPr>
        <w:pStyle w:val="Normal"/>
        <w:rPr>
          <w:b w:val="0"/>
          <w:bCs w:val="0"/>
          <w:color w:val="auto"/>
        </w:rPr>
      </w:pPr>
    </w:p>
    <w:p w:rsidR="78A97A03" w:rsidP="78A97A03" w:rsidRDefault="78A97A03" w14:paraId="1DED8F53" w14:textId="396560EB">
      <w:pPr>
        <w:pStyle w:val="Normal"/>
        <w:rPr>
          <w:b w:val="0"/>
          <w:bCs w:val="0"/>
          <w:color w:val="auto"/>
        </w:rPr>
      </w:pPr>
    </w:p>
    <w:p w:rsidR="78A97A03" w:rsidP="78A97A03" w:rsidRDefault="78A97A03" w14:paraId="5368CF2C" w14:textId="742ED881">
      <w:pPr>
        <w:pStyle w:val="Normal"/>
        <w:rPr>
          <w:b w:val="0"/>
          <w:bCs w:val="0"/>
          <w:color w:val="auto"/>
        </w:rPr>
      </w:pPr>
    </w:p>
    <w:p w:rsidR="78A97A03" w:rsidP="78A97A03" w:rsidRDefault="78A97A03" w14:paraId="0938A10C" w14:textId="685D1440">
      <w:pPr>
        <w:pStyle w:val="Normal"/>
        <w:rPr>
          <w:b w:val="0"/>
          <w:bCs w:val="0"/>
          <w:color w:val="auto"/>
        </w:rPr>
      </w:pPr>
    </w:p>
    <w:p w:rsidR="7E6D291B" w:rsidP="7E6D291B" w:rsidRDefault="7E6D291B" w14:paraId="09FBF6A5" w14:textId="1481985B">
      <w:pPr>
        <w:pStyle w:val="Normal"/>
        <w:rPr>
          <w:b w:val="0"/>
          <w:bCs w:val="0"/>
          <w:color w:val="auto"/>
        </w:rPr>
      </w:pPr>
    </w:p>
    <w:p w:rsidR="7E6D291B" w:rsidP="7E6D291B" w:rsidRDefault="7E6D291B" w14:paraId="66ADEA90" w14:textId="6EC5000D">
      <w:pPr>
        <w:pStyle w:val="Normal"/>
        <w:rPr>
          <w:b w:val="0"/>
          <w:bCs w:val="0"/>
          <w:color w:val="auto"/>
        </w:rPr>
      </w:pPr>
    </w:p>
    <w:p w:rsidR="7E6D291B" w:rsidP="7E6D291B" w:rsidRDefault="7E6D291B" w14:paraId="7FEB2036" w14:textId="0BA08BEF">
      <w:pPr>
        <w:pStyle w:val="Normal"/>
        <w:rPr>
          <w:b w:val="0"/>
          <w:bCs w:val="0"/>
          <w:color w:val="auto"/>
        </w:rPr>
      </w:pPr>
    </w:p>
    <w:p w:rsidR="7E6D291B" w:rsidP="7E6D291B" w:rsidRDefault="7E6D291B" w14:paraId="12741618" w14:textId="43810281">
      <w:pPr>
        <w:pStyle w:val="Normal"/>
        <w:rPr>
          <w:b w:val="0"/>
          <w:bCs w:val="0"/>
          <w:color w:val="auto"/>
        </w:rPr>
      </w:pPr>
    </w:p>
    <w:p w:rsidR="7E6D291B" w:rsidP="7E6D291B" w:rsidRDefault="7E6D291B" w14:paraId="408AA95A" w14:textId="2A15E6AC">
      <w:pPr>
        <w:pStyle w:val="Normal"/>
        <w:rPr>
          <w:b w:val="0"/>
          <w:bCs w:val="0"/>
          <w:color w:val="auto"/>
        </w:rPr>
      </w:pPr>
    </w:p>
    <w:p w:rsidR="7E6D291B" w:rsidP="7E6D291B" w:rsidRDefault="7E6D291B" w14:paraId="0BF419DB" w14:textId="6B0BC19B">
      <w:pPr>
        <w:pStyle w:val="Normal"/>
        <w:rPr>
          <w:b w:val="0"/>
          <w:bCs w:val="0"/>
          <w:color w:val="auto"/>
        </w:rPr>
      </w:pPr>
    </w:p>
    <w:p w:rsidR="7E6D291B" w:rsidP="7E6D291B" w:rsidRDefault="7E6D291B" w14:paraId="32B60345" w14:textId="2F3D2C47">
      <w:pPr>
        <w:pStyle w:val="Normal"/>
        <w:rPr>
          <w:b w:val="0"/>
          <w:bCs w:val="0"/>
          <w:color w:val="auto"/>
        </w:rPr>
      </w:pPr>
    </w:p>
    <w:p w:rsidR="7E6D291B" w:rsidP="7E6D291B" w:rsidRDefault="7E6D291B" w14:paraId="00F148ED" w14:textId="4BA4989B">
      <w:pPr>
        <w:pStyle w:val="Normal"/>
        <w:rPr>
          <w:b w:val="0"/>
          <w:bCs w:val="0"/>
          <w:color w:val="auto"/>
        </w:rPr>
      </w:pPr>
    </w:p>
    <w:p w:rsidR="7E6D291B" w:rsidP="7E6D291B" w:rsidRDefault="7E6D291B" w14:paraId="050D5438" w14:textId="3970A2D0">
      <w:pPr>
        <w:pStyle w:val="Normal"/>
        <w:rPr>
          <w:b w:val="0"/>
          <w:bCs w:val="0"/>
          <w:color w:val="auto"/>
        </w:rPr>
      </w:pPr>
    </w:p>
    <w:p w:rsidR="7E6D291B" w:rsidP="7E6D291B" w:rsidRDefault="7E6D291B" w14:paraId="56EFF5CA" w14:textId="6FDE89D4">
      <w:pPr>
        <w:pStyle w:val="Normal"/>
        <w:rPr>
          <w:b w:val="0"/>
          <w:bCs w:val="0"/>
          <w:color w:val="auto"/>
        </w:rPr>
      </w:pPr>
    </w:p>
    <w:p w:rsidR="7E6D291B" w:rsidP="7E6D291B" w:rsidRDefault="7E6D291B" w14:paraId="08CBDA4E" w14:textId="51CFEA43">
      <w:pPr>
        <w:pStyle w:val="Normal"/>
        <w:rPr>
          <w:b w:val="0"/>
          <w:bCs w:val="0"/>
          <w:color w:val="auto"/>
        </w:rPr>
      </w:pPr>
    </w:p>
    <w:p w:rsidR="7E6D291B" w:rsidP="7E6D291B" w:rsidRDefault="7E6D291B" w14:paraId="5E73B820" w14:textId="61F7DE04">
      <w:pPr>
        <w:pStyle w:val="Normal"/>
        <w:rPr>
          <w:b w:val="0"/>
          <w:bCs w:val="0"/>
          <w:color w:val="auto"/>
        </w:rPr>
      </w:pPr>
    </w:p>
    <w:p w:rsidR="7E6D291B" w:rsidP="7E6D291B" w:rsidRDefault="7E6D291B" w14:paraId="0EB28999" w14:textId="391EBC62">
      <w:pPr>
        <w:pStyle w:val="Normal"/>
        <w:rPr>
          <w:b w:val="0"/>
          <w:bCs w:val="0"/>
          <w:color w:val="auto"/>
        </w:rPr>
      </w:pPr>
    </w:p>
    <w:p w:rsidR="7E6D291B" w:rsidP="7E6D291B" w:rsidRDefault="7E6D291B" w14:paraId="1DFE5686" w14:textId="2A19F058">
      <w:pPr>
        <w:pStyle w:val="Normal"/>
        <w:rPr>
          <w:b w:val="0"/>
          <w:bCs w:val="0"/>
          <w:color w:val="auto"/>
        </w:rPr>
      </w:pPr>
    </w:p>
    <w:p w:rsidR="7E6D291B" w:rsidP="7E6D291B" w:rsidRDefault="7E6D291B" w14:paraId="78D04EBD" w14:textId="58FBDDC5">
      <w:pPr>
        <w:pStyle w:val="Normal"/>
        <w:rPr>
          <w:b w:val="0"/>
          <w:bCs w:val="0"/>
          <w:color w:val="auto"/>
        </w:rPr>
      </w:pPr>
    </w:p>
    <w:p w:rsidR="7E6D291B" w:rsidP="7E6D291B" w:rsidRDefault="7E6D291B" w14:paraId="60EBBF0D" w14:textId="4BFB2293">
      <w:pPr>
        <w:pStyle w:val="Normal"/>
        <w:rPr>
          <w:b w:val="0"/>
          <w:bCs w:val="0"/>
          <w:color w:val="auto"/>
        </w:rPr>
      </w:pPr>
    </w:p>
    <w:p w:rsidR="7E6D291B" w:rsidP="7E6D291B" w:rsidRDefault="7E6D291B" w14:paraId="04C06C45" w14:textId="736F6499">
      <w:pPr>
        <w:pStyle w:val="Normal"/>
        <w:rPr>
          <w:b w:val="0"/>
          <w:bCs w:val="0"/>
          <w:color w:val="auto"/>
        </w:rPr>
      </w:pPr>
    </w:p>
    <w:p w:rsidR="7E6D291B" w:rsidP="7E6D291B" w:rsidRDefault="7E6D291B" w14:paraId="16CEF53A" w14:textId="68E05610">
      <w:pPr>
        <w:pStyle w:val="Normal"/>
        <w:rPr>
          <w:b w:val="0"/>
          <w:bCs w:val="0"/>
          <w:color w:val="auto"/>
        </w:rPr>
      </w:pPr>
    </w:p>
    <w:p w:rsidR="7E6D291B" w:rsidP="7E6D291B" w:rsidRDefault="7E6D291B" w14:paraId="6E13DF90" w14:textId="2F8E78FF">
      <w:pPr>
        <w:pStyle w:val="Normal"/>
        <w:rPr>
          <w:b w:val="0"/>
          <w:bCs w:val="0"/>
          <w:color w:val="auto"/>
        </w:rPr>
      </w:pPr>
    </w:p>
    <w:p w:rsidR="7E6D291B" w:rsidP="7E6D291B" w:rsidRDefault="7E6D291B" w14:paraId="1D6BBE53" w14:textId="567BB284">
      <w:pPr>
        <w:pStyle w:val="Normal"/>
        <w:rPr>
          <w:b w:val="0"/>
          <w:bCs w:val="0"/>
          <w:color w:val="auto"/>
        </w:rPr>
      </w:pPr>
    </w:p>
    <w:p w:rsidR="7E6D291B" w:rsidP="7E6D291B" w:rsidRDefault="7E6D291B" w14:paraId="49012BE6" w14:textId="383CDF89">
      <w:pPr>
        <w:pStyle w:val="Normal"/>
        <w:rPr>
          <w:b w:val="0"/>
          <w:bCs w:val="0"/>
          <w:color w:val="auto"/>
        </w:rPr>
      </w:pPr>
    </w:p>
    <w:p w:rsidR="206BFABF" w:rsidP="5FC67E01" w:rsidRDefault="206BFABF" w14:paraId="5C6655F7" w14:textId="0B415903">
      <w:pPr>
        <w:pStyle w:val="Normal"/>
        <w:rPr>
          <w:b w:val="0"/>
          <w:bCs w:val="0"/>
          <w:color w:val="auto"/>
        </w:rPr>
      </w:pPr>
      <w:r w:rsidRPr="7E6D291B" w:rsidR="475A5215">
        <w:rPr>
          <w:b w:val="0"/>
          <w:bCs w:val="0"/>
          <w:color w:val="auto"/>
        </w:rPr>
        <w:t>Reference</w:t>
      </w:r>
      <w:r w:rsidRPr="7E6D291B" w:rsidR="5F54E058">
        <w:rPr>
          <w:b w:val="0"/>
          <w:bCs w:val="0"/>
          <w:color w:val="auto"/>
        </w:rPr>
        <w:t xml:space="preserve"> list</w:t>
      </w:r>
    </w:p>
    <w:p w:rsidR="7B347BA5" w:rsidP="7E6D291B" w:rsidRDefault="7B347BA5" w14:paraId="39ADA240" w14:textId="3477E968">
      <w:pPr>
        <w:ind w:left="567" w:hanging="567"/>
        <w:jc w:val="left"/>
      </w:pPr>
      <w:r w:rsidRPr="7E6D291B" w:rsidR="59E4A770">
        <w:rPr>
          <w:rFonts w:ascii="Calibri" w:hAnsi="Calibri" w:eastAsia="Calibri" w:cs="Calibri"/>
          <w:noProof w:val="0"/>
          <w:sz w:val="22"/>
          <w:szCs w:val="22"/>
          <w:lang w:val="en-GB"/>
        </w:rPr>
        <w:t>Botterell</w:t>
      </w:r>
      <w:r w:rsidRPr="7E6D291B" w:rsidR="59E4A770">
        <w:rPr>
          <w:rFonts w:ascii="Calibri" w:hAnsi="Calibri" w:eastAsia="Calibri" w:cs="Calibri"/>
          <w:noProof w:val="0"/>
          <w:sz w:val="22"/>
          <w:szCs w:val="22"/>
          <w:lang w:val="en-GB"/>
        </w:rPr>
        <w:t xml:space="preserve">, A. (2023) </w:t>
      </w:r>
      <w:r w:rsidRPr="7E6D291B" w:rsidR="59E4A770">
        <w:rPr>
          <w:rFonts w:ascii="Calibri" w:hAnsi="Calibri" w:eastAsia="Calibri" w:cs="Calibri"/>
          <w:i w:val="1"/>
          <w:iCs w:val="1"/>
          <w:noProof w:val="0"/>
          <w:sz w:val="22"/>
          <w:szCs w:val="22"/>
          <w:lang w:val="en-GB"/>
        </w:rPr>
        <w:t>Osgoode</w:t>
      </w:r>
      <w:r w:rsidRPr="7E6D291B" w:rsidR="59E4A770">
        <w:rPr>
          <w:rFonts w:ascii="Calibri" w:hAnsi="Calibri" w:eastAsia="Calibri" w:cs="Calibri"/>
          <w:i w:val="1"/>
          <w:iCs w:val="1"/>
          <w:noProof w:val="0"/>
          <w:sz w:val="22"/>
          <w:szCs w:val="22"/>
          <w:lang w:val="en-GB"/>
        </w:rPr>
        <w:t xml:space="preserve"> Hall Law Journal - digitalcommons.osgoode.yorku.ca</w:t>
      </w:r>
      <w:r w:rsidRPr="7E6D291B" w:rsidR="59E4A770">
        <w:rPr>
          <w:rFonts w:ascii="Calibri" w:hAnsi="Calibri" w:eastAsia="Calibri" w:cs="Calibri"/>
          <w:noProof w:val="0"/>
          <w:sz w:val="22"/>
          <w:szCs w:val="22"/>
          <w:lang w:val="en-GB"/>
        </w:rPr>
        <w:t xml:space="preserve">, </w:t>
      </w:r>
      <w:r w:rsidRPr="7E6D291B" w:rsidR="59E4A770">
        <w:rPr>
          <w:rFonts w:ascii="Calibri" w:hAnsi="Calibri" w:eastAsia="Calibri" w:cs="Calibri"/>
          <w:i w:val="1"/>
          <w:iCs w:val="1"/>
          <w:noProof w:val="0"/>
          <w:sz w:val="22"/>
          <w:szCs w:val="22"/>
          <w:lang w:val="en-GB"/>
        </w:rPr>
        <w:t xml:space="preserve">Revisiting the Defence of Diminished </w:t>
      </w:r>
      <w:bookmarkStart w:name="_Int_zc48goWx" w:id="1978462078"/>
      <w:r w:rsidRPr="7E6D291B" w:rsidR="59E4A770">
        <w:rPr>
          <w:rFonts w:ascii="Calibri" w:hAnsi="Calibri" w:eastAsia="Calibri" w:cs="Calibri"/>
          <w:i w:val="1"/>
          <w:iCs w:val="1"/>
          <w:noProof w:val="0"/>
          <w:sz w:val="22"/>
          <w:szCs w:val="22"/>
          <w:lang w:val="en-GB"/>
        </w:rPr>
        <w:t xml:space="preserve">Responsibility </w:t>
      </w:r>
      <w:r w:rsidRPr="7E6D291B" w:rsidR="59E4A770">
        <w:rPr>
          <w:rFonts w:ascii="Calibri" w:hAnsi="Calibri" w:eastAsia="Calibri" w:cs="Calibri"/>
          <w:noProof w:val="0"/>
          <w:sz w:val="22"/>
          <w:szCs w:val="22"/>
          <w:lang w:val="en-GB"/>
        </w:rPr>
        <w:t>.</w:t>
      </w:r>
      <w:bookmarkEnd w:id="1978462078"/>
      <w:r w:rsidRPr="7E6D291B" w:rsidR="59E4A770">
        <w:rPr>
          <w:rFonts w:ascii="Calibri" w:hAnsi="Calibri" w:eastAsia="Calibri" w:cs="Calibri"/>
          <w:noProof w:val="0"/>
          <w:sz w:val="22"/>
          <w:szCs w:val="22"/>
          <w:lang w:val="en-GB"/>
        </w:rPr>
        <w:t xml:space="preserve"> Available at: </w:t>
      </w:r>
      <w:hyperlink r:id="R5544f99bf6a84366">
        <w:r w:rsidRPr="7E6D291B" w:rsidR="59E4A770">
          <w:rPr>
            <w:rStyle w:val="Hyperlink"/>
            <w:rFonts w:ascii="Calibri" w:hAnsi="Calibri" w:eastAsia="Calibri" w:cs="Calibri"/>
            <w:noProof w:val="0"/>
            <w:sz w:val="22"/>
            <w:szCs w:val="22"/>
            <w:lang w:val="en-GB"/>
          </w:rPr>
          <w:t>https://digitalcommons.osgoode.yorku.ca/cgi/viewcontent.cgi?article=3893&amp;context=ohlj</w:t>
        </w:r>
      </w:hyperlink>
      <w:r w:rsidRPr="7E6D291B" w:rsidR="59E4A770">
        <w:rPr>
          <w:rFonts w:ascii="Calibri" w:hAnsi="Calibri" w:eastAsia="Calibri" w:cs="Calibri"/>
          <w:noProof w:val="0"/>
          <w:sz w:val="22"/>
          <w:szCs w:val="22"/>
          <w:lang w:val="en-GB"/>
        </w:rPr>
        <w:t xml:space="preserve"> (Accessed: 06 December 2023). </w:t>
      </w:r>
    </w:p>
    <w:p w:rsidR="7B347BA5" w:rsidP="7E6D291B" w:rsidRDefault="7B347BA5" w14:paraId="48BAA77F" w14:textId="13049D04">
      <w:pPr>
        <w:ind w:left="567" w:hanging="567"/>
        <w:jc w:val="left"/>
      </w:pPr>
      <w:r w:rsidRPr="7E6D291B" w:rsidR="5E805603">
        <w:rPr>
          <w:rFonts w:ascii="Calibri" w:hAnsi="Calibri" w:eastAsia="Calibri" w:cs="Calibri"/>
          <w:noProof w:val="0"/>
          <w:sz w:val="22"/>
          <w:szCs w:val="22"/>
          <w:lang w:val="en-GB"/>
        </w:rPr>
        <w:t xml:space="preserve">Ferreiraa (2015) </w:t>
      </w:r>
      <w:r w:rsidRPr="7E6D291B" w:rsidR="5E805603">
        <w:rPr>
          <w:rFonts w:ascii="Calibri" w:hAnsi="Calibri" w:eastAsia="Calibri" w:cs="Calibri"/>
          <w:i w:val="1"/>
          <w:iCs w:val="1"/>
          <w:noProof w:val="0"/>
          <w:sz w:val="22"/>
          <w:szCs w:val="22"/>
          <w:lang w:val="en-GB"/>
        </w:rPr>
        <w:t>House of Commons Justice Committee - publications.parliament.uk</w:t>
      </w:r>
      <w:r w:rsidRPr="7E6D291B" w:rsidR="5E805603">
        <w:rPr>
          <w:rFonts w:ascii="Calibri" w:hAnsi="Calibri" w:eastAsia="Calibri" w:cs="Calibri"/>
          <w:noProof w:val="0"/>
          <w:sz w:val="22"/>
          <w:szCs w:val="22"/>
          <w:lang w:val="en-GB"/>
        </w:rPr>
        <w:t xml:space="preserve">, </w:t>
      </w:r>
      <w:r w:rsidRPr="7E6D291B" w:rsidR="5E805603">
        <w:rPr>
          <w:rFonts w:ascii="Calibri" w:hAnsi="Calibri" w:eastAsia="Calibri" w:cs="Calibri"/>
          <w:i w:val="1"/>
          <w:iCs w:val="1"/>
          <w:noProof w:val="0"/>
          <w:sz w:val="22"/>
          <w:szCs w:val="22"/>
          <w:lang w:val="en-GB"/>
        </w:rPr>
        <w:t>Impact of changes to civil legal aid under Part 1 of the Legal Aid, Sentencing and Punishment of Offenders Act 2012</w:t>
      </w:r>
      <w:r w:rsidRPr="7E6D291B" w:rsidR="5E805603">
        <w:rPr>
          <w:rFonts w:ascii="Calibri" w:hAnsi="Calibri" w:eastAsia="Calibri" w:cs="Calibri"/>
          <w:noProof w:val="0"/>
          <w:sz w:val="22"/>
          <w:szCs w:val="22"/>
          <w:lang w:val="en-GB"/>
        </w:rPr>
        <w:t xml:space="preserve">. Available at: </w:t>
      </w:r>
      <w:hyperlink r:id="Rbedba707d03e44c8">
        <w:r w:rsidRPr="7E6D291B" w:rsidR="5E805603">
          <w:rPr>
            <w:rStyle w:val="Hyperlink"/>
            <w:rFonts w:ascii="Calibri" w:hAnsi="Calibri" w:eastAsia="Calibri" w:cs="Calibri"/>
            <w:noProof w:val="0"/>
            <w:sz w:val="22"/>
            <w:szCs w:val="22"/>
            <w:lang w:val="en-GB"/>
          </w:rPr>
          <w:t>https://publications.parliament.uk/pa/cm201415/cmselect/cmjust/311/311.pdf</w:t>
        </w:r>
      </w:hyperlink>
      <w:r w:rsidRPr="7E6D291B" w:rsidR="5E805603">
        <w:rPr>
          <w:rFonts w:ascii="Calibri" w:hAnsi="Calibri" w:eastAsia="Calibri" w:cs="Calibri"/>
          <w:noProof w:val="0"/>
          <w:sz w:val="22"/>
          <w:szCs w:val="22"/>
          <w:lang w:val="en-GB"/>
        </w:rPr>
        <w:t xml:space="preserve"> (Accessed: 06 December 2023). </w:t>
      </w:r>
    </w:p>
    <w:p w:rsidR="7B347BA5" w:rsidP="7E6D291B" w:rsidRDefault="7B347BA5" w14:paraId="1AF3DF4C" w14:textId="70CF8D77">
      <w:pPr>
        <w:pStyle w:val="Normal"/>
        <w:ind w:left="567" w:hanging="567"/>
        <w:jc w:val="left"/>
        <w:rPr>
          <w:rFonts w:ascii="Calibri" w:hAnsi="Calibri" w:eastAsia="Calibri" w:cs="Calibri"/>
          <w:noProof w:val="0"/>
          <w:sz w:val="22"/>
          <w:szCs w:val="22"/>
          <w:lang w:val="en-GB"/>
        </w:rPr>
      </w:pPr>
      <w:r w:rsidRPr="7E6D291B" w:rsidR="79217268">
        <w:rPr>
          <w:rFonts w:ascii="Calibri" w:hAnsi="Calibri" w:eastAsia="Calibri" w:cs="Calibri"/>
          <w:noProof w:val="0"/>
          <w:sz w:val="22"/>
          <w:szCs w:val="22"/>
          <w:lang w:val="en-GB"/>
        </w:rPr>
        <w:t xml:space="preserve">James, H. (2013) </w:t>
      </w:r>
      <w:r w:rsidRPr="7E6D291B" w:rsidR="79217268">
        <w:rPr>
          <w:rFonts w:ascii="Calibri" w:hAnsi="Calibri" w:eastAsia="Calibri" w:cs="Calibri"/>
          <w:i w:val="1"/>
          <w:iCs w:val="1"/>
          <w:noProof w:val="0"/>
          <w:sz w:val="22"/>
          <w:szCs w:val="22"/>
          <w:lang w:val="en-GB"/>
        </w:rPr>
        <w:t xml:space="preserve">Criminal Responsibility, Abnormal Mental States, and the Functions of Expert Medico-Psychological </w:t>
      </w:r>
      <w:r w:rsidRPr="7E6D291B" w:rsidR="4FEA98A7">
        <w:rPr>
          <w:rFonts w:ascii="Calibri" w:hAnsi="Calibri" w:eastAsia="Calibri" w:cs="Calibri"/>
          <w:i w:val="1"/>
          <w:iCs w:val="1"/>
          <w:noProof w:val="0"/>
          <w:sz w:val="22"/>
          <w:szCs w:val="22"/>
          <w:lang w:val="en-GB"/>
        </w:rPr>
        <w:t>Evidence.</w:t>
      </w:r>
      <w:r w:rsidRPr="7E6D291B" w:rsidR="79217268">
        <w:rPr>
          <w:rFonts w:ascii="Calibri" w:hAnsi="Calibri" w:eastAsia="Calibri" w:cs="Calibri"/>
          <w:noProof w:val="0"/>
          <w:sz w:val="22"/>
          <w:szCs w:val="22"/>
          <w:lang w:val="en-GB"/>
        </w:rPr>
        <w:t xml:space="preserve"> Available at: </w:t>
      </w:r>
      <w:hyperlink r:id="R4f96a6564b5649d7">
        <w:r w:rsidRPr="7E6D291B" w:rsidR="79217268">
          <w:rPr>
            <w:rStyle w:val="Hyperlink"/>
            <w:rFonts w:ascii="Calibri" w:hAnsi="Calibri" w:eastAsia="Calibri" w:cs="Calibri"/>
            <w:noProof w:val="0"/>
            <w:sz w:val="22"/>
            <w:szCs w:val="22"/>
            <w:lang w:val="en-GB"/>
          </w:rPr>
          <w:t>https://eprints.nottingham.ac.uk/13328/1/416302.pdf</w:t>
        </w:r>
      </w:hyperlink>
      <w:r w:rsidRPr="7E6D291B" w:rsidR="79217268">
        <w:rPr>
          <w:rFonts w:ascii="Calibri" w:hAnsi="Calibri" w:eastAsia="Calibri" w:cs="Calibri"/>
          <w:noProof w:val="0"/>
          <w:sz w:val="22"/>
          <w:szCs w:val="22"/>
          <w:lang w:val="en-GB"/>
        </w:rPr>
        <w:t xml:space="preserve"> (Accessed: 06 December 2023). </w:t>
      </w:r>
    </w:p>
    <w:p w:rsidR="7B347BA5" w:rsidP="7E6D291B" w:rsidRDefault="7B347BA5" w14:paraId="6B40CFC3" w14:textId="623B3C0F">
      <w:pPr>
        <w:ind w:left="567" w:hanging="567"/>
        <w:jc w:val="left"/>
      </w:pPr>
      <w:r w:rsidRPr="7E6D291B" w:rsidR="4D47BEBA">
        <w:rPr>
          <w:rFonts w:ascii="Calibri" w:hAnsi="Calibri" w:eastAsia="Calibri" w:cs="Calibri"/>
          <w:noProof w:val="0"/>
          <w:sz w:val="22"/>
          <w:szCs w:val="22"/>
          <w:lang w:val="en-GB"/>
        </w:rPr>
        <w:t xml:space="preserve">Kc, C.W. (2023) </w:t>
      </w:r>
      <w:r w:rsidRPr="7E6D291B" w:rsidR="4D47BEBA">
        <w:rPr>
          <w:rFonts w:ascii="Calibri" w:hAnsi="Calibri" w:eastAsia="Calibri" w:cs="Calibri"/>
          <w:i w:val="1"/>
          <w:iCs w:val="1"/>
          <w:noProof w:val="0"/>
          <w:sz w:val="22"/>
          <w:szCs w:val="22"/>
          <w:lang w:val="en-GB"/>
        </w:rPr>
        <w:t>Domestic Homicide Sentencing Review</w:t>
      </w:r>
      <w:r w:rsidRPr="7E6D291B" w:rsidR="4D47BEBA">
        <w:rPr>
          <w:rFonts w:ascii="Calibri" w:hAnsi="Calibri" w:eastAsia="Calibri" w:cs="Calibri"/>
          <w:noProof w:val="0"/>
          <w:sz w:val="22"/>
          <w:szCs w:val="22"/>
          <w:lang w:val="en-GB"/>
        </w:rPr>
        <w:t xml:space="preserve">. Available at: </w:t>
      </w:r>
      <w:hyperlink r:id="R4e3dcbe8476d4d64">
        <w:r w:rsidRPr="7E6D291B" w:rsidR="4D47BEBA">
          <w:rPr>
            <w:rStyle w:val="Hyperlink"/>
            <w:rFonts w:ascii="Calibri" w:hAnsi="Calibri" w:eastAsia="Calibri" w:cs="Calibri"/>
            <w:noProof w:val="0"/>
            <w:sz w:val="22"/>
            <w:szCs w:val="22"/>
            <w:lang w:val="en-GB"/>
          </w:rPr>
          <w:t>https://assets.publishing.service.gov.uk/government/uploads/system/uploads/attachment_data/file/1143046/domestic-homicide-sentencing-review-large-print.pdf</w:t>
        </w:r>
      </w:hyperlink>
      <w:r w:rsidRPr="7E6D291B" w:rsidR="4D47BEBA">
        <w:rPr>
          <w:rFonts w:ascii="Calibri" w:hAnsi="Calibri" w:eastAsia="Calibri" w:cs="Calibri"/>
          <w:noProof w:val="0"/>
          <w:sz w:val="22"/>
          <w:szCs w:val="22"/>
          <w:lang w:val="en-GB"/>
        </w:rPr>
        <w:t xml:space="preserve"> (Accessed: 06 December 2023). </w:t>
      </w:r>
    </w:p>
    <w:p w:rsidR="7B347BA5" w:rsidP="7E6D291B" w:rsidRDefault="7B347BA5" w14:paraId="3BD32907" w14:textId="07F8118A">
      <w:pPr>
        <w:ind w:left="567" w:hanging="567"/>
        <w:jc w:val="left"/>
      </w:pPr>
      <w:r w:rsidRPr="7E6D291B" w:rsidR="31F77468">
        <w:rPr>
          <w:rFonts w:ascii="Calibri" w:hAnsi="Calibri" w:eastAsia="Calibri" w:cs="Calibri"/>
          <w:noProof w:val="0"/>
          <w:sz w:val="22"/>
          <w:szCs w:val="22"/>
          <w:lang w:val="en-GB"/>
        </w:rPr>
        <w:t xml:space="preserve">MacPhail, A. and Jones, S.V. (2013) </w:t>
      </w:r>
      <w:r w:rsidRPr="7E6D291B" w:rsidR="31F77468">
        <w:rPr>
          <w:rFonts w:ascii="Calibri" w:hAnsi="Calibri" w:eastAsia="Calibri" w:cs="Calibri"/>
          <w:i w:val="1"/>
          <w:iCs w:val="1"/>
          <w:noProof w:val="0"/>
          <w:sz w:val="22"/>
          <w:szCs w:val="22"/>
          <w:lang w:val="en-GB"/>
        </w:rPr>
        <w:t>Mental illness and the criminal justice system - icclr.org</w:t>
      </w:r>
      <w:r w:rsidRPr="7E6D291B" w:rsidR="31F77468">
        <w:rPr>
          <w:rFonts w:ascii="Calibri" w:hAnsi="Calibri" w:eastAsia="Calibri" w:cs="Calibri"/>
          <w:noProof w:val="0"/>
          <w:sz w:val="22"/>
          <w:szCs w:val="22"/>
          <w:lang w:val="en-GB"/>
        </w:rPr>
        <w:t xml:space="preserve">, </w:t>
      </w:r>
      <w:r w:rsidRPr="7E6D291B" w:rsidR="31F77468">
        <w:rPr>
          <w:rFonts w:ascii="Calibri" w:hAnsi="Calibri" w:eastAsia="Calibri" w:cs="Calibri"/>
          <w:i w:val="1"/>
          <w:iCs w:val="1"/>
          <w:noProof w:val="0"/>
          <w:sz w:val="22"/>
          <w:szCs w:val="22"/>
          <w:lang w:val="en-GB"/>
        </w:rPr>
        <w:t>Mental Illness and The Criminal Justice System</w:t>
      </w:r>
      <w:r w:rsidRPr="7E6D291B" w:rsidR="31F77468">
        <w:rPr>
          <w:rFonts w:ascii="Calibri" w:hAnsi="Calibri" w:eastAsia="Calibri" w:cs="Calibri"/>
          <w:noProof w:val="0"/>
          <w:sz w:val="22"/>
          <w:szCs w:val="22"/>
          <w:lang w:val="en-GB"/>
        </w:rPr>
        <w:t xml:space="preserve">. Available at: </w:t>
      </w:r>
      <w:hyperlink r:id="Ref5a3a1ef856416e">
        <w:r w:rsidRPr="7E6D291B" w:rsidR="31F77468">
          <w:rPr>
            <w:rStyle w:val="Hyperlink"/>
            <w:rFonts w:ascii="Calibri" w:hAnsi="Calibri" w:eastAsia="Calibri" w:cs="Calibri"/>
            <w:noProof w:val="0"/>
            <w:sz w:val="22"/>
            <w:szCs w:val="22"/>
            <w:lang w:val="en-GB"/>
          </w:rPr>
          <w:t>https://icclr.org/wp-content/uploads/2019/06/Mental-Illness-and-the-Criminal-Justice-System-Final-VS.pdf?x40295</w:t>
        </w:r>
      </w:hyperlink>
      <w:r w:rsidRPr="7E6D291B" w:rsidR="31F77468">
        <w:rPr>
          <w:rFonts w:ascii="Calibri" w:hAnsi="Calibri" w:eastAsia="Calibri" w:cs="Calibri"/>
          <w:noProof w:val="0"/>
          <w:sz w:val="22"/>
          <w:szCs w:val="22"/>
          <w:lang w:val="en-GB"/>
        </w:rPr>
        <w:t xml:space="preserve"> (Accessed: 06 December 2023). </w:t>
      </w:r>
    </w:p>
    <w:p w:rsidR="7B347BA5" w:rsidP="78A97A03" w:rsidRDefault="7B347BA5" w14:paraId="59D42032" w14:textId="45026E40">
      <w:pPr>
        <w:ind w:left="567" w:hanging="567"/>
      </w:pPr>
      <w:r w:rsidRPr="7E6D291B" w:rsidR="1A650992">
        <w:rPr>
          <w:rFonts w:ascii="Calibri" w:hAnsi="Calibri" w:eastAsia="Calibri" w:cs="Calibri"/>
          <w:noProof w:val="0"/>
          <w:sz w:val="22"/>
          <w:szCs w:val="22"/>
          <w:lang w:val="en-GB"/>
        </w:rPr>
        <w:t xml:space="preserve">Pickett, J.T. (2019) </w:t>
      </w:r>
      <w:r w:rsidRPr="7E6D291B" w:rsidR="1A650992">
        <w:rPr>
          <w:rFonts w:ascii="Calibri" w:hAnsi="Calibri" w:eastAsia="Calibri" w:cs="Calibri"/>
          <w:i w:val="1"/>
          <w:iCs w:val="1"/>
          <w:noProof w:val="0"/>
          <w:sz w:val="22"/>
          <w:szCs w:val="22"/>
          <w:lang w:val="en-GB"/>
        </w:rPr>
        <w:t>Public opinion and criminal justice policy: Theory and research</w:t>
      </w:r>
      <w:r w:rsidRPr="7E6D291B" w:rsidR="1A650992">
        <w:rPr>
          <w:rFonts w:ascii="Calibri" w:hAnsi="Calibri" w:eastAsia="Calibri" w:cs="Calibri"/>
          <w:noProof w:val="0"/>
          <w:sz w:val="22"/>
          <w:szCs w:val="22"/>
          <w:lang w:val="en-GB"/>
        </w:rPr>
        <w:t xml:space="preserve">, </w:t>
      </w:r>
      <w:r w:rsidRPr="7E6D291B" w:rsidR="1A650992">
        <w:rPr>
          <w:rFonts w:ascii="Calibri" w:hAnsi="Calibri" w:eastAsia="Calibri" w:cs="Calibri"/>
          <w:i w:val="1"/>
          <w:iCs w:val="1"/>
          <w:noProof w:val="0"/>
          <w:sz w:val="22"/>
          <w:szCs w:val="22"/>
          <w:lang w:val="en-GB"/>
        </w:rPr>
        <w:t>Public Opinion and Criminal Justice Policy: Theory and Research</w:t>
      </w:r>
      <w:r w:rsidRPr="7E6D291B" w:rsidR="1A650992">
        <w:rPr>
          <w:rFonts w:ascii="Calibri" w:hAnsi="Calibri" w:eastAsia="Calibri" w:cs="Calibri"/>
          <w:noProof w:val="0"/>
          <w:sz w:val="22"/>
          <w:szCs w:val="22"/>
          <w:lang w:val="en-GB"/>
        </w:rPr>
        <w:t xml:space="preserve">. Available at: </w:t>
      </w:r>
      <w:hyperlink r:id="R06042389703b46ab">
        <w:r w:rsidRPr="7E6D291B" w:rsidR="1A650992">
          <w:rPr>
            <w:rStyle w:val="Hyperlink"/>
            <w:rFonts w:ascii="Calibri" w:hAnsi="Calibri" w:eastAsia="Calibri" w:cs="Calibri"/>
            <w:noProof w:val="0"/>
            <w:sz w:val="22"/>
            <w:szCs w:val="22"/>
            <w:lang w:val="en-GB"/>
          </w:rPr>
          <w:t>https://www.annualreviews.org/doi/10.1146/annurev-criminol-011518-024826</w:t>
        </w:r>
      </w:hyperlink>
      <w:r w:rsidRPr="7E6D291B" w:rsidR="1A650992">
        <w:rPr>
          <w:rFonts w:ascii="Calibri" w:hAnsi="Calibri" w:eastAsia="Calibri" w:cs="Calibri"/>
          <w:noProof w:val="0"/>
          <w:sz w:val="22"/>
          <w:szCs w:val="22"/>
          <w:lang w:val="en-GB"/>
        </w:rPr>
        <w:t xml:space="preserve"> (Accessed: 06 December 2023). </w:t>
      </w:r>
    </w:p>
    <w:p w:rsidR="7B347BA5" w:rsidP="78A97A03" w:rsidRDefault="7B347BA5" w14:paraId="05FCFA57" w14:textId="5F7CC3E9">
      <w:pPr>
        <w:ind w:left="567" w:hanging="567"/>
      </w:pPr>
      <w:r w:rsidRPr="7E6D291B" w:rsidR="6A49EF8B">
        <w:rPr>
          <w:rFonts w:ascii="Calibri" w:hAnsi="Calibri" w:eastAsia="Calibri" w:cs="Calibri"/>
          <w:noProof w:val="0"/>
          <w:sz w:val="22"/>
          <w:szCs w:val="22"/>
          <w:lang w:val="en-GB"/>
        </w:rPr>
        <w:t xml:space="preserve">Sparks, R.F. (1964) </w:t>
      </w:r>
      <w:r w:rsidRPr="7E6D291B" w:rsidR="6A49EF8B">
        <w:rPr>
          <w:rFonts w:ascii="Calibri" w:hAnsi="Calibri" w:eastAsia="Calibri" w:cs="Calibri"/>
          <w:i w:val="1"/>
          <w:iCs w:val="1"/>
          <w:noProof w:val="0"/>
          <w:sz w:val="22"/>
          <w:szCs w:val="22"/>
          <w:lang w:val="en-GB"/>
        </w:rPr>
        <w:t>Diminished responsibility in the-ory and practice - JSTOR</w:t>
      </w:r>
      <w:r w:rsidRPr="7E6D291B" w:rsidR="6A49EF8B">
        <w:rPr>
          <w:rFonts w:ascii="Calibri" w:hAnsi="Calibri" w:eastAsia="Calibri" w:cs="Calibri"/>
          <w:noProof w:val="0"/>
          <w:sz w:val="22"/>
          <w:szCs w:val="22"/>
          <w:lang w:val="en-GB"/>
        </w:rPr>
        <w:t xml:space="preserve">, </w:t>
      </w:r>
      <w:r w:rsidRPr="7E6D291B" w:rsidR="6A49EF8B">
        <w:rPr>
          <w:rFonts w:ascii="Calibri" w:hAnsi="Calibri" w:eastAsia="Calibri" w:cs="Calibri"/>
          <w:i w:val="1"/>
          <w:iCs w:val="1"/>
          <w:noProof w:val="0"/>
          <w:sz w:val="22"/>
          <w:szCs w:val="22"/>
          <w:lang w:val="en-GB"/>
        </w:rPr>
        <w:t>Diminished Responsibility" in Theory and Practice</w:t>
      </w:r>
      <w:r w:rsidRPr="7E6D291B" w:rsidR="6A49EF8B">
        <w:rPr>
          <w:rFonts w:ascii="Calibri" w:hAnsi="Calibri" w:eastAsia="Calibri" w:cs="Calibri"/>
          <w:noProof w:val="0"/>
          <w:sz w:val="22"/>
          <w:szCs w:val="22"/>
          <w:lang w:val="en-GB"/>
        </w:rPr>
        <w:t xml:space="preserve">. Available at: </w:t>
      </w:r>
      <w:hyperlink r:id="R2e93a3bda35d401f">
        <w:r w:rsidRPr="7E6D291B" w:rsidR="6A49EF8B">
          <w:rPr>
            <w:rStyle w:val="Hyperlink"/>
            <w:rFonts w:ascii="Calibri" w:hAnsi="Calibri" w:eastAsia="Calibri" w:cs="Calibri"/>
            <w:noProof w:val="0"/>
            <w:sz w:val="22"/>
            <w:szCs w:val="22"/>
            <w:lang w:val="en-GB"/>
          </w:rPr>
          <w:t>https://www.jstor.org/stable/1092254</w:t>
        </w:r>
      </w:hyperlink>
      <w:r w:rsidRPr="7E6D291B" w:rsidR="6A49EF8B">
        <w:rPr>
          <w:rFonts w:ascii="Calibri" w:hAnsi="Calibri" w:eastAsia="Calibri" w:cs="Calibri"/>
          <w:noProof w:val="0"/>
          <w:sz w:val="22"/>
          <w:szCs w:val="22"/>
          <w:lang w:val="en-GB"/>
        </w:rPr>
        <w:t xml:space="preserve"> (Accessed: 06 December 2023). </w:t>
      </w:r>
    </w:p>
    <w:p w:rsidR="7B347BA5" w:rsidP="78A97A03" w:rsidRDefault="7B347BA5" w14:paraId="7CA3759F" w14:textId="7C69DBBE">
      <w:pPr>
        <w:ind w:left="567" w:hanging="567"/>
      </w:pPr>
      <w:r w:rsidRPr="7E6D291B" w:rsidR="3540F740">
        <w:rPr>
          <w:rFonts w:ascii="Calibri" w:hAnsi="Calibri" w:eastAsia="Calibri" w:cs="Calibri"/>
          <w:i w:val="1"/>
          <w:iCs w:val="1"/>
          <w:noProof w:val="0"/>
          <w:sz w:val="22"/>
          <w:szCs w:val="22"/>
          <w:lang w:val="en-GB"/>
        </w:rPr>
        <w:t>Vol 1</w:t>
      </w:r>
      <w:r w:rsidRPr="7E6D291B" w:rsidR="3540F740">
        <w:rPr>
          <w:rFonts w:ascii="Calibri" w:hAnsi="Calibri" w:eastAsia="Calibri" w:cs="Calibri"/>
          <w:noProof w:val="0"/>
          <w:sz w:val="22"/>
          <w:szCs w:val="22"/>
          <w:lang w:val="en-GB"/>
        </w:rPr>
        <w:t xml:space="preserve"> (2011) </w:t>
      </w:r>
      <w:r w:rsidRPr="7E6D291B" w:rsidR="3540F740">
        <w:rPr>
          <w:rFonts w:ascii="Calibri" w:hAnsi="Calibri" w:eastAsia="Calibri" w:cs="Calibri"/>
          <w:i w:val="1"/>
          <w:iCs w:val="1"/>
          <w:noProof w:val="0"/>
          <w:sz w:val="22"/>
          <w:szCs w:val="22"/>
          <w:lang w:val="en-GB"/>
        </w:rPr>
        <w:t>R v Dobson</w:t>
      </w:r>
      <w:r w:rsidRPr="7E6D291B" w:rsidR="3540F740">
        <w:rPr>
          <w:rFonts w:ascii="Calibri" w:hAnsi="Calibri" w:eastAsia="Calibri" w:cs="Calibri"/>
          <w:noProof w:val="0"/>
          <w:sz w:val="22"/>
          <w:szCs w:val="22"/>
          <w:lang w:val="en-GB"/>
        </w:rPr>
        <w:t xml:space="preserve">. Available at: </w:t>
      </w:r>
      <w:hyperlink r:id="R21748f492c0242b2">
        <w:r w:rsidRPr="7E6D291B" w:rsidR="3540F740">
          <w:rPr>
            <w:rStyle w:val="Hyperlink"/>
            <w:rFonts w:ascii="Calibri" w:hAnsi="Calibri" w:eastAsia="Calibri" w:cs="Calibri"/>
            <w:noProof w:val="0"/>
            <w:sz w:val="22"/>
            <w:szCs w:val="22"/>
            <w:lang w:val="en-GB"/>
          </w:rPr>
          <w:t>https://www.judiciary.uk/wp-content/uploads/JCO/Documents/Judgments/r-v-dobson-judgment-18052011.pdf</w:t>
        </w:r>
      </w:hyperlink>
      <w:r w:rsidRPr="7E6D291B" w:rsidR="3540F740">
        <w:rPr>
          <w:rFonts w:ascii="Calibri" w:hAnsi="Calibri" w:eastAsia="Calibri" w:cs="Calibri"/>
          <w:noProof w:val="0"/>
          <w:sz w:val="22"/>
          <w:szCs w:val="22"/>
          <w:lang w:val="en-GB"/>
        </w:rPr>
        <w:t xml:space="preserve"> (Accessed: 21 July 2023).</w:t>
      </w:r>
    </w:p>
    <w:p w:rsidR="7B347BA5" w:rsidP="78A97A03" w:rsidRDefault="7B347BA5" w14:paraId="54666CBB" w14:textId="49C5598B">
      <w:pPr>
        <w:pStyle w:val="Normal"/>
        <w:rPr>
          <w:rFonts w:ascii="Calibri" w:hAnsi="Calibri" w:eastAsia="Calibri" w:cs="Calibri"/>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hxBSViVe3c189" int2:id="S2nsnZY4">
      <int2:state int2:type="AugLoop_Text_Critique" int2:value="Rejected"/>
    </int2:textHash>
    <int2:textHash int2:hashCode="n1vjA41kzTDgEA" int2:id="tXWpeX3T">
      <int2:state int2:type="AugLoop_Text_Critique" int2:value="Rejected"/>
    </int2:textHash>
    <int2:textHash int2:hashCode="IxXbOqZsZhkI8D" int2:id="Q89mHG9H">
      <int2:state int2:type="AugLoop_Text_Critique" int2:value="Rejected"/>
    </int2:textHash>
    <int2:textHash int2:hashCode="q/iW4Etxur53yj" int2:id="iMQpTmUy">
      <int2:state int2:type="AugLoop_Text_Critique" int2:value="Rejected"/>
    </int2:textHash>
    <int2:bookmark int2:bookmarkName="_Int_jKWwXGJY" int2:invalidationBookmarkName="" int2:hashCode="GxTxa/X8skfaxs" int2:id="jSgn9p2I">
      <int2:state int2:type="AugLoop_Text_Critique" int2:value="Rejected"/>
    </int2:bookmark>
    <int2:bookmark int2:bookmarkName="_Int_9jG0FleQ" int2:invalidationBookmarkName="" int2:hashCode="dSuv0iRyX5rXd5" int2:id="apimy8fp">
      <int2:state int2:type="AugLoop_Text_Critique" int2:value="Rejected"/>
    </int2:bookmark>
    <int2:bookmark int2:bookmarkName="_Int_zc48goWx" int2:invalidationBookmarkName="" int2:hashCode="mThb52gdTQaALJ" int2:id="AcYuOfoN">
      <int2:state int2:type="AugLoop_Text_Critique" int2:value="Rejected"/>
    </int2:bookmark>
    <int2:bookmark int2:bookmarkName="_Int_XmbemtKc" int2:invalidationBookmarkName="" int2:hashCode="z/pQoyyxOiQNcF" int2:id="ce9BfuG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28308"/>
    <w:rsid w:val="001F18AA"/>
    <w:rsid w:val="00495C00"/>
    <w:rsid w:val="00B953A3"/>
    <w:rsid w:val="00C2EB59"/>
    <w:rsid w:val="0104AF87"/>
    <w:rsid w:val="01099F3A"/>
    <w:rsid w:val="011579D9"/>
    <w:rsid w:val="01B4DEEB"/>
    <w:rsid w:val="01B6AE4C"/>
    <w:rsid w:val="01FD3069"/>
    <w:rsid w:val="026BF07D"/>
    <w:rsid w:val="029FDC89"/>
    <w:rsid w:val="02A07FE8"/>
    <w:rsid w:val="032F2BB2"/>
    <w:rsid w:val="036F8940"/>
    <w:rsid w:val="0376BCEF"/>
    <w:rsid w:val="041781C2"/>
    <w:rsid w:val="043F15F7"/>
    <w:rsid w:val="04480726"/>
    <w:rsid w:val="0469B46A"/>
    <w:rsid w:val="048D0894"/>
    <w:rsid w:val="04C08A6A"/>
    <w:rsid w:val="04C10215"/>
    <w:rsid w:val="04FD100D"/>
    <w:rsid w:val="05253660"/>
    <w:rsid w:val="056CBB25"/>
    <w:rsid w:val="05965C7C"/>
    <w:rsid w:val="05E2D0EE"/>
    <w:rsid w:val="0628D8F5"/>
    <w:rsid w:val="06336401"/>
    <w:rsid w:val="063913E2"/>
    <w:rsid w:val="0654BE63"/>
    <w:rsid w:val="069D7873"/>
    <w:rsid w:val="07322CDD"/>
    <w:rsid w:val="080CC773"/>
    <w:rsid w:val="0846561F"/>
    <w:rsid w:val="08A7E6D7"/>
    <w:rsid w:val="08B076D4"/>
    <w:rsid w:val="08D47E6B"/>
    <w:rsid w:val="09089E76"/>
    <w:rsid w:val="090EFF93"/>
    <w:rsid w:val="090FC16C"/>
    <w:rsid w:val="09203C81"/>
    <w:rsid w:val="0930B26A"/>
    <w:rsid w:val="0A4D568E"/>
    <w:rsid w:val="0A835AA3"/>
    <w:rsid w:val="0A8E61D3"/>
    <w:rsid w:val="0AC46107"/>
    <w:rsid w:val="0AD04ACE"/>
    <w:rsid w:val="0B70E996"/>
    <w:rsid w:val="0B840F0C"/>
    <w:rsid w:val="0BB28308"/>
    <w:rsid w:val="0BC4D1FF"/>
    <w:rsid w:val="0BFE35E9"/>
    <w:rsid w:val="0C64EC17"/>
    <w:rsid w:val="0CD60DF8"/>
    <w:rsid w:val="0CE01FA0"/>
    <w:rsid w:val="0D86806B"/>
    <w:rsid w:val="0D92EDA5"/>
    <w:rsid w:val="0D9A064A"/>
    <w:rsid w:val="0E2F96C0"/>
    <w:rsid w:val="0E7BF001"/>
    <w:rsid w:val="0EB0CFEE"/>
    <w:rsid w:val="0F35D6AB"/>
    <w:rsid w:val="0F5C3EE3"/>
    <w:rsid w:val="0F64A3B4"/>
    <w:rsid w:val="0F8ACFE7"/>
    <w:rsid w:val="0FCA955D"/>
    <w:rsid w:val="0FE506C0"/>
    <w:rsid w:val="100979E8"/>
    <w:rsid w:val="103CB608"/>
    <w:rsid w:val="10E5CC5D"/>
    <w:rsid w:val="10F29C27"/>
    <w:rsid w:val="10F6E5ED"/>
    <w:rsid w:val="11D41008"/>
    <w:rsid w:val="11DB495A"/>
    <w:rsid w:val="12A56C8B"/>
    <w:rsid w:val="12F2EBA5"/>
    <w:rsid w:val="132B6D60"/>
    <w:rsid w:val="13BD4001"/>
    <w:rsid w:val="1439126F"/>
    <w:rsid w:val="14BAA9E5"/>
    <w:rsid w:val="14DFB034"/>
    <w:rsid w:val="14E4DDEF"/>
    <w:rsid w:val="150BB0CA"/>
    <w:rsid w:val="155AD6F7"/>
    <w:rsid w:val="16871ADC"/>
    <w:rsid w:val="16A7812B"/>
    <w:rsid w:val="16B59576"/>
    <w:rsid w:val="16BE2887"/>
    <w:rsid w:val="16C89ED6"/>
    <w:rsid w:val="16CC6F01"/>
    <w:rsid w:val="16CEC14E"/>
    <w:rsid w:val="16D409B5"/>
    <w:rsid w:val="17B937D9"/>
    <w:rsid w:val="17C25BC9"/>
    <w:rsid w:val="181B0206"/>
    <w:rsid w:val="1822EB3D"/>
    <w:rsid w:val="187DA5F2"/>
    <w:rsid w:val="1888FB09"/>
    <w:rsid w:val="1902D0DA"/>
    <w:rsid w:val="191C9280"/>
    <w:rsid w:val="1945A051"/>
    <w:rsid w:val="19B6D267"/>
    <w:rsid w:val="19DF21ED"/>
    <w:rsid w:val="1A15558B"/>
    <w:rsid w:val="1A650992"/>
    <w:rsid w:val="1A8BD279"/>
    <w:rsid w:val="1A9CCA0E"/>
    <w:rsid w:val="1A9D6196"/>
    <w:rsid w:val="1A9FE700"/>
    <w:rsid w:val="1ADC005B"/>
    <w:rsid w:val="1AE0FCA6"/>
    <w:rsid w:val="1B5A8BFF"/>
    <w:rsid w:val="1C700FAC"/>
    <w:rsid w:val="1DCB2FE7"/>
    <w:rsid w:val="1E49B8AC"/>
    <w:rsid w:val="1E8434C2"/>
    <w:rsid w:val="1E8F1F6E"/>
    <w:rsid w:val="1E9CD462"/>
    <w:rsid w:val="1EF64C8D"/>
    <w:rsid w:val="1F6CC757"/>
    <w:rsid w:val="1F91850C"/>
    <w:rsid w:val="1F9D1440"/>
    <w:rsid w:val="1FAC36B5"/>
    <w:rsid w:val="1FDA74ED"/>
    <w:rsid w:val="1FE4FCA0"/>
    <w:rsid w:val="20162FFA"/>
    <w:rsid w:val="20278B38"/>
    <w:rsid w:val="2039207A"/>
    <w:rsid w:val="206BFABF"/>
    <w:rsid w:val="2079C26A"/>
    <w:rsid w:val="209B5714"/>
    <w:rsid w:val="2123F31B"/>
    <w:rsid w:val="2141E782"/>
    <w:rsid w:val="214ADD38"/>
    <w:rsid w:val="21C1E44C"/>
    <w:rsid w:val="21C2656C"/>
    <w:rsid w:val="21C35B99"/>
    <w:rsid w:val="2213F2D5"/>
    <w:rsid w:val="227CEDD0"/>
    <w:rsid w:val="22A46819"/>
    <w:rsid w:val="22AAA5C0"/>
    <w:rsid w:val="22C8F855"/>
    <w:rsid w:val="23081BDF"/>
    <w:rsid w:val="235DB4AD"/>
    <w:rsid w:val="23BB75DC"/>
    <w:rsid w:val="23DAD533"/>
    <w:rsid w:val="25016E45"/>
    <w:rsid w:val="25095BCB"/>
    <w:rsid w:val="254C305A"/>
    <w:rsid w:val="255507EC"/>
    <w:rsid w:val="257D6E69"/>
    <w:rsid w:val="25EEB907"/>
    <w:rsid w:val="26933B13"/>
    <w:rsid w:val="26F0D84D"/>
    <w:rsid w:val="2703BAB7"/>
    <w:rsid w:val="2710DEF1"/>
    <w:rsid w:val="2733F1B7"/>
    <w:rsid w:val="27C80F44"/>
    <w:rsid w:val="284DDC46"/>
    <w:rsid w:val="28ED369F"/>
    <w:rsid w:val="2926F904"/>
    <w:rsid w:val="29A22A87"/>
    <w:rsid w:val="29CE7FE8"/>
    <w:rsid w:val="2A8B5798"/>
    <w:rsid w:val="2B775C4D"/>
    <w:rsid w:val="2B8A3CCD"/>
    <w:rsid w:val="2C26EE8A"/>
    <w:rsid w:val="2D55F1AA"/>
    <w:rsid w:val="2D726463"/>
    <w:rsid w:val="2DD4E3CA"/>
    <w:rsid w:val="2E065FB8"/>
    <w:rsid w:val="2E1E6CD0"/>
    <w:rsid w:val="2E2C6EE5"/>
    <w:rsid w:val="2E2EC132"/>
    <w:rsid w:val="2E31A8BD"/>
    <w:rsid w:val="2E8B751B"/>
    <w:rsid w:val="2EDD2427"/>
    <w:rsid w:val="2EF7BB23"/>
    <w:rsid w:val="2EFFA4D4"/>
    <w:rsid w:val="2F42BA8A"/>
    <w:rsid w:val="2F563BA7"/>
    <w:rsid w:val="2F9013C3"/>
    <w:rsid w:val="30448593"/>
    <w:rsid w:val="30831B22"/>
    <w:rsid w:val="30D15A6B"/>
    <w:rsid w:val="30D4A26D"/>
    <w:rsid w:val="30D661B7"/>
    <w:rsid w:val="30EC4BEA"/>
    <w:rsid w:val="312BE424"/>
    <w:rsid w:val="3155C92D"/>
    <w:rsid w:val="31865382"/>
    <w:rsid w:val="31B4DEA6"/>
    <w:rsid w:val="31DA8847"/>
    <w:rsid w:val="31E7DED3"/>
    <w:rsid w:val="31F77468"/>
    <w:rsid w:val="32002EDC"/>
    <w:rsid w:val="3244DD5A"/>
    <w:rsid w:val="32C7B485"/>
    <w:rsid w:val="32DBB366"/>
    <w:rsid w:val="32E9067D"/>
    <w:rsid w:val="33154698"/>
    <w:rsid w:val="33540D70"/>
    <w:rsid w:val="3359F459"/>
    <w:rsid w:val="33D53893"/>
    <w:rsid w:val="33E874F0"/>
    <w:rsid w:val="34156B06"/>
    <w:rsid w:val="344E730D"/>
    <w:rsid w:val="347A809C"/>
    <w:rsid w:val="3484D6DE"/>
    <w:rsid w:val="34BF8869"/>
    <w:rsid w:val="34C34166"/>
    <w:rsid w:val="34FB12F7"/>
    <w:rsid w:val="35023D8A"/>
    <w:rsid w:val="3540F740"/>
    <w:rsid w:val="3588250A"/>
    <w:rsid w:val="358AE90E"/>
    <w:rsid w:val="359B6EFA"/>
    <w:rsid w:val="35B1FC0E"/>
    <w:rsid w:val="35BA6367"/>
    <w:rsid w:val="36293A50"/>
    <w:rsid w:val="3641C09D"/>
    <w:rsid w:val="36748B2E"/>
    <w:rsid w:val="373CF81B"/>
    <w:rsid w:val="37B14894"/>
    <w:rsid w:val="37C26BED"/>
    <w:rsid w:val="380E57BE"/>
    <w:rsid w:val="381DCAC2"/>
    <w:rsid w:val="38A03E9F"/>
    <w:rsid w:val="391ADD6C"/>
    <w:rsid w:val="3921E430"/>
    <w:rsid w:val="3931A1F7"/>
    <w:rsid w:val="39347508"/>
    <w:rsid w:val="397F6969"/>
    <w:rsid w:val="3982DD4E"/>
    <w:rsid w:val="39A8EE7C"/>
    <w:rsid w:val="39E46FFC"/>
    <w:rsid w:val="39FE7CE2"/>
    <w:rsid w:val="3A7547DB"/>
    <w:rsid w:val="3AB6ADCD"/>
    <w:rsid w:val="3B1EDB11"/>
    <w:rsid w:val="3BE3474C"/>
    <w:rsid w:val="3BEAA325"/>
    <w:rsid w:val="3BED1C60"/>
    <w:rsid w:val="3C3A7311"/>
    <w:rsid w:val="3C89C1FE"/>
    <w:rsid w:val="3C95DD10"/>
    <w:rsid w:val="3C9AD96D"/>
    <w:rsid w:val="3CB10221"/>
    <w:rsid w:val="3CDD6E4D"/>
    <w:rsid w:val="3D6BA2EB"/>
    <w:rsid w:val="3D883709"/>
    <w:rsid w:val="3E19ABBC"/>
    <w:rsid w:val="3E39E7CE"/>
    <w:rsid w:val="3E9AC0B2"/>
    <w:rsid w:val="3EA1A057"/>
    <w:rsid w:val="3FA0FC71"/>
    <w:rsid w:val="3FA912D7"/>
    <w:rsid w:val="3FB29BEF"/>
    <w:rsid w:val="40319AEF"/>
    <w:rsid w:val="4042D9B7"/>
    <w:rsid w:val="405DF4FE"/>
    <w:rsid w:val="40E5CBEE"/>
    <w:rsid w:val="40E635A4"/>
    <w:rsid w:val="4118A99C"/>
    <w:rsid w:val="412C5DA9"/>
    <w:rsid w:val="4132EBED"/>
    <w:rsid w:val="4177EDD3"/>
    <w:rsid w:val="419C11A7"/>
    <w:rsid w:val="41B08FCB"/>
    <w:rsid w:val="41D18082"/>
    <w:rsid w:val="43BEB8AC"/>
    <w:rsid w:val="43F58B8B"/>
    <w:rsid w:val="440660BB"/>
    <w:rsid w:val="44282316"/>
    <w:rsid w:val="44690343"/>
    <w:rsid w:val="44D5B63A"/>
    <w:rsid w:val="4518C7EF"/>
    <w:rsid w:val="45D05212"/>
    <w:rsid w:val="45EB74FF"/>
    <w:rsid w:val="461EB539"/>
    <w:rsid w:val="466361C6"/>
    <w:rsid w:val="46912BBE"/>
    <w:rsid w:val="46F6C067"/>
    <w:rsid w:val="47106DF6"/>
    <w:rsid w:val="471F2B3C"/>
    <w:rsid w:val="472D82B2"/>
    <w:rsid w:val="47485979"/>
    <w:rsid w:val="475A5215"/>
    <w:rsid w:val="4760DE6D"/>
    <w:rsid w:val="482EB0F9"/>
    <w:rsid w:val="4873B7CA"/>
    <w:rsid w:val="4874C656"/>
    <w:rsid w:val="48A7D889"/>
    <w:rsid w:val="48D9761B"/>
    <w:rsid w:val="48E879FC"/>
    <w:rsid w:val="49355494"/>
    <w:rsid w:val="497EEC62"/>
    <w:rsid w:val="49DA5B30"/>
    <w:rsid w:val="49FEC1AE"/>
    <w:rsid w:val="4A0F882B"/>
    <w:rsid w:val="4A1E4654"/>
    <w:rsid w:val="4A71D8CC"/>
    <w:rsid w:val="4B51600B"/>
    <w:rsid w:val="4B793656"/>
    <w:rsid w:val="4B7ECF9F"/>
    <w:rsid w:val="4C0E473D"/>
    <w:rsid w:val="4C779642"/>
    <w:rsid w:val="4CBB04EA"/>
    <w:rsid w:val="4CDB84AD"/>
    <w:rsid w:val="4D0B36D0"/>
    <w:rsid w:val="4D2F081E"/>
    <w:rsid w:val="4D47BEBA"/>
    <w:rsid w:val="4D4A74F9"/>
    <w:rsid w:val="4DE7700F"/>
    <w:rsid w:val="4E9834FB"/>
    <w:rsid w:val="4EA70731"/>
    <w:rsid w:val="4FA3E59F"/>
    <w:rsid w:val="4FB7203B"/>
    <w:rsid w:val="4FEA98A7"/>
    <w:rsid w:val="4FF66421"/>
    <w:rsid w:val="5034179D"/>
    <w:rsid w:val="506E67D6"/>
    <w:rsid w:val="51411FA7"/>
    <w:rsid w:val="5152F09C"/>
    <w:rsid w:val="515B6E13"/>
    <w:rsid w:val="515E2C61"/>
    <w:rsid w:val="51863181"/>
    <w:rsid w:val="518CC1B3"/>
    <w:rsid w:val="518F2543"/>
    <w:rsid w:val="5197EB97"/>
    <w:rsid w:val="520A3837"/>
    <w:rsid w:val="520FF6F0"/>
    <w:rsid w:val="522D8B32"/>
    <w:rsid w:val="52448C58"/>
    <w:rsid w:val="52451E95"/>
    <w:rsid w:val="526D49A1"/>
    <w:rsid w:val="5330852B"/>
    <w:rsid w:val="536FC88A"/>
    <w:rsid w:val="537E4E4A"/>
    <w:rsid w:val="538119BE"/>
    <w:rsid w:val="53A60898"/>
    <w:rsid w:val="548A915E"/>
    <w:rsid w:val="54976EA6"/>
    <w:rsid w:val="558CCB95"/>
    <w:rsid w:val="5593AA09"/>
    <w:rsid w:val="559BD5DD"/>
    <w:rsid w:val="55C0292E"/>
    <w:rsid w:val="55D73C1A"/>
    <w:rsid w:val="56827BE8"/>
    <w:rsid w:val="56DDA95A"/>
    <w:rsid w:val="572F7A6A"/>
    <w:rsid w:val="57CBF707"/>
    <w:rsid w:val="57F200CD"/>
    <w:rsid w:val="582F2483"/>
    <w:rsid w:val="58CB4ACB"/>
    <w:rsid w:val="59688DA9"/>
    <w:rsid w:val="5969C3DD"/>
    <w:rsid w:val="599AD229"/>
    <w:rsid w:val="59E4A770"/>
    <w:rsid w:val="5A154A1C"/>
    <w:rsid w:val="5AEC9826"/>
    <w:rsid w:val="5B7EF133"/>
    <w:rsid w:val="5B8AA970"/>
    <w:rsid w:val="5BB11A7D"/>
    <w:rsid w:val="5BF32D5A"/>
    <w:rsid w:val="5C02EB8D"/>
    <w:rsid w:val="5C187785"/>
    <w:rsid w:val="5C1ADAB7"/>
    <w:rsid w:val="5C2EACE2"/>
    <w:rsid w:val="5CA1F1A7"/>
    <w:rsid w:val="5CB10553"/>
    <w:rsid w:val="5CB23ADE"/>
    <w:rsid w:val="5CB4E5DC"/>
    <w:rsid w:val="5CF10FDE"/>
    <w:rsid w:val="5D9EBBEE"/>
    <w:rsid w:val="5E5D4642"/>
    <w:rsid w:val="5E805603"/>
    <w:rsid w:val="5E8D8296"/>
    <w:rsid w:val="5EDA647F"/>
    <w:rsid w:val="5F134C2C"/>
    <w:rsid w:val="5F1DADB8"/>
    <w:rsid w:val="5F54E058"/>
    <w:rsid w:val="5FC2F131"/>
    <w:rsid w:val="5FC67E01"/>
    <w:rsid w:val="5FD84F53"/>
    <w:rsid w:val="60848BA0"/>
    <w:rsid w:val="60900E4D"/>
    <w:rsid w:val="60AA8351"/>
    <w:rsid w:val="614BF084"/>
    <w:rsid w:val="6169790D"/>
    <w:rsid w:val="618BF050"/>
    <w:rsid w:val="619DF871"/>
    <w:rsid w:val="62722D11"/>
    <w:rsid w:val="6284C414"/>
    <w:rsid w:val="628D526D"/>
    <w:rsid w:val="62AC8E4A"/>
    <w:rsid w:val="634E967B"/>
    <w:rsid w:val="63635C5D"/>
    <w:rsid w:val="63AA8CE7"/>
    <w:rsid w:val="63D79626"/>
    <w:rsid w:val="640DFD72"/>
    <w:rsid w:val="651690AA"/>
    <w:rsid w:val="65354386"/>
    <w:rsid w:val="65A9CDD3"/>
    <w:rsid w:val="662F3677"/>
    <w:rsid w:val="66C6B7F3"/>
    <w:rsid w:val="6702DECC"/>
    <w:rsid w:val="673B4E73"/>
    <w:rsid w:val="674B948E"/>
    <w:rsid w:val="67DCBAAC"/>
    <w:rsid w:val="68644C3A"/>
    <w:rsid w:val="689689E8"/>
    <w:rsid w:val="68E75F67"/>
    <w:rsid w:val="6951E67F"/>
    <w:rsid w:val="699FC926"/>
    <w:rsid w:val="6A42E0CE"/>
    <w:rsid w:val="6A49EF8B"/>
    <w:rsid w:val="6A7D3EF6"/>
    <w:rsid w:val="6B13A6F4"/>
    <w:rsid w:val="6B3B4C39"/>
    <w:rsid w:val="6B408003"/>
    <w:rsid w:val="6C166C22"/>
    <w:rsid w:val="6C1F0029"/>
    <w:rsid w:val="6CD8F303"/>
    <w:rsid w:val="6CDC5064"/>
    <w:rsid w:val="6DB50B0C"/>
    <w:rsid w:val="6DF80260"/>
    <w:rsid w:val="6E7F53A1"/>
    <w:rsid w:val="6EC8088F"/>
    <w:rsid w:val="6F378441"/>
    <w:rsid w:val="6F3AC697"/>
    <w:rsid w:val="6F5B4215"/>
    <w:rsid w:val="6F6BA384"/>
    <w:rsid w:val="70215AD9"/>
    <w:rsid w:val="7088151C"/>
    <w:rsid w:val="70909225"/>
    <w:rsid w:val="70D354A2"/>
    <w:rsid w:val="71273891"/>
    <w:rsid w:val="71811AEA"/>
    <w:rsid w:val="71D0B285"/>
    <w:rsid w:val="721DB0E8"/>
    <w:rsid w:val="723D9D16"/>
    <w:rsid w:val="723E6D51"/>
    <w:rsid w:val="72455E3D"/>
    <w:rsid w:val="7252490D"/>
    <w:rsid w:val="726F2503"/>
    <w:rsid w:val="72761B86"/>
    <w:rsid w:val="7287CC67"/>
    <w:rsid w:val="72C10521"/>
    <w:rsid w:val="72DFE561"/>
    <w:rsid w:val="7318A343"/>
    <w:rsid w:val="73C4ADA2"/>
    <w:rsid w:val="73D2ECC2"/>
    <w:rsid w:val="742C0EC2"/>
    <w:rsid w:val="74375087"/>
    <w:rsid w:val="74C7A94E"/>
    <w:rsid w:val="7570E314"/>
    <w:rsid w:val="7571D941"/>
    <w:rsid w:val="758038B1"/>
    <w:rsid w:val="75C1D879"/>
    <w:rsid w:val="75DEC73C"/>
    <w:rsid w:val="75E01E02"/>
    <w:rsid w:val="76504405"/>
    <w:rsid w:val="76562DC5"/>
    <w:rsid w:val="769108CF"/>
    <w:rsid w:val="77333C42"/>
    <w:rsid w:val="773C6F61"/>
    <w:rsid w:val="775107BB"/>
    <w:rsid w:val="777A979D"/>
    <w:rsid w:val="778F36C2"/>
    <w:rsid w:val="77CF567E"/>
    <w:rsid w:val="7803808E"/>
    <w:rsid w:val="782844CE"/>
    <w:rsid w:val="78365919"/>
    <w:rsid w:val="78A3BE6D"/>
    <w:rsid w:val="78A97A03"/>
    <w:rsid w:val="78FE2A48"/>
    <w:rsid w:val="790C6362"/>
    <w:rsid w:val="79217268"/>
    <w:rsid w:val="796DF517"/>
    <w:rsid w:val="79713ABA"/>
    <w:rsid w:val="79974239"/>
    <w:rsid w:val="7998AB44"/>
    <w:rsid w:val="79CB03FE"/>
    <w:rsid w:val="79F964DF"/>
    <w:rsid w:val="7A53A9D4"/>
    <w:rsid w:val="7B347BA5"/>
    <w:rsid w:val="7BBE8070"/>
    <w:rsid w:val="7BEF7A35"/>
    <w:rsid w:val="7C1603A8"/>
    <w:rsid w:val="7C277057"/>
    <w:rsid w:val="7C2C7E9A"/>
    <w:rsid w:val="7CC8681E"/>
    <w:rsid w:val="7CEBFCE6"/>
    <w:rsid w:val="7CF689F0"/>
    <w:rsid w:val="7D077B6A"/>
    <w:rsid w:val="7D0FBE89"/>
    <w:rsid w:val="7D30C76E"/>
    <w:rsid w:val="7DB0A5FC"/>
    <w:rsid w:val="7E36EF6C"/>
    <w:rsid w:val="7E6D291B"/>
    <w:rsid w:val="7EA34BCB"/>
    <w:rsid w:val="7ED362FE"/>
    <w:rsid w:val="7EDF48E5"/>
    <w:rsid w:val="7F14F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8308"/>
  <w15:chartTrackingRefBased/>
  <w15:docId w15:val="{4D0C1345-61BB-41A9-8BA2-78844AEAC0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a2629e0a804427" /><Relationship Type="http://schemas.openxmlformats.org/officeDocument/2006/relationships/hyperlink" Target="https://digitalcommons.osgoode.yorku.ca/cgi/viewcontent.cgi?article=3893&amp;context=ohlj" TargetMode="External" Id="R5544f99bf6a84366" /><Relationship Type="http://schemas.openxmlformats.org/officeDocument/2006/relationships/hyperlink" Target="https://publications.parliament.uk/pa/cm201415/cmselect/cmjust/311/311.pdf" TargetMode="External" Id="Rbedba707d03e44c8" /><Relationship Type="http://schemas.openxmlformats.org/officeDocument/2006/relationships/hyperlink" Target="https://eprints.nottingham.ac.uk/13328/1/416302.pdf" TargetMode="External" Id="R4f96a6564b5649d7" /><Relationship Type="http://schemas.openxmlformats.org/officeDocument/2006/relationships/hyperlink" Target="https://assets.publishing.service.gov.uk/government/uploads/system/uploads/attachment_data/file/1143046/domestic-homicide-sentencing-review-large-print.pdf" TargetMode="External" Id="R4e3dcbe8476d4d64" /><Relationship Type="http://schemas.openxmlformats.org/officeDocument/2006/relationships/hyperlink" Target="https://icclr.org/wp-content/uploads/2019/06/Mental-Illness-and-the-Criminal-Justice-System-Final-VS.pdf?x40295" TargetMode="External" Id="Ref5a3a1ef856416e" /><Relationship Type="http://schemas.openxmlformats.org/officeDocument/2006/relationships/hyperlink" Target="https://www.annualreviews.org/doi/10.1146/annurev-criminol-011518-024826" TargetMode="External" Id="R06042389703b46ab" /><Relationship Type="http://schemas.openxmlformats.org/officeDocument/2006/relationships/hyperlink" Target="https://www.jstor.org/stable/1092254" TargetMode="External" Id="R2e93a3bda35d401f" /><Relationship Type="http://schemas.openxmlformats.org/officeDocument/2006/relationships/hyperlink" Target="https://www.judiciary.uk/wp-content/uploads/JCO/Documents/Judgments/r-v-dobson-judgment-18052011.pdf" TargetMode="External" Id="R21748f492c0242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8</revision>
  <dcterms:created xsi:type="dcterms:W3CDTF">2023-03-01T14:45:28.7196403Z</dcterms:created>
  <dcterms:modified xsi:type="dcterms:W3CDTF">2023-12-06T14:13:25.4920052Z</dcterms:modified>
</coreProperties>
</file>