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5DFABD19" w14:textId="77777777" w:rsidR="009424A9" w:rsidRDefault="001118E2">
      <w:pPr>
        <w:spacing w:after="240"/>
      </w:pPr>
      <w:r>
        <w:rPr>
          <w:rFonts w:ascii="Calibri" w:eastAsia="Calibri" w:hAnsi="Calibri" w:cs="Calibri"/>
          <w:b/>
          <w:bCs/>
          <w:sz w:val="32"/>
          <w:szCs w:val="32"/>
        </w:rPr>
        <w:t>Marriott International: Cash Conversion Cycle (CCC) Analysis, FY2021–FY2025</w:t>
      </w:r>
    </w:p>
    <w:p w14:paraId="77354AAF" w14:textId="77777777" w:rsidR="009424A9" w:rsidRDefault="001118E2">
      <w:pPr>
        <w:pStyle w:val="Heading1"/>
        <w:spacing w:before="240" w:after="120"/>
      </w:pPr>
      <w:r>
        <w:t>1. What is the Cash Conversion Cycle?</w:t>
      </w:r>
    </w:p>
    <w:p w14:paraId="527F1D46" w14:textId="77777777" w:rsidR="009424A9" w:rsidRDefault="001118E2">
      <w:pPr>
        <w:spacing w:after="160"/>
      </w:pPr>
      <w:r>
        <w:rPr>
          <w:rFonts w:ascii="Calibri" w:eastAsia="Calibri" w:hAnsi="Calibri" w:cs="Calibri"/>
          <w:sz w:val="22"/>
          <w:szCs w:val="22"/>
        </w:rPr>
        <w:t>The Cash Conversion Cycle (CCC) measures how many days it takes a company to convert its investment in operations back into cash. It is calculated as:</w:t>
      </w:r>
    </w:p>
    <w:p w14:paraId="7192F073" w14:textId="77777777" w:rsidR="009424A9" w:rsidRDefault="001118E2">
      <w:pPr>
        <w:spacing w:after="160"/>
      </w:pPr>
      <w:r>
        <w:rPr>
          <w:rFonts w:ascii="Calibri" w:eastAsia="Calibri" w:hAnsi="Calibri" w:cs="Calibri"/>
          <w:b/>
          <w:bCs/>
          <w:sz w:val="22"/>
          <w:szCs w:val="22"/>
        </w:rPr>
        <w:t>CCC = Inventory Days + Receivable Days − Payable Days</w:t>
      </w:r>
    </w:p>
    <w:p w14:paraId="2D1F6CCE" w14:textId="77777777" w:rsidR="009424A9" w:rsidRDefault="001118E2">
      <w:pPr>
        <w:spacing w:after="160"/>
      </w:pPr>
      <w:r>
        <w:rPr>
          <w:rFonts w:ascii="Calibri" w:eastAsia="Calibri" w:hAnsi="Calibri" w:cs="Calibri"/>
          <w:sz w:val="22"/>
          <w:szCs w:val="22"/>
        </w:rPr>
        <w:t>Inventory Days measures how long stock is held before being sold; Receivable Days measures how long it takes to collect cash from customers after a sale; and Payable Days measures how long the company takes to pay its own suppliers. A shorter (or negative) CCC means a company recovers its cash faster and needs less working capital to fund day-to-day operations, whereas a longer CCC ties up more cash in the operating cycle.</w:t>
      </w:r>
    </w:p>
    <w:p w14:paraId="299DEC6F" w14:textId="77777777" w:rsidR="009424A9" w:rsidRDefault="001118E2">
      <w:pPr>
        <w:pStyle w:val="Heading1"/>
        <w:spacing w:before="240" w:after="120"/>
      </w:pPr>
      <w:r>
        <w:t>2. Adapting the Formula for Marriott</w:t>
      </w:r>
    </w:p>
    <w:p w14:paraId="2A8430BF" w14:textId="77777777" w:rsidR="009424A9" w:rsidRDefault="001118E2">
      <w:pPr>
        <w:spacing w:after="160"/>
      </w:pPr>
      <w:r>
        <w:rPr>
          <w:rFonts w:ascii="Calibri" w:eastAsia="Calibri" w:hAnsi="Calibri" w:cs="Calibri"/>
          <w:sz w:val="22"/>
          <w:szCs w:val="22"/>
        </w:rPr>
        <w:t xml:space="preserve">Marriott International is an asset-light hotel manager and franchisor rather than a retailer or manufacturer: it earns </w:t>
      </w:r>
      <w:proofErr w:type="gramStart"/>
      <w:r>
        <w:rPr>
          <w:rFonts w:ascii="Calibri" w:eastAsia="Calibri" w:hAnsi="Calibri" w:cs="Calibri"/>
          <w:sz w:val="22"/>
          <w:szCs w:val="22"/>
        </w:rPr>
        <w:t>the large majority of</w:t>
      </w:r>
      <w:proofErr w:type="gramEnd"/>
      <w:r>
        <w:rPr>
          <w:rFonts w:ascii="Calibri" w:eastAsia="Calibri" w:hAnsi="Calibri" w:cs="Calibri"/>
          <w:sz w:val="22"/>
          <w:szCs w:val="22"/>
        </w:rPr>
        <w:t xml:space="preserve"> its revenue from management and franchise </w:t>
      </w:r>
      <w:proofErr w:type="gramStart"/>
      <w:r>
        <w:rPr>
          <w:rFonts w:ascii="Calibri" w:eastAsia="Calibri" w:hAnsi="Calibri" w:cs="Calibri"/>
          <w:sz w:val="22"/>
          <w:szCs w:val="22"/>
        </w:rPr>
        <w:t>fees, and</w:t>
      </w:r>
      <w:proofErr w:type="gramEnd"/>
      <w:r>
        <w:rPr>
          <w:rFonts w:ascii="Calibri" w:eastAsia="Calibri" w:hAnsi="Calibri" w:cs="Calibri"/>
          <w:sz w:val="22"/>
          <w:szCs w:val="22"/>
        </w:rPr>
        <w:t xml:space="preserve"> does not hold merchandise inventory for resale. Its Inventory Days is therefore $0 in every year of the analysis. This is a normal feature of a service/fee-based business model, not a data gap, and it means the CCC for Marriott is driven almost entirely by the gap between Receivable Days and Payable Days.</w:t>
      </w:r>
    </w:p>
    <w:p w14:paraId="2C4EE1BC" w14:textId="77777777" w:rsidR="009424A9" w:rsidRDefault="001118E2">
      <w:pPr>
        <w:pStyle w:val="Heading1"/>
        <w:spacing w:before="240" w:after="120"/>
      </w:pPr>
      <w:r>
        <w:t>3. Five-Year Results</w:t>
      </w:r>
    </w:p>
    <w:tbl>
      <w:tblPr>
        <w:tblW w:w="920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2881"/>
        <w:gridCol w:w="1263"/>
        <w:gridCol w:w="1264"/>
        <w:gridCol w:w="1264"/>
        <w:gridCol w:w="1264"/>
        <w:gridCol w:w="1264"/>
      </w:tblGrid>
      <w:tr w:rsidR="009424A9" w14:paraId="6EB52126" w14:textId="77777777">
        <w:tc>
          <w:tcPr>
            <w:tcW w:w="3200" w:type="dxa"/>
            <w:shd w:val="clear" w:color="auto" w:fill="1F4E78"/>
          </w:tcPr>
          <w:p w14:paraId="6936B4AC" w14:textId="77777777" w:rsidR="009424A9" w:rsidRDefault="001118E2">
            <w:r>
              <w:rPr>
                <w:rFonts w:ascii="Calibri" w:eastAsia="Calibri" w:hAnsi="Calibri" w:cs="Calibri"/>
                <w:b/>
                <w:bCs/>
                <w:color w:val="FFFFFF"/>
              </w:rPr>
              <w:t>Metric</w:t>
            </w:r>
          </w:p>
        </w:tc>
        <w:tc>
          <w:tcPr>
            <w:tcW w:w="1400" w:type="dxa"/>
            <w:shd w:val="clear" w:color="auto" w:fill="1F4E78"/>
          </w:tcPr>
          <w:p w14:paraId="72BE2058" w14:textId="77777777" w:rsidR="009424A9" w:rsidRDefault="001118E2">
            <w:pPr>
              <w:jc w:val="center"/>
            </w:pPr>
            <w:r>
              <w:rPr>
                <w:rFonts w:ascii="Calibri" w:eastAsia="Calibri" w:hAnsi="Calibri" w:cs="Calibri"/>
                <w:b/>
                <w:bCs/>
                <w:color w:val="FFFFFF"/>
              </w:rPr>
              <w:t>2021</w:t>
            </w:r>
          </w:p>
        </w:tc>
        <w:tc>
          <w:tcPr>
            <w:tcW w:w="1400" w:type="dxa"/>
            <w:shd w:val="clear" w:color="auto" w:fill="1F4E78"/>
          </w:tcPr>
          <w:p w14:paraId="02EBC576" w14:textId="77777777" w:rsidR="009424A9" w:rsidRDefault="001118E2">
            <w:pPr>
              <w:jc w:val="center"/>
            </w:pPr>
            <w:r>
              <w:rPr>
                <w:rFonts w:ascii="Calibri" w:eastAsia="Calibri" w:hAnsi="Calibri" w:cs="Calibri"/>
                <w:b/>
                <w:bCs/>
                <w:color w:val="FFFFFF"/>
              </w:rPr>
              <w:t>2022</w:t>
            </w:r>
          </w:p>
        </w:tc>
        <w:tc>
          <w:tcPr>
            <w:tcW w:w="1400" w:type="dxa"/>
            <w:shd w:val="clear" w:color="auto" w:fill="1F4E78"/>
          </w:tcPr>
          <w:p w14:paraId="2A02EC27" w14:textId="77777777" w:rsidR="009424A9" w:rsidRDefault="001118E2">
            <w:pPr>
              <w:jc w:val="center"/>
            </w:pPr>
            <w:r>
              <w:rPr>
                <w:rFonts w:ascii="Calibri" w:eastAsia="Calibri" w:hAnsi="Calibri" w:cs="Calibri"/>
                <w:b/>
                <w:bCs/>
                <w:color w:val="FFFFFF"/>
              </w:rPr>
              <w:t>2023</w:t>
            </w:r>
          </w:p>
        </w:tc>
        <w:tc>
          <w:tcPr>
            <w:tcW w:w="1400" w:type="dxa"/>
            <w:shd w:val="clear" w:color="auto" w:fill="1F4E78"/>
          </w:tcPr>
          <w:p w14:paraId="4D2A550F" w14:textId="77777777" w:rsidR="009424A9" w:rsidRDefault="001118E2">
            <w:pPr>
              <w:jc w:val="center"/>
            </w:pPr>
            <w:r>
              <w:rPr>
                <w:rFonts w:ascii="Calibri" w:eastAsia="Calibri" w:hAnsi="Calibri" w:cs="Calibri"/>
                <w:b/>
                <w:bCs/>
                <w:color w:val="FFFFFF"/>
              </w:rPr>
              <w:t>2024</w:t>
            </w:r>
          </w:p>
        </w:tc>
        <w:tc>
          <w:tcPr>
            <w:tcW w:w="1400" w:type="dxa"/>
            <w:shd w:val="clear" w:color="auto" w:fill="1F4E78"/>
          </w:tcPr>
          <w:p w14:paraId="6C0DF677" w14:textId="77777777" w:rsidR="009424A9" w:rsidRDefault="001118E2">
            <w:pPr>
              <w:jc w:val="center"/>
            </w:pPr>
            <w:r>
              <w:rPr>
                <w:rFonts w:ascii="Calibri" w:eastAsia="Calibri" w:hAnsi="Calibri" w:cs="Calibri"/>
                <w:b/>
                <w:bCs/>
                <w:color w:val="FFFFFF"/>
              </w:rPr>
              <w:t>2025</w:t>
            </w:r>
          </w:p>
        </w:tc>
      </w:tr>
      <w:tr w:rsidR="009424A9" w14:paraId="7EFD4239" w14:textId="77777777">
        <w:tc>
          <w:tcPr>
            <w:tcW w:w="3200" w:type="dxa"/>
          </w:tcPr>
          <w:p w14:paraId="35C59AA1" w14:textId="77777777" w:rsidR="009424A9" w:rsidRDefault="001118E2">
            <w:r>
              <w:rPr>
                <w:rFonts w:ascii="Calibri" w:eastAsia="Calibri" w:hAnsi="Calibri" w:cs="Calibri"/>
                <w:color w:val="000000"/>
              </w:rPr>
              <w:t>Inventory Days</w:t>
            </w:r>
          </w:p>
        </w:tc>
        <w:tc>
          <w:tcPr>
            <w:tcW w:w="1400" w:type="dxa"/>
          </w:tcPr>
          <w:p w14:paraId="78C9D4A6" w14:textId="77777777" w:rsidR="009424A9" w:rsidRDefault="001118E2">
            <w:pPr>
              <w:jc w:val="center"/>
            </w:pPr>
            <w:r>
              <w:rPr>
                <w:rFonts w:ascii="Calibri" w:eastAsia="Calibri" w:hAnsi="Calibri" w:cs="Calibri"/>
                <w:color w:val="000000"/>
              </w:rPr>
              <w:t>0.0</w:t>
            </w:r>
          </w:p>
        </w:tc>
        <w:tc>
          <w:tcPr>
            <w:tcW w:w="1400" w:type="dxa"/>
          </w:tcPr>
          <w:p w14:paraId="71EFCD0D" w14:textId="77777777" w:rsidR="009424A9" w:rsidRDefault="001118E2">
            <w:pPr>
              <w:jc w:val="center"/>
            </w:pPr>
            <w:r>
              <w:rPr>
                <w:rFonts w:ascii="Calibri" w:eastAsia="Calibri" w:hAnsi="Calibri" w:cs="Calibri"/>
                <w:color w:val="000000"/>
              </w:rPr>
              <w:t>0.0</w:t>
            </w:r>
          </w:p>
        </w:tc>
        <w:tc>
          <w:tcPr>
            <w:tcW w:w="1400" w:type="dxa"/>
          </w:tcPr>
          <w:p w14:paraId="179A6961" w14:textId="77777777" w:rsidR="009424A9" w:rsidRDefault="001118E2">
            <w:pPr>
              <w:jc w:val="center"/>
            </w:pPr>
            <w:r>
              <w:rPr>
                <w:rFonts w:ascii="Calibri" w:eastAsia="Calibri" w:hAnsi="Calibri" w:cs="Calibri"/>
                <w:color w:val="000000"/>
              </w:rPr>
              <w:t>0.0</w:t>
            </w:r>
          </w:p>
        </w:tc>
        <w:tc>
          <w:tcPr>
            <w:tcW w:w="1400" w:type="dxa"/>
          </w:tcPr>
          <w:p w14:paraId="19C9793F" w14:textId="77777777" w:rsidR="009424A9" w:rsidRDefault="001118E2">
            <w:pPr>
              <w:jc w:val="center"/>
            </w:pPr>
            <w:r>
              <w:rPr>
                <w:rFonts w:ascii="Calibri" w:eastAsia="Calibri" w:hAnsi="Calibri" w:cs="Calibri"/>
                <w:color w:val="000000"/>
              </w:rPr>
              <w:t>0.0</w:t>
            </w:r>
          </w:p>
        </w:tc>
        <w:tc>
          <w:tcPr>
            <w:tcW w:w="1400" w:type="dxa"/>
          </w:tcPr>
          <w:p w14:paraId="613D128B" w14:textId="77777777" w:rsidR="009424A9" w:rsidRDefault="001118E2">
            <w:pPr>
              <w:jc w:val="center"/>
            </w:pPr>
            <w:r>
              <w:rPr>
                <w:rFonts w:ascii="Calibri" w:eastAsia="Calibri" w:hAnsi="Calibri" w:cs="Calibri"/>
                <w:color w:val="000000"/>
              </w:rPr>
              <w:t>0.0</w:t>
            </w:r>
          </w:p>
        </w:tc>
      </w:tr>
      <w:tr w:rsidR="009424A9" w14:paraId="0E2D8050" w14:textId="77777777">
        <w:tc>
          <w:tcPr>
            <w:tcW w:w="3200" w:type="dxa"/>
          </w:tcPr>
          <w:p w14:paraId="54E27BD8" w14:textId="77777777" w:rsidR="009424A9" w:rsidRDefault="001118E2">
            <w:r>
              <w:rPr>
                <w:rFonts w:ascii="Calibri" w:eastAsia="Calibri" w:hAnsi="Calibri" w:cs="Calibri"/>
                <w:color w:val="000000"/>
              </w:rPr>
              <w:t>Receivable Days</w:t>
            </w:r>
          </w:p>
        </w:tc>
        <w:tc>
          <w:tcPr>
            <w:tcW w:w="1400" w:type="dxa"/>
          </w:tcPr>
          <w:p w14:paraId="0FB5DFF8" w14:textId="77777777" w:rsidR="009424A9" w:rsidRDefault="001118E2">
            <w:pPr>
              <w:jc w:val="center"/>
            </w:pPr>
            <w:r>
              <w:rPr>
                <w:rFonts w:ascii="Calibri" w:eastAsia="Calibri" w:hAnsi="Calibri" w:cs="Calibri"/>
                <w:color w:val="000000"/>
              </w:rPr>
              <w:t>52.2</w:t>
            </w:r>
          </w:p>
        </w:tc>
        <w:tc>
          <w:tcPr>
            <w:tcW w:w="1400" w:type="dxa"/>
          </w:tcPr>
          <w:p w14:paraId="4F5DE00B" w14:textId="77777777" w:rsidR="009424A9" w:rsidRDefault="001118E2">
            <w:pPr>
              <w:jc w:val="center"/>
            </w:pPr>
            <w:r>
              <w:rPr>
                <w:rFonts w:ascii="Calibri" w:eastAsia="Calibri" w:hAnsi="Calibri" w:cs="Calibri"/>
                <w:color w:val="000000"/>
              </w:rPr>
              <w:t>45.2</w:t>
            </w:r>
          </w:p>
        </w:tc>
        <w:tc>
          <w:tcPr>
            <w:tcW w:w="1400" w:type="dxa"/>
          </w:tcPr>
          <w:p w14:paraId="5F68F39D" w14:textId="77777777" w:rsidR="009424A9" w:rsidRDefault="001118E2">
            <w:pPr>
              <w:jc w:val="center"/>
            </w:pPr>
            <w:r>
              <w:rPr>
                <w:rFonts w:ascii="Calibri" w:eastAsia="Calibri" w:hAnsi="Calibri" w:cs="Calibri"/>
                <w:color w:val="000000"/>
              </w:rPr>
              <w:t>41.7</w:t>
            </w:r>
          </w:p>
        </w:tc>
        <w:tc>
          <w:tcPr>
            <w:tcW w:w="1400" w:type="dxa"/>
          </w:tcPr>
          <w:p w14:paraId="5856C445" w14:textId="77777777" w:rsidR="009424A9" w:rsidRDefault="001118E2">
            <w:pPr>
              <w:jc w:val="center"/>
            </w:pPr>
            <w:r>
              <w:rPr>
                <w:rFonts w:ascii="Calibri" w:eastAsia="Calibri" w:hAnsi="Calibri" w:cs="Calibri"/>
                <w:color w:val="000000"/>
              </w:rPr>
              <w:t>40.6</w:t>
            </w:r>
          </w:p>
        </w:tc>
        <w:tc>
          <w:tcPr>
            <w:tcW w:w="1400" w:type="dxa"/>
          </w:tcPr>
          <w:p w14:paraId="13B47D09" w14:textId="77777777" w:rsidR="009424A9" w:rsidRDefault="001118E2">
            <w:pPr>
              <w:jc w:val="center"/>
            </w:pPr>
            <w:r>
              <w:rPr>
                <w:rFonts w:ascii="Calibri" w:eastAsia="Calibri" w:hAnsi="Calibri" w:cs="Calibri"/>
                <w:color w:val="000000"/>
              </w:rPr>
              <w:t>40.5</w:t>
            </w:r>
          </w:p>
        </w:tc>
      </w:tr>
      <w:tr w:rsidR="009424A9" w14:paraId="3BED9D5F" w14:textId="77777777">
        <w:tc>
          <w:tcPr>
            <w:tcW w:w="3200" w:type="dxa"/>
          </w:tcPr>
          <w:p w14:paraId="02A03FD4" w14:textId="77777777" w:rsidR="009424A9" w:rsidRDefault="001118E2">
            <w:r>
              <w:rPr>
                <w:rFonts w:ascii="Calibri" w:eastAsia="Calibri" w:hAnsi="Calibri" w:cs="Calibri"/>
                <w:color w:val="000000"/>
              </w:rPr>
              <w:t>Payable Days</w:t>
            </w:r>
          </w:p>
        </w:tc>
        <w:tc>
          <w:tcPr>
            <w:tcW w:w="1400" w:type="dxa"/>
          </w:tcPr>
          <w:p w14:paraId="58BD556C" w14:textId="77777777" w:rsidR="009424A9" w:rsidRDefault="001118E2">
            <w:pPr>
              <w:jc w:val="center"/>
            </w:pPr>
            <w:r>
              <w:rPr>
                <w:rFonts w:ascii="Calibri" w:eastAsia="Calibri" w:hAnsi="Calibri" w:cs="Calibri"/>
                <w:color w:val="000000"/>
              </w:rPr>
              <w:t>21.9</w:t>
            </w:r>
          </w:p>
        </w:tc>
        <w:tc>
          <w:tcPr>
            <w:tcW w:w="1400" w:type="dxa"/>
          </w:tcPr>
          <w:p w14:paraId="7282ECEC" w14:textId="77777777" w:rsidR="009424A9" w:rsidRDefault="001118E2">
            <w:pPr>
              <w:jc w:val="center"/>
            </w:pPr>
            <w:r>
              <w:rPr>
                <w:rFonts w:ascii="Calibri" w:eastAsia="Calibri" w:hAnsi="Calibri" w:cs="Calibri"/>
                <w:color w:val="000000"/>
              </w:rPr>
              <w:t>15.7</w:t>
            </w:r>
          </w:p>
        </w:tc>
        <w:tc>
          <w:tcPr>
            <w:tcW w:w="1400" w:type="dxa"/>
          </w:tcPr>
          <w:p w14:paraId="23C7FEAA" w14:textId="77777777" w:rsidR="009424A9" w:rsidRDefault="001118E2">
            <w:pPr>
              <w:jc w:val="center"/>
            </w:pPr>
            <w:r>
              <w:rPr>
                <w:rFonts w:ascii="Calibri" w:eastAsia="Calibri" w:hAnsi="Calibri" w:cs="Calibri"/>
                <w:color w:val="000000"/>
              </w:rPr>
              <w:t>13.6</w:t>
            </w:r>
          </w:p>
        </w:tc>
        <w:tc>
          <w:tcPr>
            <w:tcW w:w="1400" w:type="dxa"/>
          </w:tcPr>
          <w:p w14:paraId="4A818D02" w14:textId="77777777" w:rsidR="009424A9" w:rsidRDefault="001118E2">
            <w:pPr>
              <w:jc w:val="center"/>
            </w:pPr>
            <w:r>
              <w:rPr>
                <w:rFonts w:ascii="Calibri" w:eastAsia="Calibri" w:hAnsi="Calibri" w:cs="Calibri"/>
                <w:color w:val="000000"/>
              </w:rPr>
              <w:t>13.1</w:t>
            </w:r>
          </w:p>
        </w:tc>
        <w:tc>
          <w:tcPr>
            <w:tcW w:w="1400" w:type="dxa"/>
          </w:tcPr>
          <w:p w14:paraId="670B69FB" w14:textId="77777777" w:rsidR="009424A9" w:rsidRDefault="001118E2">
            <w:pPr>
              <w:jc w:val="center"/>
            </w:pPr>
            <w:r>
              <w:rPr>
                <w:rFonts w:ascii="Calibri" w:eastAsia="Calibri" w:hAnsi="Calibri" w:cs="Calibri"/>
                <w:color w:val="000000"/>
              </w:rPr>
              <w:t>13.5</w:t>
            </w:r>
          </w:p>
        </w:tc>
      </w:tr>
      <w:tr w:rsidR="009424A9" w14:paraId="57ADFC84" w14:textId="77777777">
        <w:tc>
          <w:tcPr>
            <w:tcW w:w="3200" w:type="dxa"/>
          </w:tcPr>
          <w:p w14:paraId="25BB2187" w14:textId="77777777" w:rsidR="009424A9" w:rsidRDefault="001118E2">
            <w:r>
              <w:rPr>
                <w:rFonts w:ascii="Calibri" w:eastAsia="Calibri" w:hAnsi="Calibri" w:cs="Calibri"/>
                <w:color w:val="000000"/>
              </w:rPr>
              <w:t>Cash Conversion Cycle (days)</w:t>
            </w:r>
          </w:p>
        </w:tc>
        <w:tc>
          <w:tcPr>
            <w:tcW w:w="1400" w:type="dxa"/>
          </w:tcPr>
          <w:p w14:paraId="1701ED9F" w14:textId="77777777" w:rsidR="009424A9" w:rsidRDefault="001118E2">
            <w:pPr>
              <w:jc w:val="center"/>
            </w:pPr>
            <w:r>
              <w:rPr>
                <w:rFonts w:ascii="Calibri" w:eastAsia="Calibri" w:hAnsi="Calibri" w:cs="Calibri"/>
                <w:color w:val="000000"/>
              </w:rPr>
              <w:t>30.3</w:t>
            </w:r>
          </w:p>
        </w:tc>
        <w:tc>
          <w:tcPr>
            <w:tcW w:w="1400" w:type="dxa"/>
          </w:tcPr>
          <w:p w14:paraId="40059B5E" w14:textId="77777777" w:rsidR="009424A9" w:rsidRDefault="001118E2">
            <w:pPr>
              <w:jc w:val="center"/>
            </w:pPr>
            <w:r>
              <w:rPr>
                <w:rFonts w:ascii="Calibri" w:eastAsia="Calibri" w:hAnsi="Calibri" w:cs="Calibri"/>
                <w:color w:val="000000"/>
              </w:rPr>
              <w:t>29.5</w:t>
            </w:r>
          </w:p>
        </w:tc>
        <w:tc>
          <w:tcPr>
            <w:tcW w:w="1400" w:type="dxa"/>
          </w:tcPr>
          <w:p w14:paraId="32263E3D" w14:textId="77777777" w:rsidR="009424A9" w:rsidRDefault="001118E2">
            <w:pPr>
              <w:jc w:val="center"/>
            </w:pPr>
            <w:r>
              <w:rPr>
                <w:rFonts w:ascii="Calibri" w:eastAsia="Calibri" w:hAnsi="Calibri" w:cs="Calibri"/>
                <w:color w:val="000000"/>
              </w:rPr>
              <w:t>28.2</w:t>
            </w:r>
          </w:p>
        </w:tc>
        <w:tc>
          <w:tcPr>
            <w:tcW w:w="1400" w:type="dxa"/>
          </w:tcPr>
          <w:p w14:paraId="002E82E1" w14:textId="77777777" w:rsidR="009424A9" w:rsidRDefault="001118E2">
            <w:pPr>
              <w:jc w:val="center"/>
            </w:pPr>
            <w:r>
              <w:rPr>
                <w:rFonts w:ascii="Calibri" w:eastAsia="Calibri" w:hAnsi="Calibri" w:cs="Calibri"/>
                <w:color w:val="000000"/>
              </w:rPr>
              <w:t>27.6</w:t>
            </w:r>
          </w:p>
        </w:tc>
        <w:tc>
          <w:tcPr>
            <w:tcW w:w="1400" w:type="dxa"/>
          </w:tcPr>
          <w:p w14:paraId="135FA79D" w14:textId="77777777" w:rsidR="009424A9" w:rsidRDefault="001118E2">
            <w:pPr>
              <w:jc w:val="center"/>
            </w:pPr>
            <w:r>
              <w:rPr>
                <w:rFonts w:ascii="Calibri" w:eastAsia="Calibri" w:hAnsi="Calibri" w:cs="Calibri"/>
                <w:color w:val="000000"/>
              </w:rPr>
              <w:t>27.0</w:t>
            </w:r>
          </w:p>
        </w:tc>
      </w:tr>
    </w:tbl>
    <w:p w14:paraId="48BD2AED" w14:textId="77777777" w:rsidR="009424A9" w:rsidRDefault="001118E2">
      <w:pPr>
        <w:spacing w:after="160"/>
      </w:pPr>
      <w:r>
        <w:rPr>
          <w:rFonts w:ascii="Calibri" w:eastAsia="Calibri" w:hAnsi="Calibri" w:cs="Calibri"/>
          <w:i/>
          <w:iCs/>
        </w:rPr>
        <w:t>Figures are calculated from Marriott's Form 10-K filings (FY2021–FY2025). Receivable Days uses Accounts and Notes Receivable, net, divided by Total Revenue; Payable Days uses Accounts Payable divided by Total Operating Costs &amp; Expenses (Marriott's closest equivalent to cost of sales, since it does not report a traditional cost-of-goods-sold line).</w:t>
      </w:r>
    </w:p>
    <w:p w14:paraId="1C24A363" w14:textId="77777777" w:rsidR="009424A9" w:rsidRDefault="001118E2">
      <w:pPr>
        <w:pStyle w:val="Heading1"/>
        <w:spacing w:before="240" w:after="120"/>
      </w:pPr>
      <w:r>
        <w:t>4. Year-on-Year Trend</w:t>
      </w:r>
    </w:p>
    <w:p w14:paraId="449CC5E9" w14:textId="77777777" w:rsidR="009424A9" w:rsidRDefault="001118E2">
      <w:pPr>
        <w:spacing w:after="160"/>
      </w:pPr>
      <w:r>
        <w:rPr>
          <w:rFonts w:ascii="Calibri" w:eastAsia="Calibri" w:hAnsi="Calibri" w:cs="Calibri"/>
          <w:sz w:val="22"/>
          <w:szCs w:val="22"/>
        </w:rPr>
        <w:t>Marriott's CCC has shortened every year across the period, improving from 30.3 days in 2021 to 27.0 days in 2025 — a modest but consistent gain in working-capital efficiency.</w:t>
      </w:r>
    </w:p>
    <w:p w14:paraId="4D615748" w14:textId="77777777" w:rsidR="009424A9" w:rsidRDefault="001118E2">
      <w:pPr>
        <w:pStyle w:val="ListParagraph"/>
        <w:numPr>
          <w:ilvl w:val="0"/>
          <w:numId w:val="1"/>
        </w:numPr>
        <w:spacing w:after="80"/>
      </w:pPr>
      <w:r>
        <w:rPr>
          <w:rFonts w:ascii="Calibri" w:eastAsia="Calibri" w:hAnsi="Calibri" w:cs="Calibri"/>
          <w:sz w:val="22"/>
          <w:szCs w:val="22"/>
        </w:rPr>
        <w:t>2021 to 2022: The largest single-year improvement (30.3 to 29.5 days), driven by a sharp fall in Receivable Days (52.2 to 45.2) as post-pandemic demand recovered and collections accelerated. Payable Days also fell (21.9 to 15.7 days) as Marriott caught up on supplier payments that had been stretched during the pandemic downturn.</w:t>
      </w:r>
    </w:p>
    <w:p w14:paraId="2A5E449E" w14:textId="77777777" w:rsidR="009424A9" w:rsidRDefault="001118E2">
      <w:pPr>
        <w:pStyle w:val="ListParagraph"/>
        <w:numPr>
          <w:ilvl w:val="0"/>
          <w:numId w:val="1"/>
        </w:numPr>
        <w:spacing w:after="80"/>
      </w:pPr>
      <w:r>
        <w:rPr>
          <w:rFonts w:ascii="Calibri" w:eastAsia="Calibri" w:hAnsi="Calibri" w:cs="Calibri"/>
          <w:sz w:val="22"/>
          <w:szCs w:val="22"/>
        </w:rPr>
        <w:t>2022 to 2023: CCC improved again (29.5 to 28.2 days). Receivable Days continued to fall (45.2 to 41.7) as revenue growth outpaced the growth in receivables, while Payable Days stabilised in the 13–</w:t>
      </w:r>
      <w:proofErr w:type="gramStart"/>
      <w:r>
        <w:rPr>
          <w:rFonts w:ascii="Calibri" w:eastAsia="Calibri" w:hAnsi="Calibri" w:cs="Calibri"/>
          <w:sz w:val="22"/>
          <w:szCs w:val="22"/>
        </w:rPr>
        <w:t>16 day</w:t>
      </w:r>
      <w:proofErr w:type="gramEnd"/>
      <w:r>
        <w:rPr>
          <w:rFonts w:ascii="Calibri" w:eastAsia="Calibri" w:hAnsi="Calibri" w:cs="Calibri"/>
          <w:sz w:val="22"/>
          <w:szCs w:val="22"/>
        </w:rPr>
        <w:t xml:space="preserve"> range.</w:t>
      </w:r>
    </w:p>
    <w:p w14:paraId="7D7B249B" w14:textId="77777777" w:rsidR="009424A9" w:rsidRDefault="001118E2">
      <w:pPr>
        <w:pStyle w:val="ListParagraph"/>
        <w:numPr>
          <w:ilvl w:val="0"/>
          <w:numId w:val="1"/>
        </w:numPr>
        <w:spacing w:after="80"/>
      </w:pPr>
      <w:r>
        <w:rPr>
          <w:rFonts w:ascii="Calibri" w:eastAsia="Calibri" w:hAnsi="Calibri" w:cs="Calibri"/>
          <w:sz w:val="22"/>
          <w:szCs w:val="22"/>
        </w:rPr>
        <w:lastRenderedPageBreak/>
        <w:t>2023 to 2025: The improvement continued at a slower, steadier pace (28.2 to 27.6 to 27.0 days), with Receivable Days edging down further and Payable Days holding broadly flat around 13–14 days.</w:t>
      </w:r>
    </w:p>
    <w:p w14:paraId="78384BE3" w14:textId="77777777" w:rsidR="009424A9" w:rsidRDefault="001118E2">
      <w:pPr>
        <w:pStyle w:val="Heading1"/>
        <w:spacing w:before="240" w:after="120"/>
      </w:pPr>
      <w:r>
        <w:t>5. Interpretation</w:t>
      </w:r>
    </w:p>
    <w:p w14:paraId="22C42DCA" w14:textId="77777777" w:rsidR="009424A9" w:rsidRDefault="001118E2">
      <w:pPr>
        <w:spacing w:after="160"/>
      </w:pPr>
      <w:r>
        <w:rPr>
          <w:rFonts w:ascii="Calibri" w:eastAsia="Calibri" w:hAnsi="Calibri" w:cs="Calibri"/>
          <w:sz w:val="22"/>
          <w:szCs w:val="22"/>
        </w:rPr>
        <w:t xml:space="preserve">The consistent decline in CCC indicates that Marriott has steadily improved how efficiently it turns its fee-based revenue into cash, without needing to substantially delay payments to its own suppliers to do so (Payable Days has </w:t>
      </w:r>
      <w:proofErr w:type="gramStart"/>
      <w:r>
        <w:rPr>
          <w:rFonts w:ascii="Calibri" w:eastAsia="Calibri" w:hAnsi="Calibri" w:cs="Calibri"/>
          <w:sz w:val="22"/>
          <w:szCs w:val="22"/>
        </w:rPr>
        <w:t>actually fallen</w:t>
      </w:r>
      <w:proofErr w:type="gramEnd"/>
      <w:r>
        <w:rPr>
          <w:rFonts w:ascii="Calibri" w:eastAsia="Calibri" w:hAnsi="Calibri" w:cs="Calibri"/>
          <w:sz w:val="22"/>
          <w:szCs w:val="22"/>
        </w:rPr>
        <w:t xml:space="preserve"> since 2021, not risen). This is a positive signal: unlike a company that shortens its CCC by simply stretching supplier payment terms, Marriott's improvement has come mainly from faster collection of receivables as its business has scaled, which is a healthier and more sustainable driver of working-capital efficiency.</w:t>
      </w:r>
    </w:p>
    <w:p w14:paraId="5B1D6EA1" w14:textId="77777777" w:rsidR="009424A9" w:rsidRDefault="001118E2">
      <w:pPr>
        <w:spacing w:after="160"/>
      </w:pPr>
      <w:r>
        <w:rPr>
          <w:rFonts w:ascii="Calibri" w:eastAsia="Calibri" w:hAnsi="Calibri" w:cs="Calibri"/>
          <w:sz w:val="22"/>
          <w:szCs w:val="22"/>
        </w:rPr>
        <w:t xml:space="preserve">Because Marriott holds no inventory, its CCC is structurally much shorter than a typical retail or manufacturing </w:t>
      </w:r>
      <w:proofErr w:type="gramStart"/>
      <w:r>
        <w:rPr>
          <w:rFonts w:ascii="Calibri" w:eastAsia="Calibri" w:hAnsi="Calibri" w:cs="Calibri"/>
          <w:sz w:val="22"/>
          <w:szCs w:val="22"/>
        </w:rPr>
        <w:t>business, and</w:t>
      </w:r>
      <w:proofErr w:type="gramEnd"/>
      <w:r>
        <w:rPr>
          <w:rFonts w:ascii="Calibri" w:eastAsia="Calibri" w:hAnsi="Calibri" w:cs="Calibri"/>
          <w:sz w:val="22"/>
          <w:szCs w:val="22"/>
        </w:rPr>
        <w:t xml:space="preserve"> is more comparable to other professional-services or franchise-based companies. Any benchmarking of Marriott's CCC against manufacturing or retail competitors should account for this difference in business model rather than treating the raw day-count as directly comparable.</w:t>
      </w:r>
    </w:p>
    <w:sectPr w:rsidR="009424A9">
      <w:pgSz w:w="12240" w:h="15840"/>
      <w:pgMar w:top="1440" w:right="1440" w:bottom="1440" w:left="1440" w:header="708" w:footer="708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54E3AF8"/>
    <w:multiLevelType w:val="hybridMultilevel"/>
    <w:tmpl w:val="FFFFFFFF"/>
    <w:lvl w:ilvl="0" w:tplc="10D6576A">
      <w:start w:val="1"/>
      <w:numFmt w:val="bullet"/>
      <w:lvlText w:val="●"/>
      <w:lvlJc w:val="left"/>
      <w:pPr>
        <w:ind w:left="720" w:hanging="360"/>
      </w:pPr>
    </w:lvl>
    <w:lvl w:ilvl="1" w:tplc="CEAC4BCE">
      <w:start w:val="1"/>
      <w:numFmt w:val="bullet"/>
      <w:lvlText w:val="○"/>
      <w:lvlJc w:val="left"/>
      <w:pPr>
        <w:ind w:left="1440" w:hanging="360"/>
      </w:pPr>
    </w:lvl>
    <w:lvl w:ilvl="2" w:tplc="86D04372">
      <w:start w:val="1"/>
      <w:numFmt w:val="bullet"/>
      <w:lvlText w:val="■"/>
      <w:lvlJc w:val="left"/>
      <w:pPr>
        <w:ind w:left="2160" w:hanging="360"/>
      </w:pPr>
    </w:lvl>
    <w:lvl w:ilvl="3" w:tplc="FA1466F6">
      <w:start w:val="1"/>
      <w:numFmt w:val="bullet"/>
      <w:lvlText w:val="●"/>
      <w:lvlJc w:val="left"/>
      <w:pPr>
        <w:ind w:left="2880" w:hanging="360"/>
      </w:pPr>
    </w:lvl>
    <w:lvl w:ilvl="4" w:tplc="51F20CE8">
      <w:start w:val="1"/>
      <w:numFmt w:val="bullet"/>
      <w:lvlText w:val="○"/>
      <w:lvlJc w:val="left"/>
      <w:pPr>
        <w:ind w:left="3600" w:hanging="360"/>
      </w:pPr>
    </w:lvl>
    <w:lvl w:ilvl="5" w:tplc="8CD0724C">
      <w:start w:val="1"/>
      <w:numFmt w:val="bullet"/>
      <w:lvlText w:val="■"/>
      <w:lvlJc w:val="left"/>
      <w:pPr>
        <w:ind w:left="4320" w:hanging="360"/>
      </w:pPr>
    </w:lvl>
    <w:lvl w:ilvl="6" w:tplc="4A3EB898">
      <w:start w:val="1"/>
      <w:numFmt w:val="bullet"/>
      <w:lvlText w:val="●"/>
      <w:lvlJc w:val="left"/>
      <w:pPr>
        <w:ind w:left="5040" w:hanging="360"/>
      </w:pPr>
    </w:lvl>
    <w:lvl w:ilvl="7" w:tplc="5360FD52">
      <w:start w:val="1"/>
      <w:numFmt w:val="bullet"/>
      <w:lvlText w:val="●"/>
      <w:lvlJc w:val="left"/>
      <w:pPr>
        <w:ind w:left="5760" w:hanging="360"/>
      </w:pPr>
    </w:lvl>
    <w:lvl w:ilvl="8" w:tplc="CC7EA590">
      <w:start w:val="1"/>
      <w:numFmt w:val="bullet"/>
      <w:lvlText w:val="●"/>
      <w:lvlJc w:val="left"/>
      <w:pPr>
        <w:ind w:left="6480" w:hanging="360"/>
      </w:pPr>
    </w:lvl>
  </w:abstractNum>
  <w:num w:numId="1" w16cid:durableId="222957268">
    <w:abstractNumId w:val="0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46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424A9"/>
    <w:rsid w:val="001118E2"/>
    <w:rsid w:val="005103C6"/>
    <w:rsid w:val="00547C4B"/>
    <w:rsid w:val="009424A9"/>
    <w:rsid w:val="00C25E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9F6B501"/>
  <w15:docId w15:val="{EF4AAE05-2DDA-9641-9140-5B5A498507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uiPriority w:val="9"/>
    <w:qFormat/>
    <w:pPr>
      <w:outlineLvl w:val="0"/>
    </w:pPr>
    <w:rPr>
      <w:color w:val="2E74B5"/>
      <w:sz w:val="32"/>
      <w:szCs w:val="32"/>
    </w:rPr>
  </w:style>
  <w:style w:type="paragraph" w:styleId="Heading2">
    <w:name w:val="heading 2"/>
    <w:uiPriority w:val="9"/>
    <w:semiHidden/>
    <w:unhideWhenUsed/>
    <w:qFormat/>
    <w:pPr>
      <w:outlineLvl w:val="1"/>
    </w:pPr>
    <w:rPr>
      <w:color w:val="2E74B5"/>
      <w:sz w:val="26"/>
      <w:szCs w:val="26"/>
    </w:rPr>
  </w:style>
  <w:style w:type="paragraph" w:styleId="Heading3">
    <w:name w:val="heading 3"/>
    <w:uiPriority w:val="9"/>
    <w:semiHidden/>
    <w:unhideWhenUsed/>
    <w:qFormat/>
    <w:pPr>
      <w:outlineLvl w:val="2"/>
    </w:pPr>
    <w:rPr>
      <w:color w:val="1F4D78"/>
      <w:sz w:val="24"/>
      <w:szCs w:val="24"/>
    </w:rPr>
  </w:style>
  <w:style w:type="paragraph" w:styleId="Heading4">
    <w:name w:val="heading 4"/>
    <w:uiPriority w:val="9"/>
    <w:semiHidden/>
    <w:unhideWhenUsed/>
    <w:qFormat/>
    <w:pPr>
      <w:outlineLvl w:val="3"/>
    </w:pPr>
    <w:rPr>
      <w:i/>
      <w:iCs/>
      <w:color w:val="2E74B5"/>
    </w:rPr>
  </w:style>
  <w:style w:type="paragraph" w:styleId="Heading5">
    <w:name w:val="heading 5"/>
    <w:uiPriority w:val="9"/>
    <w:semiHidden/>
    <w:unhideWhenUsed/>
    <w:qFormat/>
    <w:pPr>
      <w:outlineLvl w:val="4"/>
    </w:pPr>
    <w:rPr>
      <w:color w:val="2E74B5"/>
    </w:rPr>
  </w:style>
  <w:style w:type="paragraph" w:styleId="Heading6">
    <w:name w:val="heading 6"/>
    <w:uiPriority w:val="9"/>
    <w:semiHidden/>
    <w:unhideWhenUsed/>
    <w:qFormat/>
    <w:pPr>
      <w:outlineLvl w:val="5"/>
    </w:pPr>
    <w:rPr>
      <w:color w:val="1F4D7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uiPriority w:val="10"/>
    <w:qFormat/>
    <w:rPr>
      <w:sz w:val="56"/>
      <w:szCs w:val="56"/>
    </w:rPr>
  </w:style>
  <w:style w:type="paragraph" w:customStyle="1" w:styleId="Strong1">
    <w:name w:val="Strong1"/>
    <w:qFormat/>
    <w:rPr>
      <w:b/>
      <w:bCs/>
    </w:rPr>
  </w:style>
  <w:style w:type="paragraph" w:styleId="ListParagraph">
    <w:name w:val="List Paragraph"/>
    <w:qFormat/>
  </w:style>
  <w:style w:type="character" w:styleId="Hyperlink">
    <w:name w:val="Hyperlink"/>
    <w:uiPriority w:val="99"/>
    <w:unhideWhenUsed/>
    <w:rPr>
      <w:color w:val="0563C1"/>
      <w:u w:val="single"/>
    </w:rPr>
  </w:style>
  <w:style w:type="character" w:styleId="FootnoteReference">
    <w:name w:val="footnote reference"/>
    <w:uiPriority w:val="99"/>
    <w:semiHidden/>
    <w:unhideWhenUsed/>
    <w:rPr>
      <w:vertAlign w:val="superscript"/>
    </w:rPr>
  </w:style>
  <w:style w:type="paragraph" w:styleId="FootnoteText">
    <w:name w:val="footnote text"/>
    <w:link w:val="FootnoteTextChar"/>
    <w:uiPriority w:val="99"/>
    <w:semiHidden/>
    <w:unhideWhenUsed/>
  </w:style>
  <w:style w:type="character" w:customStyle="1" w:styleId="FootnoteTextChar">
    <w:name w:val="Footnote Text Char"/>
    <w:link w:val="FootnoteText"/>
    <w:uiPriority w:val="99"/>
    <w:semiHidden/>
    <w:unhideWhenUsed/>
    <w:rPr>
      <w:sz w:val="20"/>
      <w:szCs w:val="20"/>
    </w:rPr>
  </w:style>
  <w:style w:type="character" w:styleId="EndnoteReference">
    <w:name w:val="endnote reference"/>
    <w:uiPriority w:val="99"/>
    <w:semiHidden/>
    <w:unhideWhenUsed/>
    <w:rPr>
      <w:vertAlign w:val="superscript"/>
    </w:rPr>
  </w:style>
  <w:style w:type="paragraph" w:styleId="EndnoteText">
    <w:name w:val="endnote text"/>
    <w:link w:val="EndnoteTextChar"/>
    <w:uiPriority w:val="99"/>
    <w:semiHidden/>
    <w:unhideWhenUsed/>
  </w:style>
  <w:style w:type="character" w:customStyle="1" w:styleId="EndnoteTextChar">
    <w:name w:val="Endnote Text Char"/>
    <w:link w:val="EndnoteText"/>
    <w:uiPriority w:val="99"/>
    <w:semiHidden/>
    <w:unhideWhenUsed/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563</Words>
  <Characters>3215</Characters>
  <Application>Microsoft Office Word</Application>
  <DocSecurity>0</DocSecurity>
  <Lines>26</Lines>
  <Paragraphs>7</Paragraphs>
  <ScaleCrop>false</ScaleCrop>
  <Company/>
  <LinksUpToDate>false</LinksUpToDate>
  <CharactersWithSpaces>3771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Un-named</dc:creator>
  <cp:lastModifiedBy>Vishal Singh (2543470)</cp:lastModifiedBy>
  <cp:revision>2</cp:revision>
  <dcterms:created xsi:type="dcterms:W3CDTF">2026-07-30T21:07:00Z</dcterms:created>
  <dcterms:modified xsi:type="dcterms:W3CDTF">2026-07-30T21:07:00Z</dcterms:modified>
</cp:coreProperties>
</file>