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3F55A" w14:textId="5F87F02B" w:rsidR="00974C3F" w:rsidRPr="00256ACC" w:rsidRDefault="00543A0E" w:rsidP="00256ACC">
      <w:pPr>
        <w:spacing w:line="276" w:lineRule="auto"/>
        <w:rPr>
          <w:rFonts w:ascii="Arial" w:hAnsi="Arial" w:cs="Arial"/>
          <w:sz w:val="24"/>
          <w:szCs w:val="24"/>
          <w:u w:val="single"/>
        </w:rPr>
      </w:pPr>
      <w:r w:rsidRPr="00256ACC">
        <w:rPr>
          <w:rFonts w:ascii="Arial" w:hAnsi="Arial" w:cs="Arial"/>
          <w:sz w:val="24"/>
          <w:szCs w:val="24"/>
          <w:u w:val="single"/>
        </w:rPr>
        <w:t>Experiences of Family Therapy for Eating Disorders: A Systematic Literature Review</w:t>
      </w:r>
    </w:p>
    <w:p w14:paraId="558AE0F8" w14:textId="0FBC99AA" w:rsidR="00BF712D" w:rsidRPr="00256ACC" w:rsidRDefault="00BF712D" w:rsidP="00256ACC">
      <w:pPr>
        <w:spacing w:line="276" w:lineRule="auto"/>
        <w:rPr>
          <w:rFonts w:ascii="Arial" w:hAnsi="Arial" w:cs="Arial"/>
          <w:sz w:val="24"/>
          <w:szCs w:val="24"/>
          <w:u w:val="single"/>
        </w:rPr>
      </w:pPr>
      <w:r w:rsidRPr="00256ACC">
        <w:rPr>
          <w:rFonts w:ascii="Arial" w:hAnsi="Arial" w:cs="Arial"/>
          <w:sz w:val="24"/>
          <w:szCs w:val="24"/>
          <w:u w:val="single"/>
        </w:rPr>
        <w:t>A</w:t>
      </w:r>
      <w:r w:rsidR="003D340A">
        <w:rPr>
          <w:rFonts w:ascii="Arial" w:hAnsi="Arial" w:cs="Arial"/>
          <w:sz w:val="24"/>
          <w:szCs w:val="24"/>
          <w:u w:val="single"/>
        </w:rPr>
        <w:t>I</w:t>
      </w:r>
      <w:r w:rsidRPr="00256ACC">
        <w:rPr>
          <w:rFonts w:ascii="Arial" w:hAnsi="Arial" w:cs="Arial"/>
          <w:sz w:val="24"/>
          <w:szCs w:val="24"/>
          <w:u w:val="single"/>
        </w:rPr>
        <w:t xml:space="preserve"> Acknowledgment</w:t>
      </w:r>
    </w:p>
    <w:p w14:paraId="57EC2838" w14:textId="77777777" w:rsidR="00764D5B" w:rsidRPr="00256ACC" w:rsidRDefault="00764D5B" w:rsidP="00256ACC">
      <w:pPr>
        <w:spacing w:line="276" w:lineRule="auto"/>
        <w:rPr>
          <w:rFonts w:ascii="Arial" w:hAnsi="Arial" w:cs="Arial"/>
          <w:sz w:val="24"/>
          <w:szCs w:val="24"/>
        </w:rPr>
      </w:pPr>
      <w:r w:rsidRPr="00256ACC">
        <w:rPr>
          <w:rFonts w:ascii="Arial" w:hAnsi="Arial" w:cs="Arial"/>
          <w:sz w:val="24"/>
          <w:szCs w:val="24"/>
        </w:rPr>
        <w:t>I acknowledge the use of the following forms of AI:</w:t>
      </w:r>
    </w:p>
    <w:p w14:paraId="6FBFC641" w14:textId="0B5A5700" w:rsidR="007351A3" w:rsidRDefault="00764D5B" w:rsidP="00256ACC">
      <w:pPr>
        <w:spacing w:line="276" w:lineRule="auto"/>
        <w:rPr>
          <w:rFonts w:ascii="Arial" w:hAnsi="Arial" w:cs="Arial"/>
          <w:sz w:val="24"/>
          <w:szCs w:val="24"/>
        </w:rPr>
      </w:pPr>
      <w:r w:rsidRPr="00256ACC">
        <w:rPr>
          <w:rFonts w:ascii="Arial" w:hAnsi="Arial" w:cs="Arial"/>
          <w:sz w:val="24"/>
          <w:szCs w:val="24"/>
        </w:rPr>
        <w:t>Proofreading through Grammarly</w:t>
      </w:r>
    </w:p>
    <w:p w14:paraId="54BCC3E8" w14:textId="4D9778F5" w:rsidR="007351A3" w:rsidRPr="00256ACC" w:rsidRDefault="007351A3" w:rsidP="00256ACC">
      <w:pPr>
        <w:spacing w:line="276" w:lineRule="auto"/>
        <w:rPr>
          <w:rFonts w:ascii="Arial" w:hAnsi="Arial" w:cs="Arial"/>
          <w:sz w:val="24"/>
          <w:szCs w:val="24"/>
        </w:rPr>
      </w:pPr>
      <w:r>
        <w:rPr>
          <w:rFonts w:ascii="Arial" w:hAnsi="Arial" w:cs="Arial"/>
          <w:sz w:val="24"/>
          <w:szCs w:val="24"/>
        </w:rPr>
        <w:t xml:space="preserve">Microsoft Built In reviewal </w:t>
      </w:r>
      <w:r w:rsidR="00070267">
        <w:rPr>
          <w:rFonts w:ascii="Arial" w:hAnsi="Arial" w:cs="Arial"/>
          <w:sz w:val="24"/>
          <w:szCs w:val="24"/>
        </w:rPr>
        <w:t>of spelling and grammar.</w:t>
      </w:r>
    </w:p>
    <w:p w14:paraId="058E41C9" w14:textId="26FACAD4" w:rsidR="00726A25" w:rsidRPr="00256ACC" w:rsidRDefault="00726A25" w:rsidP="00256ACC">
      <w:pPr>
        <w:spacing w:before="120" w:after="120" w:line="276" w:lineRule="auto"/>
        <w:rPr>
          <w:rFonts w:ascii="Arial" w:hAnsi="Arial" w:cs="Arial"/>
          <w:sz w:val="24"/>
          <w:szCs w:val="24"/>
        </w:rPr>
      </w:pPr>
      <w:r w:rsidRPr="00256ACC">
        <w:rPr>
          <w:rFonts w:ascii="Arial" w:hAnsi="Arial" w:cs="Arial"/>
          <w:sz w:val="24"/>
          <w:szCs w:val="24"/>
        </w:rPr>
        <w:t>I confirm that no AI-generated text has been presented as my own work. I also confirm that I retain copies of all drafts, notes, and resources used before and after employing AI tools, which can be provided upon request.</w:t>
      </w:r>
    </w:p>
    <w:p w14:paraId="7A7D534C" w14:textId="1A5C3B8F" w:rsidR="00E14BEC" w:rsidRPr="00256ACC" w:rsidRDefault="00E14BEC" w:rsidP="00256ACC">
      <w:pPr>
        <w:spacing w:line="276" w:lineRule="auto"/>
        <w:rPr>
          <w:rFonts w:ascii="Arial" w:hAnsi="Arial" w:cs="Arial"/>
          <w:sz w:val="24"/>
          <w:szCs w:val="24"/>
          <w:u w:val="single"/>
        </w:rPr>
      </w:pPr>
      <w:r w:rsidRPr="00256ACC">
        <w:rPr>
          <w:rFonts w:ascii="Arial" w:hAnsi="Arial" w:cs="Arial"/>
          <w:sz w:val="24"/>
          <w:szCs w:val="24"/>
          <w:u w:val="single"/>
        </w:rPr>
        <w:t>Abstract</w:t>
      </w:r>
    </w:p>
    <w:p w14:paraId="10DB1237" w14:textId="77777777" w:rsidR="00070267" w:rsidRDefault="00070267" w:rsidP="00256ACC">
      <w:pPr>
        <w:spacing w:line="276" w:lineRule="auto"/>
        <w:rPr>
          <w:rFonts w:ascii="Arial" w:hAnsi="Arial" w:cs="Arial"/>
          <w:sz w:val="24"/>
          <w:szCs w:val="24"/>
        </w:rPr>
      </w:pPr>
      <w:r>
        <w:rPr>
          <w:rFonts w:ascii="Arial" w:hAnsi="Arial" w:cs="Arial"/>
          <w:sz w:val="24"/>
          <w:szCs w:val="24"/>
        </w:rPr>
        <w:t>Eating</w:t>
      </w:r>
      <w:r w:rsidR="00811AB6" w:rsidRPr="00256ACC">
        <w:rPr>
          <w:rFonts w:ascii="Arial" w:hAnsi="Arial" w:cs="Arial"/>
          <w:sz w:val="24"/>
          <w:szCs w:val="24"/>
        </w:rPr>
        <w:t xml:space="preserve"> disorders</w:t>
      </w:r>
      <w:r w:rsidR="00866E76" w:rsidRPr="00256ACC">
        <w:rPr>
          <w:rFonts w:ascii="Arial" w:hAnsi="Arial" w:cs="Arial"/>
          <w:sz w:val="24"/>
          <w:szCs w:val="24"/>
        </w:rPr>
        <w:t xml:space="preserve">, </w:t>
      </w:r>
      <w:r w:rsidR="00811AB6" w:rsidRPr="00256ACC">
        <w:rPr>
          <w:rFonts w:ascii="Arial" w:hAnsi="Arial" w:cs="Arial"/>
          <w:sz w:val="24"/>
          <w:szCs w:val="24"/>
        </w:rPr>
        <w:t>particularly anorexia nervosa</w:t>
      </w:r>
      <w:r w:rsidR="00866E76" w:rsidRPr="00256ACC">
        <w:rPr>
          <w:rFonts w:ascii="Arial" w:hAnsi="Arial" w:cs="Arial"/>
          <w:sz w:val="24"/>
          <w:szCs w:val="24"/>
        </w:rPr>
        <w:t xml:space="preserve">, </w:t>
      </w:r>
      <w:r w:rsidR="00811AB6" w:rsidRPr="00256ACC">
        <w:rPr>
          <w:rFonts w:ascii="Arial" w:hAnsi="Arial" w:cs="Arial"/>
          <w:sz w:val="24"/>
          <w:szCs w:val="24"/>
        </w:rPr>
        <w:t>present serious psychological, physical, and social challenges</w:t>
      </w:r>
      <w:r w:rsidRPr="00070267">
        <w:rPr>
          <w:rFonts w:ascii="Arial" w:hAnsi="Arial" w:cs="Arial"/>
          <w:sz w:val="24"/>
          <w:szCs w:val="24"/>
        </w:rPr>
        <w:t xml:space="preserve"> </w:t>
      </w:r>
      <w:r>
        <w:rPr>
          <w:rFonts w:ascii="Arial" w:hAnsi="Arial" w:cs="Arial"/>
          <w:sz w:val="24"/>
          <w:szCs w:val="24"/>
        </w:rPr>
        <w:t>f</w:t>
      </w:r>
      <w:r w:rsidRPr="00256ACC">
        <w:rPr>
          <w:rFonts w:ascii="Arial" w:hAnsi="Arial" w:cs="Arial"/>
          <w:sz w:val="24"/>
          <w:szCs w:val="24"/>
        </w:rPr>
        <w:t>or young people and their families</w:t>
      </w:r>
      <w:r w:rsidR="00811AB6" w:rsidRPr="00256ACC">
        <w:rPr>
          <w:rFonts w:ascii="Arial" w:hAnsi="Arial" w:cs="Arial"/>
          <w:sz w:val="24"/>
          <w:szCs w:val="24"/>
        </w:rPr>
        <w:t xml:space="preserve">. Understanding how therapies are </w:t>
      </w:r>
      <w:r w:rsidRPr="00256ACC">
        <w:rPr>
          <w:rFonts w:ascii="Arial" w:hAnsi="Arial" w:cs="Arial"/>
          <w:sz w:val="24"/>
          <w:szCs w:val="24"/>
        </w:rPr>
        <w:t>recogni</w:t>
      </w:r>
      <w:r>
        <w:rPr>
          <w:rFonts w:ascii="Arial" w:hAnsi="Arial" w:cs="Arial"/>
          <w:sz w:val="24"/>
          <w:szCs w:val="24"/>
        </w:rPr>
        <w:t>s</w:t>
      </w:r>
      <w:r w:rsidRPr="00256ACC">
        <w:rPr>
          <w:rFonts w:ascii="Arial" w:hAnsi="Arial" w:cs="Arial"/>
          <w:sz w:val="24"/>
          <w:szCs w:val="24"/>
        </w:rPr>
        <w:t>ed</w:t>
      </w:r>
      <w:r w:rsidR="00811AB6" w:rsidRPr="00256ACC">
        <w:rPr>
          <w:rFonts w:ascii="Arial" w:hAnsi="Arial" w:cs="Arial"/>
          <w:sz w:val="24"/>
          <w:szCs w:val="24"/>
        </w:rPr>
        <w:t xml:space="preserve"> in real</w:t>
      </w:r>
      <w:r w:rsidR="00811AB6" w:rsidRPr="00256ACC">
        <w:rPr>
          <w:rFonts w:ascii="Arial" w:hAnsi="Arial" w:cs="Arial"/>
          <w:sz w:val="24"/>
          <w:szCs w:val="24"/>
        </w:rPr>
        <w:noBreakHyphen/>
        <w:t>world settings has become increasingly important as treatment has shifted from individually focused approaches toward systemic, family</w:t>
      </w:r>
      <w:r w:rsidR="00811AB6" w:rsidRPr="00256ACC">
        <w:rPr>
          <w:rFonts w:ascii="Arial" w:hAnsi="Arial" w:cs="Arial"/>
          <w:sz w:val="24"/>
          <w:szCs w:val="24"/>
        </w:rPr>
        <w:noBreakHyphen/>
        <w:t xml:space="preserve">centred interventions. </w:t>
      </w:r>
    </w:p>
    <w:p w14:paraId="30DF881A" w14:textId="4A433F2A" w:rsidR="00866E76" w:rsidRPr="00256ACC" w:rsidRDefault="00811AB6" w:rsidP="00256ACC">
      <w:pPr>
        <w:spacing w:line="276" w:lineRule="auto"/>
        <w:rPr>
          <w:rFonts w:ascii="Arial" w:hAnsi="Arial" w:cs="Arial"/>
          <w:sz w:val="24"/>
          <w:szCs w:val="24"/>
        </w:rPr>
      </w:pPr>
      <w:r w:rsidRPr="00256ACC">
        <w:rPr>
          <w:rFonts w:ascii="Arial" w:hAnsi="Arial" w:cs="Arial"/>
          <w:sz w:val="24"/>
          <w:szCs w:val="24"/>
        </w:rPr>
        <w:t>This systematic literature review examined the lived experiences of adolescents, parents, and families participating in family</w:t>
      </w:r>
      <w:r w:rsidRPr="00256ACC">
        <w:rPr>
          <w:rFonts w:ascii="Arial" w:hAnsi="Arial" w:cs="Arial"/>
          <w:sz w:val="24"/>
          <w:szCs w:val="24"/>
        </w:rPr>
        <w:noBreakHyphen/>
        <w:t>based treatment (FBT) and multi</w:t>
      </w:r>
      <w:r w:rsidRPr="00256ACC">
        <w:rPr>
          <w:rFonts w:ascii="Arial" w:hAnsi="Arial" w:cs="Arial"/>
          <w:sz w:val="24"/>
          <w:szCs w:val="24"/>
        </w:rPr>
        <w:noBreakHyphen/>
        <w:t>family therapy (MFT), synthesising qualitative data from six peer</w:t>
      </w:r>
      <w:r w:rsidRPr="00256ACC">
        <w:rPr>
          <w:rFonts w:ascii="Arial" w:hAnsi="Arial" w:cs="Arial"/>
          <w:sz w:val="24"/>
          <w:szCs w:val="24"/>
        </w:rPr>
        <w:noBreakHyphen/>
        <w:t xml:space="preserve">reviewed studies published between 2016 and 2026 using the CASP Qualitative Checklist. </w:t>
      </w:r>
    </w:p>
    <w:p w14:paraId="5A22B9F3" w14:textId="6650E318" w:rsidR="00811AB6" w:rsidRPr="00256ACC" w:rsidRDefault="00811AB6" w:rsidP="00256ACC">
      <w:pPr>
        <w:spacing w:line="276" w:lineRule="auto"/>
        <w:rPr>
          <w:rFonts w:ascii="Arial" w:hAnsi="Arial" w:cs="Arial"/>
          <w:sz w:val="24"/>
          <w:szCs w:val="24"/>
        </w:rPr>
      </w:pPr>
      <w:r w:rsidRPr="00256ACC">
        <w:rPr>
          <w:rFonts w:ascii="Arial" w:hAnsi="Arial" w:cs="Arial"/>
          <w:sz w:val="24"/>
          <w:szCs w:val="24"/>
        </w:rPr>
        <w:t>Thematic analysis identified three recurring themes across the six studies: Connection, Recognition, and the Power of Shared Experience, highlighting how shared understanding reduced isolation and strengthened communication; Control, Conflict, and the Emotional Weight of Family</w:t>
      </w:r>
      <w:r w:rsidRPr="00256ACC">
        <w:rPr>
          <w:rFonts w:ascii="Arial" w:hAnsi="Arial" w:cs="Arial"/>
          <w:sz w:val="24"/>
          <w:szCs w:val="24"/>
        </w:rPr>
        <w:noBreakHyphen/>
        <w:t>Centred Treatment, capturing tensions around autonomy, responsibility, and emotional burden; and Reclaiming Identity and Development</w:t>
      </w:r>
      <w:r w:rsidR="00984F86" w:rsidRPr="00256ACC">
        <w:rPr>
          <w:rFonts w:ascii="Arial" w:hAnsi="Arial" w:cs="Arial"/>
          <w:sz w:val="24"/>
          <w:szCs w:val="24"/>
        </w:rPr>
        <w:t>,</w:t>
      </w:r>
      <w:r w:rsidRPr="00256ACC">
        <w:rPr>
          <w:rFonts w:ascii="Arial" w:hAnsi="Arial" w:cs="Arial"/>
          <w:sz w:val="24"/>
          <w:szCs w:val="24"/>
        </w:rPr>
        <w:t xml:space="preserve"> Emerging Beyond the Eating Disorder, illustrating how recovery involved rediscovering autonomy, identity, and developmental progression</w:t>
      </w:r>
      <w:r w:rsidR="00256ACC" w:rsidRPr="00256ACC">
        <w:rPr>
          <w:rFonts w:ascii="Arial" w:hAnsi="Arial" w:cs="Arial"/>
          <w:sz w:val="24"/>
          <w:szCs w:val="24"/>
        </w:rPr>
        <w:t>.</w:t>
      </w:r>
    </w:p>
    <w:p w14:paraId="50C2484D" w14:textId="24F3D0E3" w:rsidR="00BF712D" w:rsidRPr="00256ACC" w:rsidRDefault="00BF712D" w:rsidP="00256ACC">
      <w:pPr>
        <w:spacing w:line="276" w:lineRule="auto"/>
        <w:rPr>
          <w:rFonts w:ascii="Arial" w:hAnsi="Arial" w:cs="Arial"/>
          <w:sz w:val="24"/>
          <w:szCs w:val="24"/>
          <w:u w:val="single"/>
        </w:rPr>
      </w:pPr>
      <w:r w:rsidRPr="00256ACC">
        <w:rPr>
          <w:rFonts w:ascii="Arial" w:hAnsi="Arial" w:cs="Arial"/>
          <w:sz w:val="24"/>
          <w:szCs w:val="24"/>
          <w:u w:val="single"/>
        </w:rPr>
        <w:t>Introduction</w:t>
      </w:r>
    </w:p>
    <w:p w14:paraId="6E12B507" w14:textId="4869F3B8"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 xml:space="preserve">Eating Disorders can appear in a variety of forms and are a category with multiple illnesses that coincide within. With serious medical, psychological, and social repercussions for both patients and their families, eating disorders such as anorexia nervosa remain among the most complicated, complex and </w:t>
      </w:r>
      <w:r w:rsidR="00626674">
        <w:rPr>
          <w:rFonts w:ascii="Arial" w:hAnsi="Arial" w:cs="Arial"/>
          <w:sz w:val="24"/>
          <w:szCs w:val="24"/>
        </w:rPr>
        <w:t>life-threatening</w:t>
      </w:r>
      <w:r w:rsidRPr="00256ACC">
        <w:rPr>
          <w:rFonts w:ascii="Arial" w:hAnsi="Arial" w:cs="Arial"/>
          <w:sz w:val="24"/>
          <w:szCs w:val="24"/>
        </w:rPr>
        <w:t xml:space="preserve"> psychiatric mental illnesses</w:t>
      </w:r>
      <w:r w:rsidR="00626674">
        <w:rPr>
          <w:rFonts w:ascii="Arial" w:hAnsi="Arial" w:cs="Arial"/>
          <w:sz w:val="24"/>
          <w:szCs w:val="24"/>
        </w:rPr>
        <w:t>,</w:t>
      </w:r>
      <w:r w:rsidRPr="00256ACC">
        <w:rPr>
          <w:rFonts w:ascii="Arial" w:hAnsi="Arial" w:cs="Arial"/>
          <w:sz w:val="24"/>
          <w:szCs w:val="24"/>
        </w:rPr>
        <w:t xml:space="preserve"> </w:t>
      </w:r>
      <w:r w:rsidR="00C23522">
        <w:rPr>
          <w:rFonts w:ascii="Arial" w:hAnsi="Arial" w:cs="Arial"/>
          <w:sz w:val="24"/>
          <w:szCs w:val="24"/>
        </w:rPr>
        <w:t xml:space="preserve">especially </w:t>
      </w:r>
      <w:r w:rsidRPr="00256ACC">
        <w:rPr>
          <w:rFonts w:ascii="Arial" w:hAnsi="Arial" w:cs="Arial"/>
          <w:sz w:val="24"/>
          <w:szCs w:val="24"/>
        </w:rPr>
        <w:t xml:space="preserve">among teenagers and young adults. </w:t>
      </w:r>
      <w:r w:rsidR="00C23522">
        <w:rPr>
          <w:rFonts w:ascii="Arial" w:hAnsi="Arial" w:cs="Arial"/>
          <w:sz w:val="24"/>
          <w:szCs w:val="24"/>
        </w:rPr>
        <w:t>The complexity of which</w:t>
      </w:r>
      <w:r w:rsidRPr="00256ACC">
        <w:rPr>
          <w:rFonts w:ascii="Arial" w:hAnsi="Arial" w:cs="Arial"/>
          <w:sz w:val="24"/>
          <w:szCs w:val="24"/>
        </w:rPr>
        <w:t xml:space="preserve"> increases </w:t>
      </w:r>
      <w:r w:rsidR="009744FB">
        <w:rPr>
          <w:rFonts w:ascii="Arial" w:hAnsi="Arial" w:cs="Arial"/>
          <w:sz w:val="24"/>
          <w:szCs w:val="24"/>
        </w:rPr>
        <w:t>the likelihood of</w:t>
      </w:r>
      <w:r w:rsidRPr="00256ACC">
        <w:rPr>
          <w:rFonts w:ascii="Arial" w:hAnsi="Arial" w:cs="Arial"/>
          <w:sz w:val="24"/>
          <w:szCs w:val="24"/>
        </w:rPr>
        <w:t xml:space="preserve"> hospital admissions, alongside the high mortality and relapse rates associated with anorexia nervosa</w:t>
      </w:r>
      <w:r w:rsidR="009744FB">
        <w:rPr>
          <w:rFonts w:ascii="Arial" w:hAnsi="Arial" w:cs="Arial"/>
          <w:sz w:val="24"/>
          <w:szCs w:val="24"/>
        </w:rPr>
        <w:t xml:space="preserve">. This has led to </w:t>
      </w:r>
      <w:r w:rsidR="00626674">
        <w:rPr>
          <w:rFonts w:ascii="Arial" w:hAnsi="Arial" w:cs="Arial"/>
          <w:sz w:val="24"/>
          <w:szCs w:val="24"/>
        </w:rPr>
        <w:t>further need for</w:t>
      </w:r>
      <w:r w:rsidRPr="00256ACC">
        <w:rPr>
          <w:rFonts w:ascii="Arial" w:hAnsi="Arial" w:cs="Arial"/>
          <w:sz w:val="24"/>
          <w:szCs w:val="24"/>
        </w:rPr>
        <w:t xml:space="preserve"> effective, developmentally </w:t>
      </w:r>
      <w:r w:rsidR="00626674" w:rsidRPr="00256ACC">
        <w:rPr>
          <w:rFonts w:ascii="Arial" w:hAnsi="Arial" w:cs="Arial"/>
          <w:sz w:val="24"/>
          <w:szCs w:val="24"/>
        </w:rPr>
        <w:t>adapted</w:t>
      </w:r>
      <w:r w:rsidRPr="00256ACC">
        <w:rPr>
          <w:rFonts w:ascii="Arial" w:hAnsi="Arial" w:cs="Arial"/>
          <w:sz w:val="24"/>
          <w:szCs w:val="24"/>
        </w:rPr>
        <w:t xml:space="preserve"> interventions that support both the young person and their wider family system.</w:t>
      </w:r>
    </w:p>
    <w:p w14:paraId="2A4E0C39" w14:textId="77777777" w:rsidR="00855660" w:rsidRDefault="007D10C5" w:rsidP="00256ACC">
      <w:pPr>
        <w:spacing w:line="276" w:lineRule="auto"/>
        <w:rPr>
          <w:rFonts w:ascii="Arial" w:hAnsi="Arial" w:cs="Arial"/>
          <w:sz w:val="24"/>
          <w:szCs w:val="24"/>
        </w:rPr>
      </w:pPr>
      <w:r w:rsidRPr="00256ACC">
        <w:rPr>
          <w:rFonts w:ascii="Arial" w:hAnsi="Arial" w:cs="Arial"/>
          <w:sz w:val="24"/>
          <w:szCs w:val="24"/>
        </w:rPr>
        <w:t xml:space="preserve">Family-based treatment (FBT) and multi-family therapy (MFT) are becoming essential components of current care, as treatment models transition from individual to relational and systemic methods. These theories view the family as an active </w:t>
      </w:r>
      <w:r w:rsidRPr="00256ACC">
        <w:rPr>
          <w:rFonts w:ascii="Arial" w:hAnsi="Arial" w:cs="Arial"/>
          <w:sz w:val="24"/>
          <w:szCs w:val="24"/>
        </w:rPr>
        <w:lastRenderedPageBreak/>
        <w:t xml:space="preserve">agency in recovery, emphasising teamwork, shared accountability, and the restructuring of relational patterns that generate the </w:t>
      </w:r>
      <w:r w:rsidR="00FA747C" w:rsidRPr="00256ACC">
        <w:rPr>
          <w:rFonts w:ascii="Arial" w:hAnsi="Arial" w:cs="Arial"/>
          <w:sz w:val="24"/>
          <w:szCs w:val="24"/>
        </w:rPr>
        <w:t>illness</w:t>
      </w:r>
      <w:r w:rsidR="00855660">
        <w:rPr>
          <w:rFonts w:ascii="Arial" w:hAnsi="Arial" w:cs="Arial"/>
          <w:sz w:val="24"/>
          <w:szCs w:val="24"/>
        </w:rPr>
        <w:t xml:space="preserve"> and fuel it further</w:t>
      </w:r>
      <w:r w:rsidRPr="00256ACC">
        <w:rPr>
          <w:rFonts w:ascii="Arial" w:hAnsi="Arial" w:cs="Arial"/>
          <w:sz w:val="24"/>
          <w:szCs w:val="24"/>
        </w:rPr>
        <w:t>.</w:t>
      </w:r>
    </w:p>
    <w:p w14:paraId="5EB7B0AC" w14:textId="6642C7A8"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FBT is a manualised, behaviourally focused model that positions parents as the primary agents of refeeding</w:t>
      </w:r>
      <w:r w:rsidR="00A52F46">
        <w:rPr>
          <w:rFonts w:ascii="Arial" w:hAnsi="Arial" w:cs="Arial"/>
          <w:sz w:val="24"/>
          <w:szCs w:val="24"/>
        </w:rPr>
        <w:t xml:space="preserve"> and </w:t>
      </w:r>
      <w:r w:rsidR="001E1ACA">
        <w:rPr>
          <w:rFonts w:ascii="Arial" w:hAnsi="Arial" w:cs="Arial"/>
          <w:sz w:val="24"/>
          <w:szCs w:val="24"/>
        </w:rPr>
        <w:t>care in the support of the child</w:t>
      </w:r>
      <w:r w:rsidR="00DA31B8">
        <w:rPr>
          <w:rFonts w:ascii="Arial" w:hAnsi="Arial" w:cs="Arial"/>
          <w:sz w:val="24"/>
          <w:szCs w:val="24"/>
        </w:rPr>
        <w:t xml:space="preserve"> and has a tendency to be carried out </w:t>
      </w:r>
      <w:r w:rsidR="00AA00AA">
        <w:rPr>
          <w:rFonts w:ascii="Arial" w:hAnsi="Arial" w:cs="Arial"/>
          <w:sz w:val="24"/>
          <w:szCs w:val="24"/>
        </w:rPr>
        <w:t>at home rather than as an inpatient</w:t>
      </w:r>
      <w:r w:rsidR="00A52F46">
        <w:rPr>
          <w:rFonts w:ascii="Arial" w:hAnsi="Arial" w:cs="Arial"/>
          <w:sz w:val="24"/>
          <w:szCs w:val="24"/>
        </w:rPr>
        <w:t>. In contrast, MFT</w:t>
      </w:r>
      <w:r w:rsidRPr="00256ACC">
        <w:rPr>
          <w:rFonts w:ascii="Arial" w:hAnsi="Arial" w:cs="Arial"/>
          <w:sz w:val="24"/>
          <w:szCs w:val="24"/>
        </w:rPr>
        <w:t xml:space="preserve"> brings multiple families together to promote shared learning, emotional expression, and collective problem-solving. Even though these therapy approaches are widely used in both inpatient and outpatient settings, the lived experiences of young people and their families within </w:t>
      </w:r>
      <w:r w:rsidR="00756818">
        <w:rPr>
          <w:rFonts w:ascii="Arial" w:hAnsi="Arial" w:cs="Arial"/>
          <w:sz w:val="24"/>
          <w:szCs w:val="24"/>
        </w:rPr>
        <w:t>these settings are still poorly studied, inconsistent across</w:t>
      </w:r>
      <w:r w:rsidRPr="00256ACC">
        <w:rPr>
          <w:rFonts w:ascii="Arial" w:hAnsi="Arial" w:cs="Arial"/>
          <w:sz w:val="24"/>
          <w:szCs w:val="24"/>
        </w:rPr>
        <w:t xml:space="preserve"> studies, and methodologically varied.</w:t>
      </w:r>
    </w:p>
    <w:p w14:paraId="48019C50" w14:textId="361897B7" w:rsidR="007D10C5" w:rsidRPr="00256ACC" w:rsidRDefault="007D10C5" w:rsidP="00256ACC">
      <w:pPr>
        <w:spacing w:line="276" w:lineRule="auto"/>
        <w:rPr>
          <w:rFonts w:ascii="Arial" w:hAnsi="Arial" w:cs="Arial"/>
          <w:sz w:val="24"/>
          <w:szCs w:val="24"/>
        </w:rPr>
      </w:pPr>
      <w:r w:rsidRPr="00256ACC">
        <w:rPr>
          <w:rFonts w:ascii="Arial" w:hAnsi="Arial" w:cs="Arial"/>
          <w:sz w:val="24"/>
          <w:szCs w:val="24"/>
        </w:rPr>
        <w:t xml:space="preserve">Current qualitative research offers informative but scattered information. </w:t>
      </w:r>
      <w:proofErr w:type="spellStart"/>
      <w:r w:rsidRPr="00256ACC">
        <w:rPr>
          <w:rFonts w:ascii="Arial" w:hAnsi="Arial" w:cs="Arial"/>
          <w:sz w:val="24"/>
          <w:szCs w:val="24"/>
        </w:rPr>
        <w:t>Brinchmann</w:t>
      </w:r>
      <w:proofErr w:type="spellEnd"/>
      <w:r w:rsidRPr="00256ACC">
        <w:rPr>
          <w:rFonts w:ascii="Arial" w:hAnsi="Arial" w:cs="Arial"/>
          <w:sz w:val="24"/>
          <w:szCs w:val="24"/>
        </w:rPr>
        <w:t xml:space="preserve"> and </w:t>
      </w:r>
      <w:proofErr w:type="spellStart"/>
      <w:r w:rsidRPr="00256ACC">
        <w:rPr>
          <w:rFonts w:ascii="Arial" w:hAnsi="Arial" w:cs="Arial"/>
          <w:sz w:val="24"/>
          <w:szCs w:val="24"/>
        </w:rPr>
        <w:t>Krvavac</w:t>
      </w:r>
      <w:proofErr w:type="spellEnd"/>
      <w:r w:rsidRPr="00256ACC">
        <w:rPr>
          <w:rFonts w:ascii="Arial" w:hAnsi="Arial" w:cs="Arial"/>
          <w:sz w:val="24"/>
          <w:szCs w:val="24"/>
        </w:rPr>
        <w:t xml:space="preserve"> (2021), for instance, underscore the emotional intensity and relational changes that take place throughout therapy by describing how families in MFT described the process as "breaking down the wall." Adolescents frequently believed they were following "somebody else's roadmap," according to Conti et al. (2017), highlighting conflicts between treatment structure and their own independence. Research like Medway et al. (2019)</w:t>
      </w:r>
      <w:r w:rsidR="009836A9">
        <w:rPr>
          <w:rFonts w:ascii="Arial" w:hAnsi="Arial" w:cs="Arial"/>
          <w:sz w:val="24"/>
          <w:szCs w:val="24"/>
        </w:rPr>
        <w:t>,</w:t>
      </w:r>
      <w:r w:rsidRPr="00256ACC">
        <w:rPr>
          <w:rFonts w:ascii="Arial" w:hAnsi="Arial" w:cs="Arial"/>
          <w:sz w:val="24"/>
          <w:szCs w:val="24"/>
        </w:rPr>
        <w:t xml:space="preserve"> and Coopey and Johnson (2022) sheds more light on how young people navigate identity, autonomy, and developmental needs in highly structured family-centred treatments. While Nilsen et al. (2021) examine how family members reflect on the difficulties and changes related to inpatient family-based programs, more recent research, such as Gao et al. (2025), emphasises the perspectives of teenagers on FBT.</w:t>
      </w:r>
    </w:p>
    <w:p w14:paraId="1908F72C" w14:textId="77777777" w:rsidR="00C42B4A" w:rsidRDefault="007D10C5" w:rsidP="00256ACC">
      <w:pPr>
        <w:spacing w:line="276" w:lineRule="auto"/>
        <w:rPr>
          <w:rFonts w:ascii="Arial" w:hAnsi="Arial" w:cs="Arial"/>
          <w:sz w:val="24"/>
          <w:szCs w:val="24"/>
        </w:rPr>
      </w:pPr>
      <w:r w:rsidRPr="00256ACC">
        <w:rPr>
          <w:rFonts w:ascii="Arial" w:hAnsi="Arial" w:cs="Arial"/>
          <w:sz w:val="24"/>
          <w:szCs w:val="24"/>
        </w:rPr>
        <w:t xml:space="preserve">The perspectives of teenagers, parents, and families in both FBT and MFT contexts are currently </w:t>
      </w:r>
      <w:r w:rsidR="002E2ABD">
        <w:rPr>
          <w:rFonts w:ascii="Arial" w:hAnsi="Arial" w:cs="Arial"/>
          <w:sz w:val="24"/>
          <w:szCs w:val="24"/>
        </w:rPr>
        <w:t>limited</w:t>
      </w:r>
      <w:r w:rsidRPr="00256ACC">
        <w:rPr>
          <w:rFonts w:ascii="Arial" w:hAnsi="Arial" w:cs="Arial"/>
          <w:sz w:val="24"/>
          <w:szCs w:val="24"/>
        </w:rPr>
        <w:t>, despite the fact that these studies provide extensive narratives</w:t>
      </w:r>
      <w:r w:rsidR="002E2ABD">
        <w:rPr>
          <w:rFonts w:ascii="Arial" w:hAnsi="Arial" w:cs="Arial"/>
          <w:sz w:val="24"/>
          <w:szCs w:val="24"/>
        </w:rPr>
        <w:t xml:space="preserve"> from </w:t>
      </w:r>
      <w:r w:rsidR="00C42B4A">
        <w:rPr>
          <w:rFonts w:ascii="Arial" w:hAnsi="Arial" w:cs="Arial"/>
          <w:sz w:val="24"/>
          <w:szCs w:val="24"/>
        </w:rPr>
        <w:t>those at the forefront</w:t>
      </w:r>
      <w:r w:rsidRPr="00256ACC">
        <w:rPr>
          <w:rFonts w:ascii="Arial" w:hAnsi="Arial" w:cs="Arial"/>
          <w:sz w:val="24"/>
          <w:szCs w:val="24"/>
        </w:rPr>
        <w:t xml:space="preserve">. </w:t>
      </w:r>
    </w:p>
    <w:p w14:paraId="3CE8DCA0" w14:textId="729DC4CA" w:rsidR="00CD74F3" w:rsidRDefault="006E6C8E" w:rsidP="00256ACC">
      <w:pPr>
        <w:spacing w:line="276" w:lineRule="auto"/>
        <w:rPr>
          <w:rFonts w:ascii="Arial" w:hAnsi="Arial" w:cs="Arial"/>
          <w:sz w:val="24"/>
          <w:szCs w:val="24"/>
        </w:rPr>
      </w:pPr>
      <w:r w:rsidRPr="006E6C8E">
        <w:rPr>
          <w:rFonts w:ascii="Arial" w:hAnsi="Arial" w:cs="Arial"/>
          <w:sz w:val="24"/>
          <w:szCs w:val="24"/>
        </w:rPr>
        <w:t>The review uses the CASP Qualitative Checklist to evaluate study quality and adheres to PRISMA-P recommendations</w:t>
      </w:r>
      <w:r w:rsidR="005F7E84">
        <w:rPr>
          <w:rFonts w:ascii="Arial" w:hAnsi="Arial" w:cs="Arial"/>
          <w:sz w:val="24"/>
          <w:szCs w:val="24"/>
        </w:rPr>
        <w:t>.</w:t>
      </w:r>
      <w:r w:rsidRPr="006E6C8E">
        <w:rPr>
          <w:rFonts w:ascii="Arial" w:hAnsi="Arial" w:cs="Arial"/>
          <w:sz w:val="24"/>
          <w:szCs w:val="24"/>
        </w:rPr>
        <w:t xml:space="preserve"> (</w:t>
      </w:r>
      <w:proofErr w:type="spellStart"/>
      <w:r w:rsidRPr="006E6C8E">
        <w:rPr>
          <w:rFonts w:ascii="Arial" w:hAnsi="Arial" w:cs="Arial"/>
          <w:sz w:val="24"/>
          <w:szCs w:val="24"/>
        </w:rPr>
        <w:t>Shamseer</w:t>
      </w:r>
      <w:proofErr w:type="spellEnd"/>
      <w:r w:rsidRPr="006E6C8E">
        <w:rPr>
          <w:rFonts w:ascii="Arial" w:hAnsi="Arial" w:cs="Arial"/>
          <w:sz w:val="24"/>
          <w:szCs w:val="24"/>
        </w:rPr>
        <w:t xml:space="preserve"> et al., 2015) to guarantee transparency and methodological rigour.</w:t>
      </w:r>
    </w:p>
    <w:p w14:paraId="7927796F" w14:textId="707F7245" w:rsidR="00135287" w:rsidRDefault="00135287" w:rsidP="00256ACC">
      <w:pPr>
        <w:spacing w:line="276" w:lineRule="auto"/>
        <w:rPr>
          <w:rFonts w:ascii="Arial" w:hAnsi="Arial" w:cs="Arial"/>
          <w:sz w:val="24"/>
          <w:szCs w:val="24"/>
        </w:rPr>
      </w:pPr>
      <w:r w:rsidRPr="00135287">
        <w:rPr>
          <w:rFonts w:ascii="Arial" w:hAnsi="Arial" w:cs="Arial"/>
          <w:sz w:val="24"/>
          <w:szCs w:val="24"/>
        </w:rPr>
        <w:t>The purpose of this systematic literature review is to synthesise qualitative data regarding the lived experiences of teenagers, parents, and families taking part in multi-family therapy (MFT) and family-based treatment (FBT) for anorexia nervosa. The review aims to identify therapeutic facilitators and barriers, highlight common patterns, and provide a deeper understanding of how therapies are experienced by those most directly involved by integrating findings from six peer-reviewed studies.</w:t>
      </w:r>
    </w:p>
    <w:p w14:paraId="24568B56" w14:textId="0EE4C35D" w:rsidR="00251348" w:rsidRPr="00256ACC" w:rsidRDefault="00251348" w:rsidP="00256ACC">
      <w:pPr>
        <w:spacing w:line="276" w:lineRule="auto"/>
        <w:rPr>
          <w:rFonts w:ascii="Arial" w:hAnsi="Arial" w:cs="Arial"/>
          <w:sz w:val="24"/>
          <w:szCs w:val="24"/>
          <w:u w:val="single"/>
        </w:rPr>
      </w:pPr>
      <w:r w:rsidRPr="00256ACC">
        <w:rPr>
          <w:rFonts w:ascii="Arial" w:hAnsi="Arial" w:cs="Arial"/>
          <w:sz w:val="24"/>
          <w:szCs w:val="24"/>
          <w:u w:val="single"/>
        </w:rPr>
        <w:t>Methods</w:t>
      </w:r>
    </w:p>
    <w:p w14:paraId="272C1891" w14:textId="77777777" w:rsidR="00251348" w:rsidRPr="00256ACC" w:rsidRDefault="00251348" w:rsidP="00256ACC">
      <w:pPr>
        <w:spacing w:line="276" w:lineRule="auto"/>
        <w:rPr>
          <w:rFonts w:ascii="Arial" w:hAnsi="Arial" w:cs="Arial"/>
          <w:i/>
          <w:iCs/>
          <w:sz w:val="24"/>
          <w:szCs w:val="24"/>
        </w:rPr>
      </w:pPr>
      <w:r w:rsidRPr="00256ACC">
        <w:rPr>
          <w:rFonts w:ascii="Arial" w:hAnsi="Arial" w:cs="Arial"/>
          <w:i/>
          <w:iCs/>
          <w:sz w:val="24"/>
          <w:szCs w:val="24"/>
        </w:rPr>
        <w:t>The Search Process</w:t>
      </w:r>
    </w:p>
    <w:p w14:paraId="61B74099"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 xml:space="preserve">In order to conduct a thorough examination of the literature, eight electronic databases were selected for use. A database search of published literature dating from January 2016 to April 2026 was conducted. Seven electronic databases were </w:t>
      </w:r>
      <w:r w:rsidRPr="00256ACC">
        <w:rPr>
          <w:rFonts w:ascii="Arial" w:hAnsi="Arial" w:cs="Arial"/>
          <w:sz w:val="24"/>
          <w:szCs w:val="24"/>
        </w:rPr>
        <w:lastRenderedPageBreak/>
        <w:t xml:space="preserve">selected for this purpose: ScienceDirect, JSTOR, ProQuest, PsycINFO, </w:t>
      </w:r>
      <w:proofErr w:type="spellStart"/>
      <w:r w:rsidRPr="00256ACC">
        <w:rPr>
          <w:rFonts w:ascii="Arial" w:hAnsi="Arial" w:cs="Arial"/>
          <w:sz w:val="24"/>
          <w:szCs w:val="24"/>
        </w:rPr>
        <w:t>PsycARTICLES</w:t>
      </w:r>
      <w:proofErr w:type="spellEnd"/>
      <w:r w:rsidRPr="00256ACC">
        <w:rPr>
          <w:rFonts w:ascii="Arial" w:hAnsi="Arial" w:cs="Arial"/>
          <w:sz w:val="24"/>
          <w:szCs w:val="24"/>
        </w:rPr>
        <w:t>, EBSCOhost, and Google Scholar.</w:t>
      </w:r>
    </w:p>
    <w:p w14:paraId="4E362A30"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Search terms were developed using Boolean operators and truncations to maximise retrieval. Core search strings included combinations of: “eating disorder” OR “anorexia nervosa” OR “bulimia nervosa”* “family therapy” OR “family-based treatment” OR “Maudsley” OR “multifamily therapy” “experience” OR “perception*” OR “lived experience” OR “qualitative”* “adolescent” OR “young people” OR “child*”*</w:t>
      </w:r>
    </w:p>
    <w:p w14:paraId="26EF09F1" w14:textId="41B6413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Reference lists of included papers were also hand-searched to identify any additional relevant studies. Grey literature was excluded because the review focused on peer-reviewed empirical evidence.</w:t>
      </w:r>
    </w:p>
    <w:p w14:paraId="3B5D1ECB" w14:textId="77777777" w:rsidR="00251348" w:rsidRPr="00256ACC" w:rsidRDefault="00251348" w:rsidP="00256ACC">
      <w:pPr>
        <w:spacing w:line="276" w:lineRule="auto"/>
        <w:rPr>
          <w:rFonts w:ascii="Arial" w:hAnsi="Arial" w:cs="Arial"/>
          <w:sz w:val="24"/>
          <w:szCs w:val="24"/>
          <w:u w:val="single"/>
        </w:rPr>
      </w:pPr>
      <w:r w:rsidRPr="00256ACC">
        <w:rPr>
          <w:rFonts w:ascii="Arial" w:hAnsi="Arial" w:cs="Arial"/>
          <w:sz w:val="24"/>
          <w:szCs w:val="24"/>
          <w:u w:val="single"/>
        </w:rPr>
        <w:t>Inclusion and Exclusion Criteria</w:t>
      </w:r>
    </w:p>
    <w:p w14:paraId="7E732D15"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Studies were selected according to predefined inclusion and exclusion criteria.</w:t>
      </w:r>
    </w:p>
    <w:p w14:paraId="23956894"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Inclusion criteria:</w:t>
      </w:r>
    </w:p>
    <w:p w14:paraId="35D9C99D"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Published between January 2016 – April 2026</w:t>
      </w:r>
    </w:p>
    <w:p w14:paraId="7F184953"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Peer-reviewed journal articles</w:t>
      </w:r>
    </w:p>
    <w:p w14:paraId="61C1E551"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Qualitative empirical design (e.g., interviews, focus groups, thematic analysis, IPA)</w:t>
      </w:r>
    </w:p>
    <w:p w14:paraId="6687517B"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Focus on family therapy / family-based interventions (including FBT, Maudsley, multifamily therapy)</w:t>
      </w:r>
    </w:p>
    <w:p w14:paraId="704DBB97"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Participants included young people with eating disorders and/or their families</w:t>
      </w:r>
    </w:p>
    <w:p w14:paraId="71227CE0" w14:textId="77777777" w:rsidR="00251348" w:rsidRPr="00256ACC" w:rsidRDefault="00251348" w:rsidP="00256ACC">
      <w:pPr>
        <w:pStyle w:val="ListParagraph"/>
        <w:numPr>
          <w:ilvl w:val="0"/>
          <w:numId w:val="1"/>
        </w:numPr>
        <w:spacing w:line="276" w:lineRule="auto"/>
        <w:rPr>
          <w:rFonts w:ascii="Arial" w:hAnsi="Arial" w:cs="Arial"/>
          <w:sz w:val="24"/>
          <w:szCs w:val="24"/>
        </w:rPr>
      </w:pPr>
      <w:r w:rsidRPr="00256ACC">
        <w:rPr>
          <w:rFonts w:ascii="Arial" w:hAnsi="Arial" w:cs="Arial"/>
          <w:sz w:val="24"/>
          <w:szCs w:val="24"/>
        </w:rPr>
        <w:t>English language publications</w:t>
      </w:r>
    </w:p>
    <w:p w14:paraId="531D824D"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Exclusion criteria:</w:t>
      </w:r>
    </w:p>
    <w:p w14:paraId="2E1CB797"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Quantitative-only studies</w:t>
      </w:r>
    </w:p>
    <w:p w14:paraId="1EBBD9C0"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Reviews, meta-analyses, editorials, or commentaries</w:t>
      </w:r>
    </w:p>
    <w:p w14:paraId="279D4F94"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Adult-only samples (unless family therapy is delivered within youth services)</w:t>
      </w:r>
    </w:p>
    <w:p w14:paraId="5902966A"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Studies not focused on treatment/intervention experience</w:t>
      </w:r>
    </w:p>
    <w:p w14:paraId="53513C72" w14:textId="77777777" w:rsidR="00251348" w:rsidRPr="00256ACC" w:rsidRDefault="00251348" w:rsidP="00256ACC">
      <w:pPr>
        <w:pStyle w:val="ListParagraph"/>
        <w:numPr>
          <w:ilvl w:val="0"/>
          <w:numId w:val="2"/>
        </w:numPr>
        <w:spacing w:line="276" w:lineRule="auto"/>
        <w:rPr>
          <w:rFonts w:ascii="Arial" w:hAnsi="Arial" w:cs="Arial"/>
          <w:sz w:val="24"/>
          <w:szCs w:val="24"/>
        </w:rPr>
      </w:pPr>
      <w:r w:rsidRPr="00256ACC">
        <w:rPr>
          <w:rFonts w:ascii="Arial" w:hAnsi="Arial" w:cs="Arial"/>
          <w:sz w:val="24"/>
          <w:szCs w:val="24"/>
        </w:rPr>
        <w:t>Non-peer-reviewed literature</w:t>
      </w:r>
    </w:p>
    <w:p w14:paraId="0DC9A6B2" w14:textId="576F4A7E"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Following screening, six papers met the inclusion criteria.</w:t>
      </w:r>
    </w:p>
    <w:p w14:paraId="314543A6" w14:textId="77777777" w:rsidR="00A52D87" w:rsidRPr="00256ACC" w:rsidRDefault="00A52D87" w:rsidP="00256ACC">
      <w:pPr>
        <w:spacing w:line="276" w:lineRule="auto"/>
        <w:rPr>
          <w:rFonts w:ascii="Arial" w:hAnsi="Arial" w:cs="Arial"/>
          <w:sz w:val="24"/>
          <w:szCs w:val="24"/>
        </w:rPr>
      </w:pPr>
    </w:p>
    <w:p w14:paraId="0C0CAD18" w14:textId="77777777" w:rsidR="00251348" w:rsidRPr="00256ACC" w:rsidRDefault="00251348" w:rsidP="00256ACC">
      <w:pPr>
        <w:spacing w:line="276" w:lineRule="auto"/>
        <w:rPr>
          <w:rFonts w:ascii="Arial" w:hAnsi="Arial" w:cs="Arial"/>
          <w:i/>
          <w:iCs/>
          <w:sz w:val="24"/>
          <w:szCs w:val="24"/>
        </w:rPr>
      </w:pPr>
      <w:r w:rsidRPr="00256ACC">
        <w:rPr>
          <w:rFonts w:ascii="Arial" w:hAnsi="Arial" w:cs="Arial"/>
          <w:i/>
          <w:iCs/>
          <w:sz w:val="24"/>
          <w:szCs w:val="24"/>
        </w:rPr>
        <w:t>Quality Assessment, Screening and Coding</w:t>
      </w:r>
    </w:p>
    <w:p w14:paraId="5D592E8F"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Screening followed a staged approach aligned with the guidance of systematic reviews.</w:t>
      </w:r>
    </w:p>
    <w:p w14:paraId="415C10AC"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Title screening - removal of clearly irrelevant studies</w:t>
      </w:r>
    </w:p>
    <w:p w14:paraId="03F85F78"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Abstract screening - assessment against inclusion criteria</w:t>
      </w:r>
    </w:p>
    <w:p w14:paraId="6A732EEC"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Full-text review - eligibility confirmation</w:t>
      </w:r>
    </w:p>
    <w:p w14:paraId="5FDBF3A4"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t>Quality appraisal - CASP checklist applied</w:t>
      </w:r>
    </w:p>
    <w:p w14:paraId="141EC79A" w14:textId="77777777" w:rsidR="00251348" w:rsidRPr="00256ACC" w:rsidRDefault="00251348" w:rsidP="00256ACC">
      <w:pPr>
        <w:pStyle w:val="ListParagraph"/>
        <w:numPr>
          <w:ilvl w:val="0"/>
          <w:numId w:val="3"/>
        </w:numPr>
        <w:spacing w:line="276" w:lineRule="auto"/>
        <w:rPr>
          <w:rFonts w:ascii="Arial" w:hAnsi="Arial" w:cs="Arial"/>
          <w:sz w:val="24"/>
          <w:szCs w:val="24"/>
        </w:rPr>
      </w:pPr>
      <w:r w:rsidRPr="00256ACC">
        <w:rPr>
          <w:rFonts w:ascii="Arial" w:hAnsi="Arial" w:cs="Arial"/>
          <w:sz w:val="24"/>
          <w:szCs w:val="24"/>
        </w:rPr>
        <w:lastRenderedPageBreak/>
        <w:t>Data extraction and coding - thematic synthesis preparation</w:t>
      </w:r>
    </w:p>
    <w:p w14:paraId="7BDC1D6F" w14:textId="77777777" w:rsidR="00251348" w:rsidRPr="00256ACC" w:rsidRDefault="00251348" w:rsidP="00256ACC">
      <w:pPr>
        <w:pStyle w:val="ListParagraph"/>
        <w:spacing w:line="276" w:lineRule="auto"/>
        <w:rPr>
          <w:rFonts w:ascii="Arial" w:hAnsi="Arial" w:cs="Arial"/>
          <w:sz w:val="24"/>
          <w:szCs w:val="24"/>
        </w:rPr>
      </w:pPr>
    </w:p>
    <w:p w14:paraId="466217E5"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The six studies included in the final synthesis are summarised below in Table 1.</w:t>
      </w:r>
    </w:p>
    <w:p w14:paraId="3C3B8DAC" w14:textId="77777777" w:rsidR="00251348" w:rsidRPr="00256ACC" w:rsidRDefault="00251348" w:rsidP="00256ACC">
      <w:pPr>
        <w:spacing w:line="276" w:lineRule="auto"/>
        <w:rPr>
          <w:rFonts w:ascii="Arial" w:hAnsi="Arial" w:cs="Arial"/>
          <w:sz w:val="24"/>
          <w:szCs w:val="24"/>
        </w:rPr>
      </w:pPr>
    </w:p>
    <w:p w14:paraId="53B6E563" w14:textId="77777777" w:rsidR="00251348" w:rsidRPr="00256ACC" w:rsidRDefault="00251348" w:rsidP="00256ACC">
      <w:pPr>
        <w:spacing w:line="276" w:lineRule="auto"/>
        <w:rPr>
          <w:rFonts w:ascii="Arial" w:hAnsi="Arial" w:cs="Arial"/>
          <w:sz w:val="24"/>
          <w:szCs w:val="24"/>
        </w:rPr>
      </w:pPr>
      <w:r w:rsidRPr="00256ACC">
        <w:rPr>
          <w:rFonts w:ascii="Arial" w:hAnsi="Arial" w:cs="Arial"/>
          <w:sz w:val="24"/>
          <w:szCs w:val="24"/>
        </w:rPr>
        <w:t>Table 1: Summary characteristics of studies reporting 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4"/>
        <w:gridCol w:w="994"/>
        <w:gridCol w:w="1708"/>
        <w:gridCol w:w="1753"/>
        <w:gridCol w:w="2697"/>
      </w:tblGrid>
      <w:tr w:rsidR="00251348" w:rsidRPr="00256ACC" w14:paraId="5D6D8A38" w14:textId="77777777" w:rsidTr="007B4C7B">
        <w:trPr>
          <w:tblHeader/>
          <w:tblCellSpacing w:w="15" w:type="dxa"/>
        </w:trPr>
        <w:tc>
          <w:tcPr>
            <w:tcW w:w="0" w:type="auto"/>
            <w:vAlign w:val="center"/>
            <w:hideMark/>
          </w:tcPr>
          <w:p w14:paraId="2A8AE20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Study</w:t>
            </w:r>
          </w:p>
        </w:tc>
        <w:tc>
          <w:tcPr>
            <w:tcW w:w="0" w:type="auto"/>
            <w:vAlign w:val="center"/>
            <w:hideMark/>
          </w:tcPr>
          <w:p w14:paraId="2D0D0E7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Country</w:t>
            </w:r>
          </w:p>
        </w:tc>
        <w:tc>
          <w:tcPr>
            <w:tcW w:w="0" w:type="auto"/>
            <w:vAlign w:val="center"/>
            <w:hideMark/>
          </w:tcPr>
          <w:p w14:paraId="68EFC2DD"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Study Design</w:t>
            </w:r>
          </w:p>
        </w:tc>
        <w:tc>
          <w:tcPr>
            <w:tcW w:w="0" w:type="auto"/>
            <w:vAlign w:val="center"/>
            <w:hideMark/>
          </w:tcPr>
          <w:p w14:paraId="511392DE"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Data Collection Method</w:t>
            </w:r>
          </w:p>
        </w:tc>
        <w:tc>
          <w:tcPr>
            <w:tcW w:w="0" w:type="auto"/>
            <w:vAlign w:val="center"/>
            <w:hideMark/>
          </w:tcPr>
          <w:p w14:paraId="76F62EC7"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Sample</w:t>
            </w:r>
          </w:p>
        </w:tc>
      </w:tr>
      <w:tr w:rsidR="00251348" w:rsidRPr="00256ACC" w14:paraId="08115604" w14:textId="77777777" w:rsidTr="007B4C7B">
        <w:trPr>
          <w:tblCellSpacing w:w="15" w:type="dxa"/>
        </w:trPr>
        <w:tc>
          <w:tcPr>
            <w:tcW w:w="0" w:type="auto"/>
            <w:vAlign w:val="center"/>
            <w:hideMark/>
          </w:tcPr>
          <w:p w14:paraId="4E5C5EFC" w14:textId="77777777" w:rsidR="00251348" w:rsidRPr="00256ACC" w:rsidRDefault="00251348" w:rsidP="00256ACC">
            <w:pPr>
              <w:spacing w:after="0" w:line="276" w:lineRule="auto"/>
              <w:rPr>
                <w:rFonts w:ascii="Arial" w:eastAsia="Times New Roman" w:hAnsi="Arial" w:cs="Arial"/>
                <w:kern w:val="0"/>
                <w:sz w:val="24"/>
                <w:szCs w:val="24"/>
                <w14:ligatures w14:val="none"/>
              </w:rPr>
            </w:pPr>
            <w:proofErr w:type="spellStart"/>
            <w:r w:rsidRPr="00256ACC">
              <w:rPr>
                <w:rFonts w:ascii="Arial" w:eastAsia="Times New Roman" w:hAnsi="Arial" w:cs="Arial"/>
                <w:kern w:val="0"/>
                <w:sz w:val="24"/>
                <w:szCs w:val="24"/>
                <w14:ligatures w14:val="none"/>
              </w:rPr>
              <w:t>Brinchmann</w:t>
            </w:r>
            <w:proofErr w:type="spellEnd"/>
            <w:r w:rsidRPr="00256ACC">
              <w:rPr>
                <w:rFonts w:ascii="Arial" w:eastAsia="Times New Roman" w:hAnsi="Arial" w:cs="Arial"/>
                <w:kern w:val="0"/>
                <w:sz w:val="24"/>
                <w:szCs w:val="24"/>
                <w14:ligatures w14:val="none"/>
              </w:rPr>
              <w:t xml:space="preserve"> &amp; </w:t>
            </w:r>
            <w:proofErr w:type="spellStart"/>
            <w:r w:rsidRPr="00256ACC">
              <w:rPr>
                <w:rFonts w:ascii="Arial" w:eastAsia="Times New Roman" w:hAnsi="Arial" w:cs="Arial"/>
                <w:kern w:val="0"/>
                <w:sz w:val="24"/>
                <w:szCs w:val="24"/>
                <w14:ligatures w14:val="none"/>
              </w:rPr>
              <w:t>Krvavac</w:t>
            </w:r>
            <w:proofErr w:type="spellEnd"/>
            <w:r w:rsidRPr="00256ACC">
              <w:rPr>
                <w:rFonts w:ascii="Arial" w:eastAsia="Times New Roman" w:hAnsi="Arial" w:cs="Arial"/>
                <w:kern w:val="0"/>
                <w:sz w:val="24"/>
                <w:szCs w:val="24"/>
                <w14:ligatures w14:val="none"/>
              </w:rPr>
              <w:t xml:space="preserve"> (2021)</w:t>
            </w:r>
          </w:p>
        </w:tc>
        <w:tc>
          <w:tcPr>
            <w:tcW w:w="0" w:type="auto"/>
            <w:vAlign w:val="center"/>
            <w:hideMark/>
          </w:tcPr>
          <w:p w14:paraId="48B4BED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Norway</w:t>
            </w:r>
          </w:p>
        </w:tc>
        <w:tc>
          <w:tcPr>
            <w:tcW w:w="0" w:type="auto"/>
            <w:vAlign w:val="center"/>
            <w:hideMark/>
          </w:tcPr>
          <w:p w14:paraId="5909268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w:t>
            </w:r>
          </w:p>
        </w:tc>
        <w:tc>
          <w:tcPr>
            <w:tcW w:w="0" w:type="auto"/>
            <w:vAlign w:val="center"/>
            <w:hideMark/>
          </w:tcPr>
          <w:p w14:paraId="4F17D14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Semi-structured interviews</w:t>
            </w:r>
          </w:p>
        </w:tc>
        <w:tc>
          <w:tcPr>
            <w:tcW w:w="0" w:type="auto"/>
            <w:vAlign w:val="center"/>
            <w:hideMark/>
          </w:tcPr>
          <w:p w14:paraId="5FC4482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Young adult women + families in multifamily therapy</w:t>
            </w:r>
          </w:p>
        </w:tc>
      </w:tr>
      <w:tr w:rsidR="00251348" w:rsidRPr="00256ACC" w14:paraId="34CA3212" w14:textId="77777777" w:rsidTr="007B4C7B">
        <w:trPr>
          <w:tblCellSpacing w:w="15" w:type="dxa"/>
        </w:trPr>
        <w:tc>
          <w:tcPr>
            <w:tcW w:w="0" w:type="auto"/>
            <w:vAlign w:val="center"/>
            <w:hideMark/>
          </w:tcPr>
          <w:p w14:paraId="1C1D9A5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Conti et al. (2017)</w:t>
            </w:r>
          </w:p>
        </w:tc>
        <w:tc>
          <w:tcPr>
            <w:tcW w:w="0" w:type="auto"/>
            <w:vAlign w:val="center"/>
            <w:hideMark/>
          </w:tcPr>
          <w:p w14:paraId="36B7C37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Australia</w:t>
            </w:r>
          </w:p>
        </w:tc>
        <w:tc>
          <w:tcPr>
            <w:tcW w:w="0" w:type="auto"/>
            <w:vAlign w:val="center"/>
            <w:hideMark/>
          </w:tcPr>
          <w:p w14:paraId="42D38D3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w:t>
            </w:r>
          </w:p>
        </w:tc>
        <w:tc>
          <w:tcPr>
            <w:tcW w:w="0" w:type="auto"/>
            <w:vAlign w:val="center"/>
            <w:hideMark/>
          </w:tcPr>
          <w:p w14:paraId="48DD6C05"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In-depth interviews</w:t>
            </w:r>
          </w:p>
        </w:tc>
        <w:tc>
          <w:tcPr>
            <w:tcW w:w="0" w:type="auto"/>
            <w:vAlign w:val="center"/>
            <w:hideMark/>
          </w:tcPr>
          <w:p w14:paraId="7185CB0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Adolescents with AN receiving Maudsley/FBT</w:t>
            </w:r>
          </w:p>
        </w:tc>
      </w:tr>
      <w:tr w:rsidR="00251348" w:rsidRPr="00256ACC" w14:paraId="1027A12F" w14:textId="77777777" w:rsidTr="007B4C7B">
        <w:trPr>
          <w:tblCellSpacing w:w="15" w:type="dxa"/>
        </w:trPr>
        <w:tc>
          <w:tcPr>
            <w:tcW w:w="0" w:type="auto"/>
            <w:vAlign w:val="center"/>
            <w:hideMark/>
          </w:tcPr>
          <w:p w14:paraId="4BEF994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Coopey &amp; Johnson (2022)</w:t>
            </w:r>
          </w:p>
        </w:tc>
        <w:tc>
          <w:tcPr>
            <w:tcW w:w="0" w:type="auto"/>
            <w:vAlign w:val="center"/>
            <w:hideMark/>
          </w:tcPr>
          <w:p w14:paraId="41D92B1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UK</w:t>
            </w:r>
          </w:p>
        </w:tc>
        <w:tc>
          <w:tcPr>
            <w:tcW w:w="0" w:type="auto"/>
            <w:vAlign w:val="center"/>
            <w:hideMark/>
          </w:tcPr>
          <w:p w14:paraId="4356DE75"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w:t>
            </w:r>
          </w:p>
        </w:tc>
        <w:tc>
          <w:tcPr>
            <w:tcW w:w="0" w:type="auto"/>
            <w:vAlign w:val="center"/>
            <w:hideMark/>
          </w:tcPr>
          <w:p w14:paraId="76A104D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Interviews</w:t>
            </w:r>
          </w:p>
        </w:tc>
        <w:tc>
          <w:tcPr>
            <w:tcW w:w="0" w:type="auto"/>
            <w:vAlign w:val="center"/>
            <w:hideMark/>
          </w:tcPr>
          <w:p w14:paraId="1A42CFB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Young people in inpatient FT &amp; MFT</w:t>
            </w:r>
          </w:p>
        </w:tc>
      </w:tr>
      <w:tr w:rsidR="00251348" w:rsidRPr="00256ACC" w14:paraId="78F9D392" w14:textId="77777777" w:rsidTr="007B4C7B">
        <w:trPr>
          <w:tblCellSpacing w:w="15" w:type="dxa"/>
        </w:trPr>
        <w:tc>
          <w:tcPr>
            <w:tcW w:w="0" w:type="auto"/>
            <w:vAlign w:val="center"/>
            <w:hideMark/>
          </w:tcPr>
          <w:p w14:paraId="5B5F4BA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Gao et al. (2025)</w:t>
            </w:r>
          </w:p>
        </w:tc>
        <w:tc>
          <w:tcPr>
            <w:tcW w:w="0" w:type="auto"/>
            <w:vAlign w:val="center"/>
            <w:hideMark/>
          </w:tcPr>
          <w:p w14:paraId="71E6661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USA</w:t>
            </w:r>
          </w:p>
        </w:tc>
        <w:tc>
          <w:tcPr>
            <w:tcW w:w="0" w:type="auto"/>
            <w:vAlign w:val="center"/>
            <w:hideMark/>
          </w:tcPr>
          <w:p w14:paraId="2EE7561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 pilot study</w:t>
            </w:r>
          </w:p>
        </w:tc>
        <w:tc>
          <w:tcPr>
            <w:tcW w:w="0" w:type="auto"/>
            <w:vAlign w:val="center"/>
            <w:hideMark/>
          </w:tcPr>
          <w:p w14:paraId="7BDDE8F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Semi-structured interviews</w:t>
            </w:r>
          </w:p>
        </w:tc>
        <w:tc>
          <w:tcPr>
            <w:tcW w:w="0" w:type="auto"/>
            <w:vAlign w:val="center"/>
            <w:hideMark/>
          </w:tcPr>
          <w:p w14:paraId="0B3E882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Adolescents receiving FBT</w:t>
            </w:r>
          </w:p>
        </w:tc>
      </w:tr>
      <w:tr w:rsidR="00251348" w:rsidRPr="00256ACC" w14:paraId="46083AD9" w14:textId="77777777" w:rsidTr="007B4C7B">
        <w:trPr>
          <w:tblCellSpacing w:w="15" w:type="dxa"/>
        </w:trPr>
        <w:tc>
          <w:tcPr>
            <w:tcW w:w="0" w:type="auto"/>
            <w:vAlign w:val="center"/>
            <w:hideMark/>
          </w:tcPr>
          <w:p w14:paraId="233689F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Medway et al. (2019)</w:t>
            </w:r>
          </w:p>
        </w:tc>
        <w:tc>
          <w:tcPr>
            <w:tcW w:w="0" w:type="auto"/>
            <w:vAlign w:val="center"/>
            <w:hideMark/>
          </w:tcPr>
          <w:p w14:paraId="7E57A15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Australia</w:t>
            </w:r>
          </w:p>
        </w:tc>
        <w:tc>
          <w:tcPr>
            <w:tcW w:w="0" w:type="auto"/>
            <w:vAlign w:val="center"/>
            <w:hideMark/>
          </w:tcPr>
          <w:p w14:paraId="02D68EC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 narrative study</w:t>
            </w:r>
          </w:p>
        </w:tc>
        <w:tc>
          <w:tcPr>
            <w:tcW w:w="0" w:type="auto"/>
            <w:vAlign w:val="center"/>
            <w:hideMark/>
          </w:tcPr>
          <w:p w14:paraId="7C305D6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Interviews</w:t>
            </w:r>
          </w:p>
        </w:tc>
        <w:tc>
          <w:tcPr>
            <w:tcW w:w="0" w:type="auto"/>
            <w:vAlign w:val="center"/>
            <w:hideMark/>
          </w:tcPr>
          <w:p w14:paraId="667C34F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Adolescents + parents in FBT</w:t>
            </w:r>
          </w:p>
        </w:tc>
      </w:tr>
      <w:tr w:rsidR="00251348" w:rsidRPr="00256ACC" w14:paraId="1510F9CB" w14:textId="77777777" w:rsidTr="007B4C7B">
        <w:trPr>
          <w:tblCellSpacing w:w="15" w:type="dxa"/>
        </w:trPr>
        <w:tc>
          <w:tcPr>
            <w:tcW w:w="0" w:type="auto"/>
            <w:vAlign w:val="center"/>
            <w:hideMark/>
          </w:tcPr>
          <w:p w14:paraId="44C6783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Nilsen et al. (2021)</w:t>
            </w:r>
          </w:p>
        </w:tc>
        <w:tc>
          <w:tcPr>
            <w:tcW w:w="0" w:type="auto"/>
            <w:vAlign w:val="center"/>
            <w:hideMark/>
          </w:tcPr>
          <w:p w14:paraId="0CFF9B1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Norway</w:t>
            </w:r>
          </w:p>
        </w:tc>
        <w:tc>
          <w:tcPr>
            <w:tcW w:w="0" w:type="auto"/>
            <w:vAlign w:val="center"/>
            <w:hideMark/>
          </w:tcPr>
          <w:p w14:paraId="44EDC6E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Qualitative thematic analysis</w:t>
            </w:r>
          </w:p>
        </w:tc>
        <w:tc>
          <w:tcPr>
            <w:tcW w:w="0" w:type="auto"/>
            <w:vAlign w:val="center"/>
            <w:hideMark/>
          </w:tcPr>
          <w:p w14:paraId="70F3737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Family interviews / reflections</w:t>
            </w:r>
          </w:p>
        </w:tc>
        <w:tc>
          <w:tcPr>
            <w:tcW w:w="0" w:type="auto"/>
            <w:vAlign w:val="center"/>
            <w:hideMark/>
          </w:tcPr>
          <w:p w14:paraId="46A0776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Families in inpatient FBT programme</w:t>
            </w:r>
          </w:p>
        </w:tc>
      </w:tr>
    </w:tbl>
    <w:p w14:paraId="474B98A4" w14:textId="77777777" w:rsidR="00251348" w:rsidRPr="00256ACC" w:rsidRDefault="00251348" w:rsidP="00256ACC">
      <w:pPr>
        <w:spacing w:after="0" w:line="276" w:lineRule="auto"/>
        <w:rPr>
          <w:rFonts w:ascii="Arial" w:eastAsia="Times New Roman" w:hAnsi="Arial" w:cs="Arial"/>
          <w:kern w:val="0"/>
          <w:sz w:val="24"/>
          <w:szCs w:val="24"/>
          <w14:ligatures w14:val="none"/>
        </w:rPr>
      </w:pPr>
    </w:p>
    <w:p w14:paraId="3A2BB8C0" w14:textId="77777777" w:rsidR="00251348" w:rsidRPr="00256ACC" w:rsidRDefault="00251348" w:rsidP="00256ACC">
      <w:pPr>
        <w:spacing w:after="0" w:line="276" w:lineRule="auto"/>
        <w:rPr>
          <w:rFonts w:ascii="Arial" w:eastAsia="Times New Roman" w:hAnsi="Arial" w:cs="Arial"/>
          <w:kern w:val="0"/>
          <w:sz w:val="24"/>
          <w:szCs w:val="24"/>
          <w14:ligatures w14:val="none"/>
        </w:rPr>
      </w:pPr>
    </w:p>
    <w:p w14:paraId="3A5B6A2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600524AD" w14:textId="77777777" w:rsidR="00251348" w:rsidRPr="00256ACC" w:rsidRDefault="00251348" w:rsidP="00256ACC">
      <w:pPr>
        <w:spacing w:before="100" w:beforeAutospacing="1" w:after="100" w:afterAutospacing="1" w:line="276" w:lineRule="auto"/>
        <w:outlineLvl w:val="1"/>
        <w:rPr>
          <w:rFonts w:ascii="Arial" w:eastAsia="Times New Roman" w:hAnsi="Arial" w:cs="Arial"/>
          <w:b/>
          <w:bCs/>
          <w:kern w:val="0"/>
          <w:sz w:val="24"/>
          <w:szCs w:val="24"/>
          <w14:ligatures w14:val="none"/>
        </w:rPr>
      </w:pPr>
      <w:r w:rsidRPr="00256ACC">
        <w:rPr>
          <w:rFonts w:ascii="Arial" w:eastAsia="Times New Roman" w:hAnsi="Arial" w:cs="Arial"/>
          <w:kern w:val="0"/>
          <w:sz w:val="24"/>
          <w:szCs w:val="24"/>
          <w14:ligatures w14:val="none"/>
        </w:rPr>
        <w:t xml:space="preserve">Table 2: 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5"/>
        <w:gridCol w:w="473"/>
        <w:gridCol w:w="1086"/>
        <w:gridCol w:w="802"/>
        <w:gridCol w:w="1022"/>
        <w:gridCol w:w="857"/>
        <w:gridCol w:w="884"/>
        <w:gridCol w:w="600"/>
        <w:gridCol w:w="738"/>
        <w:gridCol w:w="746"/>
        <w:gridCol w:w="863"/>
      </w:tblGrid>
      <w:tr w:rsidR="00251348" w:rsidRPr="00256ACC" w14:paraId="55E88101" w14:textId="77777777" w:rsidTr="007B4C7B">
        <w:trPr>
          <w:tblHeader/>
          <w:tblCellSpacing w:w="15" w:type="dxa"/>
        </w:trPr>
        <w:tc>
          <w:tcPr>
            <w:tcW w:w="0" w:type="auto"/>
            <w:vAlign w:val="center"/>
            <w:hideMark/>
          </w:tcPr>
          <w:p w14:paraId="405CE30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Study</w:t>
            </w:r>
          </w:p>
        </w:tc>
        <w:tc>
          <w:tcPr>
            <w:tcW w:w="0" w:type="auto"/>
            <w:vAlign w:val="center"/>
            <w:hideMark/>
          </w:tcPr>
          <w:p w14:paraId="467D7541"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Clear Aims</w:t>
            </w:r>
          </w:p>
        </w:tc>
        <w:tc>
          <w:tcPr>
            <w:tcW w:w="0" w:type="auto"/>
            <w:vAlign w:val="center"/>
            <w:hideMark/>
          </w:tcPr>
          <w:p w14:paraId="56081AED"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Appropriate Methodology</w:t>
            </w:r>
          </w:p>
        </w:tc>
        <w:tc>
          <w:tcPr>
            <w:tcW w:w="0" w:type="auto"/>
            <w:vAlign w:val="center"/>
            <w:hideMark/>
          </w:tcPr>
          <w:p w14:paraId="0FFDC78C"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Research Design</w:t>
            </w:r>
          </w:p>
        </w:tc>
        <w:tc>
          <w:tcPr>
            <w:tcW w:w="0" w:type="auto"/>
            <w:vAlign w:val="center"/>
            <w:hideMark/>
          </w:tcPr>
          <w:p w14:paraId="15DD0A59"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Recruitment Strategy</w:t>
            </w:r>
          </w:p>
        </w:tc>
        <w:tc>
          <w:tcPr>
            <w:tcW w:w="0" w:type="auto"/>
            <w:vAlign w:val="center"/>
            <w:hideMark/>
          </w:tcPr>
          <w:p w14:paraId="5BE2AC8E"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Data Collection</w:t>
            </w:r>
          </w:p>
        </w:tc>
        <w:tc>
          <w:tcPr>
            <w:tcW w:w="0" w:type="auto"/>
            <w:vAlign w:val="center"/>
            <w:hideMark/>
          </w:tcPr>
          <w:p w14:paraId="2202B494"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Reflexivity</w:t>
            </w:r>
          </w:p>
        </w:tc>
        <w:tc>
          <w:tcPr>
            <w:tcW w:w="0" w:type="auto"/>
            <w:vAlign w:val="center"/>
            <w:hideMark/>
          </w:tcPr>
          <w:p w14:paraId="5CD6684E"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Ethical Issues</w:t>
            </w:r>
          </w:p>
        </w:tc>
        <w:tc>
          <w:tcPr>
            <w:tcW w:w="0" w:type="auto"/>
            <w:vAlign w:val="center"/>
            <w:hideMark/>
          </w:tcPr>
          <w:p w14:paraId="286C70AC"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Data Analysis</w:t>
            </w:r>
          </w:p>
        </w:tc>
        <w:tc>
          <w:tcPr>
            <w:tcW w:w="0" w:type="auto"/>
            <w:vAlign w:val="center"/>
            <w:hideMark/>
          </w:tcPr>
          <w:p w14:paraId="632B4562"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Findings Clear</w:t>
            </w:r>
          </w:p>
        </w:tc>
        <w:tc>
          <w:tcPr>
            <w:tcW w:w="0" w:type="auto"/>
            <w:vAlign w:val="center"/>
            <w:hideMark/>
          </w:tcPr>
          <w:p w14:paraId="0E11A4B6" w14:textId="77777777" w:rsidR="00251348" w:rsidRPr="00256ACC" w:rsidRDefault="00251348" w:rsidP="00256ACC">
            <w:pPr>
              <w:spacing w:after="0" w:line="276" w:lineRule="auto"/>
              <w:jc w:val="center"/>
              <w:rPr>
                <w:rFonts w:ascii="Arial" w:eastAsia="Times New Roman" w:hAnsi="Arial" w:cs="Arial"/>
                <w:b/>
                <w:bCs/>
                <w:kern w:val="0"/>
                <w:sz w:val="24"/>
                <w:szCs w:val="24"/>
                <w14:ligatures w14:val="none"/>
              </w:rPr>
            </w:pPr>
            <w:r w:rsidRPr="00256ACC">
              <w:rPr>
                <w:rFonts w:ascii="Arial" w:eastAsia="Times New Roman" w:hAnsi="Arial" w:cs="Arial"/>
                <w:b/>
                <w:bCs/>
                <w:kern w:val="0"/>
                <w:sz w:val="24"/>
                <w:szCs w:val="24"/>
                <w14:ligatures w14:val="none"/>
              </w:rPr>
              <w:t>Value</w:t>
            </w:r>
          </w:p>
        </w:tc>
      </w:tr>
      <w:tr w:rsidR="00251348" w:rsidRPr="00256ACC" w14:paraId="561C693E" w14:textId="77777777" w:rsidTr="007B4C7B">
        <w:trPr>
          <w:tblCellSpacing w:w="15" w:type="dxa"/>
        </w:trPr>
        <w:tc>
          <w:tcPr>
            <w:tcW w:w="0" w:type="auto"/>
            <w:vAlign w:val="center"/>
            <w:hideMark/>
          </w:tcPr>
          <w:p w14:paraId="53A9E79E" w14:textId="77777777" w:rsidR="00251348" w:rsidRPr="00256ACC" w:rsidRDefault="00251348" w:rsidP="00256ACC">
            <w:pPr>
              <w:spacing w:after="0" w:line="276" w:lineRule="auto"/>
              <w:rPr>
                <w:rFonts w:ascii="Arial" w:eastAsia="Times New Roman" w:hAnsi="Arial" w:cs="Arial"/>
                <w:kern w:val="0"/>
                <w:sz w:val="24"/>
                <w:szCs w:val="24"/>
                <w14:ligatures w14:val="none"/>
              </w:rPr>
            </w:pPr>
            <w:proofErr w:type="spellStart"/>
            <w:r w:rsidRPr="00256ACC">
              <w:rPr>
                <w:rFonts w:ascii="Arial" w:eastAsia="Times New Roman" w:hAnsi="Arial" w:cs="Arial"/>
                <w:kern w:val="0"/>
                <w:sz w:val="24"/>
                <w:szCs w:val="24"/>
                <w14:ligatures w14:val="none"/>
              </w:rPr>
              <w:t>Brinchmann</w:t>
            </w:r>
            <w:proofErr w:type="spellEnd"/>
            <w:r w:rsidRPr="00256ACC">
              <w:rPr>
                <w:rFonts w:ascii="Arial" w:eastAsia="Times New Roman" w:hAnsi="Arial" w:cs="Arial"/>
                <w:kern w:val="0"/>
                <w:sz w:val="24"/>
                <w:szCs w:val="24"/>
                <w14:ligatures w14:val="none"/>
              </w:rPr>
              <w:t xml:space="preserve"> &amp; </w:t>
            </w:r>
            <w:proofErr w:type="spellStart"/>
            <w:r w:rsidRPr="00256ACC">
              <w:rPr>
                <w:rFonts w:ascii="Arial" w:eastAsia="Times New Roman" w:hAnsi="Arial" w:cs="Arial"/>
                <w:kern w:val="0"/>
                <w:sz w:val="24"/>
                <w:szCs w:val="24"/>
                <w14:ligatures w14:val="none"/>
              </w:rPr>
              <w:lastRenderedPageBreak/>
              <w:t>Krvavac</w:t>
            </w:r>
            <w:proofErr w:type="spellEnd"/>
            <w:r w:rsidRPr="00256ACC">
              <w:rPr>
                <w:rFonts w:ascii="Arial" w:eastAsia="Times New Roman" w:hAnsi="Arial" w:cs="Arial"/>
                <w:kern w:val="0"/>
                <w:sz w:val="24"/>
                <w:szCs w:val="24"/>
                <w14:ligatures w14:val="none"/>
              </w:rPr>
              <w:t xml:space="preserve"> (2021)</w:t>
            </w:r>
          </w:p>
        </w:tc>
        <w:tc>
          <w:tcPr>
            <w:tcW w:w="0" w:type="auto"/>
            <w:vAlign w:val="center"/>
            <w:hideMark/>
          </w:tcPr>
          <w:p w14:paraId="3827739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lastRenderedPageBreak/>
              <w:t>✔</w:t>
            </w:r>
          </w:p>
        </w:tc>
        <w:tc>
          <w:tcPr>
            <w:tcW w:w="0" w:type="auto"/>
            <w:vAlign w:val="center"/>
            <w:hideMark/>
          </w:tcPr>
          <w:p w14:paraId="5C8A1D8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99AB9C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FD6C27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CEE422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B6C37D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Partial</w:t>
            </w:r>
          </w:p>
        </w:tc>
        <w:tc>
          <w:tcPr>
            <w:tcW w:w="0" w:type="auto"/>
            <w:vAlign w:val="center"/>
            <w:hideMark/>
          </w:tcPr>
          <w:p w14:paraId="51A822E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A50D1C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98CF73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FF5DC9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2C8C89CA" w14:textId="77777777" w:rsidTr="007B4C7B">
        <w:trPr>
          <w:tblCellSpacing w:w="15" w:type="dxa"/>
        </w:trPr>
        <w:tc>
          <w:tcPr>
            <w:tcW w:w="0" w:type="auto"/>
            <w:vAlign w:val="center"/>
            <w:hideMark/>
          </w:tcPr>
          <w:p w14:paraId="1AFE47F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Conti et al. (2017)</w:t>
            </w:r>
          </w:p>
        </w:tc>
        <w:tc>
          <w:tcPr>
            <w:tcW w:w="0" w:type="auto"/>
            <w:vAlign w:val="center"/>
            <w:hideMark/>
          </w:tcPr>
          <w:p w14:paraId="281AA8E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21CEF3F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B725E9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DA2A29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34534E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10A7F6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AC60F8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B4D51C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0463D8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1B44A1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444074AD" w14:textId="77777777" w:rsidTr="007B4C7B">
        <w:trPr>
          <w:tblCellSpacing w:w="15" w:type="dxa"/>
        </w:trPr>
        <w:tc>
          <w:tcPr>
            <w:tcW w:w="0" w:type="auto"/>
            <w:vAlign w:val="center"/>
            <w:hideMark/>
          </w:tcPr>
          <w:p w14:paraId="268ECE0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Coopey &amp; Johnson (2022)</w:t>
            </w:r>
          </w:p>
        </w:tc>
        <w:tc>
          <w:tcPr>
            <w:tcW w:w="0" w:type="auto"/>
            <w:vAlign w:val="center"/>
            <w:hideMark/>
          </w:tcPr>
          <w:p w14:paraId="4F8356A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CA062F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0027CB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A768B0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0BFBD7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6D4741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Partial</w:t>
            </w:r>
          </w:p>
        </w:tc>
        <w:tc>
          <w:tcPr>
            <w:tcW w:w="0" w:type="auto"/>
            <w:vAlign w:val="center"/>
            <w:hideMark/>
          </w:tcPr>
          <w:p w14:paraId="0F768BD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1DFB01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D742FC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D5A176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5FBF3E50" w14:textId="77777777" w:rsidTr="007B4C7B">
        <w:trPr>
          <w:tblCellSpacing w:w="15" w:type="dxa"/>
        </w:trPr>
        <w:tc>
          <w:tcPr>
            <w:tcW w:w="0" w:type="auto"/>
            <w:vAlign w:val="center"/>
            <w:hideMark/>
          </w:tcPr>
          <w:p w14:paraId="77C8FBC4"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Gao et al. (2025)</w:t>
            </w:r>
          </w:p>
        </w:tc>
        <w:tc>
          <w:tcPr>
            <w:tcW w:w="0" w:type="auto"/>
            <w:vAlign w:val="center"/>
            <w:hideMark/>
          </w:tcPr>
          <w:p w14:paraId="746F961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7DF104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3807F1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3983C3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24BFAC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7E07F7B"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Limited</w:t>
            </w:r>
          </w:p>
        </w:tc>
        <w:tc>
          <w:tcPr>
            <w:tcW w:w="0" w:type="auto"/>
            <w:vAlign w:val="center"/>
            <w:hideMark/>
          </w:tcPr>
          <w:p w14:paraId="2A876DC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288B0179"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7C44FC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1366B4D"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Moderate–High</w:t>
            </w:r>
          </w:p>
        </w:tc>
      </w:tr>
      <w:tr w:rsidR="00251348" w:rsidRPr="00256ACC" w14:paraId="33D1BD68" w14:textId="77777777" w:rsidTr="007B4C7B">
        <w:trPr>
          <w:tblCellSpacing w:w="15" w:type="dxa"/>
        </w:trPr>
        <w:tc>
          <w:tcPr>
            <w:tcW w:w="0" w:type="auto"/>
            <w:vAlign w:val="center"/>
            <w:hideMark/>
          </w:tcPr>
          <w:p w14:paraId="46C67EF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Medway et al. (2019)</w:t>
            </w:r>
          </w:p>
        </w:tc>
        <w:tc>
          <w:tcPr>
            <w:tcW w:w="0" w:type="auto"/>
            <w:vAlign w:val="center"/>
            <w:hideMark/>
          </w:tcPr>
          <w:p w14:paraId="4802C0B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2CA93D80"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3A9105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7E5E12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08FC857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A9810D2"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6CA412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832281E"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739F484"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5666231"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r w:rsidR="00251348" w:rsidRPr="00256ACC" w14:paraId="548B867F" w14:textId="77777777" w:rsidTr="007B4C7B">
        <w:trPr>
          <w:tblCellSpacing w:w="15" w:type="dxa"/>
        </w:trPr>
        <w:tc>
          <w:tcPr>
            <w:tcW w:w="0" w:type="auto"/>
            <w:vAlign w:val="center"/>
            <w:hideMark/>
          </w:tcPr>
          <w:p w14:paraId="105BFCD3"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Nilsen et al. (2021)</w:t>
            </w:r>
          </w:p>
        </w:tc>
        <w:tc>
          <w:tcPr>
            <w:tcW w:w="0" w:type="auto"/>
            <w:vAlign w:val="center"/>
            <w:hideMark/>
          </w:tcPr>
          <w:p w14:paraId="33FEED6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5E6CF47"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12AAB37B"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9B4439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53928DEA"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385B267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Partial</w:t>
            </w:r>
          </w:p>
        </w:tc>
        <w:tc>
          <w:tcPr>
            <w:tcW w:w="0" w:type="auto"/>
            <w:vAlign w:val="center"/>
            <w:hideMark/>
          </w:tcPr>
          <w:p w14:paraId="1BDFA8FB"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6E62616C"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4F406DEF"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Segoe UI Symbol" w:eastAsia="Times New Roman" w:hAnsi="Segoe UI Symbol" w:cs="Segoe UI Symbol"/>
                <w:kern w:val="0"/>
                <w:sz w:val="24"/>
                <w:szCs w:val="24"/>
                <w14:ligatures w14:val="none"/>
              </w:rPr>
              <w:t>✔</w:t>
            </w:r>
          </w:p>
        </w:tc>
        <w:tc>
          <w:tcPr>
            <w:tcW w:w="0" w:type="auto"/>
            <w:vAlign w:val="center"/>
            <w:hideMark/>
          </w:tcPr>
          <w:p w14:paraId="75C653D8"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High</w:t>
            </w:r>
          </w:p>
        </w:tc>
      </w:tr>
    </w:tbl>
    <w:p w14:paraId="07B387E3" w14:textId="77777777" w:rsidR="00251348" w:rsidRPr="00256ACC" w:rsidRDefault="00251348" w:rsidP="00256ACC">
      <w:pPr>
        <w:spacing w:before="100" w:beforeAutospacing="1" w:after="100" w:afterAutospacing="1" w:line="276" w:lineRule="auto"/>
        <w:rPr>
          <w:rFonts w:ascii="Arial" w:eastAsia="Times New Roman" w:hAnsi="Arial" w:cs="Arial"/>
          <w:kern w:val="0"/>
          <w:sz w:val="24"/>
          <w:szCs w:val="24"/>
          <w14:ligatures w14:val="none"/>
        </w:rPr>
      </w:pPr>
      <w:r w:rsidRPr="00256ACC">
        <w:rPr>
          <w:rFonts w:ascii="Arial" w:eastAsia="Times New Roman" w:hAnsi="Arial" w:cs="Arial"/>
          <w:b/>
          <w:bCs/>
          <w:kern w:val="0"/>
          <w:sz w:val="24"/>
          <w:szCs w:val="24"/>
          <w14:ligatures w14:val="none"/>
        </w:rPr>
        <w:t>Key:</w:t>
      </w:r>
      <w:r w:rsidRPr="00256ACC">
        <w:rPr>
          <w:rFonts w:ascii="Arial" w:eastAsia="Times New Roman" w:hAnsi="Arial" w:cs="Arial"/>
          <w:kern w:val="0"/>
          <w:sz w:val="24"/>
          <w:szCs w:val="24"/>
          <w14:ligatures w14:val="none"/>
        </w:rPr>
        <w:t xml:space="preserve"> </w:t>
      </w:r>
      <w:r w:rsidRPr="00256ACC">
        <w:rPr>
          <w:rFonts w:ascii="Segoe UI Symbol" w:eastAsia="Times New Roman" w:hAnsi="Segoe UI Symbol" w:cs="Segoe UI Symbol"/>
          <w:kern w:val="0"/>
          <w:sz w:val="24"/>
          <w:szCs w:val="24"/>
          <w14:ligatures w14:val="none"/>
        </w:rPr>
        <w:t>✔</w:t>
      </w:r>
      <w:r w:rsidRPr="00256ACC">
        <w:rPr>
          <w:rFonts w:ascii="Arial" w:eastAsia="Times New Roman" w:hAnsi="Arial" w:cs="Arial"/>
          <w:kern w:val="0"/>
          <w:sz w:val="24"/>
          <w:szCs w:val="24"/>
          <w14:ligatures w14:val="none"/>
        </w:rPr>
        <w:t xml:space="preserve"> = Criterion met</w:t>
      </w:r>
    </w:p>
    <w:p w14:paraId="0D70C976" w14:textId="77777777" w:rsidR="00251348" w:rsidRPr="00256ACC" w:rsidRDefault="00251348" w:rsidP="00256ACC">
      <w:pPr>
        <w:spacing w:before="100" w:beforeAutospacing="1" w:after="100" w:afterAutospacing="1" w:line="276" w:lineRule="auto"/>
        <w:rPr>
          <w:rFonts w:ascii="Arial" w:eastAsia="Times New Roman" w:hAnsi="Arial" w:cs="Arial"/>
          <w:kern w:val="0"/>
          <w:sz w:val="24"/>
          <w:szCs w:val="24"/>
          <w14:ligatures w14:val="none"/>
        </w:rPr>
      </w:pPr>
      <w:r w:rsidRPr="00256ACC">
        <w:rPr>
          <w:rFonts w:ascii="Arial" w:eastAsia="Times New Roman" w:hAnsi="Arial" w:cs="Arial"/>
          <w:kern w:val="0"/>
          <w:sz w:val="24"/>
          <w:szCs w:val="24"/>
          <w14:ligatures w14:val="none"/>
        </w:rPr>
        <w:t>Overall, all six studies were deemed methodologically robust, with minor limitations relating primarily to reflexivity reporting and sample size in pilot work.</w:t>
      </w:r>
    </w:p>
    <w:p w14:paraId="3AED7DF9" w14:textId="77777777" w:rsidR="00251348" w:rsidRPr="00256ACC" w:rsidRDefault="00251348" w:rsidP="00256ACC">
      <w:pPr>
        <w:spacing w:after="0" w:line="276" w:lineRule="auto"/>
        <w:rPr>
          <w:rFonts w:ascii="Arial" w:eastAsia="Times New Roman" w:hAnsi="Arial" w:cs="Arial"/>
          <w:kern w:val="0"/>
          <w:sz w:val="24"/>
          <w:szCs w:val="24"/>
          <w14:ligatures w14:val="none"/>
        </w:rPr>
      </w:pPr>
    </w:p>
    <w:p w14:paraId="44068596" w14:textId="77777777" w:rsidR="00251348" w:rsidRPr="00256ACC" w:rsidRDefault="00251348" w:rsidP="00256ACC">
      <w:pPr>
        <w:spacing w:after="0" w:line="276" w:lineRule="auto"/>
        <w:rPr>
          <w:rFonts w:ascii="Arial" w:eastAsia="Times New Roman" w:hAnsi="Arial" w:cs="Arial"/>
          <w:kern w:val="0"/>
          <w:sz w:val="24"/>
          <w:szCs w:val="24"/>
          <w14:ligatures w14:val="none"/>
        </w:rPr>
      </w:pPr>
      <w:r w:rsidRPr="00256ACC">
        <w:rPr>
          <w:rFonts w:ascii="Arial" w:eastAsia="Times New Roman" w:hAnsi="Arial" w:cs="Arial"/>
          <w:b/>
          <w:bCs/>
          <w:kern w:val="0"/>
          <w:sz w:val="24"/>
          <w:szCs w:val="24"/>
          <w14:ligatures w14:val="none"/>
        </w:rPr>
        <w:t>Figure 1:</w:t>
      </w:r>
      <w:r w:rsidRPr="00256ACC">
        <w:rPr>
          <w:rFonts w:ascii="Arial" w:eastAsia="Times New Roman" w:hAnsi="Arial" w:cs="Arial"/>
          <w:kern w:val="0"/>
          <w:sz w:val="24"/>
          <w:szCs w:val="24"/>
          <w14:ligatures w14:val="none"/>
        </w:rPr>
        <w:t xml:space="preserve"> </w:t>
      </w:r>
      <w:r w:rsidRPr="00256ACC">
        <w:rPr>
          <w:rFonts w:ascii="Arial" w:eastAsia="Times New Roman" w:hAnsi="Arial" w:cs="Arial"/>
          <w:kern w:val="0"/>
          <w:sz w:val="24"/>
          <w:szCs w:val="24"/>
          <w:lang w:val="fr-FR"/>
          <w14:ligatures w14:val="none"/>
        </w:rPr>
        <w:t xml:space="preserve">PRISMA-P Flow chart      </w:t>
      </w:r>
    </w:p>
    <w:p w14:paraId="493F93F3" w14:textId="77777777" w:rsidR="00251348" w:rsidRPr="00256ACC" w:rsidRDefault="00251348" w:rsidP="00256ACC">
      <w:pPr>
        <w:spacing w:before="100" w:beforeAutospacing="1" w:after="100" w:afterAutospacing="1" w:line="276" w:lineRule="auto"/>
        <w:outlineLvl w:val="1"/>
        <w:rPr>
          <w:rFonts w:ascii="Arial" w:eastAsia="Times New Roman" w:hAnsi="Arial" w:cs="Arial"/>
          <w:b/>
          <w:bCs/>
          <w:kern w:val="0"/>
          <w:sz w:val="24"/>
          <w:szCs w:val="24"/>
          <w14:ligatures w14:val="none"/>
        </w:rPr>
      </w:pPr>
      <w:r w:rsidRPr="00256ACC">
        <w:rPr>
          <w:rFonts w:ascii="Arial" w:eastAsia="Times New Roman" w:hAnsi="Arial" w:cs="Arial"/>
          <w:b/>
          <w:bCs/>
          <w:noProof/>
          <w:kern w:val="0"/>
          <w:sz w:val="24"/>
          <w:szCs w:val="24"/>
          <w14:ligatures w14:val="none"/>
        </w:rPr>
        <w:lastRenderedPageBreak/>
        <w:drawing>
          <wp:inline distT="0" distB="0" distL="0" distR="0" wp14:anchorId="697826FA" wp14:editId="417C2F38">
            <wp:extent cx="2133344" cy="3756025"/>
            <wp:effectExtent l="0" t="0" r="635" b="0"/>
            <wp:docPr id="1890632065" name="Picture 1" descr="The diagram illustrates the process of identifying and screening records for a research study, including steps like database searching, duplicate removal, title/abstract screening, full-text article assessment, and eligibility criteria for in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Picture 1" descr="The diagram illustrates the process of identifying and screening records for a research study, including steps like database searching, duplicate removal, title/abstract screening, full-text article assessment, and eligibility criteria for inclusion.&#10;&#10;AI-generated content may be incorrect."/>
                    <pic:cNvPicPr/>
                  </pic:nvPicPr>
                  <pic:blipFill>
                    <a:blip r:embed="rId6"/>
                    <a:stretch>
                      <a:fillRect/>
                    </a:stretch>
                  </pic:blipFill>
                  <pic:spPr>
                    <a:xfrm>
                      <a:off x="0" y="0"/>
                      <a:ext cx="2144922" cy="3776410"/>
                    </a:xfrm>
                    <a:prstGeom prst="rect">
                      <a:avLst/>
                    </a:prstGeom>
                  </pic:spPr>
                </pic:pic>
              </a:graphicData>
            </a:graphic>
          </wp:inline>
        </w:drawing>
      </w:r>
    </w:p>
    <w:p w14:paraId="271B9D8E" w14:textId="0F015075" w:rsidR="00251348" w:rsidRPr="00256ACC" w:rsidRDefault="000561A0" w:rsidP="00256ACC">
      <w:pPr>
        <w:spacing w:line="276" w:lineRule="auto"/>
        <w:rPr>
          <w:rFonts w:ascii="Arial" w:hAnsi="Arial" w:cs="Arial"/>
          <w:sz w:val="24"/>
          <w:szCs w:val="24"/>
        </w:rPr>
      </w:pPr>
      <w:r w:rsidRPr="00256ACC">
        <w:rPr>
          <w:rFonts w:ascii="Arial" w:hAnsi="Arial" w:cs="Arial"/>
          <w:sz w:val="24"/>
          <w:szCs w:val="24"/>
        </w:rPr>
        <w:t>The initial database search produced a large number of qualitative studies exploring family</w:t>
      </w:r>
      <w:r w:rsidRPr="00256ACC">
        <w:rPr>
          <w:rFonts w:ascii="Cambria Math" w:hAnsi="Cambria Math" w:cs="Cambria Math"/>
          <w:sz w:val="24"/>
          <w:szCs w:val="24"/>
        </w:rPr>
        <w:t>‑</w:t>
      </w:r>
      <w:r w:rsidRPr="00256ACC">
        <w:rPr>
          <w:rFonts w:ascii="Arial" w:hAnsi="Arial" w:cs="Arial"/>
          <w:sz w:val="24"/>
          <w:szCs w:val="24"/>
        </w:rPr>
        <w:t xml:space="preserve">based therapies for eating disorders, many of which were unrelated to the specific focus of this review or presented conflicting findings. Following the PRISMA phases, </w:t>
      </w:r>
      <w:r w:rsidR="0063579F">
        <w:rPr>
          <w:rFonts w:ascii="Arial" w:hAnsi="Arial" w:cs="Arial"/>
          <w:sz w:val="24"/>
          <w:szCs w:val="24"/>
        </w:rPr>
        <w:t>after</w:t>
      </w:r>
      <w:r w:rsidR="0063579F" w:rsidRPr="0063579F">
        <w:rPr>
          <w:rFonts w:ascii="Arial" w:hAnsi="Arial" w:cs="Arial"/>
          <w:sz w:val="24"/>
          <w:szCs w:val="24"/>
        </w:rPr>
        <w:t xml:space="preserve"> removing duplicates and screening titles, abstracts, and full texts using predefined criteria, six studies met </w:t>
      </w:r>
      <w:r w:rsidR="0063579F">
        <w:rPr>
          <w:rFonts w:ascii="Arial" w:hAnsi="Arial" w:cs="Arial"/>
          <w:sz w:val="24"/>
          <w:szCs w:val="24"/>
        </w:rPr>
        <w:t xml:space="preserve">the </w:t>
      </w:r>
      <w:r w:rsidR="0063579F" w:rsidRPr="0063579F">
        <w:rPr>
          <w:rFonts w:ascii="Arial" w:hAnsi="Arial" w:cs="Arial"/>
          <w:sz w:val="24"/>
          <w:szCs w:val="24"/>
        </w:rPr>
        <w:t xml:space="preserve">inclusion. Following PRISMA ensured a transparent, systematic selection process and a clear audit trail of how the final evidence base was constructed. </w:t>
      </w:r>
      <w:r w:rsidR="0063579F">
        <w:rPr>
          <w:rFonts w:ascii="Arial" w:hAnsi="Arial" w:cs="Arial"/>
          <w:sz w:val="24"/>
          <w:szCs w:val="24"/>
        </w:rPr>
        <w:t xml:space="preserve"> </w:t>
      </w:r>
      <w:r w:rsidRPr="00256ACC">
        <w:rPr>
          <w:rFonts w:ascii="Arial" w:hAnsi="Arial" w:cs="Arial"/>
          <w:sz w:val="24"/>
          <w:szCs w:val="24"/>
        </w:rPr>
        <w:t>(Page et al., 2021)</w:t>
      </w:r>
    </w:p>
    <w:p w14:paraId="51B4B67E" w14:textId="5FF013F7" w:rsidR="00EB6022" w:rsidRPr="00256ACC" w:rsidRDefault="00EB6022" w:rsidP="00256ACC">
      <w:pPr>
        <w:spacing w:line="276" w:lineRule="auto"/>
        <w:rPr>
          <w:rFonts w:ascii="Arial" w:hAnsi="Arial" w:cs="Arial"/>
          <w:sz w:val="24"/>
          <w:szCs w:val="24"/>
          <w:u w:val="single"/>
        </w:rPr>
      </w:pPr>
      <w:r w:rsidRPr="00256ACC">
        <w:rPr>
          <w:rFonts w:ascii="Arial" w:hAnsi="Arial" w:cs="Arial"/>
          <w:sz w:val="24"/>
          <w:szCs w:val="24"/>
          <w:u w:val="single"/>
        </w:rPr>
        <w:t>Results</w:t>
      </w:r>
    </w:p>
    <w:tbl>
      <w:tblPr>
        <w:tblStyle w:val="PlainTable2"/>
        <w:tblW w:w="9781" w:type="dxa"/>
        <w:tblLook w:val="04A0" w:firstRow="1" w:lastRow="0" w:firstColumn="1" w:lastColumn="0" w:noHBand="0" w:noVBand="1"/>
      </w:tblPr>
      <w:tblGrid>
        <w:gridCol w:w="2127"/>
        <w:gridCol w:w="3260"/>
        <w:gridCol w:w="4394"/>
      </w:tblGrid>
      <w:tr w:rsidR="003E0FFF" w:rsidRPr="00256ACC" w14:paraId="3201FA96" w14:textId="77777777" w:rsidTr="003E0FFF">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2DA4B2DB" w14:textId="77777777" w:rsidR="003E0FFF" w:rsidRPr="00256ACC" w:rsidRDefault="003E0FFF" w:rsidP="00256ACC">
            <w:pPr>
              <w:spacing w:line="276" w:lineRule="auto"/>
              <w:ind w:left="175"/>
              <w:rPr>
                <w:rFonts w:ascii="Arial" w:hAnsi="Arial" w:cs="Arial"/>
                <w:b w:val="0"/>
                <w:bCs w:val="0"/>
                <w:i/>
                <w:iCs/>
                <w:sz w:val="24"/>
                <w:szCs w:val="24"/>
              </w:rPr>
            </w:pPr>
            <w:r w:rsidRPr="00256ACC">
              <w:rPr>
                <w:rFonts w:ascii="Arial" w:hAnsi="Arial" w:cs="Arial"/>
                <w:b w:val="0"/>
                <w:bCs w:val="0"/>
                <w:i/>
                <w:iCs/>
                <w:sz w:val="24"/>
                <w:szCs w:val="24"/>
              </w:rPr>
              <w:t>Theme</w:t>
            </w:r>
          </w:p>
        </w:tc>
        <w:tc>
          <w:tcPr>
            <w:tcW w:w="3260" w:type="dxa"/>
          </w:tcPr>
          <w:p w14:paraId="226E539A" w14:textId="77777777" w:rsidR="003E0FFF" w:rsidRPr="00256ACC" w:rsidRDefault="003E0FFF" w:rsidP="00256ACC">
            <w:pPr>
              <w:spacing w:line="276"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256ACC">
              <w:rPr>
                <w:rFonts w:ascii="Arial" w:hAnsi="Arial" w:cs="Arial"/>
                <w:b w:val="0"/>
                <w:bCs w:val="0"/>
                <w:i/>
                <w:iCs/>
                <w:sz w:val="24"/>
                <w:szCs w:val="24"/>
              </w:rPr>
              <w:t xml:space="preserve">    Sub-theme</w:t>
            </w:r>
          </w:p>
        </w:tc>
        <w:tc>
          <w:tcPr>
            <w:tcW w:w="4394" w:type="dxa"/>
          </w:tcPr>
          <w:p w14:paraId="7D89FED4" w14:textId="77777777" w:rsidR="003E0FFF" w:rsidRPr="00256ACC" w:rsidRDefault="003E0FFF" w:rsidP="00256ACC">
            <w:pPr>
              <w:spacing w:line="276"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256ACC">
              <w:rPr>
                <w:rFonts w:ascii="Arial" w:hAnsi="Arial" w:cs="Arial"/>
                <w:b w:val="0"/>
                <w:bCs w:val="0"/>
                <w:i/>
                <w:iCs/>
                <w:sz w:val="24"/>
                <w:szCs w:val="24"/>
              </w:rPr>
              <w:t>Example quotes</w:t>
            </w:r>
          </w:p>
        </w:tc>
      </w:tr>
      <w:tr w:rsidR="003E0FFF" w:rsidRPr="00256ACC" w14:paraId="709CEC5E" w14:textId="77777777" w:rsidTr="003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2A5ECFE5" w14:textId="77777777"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t>Connection, Recognition, and the Power of Shared Experience</w:t>
            </w:r>
          </w:p>
        </w:tc>
        <w:tc>
          <w:tcPr>
            <w:tcW w:w="3260" w:type="dxa"/>
          </w:tcPr>
          <w:p w14:paraId="6A4EF242"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Shared understanding reduces isolation</w:t>
            </w:r>
          </w:p>
          <w:p w14:paraId="74BCDBCA"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C02AE1"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2E72A8"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1D9DCF5" w14:textId="77777777" w:rsidR="00052357" w:rsidRDefault="00052357"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492B876" w14:textId="77777777" w:rsidR="00052357" w:rsidRDefault="00052357"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A6C9F4"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3CB782"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F17DE85"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C85A51"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D7409C"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1B0BE71" w14:textId="163DE06C"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lastRenderedPageBreak/>
              <w:t>Validation through meeting others with similar struggles</w:t>
            </w:r>
          </w:p>
          <w:p w14:paraId="2486E78B" w14:textId="7E0A954C"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Strengthening communication within the family</w:t>
            </w:r>
          </w:p>
          <w:p w14:paraId="30350BF1" w14:textId="77777777" w:rsidR="00F678C8" w:rsidRDefault="00F678C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B1D3067"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35EE7BC"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C311CD0"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B9A2802"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3DDFAD3"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28E67FF"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66D87F3" w14:textId="07A6CE5F"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Emotional safety created through group belonging</w:t>
            </w:r>
          </w:p>
          <w:p w14:paraId="125A58DD" w14:textId="2726D63E"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Collective learning and mutual support across families</w:t>
            </w:r>
          </w:p>
        </w:tc>
        <w:tc>
          <w:tcPr>
            <w:tcW w:w="4394" w:type="dxa"/>
          </w:tcPr>
          <w:p w14:paraId="2F0FD381" w14:textId="4F88B756" w:rsidR="003E0FFF" w:rsidRDefault="00F678C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w:t>
            </w:r>
            <w:r w:rsidR="003E0FFF" w:rsidRPr="00256ACC">
              <w:rPr>
                <w:rFonts w:ascii="Arial" w:hAnsi="Arial" w:cs="Arial"/>
                <w:sz w:val="24"/>
                <w:szCs w:val="24"/>
              </w:rPr>
              <w:t xml:space="preserve">At last there were people who understood what I was talking about… it was quite liberating.” (Mother, </w:t>
            </w:r>
            <w:proofErr w:type="spellStart"/>
            <w:r w:rsidR="003E0FFF" w:rsidRPr="00256ACC">
              <w:rPr>
                <w:rFonts w:ascii="Arial" w:hAnsi="Arial" w:cs="Arial"/>
                <w:sz w:val="24"/>
                <w:szCs w:val="24"/>
              </w:rPr>
              <w:t>Brinchmann</w:t>
            </w:r>
            <w:proofErr w:type="spellEnd"/>
            <w:r w:rsidR="003E0FFF" w:rsidRPr="00256ACC">
              <w:rPr>
                <w:rFonts w:ascii="Arial" w:hAnsi="Arial" w:cs="Arial"/>
                <w:sz w:val="24"/>
                <w:szCs w:val="24"/>
              </w:rPr>
              <w:t xml:space="preserve"> &amp; </w:t>
            </w:r>
            <w:proofErr w:type="spellStart"/>
            <w:r w:rsidR="003E0FFF" w:rsidRPr="00256ACC">
              <w:rPr>
                <w:rFonts w:ascii="Arial" w:hAnsi="Arial" w:cs="Arial"/>
                <w:sz w:val="24"/>
                <w:szCs w:val="24"/>
              </w:rPr>
              <w:t>Krvavac</w:t>
            </w:r>
            <w:proofErr w:type="spellEnd"/>
            <w:r w:rsidR="005478ED">
              <w:rPr>
                <w:rFonts w:ascii="Arial" w:hAnsi="Arial" w:cs="Arial"/>
                <w:sz w:val="24"/>
                <w:szCs w:val="24"/>
              </w:rPr>
              <w:t>, 2021</w:t>
            </w:r>
            <w:r w:rsidR="003E0FFF" w:rsidRPr="00256ACC">
              <w:rPr>
                <w:rFonts w:ascii="Arial" w:hAnsi="Arial" w:cs="Arial"/>
                <w:sz w:val="24"/>
                <w:szCs w:val="24"/>
              </w:rPr>
              <w:t>)</w:t>
            </w:r>
          </w:p>
          <w:p w14:paraId="1B050918" w14:textId="77777777" w:rsidR="00052357" w:rsidRDefault="00052357"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42616C" w14:textId="3094D85E" w:rsidR="00052357" w:rsidRDefault="00052357"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52357">
              <w:rPr>
                <w:rFonts w:ascii="Arial" w:hAnsi="Arial" w:cs="Arial"/>
                <w:sz w:val="24"/>
                <w:szCs w:val="24"/>
              </w:rPr>
              <w:t>“I thought it was very peculiar… that my family had to be hospitalised… that she needed help, that there was a problem, that I found very strange.” (Nilsen et al., 2021)</w:t>
            </w:r>
          </w:p>
          <w:p w14:paraId="2B1AC33E" w14:textId="77777777" w:rsidR="00CA2B35"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0922650" w14:textId="3CF0EF11" w:rsidR="00CA2B35" w:rsidRPr="00256ACC" w:rsidRDefault="00CA2B35"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A2B35">
              <w:rPr>
                <w:rFonts w:ascii="Arial" w:hAnsi="Arial" w:cs="Arial"/>
                <w:sz w:val="24"/>
                <w:szCs w:val="24"/>
              </w:rPr>
              <w:lastRenderedPageBreak/>
              <w:t>“I was really negative about it… I didn’t want to be there. It just didn’t feel right.” (Nilsen et al., 2021)</w:t>
            </w:r>
          </w:p>
          <w:p w14:paraId="0D31BEB4"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86DB3C4" w14:textId="22A4B39F"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“It was nice to talk to other people… they knew they weren’t alone.” (Young person, Coopey &amp; Johnson</w:t>
            </w:r>
            <w:r w:rsidR="009836A9">
              <w:rPr>
                <w:rFonts w:ascii="Arial" w:hAnsi="Arial" w:cs="Arial"/>
                <w:sz w:val="24"/>
                <w:szCs w:val="24"/>
              </w:rPr>
              <w:t>, 2022</w:t>
            </w:r>
            <w:r w:rsidRPr="00256ACC">
              <w:rPr>
                <w:rFonts w:ascii="Arial" w:hAnsi="Arial" w:cs="Arial"/>
                <w:sz w:val="24"/>
                <w:szCs w:val="24"/>
              </w:rPr>
              <w:t>)</w:t>
            </w:r>
          </w:p>
          <w:p w14:paraId="7EBFDC92" w14:textId="77777777" w:rsidR="00F678C8" w:rsidRDefault="00F678C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B02467" w14:textId="77777777" w:rsidR="00F678C8" w:rsidRDefault="00F678C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2118808"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C0CCE05"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E554432" w14:textId="77777777" w:rsidR="00D74F0B" w:rsidRDefault="00D74F0B"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F2D9DE" w14:textId="524864F1"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 xml:space="preserve">“We became just like one big family and everyone opened up.” (Mother, </w:t>
            </w:r>
            <w:proofErr w:type="spellStart"/>
            <w:r w:rsidRPr="00256ACC">
              <w:rPr>
                <w:rFonts w:ascii="Arial" w:hAnsi="Arial" w:cs="Arial"/>
                <w:sz w:val="24"/>
                <w:szCs w:val="24"/>
              </w:rPr>
              <w:t>Brinchmann</w:t>
            </w:r>
            <w:proofErr w:type="spellEnd"/>
            <w:r w:rsidRPr="00256ACC">
              <w:rPr>
                <w:rFonts w:ascii="Arial" w:hAnsi="Arial" w:cs="Arial"/>
                <w:sz w:val="24"/>
                <w:szCs w:val="24"/>
              </w:rPr>
              <w:t xml:space="preserve"> &amp; </w:t>
            </w:r>
            <w:proofErr w:type="spellStart"/>
            <w:r w:rsidRPr="00256ACC">
              <w:rPr>
                <w:rFonts w:ascii="Arial" w:hAnsi="Arial" w:cs="Arial"/>
                <w:sz w:val="24"/>
                <w:szCs w:val="24"/>
              </w:rPr>
              <w:t>Krvavac</w:t>
            </w:r>
            <w:proofErr w:type="spellEnd"/>
            <w:r w:rsidR="005478ED">
              <w:rPr>
                <w:rFonts w:ascii="Arial" w:hAnsi="Arial" w:cs="Arial"/>
                <w:sz w:val="24"/>
                <w:szCs w:val="24"/>
              </w:rPr>
              <w:t>, 2021</w:t>
            </w:r>
            <w:r w:rsidRPr="00256ACC">
              <w:rPr>
                <w:rFonts w:ascii="Arial" w:hAnsi="Arial" w:cs="Arial"/>
                <w:sz w:val="24"/>
                <w:szCs w:val="24"/>
              </w:rPr>
              <w:t>)</w:t>
            </w:r>
          </w:p>
        </w:tc>
      </w:tr>
      <w:tr w:rsidR="003E0FFF" w:rsidRPr="00256ACC" w14:paraId="6B8E2799" w14:textId="77777777" w:rsidTr="003E0FFF">
        <w:tc>
          <w:tcPr>
            <w:cnfStyle w:val="001000000000" w:firstRow="0" w:lastRow="0" w:firstColumn="1" w:lastColumn="0" w:oddVBand="0" w:evenVBand="0" w:oddHBand="0" w:evenHBand="0" w:firstRowFirstColumn="0" w:firstRowLastColumn="0" w:lastRowFirstColumn="0" w:lastRowLastColumn="0"/>
            <w:tcW w:w="2127" w:type="dxa"/>
          </w:tcPr>
          <w:p w14:paraId="4F24C05E" w14:textId="77777777"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lastRenderedPageBreak/>
              <w:t>Control, Conflict, and the Emotional Weight of Family</w:t>
            </w:r>
            <w:r w:rsidRPr="00256ACC">
              <w:rPr>
                <w:rFonts w:ascii="Cambria Math" w:hAnsi="Cambria Math" w:cs="Cambria Math"/>
                <w:sz w:val="24"/>
                <w:szCs w:val="24"/>
              </w:rPr>
              <w:t>‑</w:t>
            </w:r>
            <w:r w:rsidRPr="00256ACC">
              <w:rPr>
                <w:rFonts w:ascii="Arial" w:hAnsi="Arial" w:cs="Arial"/>
                <w:sz w:val="24"/>
                <w:szCs w:val="24"/>
              </w:rPr>
              <w:t>Centred Treatment</w:t>
            </w:r>
          </w:p>
        </w:tc>
        <w:tc>
          <w:tcPr>
            <w:tcW w:w="3260" w:type="dxa"/>
          </w:tcPr>
          <w:p w14:paraId="1D08FEBC"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Loss of autonomy and perceived restriction</w:t>
            </w:r>
          </w:p>
          <w:p w14:paraId="7D214324" w14:textId="3CC54B2B" w:rsidR="003E0FFF"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Heightened conflict between young people and parents</w:t>
            </w:r>
          </w:p>
          <w:p w14:paraId="587406F5" w14:textId="77777777" w:rsidR="0076238C" w:rsidRPr="00256ACC" w:rsidRDefault="0076238C"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FE37937" w14:textId="77777777" w:rsidR="00EE24B6" w:rsidRDefault="00EE24B6"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E27F031" w14:textId="77777777" w:rsidR="00B61C9B" w:rsidRDefault="00B61C9B"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8DCB2CE" w14:textId="77777777" w:rsidR="00B61C9B" w:rsidRDefault="00B61C9B"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88EE997" w14:textId="77777777" w:rsidR="00B61C9B" w:rsidRDefault="00B61C9B"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D57F638" w14:textId="77777777" w:rsidR="00B61C9B" w:rsidRDefault="00B61C9B"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019BBE9" w14:textId="2DA42624"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Parental guilt, scrutiny, and fear of failure</w:t>
            </w:r>
          </w:p>
          <w:p w14:paraId="764A889F" w14:textId="6892C6EF" w:rsidR="003E0FFF"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Emotional overload within structured treatment environments</w:t>
            </w:r>
          </w:p>
          <w:p w14:paraId="70E68A2B" w14:textId="77777777" w:rsidR="0076238C" w:rsidRPr="00256ACC" w:rsidRDefault="0076238C"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364D86E" w14:textId="77777777" w:rsidR="0076238C" w:rsidRDefault="0076238C"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3D7F180" w14:textId="77777777" w:rsidR="0076238C" w:rsidRDefault="0076238C"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EFA094E" w14:textId="6C150DFE" w:rsidR="00DB7C0D" w:rsidRDefault="00DB7C0D"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2E10E8C" w14:textId="77777777" w:rsidR="00DB7C0D" w:rsidRDefault="00DB7C0D"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65B790F" w14:textId="77777777" w:rsidR="00DB7C0D" w:rsidRDefault="00DB7C0D"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1952C60" w14:textId="77777777" w:rsidR="00DB7C0D" w:rsidRDefault="00DB7C0D"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FF4B77B" w14:textId="1A0E0F6C" w:rsidR="003E0FFF" w:rsidRPr="00256ACC" w:rsidRDefault="009574B2"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w:t>
            </w:r>
            <w:r w:rsidR="003E0FFF" w:rsidRPr="00256ACC">
              <w:rPr>
                <w:rFonts w:ascii="Arial" w:hAnsi="Arial" w:cs="Arial"/>
                <w:sz w:val="24"/>
                <w:szCs w:val="24"/>
              </w:rPr>
              <w:t>ension between therapeutic authority and adolescent independence</w:t>
            </w:r>
          </w:p>
        </w:tc>
        <w:tc>
          <w:tcPr>
            <w:tcW w:w="4394" w:type="dxa"/>
          </w:tcPr>
          <w:p w14:paraId="1524E096" w14:textId="37063ADE" w:rsidR="003E0FFF"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“I</w:t>
            </w:r>
            <w:r w:rsidR="00B764C3">
              <w:t xml:space="preserve"> </w:t>
            </w:r>
            <w:r w:rsidR="00B764C3" w:rsidRPr="00B764C3">
              <w:rPr>
                <w:rFonts w:ascii="Arial" w:hAnsi="Arial" w:cs="Arial"/>
                <w:sz w:val="24"/>
                <w:szCs w:val="24"/>
              </w:rPr>
              <w:t>didn’t really have a choice in my snacks… I didn’t get to make that relationship with food.”</w:t>
            </w:r>
            <w:r w:rsidR="00FB1888">
              <w:rPr>
                <w:rFonts w:ascii="Arial" w:hAnsi="Arial" w:cs="Arial"/>
                <w:sz w:val="24"/>
                <w:szCs w:val="24"/>
              </w:rPr>
              <w:t xml:space="preserve"> (Gao et al., 2025) </w:t>
            </w:r>
          </w:p>
          <w:p w14:paraId="57867D41" w14:textId="77777777" w:rsidR="00B61C9B" w:rsidRDefault="00B61C9B"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2A3F38F" w14:textId="022BE3C1" w:rsidR="00B61C9B" w:rsidRDefault="00B61C9B"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61C9B">
              <w:rPr>
                <w:rFonts w:ascii="Arial" w:hAnsi="Arial" w:cs="Arial"/>
                <w:sz w:val="24"/>
                <w:szCs w:val="24"/>
              </w:rPr>
              <w:t>“I was kind of… forced… I was really fed up with treatment and did not want to be there.”</w:t>
            </w:r>
            <w:r>
              <w:rPr>
                <w:rFonts w:ascii="Arial" w:hAnsi="Arial" w:cs="Arial"/>
                <w:sz w:val="24"/>
                <w:szCs w:val="24"/>
              </w:rPr>
              <w:t xml:space="preserve"> (Nilsen., 2021)</w:t>
            </w:r>
          </w:p>
          <w:p w14:paraId="6A76BFBE" w14:textId="77777777" w:rsidR="00EE24B6" w:rsidRDefault="00EE24B6"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D043F89" w14:textId="77777777" w:rsidR="00FB1888" w:rsidRPr="00256ACC" w:rsidRDefault="00FB1888"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1026FCA" w14:textId="77777777" w:rsidR="0076238C" w:rsidRPr="0076238C" w:rsidRDefault="0076238C" w:rsidP="0076238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238C">
              <w:rPr>
                <w:rFonts w:ascii="Arial" w:hAnsi="Arial" w:cs="Arial"/>
                <w:sz w:val="24"/>
                <w:szCs w:val="24"/>
              </w:rPr>
              <w:t>“You feel very powerless as a parent when your child stops eating.”</w:t>
            </w:r>
          </w:p>
          <w:p w14:paraId="64ED68C4" w14:textId="77777777" w:rsidR="0076238C" w:rsidRDefault="0076238C" w:rsidP="0076238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238C">
              <w:rPr>
                <w:rFonts w:ascii="Arial" w:hAnsi="Arial" w:cs="Arial"/>
                <w:sz w:val="24"/>
                <w:szCs w:val="24"/>
              </w:rPr>
              <w:t xml:space="preserve">(Nilsen et al., 2021) </w:t>
            </w:r>
          </w:p>
          <w:p w14:paraId="5F175A78" w14:textId="77777777" w:rsidR="0076238C" w:rsidRDefault="0076238C" w:rsidP="0076238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2C8A7E5" w14:textId="02D922C4" w:rsidR="003E0FFF" w:rsidRDefault="003E0FFF" w:rsidP="0076238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“We were on trial… her failure to put on weight was my failure.” (Father, Conti et al</w:t>
            </w:r>
            <w:r w:rsidR="00EA13A6">
              <w:rPr>
                <w:rFonts w:ascii="Arial" w:hAnsi="Arial" w:cs="Arial"/>
                <w:sz w:val="24"/>
                <w:szCs w:val="24"/>
              </w:rPr>
              <w:t>., 2017</w:t>
            </w:r>
            <w:r w:rsidRPr="00256ACC">
              <w:rPr>
                <w:rFonts w:ascii="Arial" w:hAnsi="Arial" w:cs="Arial"/>
                <w:sz w:val="24"/>
                <w:szCs w:val="24"/>
              </w:rPr>
              <w:t>)</w:t>
            </w:r>
          </w:p>
          <w:p w14:paraId="19E5BA3D" w14:textId="77777777" w:rsidR="00DB7C0D" w:rsidRDefault="00DB7C0D" w:rsidP="0076238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F2A1CE7" w14:textId="1D5FB78A" w:rsidR="00DB7C0D" w:rsidRDefault="00DB7C0D" w:rsidP="00DB7C0D">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We</w:t>
            </w:r>
            <w:r w:rsidRPr="00DB7C0D">
              <w:rPr>
                <w:rFonts w:ascii="Arial" w:hAnsi="Arial" w:cs="Arial"/>
                <w:sz w:val="24"/>
                <w:szCs w:val="24"/>
              </w:rPr>
              <w:t xml:space="preserve"> couldn’t handle the situation at home.” (Nilsen et al., 2021)</w:t>
            </w:r>
          </w:p>
          <w:p w14:paraId="6A32EFE5" w14:textId="77777777" w:rsidR="00DB7C0D" w:rsidRPr="00256ACC" w:rsidRDefault="00DB7C0D" w:rsidP="0076238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6DDC805" w14:textId="77777777" w:rsidR="003E0FFF" w:rsidRPr="00256ACC"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78D2D90" w14:textId="77777777" w:rsidR="003E0FFF" w:rsidRDefault="003E0FFF"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6ACC">
              <w:rPr>
                <w:rFonts w:ascii="Arial" w:hAnsi="Arial" w:cs="Arial"/>
                <w:sz w:val="24"/>
                <w:szCs w:val="24"/>
              </w:rPr>
              <w:t>“It didn’t focus on my emotions… it caused a battle between me and my parents.” (Hayley, Conti et al</w:t>
            </w:r>
            <w:r w:rsidR="00EA13A6">
              <w:rPr>
                <w:rFonts w:ascii="Arial" w:hAnsi="Arial" w:cs="Arial"/>
                <w:sz w:val="24"/>
                <w:szCs w:val="24"/>
              </w:rPr>
              <w:t>., 2017)</w:t>
            </w:r>
          </w:p>
          <w:p w14:paraId="46F8458A" w14:textId="77777777" w:rsidR="00352086" w:rsidRDefault="00352086"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54F3AC4" w14:textId="6E93292D" w:rsidR="00352086" w:rsidRPr="00256ACC" w:rsidRDefault="00352086" w:rsidP="00256A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3971">
              <w:rPr>
                <w:rFonts w:ascii="Arial" w:hAnsi="Arial" w:cs="Arial"/>
                <w:sz w:val="24"/>
                <w:szCs w:val="24"/>
              </w:rPr>
              <w:lastRenderedPageBreak/>
              <w:t>“</w:t>
            </w:r>
            <w:r>
              <w:rPr>
                <w:rFonts w:ascii="Arial" w:hAnsi="Arial" w:cs="Arial"/>
                <w:sz w:val="24"/>
                <w:szCs w:val="24"/>
              </w:rPr>
              <w:t>When</w:t>
            </w:r>
            <w:r w:rsidRPr="003F3971">
              <w:rPr>
                <w:rFonts w:ascii="Arial" w:hAnsi="Arial" w:cs="Arial"/>
                <w:sz w:val="24"/>
                <w:szCs w:val="24"/>
              </w:rPr>
              <w:t xml:space="preserve"> I saw that I was gaining weight it felt like the world was ending… it was so distressing” (Gao et al., 2025).</w:t>
            </w:r>
          </w:p>
        </w:tc>
      </w:tr>
      <w:tr w:rsidR="003E0FFF" w:rsidRPr="00256ACC" w14:paraId="051F4800" w14:textId="77777777" w:rsidTr="003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479213D7" w14:textId="77777777"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lastRenderedPageBreak/>
              <w:t>Reclaiming Identity and Development — Emerging Beyond the Eating Disorder</w:t>
            </w:r>
          </w:p>
        </w:tc>
        <w:tc>
          <w:tcPr>
            <w:tcW w:w="3260" w:type="dxa"/>
          </w:tcPr>
          <w:p w14:paraId="792F96F1" w14:textId="11F7129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Realising the depth of immersion in the illness</w:t>
            </w:r>
          </w:p>
          <w:p w14:paraId="46E4A219"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1BE8C8B" w14:textId="4C2B6C1A"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Experiences of developmental regression during early treatment</w:t>
            </w:r>
          </w:p>
          <w:p w14:paraId="76228709" w14:textId="23EDDB8A" w:rsidR="003E0FFF"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Gradual rebuilding of autonomy and independence</w:t>
            </w:r>
          </w:p>
          <w:p w14:paraId="613257C2" w14:textId="77777777" w:rsidR="0076238C" w:rsidRPr="00256AC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6AEE90" w14:textId="77777777" w:rsidR="00905168" w:rsidRDefault="0090516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A35C9B" w14:textId="006FF086"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Re</w:t>
            </w:r>
            <w:r w:rsidRPr="00256ACC">
              <w:rPr>
                <w:rFonts w:ascii="Cambria Math" w:hAnsi="Cambria Math" w:cs="Cambria Math"/>
                <w:sz w:val="24"/>
                <w:szCs w:val="24"/>
              </w:rPr>
              <w:t>‑</w:t>
            </w:r>
            <w:r w:rsidRPr="00256ACC">
              <w:rPr>
                <w:rFonts w:ascii="Arial" w:hAnsi="Arial" w:cs="Arial"/>
                <w:sz w:val="24"/>
                <w:szCs w:val="24"/>
              </w:rPr>
              <w:t>establishing emotional expression and self</w:t>
            </w:r>
            <w:r w:rsidRPr="00256ACC">
              <w:rPr>
                <w:rFonts w:ascii="Cambria Math" w:hAnsi="Cambria Math" w:cs="Cambria Math"/>
                <w:sz w:val="24"/>
                <w:szCs w:val="24"/>
              </w:rPr>
              <w:t>‑</w:t>
            </w:r>
            <w:r w:rsidRPr="00256ACC">
              <w:rPr>
                <w:rFonts w:ascii="Arial" w:hAnsi="Arial" w:cs="Arial"/>
                <w:sz w:val="24"/>
                <w:szCs w:val="24"/>
              </w:rPr>
              <w:t>understanding</w:t>
            </w:r>
          </w:p>
          <w:p w14:paraId="4A0FF14D" w14:textId="41A228FC"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Reconnecting with peers, hobbies, and age</w:t>
            </w:r>
            <w:r w:rsidRPr="00256ACC">
              <w:rPr>
                <w:rFonts w:ascii="Cambria Math" w:hAnsi="Cambria Math" w:cs="Cambria Math"/>
                <w:sz w:val="24"/>
                <w:szCs w:val="24"/>
              </w:rPr>
              <w:t>‑</w:t>
            </w:r>
            <w:r w:rsidRPr="00256ACC">
              <w:rPr>
                <w:rFonts w:ascii="Arial" w:hAnsi="Arial" w:cs="Arial"/>
                <w:sz w:val="24"/>
                <w:szCs w:val="24"/>
              </w:rPr>
              <w:t>appropriate milestones</w:t>
            </w:r>
          </w:p>
        </w:tc>
        <w:tc>
          <w:tcPr>
            <w:tcW w:w="4394" w:type="dxa"/>
          </w:tcPr>
          <w:p w14:paraId="60A8FAC7" w14:textId="42230F86"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“I look back and realise how bad I used to be… now I’m eating.” (Meghan, Coopey &amp; Johnson</w:t>
            </w:r>
            <w:r w:rsidR="00CE5297">
              <w:rPr>
                <w:rFonts w:ascii="Arial" w:hAnsi="Arial" w:cs="Arial"/>
                <w:sz w:val="24"/>
                <w:szCs w:val="24"/>
              </w:rPr>
              <w:t>, 2022</w:t>
            </w:r>
            <w:r w:rsidRPr="00256ACC">
              <w:rPr>
                <w:rFonts w:ascii="Arial" w:hAnsi="Arial" w:cs="Arial"/>
                <w:sz w:val="24"/>
                <w:szCs w:val="24"/>
              </w:rPr>
              <w:t>)</w:t>
            </w:r>
          </w:p>
          <w:p w14:paraId="4DA97C09"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0833A4" w14:textId="4488FB28"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“I felt thrown straight back to when I was 10 years old.” (Rebecca, Medway et al.</w:t>
            </w:r>
            <w:r w:rsidR="00CE5297">
              <w:rPr>
                <w:rFonts w:ascii="Arial" w:hAnsi="Arial" w:cs="Arial"/>
                <w:sz w:val="24"/>
                <w:szCs w:val="24"/>
              </w:rPr>
              <w:t>, 2019</w:t>
            </w:r>
            <w:r w:rsidRPr="00256ACC">
              <w:rPr>
                <w:rFonts w:ascii="Arial" w:hAnsi="Arial" w:cs="Arial"/>
                <w:sz w:val="24"/>
                <w:szCs w:val="24"/>
              </w:rPr>
              <w:t>)</w:t>
            </w:r>
          </w:p>
          <w:p w14:paraId="27B21AA2" w14:textId="77777777" w:rsidR="003E0FFF" w:rsidRPr="00256ACC"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08E101"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564F6C4"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96C285" w14:textId="77777777" w:rsidR="0076238C" w:rsidRDefault="0076238C"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AA05BE" w14:textId="77777777" w:rsidR="003E0FFF" w:rsidRDefault="003E0FFF"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56ACC">
              <w:rPr>
                <w:rFonts w:ascii="Arial" w:hAnsi="Arial" w:cs="Arial"/>
                <w:sz w:val="24"/>
                <w:szCs w:val="24"/>
              </w:rPr>
              <w:t>“They know how to manage my meltdowns now… they know how to support me.” (Lilly, Coopey &amp; Johnson</w:t>
            </w:r>
            <w:r w:rsidR="009836A9">
              <w:rPr>
                <w:rFonts w:ascii="Arial" w:hAnsi="Arial" w:cs="Arial"/>
                <w:sz w:val="24"/>
                <w:szCs w:val="24"/>
              </w:rPr>
              <w:t>, 2022</w:t>
            </w:r>
            <w:r w:rsidRPr="00256ACC">
              <w:rPr>
                <w:rFonts w:ascii="Arial" w:hAnsi="Arial" w:cs="Arial"/>
                <w:sz w:val="24"/>
                <w:szCs w:val="24"/>
              </w:rPr>
              <w:t>)</w:t>
            </w:r>
          </w:p>
          <w:p w14:paraId="232A9965" w14:textId="77777777" w:rsidR="00905168" w:rsidRDefault="0090516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6B47CA9" w14:textId="50409521" w:rsidR="00905168" w:rsidRPr="00256ACC" w:rsidRDefault="00905168" w:rsidP="00256A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05168">
              <w:rPr>
                <w:rFonts w:ascii="Arial" w:hAnsi="Arial" w:cs="Arial"/>
                <w:sz w:val="24"/>
                <w:szCs w:val="24"/>
              </w:rPr>
              <w:t>“As I had more control, I felt like I was more free and more able to enjoy my social life… the more I got, the more beneficial it was for me.” (Medway et al., 2019)</w:t>
            </w:r>
          </w:p>
        </w:tc>
      </w:tr>
    </w:tbl>
    <w:p w14:paraId="10F711CE" w14:textId="77777777" w:rsidR="003E0FFF" w:rsidRPr="00256ACC" w:rsidRDefault="003E0FFF" w:rsidP="00256ACC">
      <w:pPr>
        <w:spacing w:line="276" w:lineRule="auto"/>
        <w:rPr>
          <w:rFonts w:ascii="Arial" w:hAnsi="Arial" w:cs="Arial"/>
          <w:sz w:val="24"/>
          <w:szCs w:val="24"/>
        </w:rPr>
      </w:pPr>
    </w:p>
    <w:p w14:paraId="73F2333D" w14:textId="77777777" w:rsidR="003E0FFF" w:rsidRPr="00941FF7" w:rsidRDefault="003E0FFF" w:rsidP="00256ACC">
      <w:pPr>
        <w:spacing w:line="276" w:lineRule="auto"/>
        <w:rPr>
          <w:rFonts w:ascii="Arial" w:hAnsi="Arial" w:cs="Arial"/>
          <w:sz w:val="24"/>
          <w:szCs w:val="24"/>
          <w:u w:val="single"/>
        </w:rPr>
      </w:pPr>
    </w:p>
    <w:p w14:paraId="0C93FCD1" w14:textId="623B56D9" w:rsidR="00251348" w:rsidRPr="00941FF7" w:rsidRDefault="003E0FFF" w:rsidP="00256ACC">
      <w:pPr>
        <w:spacing w:line="276" w:lineRule="auto"/>
        <w:rPr>
          <w:rFonts w:ascii="Arial" w:hAnsi="Arial" w:cs="Arial"/>
          <w:sz w:val="24"/>
          <w:szCs w:val="24"/>
          <w:u w:val="single"/>
        </w:rPr>
      </w:pPr>
      <w:r w:rsidRPr="00941FF7">
        <w:rPr>
          <w:rFonts w:ascii="Arial" w:hAnsi="Arial" w:cs="Arial"/>
          <w:sz w:val="24"/>
          <w:szCs w:val="24"/>
          <w:u w:val="single"/>
        </w:rPr>
        <w:t>Theme 1: Connection, Recognition, and the Power of Shared Experience</w:t>
      </w:r>
    </w:p>
    <w:p w14:paraId="5372F893" w14:textId="0FC9D184" w:rsidR="003E0FFF" w:rsidRPr="00256ACC" w:rsidRDefault="003E0FFF" w:rsidP="00256ACC">
      <w:pPr>
        <w:spacing w:line="276" w:lineRule="auto"/>
        <w:rPr>
          <w:rFonts w:ascii="Arial" w:hAnsi="Arial" w:cs="Arial"/>
          <w:sz w:val="24"/>
          <w:szCs w:val="24"/>
        </w:rPr>
      </w:pPr>
      <w:r w:rsidRPr="00256ACC">
        <w:rPr>
          <w:rFonts w:ascii="Arial" w:hAnsi="Arial" w:cs="Arial"/>
          <w:sz w:val="24"/>
          <w:szCs w:val="24"/>
        </w:rPr>
        <w:t>When exploring all 6 papers</w:t>
      </w:r>
      <w:r w:rsidR="00C834CC" w:rsidRPr="00256ACC">
        <w:rPr>
          <w:rFonts w:ascii="Arial" w:hAnsi="Arial" w:cs="Arial"/>
          <w:sz w:val="24"/>
          <w:szCs w:val="24"/>
        </w:rPr>
        <w:t>,</w:t>
      </w:r>
      <w:r w:rsidRPr="00256ACC">
        <w:rPr>
          <w:rFonts w:ascii="Arial" w:hAnsi="Arial" w:cs="Arial"/>
          <w:sz w:val="24"/>
          <w:szCs w:val="24"/>
        </w:rPr>
        <w:t xml:space="preserve"> </w:t>
      </w:r>
      <w:r w:rsidR="00C834CC" w:rsidRPr="00256ACC">
        <w:rPr>
          <w:rFonts w:ascii="Arial" w:hAnsi="Arial" w:cs="Arial"/>
          <w:sz w:val="24"/>
          <w:szCs w:val="24"/>
        </w:rPr>
        <w:t xml:space="preserve">having the support and mechanisms to change was commonly associated with having a connection. Family-centred interventions create a space where young people and their families feel accepted, understood and less isolated on their journey as a family within the </w:t>
      </w:r>
      <w:r w:rsidR="00C02A47">
        <w:rPr>
          <w:rFonts w:ascii="Arial" w:hAnsi="Arial" w:cs="Arial"/>
          <w:sz w:val="24"/>
          <w:szCs w:val="24"/>
        </w:rPr>
        <w:t>barriers</w:t>
      </w:r>
      <w:r w:rsidR="00C834CC" w:rsidRPr="00256ACC">
        <w:rPr>
          <w:rFonts w:ascii="Arial" w:hAnsi="Arial" w:cs="Arial"/>
          <w:sz w:val="24"/>
          <w:szCs w:val="24"/>
        </w:rPr>
        <w:t xml:space="preserve"> they may face. Having the knowledge and support that others have faced what they have </w:t>
      </w:r>
      <w:r w:rsidR="00C02A47">
        <w:rPr>
          <w:rFonts w:ascii="Arial" w:hAnsi="Arial" w:cs="Arial"/>
          <w:sz w:val="24"/>
          <w:szCs w:val="24"/>
        </w:rPr>
        <w:t>faced</w:t>
      </w:r>
      <w:r w:rsidR="00C834CC" w:rsidRPr="00256ACC">
        <w:rPr>
          <w:rFonts w:ascii="Arial" w:hAnsi="Arial" w:cs="Arial"/>
          <w:sz w:val="24"/>
          <w:szCs w:val="24"/>
        </w:rPr>
        <w:t xml:space="preserve"> and gotten through it provides insight into how connections provide hope. </w:t>
      </w:r>
      <w:r w:rsidR="00D74F0B">
        <w:rPr>
          <w:rFonts w:ascii="Arial" w:hAnsi="Arial" w:cs="Arial"/>
          <w:sz w:val="24"/>
          <w:szCs w:val="24"/>
        </w:rPr>
        <w:t>T</w:t>
      </w:r>
      <w:r w:rsidR="00C834CC" w:rsidRPr="00256ACC">
        <w:rPr>
          <w:rFonts w:ascii="Arial" w:hAnsi="Arial" w:cs="Arial"/>
          <w:sz w:val="24"/>
          <w:szCs w:val="24"/>
        </w:rPr>
        <w:t xml:space="preserve">herefore relational and emotional processes that facilitate engagement and strengthen the therapeutic </w:t>
      </w:r>
      <w:r w:rsidR="00C02A47" w:rsidRPr="00256ACC">
        <w:rPr>
          <w:rFonts w:ascii="Arial" w:hAnsi="Arial" w:cs="Arial"/>
          <w:sz w:val="24"/>
          <w:szCs w:val="24"/>
        </w:rPr>
        <w:t>cooperation</w:t>
      </w:r>
      <w:r w:rsidR="00C834CC" w:rsidRPr="00256ACC">
        <w:rPr>
          <w:rFonts w:ascii="Arial" w:hAnsi="Arial" w:cs="Arial"/>
          <w:sz w:val="24"/>
          <w:szCs w:val="24"/>
        </w:rPr>
        <w:t xml:space="preserve"> that is fundamental to support change.</w:t>
      </w:r>
    </w:p>
    <w:p w14:paraId="77A40FC7" w14:textId="51A28EFC" w:rsidR="00FE3C5F" w:rsidRDefault="006101D8" w:rsidP="00256ACC">
      <w:pPr>
        <w:spacing w:line="276" w:lineRule="auto"/>
        <w:rPr>
          <w:rFonts w:ascii="Arial" w:hAnsi="Arial" w:cs="Arial"/>
          <w:sz w:val="24"/>
          <w:szCs w:val="24"/>
        </w:rPr>
      </w:pPr>
      <w:r w:rsidRPr="00256ACC">
        <w:rPr>
          <w:rFonts w:ascii="Arial" w:hAnsi="Arial" w:cs="Arial"/>
          <w:sz w:val="24"/>
          <w:szCs w:val="24"/>
        </w:rPr>
        <w:t xml:space="preserve">Through sharing and collaborating with others who are on a similar </w:t>
      </w:r>
      <w:r w:rsidR="0079387E" w:rsidRPr="00256ACC">
        <w:rPr>
          <w:rFonts w:ascii="Arial" w:hAnsi="Arial" w:cs="Arial"/>
          <w:sz w:val="24"/>
          <w:szCs w:val="24"/>
        </w:rPr>
        <w:t>journey,</w:t>
      </w:r>
      <w:r w:rsidRPr="00256ACC">
        <w:rPr>
          <w:rFonts w:ascii="Arial" w:hAnsi="Arial" w:cs="Arial"/>
          <w:sz w:val="24"/>
          <w:szCs w:val="24"/>
        </w:rPr>
        <w:t xml:space="preserve"> isolation is less common</w:t>
      </w:r>
      <w:r w:rsidR="00A52D87" w:rsidRPr="00256ACC">
        <w:rPr>
          <w:rFonts w:ascii="Arial" w:hAnsi="Arial" w:cs="Arial"/>
          <w:sz w:val="24"/>
          <w:szCs w:val="24"/>
        </w:rPr>
        <w:t>,</w:t>
      </w:r>
      <w:r w:rsidRPr="00256ACC">
        <w:rPr>
          <w:rFonts w:ascii="Arial" w:hAnsi="Arial" w:cs="Arial"/>
          <w:sz w:val="24"/>
          <w:szCs w:val="24"/>
        </w:rPr>
        <w:t xml:space="preserve"> as,  upon entering</w:t>
      </w:r>
      <w:r w:rsidR="00C02A47">
        <w:rPr>
          <w:rFonts w:ascii="Arial" w:hAnsi="Arial" w:cs="Arial"/>
          <w:sz w:val="24"/>
          <w:szCs w:val="24"/>
        </w:rPr>
        <w:t>,</w:t>
      </w:r>
      <w:r w:rsidRPr="00256ACC">
        <w:rPr>
          <w:rFonts w:ascii="Arial" w:hAnsi="Arial" w:cs="Arial"/>
          <w:sz w:val="24"/>
          <w:szCs w:val="24"/>
        </w:rPr>
        <w:t xml:space="preserve"> it is not only a change to the person with the eating disorder but a change as a family. Families commonly expressed</w:t>
      </w:r>
      <w:r w:rsidR="0079387E" w:rsidRPr="00256ACC">
        <w:rPr>
          <w:rFonts w:ascii="Arial" w:hAnsi="Arial" w:cs="Arial"/>
          <w:sz w:val="24"/>
          <w:szCs w:val="24"/>
        </w:rPr>
        <w:t>, upon</w:t>
      </w:r>
      <w:r w:rsidRPr="00256ACC">
        <w:rPr>
          <w:rFonts w:ascii="Arial" w:hAnsi="Arial" w:cs="Arial"/>
          <w:sz w:val="24"/>
          <w:szCs w:val="24"/>
        </w:rPr>
        <w:t xml:space="preserve"> beginning treatment</w:t>
      </w:r>
      <w:r w:rsidR="0079387E" w:rsidRPr="00256ACC">
        <w:rPr>
          <w:rFonts w:ascii="Arial" w:hAnsi="Arial" w:cs="Arial"/>
          <w:sz w:val="24"/>
          <w:szCs w:val="24"/>
        </w:rPr>
        <w:t>,</w:t>
      </w:r>
      <w:r w:rsidRPr="00256ACC">
        <w:rPr>
          <w:rFonts w:ascii="Arial" w:hAnsi="Arial" w:cs="Arial"/>
          <w:sz w:val="24"/>
          <w:szCs w:val="24"/>
        </w:rPr>
        <w:t xml:space="preserve"> feeling overwhelmed, alienated, and misunderstood</w:t>
      </w:r>
      <w:r w:rsidR="006C5538" w:rsidRPr="006C5538">
        <w:rPr>
          <w:rFonts w:ascii="Arial" w:hAnsi="Arial" w:cs="Arial"/>
          <w:sz w:val="24"/>
          <w:szCs w:val="24"/>
        </w:rPr>
        <w:t xml:space="preserve">. As one sibling reflected, “I thought it was very peculiar… that my family had to be hospitalised… that she needed help, that there was a problem, that I found very </w:t>
      </w:r>
      <w:r w:rsidR="006C5538" w:rsidRPr="006C5538">
        <w:rPr>
          <w:rFonts w:ascii="Arial" w:hAnsi="Arial" w:cs="Arial"/>
          <w:sz w:val="24"/>
          <w:szCs w:val="24"/>
        </w:rPr>
        <w:lastRenderedPageBreak/>
        <w:t>strange.” (Nilsen et al., 2021)</w:t>
      </w:r>
      <w:r w:rsidR="00FB27A6">
        <w:rPr>
          <w:rFonts w:ascii="Arial" w:hAnsi="Arial" w:cs="Arial"/>
          <w:sz w:val="24"/>
          <w:szCs w:val="24"/>
        </w:rPr>
        <w:t xml:space="preserve">  </w:t>
      </w:r>
      <w:r w:rsidR="00FB27A6" w:rsidRPr="00CA2B35">
        <w:rPr>
          <w:rFonts w:ascii="Arial" w:hAnsi="Arial" w:cs="Arial"/>
          <w:sz w:val="24"/>
          <w:szCs w:val="24"/>
        </w:rPr>
        <w:t>For some siblings, that initial confusion turned into resistance. One even said, “I was really negative about it… I didn’t want to be there. It just didn’t feel right.” (Nilsen et al., </w:t>
      </w:r>
      <w:r w:rsidR="00FB27A6">
        <w:rPr>
          <w:rFonts w:ascii="Arial" w:hAnsi="Arial" w:cs="Arial"/>
          <w:sz w:val="24"/>
          <w:szCs w:val="24"/>
        </w:rPr>
        <w:t>2021). This</w:t>
      </w:r>
      <w:r w:rsidR="006C5538" w:rsidRPr="006C5538">
        <w:rPr>
          <w:rFonts w:ascii="Arial" w:hAnsi="Arial" w:cs="Arial"/>
          <w:sz w:val="24"/>
          <w:szCs w:val="24"/>
        </w:rPr>
        <w:t xml:space="preserve"> highlights how siblings frequently lack understanding of the illness, reinforcing the importance of shared recognition and communication within the family system.</w:t>
      </w:r>
    </w:p>
    <w:p w14:paraId="13FC7FC3" w14:textId="3EE2CC0E" w:rsidR="006101D8" w:rsidRPr="00256ACC" w:rsidRDefault="006101D8" w:rsidP="00256ACC">
      <w:pPr>
        <w:spacing w:line="276" w:lineRule="auto"/>
        <w:rPr>
          <w:rFonts w:ascii="Arial" w:hAnsi="Arial" w:cs="Arial"/>
          <w:sz w:val="24"/>
          <w:szCs w:val="24"/>
        </w:rPr>
      </w:pPr>
      <w:r w:rsidRPr="00256ACC">
        <w:rPr>
          <w:rFonts w:ascii="Arial" w:hAnsi="Arial" w:cs="Arial"/>
          <w:sz w:val="24"/>
          <w:szCs w:val="24"/>
        </w:rPr>
        <w:t xml:space="preserve">Yet through Multi-Therapy Treatment and inpatient treatments, in particular, provided a sense of shared experience, reducing guilt and validating emotional responses “At last there were people who understood what I was talking about… it was quite liberating.” </w:t>
      </w:r>
      <w:r w:rsidR="005464BC">
        <w:rPr>
          <w:rFonts w:ascii="Arial" w:hAnsi="Arial" w:cs="Arial"/>
          <w:sz w:val="24"/>
          <w:szCs w:val="24"/>
        </w:rPr>
        <w:t>(</w:t>
      </w:r>
      <w:r w:rsidR="006767EA" w:rsidRPr="00256ACC">
        <w:rPr>
          <w:rFonts w:ascii="Arial" w:hAnsi="Arial" w:cs="Arial"/>
          <w:sz w:val="24"/>
          <w:szCs w:val="24"/>
        </w:rPr>
        <w:t>(</w:t>
      </w:r>
      <w:proofErr w:type="spellStart"/>
      <w:r w:rsidR="006767EA" w:rsidRPr="00256ACC">
        <w:rPr>
          <w:rFonts w:ascii="Arial" w:hAnsi="Arial" w:cs="Arial"/>
          <w:sz w:val="24"/>
          <w:szCs w:val="24"/>
        </w:rPr>
        <w:t>Brinchmann</w:t>
      </w:r>
      <w:proofErr w:type="spellEnd"/>
      <w:r w:rsidR="006767EA" w:rsidRPr="00256ACC">
        <w:rPr>
          <w:rFonts w:ascii="Arial" w:hAnsi="Arial" w:cs="Arial"/>
          <w:sz w:val="24"/>
          <w:szCs w:val="24"/>
        </w:rPr>
        <w:t xml:space="preserve"> &amp; </w:t>
      </w:r>
      <w:proofErr w:type="spellStart"/>
      <w:r w:rsidR="006767EA" w:rsidRPr="00256ACC">
        <w:rPr>
          <w:rFonts w:ascii="Arial" w:hAnsi="Arial" w:cs="Arial"/>
          <w:sz w:val="24"/>
          <w:szCs w:val="24"/>
        </w:rPr>
        <w:t>Krvavac</w:t>
      </w:r>
      <w:proofErr w:type="spellEnd"/>
      <w:r w:rsidR="006767EA">
        <w:rPr>
          <w:rFonts w:ascii="Arial" w:hAnsi="Arial" w:cs="Arial"/>
          <w:sz w:val="24"/>
          <w:szCs w:val="24"/>
        </w:rPr>
        <w:t>, 2021</w:t>
      </w:r>
      <w:r w:rsidR="006767EA">
        <w:rPr>
          <w:rFonts w:ascii="Arial" w:hAnsi="Arial" w:cs="Arial"/>
          <w:sz w:val="24"/>
          <w:szCs w:val="24"/>
        </w:rPr>
        <w:t xml:space="preserve">) </w:t>
      </w:r>
      <w:r w:rsidRPr="00256ACC">
        <w:rPr>
          <w:rFonts w:ascii="Arial" w:hAnsi="Arial" w:cs="Arial"/>
          <w:sz w:val="24"/>
          <w:szCs w:val="24"/>
        </w:rPr>
        <w:t xml:space="preserve">This </w:t>
      </w:r>
      <w:r w:rsidR="00A52D87" w:rsidRPr="00256ACC">
        <w:rPr>
          <w:rFonts w:ascii="Arial" w:hAnsi="Arial" w:cs="Arial"/>
          <w:sz w:val="24"/>
          <w:szCs w:val="24"/>
        </w:rPr>
        <w:t>highlights</w:t>
      </w:r>
      <w:r w:rsidRPr="00256ACC">
        <w:rPr>
          <w:rFonts w:ascii="Arial" w:hAnsi="Arial" w:cs="Arial"/>
          <w:sz w:val="24"/>
          <w:szCs w:val="24"/>
        </w:rPr>
        <w:t xml:space="preserve"> the relief brought with the realisation she was not alone, others knew what she was feeling and thinking and had shared similar </w:t>
      </w:r>
      <w:r w:rsidR="0079387E" w:rsidRPr="00256ACC">
        <w:rPr>
          <w:rFonts w:ascii="Arial" w:hAnsi="Arial" w:cs="Arial"/>
          <w:sz w:val="24"/>
          <w:szCs w:val="24"/>
        </w:rPr>
        <w:t>experiences</w:t>
      </w:r>
      <w:r w:rsidRPr="00256ACC">
        <w:rPr>
          <w:rFonts w:ascii="Arial" w:hAnsi="Arial" w:cs="Arial"/>
          <w:sz w:val="24"/>
          <w:szCs w:val="24"/>
        </w:rPr>
        <w:t xml:space="preserve"> and emotions to her. “It was nice to talk to other people… they knew they weren’t alone.” (Coopey &amp; Johnson</w:t>
      </w:r>
      <w:r w:rsidR="009836A9">
        <w:rPr>
          <w:rFonts w:ascii="Arial" w:hAnsi="Arial" w:cs="Arial"/>
          <w:sz w:val="24"/>
          <w:szCs w:val="24"/>
        </w:rPr>
        <w:t>, 2022</w:t>
      </w:r>
      <w:r w:rsidRPr="00256ACC">
        <w:rPr>
          <w:rFonts w:ascii="Arial" w:hAnsi="Arial" w:cs="Arial"/>
          <w:sz w:val="24"/>
          <w:szCs w:val="24"/>
        </w:rPr>
        <w:t xml:space="preserve">) This realisation served as a therapeutic stimulus in addition to being </w:t>
      </w:r>
      <w:r w:rsidR="00E85D95" w:rsidRPr="00256ACC">
        <w:rPr>
          <w:rFonts w:ascii="Arial" w:hAnsi="Arial" w:cs="Arial"/>
          <w:sz w:val="24"/>
          <w:szCs w:val="24"/>
        </w:rPr>
        <w:t xml:space="preserve">a relief upon shared </w:t>
      </w:r>
      <w:r w:rsidR="0079387E" w:rsidRPr="00256ACC">
        <w:rPr>
          <w:rFonts w:ascii="Arial" w:hAnsi="Arial" w:cs="Arial"/>
          <w:sz w:val="24"/>
          <w:szCs w:val="24"/>
        </w:rPr>
        <w:t>experiences</w:t>
      </w:r>
      <w:r w:rsidRPr="00256ACC">
        <w:rPr>
          <w:rFonts w:ascii="Arial" w:hAnsi="Arial" w:cs="Arial"/>
          <w:sz w:val="24"/>
          <w:szCs w:val="24"/>
        </w:rPr>
        <w:t xml:space="preserve">. When families learned their experiences were shared, they reported feeling more </w:t>
      </w:r>
      <w:r w:rsidR="00E85D95" w:rsidRPr="00256ACC">
        <w:rPr>
          <w:rFonts w:ascii="Arial" w:hAnsi="Arial" w:cs="Arial"/>
          <w:sz w:val="24"/>
          <w:szCs w:val="24"/>
        </w:rPr>
        <w:t>open, more willing to participate, and more hopeful.</w:t>
      </w:r>
    </w:p>
    <w:p w14:paraId="7F396674" w14:textId="728C5335" w:rsidR="009F0BBB" w:rsidRPr="00256ACC" w:rsidRDefault="00E85D95" w:rsidP="00256ACC">
      <w:pPr>
        <w:spacing w:line="276" w:lineRule="auto"/>
        <w:rPr>
          <w:rFonts w:ascii="Arial" w:hAnsi="Arial" w:cs="Arial"/>
          <w:sz w:val="24"/>
          <w:szCs w:val="24"/>
        </w:rPr>
      </w:pPr>
      <w:r w:rsidRPr="00256ACC">
        <w:rPr>
          <w:rFonts w:ascii="Arial" w:hAnsi="Arial" w:cs="Arial"/>
          <w:sz w:val="24"/>
          <w:szCs w:val="24"/>
        </w:rPr>
        <w:t>This leads to the willingness to participate in Family-centred interventions “We became just like one big family</w:t>
      </w:r>
      <w:r w:rsidR="0079387E" w:rsidRPr="00256ACC">
        <w:rPr>
          <w:rFonts w:ascii="Arial" w:hAnsi="Arial" w:cs="Arial"/>
          <w:sz w:val="24"/>
          <w:szCs w:val="24"/>
        </w:rPr>
        <w:t>,</w:t>
      </w:r>
      <w:r w:rsidRPr="00256ACC">
        <w:rPr>
          <w:rFonts w:ascii="Arial" w:hAnsi="Arial" w:cs="Arial"/>
          <w:sz w:val="24"/>
          <w:szCs w:val="24"/>
        </w:rPr>
        <w:t xml:space="preserve"> and everyone opened up.” (</w:t>
      </w:r>
      <w:proofErr w:type="spellStart"/>
      <w:r w:rsidRPr="00256ACC">
        <w:rPr>
          <w:rFonts w:ascii="Arial" w:hAnsi="Arial" w:cs="Arial"/>
          <w:sz w:val="24"/>
          <w:szCs w:val="24"/>
        </w:rPr>
        <w:t>Brinchmann</w:t>
      </w:r>
      <w:proofErr w:type="spellEnd"/>
      <w:r w:rsidRPr="00256ACC">
        <w:rPr>
          <w:rFonts w:ascii="Arial" w:hAnsi="Arial" w:cs="Arial"/>
          <w:sz w:val="24"/>
          <w:szCs w:val="24"/>
        </w:rPr>
        <w:t xml:space="preserve"> &amp; </w:t>
      </w:r>
      <w:proofErr w:type="spellStart"/>
      <w:r w:rsidRPr="00256ACC">
        <w:rPr>
          <w:rFonts w:ascii="Arial" w:hAnsi="Arial" w:cs="Arial"/>
          <w:sz w:val="24"/>
          <w:szCs w:val="24"/>
        </w:rPr>
        <w:t>Krvavac</w:t>
      </w:r>
      <w:proofErr w:type="spellEnd"/>
      <w:r w:rsidR="00B97FF0">
        <w:rPr>
          <w:rFonts w:ascii="Arial" w:hAnsi="Arial" w:cs="Arial"/>
          <w:sz w:val="24"/>
          <w:szCs w:val="24"/>
        </w:rPr>
        <w:t>,</w:t>
      </w:r>
      <w:r w:rsidR="00EB356D">
        <w:rPr>
          <w:rFonts w:ascii="Arial" w:hAnsi="Arial" w:cs="Arial"/>
          <w:sz w:val="24"/>
          <w:szCs w:val="24"/>
        </w:rPr>
        <w:t xml:space="preserve"> 2021</w:t>
      </w:r>
      <w:r w:rsidRPr="00256ACC">
        <w:rPr>
          <w:rFonts w:ascii="Arial" w:hAnsi="Arial" w:cs="Arial"/>
          <w:sz w:val="24"/>
          <w:szCs w:val="24"/>
        </w:rPr>
        <w:t>)</w:t>
      </w:r>
      <w:r w:rsidR="009E073D">
        <w:rPr>
          <w:rFonts w:ascii="Arial" w:hAnsi="Arial" w:cs="Arial"/>
          <w:sz w:val="24"/>
          <w:szCs w:val="24"/>
        </w:rPr>
        <w:t xml:space="preserve"> </w:t>
      </w:r>
      <w:r w:rsidR="009F0BBB" w:rsidRPr="00256ACC">
        <w:rPr>
          <w:rFonts w:ascii="Arial" w:hAnsi="Arial" w:cs="Arial"/>
          <w:sz w:val="24"/>
          <w:szCs w:val="24"/>
        </w:rPr>
        <w:t>highlighting</w:t>
      </w:r>
      <w:r w:rsidRPr="00256ACC">
        <w:rPr>
          <w:rFonts w:ascii="Arial" w:hAnsi="Arial" w:cs="Arial"/>
          <w:sz w:val="24"/>
          <w:szCs w:val="24"/>
        </w:rPr>
        <w:t xml:space="preserve"> how such connections </w:t>
      </w:r>
      <w:r w:rsidR="009F0BBB" w:rsidRPr="00256ACC">
        <w:rPr>
          <w:rFonts w:ascii="Arial" w:hAnsi="Arial" w:cs="Arial"/>
          <w:sz w:val="24"/>
          <w:szCs w:val="24"/>
        </w:rPr>
        <w:t>promote an</w:t>
      </w:r>
      <w:r w:rsidRPr="00256ACC">
        <w:rPr>
          <w:rFonts w:ascii="Arial" w:hAnsi="Arial" w:cs="Arial"/>
          <w:sz w:val="24"/>
          <w:szCs w:val="24"/>
        </w:rPr>
        <w:t xml:space="preserve"> atmosphere of communication and security where families </w:t>
      </w:r>
      <w:r w:rsidR="009F0BBB" w:rsidRPr="00256ACC">
        <w:rPr>
          <w:rFonts w:ascii="Arial" w:hAnsi="Arial" w:cs="Arial"/>
          <w:sz w:val="24"/>
          <w:szCs w:val="24"/>
        </w:rPr>
        <w:t>can</w:t>
      </w:r>
      <w:r w:rsidRPr="00256ACC">
        <w:rPr>
          <w:rFonts w:ascii="Arial" w:hAnsi="Arial" w:cs="Arial"/>
          <w:sz w:val="24"/>
          <w:szCs w:val="24"/>
        </w:rPr>
        <w:t xml:space="preserve"> "open up," "talk again," and "understand each other differently." </w:t>
      </w:r>
    </w:p>
    <w:p w14:paraId="127E16CF" w14:textId="662157D1" w:rsidR="009F0BBB" w:rsidRPr="00256ACC" w:rsidRDefault="00E85D95" w:rsidP="00256ACC">
      <w:pPr>
        <w:spacing w:line="276" w:lineRule="auto"/>
        <w:rPr>
          <w:rFonts w:ascii="Arial" w:hAnsi="Arial" w:cs="Arial"/>
          <w:sz w:val="24"/>
          <w:szCs w:val="24"/>
        </w:rPr>
      </w:pPr>
      <w:r w:rsidRPr="00256ACC">
        <w:rPr>
          <w:rFonts w:ascii="Arial" w:hAnsi="Arial" w:cs="Arial"/>
          <w:sz w:val="24"/>
          <w:szCs w:val="24"/>
        </w:rPr>
        <w:t xml:space="preserve">Structured activities, shared meals, and supported discussions allowed families to express feelings that were previously hidden or misunderstood due to the emotional factors that can be associated with not only having an eating disorder yourself but </w:t>
      </w:r>
      <w:r w:rsidR="0079387E" w:rsidRPr="00256ACC">
        <w:rPr>
          <w:rFonts w:ascii="Arial" w:hAnsi="Arial" w:cs="Arial"/>
          <w:sz w:val="24"/>
          <w:szCs w:val="24"/>
        </w:rPr>
        <w:t xml:space="preserve">also </w:t>
      </w:r>
      <w:r w:rsidRPr="00256ACC">
        <w:rPr>
          <w:rFonts w:ascii="Arial" w:hAnsi="Arial" w:cs="Arial"/>
          <w:sz w:val="24"/>
          <w:szCs w:val="24"/>
        </w:rPr>
        <w:t>as a parent trying to understand the mindset behind the eating disorder and the behaviour associated.</w:t>
      </w:r>
      <w:r w:rsidR="009F0BBB" w:rsidRPr="00256ACC">
        <w:rPr>
          <w:rFonts w:ascii="Arial" w:hAnsi="Arial" w:cs="Arial"/>
          <w:sz w:val="24"/>
          <w:szCs w:val="24"/>
        </w:rPr>
        <w:t xml:space="preserve"> Young people also reported that treatment helped their parents understand their emotional world from the perspective of a person with an eating disorder more clearly. “It helped them understand the emotions… it’s always two sides.” (Coopey &amp; Johnson</w:t>
      </w:r>
      <w:r w:rsidR="009836A9">
        <w:rPr>
          <w:rFonts w:ascii="Arial" w:hAnsi="Arial" w:cs="Arial"/>
          <w:sz w:val="24"/>
          <w:szCs w:val="24"/>
        </w:rPr>
        <w:t>,</w:t>
      </w:r>
      <w:r w:rsidR="00434D70">
        <w:rPr>
          <w:rFonts w:ascii="Arial" w:hAnsi="Arial" w:cs="Arial"/>
          <w:sz w:val="24"/>
          <w:szCs w:val="24"/>
        </w:rPr>
        <w:t xml:space="preserve"> </w:t>
      </w:r>
      <w:r w:rsidR="009836A9">
        <w:rPr>
          <w:rFonts w:ascii="Arial" w:hAnsi="Arial" w:cs="Arial"/>
          <w:sz w:val="24"/>
          <w:szCs w:val="24"/>
        </w:rPr>
        <w:t>2022</w:t>
      </w:r>
      <w:r w:rsidR="009F0BBB" w:rsidRPr="00256ACC">
        <w:rPr>
          <w:rFonts w:ascii="Arial" w:hAnsi="Arial" w:cs="Arial"/>
          <w:sz w:val="24"/>
          <w:szCs w:val="24"/>
        </w:rPr>
        <w:t>)</w:t>
      </w:r>
    </w:p>
    <w:p w14:paraId="06D5829D" w14:textId="0F48BAEF" w:rsidR="00E85D95" w:rsidRPr="00256ACC" w:rsidRDefault="009F0BBB" w:rsidP="00256ACC">
      <w:pPr>
        <w:spacing w:line="276" w:lineRule="auto"/>
        <w:rPr>
          <w:rFonts w:ascii="Arial" w:hAnsi="Arial" w:cs="Arial"/>
          <w:sz w:val="24"/>
          <w:szCs w:val="24"/>
        </w:rPr>
      </w:pPr>
      <w:r w:rsidRPr="00256ACC">
        <w:rPr>
          <w:rFonts w:ascii="Arial" w:hAnsi="Arial" w:cs="Arial"/>
          <w:sz w:val="24"/>
          <w:szCs w:val="24"/>
        </w:rPr>
        <w:t>This helped within improving the foundations of communication and deepening understanding of each other's perspectives and how vital it is</w:t>
      </w:r>
      <w:r w:rsidR="0079387E" w:rsidRPr="00256ACC">
        <w:rPr>
          <w:rFonts w:ascii="Arial" w:hAnsi="Arial" w:cs="Arial"/>
          <w:sz w:val="24"/>
          <w:szCs w:val="24"/>
        </w:rPr>
        <w:t xml:space="preserve"> </w:t>
      </w:r>
      <w:r w:rsidRPr="00256ACC">
        <w:rPr>
          <w:rFonts w:ascii="Arial" w:hAnsi="Arial" w:cs="Arial"/>
          <w:sz w:val="24"/>
          <w:szCs w:val="24"/>
        </w:rPr>
        <w:t>in day-to-day interactions. Providing the mechanisms of effective communication and understanding that could carry beyond the therapy room. Overall, improving and influencing daily interactions and reducing conflict at home</w:t>
      </w:r>
    </w:p>
    <w:p w14:paraId="68DB9093" w14:textId="485013DA" w:rsidR="008A6B3B" w:rsidRPr="00256ACC" w:rsidRDefault="008A6B3B" w:rsidP="00256ACC">
      <w:pPr>
        <w:spacing w:line="276" w:lineRule="auto"/>
        <w:rPr>
          <w:rFonts w:ascii="Arial" w:hAnsi="Arial" w:cs="Arial"/>
          <w:sz w:val="24"/>
          <w:szCs w:val="24"/>
        </w:rPr>
      </w:pPr>
      <w:r w:rsidRPr="00256ACC">
        <w:rPr>
          <w:rFonts w:ascii="Arial" w:hAnsi="Arial" w:cs="Arial"/>
          <w:sz w:val="24"/>
          <w:szCs w:val="24"/>
        </w:rPr>
        <w:t xml:space="preserve">Externalisation, or isolating the young person from the disorder, was a major facilitator of empathy and blame reduction in all of the research included. Families reported being able to "see the illness" rather than attributing behaviours to the young person's personality. Therefore, providing </w:t>
      </w:r>
      <w:r w:rsidR="0079387E" w:rsidRPr="00256ACC">
        <w:rPr>
          <w:rFonts w:ascii="Arial" w:hAnsi="Arial" w:cs="Arial"/>
          <w:sz w:val="24"/>
          <w:szCs w:val="24"/>
        </w:rPr>
        <w:t>an</w:t>
      </w:r>
      <w:r w:rsidRPr="00256ACC">
        <w:rPr>
          <w:rFonts w:ascii="Arial" w:hAnsi="Arial" w:cs="Arial"/>
          <w:sz w:val="24"/>
          <w:szCs w:val="24"/>
        </w:rPr>
        <w:t xml:space="preserve"> alternative perspective on the behaviours that were occurring as part of the eating disorder rather than </w:t>
      </w:r>
      <w:r w:rsidR="0079387E" w:rsidRPr="00256ACC">
        <w:rPr>
          <w:rFonts w:ascii="Arial" w:hAnsi="Arial" w:cs="Arial"/>
          <w:sz w:val="24"/>
          <w:szCs w:val="24"/>
        </w:rPr>
        <w:t>the</w:t>
      </w:r>
      <w:r w:rsidRPr="00256ACC">
        <w:rPr>
          <w:rFonts w:ascii="Arial" w:hAnsi="Arial" w:cs="Arial"/>
          <w:sz w:val="24"/>
          <w:szCs w:val="24"/>
        </w:rPr>
        <w:t xml:space="preserve"> one made by choice to present undesirable behaviours. Dissociating the behaviours presented from the illness allowed a more reflective</w:t>
      </w:r>
      <w:r w:rsidR="0079387E" w:rsidRPr="00256ACC">
        <w:rPr>
          <w:rFonts w:ascii="Arial" w:hAnsi="Arial" w:cs="Arial"/>
          <w:sz w:val="24"/>
          <w:szCs w:val="24"/>
        </w:rPr>
        <w:t>,</w:t>
      </w:r>
      <w:r w:rsidRPr="00256ACC">
        <w:rPr>
          <w:rFonts w:ascii="Arial" w:hAnsi="Arial" w:cs="Arial"/>
          <w:sz w:val="24"/>
          <w:szCs w:val="24"/>
        </w:rPr>
        <w:t xml:space="preserve"> </w:t>
      </w:r>
      <w:r w:rsidR="0079387E" w:rsidRPr="00256ACC">
        <w:rPr>
          <w:rFonts w:ascii="Arial" w:hAnsi="Arial" w:cs="Arial"/>
          <w:sz w:val="24"/>
          <w:szCs w:val="24"/>
        </w:rPr>
        <w:t>considerate perspective</w:t>
      </w:r>
      <w:r w:rsidRPr="00256ACC">
        <w:rPr>
          <w:rFonts w:ascii="Arial" w:hAnsi="Arial" w:cs="Arial"/>
          <w:sz w:val="24"/>
          <w:szCs w:val="24"/>
        </w:rPr>
        <w:t xml:space="preserve"> </w:t>
      </w:r>
      <w:r w:rsidRPr="00256ACC">
        <w:rPr>
          <w:rFonts w:ascii="Arial" w:hAnsi="Arial" w:cs="Arial"/>
          <w:sz w:val="24"/>
          <w:szCs w:val="24"/>
        </w:rPr>
        <w:lastRenderedPageBreak/>
        <w:t>that altered the emotional tone of interactions and minimised conflict. One adolescent stated, "They didn't mean what they said… everyone was going through a really tough time" (Conti et al.</w:t>
      </w:r>
      <w:r w:rsidR="00B97FF0">
        <w:rPr>
          <w:rFonts w:ascii="Arial" w:hAnsi="Arial" w:cs="Arial"/>
          <w:sz w:val="24"/>
          <w:szCs w:val="24"/>
        </w:rPr>
        <w:t>,</w:t>
      </w:r>
      <w:r w:rsidR="00EA13A6">
        <w:rPr>
          <w:rFonts w:ascii="Arial" w:hAnsi="Arial" w:cs="Arial"/>
          <w:sz w:val="24"/>
          <w:szCs w:val="24"/>
        </w:rPr>
        <w:t xml:space="preserve"> 2017</w:t>
      </w:r>
      <w:r w:rsidRPr="00256ACC">
        <w:rPr>
          <w:rFonts w:ascii="Arial" w:hAnsi="Arial" w:cs="Arial"/>
          <w:sz w:val="24"/>
          <w:szCs w:val="24"/>
        </w:rPr>
        <w:t xml:space="preserve">). This reframing helped families in interpreting undesirable behaviours as indicators of anorexia rather than purposeful defiance, allowing them to respond with greater tolerance and compassion. Externalising oneself from the eating disorder and undesirable behaviours attached helped </w:t>
      </w:r>
      <w:r w:rsidR="0079387E" w:rsidRPr="00256ACC">
        <w:rPr>
          <w:rFonts w:ascii="Arial" w:hAnsi="Arial" w:cs="Arial"/>
          <w:sz w:val="24"/>
          <w:szCs w:val="24"/>
        </w:rPr>
        <w:t>in</w:t>
      </w:r>
      <w:r w:rsidRPr="00256ACC">
        <w:rPr>
          <w:rFonts w:ascii="Arial" w:hAnsi="Arial" w:cs="Arial"/>
          <w:sz w:val="24"/>
          <w:szCs w:val="24"/>
        </w:rPr>
        <w:t xml:space="preserve"> realising it was not themselves but rather, the effect </w:t>
      </w:r>
      <w:r w:rsidR="0079387E" w:rsidRPr="00256ACC">
        <w:rPr>
          <w:rFonts w:ascii="Arial" w:hAnsi="Arial" w:cs="Arial"/>
          <w:sz w:val="24"/>
          <w:szCs w:val="24"/>
        </w:rPr>
        <w:t>of</w:t>
      </w:r>
      <w:r w:rsidRPr="00256ACC">
        <w:rPr>
          <w:rFonts w:ascii="Arial" w:hAnsi="Arial" w:cs="Arial"/>
          <w:sz w:val="24"/>
          <w:szCs w:val="24"/>
        </w:rPr>
        <w:t xml:space="preserve"> the eating disorder. This supported and alleviated young people's emotions of guilt and personal failure, allowing them to feel less stigmatised and more understood within their families.</w:t>
      </w:r>
    </w:p>
    <w:p w14:paraId="39510A52" w14:textId="7AF57E93" w:rsidR="008A6B3B" w:rsidRPr="00256ACC" w:rsidRDefault="008A6B3B" w:rsidP="00256ACC">
      <w:pPr>
        <w:spacing w:line="276" w:lineRule="auto"/>
        <w:rPr>
          <w:rFonts w:ascii="Arial" w:hAnsi="Arial" w:cs="Arial"/>
          <w:sz w:val="24"/>
          <w:szCs w:val="24"/>
        </w:rPr>
      </w:pPr>
      <w:r w:rsidRPr="00256ACC">
        <w:rPr>
          <w:rFonts w:ascii="Arial" w:hAnsi="Arial" w:cs="Arial"/>
          <w:sz w:val="24"/>
          <w:szCs w:val="24"/>
        </w:rPr>
        <w:t xml:space="preserve">Theme One highlights the importance of connection and recognition in making </w:t>
      </w:r>
      <w:r w:rsidR="00FB1888">
        <w:rPr>
          <w:rFonts w:ascii="Arial" w:hAnsi="Arial" w:cs="Arial"/>
          <w:sz w:val="24"/>
          <w:szCs w:val="24"/>
        </w:rPr>
        <w:t>family-centred</w:t>
      </w:r>
      <w:r w:rsidRPr="00256ACC">
        <w:rPr>
          <w:rFonts w:ascii="Arial" w:hAnsi="Arial" w:cs="Arial"/>
          <w:sz w:val="24"/>
          <w:szCs w:val="24"/>
        </w:rPr>
        <w:t xml:space="preserve"> interventions effective and healing. Families reported feeling less isolated, more understood, and emotionally supported when they interacted with others who shared their experiences. These moments of recognition not only reduced feelings of guilt and loneliness but also improved family communication and strengthened overall resilience. Externalisation aided this process by bringing families together against the illness rather than each other. Together, these relationships changes demonstrate that the effectiveness of FBT and MFT depends not just in behavioural change, but also in the development of emotionally safe, validating environments where families can reconnect, communicate, and begin healing and understanding one another again.</w:t>
      </w:r>
    </w:p>
    <w:p w14:paraId="6BBF05C7" w14:textId="17C71A00" w:rsidR="007C2FEA" w:rsidRPr="00343F44" w:rsidRDefault="007C2FEA" w:rsidP="00256ACC">
      <w:pPr>
        <w:spacing w:line="276" w:lineRule="auto"/>
        <w:rPr>
          <w:rFonts w:ascii="Arial" w:hAnsi="Arial" w:cs="Arial"/>
          <w:sz w:val="24"/>
          <w:szCs w:val="24"/>
          <w:u w:val="single"/>
        </w:rPr>
      </w:pPr>
      <w:r w:rsidRPr="00343F44">
        <w:rPr>
          <w:rFonts w:ascii="Arial" w:hAnsi="Arial" w:cs="Arial"/>
          <w:sz w:val="24"/>
          <w:szCs w:val="24"/>
          <w:u w:val="single"/>
        </w:rPr>
        <w:t>Theme 2: Control, Conflict, and the Emotional Weight of Family</w:t>
      </w:r>
      <w:r w:rsidRPr="00343F44">
        <w:rPr>
          <w:rFonts w:ascii="Cambria Math" w:hAnsi="Cambria Math" w:cs="Cambria Math"/>
          <w:sz w:val="24"/>
          <w:szCs w:val="24"/>
          <w:u w:val="single"/>
        </w:rPr>
        <w:t>‑</w:t>
      </w:r>
      <w:r w:rsidRPr="00343F44">
        <w:rPr>
          <w:rFonts w:ascii="Arial" w:hAnsi="Arial" w:cs="Arial"/>
          <w:sz w:val="24"/>
          <w:szCs w:val="24"/>
          <w:u w:val="single"/>
        </w:rPr>
        <w:t>Centred Treatment</w:t>
      </w:r>
    </w:p>
    <w:p w14:paraId="6390EB6F" w14:textId="0DF496CB" w:rsidR="007C2FEA" w:rsidRPr="00256ACC" w:rsidRDefault="007C2FEA" w:rsidP="00256ACC">
      <w:pPr>
        <w:spacing w:line="276" w:lineRule="auto"/>
        <w:rPr>
          <w:rFonts w:ascii="Arial" w:hAnsi="Arial" w:cs="Arial"/>
          <w:sz w:val="24"/>
          <w:szCs w:val="24"/>
        </w:rPr>
      </w:pPr>
      <w:r w:rsidRPr="00256ACC">
        <w:rPr>
          <w:rFonts w:ascii="Arial" w:hAnsi="Arial" w:cs="Arial"/>
          <w:sz w:val="24"/>
          <w:szCs w:val="24"/>
        </w:rPr>
        <w:t>Although family-centred therapies increased the sense of connection, they also caused emotional distress. The tensions between authority, autonomy, responsibility, and emotional overload affected participants' experiences.</w:t>
      </w:r>
    </w:p>
    <w:p w14:paraId="72A26EC0" w14:textId="77777777" w:rsidR="00D37896" w:rsidRDefault="00CB7CAF" w:rsidP="00D37896">
      <w:pPr>
        <w:spacing w:line="276" w:lineRule="auto"/>
        <w:rPr>
          <w:rFonts w:ascii="Arial" w:hAnsi="Arial" w:cs="Arial"/>
          <w:sz w:val="24"/>
          <w:szCs w:val="24"/>
        </w:rPr>
      </w:pPr>
      <w:r w:rsidRPr="00256ACC">
        <w:rPr>
          <w:rFonts w:ascii="Arial" w:hAnsi="Arial" w:cs="Arial"/>
          <w:sz w:val="24"/>
          <w:szCs w:val="24"/>
        </w:rPr>
        <w:t>In Family Based Therapy and inpatient settings, young people often expressed feeling monitored, controlled, or silenced, especially in the early phases of therapy when structure is most rigid. Strict requirements, such as constantly being monitored in meals and how much you ate and the lack of independence on any decision in that period</w:t>
      </w:r>
      <w:r w:rsidR="0079387E" w:rsidRPr="00256ACC">
        <w:rPr>
          <w:rFonts w:ascii="Arial" w:hAnsi="Arial" w:cs="Arial"/>
          <w:sz w:val="24"/>
          <w:szCs w:val="24"/>
        </w:rPr>
        <w:t xml:space="preserve">, </w:t>
      </w:r>
      <w:r w:rsidRPr="00256ACC">
        <w:rPr>
          <w:rFonts w:ascii="Arial" w:hAnsi="Arial" w:cs="Arial"/>
          <w:sz w:val="24"/>
          <w:szCs w:val="24"/>
        </w:rPr>
        <w:t xml:space="preserve">alongside little autonomy within any </w:t>
      </w:r>
      <w:r w:rsidR="0079387E" w:rsidRPr="00256ACC">
        <w:rPr>
          <w:rFonts w:ascii="Arial" w:hAnsi="Arial" w:cs="Arial"/>
          <w:sz w:val="24"/>
          <w:szCs w:val="24"/>
        </w:rPr>
        <w:t>decisions,</w:t>
      </w:r>
      <w:r w:rsidRPr="00256ACC">
        <w:rPr>
          <w:rFonts w:ascii="Arial" w:hAnsi="Arial" w:cs="Arial"/>
          <w:sz w:val="24"/>
          <w:szCs w:val="24"/>
        </w:rPr>
        <w:t xml:space="preserve"> were frequently perceived as invasive and dehumanising, giving the impression that one was being controlled rather than helped. One young person captured this loss of agency when describing inpatient treatment as, </w:t>
      </w:r>
      <w:r w:rsidR="00D37896" w:rsidRPr="00256ACC">
        <w:rPr>
          <w:rFonts w:ascii="Arial" w:hAnsi="Arial" w:cs="Arial"/>
          <w:sz w:val="24"/>
          <w:szCs w:val="24"/>
        </w:rPr>
        <w:t>“I</w:t>
      </w:r>
      <w:r w:rsidR="00D37896">
        <w:t xml:space="preserve"> </w:t>
      </w:r>
      <w:r w:rsidR="00D37896" w:rsidRPr="00B764C3">
        <w:rPr>
          <w:rFonts w:ascii="Arial" w:hAnsi="Arial" w:cs="Arial"/>
          <w:sz w:val="24"/>
          <w:szCs w:val="24"/>
        </w:rPr>
        <w:t>didn’t really have a choice in my snacks… I didn’t get to make that relationship with food.”</w:t>
      </w:r>
      <w:r w:rsidR="00D37896">
        <w:rPr>
          <w:rFonts w:ascii="Arial" w:hAnsi="Arial" w:cs="Arial"/>
          <w:sz w:val="24"/>
          <w:szCs w:val="24"/>
        </w:rPr>
        <w:t xml:space="preserve"> (Gao et al., 2025) </w:t>
      </w:r>
    </w:p>
    <w:p w14:paraId="035FB390" w14:textId="77777777" w:rsidR="00AB5040" w:rsidRDefault="00CB7CAF" w:rsidP="00256ACC">
      <w:pPr>
        <w:spacing w:line="276" w:lineRule="auto"/>
        <w:rPr>
          <w:rFonts w:ascii="Arial" w:hAnsi="Arial" w:cs="Arial"/>
          <w:sz w:val="24"/>
          <w:szCs w:val="24"/>
        </w:rPr>
      </w:pPr>
      <w:r w:rsidRPr="00256ACC">
        <w:rPr>
          <w:rFonts w:ascii="Arial" w:hAnsi="Arial" w:cs="Arial"/>
          <w:sz w:val="24"/>
          <w:szCs w:val="24"/>
        </w:rPr>
        <w:t>These experiences were not restricted to inpatient care; throughout family-based therapy</w:t>
      </w:r>
      <w:r w:rsidR="0079387E" w:rsidRPr="00256ACC">
        <w:rPr>
          <w:rFonts w:ascii="Arial" w:hAnsi="Arial" w:cs="Arial"/>
          <w:sz w:val="24"/>
          <w:szCs w:val="24"/>
        </w:rPr>
        <w:t>,</w:t>
      </w:r>
      <w:r w:rsidRPr="00256ACC">
        <w:rPr>
          <w:rFonts w:ascii="Arial" w:hAnsi="Arial" w:cs="Arial"/>
          <w:sz w:val="24"/>
          <w:szCs w:val="24"/>
        </w:rPr>
        <w:t xml:space="preserve"> Phase 1, adolescents frequently felt "pushed backwards" developmentally as parents took responsibility for tasks they had previously carried out independently. </w:t>
      </w:r>
      <w:r w:rsidR="00347315" w:rsidRPr="00347315">
        <w:rPr>
          <w:rFonts w:ascii="Arial" w:hAnsi="Arial" w:cs="Arial"/>
          <w:sz w:val="24"/>
          <w:szCs w:val="24"/>
        </w:rPr>
        <w:t xml:space="preserve">“I was kind of… forced… I was really fed up with treatment and did not want to be there.” </w:t>
      </w:r>
      <w:r w:rsidR="00A73C6C">
        <w:rPr>
          <w:rFonts w:ascii="Arial" w:hAnsi="Arial" w:cs="Arial"/>
          <w:sz w:val="24"/>
          <w:szCs w:val="24"/>
        </w:rPr>
        <w:t xml:space="preserve">(Nilsen et al,. 2021) </w:t>
      </w:r>
    </w:p>
    <w:p w14:paraId="0AF35013" w14:textId="6F82AE25" w:rsidR="00174080" w:rsidRDefault="00347315" w:rsidP="00256ACC">
      <w:pPr>
        <w:spacing w:line="276" w:lineRule="auto"/>
        <w:rPr>
          <w:rFonts w:ascii="Arial" w:hAnsi="Arial" w:cs="Arial"/>
          <w:sz w:val="24"/>
          <w:szCs w:val="24"/>
        </w:rPr>
      </w:pPr>
      <w:r w:rsidRPr="00347315">
        <w:rPr>
          <w:rFonts w:ascii="Arial" w:hAnsi="Arial" w:cs="Arial"/>
          <w:sz w:val="24"/>
          <w:szCs w:val="24"/>
        </w:rPr>
        <w:t>This highlights how treatment can be experienced as imposed rather than collaborative, intensifying resistance and emotional strain</w:t>
      </w:r>
      <w:r w:rsidR="00A73C6C">
        <w:rPr>
          <w:rFonts w:ascii="Arial" w:hAnsi="Arial" w:cs="Arial"/>
          <w:sz w:val="24"/>
          <w:szCs w:val="24"/>
        </w:rPr>
        <w:t xml:space="preserve"> on</w:t>
      </w:r>
      <w:r w:rsidR="008314F0">
        <w:rPr>
          <w:rFonts w:ascii="Arial" w:hAnsi="Arial" w:cs="Arial"/>
          <w:sz w:val="24"/>
          <w:szCs w:val="24"/>
        </w:rPr>
        <w:t xml:space="preserve"> all who are involved</w:t>
      </w:r>
      <w:r w:rsidR="00343F44">
        <w:rPr>
          <w:rFonts w:ascii="Arial" w:hAnsi="Arial" w:cs="Arial"/>
          <w:sz w:val="24"/>
          <w:szCs w:val="24"/>
        </w:rPr>
        <w:t>,</w:t>
      </w:r>
      <w:r w:rsidR="008314F0">
        <w:rPr>
          <w:rFonts w:ascii="Arial" w:hAnsi="Arial" w:cs="Arial"/>
          <w:sz w:val="24"/>
          <w:szCs w:val="24"/>
        </w:rPr>
        <w:t xml:space="preserve"> as </w:t>
      </w:r>
      <w:r w:rsidR="008314F0">
        <w:rPr>
          <w:rFonts w:ascii="Arial" w:hAnsi="Arial" w:cs="Arial"/>
          <w:sz w:val="24"/>
          <w:szCs w:val="24"/>
        </w:rPr>
        <w:lastRenderedPageBreak/>
        <w:t xml:space="preserve">it </w:t>
      </w:r>
      <w:r w:rsidR="00343F44">
        <w:rPr>
          <w:rFonts w:ascii="Arial" w:hAnsi="Arial" w:cs="Arial"/>
          <w:sz w:val="24"/>
          <w:szCs w:val="24"/>
        </w:rPr>
        <w:t xml:space="preserve">is </w:t>
      </w:r>
      <w:r w:rsidR="008314F0">
        <w:rPr>
          <w:rFonts w:ascii="Arial" w:hAnsi="Arial" w:cs="Arial"/>
          <w:sz w:val="24"/>
          <w:szCs w:val="24"/>
        </w:rPr>
        <w:t>emotionally draining on the young person</w:t>
      </w:r>
      <w:r w:rsidR="00343F44">
        <w:rPr>
          <w:rFonts w:ascii="Arial" w:hAnsi="Arial" w:cs="Arial"/>
          <w:sz w:val="24"/>
          <w:szCs w:val="24"/>
        </w:rPr>
        <w:t>,</w:t>
      </w:r>
      <w:r w:rsidR="008314F0">
        <w:rPr>
          <w:rFonts w:ascii="Arial" w:hAnsi="Arial" w:cs="Arial"/>
          <w:sz w:val="24"/>
          <w:szCs w:val="24"/>
        </w:rPr>
        <w:t xml:space="preserve"> as they feel undervalued</w:t>
      </w:r>
      <w:r w:rsidR="00343F44">
        <w:rPr>
          <w:rFonts w:ascii="Arial" w:hAnsi="Arial" w:cs="Arial"/>
          <w:sz w:val="24"/>
          <w:szCs w:val="24"/>
        </w:rPr>
        <w:t>. However</w:t>
      </w:r>
      <w:r w:rsidR="008314F0">
        <w:rPr>
          <w:rFonts w:ascii="Arial" w:hAnsi="Arial" w:cs="Arial"/>
          <w:sz w:val="24"/>
          <w:szCs w:val="24"/>
        </w:rPr>
        <w:t xml:space="preserve">, </w:t>
      </w:r>
      <w:r w:rsidR="00343F44">
        <w:rPr>
          <w:rFonts w:ascii="Arial" w:hAnsi="Arial" w:cs="Arial"/>
          <w:sz w:val="24"/>
          <w:szCs w:val="24"/>
        </w:rPr>
        <w:t>as a result, behaviour emerges that the family then have to deal with strategically</w:t>
      </w:r>
      <w:r w:rsidRPr="00347315">
        <w:rPr>
          <w:rFonts w:ascii="Arial" w:hAnsi="Arial" w:cs="Arial"/>
          <w:sz w:val="24"/>
          <w:szCs w:val="24"/>
        </w:rPr>
        <w:t>.</w:t>
      </w:r>
    </w:p>
    <w:p w14:paraId="7C28EF81" w14:textId="77777777" w:rsidR="003C7050" w:rsidRDefault="00174080" w:rsidP="00256ACC">
      <w:pPr>
        <w:spacing w:line="276" w:lineRule="auto"/>
        <w:rPr>
          <w:rFonts w:ascii="Arial" w:hAnsi="Arial" w:cs="Arial"/>
          <w:sz w:val="24"/>
          <w:szCs w:val="24"/>
        </w:rPr>
      </w:pPr>
      <w:r w:rsidRPr="00174080">
        <w:rPr>
          <w:rFonts w:ascii="Arial" w:hAnsi="Arial" w:cs="Arial"/>
          <w:sz w:val="24"/>
          <w:szCs w:val="24"/>
        </w:rPr>
        <w:t xml:space="preserve">Parents, too, described </w:t>
      </w:r>
      <w:r w:rsidR="00343F44">
        <w:rPr>
          <w:rFonts w:ascii="Arial" w:hAnsi="Arial" w:cs="Arial"/>
          <w:sz w:val="24"/>
          <w:szCs w:val="24"/>
        </w:rPr>
        <w:t>an</w:t>
      </w:r>
      <w:r w:rsidRPr="00174080">
        <w:rPr>
          <w:rFonts w:ascii="Arial" w:hAnsi="Arial" w:cs="Arial"/>
          <w:sz w:val="24"/>
          <w:szCs w:val="24"/>
        </w:rPr>
        <w:t xml:space="preserve"> overwhelming emotional burden associated with the responsibility placed upon them. Nilsen et al. (2021) highlight this sense of helplessness vividly, with one parent stating, “You feel very powerless as a parent when your child stops eating.” This captures the emotional weight and fear experienced by families who are suddenly positioned as the primary agents of refeeding, often without feeling adequately prepared or supported.</w:t>
      </w:r>
    </w:p>
    <w:p w14:paraId="52B61BC3" w14:textId="44A48CB8" w:rsidR="00CB7CAF" w:rsidRPr="00256ACC" w:rsidRDefault="00CB7CAF" w:rsidP="00256ACC">
      <w:pPr>
        <w:spacing w:line="276" w:lineRule="auto"/>
        <w:rPr>
          <w:rFonts w:ascii="Arial" w:hAnsi="Arial" w:cs="Arial"/>
          <w:sz w:val="24"/>
          <w:szCs w:val="24"/>
        </w:rPr>
      </w:pPr>
      <w:r w:rsidRPr="00256ACC">
        <w:rPr>
          <w:rFonts w:ascii="Arial" w:hAnsi="Arial" w:cs="Arial"/>
          <w:sz w:val="24"/>
          <w:szCs w:val="24"/>
        </w:rPr>
        <w:t>This often created a sense of pressure and fear of “getting it wrong,” as parents felt that their child’s progress was a direct reflection of their competence. A father in Conti et al</w:t>
      </w:r>
      <w:r w:rsidR="00D37896">
        <w:rPr>
          <w:rFonts w:ascii="Arial" w:hAnsi="Arial" w:cs="Arial"/>
          <w:sz w:val="24"/>
          <w:szCs w:val="24"/>
        </w:rPr>
        <w:t>,</w:t>
      </w:r>
      <w:r w:rsidR="00396501">
        <w:rPr>
          <w:rFonts w:ascii="Arial" w:hAnsi="Arial" w:cs="Arial"/>
          <w:sz w:val="24"/>
          <w:szCs w:val="24"/>
        </w:rPr>
        <w:t xml:space="preserve"> (2017)</w:t>
      </w:r>
      <w:r w:rsidRPr="00256ACC">
        <w:rPr>
          <w:rFonts w:ascii="Arial" w:hAnsi="Arial" w:cs="Arial"/>
          <w:sz w:val="24"/>
          <w:szCs w:val="24"/>
        </w:rPr>
        <w:t xml:space="preserve"> study captured this burden vividly, stating, “We were on trial… her failure to put on weight was my failure.”</w:t>
      </w:r>
    </w:p>
    <w:p w14:paraId="05257BAD" w14:textId="3E1074E0" w:rsidR="00DB7C0D" w:rsidRDefault="00221BF6" w:rsidP="00256ACC">
      <w:pPr>
        <w:spacing w:line="276" w:lineRule="auto"/>
        <w:rPr>
          <w:rFonts w:ascii="Arial" w:hAnsi="Arial" w:cs="Arial"/>
          <w:sz w:val="24"/>
          <w:szCs w:val="24"/>
        </w:rPr>
      </w:pPr>
      <w:r w:rsidRPr="00256ACC">
        <w:rPr>
          <w:rFonts w:ascii="Arial" w:hAnsi="Arial" w:cs="Arial"/>
          <w:sz w:val="24"/>
          <w:szCs w:val="24"/>
        </w:rPr>
        <w:t>These emotions were not unique; parents in several studies reported feeling a great deal of emotional strain while juggling the responsibilities of constant monitoring, meal supervision, and conflict resolution</w:t>
      </w:r>
      <w:r w:rsidR="00DB7C0D">
        <w:rPr>
          <w:rFonts w:ascii="Arial" w:hAnsi="Arial" w:cs="Arial"/>
          <w:sz w:val="24"/>
          <w:szCs w:val="24"/>
        </w:rPr>
        <w:t xml:space="preserve"> </w:t>
      </w:r>
      <w:r w:rsidR="00DB7C0D" w:rsidRPr="00DB7C0D">
        <w:rPr>
          <w:rFonts w:ascii="Arial" w:hAnsi="Arial" w:cs="Arial"/>
          <w:sz w:val="24"/>
          <w:szCs w:val="24"/>
        </w:rPr>
        <w:t xml:space="preserve"> describing how “we couldn’t handle the situation at home.” (Nilsen et al., 2021)</w:t>
      </w:r>
    </w:p>
    <w:p w14:paraId="0E2A9642" w14:textId="45811C3F" w:rsidR="007921F0" w:rsidRDefault="00221BF6" w:rsidP="00256ACC">
      <w:pPr>
        <w:spacing w:line="276" w:lineRule="auto"/>
        <w:rPr>
          <w:rFonts w:ascii="Arial" w:hAnsi="Arial" w:cs="Arial"/>
          <w:sz w:val="24"/>
          <w:szCs w:val="24"/>
        </w:rPr>
      </w:pPr>
      <w:r w:rsidRPr="00256ACC">
        <w:rPr>
          <w:rFonts w:ascii="Arial" w:hAnsi="Arial" w:cs="Arial"/>
          <w:sz w:val="24"/>
          <w:szCs w:val="24"/>
        </w:rPr>
        <w:t xml:space="preserve">Alongside the exhaustion of the uncertainty, the unrelenting intensity of mealtime conflicts added to this burden, leaving many feeling helpless and overrun by the whole situation. Parental stress was further increased by the expectation to maintain composure, authority, and consistency in the face of discomfort, resistance, or aggression that are commonly associated with an eating disorder; however, </w:t>
      </w:r>
      <w:r w:rsidR="0079387E" w:rsidRPr="00256ACC">
        <w:rPr>
          <w:rFonts w:ascii="Arial" w:hAnsi="Arial" w:cs="Arial"/>
          <w:sz w:val="24"/>
          <w:szCs w:val="24"/>
        </w:rPr>
        <w:t>it was further enhanced</w:t>
      </w:r>
      <w:r w:rsidRPr="00256ACC">
        <w:rPr>
          <w:rFonts w:ascii="Arial" w:hAnsi="Arial" w:cs="Arial"/>
          <w:sz w:val="24"/>
          <w:szCs w:val="24"/>
        </w:rPr>
        <w:t xml:space="preserve"> when meal times and the defiance of the eating disorder and recovery </w:t>
      </w:r>
      <w:r w:rsidR="0079387E" w:rsidRPr="00256ACC">
        <w:rPr>
          <w:rFonts w:ascii="Arial" w:hAnsi="Arial" w:cs="Arial"/>
          <w:sz w:val="24"/>
          <w:szCs w:val="24"/>
        </w:rPr>
        <w:t>were incorporated</w:t>
      </w:r>
      <w:r w:rsidRPr="00256ACC">
        <w:rPr>
          <w:rFonts w:ascii="Arial" w:hAnsi="Arial" w:cs="Arial"/>
          <w:sz w:val="24"/>
          <w:szCs w:val="24"/>
        </w:rPr>
        <w:t>.</w:t>
      </w:r>
    </w:p>
    <w:p w14:paraId="4B66AA05" w14:textId="2DEA3CC8" w:rsidR="00221BF6" w:rsidRPr="00256ACC" w:rsidRDefault="00221BF6" w:rsidP="00256ACC">
      <w:pPr>
        <w:spacing w:line="276" w:lineRule="auto"/>
        <w:rPr>
          <w:rFonts w:ascii="Arial" w:hAnsi="Arial" w:cs="Arial"/>
          <w:sz w:val="24"/>
          <w:szCs w:val="24"/>
        </w:rPr>
      </w:pPr>
      <w:r w:rsidRPr="00256ACC">
        <w:rPr>
          <w:rFonts w:ascii="Arial" w:hAnsi="Arial" w:cs="Arial"/>
          <w:sz w:val="24"/>
          <w:szCs w:val="24"/>
        </w:rPr>
        <w:t xml:space="preserve"> In consequence of this, some parents internalised blame for failures or slow progress, which exacerbated feelings of inadequacy and self-doubt. This is why it is key to emphasise the emotional toll associated with giving families therapeutic responsibility.  The necessity for therapists to offer strong direction, emotional support, and validation throughout the course of therapy is essential in providing effective care and supporting the emotional toll it takes on that family</w:t>
      </w:r>
      <w:r w:rsidR="0079387E" w:rsidRPr="00256ACC">
        <w:rPr>
          <w:rFonts w:ascii="Arial" w:hAnsi="Arial" w:cs="Arial"/>
          <w:sz w:val="24"/>
          <w:szCs w:val="24"/>
        </w:rPr>
        <w:t>,</w:t>
      </w:r>
      <w:r w:rsidRPr="00256ACC">
        <w:rPr>
          <w:rFonts w:ascii="Arial" w:hAnsi="Arial" w:cs="Arial"/>
          <w:sz w:val="24"/>
          <w:szCs w:val="24"/>
        </w:rPr>
        <w:t xml:space="preserve"> as unlike therapists for families navigating such care, is not something they may have experienced or have knowledge beforehand. </w:t>
      </w:r>
    </w:p>
    <w:p w14:paraId="4E350058" w14:textId="12FDCD62" w:rsidR="00136662" w:rsidRPr="00256ACC" w:rsidRDefault="00136662" w:rsidP="00256ACC">
      <w:pPr>
        <w:spacing w:line="276" w:lineRule="auto"/>
        <w:rPr>
          <w:rFonts w:ascii="Arial" w:hAnsi="Arial" w:cs="Arial"/>
          <w:sz w:val="24"/>
          <w:szCs w:val="24"/>
        </w:rPr>
      </w:pPr>
      <w:r w:rsidRPr="00256ACC">
        <w:rPr>
          <w:rFonts w:ascii="Arial" w:hAnsi="Arial" w:cs="Arial"/>
          <w:sz w:val="24"/>
          <w:szCs w:val="24"/>
        </w:rPr>
        <w:t xml:space="preserve">The emotional intensity of group and inpatient settings have </w:t>
      </w:r>
      <w:proofErr w:type="spellStart"/>
      <w:r w:rsidRPr="00256ACC">
        <w:rPr>
          <w:rFonts w:ascii="Arial" w:hAnsi="Arial" w:cs="Arial"/>
          <w:sz w:val="24"/>
          <w:szCs w:val="24"/>
        </w:rPr>
        <w:t>there</w:t>
      </w:r>
      <w:proofErr w:type="spellEnd"/>
      <w:r w:rsidRPr="00256ACC">
        <w:rPr>
          <w:rFonts w:ascii="Arial" w:hAnsi="Arial" w:cs="Arial"/>
          <w:sz w:val="24"/>
          <w:szCs w:val="24"/>
        </w:rPr>
        <w:t xml:space="preserve"> advantages alongside </w:t>
      </w:r>
      <w:r w:rsidR="0079387E" w:rsidRPr="00256ACC">
        <w:rPr>
          <w:rFonts w:ascii="Arial" w:hAnsi="Arial" w:cs="Arial"/>
          <w:sz w:val="24"/>
          <w:szCs w:val="24"/>
        </w:rPr>
        <w:t>its</w:t>
      </w:r>
      <w:r w:rsidRPr="00256ACC">
        <w:rPr>
          <w:rFonts w:ascii="Arial" w:hAnsi="Arial" w:cs="Arial"/>
          <w:sz w:val="24"/>
          <w:szCs w:val="24"/>
        </w:rPr>
        <w:t xml:space="preserve"> disadvantages</w:t>
      </w:r>
      <w:r w:rsidR="0079387E" w:rsidRPr="00256ACC">
        <w:rPr>
          <w:rFonts w:ascii="Arial" w:hAnsi="Arial" w:cs="Arial"/>
          <w:sz w:val="24"/>
          <w:szCs w:val="24"/>
        </w:rPr>
        <w:t>,</w:t>
      </w:r>
      <w:r w:rsidRPr="00256ACC">
        <w:rPr>
          <w:rFonts w:ascii="Arial" w:hAnsi="Arial" w:cs="Arial"/>
          <w:sz w:val="24"/>
          <w:szCs w:val="24"/>
        </w:rPr>
        <w:t xml:space="preserve"> although connection can be supportive in some aspects</w:t>
      </w:r>
      <w:r w:rsidR="0079387E" w:rsidRPr="00256ACC">
        <w:rPr>
          <w:rFonts w:ascii="Arial" w:hAnsi="Arial" w:cs="Arial"/>
          <w:sz w:val="24"/>
          <w:szCs w:val="24"/>
        </w:rPr>
        <w:t>, there are</w:t>
      </w:r>
      <w:r w:rsidRPr="00256ACC">
        <w:rPr>
          <w:rFonts w:ascii="Arial" w:hAnsi="Arial" w:cs="Arial"/>
          <w:sz w:val="24"/>
          <w:szCs w:val="24"/>
        </w:rPr>
        <w:t xml:space="preserve"> also risks of exposure to others' distress, relapse stories, and emotional volatility.</w:t>
      </w:r>
      <w:r w:rsidR="0079387E" w:rsidRPr="00256ACC">
        <w:rPr>
          <w:rFonts w:ascii="Arial" w:hAnsi="Arial" w:cs="Arial"/>
          <w:sz w:val="24"/>
          <w:szCs w:val="24"/>
        </w:rPr>
        <w:t xml:space="preserve"> </w:t>
      </w:r>
      <w:r w:rsidRPr="00256ACC">
        <w:rPr>
          <w:rFonts w:ascii="Arial" w:hAnsi="Arial" w:cs="Arial"/>
          <w:sz w:val="24"/>
          <w:szCs w:val="24"/>
        </w:rPr>
        <w:t>Participants felt overwhelmed and anxious in this setting. One young person considered the significance of learning about other people's experiences, commenting To hear people who had got re</w:t>
      </w:r>
      <w:r w:rsidRPr="00256ACC">
        <w:rPr>
          <w:rFonts w:ascii="Cambria Math" w:hAnsi="Cambria Math" w:cs="Cambria Math"/>
          <w:sz w:val="24"/>
          <w:szCs w:val="24"/>
        </w:rPr>
        <w:t>‑</w:t>
      </w:r>
      <w:r w:rsidRPr="00256ACC">
        <w:rPr>
          <w:rFonts w:ascii="Arial" w:hAnsi="Arial" w:cs="Arial"/>
          <w:sz w:val="24"/>
          <w:szCs w:val="24"/>
        </w:rPr>
        <w:t>admitted…” (Lucy, Coopey &amp; Johnson</w:t>
      </w:r>
      <w:r w:rsidR="00B20060">
        <w:rPr>
          <w:rFonts w:ascii="Arial" w:hAnsi="Arial" w:cs="Arial"/>
          <w:sz w:val="24"/>
          <w:szCs w:val="24"/>
        </w:rPr>
        <w:t>, 2022</w:t>
      </w:r>
      <w:r w:rsidRPr="00256ACC">
        <w:rPr>
          <w:rFonts w:ascii="Arial" w:hAnsi="Arial" w:cs="Arial"/>
          <w:sz w:val="24"/>
          <w:szCs w:val="24"/>
        </w:rPr>
        <w:t>)</w:t>
      </w:r>
      <w:r w:rsidR="009A5245" w:rsidRPr="00256ACC">
        <w:rPr>
          <w:rFonts w:ascii="Arial" w:hAnsi="Arial" w:cs="Arial"/>
          <w:sz w:val="24"/>
          <w:szCs w:val="24"/>
        </w:rPr>
        <w:t xml:space="preserve"> demonstrating how seeing the setbacks of others can increase anxiety and doubt about one's own healing. Comparably, parents expressed feeling overwhelmed emotionally by the amount of sharing that is expected in group sessions, the visibility of others' pain, and the implicit pressure to share personal </w:t>
      </w:r>
      <w:r w:rsidR="009A5245" w:rsidRPr="00256ACC">
        <w:rPr>
          <w:rFonts w:ascii="Arial" w:hAnsi="Arial" w:cs="Arial"/>
          <w:sz w:val="24"/>
          <w:szCs w:val="24"/>
        </w:rPr>
        <w:lastRenderedPageBreak/>
        <w:t xml:space="preserve">experiences. In addition, the power dynamics present in </w:t>
      </w:r>
      <w:r w:rsidR="0079387E" w:rsidRPr="00256ACC">
        <w:rPr>
          <w:rFonts w:ascii="Arial" w:hAnsi="Arial" w:cs="Arial"/>
          <w:sz w:val="24"/>
          <w:szCs w:val="24"/>
        </w:rPr>
        <w:t>family-centred</w:t>
      </w:r>
      <w:r w:rsidR="009A5245" w:rsidRPr="00256ACC">
        <w:rPr>
          <w:rFonts w:ascii="Arial" w:hAnsi="Arial" w:cs="Arial"/>
          <w:sz w:val="24"/>
          <w:szCs w:val="24"/>
        </w:rPr>
        <w:t xml:space="preserve"> care frequently caused difficulties for young people. Many said that when their emotional needs were not given priority in highly structured therapeutic frameworks, they felt dismissed, unheard, or overridden.</w:t>
      </w:r>
    </w:p>
    <w:p w14:paraId="1C2D7FC2" w14:textId="27E40993" w:rsidR="003F3971" w:rsidRDefault="009A5245" w:rsidP="00256ACC">
      <w:pPr>
        <w:spacing w:line="276" w:lineRule="auto"/>
        <w:rPr>
          <w:rFonts w:ascii="Arial" w:hAnsi="Arial" w:cs="Arial"/>
          <w:sz w:val="24"/>
          <w:szCs w:val="24"/>
        </w:rPr>
      </w:pPr>
      <w:r w:rsidRPr="00256ACC">
        <w:rPr>
          <w:rFonts w:ascii="Arial" w:hAnsi="Arial" w:cs="Arial"/>
          <w:sz w:val="24"/>
          <w:szCs w:val="24"/>
        </w:rPr>
        <w:t>As one adolescent explained, “It didn’t focus on my emotions… it caused a battle between me and my parents” (Hayley, Conti et al.</w:t>
      </w:r>
      <w:r w:rsidR="00396501">
        <w:rPr>
          <w:rFonts w:ascii="Arial" w:hAnsi="Arial" w:cs="Arial"/>
          <w:sz w:val="24"/>
          <w:szCs w:val="24"/>
        </w:rPr>
        <w:t>, 2017</w:t>
      </w:r>
      <w:r w:rsidRPr="00256ACC">
        <w:rPr>
          <w:rFonts w:ascii="Arial" w:hAnsi="Arial" w:cs="Arial"/>
          <w:sz w:val="24"/>
          <w:szCs w:val="24"/>
        </w:rPr>
        <w:t>)</w:t>
      </w:r>
      <w:r w:rsidR="00B20060">
        <w:rPr>
          <w:rFonts w:ascii="Arial" w:hAnsi="Arial" w:cs="Arial"/>
          <w:sz w:val="24"/>
          <w:szCs w:val="24"/>
        </w:rPr>
        <w:t xml:space="preserve"> </w:t>
      </w:r>
      <w:r w:rsidRPr="00256ACC">
        <w:rPr>
          <w:rFonts w:ascii="Arial" w:hAnsi="Arial" w:cs="Arial"/>
          <w:sz w:val="24"/>
          <w:szCs w:val="24"/>
        </w:rPr>
        <w:t xml:space="preserve">These tensions can hinder involvement, especially when young people perceive treatment as "done to them" rather than "with them," emphasising the significance of balancing structure with emotional connection in </w:t>
      </w:r>
      <w:r w:rsidR="0039661B" w:rsidRPr="00256ACC">
        <w:rPr>
          <w:rFonts w:ascii="Arial" w:hAnsi="Arial" w:cs="Arial"/>
          <w:sz w:val="24"/>
          <w:szCs w:val="24"/>
        </w:rPr>
        <w:t>family-centred</w:t>
      </w:r>
      <w:r w:rsidRPr="00256ACC">
        <w:rPr>
          <w:rFonts w:ascii="Arial" w:hAnsi="Arial" w:cs="Arial"/>
          <w:sz w:val="24"/>
          <w:szCs w:val="24"/>
        </w:rPr>
        <w:t xml:space="preserve"> care.</w:t>
      </w:r>
      <w:r w:rsidR="00407167">
        <w:rPr>
          <w:rFonts w:ascii="Arial" w:hAnsi="Arial" w:cs="Arial"/>
          <w:sz w:val="24"/>
          <w:szCs w:val="24"/>
        </w:rPr>
        <w:t xml:space="preserve"> </w:t>
      </w:r>
      <w:r w:rsidR="003F3971" w:rsidRPr="003F3971">
        <w:rPr>
          <w:rFonts w:ascii="Arial" w:hAnsi="Arial" w:cs="Arial"/>
          <w:sz w:val="24"/>
          <w:szCs w:val="24"/>
        </w:rPr>
        <w:t xml:space="preserve">This emotional intensity </w:t>
      </w:r>
      <w:r w:rsidR="00543D4C">
        <w:rPr>
          <w:rFonts w:ascii="Arial" w:hAnsi="Arial" w:cs="Arial"/>
          <w:sz w:val="24"/>
          <w:szCs w:val="24"/>
        </w:rPr>
        <w:t xml:space="preserve">and </w:t>
      </w:r>
      <w:proofErr w:type="spellStart"/>
      <w:r w:rsidR="00352086">
        <w:rPr>
          <w:rFonts w:ascii="Arial" w:hAnsi="Arial" w:cs="Arial"/>
          <w:sz w:val="24"/>
          <w:szCs w:val="24"/>
        </w:rPr>
        <w:t>conflictation</w:t>
      </w:r>
      <w:proofErr w:type="spellEnd"/>
      <w:r w:rsidR="00352086">
        <w:rPr>
          <w:rFonts w:ascii="Arial" w:hAnsi="Arial" w:cs="Arial"/>
          <w:sz w:val="24"/>
          <w:szCs w:val="24"/>
        </w:rPr>
        <w:t xml:space="preserve"> of the mind is highlighted </w:t>
      </w:r>
      <w:r w:rsidR="003F3971" w:rsidRPr="003F3971">
        <w:rPr>
          <w:rFonts w:ascii="Arial" w:hAnsi="Arial" w:cs="Arial"/>
          <w:sz w:val="24"/>
          <w:szCs w:val="24"/>
        </w:rPr>
        <w:t>in Gao et al.’s study, where one young person described how the rapid focus on weight restoration felt overwhelming, stating that “when I saw that I was gaining weight it felt like the world was ending… it was so distressing” (Gao et al., 2025). Such accounts highlight how the behavioural demands of treatment can escalate emotional strain when adolescents feel unheard or unsupported, reinforcing the need for therapeutic approaches that attend to both physical recovery and emotional safety.</w:t>
      </w:r>
    </w:p>
    <w:p w14:paraId="72F3EB5F" w14:textId="4C5CB8E1" w:rsidR="009A5245" w:rsidRPr="00B20060" w:rsidRDefault="009A5245" w:rsidP="00256ACC">
      <w:pPr>
        <w:spacing w:line="276" w:lineRule="auto"/>
        <w:rPr>
          <w:rFonts w:ascii="Arial" w:hAnsi="Arial" w:cs="Arial"/>
          <w:sz w:val="24"/>
          <w:szCs w:val="24"/>
          <w:u w:val="single"/>
        </w:rPr>
      </w:pPr>
      <w:r w:rsidRPr="00B20060">
        <w:rPr>
          <w:rFonts w:ascii="Arial" w:hAnsi="Arial" w:cs="Arial"/>
          <w:sz w:val="24"/>
          <w:szCs w:val="24"/>
          <w:u w:val="single"/>
        </w:rPr>
        <w:t>Theme 3: Reclaiming Identity and Development — Emerging Beyond the Eating Disorder</w:t>
      </w:r>
    </w:p>
    <w:p w14:paraId="6CE8513B" w14:textId="4C7B4FE4" w:rsidR="009A5245" w:rsidRPr="00256ACC" w:rsidRDefault="009A5245" w:rsidP="00256ACC">
      <w:pPr>
        <w:spacing w:line="276" w:lineRule="auto"/>
        <w:rPr>
          <w:rFonts w:ascii="Arial" w:hAnsi="Arial" w:cs="Arial"/>
          <w:sz w:val="24"/>
          <w:szCs w:val="24"/>
        </w:rPr>
      </w:pPr>
      <w:r w:rsidRPr="00256ACC">
        <w:rPr>
          <w:rFonts w:ascii="Arial" w:hAnsi="Arial" w:cs="Arial"/>
          <w:sz w:val="24"/>
          <w:szCs w:val="24"/>
        </w:rPr>
        <w:t xml:space="preserve">The last theme illustrates how young people balanced developmental milestones, autonomy, and identity in organised </w:t>
      </w:r>
      <w:r w:rsidR="0079387E" w:rsidRPr="00256ACC">
        <w:rPr>
          <w:rFonts w:ascii="Arial" w:hAnsi="Arial" w:cs="Arial"/>
          <w:sz w:val="24"/>
          <w:szCs w:val="24"/>
        </w:rPr>
        <w:t>family-centred</w:t>
      </w:r>
      <w:r w:rsidRPr="00256ACC">
        <w:rPr>
          <w:rFonts w:ascii="Arial" w:hAnsi="Arial" w:cs="Arial"/>
          <w:sz w:val="24"/>
          <w:szCs w:val="24"/>
        </w:rPr>
        <w:t xml:space="preserve"> settings. Recovery was defined as a process of rediscovering oneself as well as a change in symptoms.</w:t>
      </w:r>
    </w:p>
    <w:p w14:paraId="3C96EF6D" w14:textId="0895DDC0" w:rsidR="009A5245" w:rsidRPr="00256ACC" w:rsidRDefault="0079387E" w:rsidP="00256ACC">
      <w:pPr>
        <w:spacing w:line="276" w:lineRule="auto"/>
        <w:rPr>
          <w:rFonts w:ascii="Arial" w:hAnsi="Arial" w:cs="Arial"/>
          <w:sz w:val="24"/>
          <w:szCs w:val="24"/>
        </w:rPr>
      </w:pPr>
      <w:r w:rsidRPr="00256ACC">
        <w:rPr>
          <w:rFonts w:ascii="Arial" w:hAnsi="Arial" w:cs="Arial"/>
          <w:sz w:val="24"/>
          <w:szCs w:val="24"/>
        </w:rPr>
        <w:t>Self-reflection</w:t>
      </w:r>
      <w:r w:rsidR="004579EF" w:rsidRPr="00256ACC">
        <w:rPr>
          <w:rFonts w:ascii="Arial" w:hAnsi="Arial" w:cs="Arial"/>
          <w:sz w:val="24"/>
          <w:szCs w:val="24"/>
        </w:rPr>
        <w:t xml:space="preserve"> upon being within </w:t>
      </w:r>
      <w:r w:rsidRPr="00256ACC">
        <w:rPr>
          <w:rFonts w:ascii="Arial" w:hAnsi="Arial" w:cs="Arial"/>
          <w:sz w:val="24"/>
          <w:szCs w:val="24"/>
        </w:rPr>
        <w:t>recovery</w:t>
      </w:r>
      <w:r w:rsidR="004579EF" w:rsidRPr="00256ACC">
        <w:rPr>
          <w:rFonts w:ascii="Arial" w:hAnsi="Arial" w:cs="Arial"/>
          <w:sz w:val="24"/>
          <w:szCs w:val="24"/>
        </w:rPr>
        <w:t xml:space="preserve"> or recovered showed how young people discussed being aware of how profoundly the eating disorder had become their identity, with this revelation often occurring retrospectively after physical and psychological recovery began.  "I look back and realise how bad I used to be…now I'm eating" (Meghan, Coopey &amp; Johnson</w:t>
      </w:r>
      <w:r w:rsidR="002649F1">
        <w:rPr>
          <w:rFonts w:ascii="Arial" w:hAnsi="Arial" w:cs="Arial"/>
          <w:sz w:val="24"/>
          <w:szCs w:val="24"/>
        </w:rPr>
        <w:t>, 2022</w:t>
      </w:r>
      <w:r w:rsidR="004579EF" w:rsidRPr="00256ACC">
        <w:rPr>
          <w:rFonts w:ascii="Arial" w:hAnsi="Arial" w:cs="Arial"/>
          <w:sz w:val="24"/>
          <w:szCs w:val="24"/>
        </w:rPr>
        <w:t>) demonstrating how recovery aided by better nourishment and emotional stability allowed for clearer self-reflection and self-awareness. This shift in perspective was frequently described as a turning point, marking the beginning of a more active and hopeful engagement with recovery.</w:t>
      </w:r>
    </w:p>
    <w:p w14:paraId="00AFDB9D" w14:textId="6101C2FA" w:rsidR="004579EF" w:rsidRPr="00256ACC" w:rsidRDefault="004579EF" w:rsidP="00256ACC">
      <w:pPr>
        <w:spacing w:line="276" w:lineRule="auto"/>
        <w:rPr>
          <w:rFonts w:ascii="Arial" w:hAnsi="Arial" w:cs="Arial"/>
          <w:sz w:val="24"/>
          <w:szCs w:val="24"/>
        </w:rPr>
      </w:pPr>
      <w:r w:rsidRPr="00256ACC">
        <w:rPr>
          <w:rFonts w:ascii="Arial" w:hAnsi="Arial" w:cs="Arial"/>
          <w:sz w:val="24"/>
          <w:szCs w:val="24"/>
        </w:rPr>
        <w:t>However, the process was not straightforward. During Family Based Therapy Phase 1, adolescents frequently experienced considerable developmental regression, feeling overwhelmed or the sense of being treated like a child  "pushed backwards" when parents took control of their diet and daily routines. “I felt thrown straight back to when I was 10 years old” (Medway et al.</w:t>
      </w:r>
      <w:r w:rsidR="002649F1">
        <w:rPr>
          <w:rFonts w:ascii="Arial" w:hAnsi="Arial" w:cs="Arial"/>
          <w:sz w:val="24"/>
          <w:szCs w:val="24"/>
        </w:rPr>
        <w:t>, 2019</w:t>
      </w:r>
      <w:r w:rsidRPr="00256ACC">
        <w:rPr>
          <w:rFonts w:ascii="Arial" w:hAnsi="Arial" w:cs="Arial"/>
          <w:sz w:val="24"/>
          <w:szCs w:val="24"/>
        </w:rPr>
        <w:t>)</w:t>
      </w:r>
    </w:p>
    <w:p w14:paraId="081D98A6" w14:textId="77777777" w:rsidR="007111D2" w:rsidRDefault="004579EF" w:rsidP="00256ACC">
      <w:pPr>
        <w:spacing w:line="276" w:lineRule="auto"/>
        <w:rPr>
          <w:rFonts w:ascii="Arial" w:hAnsi="Arial" w:cs="Arial"/>
          <w:sz w:val="24"/>
          <w:szCs w:val="24"/>
        </w:rPr>
      </w:pPr>
      <w:r w:rsidRPr="00256ACC">
        <w:rPr>
          <w:rFonts w:ascii="Arial" w:hAnsi="Arial" w:cs="Arial"/>
          <w:sz w:val="24"/>
          <w:szCs w:val="24"/>
        </w:rPr>
        <w:t xml:space="preserve">Despite this, subsequent stages of treatment facilitated the reestablishment, self-awareness and recovery within autonomy, independence, and self-identity that may have been lost through the eating disorder becoming their identity and foreshadowing </w:t>
      </w:r>
      <w:r w:rsidR="0079387E" w:rsidRPr="00256ACC">
        <w:rPr>
          <w:rFonts w:ascii="Arial" w:hAnsi="Arial" w:cs="Arial"/>
          <w:sz w:val="24"/>
          <w:szCs w:val="24"/>
        </w:rPr>
        <w:t>their</w:t>
      </w:r>
      <w:r w:rsidRPr="00256ACC">
        <w:rPr>
          <w:rFonts w:ascii="Arial" w:hAnsi="Arial" w:cs="Arial"/>
          <w:sz w:val="24"/>
          <w:szCs w:val="24"/>
        </w:rPr>
        <w:t xml:space="preserve"> true self. As their confidence and emotional ability recovered, younger people recalled reconnecting with their classmates, hobbies, education, and future goals. One participant stated, "They know how to manage my meltdowns now…they know how to support me" (Lilly, Coopey &amp; Johnson</w:t>
      </w:r>
      <w:r w:rsidR="001404B4">
        <w:rPr>
          <w:rFonts w:ascii="Arial" w:hAnsi="Arial" w:cs="Arial"/>
          <w:sz w:val="24"/>
          <w:szCs w:val="24"/>
        </w:rPr>
        <w:t>, 2022</w:t>
      </w:r>
      <w:r w:rsidRPr="00256ACC">
        <w:rPr>
          <w:rFonts w:ascii="Arial" w:hAnsi="Arial" w:cs="Arial"/>
          <w:sz w:val="24"/>
          <w:szCs w:val="24"/>
        </w:rPr>
        <w:t xml:space="preserve">), demonstrating </w:t>
      </w:r>
      <w:r w:rsidRPr="00256ACC">
        <w:rPr>
          <w:rFonts w:ascii="Arial" w:hAnsi="Arial" w:cs="Arial"/>
          <w:sz w:val="24"/>
          <w:szCs w:val="24"/>
        </w:rPr>
        <w:lastRenderedPageBreak/>
        <w:t>how improved family understanding promoted emotional communication and relational rebuilding</w:t>
      </w:r>
      <w:r w:rsidR="007111D2">
        <w:rPr>
          <w:rFonts w:ascii="Arial" w:hAnsi="Arial" w:cs="Arial"/>
          <w:sz w:val="24"/>
          <w:szCs w:val="24"/>
        </w:rPr>
        <w:t>. A</w:t>
      </w:r>
      <w:r w:rsidR="007111D2" w:rsidRPr="007111D2">
        <w:rPr>
          <w:rFonts w:ascii="Arial" w:hAnsi="Arial" w:cs="Arial"/>
          <w:sz w:val="24"/>
          <w:szCs w:val="24"/>
        </w:rPr>
        <w:t>nother young person described this developmental re</w:t>
      </w:r>
      <w:r w:rsidR="007111D2" w:rsidRPr="007111D2">
        <w:rPr>
          <w:rFonts w:ascii="Cambria Math" w:hAnsi="Cambria Math" w:cs="Cambria Math"/>
          <w:sz w:val="24"/>
          <w:szCs w:val="24"/>
        </w:rPr>
        <w:t>‑</w:t>
      </w:r>
      <w:r w:rsidR="007111D2" w:rsidRPr="007111D2">
        <w:rPr>
          <w:rFonts w:ascii="Arial" w:hAnsi="Arial" w:cs="Arial"/>
          <w:sz w:val="24"/>
          <w:szCs w:val="24"/>
        </w:rPr>
        <w:t>emergence, noting, “As I had more control, I felt like I was more free and more able to enjoy my social life… the more I got, the more beneficial it was for me.” (Medway et al., 2019)</w:t>
      </w:r>
      <w:r w:rsidR="007111D2">
        <w:rPr>
          <w:rFonts w:ascii="Arial" w:hAnsi="Arial" w:cs="Arial"/>
          <w:sz w:val="24"/>
          <w:szCs w:val="24"/>
        </w:rPr>
        <w:t xml:space="preserve"> </w:t>
      </w:r>
      <w:r w:rsidRPr="00256ACC">
        <w:rPr>
          <w:rFonts w:ascii="Arial" w:hAnsi="Arial" w:cs="Arial"/>
          <w:sz w:val="24"/>
          <w:szCs w:val="24"/>
        </w:rPr>
        <w:t>Families also altered roles and boundaries, with parents learning to "step back" when adolescents restored milestones in their development that were once taken away for their own safety.</w:t>
      </w:r>
    </w:p>
    <w:p w14:paraId="5A4F71FC" w14:textId="69088D32" w:rsidR="004579EF" w:rsidRPr="00256ACC" w:rsidRDefault="004579EF" w:rsidP="00256ACC">
      <w:pPr>
        <w:spacing w:line="276" w:lineRule="auto"/>
        <w:rPr>
          <w:rFonts w:ascii="Arial" w:hAnsi="Arial" w:cs="Arial"/>
          <w:sz w:val="24"/>
          <w:szCs w:val="24"/>
        </w:rPr>
      </w:pPr>
      <w:r w:rsidRPr="00256ACC">
        <w:rPr>
          <w:rFonts w:ascii="Arial" w:hAnsi="Arial" w:cs="Arial"/>
          <w:sz w:val="24"/>
          <w:szCs w:val="24"/>
        </w:rPr>
        <w:t xml:space="preserve"> Effectively showing that recovery is linked to identity, autonomy, and re-establishing a sense of self, rather than solely behavioural changes.</w:t>
      </w:r>
    </w:p>
    <w:p w14:paraId="19BDDDC8" w14:textId="34E7A3E9" w:rsidR="006323DA" w:rsidRPr="00256ACC" w:rsidRDefault="006323DA" w:rsidP="00256ACC">
      <w:pPr>
        <w:spacing w:line="276" w:lineRule="auto"/>
        <w:rPr>
          <w:rFonts w:ascii="Arial" w:hAnsi="Arial" w:cs="Arial"/>
          <w:sz w:val="24"/>
          <w:szCs w:val="24"/>
          <w:u w:val="single"/>
        </w:rPr>
      </w:pPr>
      <w:r w:rsidRPr="00256ACC">
        <w:rPr>
          <w:rFonts w:ascii="Arial" w:hAnsi="Arial" w:cs="Arial"/>
          <w:sz w:val="24"/>
          <w:szCs w:val="24"/>
          <w:u w:val="single"/>
        </w:rPr>
        <w:t>Discussion</w:t>
      </w:r>
    </w:p>
    <w:p w14:paraId="7CED9C36"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This systematic literature review examined how young people and their families experience family</w:t>
      </w:r>
      <w:r w:rsidRPr="005019E1">
        <w:rPr>
          <w:rFonts w:ascii="Cambria Math" w:hAnsi="Cambria Math" w:cs="Cambria Math"/>
          <w:sz w:val="24"/>
          <w:szCs w:val="24"/>
        </w:rPr>
        <w:t>‑</w:t>
      </w:r>
      <w:r w:rsidRPr="005019E1">
        <w:rPr>
          <w:rFonts w:ascii="Arial" w:hAnsi="Arial" w:cs="Arial"/>
          <w:sz w:val="24"/>
          <w:szCs w:val="24"/>
        </w:rPr>
        <w:t>based interventions for eating disorders and how they perceive their impact. Synthesising qualitative findings from six studies, three overarching themes were identified: Connection, Recognition, and the Power of Shared Experience; Control, Conflict, and the Emotional Weight of Family</w:t>
      </w:r>
      <w:r w:rsidRPr="005019E1">
        <w:rPr>
          <w:rFonts w:ascii="Cambria Math" w:hAnsi="Cambria Math" w:cs="Cambria Math"/>
          <w:sz w:val="24"/>
          <w:szCs w:val="24"/>
        </w:rPr>
        <w:t>‑</w:t>
      </w:r>
      <w:r w:rsidRPr="005019E1">
        <w:rPr>
          <w:rFonts w:ascii="Arial" w:hAnsi="Arial" w:cs="Arial"/>
          <w:sz w:val="24"/>
          <w:szCs w:val="24"/>
        </w:rPr>
        <w:t>Centred Treatment; and Reclaiming Identity and Development — Emerging Beyond the Eating Disorder. Together, these themes illuminate the emotional, relational, and developmental processes that shape how family therapy is lived and understood by those directly involved.</w:t>
      </w:r>
    </w:p>
    <w:p w14:paraId="428EBBBA"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Considering the question at the forefront of conducting this literature review, “What are the experiences and perceived impacts of family therapy interventions for eating disorders among young people and their families?” Relating each theme and how it relates is crucial to highlight whether this question has truly been answered.</w:t>
      </w:r>
    </w:p>
    <w:p w14:paraId="78C4AF00"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Theme one highlighted the importance of connection, common understanding, and emotional validation in influencing treatment experiences for families. Across all six studies, families acknowledged entering therapy feeling overwhelmed, isolated, and unsure how to deal with the emotional and behavioural issues of anorexia nervosa. The opportunity to meet people going through similar problems lessened emotions of guilt and loneliness, creating a sense of solidarity that made families as a result, feel far less isolated and alone within their journey. This study supports systemic and relational theories that highlight the role of belonging, connection, and shared decision-making within therapeutic development.</w:t>
      </w:r>
    </w:p>
    <w:p w14:paraId="2C7A8A70"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It also supports earlier studies demonstrating that MFT promotes shared learning, emotional expression, and shared resilience, notably by providing a space for families to see each other's successes and setbacks in a secure space. Parents commonly indicated that hearing others express similar anxiety and frustrations helped to normalise their own feelings, lessening the sense of personal failure that often comes with caring for a child with anorexia. Adolescents also welcomed the opportunity to hear from peers, which helped normalise their experiences and reduce shame, in line with developmental literature that emphasises the importance of peer validation during adolescence.</w:t>
      </w:r>
    </w:p>
    <w:p w14:paraId="741DB2D7"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lastRenderedPageBreak/>
        <w:t>By separating the young person from the illness, families were able to view undesirable behaviours as symptoms rather than deliberate defiance. The change of thought process and increased awareness helped in decreasing conflict while increasing empathy, resulting in more sympathetic and effective communication. Externalisation is an important therapeutic technique in FBT, allowing families to come together against the illness rather than each other. Overall, the findings in Theme 1 show that repairing connections and communication is essential to allow recovery to occur rather than just a therapeutic-based outcome. The emotional safety that comes from shared knowledge tends to be a significant facilitator of engagement, making families feel more hopeful, connected, and eager to participate in the therapeutic process when they have someone who can relate to them directly rather than as a therapist.</w:t>
      </w:r>
    </w:p>
    <w:p w14:paraId="3262DF3D"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The second theme focus was emphasised upon the emotional and relational conflicts present in family-centred therapies. While FBT and inpatient programs provide important structure for medical stabilisation purposes, many young people report feeling controlled, monitored, or silenced. Rigid regulations, meal monitoring, and limited autonomy were frequently perceived as intrusive and leading to a sense of control rather than support. This reflects long-standing criticisms that FBT can be coercive or intimidating for adolescents, especially during Phase 1, when control from parents is enforced by the therapist, causing parents to have strict boundaries in what they must control. The tension between safety and autonomy is a major difficulty in young people's eating disorder treatment, and the findings of this study show how quickly this balance can tilt into conflict when young people believe their opinions are not being heard.</w:t>
      </w:r>
    </w:p>
    <w:p w14:paraId="161AE7D3"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In the meantime, parents reported feeling a great deal of pressure, guilt, and failure-related anxiety. Families were emotionally burdened by the idea that they would be responsible for refeeding, and they frequently felt scrutinised or judged for their child's development. This is consistent with studies demonstrating that anxiety, self-doubt, and emotional tiredness are common among parents in FBT. This burden was exacerbated by the emotional labour of handling disputes at mealtimes, keeping an eye on habits, and upholding regularity. Parents frequently believed that every failure was a reflection of their own shortcomings, which fuelled feelings of self-blame and guilt.</w:t>
      </w:r>
    </w:p>
    <w:p w14:paraId="213C5A21"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Exposure to others' experiences where they have relapsed can heighten anxiety and make one feel vulnerable. One of the main conclusions that is drawn is this dual nature between connection. It can be both healing and overwhelming.</w:t>
      </w:r>
    </w:p>
    <w:p w14:paraId="235A5A9D" w14:textId="77777777" w:rsidR="005019E1" w:rsidRPr="005019E1" w:rsidRDefault="005019E1" w:rsidP="005019E1">
      <w:pPr>
        <w:spacing w:line="276" w:lineRule="auto"/>
        <w:rPr>
          <w:rFonts w:ascii="Arial" w:hAnsi="Arial" w:cs="Arial"/>
          <w:sz w:val="24"/>
          <w:szCs w:val="24"/>
        </w:rPr>
      </w:pPr>
      <w:r w:rsidRPr="005019E1">
        <w:rPr>
          <w:rFonts w:ascii="Arial" w:hAnsi="Arial" w:cs="Arial"/>
          <w:sz w:val="24"/>
          <w:szCs w:val="24"/>
        </w:rPr>
        <w:t xml:space="preserve">When their emotional needs were not given priority, young people reported feeling ignored or unheard. They also struggled with power dynamics. Engagement was occasionally hindered by this conflict, especially when therapy seemed forced rather than helpful and supportive, giving them the ability to collaborate with others. In general, Theme 2 emphasises the necessity of family-centred interventions that </w:t>
      </w:r>
      <w:r w:rsidRPr="005019E1">
        <w:rPr>
          <w:rFonts w:ascii="Arial" w:hAnsi="Arial" w:cs="Arial"/>
          <w:sz w:val="24"/>
          <w:szCs w:val="24"/>
        </w:rPr>
        <w:lastRenderedPageBreak/>
        <w:t>strike a balance between structure and sensitivity, making sure that behavioural objectives are met in addition to emotional needs and developmental considerations.</w:t>
      </w:r>
    </w:p>
    <w:p w14:paraId="50E01171" w14:textId="77777777" w:rsidR="005019E1" w:rsidRDefault="005019E1" w:rsidP="005019E1">
      <w:pPr>
        <w:spacing w:line="276" w:lineRule="auto"/>
        <w:rPr>
          <w:rFonts w:ascii="Arial" w:hAnsi="Arial" w:cs="Arial"/>
          <w:sz w:val="24"/>
          <w:szCs w:val="24"/>
        </w:rPr>
      </w:pPr>
      <w:r w:rsidRPr="005019E1">
        <w:rPr>
          <w:rFonts w:ascii="Arial" w:hAnsi="Arial" w:cs="Arial"/>
          <w:sz w:val="24"/>
          <w:szCs w:val="24"/>
        </w:rPr>
        <w:t>The third theme emphasised recovery and identifying how deeply they had been affected by the eating disorder and how it had changed the way in which they had perceived themselves. Therefore, highlighting how recovery also includes the turning point when previous aspects of the disorder are noticed and can be shaped and worked upon whilst reestablishing their self-perspective and self-awareness now that the eating disorder is not the main thing on their mind. This theme underscores that recovery is not merely behavioural but deeply intertwined with identity, autonomy, and developmental progression. The findings suggest that family</w:t>
      </w:r>
      <w:r w:rsidRPr="005019E1">
        <w:rPr>
          <w:rFonts w:ascii="Cambria Math" w:hAnsi="Cambria Math" w:cs="Cambria Math"/>
          <w:sz w:val="24"/>
          <w:szCs w:val="24"/>
        </w:rPr>
        <w:t>‑</w:t>
      </w:r>
      <w:r w:rsidRPr="005019E1">
        <w:rPr>
          <w:rFonts w:ascii="Arial" w:hAnsi="Arial" w:cs="Arial"/>
          <w:sz w:val="24"/>
          <w:szCs w:val="24"/>
        </w:rPr>
        <w:t>centred interventions must explicitly support developmental needs, helping young people reclaim a sense of self that may have been overshadowed by the illness.</w:t>
      </w:r>
    </w:p>
    <w:p w14:paraId="5E47F2CA" w14:textId="76AC73B6" w:rsidR="00A52D87" w:rsidRPr="00256ACC" w:rsidRDefault="00D02914" w:rsidP="005019E1">
      <w:pPr>
        <w:spacing w:line="276" w:lineRule="auto"/>
        <w:rPr>
          <w:rFonts w:ascii="Arial" w:hAnsi="Arial" w:cs="Arial"/>
          <w:sz w:val="24"/>
          <w:szCs w:val="24"/>
          <w:u w:val="single"/>
        </w:rPr>
      </w:pPr>
      <w:r w:rsidRPr="00256ACC">
        <w:rPr>
          <w:rFonts w:ascii="Arial" w:hAnsi="Arial" w:cs="Arial"/>
          <w:sz w:val="24"/>
          <w:szCs w:val="24"/>
          <w:u w:val="single"/>
        </w:rPr>
        <w:t>Limitations</w:t>
      </w:r>
      <w:r w:rsidR="00F712FC" w:rsidRPr="00256ACC">
        <w:rPr>
          <w:rFonts w:ascii="Arial" w:hAnsi="Arial" w:cs="Arial"/>
          <w:sz w:val="24"/>
          <w:szCs w:val="24"/>
          <w:u w:val="single"/>
        </w:rPr>
        <w:t xml:space="preserve"> and Implications</w:t>
      </w:r>
    </w:p>
    <w:p w14:paraId="4AECF187" w14:textId="34E6FEFE" w:rsidR="002A2A7C" w:rsidRPr="002A2A7C" w:rsidRDefault="002A2A7C" w:rsidP="002A2A7C">
      <w:pPr>
        <w:spacing w:line="276" w:lineRule="auto"/>
        <w:rPr>
          <w:rFonts w:ascii="Arial" w:hAnsi="Arial" w:cs="Arial"/>
          <w:sz w:val="24"/>
          <w:szCs w:val="24"/>
        </w:rPr>
      </w:pPr>
      <w:r w:rsidRPr="002A2A7C">
        <w:rPr>
          <w:rFonts w:ascii="Arial" w:hAnsi="Arial" w:cs="Arial"/>
          <w:sz w:val="24"/>
          <w:szCs w:val="24"/>
        </w:rPr>
        <w:t xml:space="preserve">The review’s conclusions have several important implications for clinical practice. Emotional safety must be prioritised alongside behavioural objectives. While structure is essential for medical stabilisation, clinicians must ensure that young people feel acknowledged, validated, and emotionally supported. Providing space for emotional expression may increase engagement and reduce resistance. Parents also require strong guidance and support; without it, the emotional strain of caring for a young person with an eating disorder can significantly affect their </w:t>
      </w:r>
      <w:r>
        <w:rPr>
          <w:rFonts w:ascii="Arial" w:hAnsi="Arial" w:cs="Arial"/>
          <w:sz w:val="24"/>
          <w:szCs w:val="24"/>
        </w:rPr>
        <w:t>well-being</w:t>
      </w:r>
      <w:r w:rsidRPr="002A2A7C">
        <w:rPr>
          <w:rFonts w:ascii="Arial" w:hAnsi="Arial" w:cs="Arial"/>
          <w:sz w:val="24"/>
          <w:szCs w:val="24"/>
        </w:rPr>
        <w:t>, as the role is mentally, emotionally, and physically demanding. Family therapists</w:t>
      </w:r>
      <w:r>
        <w:rPr>
          <w:rFonts w:ascii="Arial" w:hAnsi="Arial" w:cs="Arial"/>
          <w:sz w:val="24"/>
          <w:szCs w:val="24"/>
        </w:rPr>
        <w:t>,</w:t>
      </w:r>
      <w:r w:rsidRPr="002A2A7C">
        <w:rPr>
          <w:rFonts w:ascii="Arial" w:hAnsi="Arial" w:cs="Arial"/>
          <w:sz w:val="24"/>
          <w:szCs w:val="24"/>
        </w:rPr>
        <w:t xml:space="preserve"> therefore</w:t>
      </w:r>
      <w:r>
        <w:rPr>
          <w:rFonts w:ascii="Arial" w:hAnsi="Arial" w:cs="Arial"/>
          <w:sz w:val="24"/>
          <w:szCs w:val="24"/>
        </w:rPr>
        <w:t>,</w:t>
      </w:r>
      <w:r w:rsidRPr="002A2A7C">
        <w:rPr>
          <w:rFonts w:ascii="Arial" w:hAnsi="Arial" w:cs="Arial"/>
          <w:sz w:val="24"/>
          <w:szCs w:val="24"/>
        </w:rPr>
        <w:t xml:space="preserve"> play a crucial role in offering a reflective, supportive environment that helps parents and families feel safe, while reducing guilt, anxiety, and self</w:t>
      </w:r>
      <w:r w:rsidRPr="002A2A7C">
        <w:rPr>
          <w:rFonts w:ascii="Cambria Math" w:hAnsi="Cambria Math" w:cs="Cambria Math"/>
          <w:sz w:val="24"/>
          <w:szCs w:val="24"/>
        </w:rPr>
        <w:t>‑</w:t>
      </w:r>
      <w:r w:rsidRPr="002A2A7C">
        <w:rPr>
          <w:rFonts w:ascii="Arial" w:hAnsi="Arial" w:cs="Arial"/>
          <w:sz w:val="24"/>
          <w:szCs w:val="24"/>
        </w:rPr>
        <w:t>blame throughout the recovery process. This also includes ensuring that siblings receive support, as they experience major transitions during this time.</w:t>
      </w:r>
    </w:p>
    <w:p w14:paraId="7EFAB25D" w14:textId="77777777" w:rsidR="002A2A7C" w:rsidRPr="002A2A7C" w:rsidRDefault="002A2A7C" w:rsidP="002A2A7C">
      <w:pPr>
        <w:spacing w:line="276" w:lineRule="auto"/>
        <w:rPr>
          <w:rFonts w:ascii="Arial" w:hAnsi="Arial" w:cs="Arial"/>
          <w:sz w:val="24"/>
          <w:szCs w:val="24"/>
        </w:rPr>
      </w:pPr>
      <w:r w:rsidRPr="002A2A7C">
        <w:rPr>
          <w:rFonts w:ascii="Arial" w:hAnsi="Arial" w:cs="Arial"/>
          <w:sz w:val="24"/>
          <w:szCs w:val="24"/>
        </w:rPr>
        <w:t>Addressing developmental needs throughout treatment is equally important. Particularly in later phases, interventions should actively promote autonomy, identity development, and age</w:t>
      </w:r>
      <w:r w:rsidRPr="002A2A7C">
        <w:rPr>
          <w:rFonts w:ascii="Cambria Math" w:hAnsi="Cambria Math" w:cs="Cambria Math"/>
          <w:sz w:val="24"/>
          <w:szCs w:val="24"/>
        </w:rPr>
        <w:t>‑</w:t>
      </w:r>
      <w:r w:rsidRPr="002A2A7C">
        <w:rPr>
          <w:rFonts w:ascii="Arial" w:hAnsi="Arial" w:cs="Arial"/>
          <w:sz w:val="24"/>
          <w:szCs w:val="24"/>
        </w:rPr>
        <w:t>appropriate independence. Group therapies must also be carefully managed: although they provide valuable opportunities for connection, they can be emotionally overwhelming, requiring clinicians to maintain psychological safety and offer protected spaces when needed.</w:t>
      </w:r>
    </w:p>
    <w:p w14:paraId="7A6BA170" w14:textId="77777777" w:rsidR="002A2A7C" w:rsidRDefault="002A2A7C" w:rsidP="002A2A7C">
      <w:pPr>
        <w:spacing w:line="276" w:lineRule="auto"/>
        <w:rPr>
          <w:rFonts w:ascii="Arial" w:hAnsi="Arial" w:cs="Arial"/>
          <w:sz w:val="24"/>
          <w:szCs w:val="24"/>
        </w:rPr>
      </w:pPr>
      <w:r w:rsidRPr="002A2A7C">
        <w:rPr>
          <w:rFonts w:ascii="Arial" w:hAnsi="Arial" w:cs="Arial"/>
          <w:sz w:val="24"/>
          <w:szCs w:val="24"/>
        </w:rPr>
        <w:t>Despite their central role in family dynamics, sibling experiences remain underrepresented, highlighting the need for further research.</w:t>
      </w:r>
    </w:p>
    <w:p w14:paraId="303CA032" w14:textId="0842816B" w:rsidR="006A720A" w:rsidRPr="00256ACC" w:rsidRDefault="006A720A" w:rsidP="002A2A7C">
      <w:pPr>
        <w:spacing w:line="276" w:lineRule="auto"/>
        <w:rPr>
          <w:rFonts w:ascii="Arial" w:hAnsi="Arial" w:cs="Arial"/>
          <w:sz w:val="24"/>
          <w:szCs w:val="24"/>
          <w:u w:val="single"/>
        </w:rPr>
      </w:pPr>
      <w:r w:rsidRPr="00256ACC">
        <w:rPr>
          <w:rFonts w:ascii="Arial" w:hAnsi="Arial" w:cs="Arial"/>
          <w:sz w:val="24"/>
          <w:szCs w:val="24"/>
          <w:u w:val="single"/>
        </w:rPr>
        <w:t>Conclusion</w:t>
      </w:r>
    </w:p>
    <w:p w14:paraId="488C0C47" w14:textId="77777777" w:rsidR="00405AA9" w:rsidRDefault="006D0811" w:rsidP="00256ACC">
      <w:pPr>
        <w:spacing w:line="276" w:lineRule="auto"/>
        <w:rPr>
          <w:rFonts w:ascii="Arial" w:hAnsi="Arial" w:cs="Arial"/>
          <w:sz w:val="24"/>
          <w:szCs w:val="24"/>
        </w:rPr>
      </w:pPr>
      <w:r w:rsidRPr="006D0811">
        <w:rPr>
          <w:rFonts w:ascii="Arial" w:hAnsi="Arial" w:cs="Arial"/>
          <w:sz w:val="24"/>
          <w:szCs w:val="24"/>
        </w:rPr>
        <w:t xml:space="preserve">Family therapy for eating disorders is emotionally complex, combining support, conflict, and developmental change. Young people and parents report improved communication, empathy, and identity recovery. </w:t>
      </w:r>
      <w:r w:rsidR="00405AA9" w:rsidRPr="00405AA9">
        <w:rPr>
          <w:rFonts w:ascii="Arial" w:hAnsi="Arial" w:cs="Arial"/>
          <w:sz w:val="24"/>
          <w:szCs w:val="24"/>
        </w:rPr>
        <w:t xml:space="preserve">Overall, the review shows that recovery is not an individual journey but a journey interlinked with the well-being, understanding, and involvement of those who surround the young person at the forefront. </w:t>
      </w:r>
    </w:p>
    <w:p w14:paraId="769BF13B" w14:textId="7AD13FDD" w:rsidR="0039661B" w:rsidRPr="00256ACC" w:rsidRDefault="0039661B" w:rsidP="00256ACC">
      <w:pPr>
        <w:spacing w:line="276" w:lineRule="auto"/>
        <w:rPr>
          <w:rFonts w:ascii="Arial" w:hAnsi="Arial" w:cs="Arial"/>
          <w:sz w:val="24"/>
          <w:szCs w:val="24"/>
        </w:rPr>
      </w:pPr>
      <w:r w:rsidRPr="00256ACC">
        <w:rPr>
          <w:rFonts w:ascii="Arial" w:hAnsi="Arial" w:cs="Arial"/>
          <w:sz w:val="24"/>
          <w:szCs w:val="24"/>
          <w:u w:val="single"/>
        </w:rPr>
        <w:lastRenderedPageBreak/>
        <w:t>References</w:t>
      </w:r>
    </w:p>
    <w:p w14:paraId="4769C23D" w14:textId="77777777" w:rsidR="0039661B" w:rsidRPr="00256ACC" w:rsidRDefault="0039661B" w:rsidP="00256ACC">
      <w:pPr>
        <w:pStyle w:val="NormalWeb"/>
        <w:spacing w:line="276" w:lineRule="auto"/>
        <w:rPr>
          <w:rFonts w:ascii="Arial" w:hAnsi="Arial" w:cs="Arial"/>
        </w:rPr>
      </w:pPr>
      <w:r w:rsidRPr="00256ACC">
        <w:rPr>
          <w:rFonts w:ascii="Arial" w:hAnsi="Arial" w:cs="Arial"/>
          <w:lang w:val="de-DE"/>
        </w:rPr>
        <w:t xml:space="preserve">Brinchmann, B. S., &amp; Krvavac, S. (2021). </w:t>
      </w:r>
      <w:r w:rsidRPr="00256ACC">
        <w:rPr>
          <w:rFonts w:ascii="Arial" w:hAnsi="Arial" w:cs="Arial"/>
        </w:rPr>
        <w:t xml:space="preserve">“Breaking down the wall” patients` and families` experience of multifamily therapy for young adult women with severe eating disorders. </w:t>
      </w:r>
      <w:r w:rsidRPr="00256ACC">
        <w:rPr>
          <w:rFonts w:ascii="Arial" w:hAnsi="Arial" w:cs="Arial"/>
          <w:i/>
          <w:iCs/>
        </w:rPr>
        <w:t>Journal of Eating Disorders</w:t>
      </w:r>
      <w:r w:rsidRPr="00256ACC">
        <w:rPr>
          <w:rFonts w:ascii="Arial" w:hAnsi="Arial" w:cs="Arial"/>
        </w:rPr>
        <w:t>, 9(1), 56.</w:t>
      </w:r>
    </w:p>
    <w:p w14:paraId="3F4D803E" w14:textId="77777777" w:rsidR="0039661B" w:rsidRPr="00256ACC" w:rsidRDefault="0039661B" w:rsidP="00256ACC">
      <w:pPr>
        <w:pStyle w:val="NormalWeb"/>
        <w:spacing w:line="276" w:lineRule="auto"/>
        <w:rPr>
          <w:rFonts w:ascii="Arial" w:hAnsi="Arial" w:cs="Arial"/>
        </w:rPr>
      </w:pPr>
      <w:r w:rsidRPr="00256ACC">
        <w:rPr>
          <w:rFonts w:ascii="Arial" w:hAnsi="Arial" w:cs="Arial"/>
        </w:rPr>
        <w:t xml:space="preserve">Conti, J., Calder, J., </w:t>
      </w:r>
      <w:proofErr w:type="spellStart"/>
      <w:r w:rsidRPr="00256ACC">
        <w:rPr>
          <w:rFonts w:ascii="Arial" w:hAnsi="Arial" w:cs="Arial"/>
        </w:rPr>
        <w:t>Cibralic</w:t>
      </w:r>
      <w:proofErr w:type="spellEnd"/>
      <w:r w:rsidRPr="00256ACC">
        <w:rPr>
          <w:rFonts w:ascii="Arial" w:hAnsi="Arial" w:cs="Arial"/>
        </w:rPr>
        <w:t>, S., Rhodes, P., Meade, T., &amp; Hewson, D. (2017). ‘Somebody else's roadmap’: Lived experience of Maudsley and family</w:t>
      </w:r>
      <w:r w:rsidRPr="00256ACC">
        <w:rPr>
          <w:rFonts w:ascii="Cambria Math" w:hAnsi="Cambria Math" w:cs="Cambria Math"/>
        </w:rPr>
        <w:t>‐</w:t>
      </w:r>
      <w:r w:rsidRPr="00256ACC">
        <w:rPr>
          <w:rFonts w:ascii="Arial" w:hAnsi="Arial" w:cs="Arial"/>
        </w:rPr>
        <w:t xml:space="preserve">based therapy for adolescent anorexia nervosa. </w:t>
      </w:r>
      <w:r w:rsidRPr="00256ACC">
        <w:rPr>
          <w:rFonts w:ascii="Arial" w:hAnsi="Arial" w:cs="Arial"/>
          <w:i/>
          <w:iCs/>
        </w:rPr>
        <w:t>Australian and New Zealand Journal of Family Therapy, 38</w:t>
      </w:r>
      <w:r w:rsidRPr="00256ACC">
        <w:rPr>
          <w:rFonts w:ascii="Arial" w:hAnsi="Arial" w:cs="Arial"/>
        </w:rPr>
        <w:t>(3), 405-429.</w:t>
      </w:r>
    </w:p>
    <w:p w14:paraId="1B3D9B73" w14:textId="77777777" w:rsidR="0039661B" w:rsidRPr="00256ACC" w:rsidRDefault="0039661B" w:rsidP="00256ACC">
      <w:pPr>
        <w:pStyle w:val="NormalWeb"/>
        <w:spacing w:line="276" w:lineRule="auto"/>
        <w:rPr>
          <w:rFonts w:ascii="Arial" w:hAnsi="Arial" w:cs="Arial"/>
        </w:rPr>
      </w:pPr>
      <w:r w:rsidRPr="00256ACC">
        <w:rPr>
          <w:rFonts w:ascii="Arial" w:hAnsi="Arial" w:cs="Arial"/>
        </w:rPr>
        <w:t xml:space="preserve">Coopey, E., &amp; Johnson, G. (2022). Exploring the experience of young people receiving treatment for an eating disorder: family therapy for anorexia nervosa and multi-family therapy in an inpatient setting. </w:t>
      </w:r>
      <w:r w:rsidRPr="00256ACC">
        <w:rPr>
          <w:rFonts w:ascii="Arial" w:hAnsi="Arial" w:cs="Arial"/>
          <w:i/>
          <w:iCs/>
        </w:rPr>
        <w:t>Journal of Eating Disorders, 10</w:t>
      </w:r>
      <w:r w:rsidRPr="00256ACC">
        <w:rPr>
          <w:rFonts w:ascii="Arial" w:hAnsi="Arial" w:cs="Arial"/>
        </w:rPr>
        <w:t xml:space="preserve">(1), 101. </w:t>
      </w:r>
    </w:p>
    <w:p w14:paraId="258144D9" w14:textId="77777777" w:rsidR="0039661B" w:rsidRPr="00256ACC" w:rsidRDefault="0039661B" w:rsidP="00256ACC">
      <w:pPr>
        <w:pStyle w:val="NormalWeb"/>
        <w:spacing w:line="276" w:lineRule="auto"/>
        <w:rPr>
          <w:rFonts w:ascii="Arial" w:hAnsi="Arial" w:cs="Arial"/>
        </w:rPr>
      </w:pPr>
      <w:r w:rsidRPr="00256ACC">
        <w:rPr>
          <w:rFonts w:ascii="Arial" w:hAnsi="Arial" w:cs="Arial"/>
        </w:rPr>
        <w:t>Gao, C., Drury, C. R., Singh, S., Le Grange, D., &amp; Gorrell, S. (2025). Adolescent Patient Perspectives on Family</w:t>
      </w:r>
      <w:r w:rsidRPr="00256ACC">
        <w:rPr>
          <w:rFonts w:ascii="Cambria Math" w:hAnsi="Cambria Math" w:cs="Cambria Math"/>
        </w:rPr>
        <w:t>‐</w:t>
      </w:r>
      <w:r w:rsidRPr="00256ACC">
        <w:rPr>
          <w:rFonts w:ascii="Arial" w:hAnsi="Arial" w:cs="Arial"/>
        </w:rPr>
        <w:t xml:space="preserve">Based Treatment: A Pilot Study. </w:t>
      </w:r>
      <w:r w:rsidRPr="00256ACC">
        <w:rPr>
          <w:rFonts w:ascii="Arial" w:hAnsi="Arial" w:cs="Arial"/>
          <w:i/>
          <w:iCs/>
        </w:rPr>
        <w:t>International Journal of Eating Disorders, 58</w:t>
      </w:r>
      <w:r w:rsidRPr="00256ACC">
        <w:rPr>
          <w:rFonts w:ascii="Arial" w:hAnsi="Arial" w:cs="Arial"/>
        </w:rPr>
        <w:t>(5), 890-902.</w:t>
      </w:r>
    </w:p>
    <w:p w14:paraId="6B3B09E7" w14:textId="77777777" w:rsidR="0039661B" w:rsidRPr="00256ACC" w:rsidRDefault="0039661B" w:rsidP="00256ACC">
      <w:pPr>
        <w:pStyle w:val="NormalWeb"/>
        <w:spacing w:line="276" w:lineRule="auto"/>
        <w:rPr>
          <w:rFonts w:ascii="Arial" w:hAnsi="Arial" w:cs="Arial"/>
        </w:rPr>
      </w:pPr>
      <w:r w:rsidRPr="00256ACC">
        <w:rPr>
          <w:rFonts w:ascii="Arial" w:hAnsi="Arial" w:cs="Arial"/>
        </w:rPr>
        <w:t xml:space="preserve">Medway, M., Rhodes, P., Dawson, L., Miskovic-Wheatley, J., Wallis, A., &amp; Madden, S. (2019). Adolescent development in family-based treatment for anorexia nervosa: Patients’ and parents’ narratives. </w:t>
      </w:r>
      <w:r w:rsidRPr="00256ACC">
        <w:rPr>
          <w:rFonts w:ascii="Arial" w:hAnsi="Arial" w:cs="Arial"/>
          <w:i/>
          <w:iCs/>
        </w:rPr>
        <w:t>Clinical child psychology and psychiatry</w:t>
      </w:r>
      <w:r w:rsidRPr="00256ACC">
        <w:rPr>
          <w:rFonts w:ascii="Arial" w:hAnsi="Arial" w:cs="Arial"/>
        </w:rPr>
        <w:t>, 24(1), 129-143.</w:t>
      </w:r>
    </w:p>
    <w:p w14:paraId="52F7D149" w14:textId="77777777" w:rsidR="0039661B" w:rsidRPr="00256ACC" w:rsidRDefault="0039661B" w:rsidP="00256ACC">
      <w:pPr>
        <w:pStyle w:val="NormalWeb"/>
        <w:spacing w:line="276" w:lineRule="auto"/>
        <w:rPr>
          <w:rFonts w:ascii="Arial" w:hAnsi="Arial" w:cs="Arial"/>
        </w:rPr>
      </w:pPr>
      <w:r w:rsidRPr="00256ACC">
        <w:rPr>
          <w:rFonts w:ascii="Arial" w:hAnsi="Arial" w:cs="Arial"/>
          <w:lang w:val="nb-NO"/>
        </w:rPr>
        <w:t>Nilsen, J.-V., Rø, Ø., Halvorsen, I., Oddli, H. W., &amp; Hage, T. W. (2021).</w:t>
      </w:r>
      <w:r w:rsidRPr="00256ACC">
        <w:rPr>
          <w:rFonts w:ascii="Arial" w:hAnsi="Arial" w:cs="Arial"/>
          <w:lang w:val="nb-NO"/>
        </w:rPr>
        <w:br/>
      </w:r>
      <w:r w:rsidRPr="00256ACC">
        <w:rPr>
          <w:rFonts w:ascii="Arial" w:hAnsi="Arial" w:cs="Arial"/>
        </w:rPr>
        <w:t xml:space="preserve">Family members’ reflections upon a family-based inpatient treatment program for adolescent anorexia nervosa: A thematic analysis. </w:t>
      </w:r>
      <w:r w:rsidRPr="00256ACC">
        <w:rPr>
          <w:rStyle w:val="Emphasis"/>
          <w:rFonts w:ascii="Arial" w:eastAsiaTheme="majorEastAsia" w:hAnsi="Arial" w:cs="Arial"/>
        </w:rPr>
        <w:t>Journal of Eating Disorders, 9</w:t>
      </w:r>
      <w:r w:rsidRPr="00256ACC">
        <w:rPr>
          <w:rFonts w:ascii="Arial" w:hAnsi="Arial" w:cs="Arial"/>
        </w:rPr>
        <w:t xml:space="preserve">, 7. </w:t>
      </w:r>
    </w:p>
    <w:p w14:paraId="2969C8BF" w14:textId="2F7875B7" w:rsidR="00E008C5" w:rsidRPr="00256ACC" w:rsidRDefault="00E008C5" w:rsidP="00256ACC">
      <w:pPr>
        <w:pStyle w:val="NormalWeb"/>
        <w:spacing w:line="276" w:lineRule="auto"/>
        <w:rPr>
          <w:rFonts w:ascii="Arial" w:hAnsi="Arial" w:cs="Arial"/>
        </w:rPr>
      </w:pPr>
      <w:r w:rsidRPr="00256ACC">
        <w:rPr>
          <w:rFonts w:ascii="Arial" w:hAnsi="Arial" w:cs="Arial"/>
        </w:rPr>
        <w:t xml:space="preserve">Page, M. J., McKenzie, J. E., Bossuyt, P. M., </w:t>
      </w:r>
      <w:proofErr w:type="spellStart"/>
      <w:r w:rsidRPr="00256ACC">
        <w:rPr>
          <w:rFonts w:ascii="Arial" w:hAnsi="Arial" w:cs="Arial"/>
        </w:rPr>
        <w:t>Boutron</w:t>
      </w:r>
      <w:proofErr w:type="spellEnd"/>
      <w:r w:rsidRPr="00256ACC">
        <w:rPr>
          <w:rFonts w:ascii="Arial" w:hAnsi="Arial" w:cs="Arial"/>
        </w:rPr>
        <w:t xml:space="preserve">, I., Hoffmann, T. C., Mulrow, C. D., </w:t>
      </w:r>
      <w:proofErr w:type="spellStart"/>
      <w:r w:rsidRPr="00256ACC">
        <w:rPr>
          <w:rFonts w:ascii="Arial" w:hAnsi="Arial" w:cs="Arial"/>
        </w:rPr>
        <w:t>Shamseer</w:t>
      </w:r>
      <w:proofErr w:type="spellEnd"/>
      <w:r w:rsidRPr="00256ACC">
        <w:rPr>
          <w:rFonts w:ascii="Arial" w:hAnsi="Arial" w:cs="Arial"/>
        </w:rPr>
        <w:t xml:space="preserve">, L., Tetzlaff, J. M., Akl, E. A., Brennan, S. E., Chou, R., Glanville, J., Grimshaw, J. M., Hróbjartsson, A., Lalu, M. M., Li, T., Loder, E. W., Mayo-Wilson, E., McDonald, S., &amp; McGuinness, L. A. (2021). The PRISMA 2020 statement: An updated guideline for reporting systematic reviews. </w:t>
      </w:r>
      <w:r w:rsidRPr="00256ACC">
        <w:rPr>
          <w:rFonts w:ascii="Arial" w:hAnsi="Arial" w:cs="Arial"/>
          <w:i/>
          <w:iCs/>
        </w:rPr>
        <w:t>British Medical Journal</w:t>
      </w:r>
      <w:r w:rsidRPr="00256ACC">
        <w:rPr>
          <w:rFonts w:ascii="Arial" w:hAnsi="Arial" w:cs="Arial"/>
        </w:rPr>
        <w:t xml:space="preserve">, </w:t>
      </w:r>
      <w:r w:rsidRPr="00256ACC">
        <w:rPr>
          <w:rFonts w:ascii="Arial" w:hAnsi="Arial" w:cs="Arial"/>
          <w:i/>
          <w:iCs/>
        </w:rPr>
        <w:t>372</w:t>
      </w:r>
      <w:r w:rsidRPr="00256ACC">
        <w:rPr>
          <w:rFonts w:ascii="Arial" w:hAnsi="Arial" w:cs="Arial"/>
        </w:rPr>
        <w:t xml:space="preserve">(71). </w:t>
      </w:r>
    </w:p>
    <w:p w14:paraId="63281407" w14:textId="77777777" w:rsidR="001251A8" w:rsidRPr="00256ACC" w:rsidRDefault="001251A8" w:rsidP="00256ACC">
      <w:pPr>
        <w:pStyle w:val="NormalWeb"/>
        <w:spacing w:line="276" w:lineRule="auto"/>
        <w:rPr>
          <w:rFonts w:ascii="Arial" w:hAnsi="Arial" w:cs="Arial"/>
          <w:lang w:val="de-DE"/>
        </w:rPr>
      </w:pPr>
    </w:p>
    <w:p w14:paraId="0824CCCB" w14:textId="77777777" w:rsidR="0039661B" w:rsidRPr="00256ACC" w:rsidRDefault="0039661B" w:rsidP="00256ACC">
      <w:pPr>
        <w:pStyle w:val="NormalWeb"/>
        <w:spacing w:line="276" w:lineRule="auto"/>
        <w:rPr>
          <w:rFonts w:ascii="Arial" w:hAnsi="Arial" w:cs="Arial"/>
        </w:rPr>
      </w:pPr>
    </w:p>
    <w:p w14:paraId="06D1311C" w14:textId="77777777" w:rsidR="0039661B" w:rsidRPr="00256ACC" w:rsidRDefault="0039661B" w:rsidP="00256ACC">
      <w:pPr>
        <w:pStyle w:val="NormalWeb"/>
        <w:spacing w:line="276" w:lineRule="auto"/>
        <w:rPr>
          <w:rFonts w:ascii="Arial" w:hAnsi="Arial" w:cs="Arial"/>
        </w:rPr>
      </w:pPr>
    </w:p>
    <w:p w14:paraId="2255BCD7" w14:textId="77777777" w:rsidR="0039661B" w:rsidRPr="00256ACC" w:rsidRDefault="0039661B" w:rsidP="00256ACC">
      <w:pPr>
        <w:spacing w:line="276" w:lineRule="auto"/>
        <w:rPr>
          <w:rFonts w:ascii="Arial" w:hAnsi="Arial" w:cs="Arial"/>
          <w:sz w:val="24"/>
          <w:szCs w:val="24"/>
        </w:rPr>
      </w:pPr>
    </w:p>
    <w:p w14:paraId="6EE7A31F" w14:textId="77777777" w:rsidR="0039661B" w:rsidRDefault="0039661B" w:rsidP="004579EF"/>
    <w:sectPr w:rsidR="003966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4609B"/>
    <w:multiLevelType w:val="hybridMultilevel"/>
    <w:tmpl w:val="D6807F08"/>
    <w:lvl w:ilvl="0" w:tplc="E83A9B96">
      <w:start w:val="1"/>
      <w:numFmt w:val="bullet"/>
      <w:lvlText w:val="•"/>
      <w:lvlJc w:val="left"/>
      <w:pPr>
        <w:tabs>
          <w:tab w:val="num" w:pos="720"/>
        </w:tabs>
        <w:ind w:left="720" w:hanging="360"/>
      </w:pPr>
      <w:rPr>
        <w:rFonts w:ascii="Times New Roman" w:hAnsi="Times New Roman" w:hint="default"/>
      </w:rPr>
    </w:lvl>
    <w:lvl w:ilvl="1" w:tplc="749AB866" w:tentative="1">
      <w:start w:val="1"/>
      <w:numFmt w:val="bullet"/>
      <w:lvlText w:val="•"/>
      <w:lvlJc w:val="left"/>
      <w:pPr>
        <w:tabs>
          <w:tab w:val="num" w:pos="1440"/>
        </w:tabs>
        <w:ind w:left="1440" w:hanging="360"/>
      </w:pPr>
      <w:rPr>
        <w:rFonts w:ascii="Times New Roman" w:hAnsi="Times New Roman" w:hint="default"/>
      </w:rPr>
    </w:lvl>
    <w:lvl w:ilvl="2" w:tplc="B3DA5042" w:tentative="1">
      <w:start w:val="1"/>
      <w:numFmt w:val="bullet"/>
      <w:lvlText w:val="•"/>
      <w:lvlJc w:val="left"/>
      <w:pPr>
        <w:tabs>
          <w:tab w:val="num" w:pos="2160"/>
        </w:tabs>
        <w:ind w:left="2160" w:hanging="360"/>
      </w:pPr>
      <w:rPr>
        <w:rFonts w:ascii="Times New Roman" w:hAnsi="Times New Roman" w:hint="default"/>
      </w:rPr>
    </w:lvl>
    <w:lvl w:ilvl="3" w:tplc="57524CC8" w:tentative="1">
      <w:start w:val="1"/>
      <w:numFmt w:val="bullet"/>
      <w:lvlText w:val="•"/>
      <w:lvlJc w:val="left"/>
      <w:pPr>
        <w:tabs>
          <w:tab w:val="num" w:pos="2880"/>
        </w:tabs>
        <w:ind w:left="2880" w:hanging="360"/>
      </w:pPr>
      <w:rPr>
        <w:rFonts w:ascii="Times New Roman" w:hAnsi="Times New Roman" w:hint="default"/>
      </w:rPr>
    </w:lvl>
    <w:lvl w:ilvl="4" w:tplc="2AC666E8" w:tentative="1">
      <w:start w:val="1"/>
      <w:numFmt w:val="bullet"/>
      <w:lvlText w:val="•"/>
      <w:lvlJc w:val="left"/>
      <w:pPr>
        <w:tabs>
          <w:tab w:val="num" w:pos="3600"/>
        </w:tabs>
        <w:ind w:left="3600" w:hanging="360"/>
      </w:pPr>
      <w:rPr>
        <w:rFonts w:ascii="Times New Roman" w:hAnsi="Times New Roman" w:hint="default"/>
      </w:rPr>
    </w:lvl>
    <w:lvl w:ilvl="5" w:tplc="71F08E2A" w:tentative="1">
      <w:start w:val="1"/>
      <w:numFmt w:val="bullet"/>
      <w:lvlText w:val="•"/>
      <w:lvlJc w:val="left"/>
      <w:pPr>
        <w:tabs>
          <w:tab w:val="num" w:pos="4320"/>
        </w:tabs>
        <w:ind w:left="4320" w:hanging="360"/>
      </w:pPr>
      <w:rPr>
        <w:rFonts w:ascii="Times New Roman" w:hAnsi="Times New Roman" w:hint="default"/>
      </w:rPr>
    </w:lvl>
    <w:lvl w:ilvl="6" w:tplc="7B5624A4" w:tentative="1">
      <w:start w:val="1"/>
      <w:numFmt w:val="bullet"/>
      <w:lvlText w:val="•"/>
      <w:lvlJc w:val="left"/>
      <w:pPr>
        <w:tabs>
          <w:tab w:val="num" w:pos="5040"/>
        </w:tabs>
        <w:ind w:left="5040" w:hanging="360"/>
      </w:pPr>
      <w:rPr>
        <w:rFonts w:ascii="Times New Roman" w:hAnsi="Times New Roman" w:hint="default"/>
      </w:rPr>
    </w:lvl>
    <w:lvl w:ilvl="7" w:tplc="EEE67F14" w:tentative="1">
      <w:start w:val="1"/>
      <w:numFmt w:val="bullet"/>
      <w:lvlText w:val="•"/>
      <w:lvlJc w:val="left"/>
      <w:pPr>
        <w:tabs>
          <w:tab w:val="num" w:pos="5760"/>
        </w:tabs>
        <w:ind w:left="5760" w:hanging="360"/>
      </w:pPr>
      <w:rPr>
        <w:rFonts w:ascii="Times New Roman" w:hAnsi="Times New Roman" w:hint="default"/>
      </w:rPr>
    </w:lvl>
    <w:lvl w:ilvl="8" w:tplc="C890C82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FD36664"/>
    <w:multiLevelType w:val="hybridMultilevel"/>
    <w:tmpl w:val="71D6A996"/>
    <w:lvl w:ilvl="0" w:tplc="08090001">
      <w:start w:val="1"/>
      <w:numFmt w:val="bullet"/>
      <w:lvlText w:val=""/>
      <w:lvlJc w:val="left"/>
      <w:pPr>
        <w:ind w:left="720" w:hanging="360"/>
      </w:pPr>
      <w:rPr>
        <w:rFonts w:ascii="Symbol" w:hAnsi="Symbol" w:hint="default"/>
      </w:rPr>
    </w:lvl>
    <w:lvl w:ilvl="1" w:tplc="75780F82">
      <w:numFmt w:val="bullet"/>
      <w:lvlText w:val="•"/>
      <w:lvlJc w:val="left"/>
      <w:pPr>
        <w:ind w:left="1800" w:hanging="720"/>
      </w:pPr>
      <w:rPr>
        <w:rFonts w:ascii="Aptos" w:eastAsiaTheme="minorHAnsi" w:hAnsi="Aptos"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0"/>
  </w:num>
  <w:num w:numId="2" w16cid:durableId="2031955249">
    <w:abstractNumId w:val="4"/>
  </w:num>
  <w:num w:numId="3" w16cid:durableId="44526779">
    <w:abstractNumId w:val="1"/>
  </w:num>
  <w:num w:numId="4" w16cid:durableId="1331449109">
    <w:abstractNumId w:val="3"/>
  </w:num>
  <w:num w:numId="5" w16cid:durableId="26612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C3F"/>
    <w:rsid w:val="00004822"/>
    <w:rsid w:val="0000794B"/>
    <w:rsid w:val="00021A3A"/>
    <w:rsid w:val="00052357"/>
    <w:rsid w:val="000561A0"/>
    <w:rsid w:val="00062531"/>
    <w:rsid w:val="00070267"/>
    <w:rsid w:val="00076F90"/>
    <w:rsid w:val="001251A8"/>
    <w:rsid w:val="00135287"/>
    <w:rsid w:val="00136662"/>
    <w:rsid w:val="001404B4"/>
    <w:rsid w:val="00145AAE"/>
    <w:rsid w:val="00174080"/>
    <w:rsid w:val="001C15AC"/>
    <w:rsid w:val="001E1ACA"/>
    <w:rsid w:val="001E532B"/>
    <w:rsid w:val="002108BB"/>
    <w:rsid w:val="00221BF6"/>
    <w:rsid w:val="00251348"/>
    <w:rsid w:val="00256ACC"/>
    <w:rsid w:val="00256F47"/>
    <w:rsid w:val="002649F1"/>
    <w:rsid w:val="002A2A7C"/>
    <w:rsid w:val="002C7075"/>
    <w:rsid w:val="002E2ABD"/>
    <w:rsid w:val="00343F44"/>
    <w:rsid w:val="00347315"/>
    <w:rsid w:val="00352086"/>
    <w:rsid w:val="0035506C"/>
    <w:rsid w:val="003660AF"/>
    <w:rsid w:val="0038591A"/>
    <w:rsid w:val="00396501"/>
    <w:rsid w:val="0039661B"/>
    <w:rsid w:val="003C7050"/>
    <w:rsid w:val="003D340A"/>
    <w:rsid w:val="003E0FFF"/>
    <w:rsid w:val="003F256B"/>
    <w:rsid w:val="003F3971"/>
    <w:rsid w:val="00405AA9"/>
    <w:rsid w:val="00407167"/>
    <w:rsid w:val="00434D70"/>
    <w:rsid w:val="004579EF"/>
    <w:rsid w:val="004854B1"/>
    <w:rsid w:val="00493BF0"/>
    <w:rsid w:val="00495FAA"/>
    <w:rsid w:val="00496E9E"/>
    <w:rsid w:val="004C5A2A"/>
    <w:rsid w:val="005019E1"/>
    <w:rsid w:val="00507B0C"/>
    <w:rsid w:val="00531770"/>
    <w:rsid w:val="00543A0E"/>
    <w:rsid w:val="00543D4C"/>
    <w:rsid w:val="005464BC"/>
    <w:rsid w:val="005478ED"/>
    <w:rsid w:val="00573E48"/>
    <w:rsid w:val="00592C98"/>
    <w:rsid w:val="005970AD"/>
    <w:rsid w:val="005F641A"/>
    <w:rsid w:val="005F7E84"/>
    <w:rsid w:val="006101D8"/>
    <w:rsid w:val="006176C4"/>
    <w:rsid w:val="00624DC5"/>
    <w:rsid w:val="00626674"/>
    <w:rsid w:val="006323DA"/>
    <w:rsid w:val="0063579F"/>
    <w:rsid w:val="006767EA"/>
    <w:rsid w:val="006A18BE"/>
    <w:rsid w:val="006A300E"/>
    <w:rsid w:val="006A720A"/>
    <w:rsid w:val="006A7CAE"/>
    <w:rsid w:val="006B21AB"/>
    <w:rsid w:val="006C5538"/>
    <w:rsid w:val="006D0811"/>
    <w:rsid w:val="006E6C8E"/>
    <w:rsid w:val="006F24C7"/>
    <w:rsid w:val="007111D2"/>
    <w:rsid w:val="00726A25"/>
    <w:rsid w:val="007351A3"/>
    <w:rsid w:val="00756818"/>
    <w:rsid w:val="0076238C"/>
    <w:rsid w:val="00764D5B"/>
    <w:rsid w:val="007722CC"/>
    <w:rsid w:val="007921F0"/>
    <w:rsid w:val="0079387E"/>
    <w:rsid w:val="00794758"/>
    <w:rsid w:val="007C2FEA"/>
    <w:rsid w:val="007D10C5"/>
    <w:rsid w:val="007D759D"/>
    <w:rsid w:val="007F2086"/>
    <w:rsid w:val="0080235F"/>
    <w:rsid w:val="00811AB6"/>
    <w:rsid w:val="00820434"/>
    <w:rsid w:val="008314F0"/>
    <w:rsid w:val="00855660"/>
    <w:rsid w:val="00866E76"/>
    <w:rsid w:val="008A6B3B"/>
    <w:rsid w:val="008C2E1F"/>
    <w:rsid w:val="00905168"/>
    <w:rsid w:val="00913165"/>
    <w:rsid w:val="00913F38"/>
    <w:rsid w:val="00941FF7"/>
    <w:rsid w:val="009574B2"/>
    <w:rsid w:val="0097031C"/>
    <w:rsid w:val="009715E9"/>
    <w:rsid w:val="009744FB"/>
    <w:rsid w:val="00974C3F"/>
    <w:rsid w:val="009836A9"/>
    <w:rsid w:val="0098392B"/>
    <w:rsid w:val="00984F86"/>
    <w:rsid w:val="009A0D85"/>
    <w:rsid w:val="009A5245"/>
    <w:rsid w:val="009D18FF"/>
    <w:rsid w:val="009E073D"/>
    <w:rsid w:val="009E34D1"/>
    <w:rsid w:val="009E5A91"/>
    <w:rsid w:val="009F0BBB"/>
    <w:rsid w:val="00A4192B"/>
    <w:rsid w:val="00A52D87"/>
    <w:rsid w:val="00A52F46"/>
    <w:rsid w:val="00A73C6C"/>
    <w:rsid w:val="00A76255"/>
    <w:rsid w:val="00A93A6D"/>
    <w:rsid w:val="00AA00AA"/>
    <w:rsid w:val="00AB5040"/>
    <w:rsid w:val="00AF3E5C"/>
    <w:rsid w:val="00B12A66"/>
    <w:rsid w:val="00B20060"/>
    <w:rsid w:val="00B30B16"/>
    <w:rsid w:val="00B32814"/>
    <w:rsid w:val="00B4360B"/>
    <w:rsid w:val="00B61C9B"/>
    <w:rsid w:val="00B764C3"/>
    <w:rsid w:val="00B8201B"/>
    <w:rsid w:val="00B91CC8"/>
    <w:rsid w:val="00B97FF0"/>
    <w:rsid w:val="00BF712D"/>
    <w:rsid w:val="00BF7F61"/>
    <w:rsid w:val="00C00D94"/>
    <w:rsid w:val="00C02A47"/>
    <w:rsid w:val="00C23522"/>
    <w:rsid w:val="00C42B4A"/>
    <w:rsid w:val="00C54DB0"/>
    <w:rsid w:val="00C559F2"/>
    <w:rsid w:val="00C56A36"/>
    <w:rsid w:val="00C62EB7"/>
    <w:rsid w:val="00C834CC"/>
    <w:rsid w:val="00CA2B35"/>
    <w:rsid w:val="00CB7CAF"/>
    <w:rsid w:val="00CD74F3"/>
    <w:rsid w:val="00CE5297"/>
    <w:rsid w:val="00D02914"/>
    <w:rsid w:val="00D0735F"/>
    <w:rsid w:val="00D37896"/>
    <w:rsid w:val="00D54F39"/>
    <w:rsid w:val="00D74F0B"/>
    <w:rsid w:val="00D90814"/>
    <w:rsid w:val="00DA31B8"/>
    <w:rsid w:val="00DB7C0D"/>
    <w:rsid w:val="00E008C5"/>
    <w:rsid w:val="00E10582"/>
    <w:rsid w:val="00E14BEC"/>
    <w:rsid w:val="00E30FAE"/>
    <w:rsid w:val="00E85D95"/>
    <w:rsid w:val="00EA13A6"/>
    <w:rsid w:val="00EB356D"/>
    <w:rsid w:val="00EB6022"/>
    <w:rsid w:val="00ED70DB"/>
    <w:rsid w:val="00EE074A"/>
    <w:rsid w:val="00EE24B6"/>
    <w:rsid w:val="00F678C8"/>
    <w:rsid w:val="00F712FC"/>
    <w:rsid w:val="00FA747C"/>
    <w:rsid w:val="00FB1888"/>
    <w:rsid w:val="00FB27A6"/>
    <w:rsid w:val="00FB3EFD"/>
    <w:rsid w:val="00FD2BE3"/>
    <w:rsid w:val="00FD307B"/>
    <w:rsid w:val="00FE3C5F"/>
    <w:rsid w:val="00FF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59744"/>
  <w15:chartTrackingRefBased/>
  <w15:docId w15:val="{CABC36B2-1DD0-46A8-84A8-5F307E73F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C0D"/>
  </w:style>
  <w:style w:type="paragraph" w:styleId="Heading1">
    <w:name w:val="heading 1"/>
    <w:basedOn w:val="Normal"/>
    <w:next w:val="Normal"/>
    <w:link w:val="Heading1Char"/>
    <w:uiPriority w:val="9"/>
    <w:qFormat/>
    <w:rsid w:val="00974C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C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C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C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C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C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C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C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C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C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C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C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C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C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C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C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C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C3F"/>
    <w:rPr>
      <w:rFonts w:eastAsiaTheme="majorEastAsia" w:cstheme="majorBidi"/>
      <w:color w:val="272727" w:themeColor="text1" w:themeTint="D8"/>
    </w:rPr>
  </w:style>
  <w:style w:type="paragraph" w:styleId="Title">
    <w:name w:val="Title"/>
    <w:basedOn w:val="Normal"/>
    <w:next w:val="Normal"/>
    <w:link w:val="TitleChar"/>
    <w:uiPriority w:val="10"/>
    <w:qFormat/>
    <w:rsid w:val="00974C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C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C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C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C3F"/>
    <w:pPr>
      <w:spacing w:before="160"/>
      <w:jc w:val="center"/>
    </w:pPr>
    <w:rPr>
      <w:i/>
      <w:iCs/>
      <w:color w:val="404040" w:themeColor="text1" w:themeTint="BF"/>
    </w:rPr>
  </w:style>
  <w:style w:type="character" w:customStyle="1" w:styleId="QuoteChar">
    <w:name w:val="Quote Char"/>
    <w:basedOn w:val="DefaultParagraphFont"/>
    <w:link w:val="Quote"/>
    <w:uiPriority w:val="29"/>
    <w:rsid w:val="00974C3F"/>
    <w:rPr>
      <w:i/>
      <w:iCs/>
      <w:color w:val="404040" w:themeColor="text1" w:themeTint="BF"/>
    </w:rPr>
  </w:style>
  <w:style w:type="paragraph" w:styleId="ListParagraph">
    <w:name w:val="List Paragraph"/>
    <w:basedOn w:val="Normal"/>
    <w:uiPriority w:val="34"/>
    <w:qFormat/>
    <w:rsid w:val="00974C3F"/>
    <w:pPr>
      <w:ind w:left="720"/>
      <w:contextualSpacing/>
    </w:pPr>
  </w:style>
  <w:style w:type="character" w:styleId="IntenseEmphasis">
    <w:name w:val="Intense Emphasis"/>
    <w:basedOn w:val="DefaultParagraphFont"/>
    <w:uiPriority w:val="21"/>
    <w:qFormat/>
    <w:rsid w:val="00974C3F"/>
    <w:rPr>
      <w:i/>
      <w:iCs/>
      <w:color w:val="0F4761" w:themeColor="accent1" w:themeShade="BF"/>
    </w:rPr>
  </w:style>
  <w:style w:type="paragraph" w:styleId="IntenseQuote">
    <w:name w:val="Intense Quote"/>
    <w:basedOn w:val="Normal"/>
    <w:next w:val="Normal"/>
    <w:link w:val="IntenseQuoteChar"/>
    <w:uiPriority w:val="30"/>
    <w:qFormat/>
    <w:rsid w:val="00974C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C3F"/>
    <w:rPr>
      <w:i/>
      <w:iCs/>
      <w:color w:val="0F4761" w:themeColor="accent1" w:themeShade="BF"/>
    </w:rPr>
  </w:style>
  <w:style w:type="character" w:styleId="IntenseReference">
    <w:name w:val="Intense Reference"/>
    <w:basedOn w:val="DefaultParagraphFont"/>
    <w:uiPriority w:val="32"/>
    <w:qFormat/>
    <w:rsid w:val="00974C3F"/>
    <w:rPr>
      <w:b/>
      <w:bCs/>
      <w:smallCaps/>
      <w:color w:val="0F4761" w:themeColor="accent1" w:themeShade="BF"/>
      <w:spacing w:val="5"/>
    </w:rPr>
  </w:style>
  <w:style w:type="table" w:styleId="PlainTable2">
    <w:name w:val="Plain Table 2"/>
    <w:basedOn w:val="TableNormal"/>
    <w:uiPriority w:val="42"/>
    <w:rsid w:val="003E0FFF"/>
    <w:pPr>
      <w:spacing w:after="0" w:line="240" w:lineRule="auto"/>
    </w:pPr>
    <w:rPr>
      <w:kern w:val="0"/>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3E0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661B"/>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styleId="Emphasis">
    <w:name w:val="Emphasis"/>
    <w:basedOn w:val="DefaultParagraphFont"/>
    <w:uiPriority w:val="20"/>
    <w:qFormat/>
    <w:rsid w:val="003966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2F448D-61A6-4A48-8154-314811DDC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5412</Words>
  <Characters>31991</Characters>
  <Application>Microsoft Office Word</Application>
  <DocSecurity>0</DocSecurity>
  <Lines>627</Lines>
  <Paragraphs>134</Paragraphs>
  <ScaleCrop>false</ScaleCrop>
  <Company/>
  <LinksUpToDate>false</LinksUpToDate>
  <CharactersWithSpaces>37269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171</cp:revision>
  <dcterms:created xsi:type="dcterms:W3CDTF">2026-05-16T18:48:00Z</dcterms:created>
  <dcterms:modified xsi:type="dcterms:W3CDTF">2026-05-19T22:46:00Z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47a3f8a9-c96b-4f3d-b8b3-94871d9c010a</vt:lpwstr>
  </property>
</Properties>
</file>