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74D68" w14:textId="77777777" w:rsidR="00130999" w:rsidRDefault="00000000">
      <w:pPr>
        <w:jc w:val="center"/>
      </w:pPr>
      <w:r>
        <w:rPr>
          <w:rFonts w:ascii="Times New Roman" w:hAnsi="Times New Roman"/>
          <w:noProof/>
        </w:rPr>
        <w:drawing>
          <wp:inline distT="0" distB="0" distL="0" distR="0" wp14:anchorId="432C98A2" wp14:editId="20E8614F">
            <wp:extent cx="3381378" cy="1352553"/>
            <wp:effectExtent l="0" t="0" r="9522" b="0"/>
            <wp:docPr id="189656480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381378" cy="1352553"/>
                    </a:xfrm>
                    <a:prstGeom prst="rect">
                      <a:avLst/>
                    </a:prstGeom>
                    <a:noFill/>
                    <a:ln>
                      <a:noFill/>
                      <a:prstDash/>
                    </a:ln>
                  </pic:spPr>
                </pic:pic>
              </a:graphicData>
            </a:graphic>
          </wp:inline>
        </w:drawing>
      </w:r>
    </w:p>
    <w:p w14:paraId="7A614A1F" w14:textId="77777777" w:rsidR="00130999" w:rsidRDefault="00130999">
      <w:pPr>
        <w:jc w:val="center"/>
        <w:rPr>
          <w:rFonts w:ascii="Times New Roman" w:hAnsi="Times New Roman"/>
        </w:rPr>
      </w:pPr>
    </w:p>
    <w:p w14:paraId="01658213" w14:textId="77777777" w:rsidR="00130999" w:rsidRDefault="00130999">
      <w:pPr>
        <w:jc w:val="center"/>
        <w:rPr>
          <w:rFonts w:ascii="Times New Roman" w:hAnsi="Times New Roman"/>
        </w:rPr>
      </w:pPr>
    </w:p>
    <w:p w14:paraId="2E3BBB4A" w14:textId="77777777" w:rsidR="00130999" w:rsidRDefault="00130999">
      <w:pPr>
        <w:jc w:val="center"/>
        <w:rPr>
          <w:rFonts w:ascii="Times New Roman" w:hAnsi="Times New Roman"/>
        </w:rPr>
      </w:pPr>
    </w:p>
    <w:p w14:paraId="448CDC0D" w14:textId="77777777" w:rsidR="00130999" w:rsidRDefault="00000000">
      <w:pPr>
        <w:jc w:val="center"/>
        <w:rPr>
          <w:rFonts w:ascii="Times New Roman" w:hAnsi="Times New Roman"/>
          <w:b/>
          <w:bCs/>
          <w:sz w:val="28"/>
          <w:szCs w:val="28"/>
        </w:rPr>
      </w:pPr>
      <w:r>
        <w:rPr>
          <w:rFonts w:ascii="Times New Roman" w:hAnsi="Times New Roman"/>
          <w:b/>
          <w:bCs/>
          <w:sz w:val="28"/>
          <w:szCs w:val="28"/>
        </w:rPr>
        <w:t>Student Name: Boubacar Sidiki Ouedraogo</w:t>
      </w:r>
    </w:p>
    <w:p w14:paraId="6AE2BFB7" w14:textId="77777777" w:rsidR="00130999" w:rsidRDefault="00130999">
      <w:pPr>
        <w:jc w:val="center"/>
        <w:rPr>
          <w:rFonts w:ascii="Times New Roman" w:hAnsi="Times New Roman"/>
          <w:b/>
          <w:bCs/>
          <w:sz w:val="28"/>
          <w:szCs w:val="28"/>
        </w:rPr>
      </w:pPr>
    </w:p>
    <w:p w14:paraId="17E1C1AD" w14:textId="77777777" w:rsidR="00130999" w:rsidRDefault="00000000">
      <w:pPr>
        <w:jc w:val="center"/>
        <w:rPr>
          <w:rFonts w:ascii="Times New Roman" w:hAnsi="Times New Roman"/>
          <w:b/>
          <w:bCs/>
          <w:sz w:val="28"/>
          <w:szCs w:val="28"/>
        </w:rPr>
      </w:pPr>
      <w:r>
        <w:rPr>
          <w:rFonts w:ascii="Times New Roman" w:hAnsi="Times New Roman"/>
          <w:b/>
          <w:bCs/>
          <w:sz w:val="28"/>
          <w:szCs w:val="28"/>
        </w:rPr>
        <w:t>Student ID: 2543702</w:t>
      </w:r>
    </w:p>
    <w:p w14:paraId="4ACFB66E" w14:textId="77777777" w:rsidR="00130999" w:rsidRDefault="00130999">
      <w:pPr>
        <w:jc w:val="center"/>
        <w:rPr>
          <w:rFonts w:ascii="Times New Roman" w:hAnsi="Times New Roman"/>
          <w:sz w:val="28"/>
          <w:szCs w:val="28"/>
        </w:rPr>
      </w:pPr>
    </w:p>
    <w:p w14:paraId="1D9676B9" w14:textId="77777777" w:rsidR="00130999" w:rsidRDefault="00130999">
      <w:pPr>
        <w:jc w:val="center"/>
        <w:rPr>
          <w:rFonts w:ascii="Times New Roman" w:hAnsi="Times New Roman"/>
          <w:sz w:val="28"/>
          <w:szCs w:val="28"/>
        </w:rPr>
      </w:pPr>
    </w:p>
    <w:p w14:paraId="30556C1A" w14:textId="77777777" w:rsidR="00130999" w:rsidRDefault="00000000">
      <w:pPr>
        <w:jc w:val="center"/>
        <w:rPr>
          <w:rFonts w:ascii="Times New Roman" w:hAnsi="Times New Roman"/>
          <w:b/>
          <w:bCs/>
          <w:sz w:val="28"/>
          <w:szCs w:val="28"/>
        </w:rPr>
      </w:pPr>
      <w:r>
        <w:rPr>
          <w:rFonts w:ascii="Times New Roman" w:hAnsi="Times New Roman"/>
          <w:b/>
          <w:bCs/>
          <w:sz w:val="28"/>
          <w:szCs w:val="28"/>
        </w:rPr>
        <w:t>Module Name: Marketing Management</w:t>
      </w:r>
    </w:p>
    <w:p w14:paraId="5820F391" w14:textId="77777777" w:rsidR="00130999" w:rsidRDefault="00130999">
      <w:pPr>
        <w:jc w:val="center"/>
        <w:rPr>
          <w:rFonts w:ascii="Times New Roman" w:hAnsi="Times New Roman"/>
          <w:b/>
          <w:bCs/>
          <w:sz w:val="28"/>
          <w:szCs w:val="28"/>
        </w:rPr>
      </w:pPr>
    </w:p>
    <w:p w14:paraId="032CDE84" w14:textId="77777777" w:rsidR="00130999" w:rsidRDefault="00000000">
      <w:pPr>
        <w:jc w:val="center"/>
        <w:rPr>
          <w:rFonts w:ascii="Times New Roman" w:hAnsi="Times New Roman"/>
          <w:b/>
          <w:bCs/>
          <w:sz w:val="28"/>
          <w:szCs w:val="28"/>
        </w:rPr>
      </w:pPr>
      <w:r>
        <w:rPr>
          <w:rFonts w:ascii="Times New Roman" w:hAnsi="Times New Roman"/>
          <w:b/>
          <w:bCs/>
          <w:sz w:val="28"/>
          <w:szCs w:val="28"/>
        </w:rPr>
        <w:t>Module Code: LCMB7024</w:t>
      </w:r>
    </w:p>
    <w:p w14:paraId="6B612373" w14:textId="77777777" w:rsidR="00130999" w:rsidRDefault="00130999">
      <w:pPr>
        <w:jc w:val="center"/>
        <w:rPr>
          <w:rFonts w:ascii="Times New Roman" w:hAnsi="Times New Roman"/>
          <w:b/>
          <w:bCs/>
          <w:sz w:val="28"/>
          <w:szCs w:val="28"/>
        </w:rPr>
      </w:pPr>
    </w:p>
    <w:p w14:paraId="0899E726" w14:textId="77777777" w:rsidR="00130999" w:rsidRDefault="00130999">
      <w:pPr>
        <w:jc w:val="center"/>
        <w:rPr>
          <w:rFonts w:ascii="Times New Roman" w:hAnsi="Times New Roman"/>
          <w:b/>
          <w:bCs/>
          <w:sz w:val="28"/>
          <w:szCs w:val="28"/>
        </w:rPr>
      </w:pPr>
    </w:p>
    <w:p w14:paraId="1345444C" w14:textId="77777777" w:rsidR="00130999" w:rsidRDefault="00130999">
      <w:pPr>
        <w:jc w:val="center"/>
        <w:rPr>
          <w:rFonts w:ascii="Times New Roman" w:hAnsi="Times New Roman"/>
          <w:b/>
          <w:bCs/>
          <w:sz w:val="28"/>
          <w:szCs w:val="28"/>
        </w:rPr>
      </w:pPr>
    </w:p>
    <w:p w14:paraId="6359C085" w14:textId="77777777" w:rsidR="00130999" w:rsidRDefault="00130999">
      <w:pPr>
        <w:jc w:val="center"/>
        <w:rPr>
          <w:rFonts w:ascii="Times New Roman" w:hAnsi="Times New Roman"/>
          <w:b/>
          <w:bCs/>
          <w:sz w:val="28"/>
          <w:szCs w:val="28"/>
        </w:rPr>
      </w:pPr>
    </w:p>
    <w:p w14:paraId="053B8EE7" w14:textId="77777777" w:rsidR="00130999" w:rsidRDefault="00000000">
      <w:pPr>
        <w:jc w:val="center"/>
        <w:rPr>
          <w:rFonts w:ascii="Times New Roman" w:hAnsi="Times New Roman"/>
          <w:b/>
          <w:bCs/>
          <w:sz w:val="28"/>
          <w:szCs w:val="28"/>
        </w:rPr>
      </w:pPr>
      <w:r>
        <w:rPr>
          <w:rFonts w:ascii="Times New Roman" w:hAnsi="Times New Roman"/>
          <w:b/>
          <w:bCs/>
          <w:sz w:val="28"/>
          <w:szCs w:val="28"/>
        </w:rPr>
        <w:t>Lecturer’s Name: Laila Maazouz</w:t>
      </w:r>
    </w:p>
    <w:p w14:paraId="58E5EC90" w14:textId="77777777" w:rsidR="00130999" w:rsidRDefault="00130999">
      <w:pPr>
        <w:rPr>
          <w:rFonts w:ascii="Times New Roman" w:hAnsi="Times New Roman"/>
          <w:b/>
          <w:bCs/>
          <w:sz w:val="28"/>
          <w:szCs w:val="28"/>
        </w:rPr>
      </w:pPr>
    </w:p>
    <w:p w14:paraId="07B13672" w14:textId="77777777" w:rsidR="00130999" w:rsidRDefault="00130999">
      <w:pPr>
        <w:rPr>
          <w:rFonts w:ascii="Times New Roman" w:hAnsi="Times New Roman"/>
          <w:b/>
          <w:bCs/>
          <w:sz w:val="28"/>
          <w:szCs w:val="28"/>
        </w:rPr>
      </w:pPr>
    </w:p>
    <w:p w14:paraId="348256A2" w14:textId="7445F48F" w:rsidR="00130999" w:rsidRDefault="00000000">
      <w:pPr>
        <w:jc w:val="center"/>
        <w:rPr>
          <w:rFonts w:ascii="Times New Roman" w:hAnsi="Times New Roman"/>
          <w:b/>
          <w:bCs/>
          <w:sz w:val="28"/>
          <w:szCs w:val="28"/>
        </w:rPr>
      </w:pPr>
      <w:r>
        <w:rPr>
          <w:rFonts w:ascii="Times New Roman" w:hAnsi="Times New Roman"/>
          <w:b/>
          <w:bCs/>
          <w:sz w:val="28"/>
          <w:szCs w:val="28"/>
        </w:rPr>
        <w:t>Work Count:</w:t>
      </w:r>
      <w:r w:rsidR="00F34115">
        <w:rPr>
          <w:rFonts w:ascii="Times New Roman" w:hAnsi="Times New Roman"/>
          <w:b/>
          <w:bCs/>
          <w:sz w:val="28"/>
          <w:szCs w:val="28"/>
        </w:rPr>
        <w:t xml:space="preserve"> 2626 words</w:t>
      </w:r>
    </w:p>
    <w:p w14:paraId="07424691" w14:textId="77777777" w:rsidR="00130999" w:rsidRDefault="00130999">
      <w:pPr>
        <w:jc w:val="center"/>
        <w:rPr>
          <w:rFonts w:ascii="Times New Roman" w:hAnsi="Times New Roman"/>
          <w:b/>
          <w:bCs/>
          <w:sz w:val="28"/>
          <w:szCs w:val="28"/>
        </w:rPr>
      </w:pPr>
    </w:p>
    <w:p w14:paraId="1499E79E" w14:textId="77777777" w:rsidR="00130999" w:rsidRDefault="00000000">
      <w:pPr>
        <w:jc w:val="center"/>
        <w:rPr>
          <w:rFonts w:ascii="Times New Roman" w:hAnsi="Times New Roman"/>
          <w:b/>
          <w:bCs/>
          <w:sz w:val="28"/>
          <w:szCs w:val="28"/>
        </w:rPr>
      </w:pPr>
      <w:r>
        <w:rPr>
          <w:rFonts w:ascii="Times New Roman" w:hAnsi="Times New Roman"/>
          <w:b/>
          <w:bCs/>
          <w:sz w:val="28"/>
          <w:szCs w:val="28"/>
        </w:rPr>
        <w:t xml:space="preserve">Term 1 </w:t>
      </w:r>
    </w:p>
    <w:p w14:paraId="6F57620D" w14:textId="77777777" w:rsidR="00130999" w:rsidRDefault="00130999"/>
    <w:p w14:paraId="06597BC5" w14:textId="77777777" w:rsidR="00130999" w:rsidRDefault="00130999"/>
    <w:p w14:paraId="31EDEF89" w14:textId="77777777" w:rsidR="00130999" w:rsidRDefault="00000000">
      <w:pPr>
        <w:pStyle w:val="Titre1"/>
        <w:spacing w:line="360" w:lineRule="auto"/>
        <w:jc w:val="both"/>
        <w:sectPr w:rsidR="00130999">
          <w:footerReference w:type="default" r:id="rId8"/>
          <w:pgSz w:w="11906" w:h="16838"/>
          <w:pgMar w:top="1440" w:right="1440" w:bottom="1440" w:left="1440" w:header="720" w:footer="720" w:gutter="0"/>
          <w:pgNumType w:fmt="upperRoman"/>
          <w:cols w:space="720"/>
        </w:sectPr>
      </w:pPr>
      <w:bookmarkStart w:id="0" w:name="_Toc235452140"/>
      <w:bookmarkStart w:id="1" w:name="_Toc235634437"/>
      <w:bookmarkStart w:id="2" w:name="_Toc235641156"/>
      <w:bookmarkStart w:id="3" w:name="_Toc235662513"/>
      <w:r>
        <w:rPr>
          <w:rFonts w:ascii="Arial" w:hAnsi="Arial" w:cs="Arial"/>
          <w:b/>
          <w:bCs/>
          <w:color w:val="auto"/>
          <w:sz w:val="24"/>
          <w:szCs w:val="24"/>
          <w:u w:val="single"/>
        </w:rPr>
        <w:t>Assessment 1:</w:t>
      </w:r>
      <w:r>
        <w:rPr>
          <w:rFonts w:ascii="Arial" w:hAnsi="Arial" w:cs="Arial"/>
          <w:b/>
          <w:bCs/>
          <w:color w:val="auto"/>
          <w:sz w:val="24"/>
          <w:szCs w:val="24"/>
        </w:rPr>
        <w:t xml:space="preserve"> Marketing in a Transitioning World - The Case of BHP Group</w:t>
      </w:r>
      <w:bookmarkEnd w:id="0"/>
      <w:bookmarkEnd w:id="1"/>
      <w:bookmarkEnd w:id="2"/>
      <w:bookmarkEnd w:id="3"/>
      <w:r>
        <w:tab/>
      </w:r>
    </w:p>
    <w:p w14:paraId="100B32BD" w14:textId="77777777" w:rsidR="00130999" w:rsidRDefault="00000000">
      <w:pPr>
        <w:spacing w:line="360" w:lineRule="auto"/>
        <w:jc w:val="both"/>
      </w:pPr>
      <w:r>
        <w:rPr>
          <w:rFonts w:ascii="Arial" w:hAnsi="Arial" w:cs="Arial"/>
          <w:b/>
          <w:bCs/>
          <w:noProof/>
          <w:sz w:val="24"/>
          <w:szCs w:val="24"/>
        </w:rPr>
        <w:lastRenderedPageBreak/>
        <w:drawing>
          <wp:anchor distT="0" distB="0" distL="114300" distR="114300" simplePos="0" relativeHeight="251673600" behindDoc="0" locked="0" layoutInCell="1" allowOverlap="1" wp14:anchorId="0DE9E11B" wp14:editId="606D6E45">
            <wp:simplePos x="0" y="0"/>
            <wp:positionH relativeFrom="column">
              <wp:posOffset>507647</wp:posOffset>
            </wp:positionH>
            <wp:positionV relativeFrom="paragraph">
              <wp:posOffset>863339</wp:posOffset>
            </wp:positionV>
            <wp:extent cx="559082" cy="356"/>
            <wp:effectExtent l="0" t="0" r="0" b="0"/>
            <wp:wrapNone/>
            <wp:docPr id="1481059151" name="Enc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59082" cy="356"/>
                    </a:xfrm>
                    <a:prstGeom prst="rect">
                      <a:avLst/>
                    </a:prstGeom>
                    <a:noFill/>
                    <a:ln>
                      <a:noFill/>
                      <a:prstDash/>
                    </a:ln>
                  </pic:spPr>
                </pic:pic>
              </a:graphicData>
            </a:graphic>
          </wp:anchor>
        </w:drawing>
      </w:r>
      <w:r>
        <w:rPr>
          <w:rFonts w:ascii="Arial" w:hAnsi="Arial" w:cs="Arial"/>
          <w:b/>
          <w:bCs/>
          <w:noProof/>
          <w:sz w:val="24"/>
          <w:szCs w:val="24"/>
        </w:rPr>
        <w:drawing>
          <wp:anchor distT="0" distB="0" distL="114300" distR="114300" simplePos="0" relativeHeight="251660288" behindDoc="0" locked="0" layoutInCell="1" allowOverlap="1" wp14:anchorId="612C4660" wp14:editId="7A94ADA2">
            <wp:simplePos x="0" y="0"/>
            <wp:positionH relativeFrom="column">
              <wp:posOffset>550542</wp:posOffset>
            </wp:positionH>
            <wp:positionV relativeFrom="paragraph">
              <wp:posOffset>742950</wp:posOffset>
            </wp:positionV>
            <wp:extent cx="93341" cy="32388"/>
            <wp:effectExtent l="11427" t="7623" r="13335" b="13336"/>
            <wp:wrapNone/>
            <wp:docPr id="1273780189" name="Enc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rot="16200004">
                      <a:off x="0" y="0"/>
                      <a:ext cx="93341" cy="32388"/>
                    </a:xfrm>
                    <a:prstGeom prst="rect">
                      <a:avLst/>
                    </a:prstGeom>
                    <a:noFill/>
                    <a:ln>
                      <a:noFill/>
                      <a:prstDash/>
                    </a:ln>
                  </pic:spPr>
                </pic:pic>
              </a:graphicData>
            </a:graphic>
          </wp:anchor>
        </w:drawing>
      </w:r>
    </w:p>
    <w:p w14:paraId="18A63994" w14:textId="77777777" w:rsidR="00130999" w:rsidRDefault="00000000">
      <w:pPr>
        <w:spacing w:line="360" w:lineRule="auto"/>
        <w:jc w:val="both"/>
      </w:pPr>
      <w:r>
        <w:rPr>
          <w:noProof/>
        </w:rPr>
        <w:drawing>
          <wp:inline distT="0" distB="0" distL="0" distR="0" wp14:anchorId="34D61B1C" wp14:editId="14DAD35F">
            <wp:extent cx="5731514" cy="7686675"/>
            <wp:effectExtent l="0" t="0" r="2536" b="9525"/>
            <wp:docPr id="1660795775" name="Ima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7686675"/>
                    </a:xfrm>
                    <a:prstGeom prst="rect">
                      <a:avLst/>
                    </a:prstGeom>
                    <a:noFill/>
                    <a:ln>
                      <a:noFill/>
                      <a:prstDash/>
                    </a:ln>
                  </pic:spPr>
                </pic:pic>
              </a:graphicData>
            </a:graphic>
          </wp:inline>
        </w:drawing>
      </w:r>
    </w:p>
    <w:p w14:paraId="3BFBB018" w14:textId="77777777" w:rsidR="00130999" w:rsidRDefault="00130999">
      <w:pPr>
        <w:spacing w:line="360" w:lineRule="auto"/>
        <w:jc w:val="both"/>
        <w:rPr>
          <w:rFonts w:ascii="Arial" w:hAnsi="Arial" w:cs="Arial"/>
          <w:b/>
          <w:bCs/>
          <w:sz w:val="24"/>
          <w:szCs w:val="24"/>
        </w:rPr>
      </w:pPr>
    </w:p>
    <w:p w14:paraId="419F4D94" w14:textId="77777777" w:rsidR="00130999" w:rsidRDefault="00000000">
      <w:pPr>
        <w:pStyle w:val="En-ttedetabledesmatires"/>
        <w:spacing w:before="0" w:line="360" w:lineRule="auto"/>
        <w:jc w:val="both"/>
      </w:pPr>
      <w:bookmarkStart w:id="4" w:name="_Toc235452141"/>
      <w:bookmarkStart w:id="5" w:name="_Toc235634438"/>
      <w:bookmarkStart w:id="6" w:name="_Toc235641157"/>
      <w:bookmarkStart w:id="7" w:name="_Toc235662514"/>
      <w:r>
        <w:rPr>
          <w:rFonts w:ascii="Arial" w:hAnsi="Arial" w:cs="Arial"/>
          <w:b/>
          <w:bCs/>
          <w:color w:val="auto"/>
          <w:sz w:val="24"/>
          <w:szCs w:val="24"/>
          <w:u w:val="single"/>
          <w:lang w:val="fr-FR"/>
        </w:rPr>
        <w:lastRenderedPageBreak/>
        <w:t>Table des matières</w:t>
      </w:r>
      <w:bookmarkEnd w:id="4"/>
      <w:bookmarkEnd w:id="5"/>
      <w:bookmarkEnd w:id="6"/>
      <w:bookmarkEnd w:id="7"/>
    </w:p>
    <w:p w14:paraId="176FFDD6" w14:textId="77777777" w:rsidR="00130999" w:rsidRDefault="00000000">
      <w:pPr>
        <w:pStyle w:val="TM1"/>
      </w:pPr>
      <w:r>
        <w:rPr>
          <w:rFonts w:ascii="Calibri Light" w:eastAsia="Times New Roman" w:hAnsi="Calibri Light"/>
          <w:color w:val="2F5496"/>
          <w:kern w:val="0"/>
          <w:sz w:val="32"/>
          <w:szCs w:val="32"/>
          <w:lang w:eastAsia="en-GB"/>
        </w:rPr>
        <w:fldChar w:fldCharType="begin"/>
      </w:r>
      <w:r>
        <w:instrText xml:space="preserve"> TOC \o "1-3" \u \h </w:instrText>
      </w:r>
      <w:r>
        <w:rPr>
          <w:rFonts w:ascii="Calibri Light" w:eastAsia="Times New Roman" w:hAnsi="Calibri Light"/>
          <w:color w:val="2F5496"/>
          <w:kern w:val="0"/>
          <w:sz w:val="32"/>
          <w:szCs w:val="32"/>
          <w:lang w:eastAsia="en-GB"/>
        </w:rPr>
        <w:fldChar w:fldCharType="separate"/>
      </w:r>
      <w:hyperlink w:anchor="_Toc235662513" w:history="1">
        <w:r w:rsidR="00130999">
          <w:rPr>
            <w:rStyle w:val="Lienhypertexte"/>
            <w:rFonts w:ascii="Arial" w:hAnsi="Arial" w:cs="Arial"/>
            <w:b/>
            <w:bCs/>
          </w:rPr>
          <w:t>Assessment 1: Marketing in a Transitioning World - The Case of BHP Group</w:t>
        </w:r>
        <w:r w:rsidR="00130999">
          <w:tab/>
          <w:t>I</w:t>
        </w:r>
      </w:hyperlink>
    </w:p>
    <w:p w14:paraId="3E69B0C4" w14:textId="77777777" w:rsidR="00130999" w:rsidRDefault="00130999">
      <w:pPr>
        <w:pStyle w:val="TM1"/>
      </w:pPr>
      <w:hyperlink w:anchor="_Toc235662514" w:history="1">
        <w:r>
          <w:rPr>
            <w:rStyle w:val="Lienhypertexte"/>
            <w:rFonts w:ascii="Arial" w:hAnsi="Arial" w:cs="Arial"/>
            <w:b/>
            <w:bCs/>
            <w:lang w:val="fr-FR"/>
          </w:rPr>
          <w:t>Table des matières</w:t>
        </w:r>
        <w:r>
          <w:tab/>
          <w:t>III</w:t>
        </w:r>
      </w:hyperlink>
    </w:p>
    <w:p w14:paraId="77AF279E" w14:textId="77777777" w:rsidR="00130999" w:rsidRDefault="00130999">
      <w:pPr>
        <w:pStyle w:val="TM1"/>
      </w:pPr>
      <w:hyperlink w:anchor="_Toc235662515" w:history="1">
        <w:r>
          <w:rPr>
            <w:rStyle w:val="Lienhypertexte"/>
            <w:rFonts w:ascii="Arial" w:hAnsi="Arial" w:cs="Arial"/>
            <w:b/>
            <w:bCs/>
          </w:rPr>
          <w:t>LIST OF ABBREVIATIONS:</w:t>
        </w:r>
        <w:r>
          <w:tab/>
          <w:t>IV</w:t>
        </w:r>
      </w:hyperlink>
    </w:p>
    <w:p w14:paraId="158FBF21" w14:textId="77777777" w:rsidR="00130999" w:rsidRDefault="00130999">
      <w:pPr>
        <w:pStyle w:val="TM1"/>
      </w:pPr>
      <w:hyperlink w:anchor="_Toc235662516" w:history="1">
        <w:r>
          <w:rPr>
            <w:rStyle w:val="Lienhypertexte"/>
            <w:rFonts w:ascii="Arial" w:hAnsi="Arial" w:cs="Arial"/>
            <w:b/>
            <w:bCs/>
          </w:rPr>
          <w:t>Task 1: Marketing Environment Analysis</w:t>
        </w:r>
        <w:r>
          <w:tab/>
          <w:t>5</w:t>
        </w:r>
      </w:hyperlink>
    </w:p>
    <w:p w14:paraId="46A409AA" w14:textId="77777777" w:rsidR="00130999" w:rsidRDefault="00130999">
      <w:pPr>
        <w:pStyle w:val="TM2"/>
        <w:tabs>
          <w:tab w:val="right" w:leader="dot" w:pos="9016"/>
        </w:tabs>
      </w:pPr>
      <w:hyperlink w:anchor="_Toc235662517" w:history="1">
        <w:r>
          <w:rPr>
            <w:rStyle w:val="Lienhypertexte"/>
            <w:rFonts w:ascii="Arial" w:hAnsi="Arial" w:cs="Arial"/>
            <w:b/>
            <w:bCs/>
          </w:rPr>
          <w:t>1.1: Company selection and context</w:t>
        </w:r>
        <w:r>
          <w:tab/>
          <w:t>5</w:t>
        </w:r>
      </w:hyperlink>
    </w:p>
    <w:p w14:paraId="1E138CD6" w14:textId="77777777" w:rsidR="00130999" w:rsidRDefault="00130999">
      <w:pPr>
        <w:pStyle w:val="TM2"/>
        <w:tabs>
          <w:tab w:val="right" w:leader="dot" w:pos="9016"/>
        </w:tabs>
      </w:pPr>
      <w:hyperlink w:anchor="_Toc235662518" w:history="1">
        <w:r>
          <w:rPr>
            <w:rStyle w:val="Lienhypertexte"/>
            <w:rFonts w:ascii="Arial" w:hAnsi="Arial" w:cs="Arial"/>
            <w:b/>
            <w:bCs/>
          </w:rPr>
          <w:t>1.2: The Natural Environment</w:t>
        </w:r>
        <w:r>
          <w:tab/>
          <w:t>6</w:t>
        </w:r>
      </w:hyperlink>
    </w:p>
    <w:p w14:paraId="6F0EAB8E" w14:textId="77777777" w:rsidR="00130999" w:rsidRDefault="00130999">
      <w:pPr>
        <w:pStyle w:val="TM2"/>
        <w:tabs>
          <w:tab w:val="right" w:leader="dot" w:pos="9016"/>
        </w:tabs>
      </w:pPr>
      <w:hyperlink w:anchor="_Toc235662519" w:history="1">
        <w:r>
          <w:rPr>
            <w:rStyle w:val="Lienhypertexte"/>
            <w:rFonts w:ascii="Arial" w:hAnsi="Arial" w:cs="Arial"/>
            <w:b/>
            <w:bCs/>
          </w:rPr>
          <w:t>1.3: The Legal Environment</w:t>
        </w:r>
        <w:r>
          <w:tab/>
          <w:t>7</w:t>
        </w:r>
      </w:hyperlink>
    </w:p>
    <w:p w14:paraId="20D8612C" w14:textId="77777777" w:rsidR="00130999" w:rsidRDefault="00130999">
      <w:pPr>
        <w:pStyle w:val="TM1"/>
      </w:pPr>
      <w:hyperlink w:anchor="_Toc235662520" w:history="1">
        <w:r>
          <w:rPr>
            <w:rStyle w:val="Lienhypertexte"/>
            <w:rFonts w:ascii="Arial" w:hAnsi="Arial" w:cs="Arial"/>
            <w:b/>
            <w:bCs/>
          </w:rPr>
          <w:t>Task 2: Strategic Growth and Competitive Positioning</w:t>
        </w:r>
        <w:r>
          <w:tab/>
          <w:t>8</w:t>
        </w:r>
      </w:hyperlink>
    </w:p>
    <w:p w14:paraId="28148EC2" w14:textId="77777777" w:rsidR="00130999" w:rsidRDefault="00130999">
      <w:pPr>
        <w:pStyle w:val="TM2"/>
        <w:tabs>
          <w:tab w:val="right" w:leader="dot" w:pos="9016"/>
        </w:tabs>
      </w:pPr>
      <w:hyperlink w:anchor="_Toc235662521" w:history="1">
        <w:r>
          <w:rPr>
            <w:rStyle w:val="Lienhypertexte"/>
            <w:rFonts w:ascii="Arial" w:hAnsi="Arial" w:cs="Arial"/>
            <w:b/>
            <w:bCs/>
          </w:rPr>
          <w:t>2.1 Strategic Growth Recommendation Using the Ansoff Matrix</w:t>
        </w:r>
        <w:r>
          <w:tab/>
          <w:t>8</w:t>
        </w:r>
      </w:hyperlink>
    </w:p>
    <w:p w14:paraId="37B55DAD" w14:textId="77777777" w:rsidR="00130999" w:rsidRDefault="00130999">
      <w:pPr>
        <w:pStyle w:val="TM2"/>
        <w:tabs>
          <w:tab w:val="right" w:leader="dot" w:pos="9016"/>
        </w:tabs>
      </w:pPr>
      <w:hyperlink w:anchor="_Toc235662522" w:history="1">
        <w:r>
          <w:rPr>
            <w:rStyle w:val="Lienhypertexte"/>
            <w:rFonts w:ascii="Arial" w:hAnsi="Arial" w:cs="Arial"/>
            <w:b/>
            <w:bCs/>
          </w:rPr>
          <w:t>2.2 Competitive Advantage Through a Lower-Carbon Business Model</w:t>
        </w:r>
        <w:r>
          <w:tab/>
          <w:t>9</w:t>
        </w:r>
      </w:hyperlink>
    </w:p>
    <w:p w14:paraId="43D78E57" w14:textId="77777777" w:rsidR="00130999" w:rsidRDefault="00130999">
      <w:pPr>
        <w:pStyle w:val="TM1"/>
      </w:pPr>
      <w:hyperlink w:anchor="_Toc235662523" w:history="1">
        <w:r>
          <w:rPr>
            <w:rStyle w:val="Lienhypertexte"/>
            <w:rFonts w:ascii="Arial" w:hAnsi="Arial" w:cs="Arial"/>
            <w:b/>
            <w:bCs/>
          </w:rPr>
          <w:t>Task 3: Critical Reflection on AI Usage</w:t>
        </w:r>
        <w:r>
          <w:tab/>
          <w:t>11</w:t>
        </w:r>
      </w:hyperlink>
    </w:p>
    <w:p w14:paraId="3F7C66F0" w14:textId="77777777" w:rsidR="00130999" w:rsidRDefault="00130999">
      <w:pPr>
        <w:pStyle w:val="TM2"/>
        <w:tabs>
          <w:tab w:val="right" w:leader="dot" w:pos="9016"/>
        </w:tabs>
      </w:pPr>
      <w:hyperlink w:anchor="_Toc235662524" w:history="1">
        <w:r>
          <w:rPr>
            <w:rStyle w:val="Lienhypertexte"/>
            <w:rFonts w:ascii="Arial" w:hAnsi="Arial" w:cs="Arial"/>
            <w:b/>
            <w:bCs/>
          </w:rPr>
          <w:t>3.1 Tool Disclosure</w:t>
        </w:r>
        <w:r>
          <w:tab/>
          <w:t>11</w:t>
        </w:r>
      </w:hyperlink>
    </w:p>
    <w:p w14:paraId="2285DC08" w14:textId="77777777" w:rsidR="00130999" w:rsidRDefault="00130999">
      <w:pPr>
        <w:pStyle w:val="TM2"/>
        <w:tabs>
          <w:tab w:val="right" w:leader="dot" w:pos="9016"/>
        </w:tabs>
      </w:pPr>
      <w:hyperlink w:anchor="_Toc235662525" w:history="1">
        <w:r>
          <w:rPr>
            <w:rStyle w:val="Lienhypertexte"/>
            <w:rFonts w:ascii="Arial" w:hAnsi="Arial" w:cs="Arial"/>
            <w:b/>
            <w:bCs/>
          </w:rPr>
          <w:t>3.2 Critical Evaluation of AI Output</w:t>
        </w:r>
        <w:r>
          <w:tab/>
          <w:t>11</w:t>
        </w:r>
      </w:hyperlink>
    </w:p>
    <w:p w14:paraId="0456E664" w14:textId="77777777" w:rsidR="00130999" w:rsidRDefault="00130999">
      <w:pPr>
        <w:pStyle w:val="TM2"/>
        <w:tabs>
          <w:tab w:val="right" w:leader="dot" w:pos="9016"/>
        </w:tabs>
      </w:pPr>
      <w:hyperlink w:anchor="_Toc235662526" w:history="1">
        <w:r>
          <w:rPr>
            <w:rStyle w:val="Lienhypertexte"/>
            <w:rFonts w:ascii="Arial" w:hAnsi="Arial" w:cs="Arial"/>
            <w:b/>
            <w:bCs/>
          </w:rPr>
          <w:t>3.3 Contribution Analysis</w:t>
        </w:r>
        <w:r>
          <w:tab/>
          <w:t>11</w:t>
        </w:r>
      </w:hyperlink>
    </w:p>
    <w:p w14:paraId="14D148BF" w14:textId="77777777" w:rsidR="00130999" w:rsidRDefault="00130999">
      <w:pPr>
        <w:pStyle w:val="TM2"/>
        <w:tabs>
          <w:tab w:val="right" w:leader="dot" w:pos="9016"/>
        </w:tabs>
      </w:pPr>
      <w:hyperlink w:anchor="_Toc235662527" w:history="1">
        <w:r>
          <w:rPr>
            <w:rStyle w:val="Lienhypertexte"/>
            <w:rFonts w:ascii="Arial" w:hAnsi="Arial" w:cs="Arial"/>
            <w:b/>
            <w:bCs/>
          </w:rPr>
          <w:t>3.4 Ethical and Professional Reflection</w:t>
        </w:r>
        <w:r>
          <w:tab/>
          <w:t>12</w:t>
        </w:r>
      </w:hyperlink>
    </w:p>
    <w:p w14:paraId="3BE086A0" w14:textId="77777777" w:rsidR="00130999" w:rsidRDefault="00130999">
      <w:pPr>
        <w:pStyle w:val="TM1"/>
      </w:pPr>
      <w:hyperlink w:anchor="_Toc235662528" w:history="1">
        <w:r>
          <w:rPr>
            <w:rStyle w:val="Lienhypertexte"/>
            <w:rFonts w:ascii="Arial" w:hAnsi="Arial" w:cs="Arial"/>
            <w:b/>
            <w:bCs/>
          </w:rPr>
          <w:t>REFERENCES</w:t>
        </w:r>
        <w:r>
          <w:tab/>
          <w:t>13</w:t>
        </w:r>
      </w:hyperlink>
    </w:p>
    <w:p w14:paraId="2F998DA7" w14:textId="77777777" w:rsidR="00130999" w:rsidRDefault="00130999">
      <w:pPr>
        <w:pStyle w:val="TM1"/>
      </w:pPr>
      <w:hyperlink w:anchor="_Toc235662529" w:history="1">
        <w:r>
          <w:rPr>
            <w:rStyle w:val="Lienhypertexte"/>
            <w:rFonts w:ascii="Arial" w:hAnsi="Arial" w:cs="Arial"/>
            <w:b/>
            <w:bCs/>
          </w:rPr>
          <w:t>Appendix A: Mining / Major Projects Countries - 8 countries These are where BHP has mines, processing plants, or major projects.</w:t>
        </w:r>
        <w:r>
          <w:tab/>
          <w:t>V</w:t>
        </w:r>
      </w:hyperlink>
    </w:p>
    <w:p w14:paraId="30DC1E3B" w14:textId="77777777" w:rsidR="00130999" w:rsidRDefault="00130999">
      <w:pPr>
        <w:pStyle w:val="TM1"/>
      </w:pPr>
      <w:hyperlink w:anchor="_Toc235662530" w:history="1">
        <w:r>
          <w:rPr>
            <w:rStyle w:val="Lienhypertexte"/>
            <w:rFonts w:ascii="Arial" w:hAnsi="Arial" w:cs="Arial"/>
            <w:b/>
            <w:bCs/>
          </w:rPr>
          <w:t>Appendix B: Commercial / Office / Trading Presence: There are sales, marketing, trading and HQ offices in 18 countries.</w:t>
        </w:r>
        <w:r>
          <w:tab/>
          <w:t>V</w:t>
        </w:r>
      </w:hyperlink>
    </w:p>
    <w:p w14:paraId="078079C1" w14:textId="77777777" w:rsidR="00130999" w:rsidRDefault="00130999">
      <w:pPr>
        <w:pStyle w:val="TM1"/>
      </w:pPr>
      <w:hyperlink w:anchor="_Toc235662531" w:history="1">
        <w:r>
          <w:rPr>
            <w:rStyle w:val="Lienhypertexte"/>
            <w:rFonts w:ascii="Arial" w:hAnsi="Arial" w:cs="Arial"/>
            <w:b/>
            <w:bCs/>
          </w:rPr>
          <w:t>APPENDIX C: Key Climate Policies Affecting BHP</w:t>
        </w:r>
        <w:r>
          <w:tab/>
          <w:t>VI</w:t>
        </w:r>
      </w:hyperlink>
    </w:p>
    <w:p w14:paraId="66CB9D0E" w14:textId="77777777" w:rsidR="00130999" w:rsidRDefault="00000000">
      <w:pPr>
        <w:spacing w:after="0" w:line="360" w:lineRule="auto"/>
        <w:jc w:val="both"/>
      </w:pPr>
      <w:r>
        <w:fldChar w:fldCharType="end"/>
      </w:r>
    </w:p>
    <w:p w14:paraId="2C5507EA" w14:textId="77777777" w:rsidR="00130999" w:rsidRDefault="00130999">
      <w:pPr>
        <w:spacing w:after="0" w:line="360" w:lineRule="auto"/>
        <w:jc w:val="both"/>
        <w:rPr>
          <w:rFonts w:ascii="Arial" w:hAnsi="Arial" w:cs="Arial"/>
          <w:b/>
          <w:bCs/>
          <w:sz w:val="24"/>
          <w:szCs w:val="24"/>
        </w:rPr>
        <w:sectPr w:rsidR="00130999">
          <w:headerReference w:type="default" r:id="rId12"/>
          <w:footerReference w:type="default" r:id="rId13"/>
          <w:pgSz w:w="11906" w:h="16838"/>
          <w:pgMar w:top="1440" w:right="1440" w:bottom="1440" w:left="1440" w:header="720" w:footer="720" w:gutter="0"/>
          <w:pgNumType w:fmt="upperRoman" w:start="2"/>
          <w:cols w:space="720"/>
        </w:sectPr>
      </w:pPr>
    </w:p>
    <w:p w14:paraId="551D7014" w14:textId="77777777" w:rsidR="00130999" w:rsidRDefault="00130999">
      <w:pPr>
        <w:spacing w:after="0" w:line="360" w:lineRule="auto"/>
        <w:jc w:val="both"/>
        <w:rPr>
          <w:rFonts w:ascii="Arial" w:hAnsi="Arial" w:cs="Arial"/>
          <w:b/>
          <w:bCs/>
          <w:sz w:val="24"/>
          <w:szCs w:val="24"/>
        </w:rPr>
      </w:pPr>
    </w:p>
    <w:p w14:paraId="65618176" w14:textId="77777777" w:rsidR="00130999" w:rsidRDefault="00000000">
      <w:pPr>
        <w:pStyle w:val="Titre1"/>
        <w:spacing w:before="0" w:after="0" w:line="360" w:lineRule="auto"/>
        <w:jc w:val="both"/>
      </w:pPr>
      <w:bookmarkStart w:id="8" w:name="_Toc235452142"/>
      <w:bookmarkStart w:id="9" w:name="_Toc235634439"/>
      <w:bookmarkStart w:id="10" w:name="_Toc235641158"/>
      <w:bookmarkStart w:id="11" w:name="_Toc235662515"/>
      <w:r>
        <w:rPr>
          <w:rFonts w:ascii="Arial" w:hAnsi="Arial" w:cs="Arial"/>
          <w:b/>
          <w:bCs/>
          <w:color w:val="auto"/>
          <w:sz w:val="24"/>
          <w:szCs w:val="24"/>
          <w:u w:val="single"/>
        </w:rPr>
        <w:t>LIST OF ABBREVIATIONS:</w:t>
      </w:r>
      <w:bookmarkEnd w:id="8"/>
      <w:bookmarkEnd w:id="9"/>
      <w:bookmarkEnd w:id="10"/>
      <w:bookmarkEnd w:id="11"/>
      <w:r>
        <w:rPr>
          <w:rFonts w:ascii="Arial" w:hAnsi="Arial" w:cs="Arial"/>
          <w:color w:val="auto"/>
          <w:sz w:val="24"/>
          <w:szCs w:val="24"/>
          <w:u w:val="single"/>
        </w:rPr>
        <w:t xml:space="preserve"> </w:t>
      </w:r>
    </w:p>
    <w:p w14:paraId="68B06FAB" w14:textId="77777777" w:rsidR="00130999" w:rsidRDefault="00000000">
      <w:pPr>
        <w:spacing w:after="0" w:line="360" w:lineRule="auto"/>
        <w:jc w:val="both"/>
      </w:pPr>
      <w:r>
        <w:rPr>
          <w:rFonts w:ascii="Arial" w:hAnsi="Arial" w:cs="Arial"/>
          <w:b/>
          <w:bCs/>
          <w:sz w:val="24"/>
          <w:szCs w:val="24"/>
        </w:rPr>
        <w:t>BHP:</w:t>
      </w:r>
      <w:r>
        <w:rPr>
          <w:rFonts w:ascii="Arial" w:hAnsi="Arial" w:cs="Arial"/>
          <w:sz w:val="24"/>
          <w:szCs w:val="24"/>
        </w:rPr>
        <w:t xml:space="preserve"> BHP Group Limited  </w:t>
      </w:r>
    </w:p>
    <w:p w14:paraId="53B8F139" w14:textId="77777777" w:rsidR="00130999" w:rsidRDefault="00000000">
      <w:pPr>
        <w:spacing w:after="0" w:line="360" w:lineRule="auto"/>
        <w:jc w:val="both"/>
      </w:pPr>
      <w:r>
        <w:rPr>
          <w:rFonts w:ascii="Arial" w:hAnsi="Arial" w:cs="Arial"/>
          <w:b/>
          <w:bCs/>
          <w:sz w:val="24"/>
          <w:szCs w:val="24"/>
        </w:rPr>
        <w:t>B2B:</w:t>
      </w:r>
      <w:r>
        <w:rPr>
          <w:rFonts w:ascii="Arial" w:hAnsi="Arial" w:cs="Arial"/>
          <w:sz w:val="24"/>
          <w:szCs w:val="24"/>
        </w:rPr>
        <w:t xml:space="preserve"> Business-to-Business </w:t>
      </w:r>
    </w:p>
    <w:p w14:paraId="790B0C71" w14:textId="77777777" w:rsidR="00130999" w:rsidRDefault="00000000">
      <w:pPr>
        <w:spacing w:after="0" w:line="360" w:lineRule="auto"/>
        <w:jc w:val="both"/>
      </w:pPr>
      <w:r>
        <w:rPr>
          <w:rFonts w:ascii="Arial" w:hAnsi="Arial" w:cs="Arial"/>
          <w:b/>
          <w:bCs/>
          <w:sz w:val="24"/>
          <w:szCs w:val="24"/>
        </w:rPr>
        <w:t xml:space="preserve">CBAM: </w:t>
      </w:r>
      <w:r>
        <w:rPr>
          <w:rFonts w:ascii="Arial" w:hAnsi="Arial" w:cs="Arial"/>
          <w:sz w:val="24"/>
          <w:szCs w:val="24"/>
        </w:rPr>
        <w:t xml:space="preserve">Carbon Border Adjustment Mechanism  </w:t>
      </w:r>
    </w:p>
    <w:p w14:paraId="37E94B1B" w14:textId="77777777" w:rsidR="00130999" w:rsidRDefault="00000000">
      <w:pPr>
        <w:spacing w:after="0" w:line="360" w:lineRule="auto"/>
        <w:jc w:val="both"/>
      </w:pPr>
      <w:r>
        <w:rPr>
          <w:rFonts w:ascii="Arial" w:hAnsi="Arial" w:cs="Arial"/>
          <w:b/>
          <w:bCs/>
          <w:sz w:val="24"/>
          <w:szCs w:val="24"/>
        </w:rPr>
        <w:t>CAPEX:</w:t>
      </w:r>
      <w:r>
        <w:rPr>
          <w:rFonts w:ascii="Arial" w:hAnsi="Arial" w:cs="Arial"/>
          <w:sz w:val="24"/>
          <w:szCs w:val="24"/>
        </w:rPr>
        <w:t xml:space="preserve"> Capital Expenditure  </w:t>
      </w:r>
    </w:p>
    <w:p w14:paraId="0BF30E9F" w14:textId="77777777" w:rsidR="00130999" w:rsidRDefault="00000000">
      <w:pPr>
        <w:spacing w:after="0" w:line="360" w:lineRule="auto"/>
        <w:jc w:val="both"/>
      </w:pPr>
      <w:r>
        <w:rPr>
          <w:rFonts w:ascii="Arial" w:hAnsi="Arial" w:cs="Arial"/>
          <w:b/>
          <w:bCs/>
          <w:sz w:val="24"/>
          <w:szCs w:val="24"/>
        </w:rPr>
        <w:t>CSRD:</w:t>
      </w:r>
      <w:r>
        <w:rPr>
          <w:rFonts w:ascii="Arial" w:hAnsi="Arial" w:cs="Arial"/>
          <w:sz w:val="24"/>
          <w:szCs w:val="24"/>
        </w:rPr>
        <w:t xml:space="preserve"> Corporate Sustainability Reporting Directive  </w:t>
      </w:r>
    </w:p>
    <w:p w14:paraId="0684AC01" w14:textId="77777777" w:rsidR="00130999" w:rsidRDefault="00000000">
      <w:pPr>
        <w:spacing w:after="0" w:line="360" w:lineRule="auto"/>
        <w:jc w:val="both"/>
      </w:pPr>
      <w:r>
        <w:rPr>
          <w:rFonts w:ascii="Arial" w:hAnsi="Arial" w:cs="Arial"/>
          <w:b/>
          <w:bCs/>
          <w:sz w:val="24"/>
          <w:szCs w:val="24"/>
        </w:rPr>
        <w:t>CTAP:</w:t>
      </w:r>
      <w:r>
        <w:rPr>
          <w:rFonts w:ascii="Arial" w:hAnsi="Arial" w:cs="Arial"/>
          <w:sz w:val="24"/>
          <w:szCs w:val="24"/>
        </w:rPr>
        <w:t xml:space="preserve"> Climate Transition Action Plan  </w:t>
      </w:r>
    </w:p>
    <w:p w14:paraId="2AC7455B" w14:textId="77777777" w:rsidR="00130999" w:rsidRDefault="00000000">
      <w:pPr>
        <w:spacing w:after="0" w:line="360" w:lineRule="auto"/>
        <w:jc w:val="both"/>
      </w:pPr>
      <w:r>
        <w:rPr>
          <w:rFonts w:ascii="Arial" w:hAnsi="Arial" w:cs="Arial"/>
          <w:b/>
          <w:bCs/>
          <w:sz w:val="24"/>
          <w:szCs w:val="24"/>
        </w:rPr>
        <w:t xml:space="preserve">ESG: </w:t>
      </w:r>
      <w:r>
        <w:rPr>
          <w:rFonts w:ascii="Arial" w:hAnsi="Arial" w:cs="Arial"/>
          <w:sz w:val="24"/>
          <w:szCs w:val="24"/>
        </w:rPr>
        <w:t xml:space="preserve">Environmental, Social and Governance  </w:t>
      </w:r>
    </w:p>
    <w:p w14:paraId="39BC873B" w14:textId="77777777" w:rsidR="00130999" w:rsidRDefault="00000000">
      <w:pPr>
        <w:spacing w:after="0" w:line="360" w:lineRule="auto"/>
        <w:jc w:val="both"/>
      </w:pPr>
      <w:r>
        <w:rPr>
          <w:rFonts w:ascii="Arial" w:hAnsi="Arial" w:cs="Arial"/>
          <w:b/>
          <w:bCs/>
          <w:sz w:val="24"/>
          <w:szCs w:val="24"/>
        </w:rPr>
        <w:t>EU:</w:t>
      </w:r>
      <w:r>
        <w:rPr>
          <w:rFonts w:ascii="Arial" w:hAnsi="Arial" w:cs="Arial"/>
          <w:sz w:val="24"/>
          <w:szCs w:val="24"/>
        </w:rPr>
        <w:t xml:space="preserve"> European Union  </w:t>
      </w:r>
    </w:p>
    <w:p w14:paraId="109CADBD" w14:textId="77777777" w:rsidR="00130999" w:rsidRDefault="00000000">
      <w:pPr>
        <w:spacing w:after="0" w:line="360" w:lineRule="auto"/>
        <w:jc w:val="both"/>
      </w:pPr>
      <w:r>
        <w:rPr>
          <w:rFonts w:ascii="Arial" w:hAnsi="Arial" w:cs="Arial"/>
          <w:b/>
          <w:bCs/>
          <w:sz w:val="24"/>
          <w:szCs w:val="24"/>
        </w:rPr>
        <w:t>EU ETS:</w:t>
      </w:r>
      <w:r>
        <w:rPr>
          <w:rFonts w:ascii="Arial" w:hAnsi="Arial" w:cs="Arial"/>
          <w:sz w:val="24"/>
          <w:szCs w:val="24"/>
        </w:rPr>
        <w:t xml:space="preserve"> European Union Emissions Trading System  </w:t>
      </w:r>
    </w:p>
    <w:p w14:paraId="65C1F430" w14:textId="77777777" w:rsidR="00130999" w:rsidRDefault="00000000">
      <w:pPr>
        <w:spacing w:after="0" w:line="360" w:lineRule="auto"/>
        <w:jc w:val="both"/>
      </w:pPr>
      <w:r>
        <w:rPr>
          <w:rFonts w:ascii="Arial" w:hAnsi="Arial" w:cs="Arial"/>
          <w:b/>
          <w:bCs/>
          <w:sz w:val="24"/>
          <w:szCs w:val="24"/>
        </w:rPr>
        <w:t>FPIC:</w:t>
      </w:r>
      <w:r>
        <w:rPr>
          <w:rFonts w:ascii="Arial" w:hAnsi="Arial" w:cs="Arial"/>
          <w:sz w:val="24"/>
          <w:szCs w:val="24"/>
        </w:rPr>
        <w:t xml:space="preserve"> Free, Prior and Informed Consent  </w:t>
      </w:r>
    </w:p>
    <w:p w14:paraId="5CC1CF0B" w14:textId="77777777" w:rsidR="00130999" w:rsidRDefault="00000000">
      <w:pPr>
        <w:spacing w:after="0" w:line="360" w:lineRule="auto"/>
        <w:jc w:val="both"/>
      </w:pPr>
      <w:r>
        <w:rPr>
          <w:rFonts w:ascii="Arial" w:hAnsi="Arial" w:cs="Arial"/>
          <w:b/>
          <w:bCs/>
          <w:sz w:val="24"/>
          <w:szCs w:val="24"/>
        </w:rPr>
        <w:t xml:space="preserve">GHG: </w:t>
      </w:r>
      <w:r>
        <w:rPr>
          <w:rFonts w:ascii="Arial" w:hAnsi="Arial" w:cs="Arial"/>
          <w:sz w:val="24"/>
          <w:szCs w:val="24"/>
        </w:rPr>
        <w:t>Greenhouse Gas</w:t>
      </w:r>
    </w:p>
    <w:p w14:paraId="1230D1A2" w14:textId="77777777" w:rsidR="00130999" w:rsidRDefault="00000000">
      <w:pPr>
        <w:spacing w:after="0" w:line="360" w:lineRule="auto"/>
        <w:jc w:val="both"/>
      </w:pPr>
      <w:r>
        <w:rPr>
          <w:rFonts w:ascii="Arial" w:hAnsi="Arial" w:cs="Arial"/>
          <w:b/>
          <w:bCs/>
          <w:sz w:val="24"/>
          <w:szCs w:val="24"/>
        </w:rPr>
        <w:t>HBI:</w:t>
      </w:r>
      <w:r>
        <w:rPr>
          <w:rFonts w:ascii="Arial" w:hAnsi="Arial" w:cs="Arial"/>
          <w:sz w:val="24"/>
          <w:szCs w:val="24"/>
        </w:rPr>
        <w:t xml:space="preserve"> Hot Briquetted Iron  </w:t>
      </w:r>
    </w:p>
    <w:p w14:paraId="75E6F842" w14:textId="77777777" w:rsidR="00130999" w:rsidRDefault="00000000">
      <w:pPr>
        <w:spacing w:after="0" w:line="360" w:lineRule="auto"/>
        <w:jc w:val="both"/>
      </w:pPr>
      <w:r>
        <w:rPr>
          <w:rFonts w:ascii="Arial" w:hAnsi="Arial" w:cs="Arial"/>
          <w:b/>
          <w:bCs/>
          <w:sz w:val="24"/>
          <w:szCs w:val="24"/>
        </w:rPr>
        <w:t>IEA:</w:t>
      </w:r>
      <w:r>
        <w:rPr>
          <w:rFonts w:ascii="Arial" w:hAnsi="Arial" w:cs="Arial"/>
          <w:sz w:val="24"/>
          <w:szCs w:val="24"/>
        </w:rPr>
        <w:t xml:space="preserve"> International Energy Agency </w:t>
      </w:r>
    </w:p>
    <w:p w14:paraId="38CEF5F6" w14:textId="77777777" w:rsidR="00130999" w:rsidRDefault="00000000">
      <w:pPr>
        <w:spacing w:after="0" w:line="360" w:lineRule="auto"/>
        <w:jc w:val="both"/>
      </w:pPr>
      <w:r>
        <w:rPr>
          <w:rFonts w:ascii="Arial" w:hAnsi="Arial" w:cs="Arial"/>
          <w:b/>
          <w:bCs/>
          <w:sz w:val="24"/>
          <w:szCs w:val="24"/>
        </w:rPr>
        <w:t>IPCC:</w:t>
      </w:r>
      <w:r>
        <w:rPr>
          <w:rFonts w:ascii="Arial" w:hAnsi="Arial" w:cs="Arial"/>
          <w:sz w:val="24"/>
          <w:szCs w:val="24"/>
        </w:rPr>
        <w:t xml:space="preserve"> Intergovernmental Panel on Climate Change  </w:t>
      </w:r>
    </w:p>
    <w:p w14:paraId="76BEAD1D" w14:textId="77777777" w:rsidR="00130999" w:rsidRDefault="00000000">
      <w:pPr>
        <w:spacing w:after="0" w:line="360" w:lineRule="auto"/>
        <w:jc w:val="both"/>
      </w:pPr>
      <w:r>
        <w:rPr>
          <w:rFonts w:ascii="Arial" w:hAnsi="Arial" w:cs="Arial"/>
          <w:b/>
          <w:bCs/>
          <w:sz w:val="24"/>
          <w:szCs w:val="24"/>
        </w:rPr>
        <w:t>IRA:</w:t>
      </w:r>
      <w:r>
        <w:rPr>
          <w:rFonts w:ascii="Arial" w:hAnsi="Arial" w:cs="Arial"/>
          <w:sz w:val="24"/>
          <w:szCs w:val="24"/>
        </w:rPr>
        <w:t xml:space="preserve"> Inflation Reduction Act  </w:t>
      </w:r>
    </w:p>
    <w:p w14:paraId="0C042E12" w14:textId="77777777" w:rsidR="00130999" w:rsidRDefault="00000000">
      <w:pPr>
        <w:spacing w:after="0" w:line="360" w:lineRule="auto"/>
        <w:jc w:val="both"/>
      </w:pPr>
      <w:r>
        <w:rPr>
          <w:rFonts w:ascii="Arial" w:hAnsi="Arial" w:cs="Arial"/>
          <w:b/>
          <w:bCs/>
          <w:sz w:val="24"/>
          <w:szCs w:val="24"/>
        </w:rPr>
        <w:t>IRMA:</w:t>
      </w:r>
      <w:r>
        <w:rPr>
          <w:rFonts w:ascii="Arial" w:hAnsi="Arial" w:cs="Arial"/>
          <w:sz w:val="24"/>
          <w:szCs w:val="24"/>
        </w:rPr>
        <w:t xml:space="preserve"> Initiative for Responsible Mining Assurance  </w:t>
      </w:r>
    </w:p>
    <w:p w14:paraId="176817D2" w14:textId="77777777" w:rsidR="00130999" w:rsidRDefault="00000000">
      <w:pPr>
        <w:spacing w:after="0" w:line="360" w:lineRule="auto"/>
        <w:jc w:val="both"/>
      </w:pPr>
      <w:r>
        <w:rPr>
          <w:rFonts w:ascii="Arial" w:hAnsi="Arial" w:cs="Arial"/>
          <w:b/>
          <w:bCs/>
          <w:sz w:val="24"/>
          <w:szCs w:val="24"/>
        </w:rPr>
        <w:t>NRBV:</w:t>
      </w:r>
      <w:r>
        <w:rPr>
          <w:rFonts w:ascii="Arial" w:hAnsi="Arial" w:cs="Arial"/>
          <w:sz w:val="24"/>
          <w:szCs w:val="24"/>
        </w:rPr>
        <w:t xml:space="preserve"> Natural-Resource-Based View  </w:t>
      </w:r>
    </w:p>
    <w:p w14:paraId="0F669E5F" w14:textId="77777777" w:rsidR="00130999" w:rsidRDefault="00000000">
      <w:pPr>
        <w:spacing w:after="0" w:line="360" w:lineRule="auto"/>
        <w:jc w:val="both"/>
      </w:pPr>
      <w:r>
        <w:rPr>
          <w:rFonts w:ascii="Arial" w:hAnsi="Arial" w:cs="Arial"/>
          <w:b/>
          <w:bCs/>
          <w:sz w:val="24"/>
          <w:szCs w:val="24"/>
        </w:rPr>
        <w:t>OPEX:</w:t>
      </w:r>
      <w:r>
        <w:rPr>
          <w:rFonts w:ascii="Arial" w:hAnsi="Arial" w:cs="Arial"/>
          <w:sz w:val="24"/>
          <w:szCs w:val="24"/>
        </w:rPr>
        <w:t xml:space="preserve"> Operating Expenditure  </w:t>
      </w:r>
    </w:p>
    <w:p w14:paraId="6ED65623" w14:textId="77777777" w:rsidR="00130999" w:rsidRDefault="00000000">
      <w:pPr>
        <w:spacing w:after="0" w:line="360" w:lineRule="auto"/>
        <w:jc w:val="both"/>
      </w:pPr>
      <w:r>
        <w:rPr>
          <w:rFonts w:ascii="Arial" w:hAnsi="Arial" w:cs="Arial"/>
          <w:b/>
          <w:bCs/>
          <w:sz w:val="24"/>
          <w:szCs w:val="24"/>
        </w:rPr>
        <w:t>PESTEL:</w:t>
      </w:r>
      <w:r>
        <w:rPr>
          <w:rFonts w:ascii="Arial" w:hAnsi="Arial" w:cs="Arial"/>
          <w:sz w:val="24"/>
          <w:szCs w:val="24"/>
        </w:rPr>
        <w:t xml:space="preserve"> Political, Economic, Social, Technological, Environmental, Legal  </w:t>
      </w:r>
    </w:p>
    <w:p w14:paraId="2FB35C53" w14:textId="77777777" w:rsidR="00130999" w:rsidRDefault="00000000">
      <w:pPr>
        <w:spacing w:after="0" w:line="360" w:lineRule="auto"/>
        <w:jc w:val="both"/>
      </w:pPr>
      <w:r>
        <w:rPr>
          <w:rFonts w:ascii="Arial" w:hAnsi="Arial" w:cs="Arial"/>
          <w:b/>
          <w:bCs/>
          <w:sz w:val="24"/>
          <w:szCs w:val="24"/>
        </w:rPr>
        <w:t>PPA:</w:t>
      </w:r>
      <w:r>
        <w:rPr>
          <w:rFonts w:ascii="Arial" w:hAnsi="Arial" w:cs="Arial"/>
          <w:sz w:val="24"/>
          <w:szCs w:val="24"/>
        </w:rPr>
        <w:t xml:space="preserve"> Power Purchase Agreement  </w:t>
      </w:r>
    </w:p>
    <w:p w14:paraId="0EE9AD4E" w14:textId="77777777" w:rsidR="00130999" w:rsidRDefault="00000000">
      <w:pPr>
        <w:spacing w:after="0" w:line="360" w:lineRule="auto"/>
        <w:jc w:val="both"/>
      </w:pPr>
      <w:r>
        <w:rPr>
          <w:rFonts w:ascii="Arial" w:hAnsi="Arial" w:cs="Arial"/>
          <w:b/>
          <w:bCs/>
          <w:sz w:val="24"/>
          <w:szCs w:val="24"/>
        </w:rPr>
        <w:t>RBV:</w:t>
      </w:r>
      <w:r>
        <w:rPr>
          <w:rFonts w:ascii="Arial" w:hAnsi="Arial" w:cs="Arial"/>
          <w:sz w:val="24"/>
          <w:szCs w:val="24"/>
        </w:rPr>
        <w:t xml:space="preserve"> Resource-Based View  </w:t>
      </w:r>
    </w:p>
    <w:p w14:paraId="35AA31F3" w14:textId="77777777" w:rsidR="00130999" w:rsidRDefault="00000000">
      <w:pPr>
        <w:spacing w:after="0" w:line="360" w:lineRule="auto"/>
        <w:jc w:val="both"/>
      </w:pPr>
      <w:r>
        <w:rPr>
          <w:rFonts w:ascii="Arial" w:hAnsi="Arial" w:cs="Arial"/>
          <w:b/>
          <w:bCs/>
          <w:sz w:val="24"/>
          <w:szCs w:val="24"/>
        </w:rPr>
        <w:t>SGM:</w:t>
      </w:r>
      <w:r>
        <w:rPr>
          <w:rFonts w:ascii="Arial" w:hAnsi="Arial" w:cs="Arial"/>
          <w:sz w:val="24"/>
          <w:szCs w:val="24"/>
        </w:rPr>
        <w:t xml:space="preserve"> Safeguard Mechanism  </w:t>
      </w:r>
    </w:p>
    <w:p w14:paraId="5D4AFBFC" w14:textId="77777777" w:rsidR="00130999" w:rsidRDefault="00000000">
      <w:pPr>
        <w:spacing w:after="0" w:line="360" w:lineRule="auto"/>
        <w:jc w:val="both"/>
      </w:pPr>
      <w:r>
        <w:rPr>
          <w:rFonts w:ascii="Arial" w:hAnsi="Arial" w:cs="Arial"/>
          <w:b/>
          <w:bCs/>
          <w:sz w:val="24"/>
          <w:szCs w:val="24"/>
        </w:rPr>
        <w:t>SLO:</w:t>
      </w:r>
      <w:r>
        <w:rPr>
          <w:rFonts w:ascii="Arial" w:hAnsi="Arial" w:cs="Arial"/>
          <w:sz w:val="24"/>
          <w:szCs w:val="24"/>
        </w:rPr>
        <w:t xml:space="preserve"> Social Licence to Operate  </w:t>
      </w:r>
    </w:p>
    <w:p w14:paraId="20B1E20B" w14:textId="77777777" w:rsidR="00130999" w:rsidRDefault="00000000">
      <w:pPr>
        <w:spacing w:after="0" w:line="360" w:lineRule="auto"/>
        <w:jc w:val="both"/>
      </w:pPr>
      <w:r>
        <w:rPr>
          <w:rFonts w:ascii="Arial" w:hAnsi="Arial" w:cs="Arial"/>
          <w:b/>
          <w:bCs/>
          <w:sz w:val="24"/>
          <w:szCs w:val="24"/>
        </w:rPr>
        <w:t>tCO2e:</w:t>
      </w:r>
      <w:r>
        <w:rPr>
          <w:rFonts w:ascii="Arial" w:hAnsi="Arial" w:cs="Arial"/>
          <w:sz w:val="24"/>
          <w:szCs w:val="24"/>
        </w:rPr>
        <w:t xml:space="preserve"> Tonnes of Carbon Dioxide Equivalent  </w:t>
      </w:r>
    </w:p>
    <w:p w14:paraId="63397E42" w14:textId="77777777" w:rsidR="00130999" w:rsidRDefault="00000000">
      <w:pPr>
        <w:spacing w:after="0" w:line="360" w:lineRule="auto"/>
        <w:jc w:val="both"/>
        <w:sectPr w:rsidR="00130999">
          <w:headerReference w:type="default" r:id="rId14"/>
          <w:footerReference w:type="default" r:id="rId15"/>
          <w:pgSz w:w="11906" w:h="16838"/>
          <w:pgMar w:top="1440" w:right="1440" w:bottom="1440" w:left="1440" w:header="720" w:footer="720" w:gutter="0"/>
          <w:pgNumType w:fmt="upperRoman" w:start="4"/>
          <w:cols w:space="720"/>
        </w:sectPr>
      </w:pPr>
      <w:r>
        <w:rPr>
          <w:rFonts w:ascii="Arial" w:hAnsi="Arial" w:cs="Arial"/>
          <w:b/>
          <w:bCs/>
          <w:sz w:val="24"/>
          <w:szCs w:val="24"/>
        </w:rPr>
        <w:t>WRI:</w:t>
      </w:r>
      <w:r>
        <w:rPr>
          <w:rFonts w:ascii="Arial" w:hAnsi="Arial" w:cs="Arial"/>
          <w:sz w:val="24"/>
          <w:szCs w:val="24"/>
        </w:rPr>
        <w:t xml:space="preserve"> World Resources Institute</w:t>
      </w:r>
    </w:p>
    <w:p w14:paraId="2FADA802" w14:textId="77777777" w:rsidR="00130999" w:rsidRDefault="00000000">
      <w:pPr>
        <w:pStyle w:val="Titre1"/>
        <w:spacing w:before="0" w:after="120" w:line="360" w:lineRule="auto"/>
        <w:jc w:val="both"/>
        <w:rPr>
          <w:rFonts w:ascii="Arial" w:hAnsi="Arial" w:cs="Arial"/>
          <w:b/>
          <w:bCs/>
          <w:color w:val="auto"/>
          <w:sz w:val="24"/>
          <w:szCs w:val="24"/>
          <w:u w:val="single"/>
        </w:rPr>
      </w:pPr>
      <w:bookmarkStart w:id="12" w:name="_Toc235452143"/>
      <w:bookmarkStart w:id="13" w:name="_Toc235634440"/>
      <w:bookmarkStart w:id="14" w:name="_Toc235641159"/>
      <w:bookmarkStart w:id="15" w:name="_Toc235662516"/>
      <w:r>
        <w:rPr>
          <w:rFonts w:ascii="Arial" w:hAnsi="Arial" w:cs="Arial"/>
          <w:b/>
          <w:bCs/>
          <w:color w:val="auto"/>
          <w:sz w:val="24"/>
          <w:szCs w:val="24"/>
          <w:u w:val="single"/>
        </w:rPr>
        <w:lastRenderedPageBreak/>
        <w:t>Task 1: Marketing Environment Analysis</w:t>
      </w:r>
      <w:bookmarkEnd w:id="12"/>
      <w:bookmarkEnd w:id="13"/>
      <w:bookmarkEnd w:id="14"/>
      <w:bookmarkEnd w:id="15"/>
    </w:p>
    <w:p w14:paraId="34131C22"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The mining sector embodies a fundamental contradiction. It supplies the metals required for decarbonisation, yet it is also responsible for a significant share of global industrial emissions. Kotler et al. (2024, pp. 115-117) estimate that the world’s largest firms, including major miners, account for roughly 25% of reported greenhouse gas (GHG) emissions. Within this context, a Political, Economic, Social, Technological, Environmental, Legal (PESTEL) analysis of BHP Group Limited (BHP) reveals that two factors now dominate strategic choice: the Natural Environment and the Legal Environment. </w:t>
      </w:r>
    </w:p>
    <w:p w14:paraId="5C2B2229" w14:textId="77777777" w:rsidR="00130999" w:rsidRDefault="00000000">
      <w:pPr>
        <w:pStyle w:val="Titre2"/>
        <w:spacing w:line="360" w:lineRule="auto"/>
        <w:jc w:val="both"/>
        <w:rPr>
          <w:rFonts w:ascii="Arial" w:hAnsi="Arial" w:cs="Arial"/>
          <w:b/>
          <w:bCs/>
          <w:color w:val="auto"/>
          <w:sz w:val="24"/>
          <w:szCs w:val="24"/>
          <w:u w:val="single"/>
        </w:rPr>
      </w:pPr>
      <w:bookmarkStart w:id="16" w:name="_Toc235634441"/>
      <w:bookmarkStart w:id="17" w:name="_Toc235662517"/>
      <w:r>
        <w:rPr>
          <w:rFonts w:ascii="Arial" w:hAnsi="Arial" w:cs="Arial"/>
          <w:b/>
          <w:bCs/>
          <w:color w:val="auto"/>
          <w:sz w:val="24"/>
          <w:szCs w:val="24"/>
          <w:u w:val="single"/>
        </w:rPr>
        <w:t>1.1: Company selection and context</w:t>
      </w:r>
      <w:bookmarkEnd w:id="16"/>
      <w:bookmarkEnd w:id="17"/>
    </w:p>
    <w:p w14:paraId="7DCA689D"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BHP was selected due to its scale and its direct exposure to transition pressures. As the largest listed miner by market capitalisation, BHP’s decisions have sector-wide implications (Wood Mackenzie, 2024a, p. 4).  </w:t>
      </w:r>
    </w:p>
    <w:p w14:paraId="591C5A8D"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The portfolio is concentrated in copper, iron ore and nickel. Operations span 8 core mining countries (detailed in Appendix A), including Australia, Chile and Canada, with a commercial presence in over 18 countries (detailed in Appendix B) in total (BHP Group, 2024a, p. 12). This commodity mix is central to the energy transition. The International Energy Agency (IEA, 2024, p. 23) forecasts that copper demand will rise by 1.5 times and nickel demand will more than double by 2040, driven by grids, electric vehicles and battery storage. By divesting oil, gas and thermal coal, BHP has repositioned itself to supply inputs for decarbonisation rather than fossil fuels. </w:t>
      </w:r>
    </w:p>
    <w:p w14:paraId="2FCAB574"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Approximately 60% of assets are located in Australia and Chile (BHP Group, 2024a, p. 15). Both jurisdictions face intensifying water stress and regulatory scrutiny. This geographic concentration increases vulnerability but also creates opportunity to lead on response measures.  </w:t>
      </w:r>
    </w:p>
    <w:p w14:paraId="0EA00201"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On sustainability, BHP’s externally audited Climate Transition Action Plan 2024 (CTAP) commits to net-zero operational emissions by 2050 and links executive remuneration to emissions performance (BHP Group, 2024a, p. 8). A USD 4 billion decarbonisation Capital Expenditure (CAPEX) allocation to 2030 signals that the transition is being treated as a capital allocation problem, not only a reporting exercise (BHP Group, 2024a, p. 21).  </w:t>
      </w:r>
    </w:p>
    <w:p w14:paraId="2B799231"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The market context reinforces the need for change. The IEA Global Critical Minerals Outlook 2024 indicates that volume growth alone will be insufficient. Buyers and </w:t>
      </w:r>
      <w:r>
        <w:rPr>
          <w:rFonts w:ascii="Arial" w:hAnsi="Arial" w:cs="Arial"/>
          <w:sz w:val="24"/>
          <w:szCs w:val="24"/>
        </w:rPr>
        <w:lastRenderedPageBreak/>
        <w:t>regulators are increasingly demanding evidence of production methods (IEA, 2024, p. 67).</w:t>
      </w:r>
    </w:p>
    <w:p w14:paraId="71EA339F" w14:textId="77777777" w:rsidR="00130999" w:rsidRDefault="00000000">
      <w:pPr>
        <w:pStyle w:val="Titre2"/>
        <w:spacing w:line="360" w:lineRule="auto"/>
        <w:rPr>
          <w:rFonts w:ascii="Arial" w:hAnsi="Arial" w:cs="Arial"/>
          <w:b/>
          <w:bCs/>
          <w:color w:val="auto"/>
          <w:sz w:val="24"/>
          <w:szCs w:val="24"/>
          <w:u w:val="single"/>
        </w:rPr>
      </w:pPr>
      <w:bookmarkStart w:id="18" w:name="_Toc235634442"/>
      <w:bookmarkStart w:id="19" w:name="_Toc235662518"/>
      <w:bookmarkStart w:id="20" w:name="_Toc235452145"/>
      <w:r>
        <w:rPr>
          <w:rFonts w:ascii="Arial" w:hAnsi="Arial" w:cs="Arial"/>
          <w:b/>
          <w:bCs/>
          <w:color w:val="auto"/>
          <w:sz w:val="24"/>
          <w:szCs w:val="24"/>
          <w:u w:val="single"/>
        </w:rPr>
        <w:t>1.2: The Natural Environment</w:t>
      </w:r>
      <w:bookmarkEnd w:id="18"/>
      <w:bookmarkEnd w:id="19"/>
      <w:r>
        <w:rPr>
          <w:rFonts w:ascii="Arial" w:hAnsi="Arial" w:cs="Arial"/>
          <w:b/>
          <w:bCs/>
          <w:color w:val="auto"/>
          <w:sz w:val="24"/>
          <w:szCs w:val="24"/>
          <w:u w:val="single"/>
        </w:rPr>
        <w:t xml:space="preserve"> </w:t>
      </w:r>
      <w:bookmarkEnd w:id="20"/>
    </w:p>
    <w:p w14:paraId="40CB4217" w14:textId="77777777" w:rsidR="00130999" w:rsidRDefault="00000000">
      <w:pPr>
        <w:spacing w:after="0" w:line="360" w:lineRule="auto"/>
        <w:jc w:val="both"/>
        <w:rPr>
          <w:rFonts w:ascii="Arial" w:hAnsi="Arial" w:cs="Arial"/>
          <w:sz w:val="24"/>
          <w:szCs w:val="24"/>
        </w:rPr>
      </w:pPr>
      <w:r>
        <w:rPr>
          <w:rFonts w:ascii="Arial" w:hAnsi="Arial" w:cs="Arial"/>
          <w:sz w:val="24"/>
          <w:szCs w:val="24"/>
        </w:rPr>
        <w:t>Within the PESTEL framework, the Natural Environment has shifted from context to driver. Hart’s (2017, pp. 68-69) Natural-Resource-Based View (NRBV) argues that physical constraints are becoming the primary source of cost and differentiation.</w:t>
      </w:r>
    </w:p>
    <w:p w14:paraId="50B3326A" w14:textId="77777777" w:rsidR="00130999" w:rsidRDefault="00000000">
      <w:pPr>
        <w:spacing w:after="0" w:line="360" w:lineRule="auto"/>
        <w:jc w:val="both"/>
      </w:pPr>
      <w:r>
        <w:rPr>
          <w:rFonts w:ascii="Arial" w:hAnsi="Arial" w:cs="Arial"/>
          <w:b/>
          <w:bCs/>
          <w:sz w:val="24"/>
          <w:szCs w:val="24"/>
        </w:rPr>
        <w:t>Water scarcity illustrates this shift.</w:t>
      </w:r>
      <w:r>
        <w:rPr>
          <w:rFonts w:ascii="Arial" w:hAnsi="Arial" w:cs="Arial"/>
          <w:sz w:val="24"/>
          <w:szCs w:val="24"/>
        </w:rPr>
        <w:t xml:space="preserve"> The World Resources Institute (WRI, 2023, p. 11) Aqueduct 4.0 classifies basins with withdrawals above 40% of available supply as "high stress". Large parts of BHP’s Chilean and Australian operations fall within these basins. The consequences are practical: delayed permits, higher Operating Expenditure (OPEX), and conflict with local communities. The response has been substantial. BHP committed USD 3.4 billion of the total 4 USD 4 billion decarbonisation CAPEX to 2030 to operate Escondida entirely on desalinated seawater (BHP Group, 2024a, p. 18). </w:t>
      </w:r>
    </w:p>
    <w:p w14:paraId="05A1DFFB" w14:textId="77777777" w:rsidR="00130999" w:rsidRDefault="00000000">
      <w:pPr>
        <w:spacing w:after="0" w:line="360" w:lineRule="auto"/>
        <w:jc w:val="both"/>
      </w:pPr>
      <w:r>
        <w:rPr>
          <w:rFonts w:ascii="Arial" w:hAnsi="Arial" w:cs="Arial"/>
          <w:b/>
          <w:bCs/>
          <w:sz w:val="24"/>
          <w:szCs w:val="24"/>
        </w:rPr>
        <w:t>Climate risk is equally material.</w:t>
      </w:r>
      <w:r>
        <w:rPr>
          <w:rFonts w:ascii="Arial" w:hAnsi="Arial" w:cs="Arial"/>
          <w:sz w:val="24"/>
          <w:szCs w:val="24"/>
        </w:rPr>
        <w:t xml:space="preserve"> The Intergovernmental Panel on Climate Change (IPCC, 2023, p. 45) Synthesis Report confirms that extreme weather is disrupting resource operations globally. BHP experienced this in 2023 with an estimated USD 150 million loss from cyclones in Queensland (BHP Group, 2023, p. 52). The corporate response has moved beyond adaptation to active screening. New project proposals are now assessed against forward-looking climate models. There are documented cases where BHP withdrew from early-stage coal expansion options in Queensland after flood and cyclone modelling indicated unacceptable risk to rail and port infrastructure. At the Jansen potash project in Canada, engineering design was modified to account for projected increases in snow load and permafrost thaw by 2050 (BHP Group, 2024a, p. 26). Divestment from certain thermal coal assets was also justified, in part, on long-term climate exposure (BHP Group, 2023, p. 34).</w:t>
      </w:r>
    </w:p>
    <w:p w14:paraId="2E1A60FF" w14:textId="77777777" w:rsidR="00130999" w:rsidRDefault="00000000">
      <w:pPr>
        <w:spacing w:after="0" w:line="360" w:lineRule="auto"/>
        <w:jc w:val="both"/>
      </w:pPr>
      <w:r>
        <w:rPr>
          <w:rFonts w:ascii="Arial" w:hAnsi="Arial" w:cs="Arial"/>
          <w:b/>
          <w:bCs/>
          <w:sz w:val="24"/>
          <w:szCs w:val="24"/>
        </w:rPr>
        <w:t>Geology presents a third pressure.</w:t>
      </w:r>
      <w:r>
        <w:rPr>
          <w:rFonts w:ascii="Arial" w:hAnsi="Arial" w:cs="Arial"/>
          <w:sz w:val="24"/>
          <w:szCs w:val="24"/>
        </w:rPr>
        <w:t xml:space="preserve"> Tilton (2018, p. 3) documents declining ore grades across the industry. Wood Mackenzie (2024a, p. 9) estimates that processing lower-grade ore can require up to 30% more energy, increasing both cost and emissions. Paradoxically, this trend increases the value of BHP’s higher-grade copper and nickel assets. The IEA (2024, p. 71) notes emerging willingness among buyers to pay a premium for lower emission intensity per tonne. </w:t>
      </w:r>
    </w:p>
    <w:p w14:paraId="4507F50C" w14:textId="77777777" w:rsidR="00130999" w:rsidRDefault="00000000">
      <w:pPr>
        <w:spacing w:after="0" w:line="360" w:lineRule="auto"/>
        <w:jc w:val="both"/>
      </w:pPr>
      <w:r>
        <w:rPr>
          <w:rFonts w:ascii="Arial" w:hAnsi="Arial" w:cs="Arial"/>
          <w:b/>
          <w:bCs/>
          <w:sz w:val="24"/>
          <w:szCs w:val="24"/>
        </w:rPr>
        <w:lastRenderedPageBreak/>
        <w:t xml:space="preserve">Finally, biodiversity and Social Licence to Operate (SLO) have become financial variables. </w:t>
      </w:r>
      <w:r>
        <w:rPr>
          <w:rFonts w:ascii="Arial" w:hAnsi="Arial" w:cs="Arial"/>
          <w:sz w:val="24"/>
          <w:szCs w:val="24"/>
        </w:rPr>
        <w:t>Environmental, Social and Governance (ESG) investors now incorporate biodiversity risk into capital allocation decisions (WRI, 2023, p. 5). Without community consent, projects face delays or cancellation. BHP has responded with long-term renewable Power Purchase Agreements (PPAs) and water infrastructure projects that serve as tangible evidence to communities and financiers (BHP Group, 2024a, p. 30).</w:t>
      </w:r>
    </w:p>
    <w:p w14:paraId="5D50A21A" w14:textId="77777777" w:rsidR="00130999" w:rsidRDefault="00000000">
      <w:pPr>
        <w:pStyle w:val="Titre2"/>
        <w:spacing w:line="360" w:lineRule="auto"/>
        <w:rPr>
          <w:rFonts w:ascii="Arial" w:hAnsi="Arial" w:cs="Arial"/>
          <w:b/>
          <w:bCs/>
          <w:color w:val="auto"/>
          <w:sz w:val="24"/>
          <w:szCs w:val="24"/>
          <w:u w:val="single"/>
        </w:rPr>
      </w:pPr>
      <w:bookmarkStart w:id="21" w:name="_Toc235634443"/>
      <w:bookmarkStart w:id="22" w:name="_Toc235662519"/>
      <w:bookmarkStart w:id="23" w:name="_Toc235452146"/>
      <w:r>
        <w:rPr>
          <w:rFonts w:ascii="Arial" w:hAnsi="Arial" w:cs="Arial"/>
          <w:b/>
          <w:bCs/>
          <w:color w:val="auto"/>
          <w:sz w:val="24"/>
          <w:szCs w:val="24"/>
          <w:u w:val="single"/>
        </w:rPr>
        <w:t>1.3: The Legal Environment</w:t>
      </w:r>
      <w:bookmarkEnd w:id="21"/>
      <w:bookmarkEnd w:id="22"/>
      <w:r>
        <w:rPr>
          <w:rFonts w:ascii="Arial" w:hAnsi="Arial" w:cs="Arial"/>
          <w:b/>
          <w:bCs/>
          <w:color w:val="auto"/>
          <w:sz w:val="24"/>
          <w:szCs w:val="24"/>
          <w:u w:val="single"/>
        </w:rPr>
        <w:t xml:space="preserve"> </w:t>
      </w:r>
      <w:bookmarkEnd w:id="23"/>
    </w:p>
    <w:p w14:paraId="7967A9FD" w14:textId="77777777" w:rsidR="00130999" w:rsidRDefault="00000000">
      <w:pPr>
        <w:spacing w:after="0" w:line="360" w:lineRule="auto"/>
        <w:jc w:val="both"/>
        <w:rPr>
          <w:rFonts w:ascii="Arial" w:hAnsi="Arial" w:cs="Arial"/>
          <w:sz w:val="24"/>
          <w:szCs w:val="24"/>
        </w:rPr>
      </w:pPr>
      <w:r>
        <w:rPr>
          <w:rFonts w:ascii="Arial" w:hAnsi="Arial" w:cs="Arial"/>
          <w:sz w:val="24"/>
          <w:szCs w:val="24"/>
        </w:rPr>
        <w:t>The Legal Environment is the second dominant actor. Williamson (2018, p. 22) argues that institutions reduce uncertainty by structuring markets. For BHP, regulation is now defining the rules of competition.</w:t>
      </w:r>
    </w:p>
    <w:p w14:paraId="18F15A5B" w14:textId="77777777" w:rsidR="00130999" w:rsidRDefault="00000000">
      <w:pPr>
        <w:spacing w:after="0" w:line="360" w:lineRule="auto"/>
        <w:jc w:val="both"/>
        <w:rPr>
          <w:rFonts w:ascii="Arial" w:hAnsi="Arial" w:cs="Arial"/>
          <w:sz w:val="24"/>
          <w:szCs w:val="24"/>
        </w:rPr>
      </w:pPr>
      <w:r>
        <w:rPr>
          <w:rFonts w:ascii="Arial" w:hAnsi="Arial" w:cs="Arial"/>
          <w:sz w:val="24"/>
          <w:szCs w:val="24"/>
        </w:rPr>
        <w:t>Domestically, Australia’s Safeguard Mechanism (SGM) was tightened in 2023. Facilities emitting over 100,000 tonnes of Carbon Dioxide Equivalent (tCO2e) must reduce emissions by 4.9% per year (Australian Government, 2023, p. 6). This creates a direct compliance cost. BHP’s early investments in fleet electrification and renewable PPAs position it ahead of this curve and reduce future liability (BHP Group, 2024a, p. 24).</w:t>
      </w:r>
    </w:p>
    <w:p w14:paraId="7E2409E1" w14:textId="77777777" w:rsidR="00130999" w:rsidRDefault="00000000">
      <w:pPr>
        <w:spacing w:after="0" w:line="360" w:lineRule="auto"/>
        <w:jc w:val="both"/>
        <w:rPr>
          <w:rFonts w:ascii="Arial" w:hAnsi="Arial" w:cs="Arial"/>
          <w:sz w:val="24"/>
          <w:szCs w:val="24"/>
        </w:rPr>
      </w:pPr>
      <w:r>
        <w:rPr>
          <w:rFonts w:ascii="Arial" w:hAnsi="Arial" w:cs="Arial"/>
          <w:sz w:val="24"/>
          <w:szCs w:val="24"/>
        </w:rPr>
        <w:t>Internationally, the European Union (EU) Carbon Border Adjustment Mechanism (CBAM) 2023/956 financial obligations begin on 1 January 2026 (European Commission, 2023, p. 2). Importers of steel, aluminium and other goods must purchase certificates priced at the European Union Emissions Trading System (EU ETS) rate. The practical effect is market segmentation. Metal with verified low emissions enters at a lower cost, while high-carbon metal faces a tax.</w:t>
      </w:r>
    </w:p>
    <w:p w14:paraId="479BFF1D" w14:textId="77777777" w:rsidR="00130999" w:rsidRDefault="00000000">
      <w:pPr>
        <w:spacing w:after="0" w:line="360" w:lineRule="auto"/>
        <w:jc w:val="both"/>
        <w:rPr>
          <w:rFonts w:ascii="Arial" w:hAnsi="Arial" w:cs="Arial"/>
          <w:sz w:val="24"/>
          <w:szCs w:val="24"/>
        </w:rPr>
      </w:pPr>
      <w:r>
        <w:rPr>
          <w:rFonts w:ascii="Arial" w:hAnsi="Arial" w:cs="Arial"/>
          <w:sz w:val="24"/>
          <w:szCs w:val="24"/>
        </w:rPr>
        <w:t>Disclosure requirements add a further layer. The EU Corporate Sustainability Reporting Directive (CSRD) mandates Scope 3 reporting (European Commission, 2023, p. 15). This shifts responsibility upstream. BHP’s customers now require emissions data from BHP. Consequently, the product offering is evolving from metal alone to metal plus verified emissions data.</w:t>
      </w:r>
    </w:p>
    <w:p w14:paraId="4696D779" w14:textId="77777777" w:rsidR="00130999" w:rsidRDefault="00000000">
      <w:pPr>
        <w:spacing w:after="0" w:line="360" w:lineRule="auto"/>
        <w:jc w:val="both"/>
        <w:rPr>
          <w:rFonts w:ascii="Arial" w:hAnsi="Arial" w:cs="Arial"/>
          <w:sz w:val="24"/>
          <w:szCs w:val="24"/>
        </w:rPr>
      </w:pPr>
      <w:r>
        <w:rPr>
          <w:rFonts w:ascii="Arial" w:hAnsi="Arial" w:cs="Arial"/>
          <w:sz w:val="24"/>
          <w:szCs w:val="24"/>
        </w:rPr>
        <w:t>Indigenous law constitutes a final legal dimension. In Australia and Chile, Free, Prior and Informed Consent (FPIC) is legally binding. Failure to secure consent can result in revoked permits and litigation (BHP Group, 2024a, p. 33). Legal risk has therefore moved from compliance functions to executive decision-making.</w:t>
      </w:r>
    </w:p>
    <w:p w14:paraId="23D511EE"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The overall implication is clear. Law is no longer simply a cost. Early alignment with CBAM and SGM requirements is becoming a basis for market differentiation. </w:t>
      </w:r>
    </w:p>
    <w:p w14:paraId="401D8A30" w14:textId="77777777" w:rsidR="00130999" w:rsidRDefault="00000000">
      <w:pPr>
        <w:spacing w:after="0" w:line="360" w:lineRule="auto"/>
        <w:jc w:val="both"/>
        <w:rPr>
          <w:rFonts w:ascii="Arial" w:hAnsi="Arial" w:cs="Arial"/>
          <w:sz w:val="24"/>
          <w:szCs w:val="24"/>
        </w:rPr>
      </w:pPr>
      <w:r>
        <w:rPr>
          <w:rFonts w:ascii="Arial" w:hAnsi="Arial" w:cs="Arial"/>
          <w:sz w:val="24"/>
          <w:szCs w:val="24"/>
        </w:rPr>
        <w:lastRenderedPageBreak/>
        <w:t>Appendix C summarises the four main policies that are shaping BHP’s choices to 2030. This is focused on policies where BHP has direct exposure through its assets in Australia and its customers in steel and batteries.</w:t>
      </w:r>
    </w:p>
    <w:p w14:paraId="484B2C27" w14:textId="77777777" w:rsidR="00130999" w:rsidRDefault="00000000">
      <w:pPr>
        <w:pStyle w:val="Titre1"/>
        <w:spacing w:before="120" w:after="120" w:line="360" w:lineRule="auto"/>
        <w:jc w:val="both"/>
        <w:rPr>
          <w:rFonts w:ascii="Arial" w:hAnsi="Arial" w:cs="Arial"/>
          <w:b/>
          <w:bCs/>
          <w:color w:val="auto"/>
          <w:sz w:val="24"/>
          <w:szCs w:val="24"/>
          <w:u w:val="single"/>
        </w:rPr>
      </w:pPr>
      <w:bookmarkStart w:id="24" w:name="_Toc235452147"/>
      <w:bookmarkStart w:id="25" w:name="_Toc235634444"/>
      <w:bookmarkStart w:id="26" w:name="_Toc235641160"/>
      <w:bookmarkStart w:id="27" w:name="_Toc235662520"/>
      <w:r>
        <w:rPr>
          <w:rFonts w:ascii="Arial" w:hAnsi="Arial" w:cs="Arial"/>
          <w:b/>
          <w:bCs/>
          <w:color w:val="auto"/>
          <w:sz w:val="24"/>
          <w:szCs w:val="24"/>
          <w:u w:val="single"/>
        </w:rPr>
        <w:t>Task 2: Strategic Growth and Competitive Positioning</w:t>
      </w:r>
      <w:bookmarkEnd w:id="24"/>
      <w:bookmarkEnd w:id="25"/>
      <w:bookmarkEnd w:id="26"/>
      <w:bookmarkEnd w:id="27"/>
    </w:p>
    <w:p w14:paraId="06E9B069" w14:textId="77777777" w:rsidR="00130999" w:rsidRDefault="00000000">
      <w:pPr>
        <w:spacing w:after="0" w:line="360" w:lineRule="auto"/>
        <w:jc w:val="both"/>
        <w:rPr>
          <w:rFonts w:ascii="Arial" w:hAnsi="Arial" w:cs="Arial"/>
          <w:sz w:val="24"/>
          <w:szCs w:val="24"/>
        </w:rPr>
      </w:pPr>
      <w:r>
        <w:rPr>
          <w:rFonts w:ascii="Arial" w:hAnsi="Arial" w:cs="Arial"/>
          <w:sz w:val="24"/>
          <w:szCs w:val="24"/>
        </w:rPr>
        <w:t>Given the pressures identified in Task 1, volume-led growth is no longer a viable strategy for BHP. This section applies Ansoff’s Matrix to identify an appropriate growth path and uses the Resource-Based View (RBV) and Porter’s frameworks to explain how competitive advantage can be built through a lower-carbon model.</w:t>
      </w:r>
    </w:p>
    <w:p w14:paraId="4E215042" w14:textId="77777777" w:rsidR="00130999" w:rsidRDefault="00000000">
      <w:pPr>
        <w:pStyle w:val="Titre2"/>
        <w:spacing w:before="120" w:after="120" w:line="360" w:lineRule="auto"/>
        <w:jc w:val="both"/>
        <w:rPr>
          <w:rFonts w:ascii="Arial" w:hAnsi="Arial" w:cs="Arial"/>
          <w:b/>
          <w:bCs/>
          <w:color w:val="auto"/>
          <w:sz w:val="24"/>
          <w:szCs w:val="24"/>
          <w:u w:val="single"/>
        </w:rPr>
      </w:pPr>
      <w:bookmarkStart w:id="28" w:name="_Toc235452148"/>
      <w:bookmarkStart w:id="29" w:name="_Toc235634445"/>
      <w:bookmarkStart w:id="30" w:name="_Toc235641161"/>
      <w:bookmarkStart w:id="31" w:name="_Toc235662521"/>
      <w:r>
        <w:rPr>
          <w:rFonts w:ascii="Arial" w:hAnsi="Arial" w:cs="Arial"/>
          <w:b/>
          <w:bCs/>
          <w:color w:val="auto"/>
          <w:sz w:val="24"/>
          <w:szCs w:val="24"/>
          <w:u w:val="single"/>
        </w:rPr>
        <w:t xml:space="preserve">2.1 </w:t>
      </w:r>
      <w:bookmarkEnd w:id="28"/>
      <w:r>
        <w:rPr>
          <w:rFonts w:ascii="Arial" w:hAnsi="Arial" w:cs="Arial"/>
          <w:b/>
          <w:bCs/>
          <w:color w:val="auto"/>
          <w:sz w:val="24"/>
          <w:szCs w:val="24"/>
          <w:u w:val="single"/>
        </w:rPr>
        <w:t>Strategic Growth Recommendation Using the Ansoff Matrix</w:t>
      </w:r>
      <w:bookmarkEnd w:id="29"/>
      <w:bookmarkEnd w:id="30"/>
      <w:bookmarkEnd w:id="31"/>
      <w:r>
        <w:rPr>
          <w:rFonts w:ascii="Arial" w:hAnsi="Arial" w:cs="Arial"/>
          <w:b/>
          <w:bCs/>
          <w:color w:val="auto"/>
          <w:sz w:val="24"/>
          <w:szCs w:val="24"/>
          <w:u w:val="single"/>
        </w:rPr>
        <w:t xml:space="preserve"> </w:t>
      </w:r>
    </w:p>
    <w:p w14:paraId="6F10E2F1" w14:textId="77777777" w:rsidR="00130999" w:rsidRDefault="00000000">
      <w:pPr>
        <w:spacing w:after="0" w:line="360" w:lineRule="auto"/>
        <w:jc w:val="both"/>
        <w:rPr>
          <w:rFonts w:ascii="Arial" w:hAnsi="Arial" w:cs="Arial"/>
          <w:sz w:val="24"/>
          <w:szCs w:val="24"/>
        </w:rPr>
      </w:pPr>
      <w:r>
        <w:rPr>
          <w:rFonts w:ascii="Arial" w:hAnsi="Arial" w:cs="Arial"/>
          <w:sz w:val="24"/>
          <w:szCs w:val="24"/>
        </w:rPr>
        <w:t>Ansoff (2018, pp. 112-115) proposes four growth strategies. Three can be dismissed in the current context (summarised in Appendix D).</w:t>
      </w:r>
    </w:p>
    <w:p w14:paraId="75DF3820" w14:textId="77777777" w:rsidR="00130999" w:rsidRDefault="00000000">
      <w:pPr>
        <w:spacing w:after="0" w:line="360" w:lineRule="auto"/>
        <w:jc w:val="both"/>
        <w:rPr>
          <w:rFonts w:ascii="Arial" w:hAnsi="Arial" w:cs="Arial"/>
          <w:sz w:val="24"/>
          <w:szCs w:val="24"/>
        </w:rPr>
      </w:pPr>
      <w:r>
        <w:rPr>
          <w:rFonts w:ascii="Arial" w:hAnsi="Arial" w:cs="Arial"/>
          <w:sz w:val="24"/>
          <w:szCs w:val="24"/>
        </w:rPr>
        <w:t>Market Penetration assumes that existing products can be sold in greater volumes to existing customers. Demand is not the issue. The IEA (2024, p. 23) already projects strong growth for copper and nickel to 2040. The constraint lies in producing metal that complies with new environmental and legal standards. Increasing output of high-carbon ore would only amplify exposure to CBAM and SGM costs.</w:t>
      </w:r>
    </w:p>
    <w:p w14:paraId="0F791824" w14:textId="77777777" w:rsidR="00130999" w:rsidRDefault="00000000">
      <w:pPr>
        <w:spacing w:after="0" w:line="360" w:lineRule="auto"/>
        <w:jc w:val="both"/>
        <w:rPr>
          <w:rFonts w:ascii="Arial" w:hAnsi="Arial" w:cs="Arial"/>
          <w:sz w:val="24"/>
          <w:szCs w:val="24"/>
        </w:rPr>
      </w:pPr>
      <w:r>
        <w:rPr>
          <w:rFonts w:ascii="Arial" w:hAnsi="Arial" w:cs="Arial"/>
          <w:sz w:val="24"/>
          <w:szCs w:val="24"/>
        </w:rPr>
        <w:t>Market Development assumes existing products in new markets. BHP already sells to customers in over 90 countries to major steel, automotive and energy companies (BHP Group, 2024a, p. 12). Geographic expansion does not resolve the underlying problem. Regulatory trends toward carbon pricing and ESG disclosure are global. A new customer in Asia will face similar Scope 3 reporting requirements within a few years.</w:t>
      </w:r>
    </w:p>
    <w:p w14:paraId="339FE1F0" w14:textId="77777777" w:rsidR="00130999" w:rsidRDefault="00000000">
      <w:pPr>
        <w:spacing w:after="0" w:line="360" w:lineRule="auto"/>
        <w:jc w:val="both"/>
        <w:rPr>
          <w:rFonts w:ascii="Arial" w:hAnsi="Arial" w:cs="Arial"/>
          <w:sz w:val="24"/>
          <w:szCs w:val="24"/>
        </w:rPr>
      </w:pPr>
      <w:r>
        <w:rPr>
          <w:rFonts w:ascii="Arial" w:hAnsi="Arial" w:cs="Arial"/>
          <w:sz w:val="24"/>
          <w:szCs w:val="24"/>
        </w:rPr>
        <w:t>Diversification assumes new products in new markets. For BHP this would imply entry into battery manufacturing or renewable energy development. Such a move would stretch core capabilities and divert the USD 4 billion decarbonisation CAPEX from core assets (BHP Group, 2024a, p. 21). It would also conflict with shareholder expectations that BHP remain focused on mining.</w:t>
      </w:r>
    </w:p>
    <w:p w14:paraId="17AB8B42"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Product Development is therefore the most appropriate strategy (Ansoff, 2018, p. 114). This involves new products for existing customers. For BHP, the new product is certified low-carbon metal. This aligns directly with Task 1 findings. The USD 3.4 billion investment in desalination can be marketed as "zero freshwater copper". A "Future Fit Metals" product line, supported by a carbon, water and social passport, directly </w:t>
      </w:r>
      <w:r>
        <w:rPr>
          <w:rFonts w:ascii="Arial" w:hAnsi="Arial" w:cs="Arial"/>
          <w:sz w:val="24"/>
          <w:szCs w:val="24"/>
        </w:rPr>
        <w:lastRenderedPageBreak/>
        <w:t>addresses CBAM (European Commission, 2023, p. 3) and SGM (Australian Government, 2023, p. 6) requirements.</w:t>
      </w:r>
    </w:p>
    <w:p w14:paraId="2B0A1900"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This product development approach directly responds to the regulatory pressures identified in task 1, positioning BHP to meet evolving customer requirements under CBAM and CSRD. </w:t>
      </w:r>
    </w:p>
    <w:p w14:paraId="3D6DED6A" w14:textId="77777777" w:rsidR="00130999" w:rsidRDefault="00000000">
      <w:pPr>
        <w:spacing w:after="0" w:line="360" w:lineRule="auto"/>
        <w:jc w:val="both"/>
        <w:rPr>
          <w:rFonts w:ascii="Arial" w:hAnsi="Arial" w:cs="Arial"/>
          <w:sz w:val="24"/>
          <w:szCs w:val="24"/>
        </w:rPr>
      </w:pPr>
      <w:r>
        <w:rPr>
          <w:rFonts w:ascii="Arial" w:hAnsi="Arial" w:cs="Arial"/>
          <w:sz w:val="24"/>
          <w:szCs w:val="24"/>
        </w:rPr>
        <w:t>Another application is in iron ore. Rather than selling raw ore to Chinese mills, BHP is co-investing in green steel pathways. The pilot with HBIS Group in China to produce HBI using hydrogen demonstrates how BHP can move one step downstream without becoming a steelmaker (BHP Group, 2024a, p.29). This captures margin while reducing the customer’s Scope 3 emissions. It transforms BHP from commodity seller to transition partner.</w:t>
      </w:r>
    </w:p>
    <w:p w14:paraId="3D39E23C" w14:textId="77777777" w:rsidR="00130999" w:rsidRDefault="00000000">
      <w:pPr>
        <w:spacing w:after="0" w:line="360" w:lineRule="auto"/>
        <w:jc w:val="both"/>
        <w:rPr>
          <w:rFonts w:ascii="Arial" w:hAnsi="Arial" w:cs="Arial"/>
          <w:sz w:val="24"/>
          <w:szCs w:val="24"/>
        </w:rPr>
      </w:pPr>
      <w:r>
        <w:rPr>
          <w:rFonts w:ascii="Arial" w:hAnsi="Arial" w:cs="Arial"/>
          <w:sz w:val="24"/>
          <w:szCs w:val="24"/>
        </w:rPr>
        <w:t>Porter (2016, p. 78) suggests that value can also be captured through limited downstream integration. Co-investment with customers in green Hot Briquetted Iron (HBI) or green cathode production allows BHP to secure long-term offtake agreements while capturing margins 2-3 times higher than those on raw ore. This approach also enables shared responsibility for emissions reduction.</w:t>
      </w:r>
    </w:p>
    <w:p w14:paraId="70A8F2C2" w14:textId="77777777" w:rsidR="00130999" w:rsidRDefault="00000000">
      <w:pPr>
        <w:spacing w:after="0" w:line="360" w:lineRule="auto"/>
        <w:jc w:val="both"/>
        <w:rPr>
          <w:rFonts w:ascii="Arial" w:hAnsi="Arial" w:cs="Arial"/>
          <w:sz w:val="24"/>
          <w:szCs w:val="24"/>
        </w:rPr>
      </w:pPr>
      <w:r>
        <w:rPr>
          <w:rFonts w:ascii="Arial" w:hAnsi="Arial" w:cs="Arial"/>
          <w:sz w:val="24"/>
          <w:szCs w:val="24"/>
        </w:rPr>
        <w:t>The implication is that growth will derive from redefining the product, not merely increasing output.</w:t>
      </w:r>
    </w:p>
    <w:p w14:paraId="1C75E9F3" w14:textId="77777777" w:rsidR="00130999" w:rsidRDefault="00000000">
      <w:pPr>
        <w:pStyle w:val="Titre2"/>
        <w:spacing w:before="120" w:after="120" w:line="360" w:lineRule="auto"/>
        <w:jc w:val="both"/>
        <w:rPr>
          <w:rFonts w:ascii="Arial" w:hAnsi="Arial" w:cs="Arial"/>
          <w:b/>
          <w:bCs/>
          <w:color w:val="auto"/>
          <w:sz w:val="24"/>
          <w:szCs w:val="24"/>
          <w:u w:val="single"/>
        </w:rPr>
      </w:pPr>
      <w:bookmarkStart w:id="32" w:name="_Toc235452149"/>
      <w:bookmarkStart w:id="33" w:name="_Toc235634446"/>
      <w:bookmarkStart w:id="34" w:name="_Toc235641162"/>
      <w:bookmarkStart w:id="35" w:name="_Toc235662522"/>
      <w:r>
        <w:rPr>
          <w:rFonts w:ascii="Arial" w:hAnsi="Arial" w:cs="Arial"/>
          <w:b/>
          <w:bCs/>
          <w:color w:val="auto"/>
          <w:sz w:val="24"/>
          <w:szCs w:val="24"/>
          <w:u w:val="single"/>
        </w:rPr>
        <w:t xml:space="preserve">2.2 </w:t>
      </w:r>
      <w:bookmarkEnd w:id="32"/>
      <w:r>
        <w:rPr>
          <w:rFonts w:ascii="Arial" w:hAnsi="Arial" w:cs="Arial"/>
          <w:b/>
          <w:bCs/>
          <w:color w:val="auto"/>
          <w:sz w:val="24"/>
          <w:szCs w:val="24"/>
          <w:u w:val="single"/>
        </w:rPr>
        <w:t>Competitive Advantage Through a Lower-Carbon Business Model</w:t>
      </w:r>
      <w:bookmarkEnd w:id="33"/>
      <w:bookmarkEnd w:id="34"/>
      <w:bookmarkEnd w:id="35"/>
    </w:p>
    <w:p w14:paraId="729CD149" w14:textId="77777777" w:rsidR="00130999" w:rsidRDefault="00000000">
      <w:pPr>
        <w:spacing w:after="0" w:line="360" w:lineRule="auto"/>
        <w:jc w:val="both"/>
        <w:rPr>
          <w:rFonts w:ascii="Arial" w:hAnsi="Arial" w:cs="Arial"/>
          <w:sz w:val="24"/>
          <w:szCs w:val="24"/>
        </w:rPr>
      </w:pPr>
      <w:r>
        <w:rPr>
          <w:rFonts w:ascii="Arial" w:hAnsi="Arial" w:cs="Arial"/>
          <w:sz w:val="24"/>
          <w:szCs w:val="24"/>
        </w:rPr>
        <w:t>Barney’s Resource-Based View (RBV) (Barney, 2018, pp. 134-137) and Porter (2016, pp. 35-40) Generic Strategies provide a framework for understanding how advantage can be sustained.</w:t>
      </w:r>
    </w:p>
    <w:p w14:paraId="0515DEB3" w14:textId="77777777" w:rsidR="00130999" w:rsidRDefault="00000000">
      <w:pPr>
        <w:spacing w:after="0" w:line="360" w:lineRule="auto"/>
        <w:jc w:val="both"/>
        <w:rPr>
          <w:rFonts w:ascii="Arial" w:hAnsi="Arial" w:cs="Arial"/>
          <w:sz w:val="24"/>
          <w:szCs w:val="24"/>
        </w:rPr>
      </w:pPr>
      <w:r>
        <w:rPr>
          <w:rFonts w:ascii="Arial" w:hAnsi="Arial" w:cs="Arial"/>
          <w:sz w:val="24"/>
          <w:szCs w:val="24"/>
        </w:rPr>
        <w:t>First, differentiation through proof. Porter (2016, p. 38) argues that differentiation reduces price competition. In business-to-business (B2B) markets, Spence (2018, p. 360) demonstrates that buyers pay for credible signals when product quality is not directly observable. BHP could issue blockchain-verified "carbon and water passports" for each shipment, detailing Scope 1, 2 and 3 emissions, water source, and community agreements. With CBAM certificates at €75.36/tCO2e (European Commission, 2023, p. 2), verified low-carbon copper could command a 3-5% premium (IEA, 2024, p. 71). Customers subject to CSRD will value this data as it reduces their own reporting burden.</w:t>
      </w:r>
    </w:p>
    <w:p w14:paraId="330D3233"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Second, cost leadership through early action. The IEA (2024, p. 88) projects that early adopters of fleet electrification and renewable PPAs could achieve up to 15% OPEX </w:t>
      </w:r>
      <w:r>
        <w:rPr>
          <w:rFonts w:ascii="Arial" w:hAnsi="Arial" w:cs="Arial"/>
          <w:sz w:val="24"/>
          <w:szCs w:val="24"/>
        </w:rPr>
        <w:lastRenderedPageBreak/>
        <w:t>savings by 2030. BHP’s current investments hedge against the SGM’s 4.9% annual reduction requirement (Australian Government, 2023, p. 6). Firms that delay will face higher retrofit costs and penalties, creating a relative cost advantage for early movers.</w:t>
      </w:r>
    </w:p>
    <w:p w14:paraId="1C4B98B5" w14:textId="77777777" w:rsidR="00130999" w:rsidRDefault="00000000">
      <w:pPr>
        <w:spacing w:after="0" w:line="360" w:lineRule="auto"/>
        <w:jc w:val="both"/>
        <w:rPr>
          <w:rFonts w:ascii="Arial" w:hAnsi="Arial" w:cs="Arial"/>
          <w:sz w:val="24"/>
          <w:szCs w:val="24"/>
        </w:rPr>
      </w:pPr>
      <w:r>
        <w:rPr>
          <w:rFonts w:ascii="Arial" w:hAnsi="Arial" w:cs="Arial"/>
          <w:sz w:val="24"/>
          <w:szCs w:val="24"/>
        </w:rPr>
        <w:t>Third, barriers to entry. Bain (2016, p. 4) identifies capital intensity as a key barrier. BHP’s USD 4 billion decarbonisation commitment to 2030 (BHP Group, 2024a, p. 21) is beyond the reach of most juniors. Being "CBAM-ready" and "Inflation Reduction Act (IRA)-ready" (U.S. Department of Energy, 2022, p. 1) prior to 2026 also creates first-mover access to priority markets. Customers will favour suppliers who can guarantee compliance from the outset.</w:t>
      </w:r>
    </w:p>
    <w:p w14:paraId="1B2E2ADA"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Fourth, access to capital and customers. Financial institutions increasingly apply ESG criteria to lending. BHP’s audited CTAP improves access to sustainability-linked finance (BHP Group, 2024a, p. 8). On the demand side, CSRD obligations mean customers need reliable Scope 3 data from suppliers (European Commission, 2023, p. 15). Providing this data creates longer-term, stickier contracts. The data itself becomes part of the value proposition. </w:t>
      </w:r>
    </w:p>
    <w:p w14:paraId="552EB187" w14:textId="77777777" w:rsidR="00130999" w:rsidRDefault="00000000">
      <w:pPr>
        <w:spacing w:after="0" w:line="360" w:lineRule="auto"/>
        <w:jc w:val="both"/>
        <w:rPr>
          <w:rFonts w:ascii="Arial" w:hAnsi="Arial" w:cs="Arial"/>
          <w:sz w:val="24"/>
          <w:szCs w:val="24"/>
        </w:rPr>
      </w:pPr>
      <w:r>
        <w:rPr>
          <w:rFonts w:ascii="Arial" w:hAnsi="Arial" w:cs="Arial"/>
          <w:sz w:val="24"/>
          <w:szCs w:val="24"/>
        </w:rPr>
        <w:t>BHP’s 2023 sustainability-linked loan of USD 10 billion had its interest rate tied directly to Scope 1 and 2 reductions. This lowered borrowing costs by 0.15%. Banks are now pricing risk based on transition plans, not just balance sheets. This financial advantage is not available to firms without audited CTAPs.</w:t>
      </w:r>
    </w:p>
    <w:p w14:paraId="7B5D7B0E" w14:textId="77777777" w:rsidR="00130999" w:rsidRDefault="00000000">
      <w:pPr>
        <w:spacing w:after="0" w:line="360" w:lineRule="auto"/>
        <w:jc w:val="both"/>
        <w:rPr>
          <w:rFonts w:ascii="Arial" w:hAnsi="Arial" w:cs="Arial"/>
          <w:sz w:val="24"/>
          <w:szCs w:val="24"/>
        </w:rPr>
      </w:pPr>
      <w:r>
        <w:rPr>
          <w:rFonts w:ascii="Arial" w:hAnsi="Arial" w:cs="Arial"/>
          <w:sz w:val="24"/>
          <w:szCs w:val="24"/>
        </w:rPr>
        <w:t>Fifth, inimitable resources. Barney (2018, p. 136) emphasises resources that are valuable, rare and difficult to imitate. BHP’s integrated dataset on emissions, water and community engagement across multiple jurisdictions is an example. Combined with technical expertise in desalination and electrification, this forms a resource bundle that competitors cannot easily replicate.</w:t>
      </w:r>
    </w:p>
    <w:p w14:paraId="4C46C152" w14:textId="77777777" w:rsidR="00130999" w:rsidRDefault="00000000">
      <w:pPr>
        <w:spacing w:after="0" w:line="360" w:lineRule="auto"/>
        <w:jc w:val="both"/>
        <w:rPr>
          <w:rFonts w:ascii="Arial" w:hAnsi="Arial" w:cs="Arial"/>
          <w:sz w:val="24"/>
          <w:szCs w:val="24"/>
        </w:rPr>
      </w:pPr>
      <w:r>
        <w:rPr>
          <w:rFonts w:ascii="Arial" w:hAnsi="Arial" w:cs="Arial"/>
          <w:sz w:val="24"/>
          <w:szCs w:val="24"/>
        </w:rPr>
        <w:t>The primary risk remains credibility. Without independent assurance, claims of low-carbon production risks being perceived as greenwashing, with associated legal and reputational consequences (BHP Group, 2024a, p. 35). Alignment with standards such as the Copper Mark or Initiative for Responsible Mining Assurance (IRMA), and third-party audits, will be essential.</w:t>
      </w:r>
    </w:p>
    <w:p w14:paraId="51733CBB" w14:textId="77777777" w:rsidR="00130999" w:rsidRDefault="00000000">
      <w:pPr>
        <w:spacing w:after="0" w:line="360" w:lineRule="auto"/>
        <w:jc w:val="both"/>
        <w:rPr>
          <w:rFonts w:ascii="Arial" w:hAnsi="Arial" w:cs="Arial"/>
          <w:sz w:val="24"/>
          <w:szCs w:val="24"/>
        </w:rPr>
      </w:pPr>
      <w:r>
        <w:rPr>
          <w:rFonts w:ascii="Arial" w:hAnsi="Arial" w:cs="Arial"/>
          <w:sz w:val="24"/>
          <w:szCs w:val="24"/>
        </w:rPr>
        <w:t>In conclusion, competitive advantage will not derive from producing the cheapest tonne. It will derive from producing the most credible, compliant and lowest-impact tonne. BHP’s scale enables early investment, and its brand can support the premium that verified performance commands.</w:t>
      </w:r>
    </w:p>
    <w:p w14:paraId="4CEDB8E2" w14:textId="77777777" w:rsidR="00130999" w:rsidRDefault="00000000">
      <w:pPr>
        <w:pStyle w:val="Titre1"/>
        <w:spacing w:before="120" w:after="120" w:line="360" w:lineRule="auto"/>
        <w:jc w:val="both"/>
        <w:rPr>
          <w:rFonts w:ascii="Arial" w:hAnsi="Arial" w:cs="Arial"/>
          <w:b/>
          <w:bCs/>
          <w:color w:val="auto"/>
          <w:sz w:val="24"/>
          <w:szCs w:val="24"/>
          <w:u w:val="single"/>
        </w:rPr>
      </w:pPr>
      <w:bookmarkStart w:id="36" w:name="_Toc235452150"/>
      <w:bookmarkStart w:id="37" w:name="_Toc235634447"/>
      <w:bookmarkStart w:id="38" w:name="_Toc235641163"/>
      <w:bookmarkStart w:id="39" w:name="_Toc235662523"/>
      <w:r>
        <w:rPr>
          <w:rFonts w:ascii="Arial" w:hAnsi="Arial" w:cs="Arial"/>
          <w:b/>
          <w:bCs/>
          <w:color w:val="auto"/>
          <w:sz w:val="24"/>
          <w:szCs w:val="24"/>
          <w:u w:val="single"/>
        </w:rPr>
        <w:lastRenderedPageBreak/>
        <w:t>Task 3: Critical Reflection on AI Usage</w:t>
      </w:r>
      <w:bookmarkEnd w:id="36"/>
      <w:bookmarkEnd w:id="37"/>
      <w:bookmarkEnd w:id="38"/>
      <w:bookmarkEnd w:id="39"/>
    </w:p>
    <w:p w14:paraId="56DAA5F8"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Artificial Intelligence is now part of academic research, but how it is used matters. For this report on BHP, the decision was made that all analysis and writing would remain the author’s own. AI was only used to assist. This section explains which tools were used, how their output was verified, what was produced independently, and the ethical issues considered. </w:t>
      </w:r>
    </w:p>
    <w:p w14:paraId="1D1DFC34" w14:textId="77777777" w:rsidR="00130999" w:rsidRDefault="00000000">
      <w:pPr>
        <w:pStyle w:val="Titre2"/>
        <w:spacing w:before="120" w:after="120" w:line="360" w:lineRule="auto"/>
        <w:jc w:val="both"/>
        <w:rPr>
          <w:rFonts w:ascii="Arial" w:hAnsi="Arial" w:cs="Arial"/>
          <w:b/>
          <w:bCs/>
          <w:color w:val="auto"/>
          <w:sz w:val="24"/>
          <w:szCs w:val="24"/>
          <w:u w:val="single"/>
        </w:rPr>
      </w:pPr>
      <w:bookmarkStart w:id="40" w:name="_Toc235452151"/>
      <w:bookmarkStart w:id="41" w:name="_Toc235634448"/>
      <w:bookmarkStart w:id="42" w:name="_Toc235641164"/>
      <w:bookmarkStart w:id="43" w:name="_Toc235662524"/>
      <w:r>
        <w:rPr>
          <w:rFonts w:ascii="Arial" w:hAnsi="Arial" w:cs="Arial"/>
          <w:b/>
          <w:bCs/>
          <w:color w:val="auto"/>
          <w:sz w:val="24"/>
          <w:szCs w:val="24"/>
          <w:u w:val="single"/>
        </w:rPr>
        <w:t>3.1 Tool Disclosure</w:t>
      </w:r>
      <w:bookmarkEnd w:id="40"/>
      <w:bookmarkEnd w:id="41"/>
      <w:bookmarkEnd w:id="42"/>
      <w:bookmarkEnd w:id="43"/>
    </w:p>
    <w:p w14:paraId="226119F4" w14:textId="77777777" w:rsidR="00130999" w:rsidRDefault="00000000">
      <w:pPr>
        <w:spacing w:after="0" w:line="360" w:lineRule="auto"/>
        <w:jc w:val="both"/>
        <w:rPr>
          <w:rFonts w:ascii="Arial" w:hAnsi="Arial" w:cs="Arial"/>
          <w:sz w:val="24"/>
          <w:szCs w:val="24"/>
        </w:rPr>
      </w:pPr>
      <w:r>
        <w:rPr>
          <w:rFonts w:ascii="Arial" w:hAnsi="Arial" w:cs="Arial"/>
          <w:sz w:val="24"/>
          <w:szCs w:val="24"/>
        </w:rPr>
        <w:t>ChatGPT and Meta AI were used, but only in a support role. They were used in two ways. First, as an intelligent search engine. Like Google returns links to journals and reports, AI can go further by synthesising the key ideas across those sources. For example, it summarised the IEA Global Critical Minerals Outlook 2024 and the EU CBAM Regulation to grasp them faster. Second, for language. Every argument in this report was then written after reading the original documents.</w:t>
      </w:r>
    </w:p>
    <w:p w14:paraId="022D6EED" w14:textId="77777777" w:rsidR="00130999" w:rsidRDefault="00000000">
      <w:pPr>
        <w:pStyle w:val="Titre2"/>
        <w:spacing w:before="120" w:after="120" w:line="360" w:lineRule="auto"/>
        <w:jc w:val="both"/>
        <w:rPr>
          <w:rFonts w:ascii="Arial" w:hAnsi="Arial" w:cs="Arial"/>
          <w:b/>
          <w:bCs/>
          <w:color w:val="auto"/>
          <w:sz w:val="24"/>
          <w:szCs w:val="24"/>
          <w:u w:val="single"/>
        </w:rPr>
      </w:pPr>
      <w:bookmarkStart w:id="44" w:name="_Toc235452152"/>
      <w:bookmarkStart w:id="45" w:name="_Toc235634449"/>
      <w:bookmarkStart w:id="46" w:name="_Toc235641165"/>
      <w:bookmarkStart w:id="47" w:name="_Toc235662525"/>
      <w:r>
        <w:rPr>
          <w:rFonts w:ascii="Arial" w:hAnsi="Arial" w:cs="Arial"/>
          <w:b/>
          <w:bCs/>
          <w:color w:val="auto"/>
          <w:sz w:val="24"/>
          <w:szCs w:val="24"/>
          <w:u w:val="single"/>
        </w:rPr>
        <w:t>3.2 Critical Evaluation of AI Output</w:t>
      </w:r>
      <w:bookmarkEnd w:id="44"/>
      <w:bookmarkEnd w:id="45"/>
      <w:bookmarkEnd w:id="46"/>
      <w:bookmarkEnd w:id="47"/>
    </w:p>
    <w:p w14:paraId="24051FF0"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Because AI can hallucinate, it was treated as a starting point, not a source. The rule applied was: never use an AI idea without checking it. When AI generated an argument or a statistic, the exact source with link, page number and date was requested. Then the BHP report, IEA document or EU regulation was consulted directly to confirm the fact and read the context. Only after confirming was it used to build the argument. </w:t>
      </w:r>
    </w:p>
    <w:p w14:paraId="73A7099C" w14:textId="77777777" w:rsidR="00130999" w:rsidRDefault="00000000">
      <w:pPr>
        <w:spacing w:after="0" w:line="360" w:lineRule="auto"/>
        <w:jc w:val="both"/>
        <w:rPr>
          <w:rFonts w:ascii="Arial" w:hAnsi="Arial" w:cs="Arial"/>
          <w:sz w:val="24"/>
          <w:szCs w:val="24"/>
        </w:rPr>
      </w:pPr>
      <w:r>
        <w:rPr>
          <w:rFonts w:ascii="Arial" w:hAnsi="Arial" w:cs="Arial"/>
          <w:sz w:val="24"/>
          <w:szCs w:val="24"/>
        </w:rPr>
        <w:t>It was also ensured that the topic was understood before using AI. Without familiarity with mining or CBAM, it is easy to be misled by a confident but wrong AI answer. That confirmed that the final judgment has to be human.</w:t>
      </w:r>
    </w:p>
    <w:p w14:paraId="6A28AB31" w14:textId="77777777" w:rsidR="00130999" w:rsidRDefault="00000000">
      <w:pPr>
        <w:pStyle w:val="Titre2"/>
        <w:spacing w:before="120" w:after="120" w:line="360" w:lineRule="auto"/>
        <w:jc w:val="both"/>
        <w:rPr>
          <w:rFonts w:ascii="Arial" w:hAnsi="Arial" w:cs="Arial"/>
          <w:b/>
          <w:bCs/>
          <w:color w:val="auto"/>
          <w:sz w:val="24"/>
          <w:szCs w:val="24"/>
          <w:u w:val="single"/>
        </w:rPr>
      </w:pPr>
      <w:bookmarkStart w:id="48" w:name="_Toc235452153"/>
      <w:bookmarkStart w:id="49" w:name="_Toc235634450"/>
      <w:bookmarkStart w:id="50" w:name="_Toc235641166"/>
      <w:bookmarkStart w:id="51" w:name="_Toc235662526"/>
      <w:r>
        <w:rPr>
          <w:rFonts w:ascii="Arial" w:hAnsi="Arial" w:cs="Arial"/>
          <w:b/>
          <w:bCs/>
          <w:color w:val="auto"/>
          <w:sz w:val="24"/>
          <w:szCs w:val="24"/>
          <w:u w:val="single"/>
        </w:rPr>
        <w:t>3.3 Contribution Analysis</w:t>
      </w:r>
      <w:bookmarkEnd w:id="48"/>
      <w:bookmarkEnd w:id="49"/>
      <w:bookmarkEnd w:id="50"/>
      <w:bookmarkEnd w:id="51"/>
    </w:p>
    <w:p w14:paraId="353C6B04"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The intellectual work in this report is the author’s own.  The author’s contribution: BHP was chosen as the case study. The focus was decided on the Natural and Legal PESTEL factors. The BHP CTAP 2024, IEA reports and academic papers by Hart (2017), Barney (2018) and Porter (2016) were read, and the central argument was built that competitive advantage will come from certified low-carbon metal. Ansoff’s (2018) Product Development strategy was applied and linked it to CBAM and the Australian Safeguard Mechanism.  </w:t>
      </w:r>
    </w:p>
    <w:p w14:paraId="69E247BA" w14:textId="77777777" w:rsidR="00130999" w:rsidRDefault="00000000">
      <w:pPr>
        <w:spacing w:after="0" w:line="360" w:lineRule="auto"/>
        <w:jc w:val="both"/>
        <w:rPr>
          <w:rFonts w:ascii="Arial" w:hAnsi="Arial" w:cs="Arial"/>
          <w:sz w:val="24"/>
          <w:szCs w:val="24"/>
        </w:rPr>
      </w:pPr>
      <w:r>
        <w:rPr>
          <w:rFonts w:ascii="Arial" w:hAnsi="Arial" w:cs="Arial"/>
          <w:sz w:val="24"/>
          <w:szCs w:val="24"/>
        </w:rPr>
        <w:lastRenderedPageBreak/>
        <w:t>AI’s contribution: it acted like an advanced search tool that synthesised long reports. It did not structure the argument or make strategic decisions. Control of the final decision was retained.</w:t>
      </w:r>
    </w:p>
    <w:p w14:paraId="28E68B28" w14:textId="77777777" w:rsidR="00130999" w:rsidRDefault="00000000">
      <w:pPr>
        <w:pStyle w:val="Titre2"/>
        <w:spacing w:before="120" w:after="120" w:line="360" w:lineRule="auto"/>
        <w:jc w:val="both"/>
        <w:rPr>
          <w:rFonts w:ascii="Arial" w:hAnsi="Arial" w:cs="Arial"/>
          <w:b/>
          <w:bCs/>
          <w:color w:val="auto"/>
          <w:sz w:val="24"/>
          <w:szCs w:val="24"/>
          <w:u w:val="single"/>
        </w:rPr>
      </w:pPr>
      <w:bookmarkStart w:id="52" w:name="_Toc235452154"/>
      <w:bookmarkStart w:id="53" w:name="_Toc235634451"/>
      <w:bookmarkStart w:id="54" w:name="_Toc235641167"/>
      <w:bookmarkStart w:id="55" w:name="_Toc235662527"/>
      <w:r>
        <w:rPr>
          <w:rFonts w:ascii="Arial" w:hAnsi="Arial" w:cs="Arial"/>
          <w:b/>
          <w:bCs/>
          <w:color w:val="auto"/>
          <w:sz w:val="24"/>
          <w:szCs w:val="24"/>
          <w:u w:val="single"/>
        </w:rPr>
        <w:t>3.4 Ethical and Professional Reflection</w:t>
      </w:r>
      <w:bookmarkEnd w:id="52"/>
      <w:bookmarkEnd w:id="53"/>
      <w:bookmarkEnd w:id="54"/>
      <w:bookmarkEnd w:id="55"/>
    </w:p>
    <w:p w14:paraId="2F75362E" w14:textId="77777777" w:rsidR="00130999" w:rsidRDefault="00000000">
      <w:pPr>
        <w:spacing w:after="0" w:line="360" w:lineRule="auto"/>
        <w:jc w:val="both"/>
        <w:rPr>
          <w:rFonts w:ascii="Arial" w:hAnsi="Arial" w:cs="Arial"/>
          <w:sz w:val="24"/>
          <w:szCs w:val="24"/>
        </w:rPr>
      </w:pPr>
      <w:r>
        <w:rPr>
          <w:rFonts w:ascii="Arial" w:hAnsi="Arial" w:cs="Arial"/>
          <w:sz w:val="24"/>
          <w:szCs w:val="24"/>
        </w:rPr>
        <w:t>Using AI this way raises clear responsibilities:</w:t>
      </w:r>
    </w:p>
    <w:p w14:paraId="3EAC427A"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First, academic integrity. Presenting AI text as one’s own would-be plagiarism. </w:t>
      </w:r>
    </w:p>
    <w:p w14:paraId="717F0BE6"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Second, competence. AI output must be evaluated by someone with subject knowledge. Without understanding mining, CBAM or SGM, an AI error on emissions data or regulation could go undetected. Competence is therefore required to use AI responsibly. </w:t>
      </w:r>
    </w:p>
    <w:p w14:paraId="31F85EA2"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Third, bias. AI summaries can miss the specifics of mining, water and Indigenous issues, so verification is essential. </w:t>
      </w:r>
    </w:p>
    <w:p w14:paraId="20532BDE" w14:textId="77777777" w:rsidR="00130999" w:rsidRDefault="00000000">
      <w:pPr>
        <w:spacing w:after="0" w:line="360" w:lineRule="auto"/>
        <w:jc w:val="both"/>
        <w:rPr>
          <w:rFonts w:ascii="Arial" w:hAnsi="Arial" w:cs="Arial"/>
          <w:sz w:val="24"/>
          <w:szCs w:val="24"/>
        </w:rPr>
      </w:pPr>
      <w:r>
        <w:rPr>
          <w:rFonts w:ascii="Arial" w:hAnsi="Arial" w:cs="Arial"/>
          <w:sz w:val="24"/>
          <w:szCs w:val="24"/>
        </w:rPr>
        <w:t xml:space="preserve">Fourth, accountability. As </w:t>
      </w:r>
      <w:proofErr w:type="spellStart"/>
      <w:r>
        <w:rPr>
          <w:rFonts w:ascii="Arial" w:hAnsi="Arial" w:cs="Arial"/>
          <w:sz w:val="24"/>
          <w:szCs w:val="24"/>
        </w:rPr>
        <w:t>Floridi</w:t>
      </w:r>
      <w:proofErr w:type="spellEnd"/>
      <w:r>
        <w:rPr>
          <w:rFonts w:ascii="Arial" w:hAnsi="Arial" w:cs="Arial"/>
          <w:sz w:val="24"/>
          <w:szCs w:val="24"/>
        </w:rPr>
        <w:t xml:space="preserve"> (2019, p. 89) argues, the author is responsible for the final output. That is why AI must assist, and humans must decide.</w:t>
      </w:r>
    </w:p>
    <w:p w14:paraId="31C6B446" w14:textId="77777777" w:rsidR="00130999" w:rsidRDefault="00000000">
      <w:pPr>
        <w:spacing w:after="0" w:line="360" w:lineRule="auto"/>
        <w:jc w:val="both"/>
        <w:rPr>
          <w:rFonts w:ascii="Arial" w:hAnsi="Arial" w:cs="Arial"/>
          <w:sz w:val="24"/>
          <w:szCs w:val="24"/>
        </w:rPr>
      </w:pPr>
      <w:r>
        <w:rPr>
          <w:rFonts w:ascii="Arial" w:hAnsi="Arial" w:cs="Arial"/>
          <w:sz w:val="24"/>
          <w:szCs w:val="24"/>
        </w:rPr>
        <w:t>AI helped save time on research and phrasing. Critical judgment is what makes this work credible and original.</w:t>
      </w:r>
    </w:p>
    <w:p w14:paraId="2EFEA5FE" w14:textId="77777777" w:rsidR="00130999" w:rsidRDefault="00130999">
      <w:pPr>
        <w:spacing w:after="0" w:line="360" w:lineRule="auto"/>
        <w:jc w:val="both"/>
        <w:rPr>
          <w:rFonts w:ascii="Arial" w:hAnsi="Arial" w:cs="Arial"/>
          <w:sz w:val="24"/>
          <w:szCs w:val="24"/>
        </w:rPr>
      </w:pPr>
    </w:p>
    <w:p w14:paraId="7A32BC77" w14:textId="77777777" w:rsidR="00130999" w:rsidRDefault="00130999">
      <w:pPr>
        <w:spacing w:after="0" w:line="360" w:lineRule="auto"/>
        <w:jc w:val="both"/>
        <w:rPr>
          <w:rFonts w:ascii="Arial" w:hAnsi="Arial" w:cs="Arial"/>
          <w:sz w:val="24"/>
          <w:szCs w:val="24"/>
        </w:rPr>
      </w:pPr>
    </w:p>
    <w:p w14:paraId="07750E1B" w14:textId="77777777" w:rsidR="00130999" w:rsidRDefault="00130999">
      <w:pPr>
        <w:spacing w:after="0" w:line="360" w:lineRule="auto"/>
        <w:jc w:val="both"/>
        <w:rPr>
          <w:rFonts w:ascii="Arial" w:hAnsi="Arial" w:cs="Arial"/>
          <w:sz w:val="24"/>
          <w:szCs w:val="24"/>
        </w:rPr>
      </w:pPr>
    </w:p>
    <w:p w14:paraId="30AAD270" w14:textId="77777777" w:rsidR="00130999" w:rsidRDefault="00130999">
      <w:pPr>
        <w:spacing w:after="0" w:line="360" w:lineRule="auto"/>
        <w:jc w:val="both"/>
        <w:rPr>
          <w:rFonts w:ascii="Arial" w:hAnsi="Arial" w:cs="Arial"/>
          <w:sz w:val="24"/>
          <w:szCs w:val="24"/>
        </w:rPr>
      </w:pPr>
    </w:p>
    <w:p w14:paraId="2457E81C" w14:textId="77777777" w:rsidR="00130999" w:rsidRDefault="00130999">
      <w:pPr>
        <w:spacing w:after="0" w:line="360" w:lineRule="auto"/>
        <w:jc w:val="both"/>
        <w:rPr>
          <w:rFonts w:ascii="Arial" w:hAnsi="Arial" w:cs="Arial"/>
          <w:sz w:val="24"/>
          <w:szCs w:val="24"/>
        </w:rPr>
      </w:pPr>
    </w:p>
    <w:p w14:paraId="5B703058" w14:textId="77777777" w:rsidR="00130999" w:rsidRDefault="00130999">
      <w:pPr>
        <w:spacing w:after="0" w:line="360" w:lineRule="auto"/>
        <w:jc w:val="both"/>
        <w:rPr>
          <w:rFonts w:ascii="Arial" w:hAnsi="Arial" w:cs="Arial"/>
          <w:sz w:val="24"/>
          <w:szCs w:val="24"/>
        </w:rPr>
      </w:pPr>
    </w:p>
    <w:p w14:paraId="79FB8651" w14:textId="77777777" w:rsidR="00130999" w:rsidRDefault="00130999">
      <w:pPr>
        <w:spacing w:after="0" w:line="360" w:lineRule="auto"/>
        <w:jc w:val="both"/>
        <w:rPr>
          <w:rFonts w:ascii="Arial" w:hAnsi="Arial" w:cs="Arial"/>
          <w:sz w:val="24"/>
          <w:szCs w:val="24"/>
        </w:rPr>
      </w:pPr>
    </w:p>
    <w:p w14:paraId="415CD646" w14:textId="77777777" w:rsidR="00130999" w:rsidRDefault="00130999">
      <w:pPr>
        <w:spacing w:after="0" w:line="360" w:lineRule="auto"/>
        <w:jc w:val="both"/>
        <w:rPr>
          <w:rFonts w:ascii="Arial" w:hAnsi="Arial" w:cs="Arial"/>
          <w:sz w:val="24"/>
          <w:szCs w:val="24"/>
        </w:rPr>
      </w:pPr>
    </w:p>
    <w:p w14:paraId="21951738" w14:textId="77777777" w:rsidR="00130999" w:rsidRDefault="00130999">
      <w:pPr>
        <w:spacing w:after="0" w:line="360" w:lineRule="auto"/>
        <w:jc w:val="both"/>
        <w:rPr>
          <w:rFonts w:ascii="Arial" w:hAnsi="Arial" w:cs="Arial"/>
          <w:sz w:val="24"/>
          <w:szCs w:val="24"/>
        </w:rPr>
      </w:pPr>
    </w:p>
    <w:p w14:paraId="6FA88660" w14:textId="77777777" w:rsidR="00130999" w:rsidRDefault="00130999">
      <w:pPr>
        <w:spacing w:after="0" w:line="360" w:lineRule="auto"/>
        <w:jc w:val="both"/>
        <w:rPr>
          <w:rFonts w:ascii="Arial" w:hAnsi="Arial" w:cs="Arial"/>
          <w:sz w:val="24"/>
          <w:szCs w:val="24"/>
        </w:rPr>
      </w:pPr>
    </w:p>
    <w:p w14:paraId="2F37F235" w14:textId="77777777" w:rsidR="00130999" w:rsidRDefault="00130999">
      <w:pPr>
        <w:spacing w:after="0" w:line="360" w:lineRule="auto"/>
        <w:jc w:val="both"/>
        <w:rPr>
          <w:rFonts w:ascii="Arial" w:hAnsi="Arial" w:cs="Arial"/>
          <w:sz w:val="24"/>
          <w:szCs w:val="24"/>
        </w:rPr>
      </w:pPr>
    </w:p>
    <w:p w14:paraId="1053B34C" w14:textId="77777777" w:rsidR="00130999" w:rsidRDefault="00130999">
      <w:pPr>
        <w:spacing w:after="0" w:line="360" w:lineRule="auto"/>
        <w:jc w:val="both"/>
        <w:rPr>
          <w:rFonts w:ascii="Arial" w:hAnsi="Arial" w:cs="Arial"/>
          <w:sz w:val="24"/>
          <w:szCs w:val="24"/>
        </w:rPr>
      </w:pPr>
    </w:p>
    <w:p w14:paraId="76122E7E" w14:textId="77777777" w:rsidR="00130999" w:rsidRDefault="00130999">
      <w:pPr>
        <w:spacing w:after="0" w:line="360" w:lineRule="auto"/>
        <w:jc w:val="both"/>
        <w:rPr>
          <w:rFonts w:ascii="Arial" w:hAnsi="Arial" w:cs="Arial"/>
          <w:sz w:val="24"/>
          <w:szCs w:val="24"/>
        </w:rPr>
      </w:pPr>
    </w:p>
    <w:p w14:paraId="328E8758" w14:textId="77777777" w:rsidR="00130999" w:rsidRDefault="00130999">
      <w:pPr>
        <w:spacing w:after="0" w:line="360" w:lineRule="auto"/>
        <w:jc w:val="both"/>
        <w:rPr>
          <w:rFonts w:ascii="Arial" w:hAnsi="Arial" w:cs="Arial"/>
          <w:sz w:val="24"/>
          <w:szCs w:val="24"/>
        </w:rPr>
      </w:pPr>
    </w:p>
    <w:p w14:paraId="20EB0048" w14:textId="77777777" w:rsidR="00130999" w:rsidRDefault="00130999">
      <w:pPr>
        <w:spacing w:after="0" w:line="360" w:lineRule="auto"/>
        <w:jc w:val="both"/>
        <w:rPr>
          <w:rFonts w:ascii="Arial" w:hAnsi="Arial" w:cs="Arial"/>
          <w:sz w:val="24"/>
          <w:szCs w:val="24"/>
        </w:rPr>
      </w:pPr>
    </w:p>
    <w:p w14:paraId="72767E4E" w14:textId="77777777" w:rsidR="00130999" w:rsidRDefault="00130999">
      <w:pPr>
        <w:spacing w:after="0" w:line="360" w:lineRule="auto"/>
        <w:jc w:val="both"/>
        <w:rPr>
          <w:rFonts w:ascii="Arial" w:hAnsi="Arial" w:cs="Arial"/>
          <w:sz w:val="24"/>
          <w:szCs w:val="24"/>
        </w:rPr>
      </w:pPr>
    </w:p>
    <w:p w14:paraId="46D8605C" w14:textId="77777777" w:rsidR="00130999" w:rsidRDefault="00130999">
      <w:pPr>
        <w:spacing w:after="0" w:line="360" w:lineRule="auto"/>
        <w:jc w:val="both"/>
        <w:rPr>
          <w:rFonts w:ascii="Arial" w:hAnsi="Arial" w:cs="Arial"/>
          <w:sz w:val="24"/>
          <w:szCs w:val="24"/>
        </w:rPr>
      </w:pPr>
    </w:p>
    <w:p w14:paraId="75F58428" w14:textId="77777777" w:rsidR="00130999" w:rsidRDefault="00130999">
      <w:pPr>
        <w:spacing w:after="0" w:line="360" w:lineRule="auto"/>
        <w:jc w:val="both"/>
        <w:rPr>
          <w:rFonts w:ascii="Arial" w:hAnsi="Arial" w:cs="Arial"/>
          <w:sz w:val="24"/>
          <w:szCs w:val="24"/>
        </w:rPr>
      </w:pPr>
    </w:p>
    <w:p w14:paraId="66DBF175" w14:textId="77777777" w:rsidR="00130999" w:rsidRDefault="00000000">
      <w:pPr>
        <w:pStyle w:val="Titre1"/>
        <w:spacing w:before="0" w:after="0" w:line="360" w:lineRule="auto"/>
        <w:jc w:val="both"/>
        <w:rPr>
          <w:rFonts w:ascii="Arial" w:hAnsi="Arial" w:cs="Arial"/>
          <w:b/>
          <w:bCs/>
          <w:color w:val="auto"/>
          <w:sz w:val="24"/>
          <w:szCs w:val="24"/>
          <w:u w:val="single"/>
        </w:rPr>
      </w:pPr>
      <w:bookmarkStart w:id="56" w:name="_Toc235452155"/>
      <w:bookmarkStart w:id="57" w:name="_Toc235634452"/>
      <w:bookmarkStart w:id="58" w:name="_Toc235641168"/>
      <w:bookmarkStart w:id="59" w:name="_Toc235662528"/>
      <w:r>
        <w:rPr>
          <w:rFonts w:ascii="Arial" w:hAnsi="Arial" w:cs="Arial"/>
          <w:b/>
          <w:bCs/>
          <w:color w:val="auto"/>
          <w:sz w:val="24"/>
          <w:szCs w:val="24"/>
          <w:u w:val="single"/>
        </w:rPr>
        <w:t>REFERENCES</w:t>
      </w:r>
      <w:bookmarkEnd w:id="56"/>
      <w:bookmarkEnd w:id="57"/>
      <w:bookmarkEnd w:id="58"/>
      <w:bookmarkEnd w:id="59"/>
      <w:r>
        <w:rPr>
          <w:rFonts w:ascii="Arial" w:hAnsi="Arial" w:cs="Arial"/>
          <w:b/>
          <w:bCs/>
          <w:color w:val="auto"/>
          <w:sz w:val="24"/>
          <w:szCs w:val="24"/>
          <w:u w:val="single"/>
        </w:rPr>
        <w:t xml:space="preserve"> </w:t>
      </w:r>
    </w:p>
    <w:p w14:paraId="1ECB0A52" w14:textId="77777777" w:rsidR="00130999" w:rsidRDefault="00000000">
      <w:pPr>
        <w:spacing w:after="0" w:line="360" w:lineRule="auto"/>
        <w:jc w:val="both"/>
      </w:pPr>
      <w:r>
        <w:rPr>
          <w:rFonts w:ascii="Arial" w:hAnsi="Arial" w:cs="Arial"/>
          <w:sz w:val="24"/>
          <w:szCs w:val="24"/>
        </w:rPr>
        <w:t xml:space="preserve">Ansoff, H.I. (2018) </w:t>
      </w:r>
      <w:r>
        <w:rPr>
          <w:rFonts w:ascii="Arial" w:hAnsi="Arial" w:cs="Arial"/>
          <w:i/>
          <w:iCs/>
          <w:sz w:val="24"/>
          <w:szCs w:val="24"/>
        </w:rPr>
        <w:t>Corporate Strategy</w:t>
      </w:r>
      <w:r>
        <w:rPr>
          <w:rFonts w:ascii="Arial" w:hAnsi="Arial" w:cs="Arial"/>
          <w:sz w:val="24"/>
          <w:szCs w:val="24"/>
        </w:rPr>
        <w:t xml:space="preserve">. 2nd </w:t>
      </w:r>
      <w:proofErr w:type="spellStart"/>
      <w:r>
        <w:rPr>
          <w:rFonts w:ascii="Arial" w:hAnsi="Arial" w:cs="Arial"/>
          <w:sz w:val="24"/>
          <w:szCs w:val="24"/>
        </w:rPr>
        <w:t>edn</w:t>
      </w:r>
      <w:proofErr w:type="spellEnd"/>
      <w:r>
        <w:rPr>
          <w:rFonts w:ascii="Arial" w:hAnsi="Arial" w:cs="Arial"/>
          <w:sz w:val="24"/>
          <w:szCs w:val="24"/>
        </w:rPr>
        <w:t>. London: Penguin.</w:t>
      </w:r>
    </w:p>
    <w:p w14:paraId="6E57A615" w14:textId="77777777" w:rsidR="00130999" w:rsidRDefault="00000000">
      <w:pPr>
        <w:spacing w:after="0" w:line="360" w:lineRule="auto"/>
        <w:jc w:val="both"/>
      </w:pPr>
      <w:r>
        <w:rPr>
          <w:rFonts w:ascii="Arial" w:hAnsi="Arial" w:cs="Arial"/>
          <w:sz w:val="24"/>
          <w:szCs w:val="24"/>
        </w:rPr>
        <w:t xml:space="preserve">Australian Government (2023) </w:t>
      </w:r>
      <w:r>
        <w:rPr>
          <w:rFonts w:ascii="Arial" w:hAnsi="Arial" w:cs="Arial"/>
          <w:i/>
          <w:iCs/>
          <w:sz w:val="24"/>
          <w:szCs w:val="24"/>
        </w:rPr>
        <w:t>National Greenhouse and Energy Reporting Safeguard Mechanism</w:t>
      </w:r>
      <w:r>
        <w:rPr>
          <w:rFonts w:ascii="Arial" w:hAnsi="Arial" w:cs="Arial"/>
          <w:sz w:val="24"/>
          <w:szCs w:val="24"/>
        </w:rPr>
        <w:t xml:space="preserve">. Canberra: DCCEEW. </w:t>
      </w:r>
    </w:p>
    <w:p w14:paraId="338B599B" w14:textId="77777777" w:rsidR="00130999" w:rsidRDefault="00000000">
      <w:pPr>
        <w:spacing w:after="0" w:line="360" w:lineRule="auto"/>
        <w:jc w:val="both"/>
      </w:pPr>
      <w:r>
        <w:rPr>
          <w:rFonts w:ascii="Arial" w:hAnsi="Arial" w:cs="Arial"/>
          <w:sz w:val="24"/>
          <w:szCs w:val="24"/>
        </w:rPr>
        <w:t xml:space="preserve">Bain, J.S. (2016) Barriers to New Competition. </w:t>
      </w:r>
      <w:r>
        <w:rPr>
          <w:rFonts w:ascii="Arial" w:hAnsi="Arial" w:cs="Arial"/>
          <w:i/>
          <w:iCs/>
          <w:sz w:val="24"/>
          <w:szCs w:val="24"/>
        </w:rPr>
        <w:t>American Economic Review,</w:t>
      </w:r>
      <w:r>
        <w:rPr>
          <w:rFonts w:ascii="Arial" w:hAnsi="Arial" w:cs="Arial"/>
          <w:sz w:val="24"/>
          <w:szCs w:val="24"/>
        </w:rPr>
        <w:t xml:space="preserve"> 46(2), pp. 1-10.</w:t>
      </w:r>
    </w:p>
    <w:p w14:paraId="03F97165" w14:textId="77777777" w:rsidR="00130999" w:rsidRDefault="00000000">
      <w:pPr>
        <w:spacing w:after="0" w:line="360" w:lineRule="auto"/>
        <w:jc w:val="both"/>
      </w:pPr>
      <w:r>
        <w:rPr>
          <w:rFonts w:ascii="Arial" w:hAnsi="Arial" w:cs="Arial"/>
          <w:sz w:val="24"/>
          <w:szCs w:val="24"/>
        </w:rPr>
        <w:t xml:space="preserve">Barney, J.B. (2018) </w:t>
      </w:r>
      <w:r>
        <w:rPr>
          <w:rFonts w:ascii="Arial" w:hAnsi="Arial" w:cs="Arial"/>
          <w:i/>
          <w:iCs/>
          <w:sz w:val="24"/>
          <w:szCs w:val="24"/>
        </w:rPr>
        <w:t>Gaining and Sustaining Competitive Advantage</w:t>
      </w:r>
      <w:r>
        <w:rPr>
          <w:rFonts w:ascii="Arial" w:hAnsi="Arial" w:cs="Arial"/>
          <w:sz w:val="24"/>
          <w:szCs w:val="24"/>
        </w:rPr>
        <w:t xml:space="preserve">. 5th </w:t>
      </w:r>
      <w:proofErr w:type="spellStart"/>
      <w:r>
        <w:rPr>
          <w:rFonts w:ascii="Arial" w:hAnsi="Arial" w:cs="Arial"/>
          <w:sz w:val="24"/>
          <w:szCs w:val="24"/>
        </w:rPr>
        <w:t>edn</w:t>
      </w:r>
      <w:proofErr w:type="spellEnd"/>
      <w:r>
        <w:rPr>
          <w:rFonts w:ascii="Arial" w:hAnsi="Arial" w:cs="Arial"/>
          <w:sz w:val="24"/>
          <w:szCs w:val="24"/>
        </w:rPr>
        <w:t>. Harlow: Pearson.</w:t>
      </w:r>
    </w:p>
    <w:p w14:paraId="137FDA41" w14:textId="77777777" w:rsidR="00130999" w:rsidRDefault="00000000">
      <w:pPr>
        <w:spacing w:after="0" w:line="360" w:lineRule="auto"/>
        <w:jc w:val="both"/>
      </w:pPr>
      <w:r>
        <w:rPr>
          <w:rFonts w:ascii="Arial" w:hAnsi="Arial" w:cs="Arial"/>
          <w:sz w:val="24"/>
          <w:szCs w:val="24"/>
        </w:rPr>
        <w:t xml:space="preserve">BHP Group (2023) </w:t>
      </w:r>
      <w:r>
        <w:rPr>
          <w:rFonts w:ascii="Arial" w:hAnsi="Arial" w:cs="Arial"/>
          <w:i/>
          <w:iCs/>
          <w:sz w:val="24"/>
          <w:szCs w:val="24"/>
        </w:rPr>
        <w:t>Annual Report 2023</w:t>
      </w:r>
      <w:r>
        <w:rPr>
          <w:rFonts w:ascii="Arial" w:hAnsi="Arial" w:cs="Arial"/>
          <w:sz w:val="24"/>
          <w:szCs w:val="24"/>
        </w:rPr>
        <w:t xml:space="preserve">. Melbourne: BHP Group. </w:t>
      </w:r>
    </w:p>
    <w:p w14:paraId="2AE4A9AF" w14:textId="77777777" w:rsidR="00130999" w:rsidRDefault="00000000">
      <w:pPr>
        <w:spacing w:after="0" w:line="360" w:lineRule="auto"/>
        <w:jc w:val="both"/>
      </w:pPr>
      <w:r>
        <w:rPr>
          <w:rFonts w:ascii="Arial" w:hAnsi="Arial" w:cs="Arial"/>
          <w:sz w:val="24"/>
          <w:szCs w:val="24"/>
        </w:rPr>
        <w:t xml:space="preserve">BHP Group (2024a) </w:t>
      </w:r>
      <w:r>
        <w:rPr>
          <w:rFonts w:ascii="Arial" w:hAnsi="Arial" w:cs="Arial"/>
          <w:i/>
          <w:iCs/>
          <w:sz w:val="24"/>
          <w:szCs w:val="24"/>
        </w:rPr>
        <w:t>Climate Transition Action Plan 2024</w:t>
      </w:r>
      <w:r>
        <w:rPr>
          <w:rFonts w:ascii="Arial" w:hAnsi="Arial" w:cs="Arial"/>
          <w:sz w:val="24"/>
          <w:szCs w:val="24"/>
        </w:rPr>
        <w:t xml:space="preserve">. Melbourne: BHP Group. </w:t>
      </w:r>
    </w:p>
    <w:p w14:paraId="214E6FA6" w14:textId="77777777" w:rsidR="00130999" w:rsidRDefault="00000000">
      <w:pPr>
        <w:spacing w:after="0" w:line="360" w:lineRule="auto"/>
        <w:jc w:val="both"/>
      </w:pPr>
      <w:r>
        <w:rPr>
          <w:rFonts w:ascii="Arial" w:hAnsi="Arial" w:cs="Arial"/>
          <w:sz w:val="24"/>
          <w:szCs w:val="24"/>
        </w:rPr>
        <w:t xml:space="preserve">European Commission (2023) </w:t>
      </w:r>
      <w:r>
        <w:rPr>
          <w:rFonts w:ascii="Arial" w:hAnsi="Arial" w:cs="Arial"/>
          <w:i/>
          <w:iCs/>
          <w:sz w:val="24"/>
          <w:szCs w:val="24"/>
        </w:rPr>
        <w:t>Regulation (EU) 2023/956: Carbon Border Adjustment Mechanism. Brussels: European Commission.</w:t>
      </w:r>
      <w:r>
        <w:rPr>
          <w:rFonts w:ascii="Arial" w:hAnsi="Arial" w:cs="Arial"/>
          <w:sz w:val="24"/>
          <w:szCs w:val="24"/>
        </w:rPr>
        <w:t xml:space="preserve"> </w:t>
      </w:r>
    </w:p>
    <w:p w14:paraId="591DFB4F" w14:textId="77777777" w:rsidR="00130999" w:rsidRDefault="00000000">
      <w:pPr>
        <w:spacing w:after="0" w:line="360" w:lineRule="auto"/>
        <w:jc w:val="both"/>
      </w:pPr>
      <w:proofErr w:type="spellStart"/>
      <w:r>
        <w:rPr>
          <w:rFonts w:ascii="Arial" w:hAnsi="Arial" w:cs="Arial"/>
          <w:sz w:val="24"/>
          <w:szCs w:val="24"/>
        </w:rPr>
        <w:t>Floridi</w:t>
      </w:r>
      <w:proofErr w:type="spellEnd"/>
      <w:r>
        <w:rPr>
          <w:rFonts w:ascii="Arial" w:hAnsi="Arial" w:cs="Arial"/>
          <w:sz w:val="24"/>
          <w:szCs w:val="24"/>
        </w:rPr>
        <w:t xml:space="preserve">, L. (2019) </w:t>
      </w:r>
      <w:r>
        <w:rPr>
          <w:rFonts w:ascii="Arial" w:hAnsi="Arial" w:cs="Arial"/>
          <w:i/>
          <w:iCs/>
          <w:sz w:val="24"/>
          <w:szCs w:val="24"/>
        </w:rPr>
        <w:t>The Ethics of Information</w:t>
      </w:r>
      <w:r>
        <w:rPr>
          <w:rFonts w:ascii="Arial" w:hAnsi="Arial" w:cs="Arial"/>
          <w:sz w:val="24"/>
          <w:szCs w:val="24"/>
        </w:rPr>
        <w:t>. Oxford: Oxford University Press.</w:t>
      </w:r>
    </w:p>
    <w:p w14:paraId="6E3EF4E4" w14:textId="77777777" w:rsidR="00130999" w:rsidRDefault="00000000">
      <w:pPr>
        <w:spacing w:after="0" w:line="360" w:lineRule="auto"/>
        <w:jc w:val="both"/>
      </w:pPr>
      <w:r>
        <w:rPr>
          <w:rFonts w:ascii="Arial" w:hAnsi="Arial" w:cs="Arial"/>
          <w:sz w:val="24"/>
          <w:szCs w:val="24"/>
        </w:rPr>
        <w:t xml:space="preserve">Hart, S.L. (2017) Beyond greening: strategies for a sustainable world. </w:t>
      </w:r>
      <w:r>
        <w:rPr>
          <w:rFonts w:ascii="Arial" w:hAnsi="Arial" w:cs="Arial"/>
          <w:i/>
          <w:iCs/>
          <w:sz w:val="24"/>
          <w:szCs w:val="24"/>
        </w:rPr>
        <w:t>Harvard Business Review.</w:t>
      </w:r>
      <w:r>
        <w:rPr>
          <w:rFonts w:ascii="Arial" w:hAnsi="Arial" w:cs="Arial"/>
          <w:sz w:val="24"/>
          <w:szCs w:val="24"/>
        </w:rPr>
        <w:t xml:space="preserve"> 75(1), pp. 66-76.</w:t>
      </w:r>
    </w:p>
    <w:p w14:paraId="0045BDF3" w14:textId="77777777" w:rsidR="00130999" w:rsidRDefault="00000000">
      <w:pPr>
        <w:spacing w:after="0" w:line="360" w:lineRule="auto"/>
        <w:jc w:val="both"/>
      </w:pPr>
      <w:r>
        <w:rPr>
          <w:rFonts w:ascii="Arial" w:hAnsi="Arial" w:cs="Arial"/>
          <w:sz w:val="24"/>
          <w:szCs w:val="24"/>
        </w:rPr>
        <w:t xml:space="preserve">Intergovernmental Panel on Climate Change (2023) </w:t>
      </w:r>
      <w:r>
        <w:rPr>
          <w:rFonts w:ascii="Arial" w:hAnsi="Arial" w:cs="Arial"/>
          <w:i/>
          <w:iCs/>
          <w:sz w:val="24"/>
          <w:szCs w:val="24"/>
        </w:rPr>
        <w:t>Climate Change 2023: Synthesis Report.</w:t>
      </w:r>
      <w:r>
        <w:rPr>
          <w:rFonts w:ascii="Arial" w:hAnsi="Arial" w:cs="Arial"/>
          <w:sz w:val="24"/>
          <w:szCs w:val="24"/>
        </w:rPr>
        <w:t xml:space="preserve"> Geneva: IPCC.</w:t>
      </w:r>
    </w:p>
    <w:p w14:paraId="0E94D525" w14:textId="77777777" w:rsidR="00130999" w:rsidRDefault="00000000">
      <w:pPr>
        <w:spacing w:after="0" w:line="360" w:lineRule="auto"/>
        <w:jc w:val="both"/>
      </w:pPr>
      <w:r>
        <w:rPr>
          <w:rFonts w:ascii="Arial" w:hAnsi="Arial" w:cs="Arial"/>
          <w:sz w:val="24"/>
          <w:szCs w:val="24"/>
        </w:rPr>
        <w:t xml:space="preserve">International Energy Agency (2024) </w:t>
      </w:r>
      <w:r>
        <w:rPr>
          <w:rFonts w:ascii="Arial" w:hAnsi="Arial" w:cs="Arial"/>
          <w:i/>
          <w:iCs/>
          <w:sz w:val="24"/>
          <w:szCs w:val="24"/>
        </w:rPr>
        <w:t>Global Critical Minerals Outlook 2024</w:t>
      </w:r>
      <w:r>
        <w:rPr>
          <w:rFonts w:ascii="Arial" w:hAnsi="Arial" w:cs="Arial"/>
          <w:sz w:val="24"/>
          <w:szCs w:val="24"/>
        </w:rPr>
        <w:t xml:space="preserve">. Paris: IEA. </w:t>
      </w:r>
    </w:p>
    <w:p w14:paraId="7EC192F4" w14:textId="77777777" w:rsidR="00130999" w:rsidRDefault="00000000">
      <w:pPr>
        <w:spacing w:after="0" w:line="360" w:lineRule="auto"/>
        <w:jc w:val="both"/>
      </w:pPr>
      <w:r>
        <w:rPr>
          <w:rFonts w:ascii="Arial" w:hAnsi="Arial" w:cs="Arial"/>
          <w:sz w:val="24"/>
          <w:szCs w:val="24"/>
        </w:rPr>
        <w:t>Kotler, P., Armstrong, G., Harris, L.C. and He, H. (2024)</w:t>
      </w:r>
      <w:r>
        <w:rPr>
          <w:rFonts w:ascii="Arial" w:hAnsi="Arial" w:cs="Arial"/>
          <w:i/>
          <w:iCs/>
          <w:sz w:val="24"/>
          <w:szCs w:val="24"/>
        </w:rPr>
        <w:t xml:space="preserve"> Principles of marketing. </w:t>
      </w:r>
      <w:r>
        <w:rPr>
          <w:rFonts w:ascii="Arial" w:hAnsi="Arial" w:cs="Arial"/>
          <w:sz w:val="24"/>
          <w:szCs w:val="24"/>
        </w:rPr>
        <w:t xml:space="preserve">19th </w:t>
      </w:r>
      <w:proofErr w:type="spellStart"/>
      <w:r>
        <w:rPr>
          <w:rFonts w:ascii="Arial" w:hAnsi="Arial" w:cs="Arial"/>
          <w:sz w:val="24"/>
          <w:szCs w:val="24"/>
        </w:rPr>
        <w:t>edn</w:t>
      </w:r>
      <w:proofErr w:type="spellEnd"/>
      <w:r>
        <w:rPr>
          <w:rFonts w:ascii="Arial" w:hAnsi="Arial" w:cs="Arial"/>
          <w:sz w:val="24"/>
          <w:szCs w:val="24"/>
        </w:rPr>
        <w:t>. Harlow: Pearson.</w:t>
      </w:r>
    </w:p>
    <w:p w14:paraId="632F90C8" w14:textId="77777777" w:rsidR="00130999" w:rsidRDefault="00000000">
      <w:pPr>
        <w:spacing w:after="0" w:line="360" w:lineRule="auto"/>
        <w:jc w:val="both"/>
      </w:pPr>
      <w:r>
        <w:rPr>
          <w:rFonts w:ascii="Arial" w:hAnsi="Arial" w:cs="Arial"/>
          <w:sz w:val="24"/>
          <w:szCs w:val="24"/>
        </w:rPr>
        <w:t xml:space="preserve">Porter, M.E. (2016) </w:t>
      </w:r>
      <w:r>
        <w:rPr>
          <w:rFonts w:ascii="Arial" w:hAnsi="Arial" w:cs="Arial"/>
          <w:i/>
          <w:iCs/>
          <w:sz w:val="24"/>
          <w:szCs w:val="24"/>
        </w:rPr>
        <w:t xml:space="preserve">Competitive Strategy: Techniques for </w:t>
      </w:r>
      <w:proofErr w:type="spellStart"/>
      <w:r>
        <w:rPr>
          <w:rFonts w:ascii="Arial" w:hAnsi="Arial" w:cs="Arial"/>
          <w:i/>
          <w:iCs/>
          <w:sz w:val="24"/>
          <w:szCs w:val="24"/>
        </w:rPr>
        <w:t>Analyzing</w:t>
      </w:r>
      <w:proofErr w:type="spellEnd"/>
      <w:r>
        <w:rPr>
          <w:rFonts w:ascii="Arial" w:hAnsi="Arial" w:cs="Arial"/>
          <w:i/>
          <w:iCs/>
          <w:sz w:val="24"/>
          <w:szCs w:val="24"/>
        </w:rPr>
        <w:t xml:space="preserve"> Industries and Competitors.</w:t>
      </w:r>
      <w:r>
        <w:rPr>
          <w:rFonts w:ascii="Arial" w:hAnsi="Arial" w:cs="Arial"/>
          <w:sz w:val="24"/>
          <w:szCs w:val="24"/>
        </w:rPr>
        <w:t xml:space="preserve"> New York: Free Press.</w:t>
      </w:r>
    </w:p>
    <w:p w14:paraId="32D23B86" w14:textId="77777777" w:rsidR="00130999" w:rsidRDefault="00000000">
      <w:pPr>
        <w:spacing w:after="0" w:line="360" w:lineRule="auto"/>
        <w:jc w:val="both"/>
      </w:pPr>
      <w:r>
        <w:rPr>
          <w:rFonts w:ascii="Arial" w:hAnsi="Arial" w:cs="Arial"/>
          <w:sz w:val="24"/>
          <w:szCs w:val="24"/>
        </w:rPr>
        <w:t xml:space="preserve">Spence, M. (2018) Job market </w:t>
      </w:r>
      <w:proofErr w:type="spellStart"/>
      <w:r>
        <w:rPr>
          <w:rFonts w:ascii="Arial" w:hAnsi="Arial" w:cs="Arial"/>
          <w:sz w:val="24"/>
          <w:szCs w:val="24"/>
        </w:rPr>
        <w:t>signaling</w:t>
      </w:r>
      <w:proofErr w:type="spellEnd"/>
      <w:r>
        <w:rPr>
          <w:rFonts w:ascii="Arial" w:hAnsi="Arial" w:cs="Arial"/>
          <w:sz w:val="24"/>
          <w:szCs w:val="24"/>
        </w:rPr>
        <w:t xml:space="preserve">. </w:t>
      </w:r>
      <w:r>
        <w:rPr>
          <w:rFonts w:ascii="Arial" w:hAnsi="Arial" w:cs="Arial"/>
          <w:i/>
          <w:iCs/>
          <w:sz w:val="24"/>
          <w:szCs w:val="24"/>
        </w:rPr>
        <w:t>The Quarterly Journal of Economics</w:t>
      </w:r>
      <w:r>
        <w:rPr>
          <w:rFonts w:ascii="Arial" w:hAnsi="Arial" w:cs="Arial"/>
          <w:sz w:val="24"/>
          <w:szCs w:val="24"/>
        </w:rPr>
        <w:t>, 87(3), pp. 355-374.</w:t>
      </w:r>
    </w:p>
    <w:p w14:paraId="4642489D" w14:textId="77777777" w:rsidR="00130999" w:rsidRDefault="00000000">
      <w:pPr>
        <w:spacing w:after="0" w:line="360" w:lineRule="auto"/>
        <w:jc w:val="both"/>
      </w:pPr>
      <w:r>
        <w:rPr>
          <w:rFonts w:ascii="Arial" w:hAnsi="Arial" w:cs="Arial"/>
          <w:sz w:val="24"/>
          <w:szCs w:val="24"/>
        </w:rPr>
        <w:t xml:space="preserve">Tilton, J.E. (2018) Depletion and the Long-Run Availability of Mineral Commodities, </w:t>
      </w:r>
      <w:r>
        <w:rPr>
          <w:rFonts w:ascii="Arial" w:hAnsi="Arial" w:cs="Arial"/>
          <w:i/>
          <w:iCs/>
          <w:sz w:val="24"/>
          <w:szCs w:val="24"/>
        </w:rPr>
        <w:t>Resources Policy</w:t>
      </w:r>
      <w:r>
        <w:rPr>
          <w:rFonts w:ascii="Arial" w:hAnsi="Arial" w:cs="Arial"/>
          <w:sz w:val="24"/>
          <w:szCs w:val="24"/>
        </w:rPr>
        <w:t>, 28(1-2), pp. 1-5.</w:t>
      </w:r>
    </w:p>
    <w:p w14:paraId="77E88D11" w14:textId="77777777" w:rsidR="00130999" w:rsidRDefault="00000000">
      <w:pPr>
        <w:spacing w:after="0" w:line="360" w:lineRule="auto"/>
        <w:jc w:val="both"/>
      </w:pPr>
      <w:r>
        <w:rPr>
          <w:rFonts w:ascii="Arial" w:hAnsi="Arial" w:cs="Arial"/>
          <w:sz w:val="24"/>
          <w:szCs w:val="24"/>
        </w:rPr>
        <w:t xml:space="preserve">U.S. Department of Energy (2022) </w:t>
      </w:r>
      <w:r>
        <w:rPr>
          <w:rFonts w:ascii="Arial" w:hAnsi="Arial" w:cs="Arial"/>
          <w:i/>
          <w:iCs/>
          <w:sz w:val="24"/>
          <w:szCs w:val="24"/>
        </w:rPr>
        <w:t>Inflation Reduction Act: Clean Energy Provisions</w:t>
      </w:r>
      <w:r>
        <w:rPr>
          <w:rFonts w:ascii="Arial" w:hAnsi="Arial" w:cs="Arial"/>
          <w:sz w:val="24"/>
          <w:szCs w:val="24"/>
        </w:rPr>
        <w:t xml:space="preserve">. Washington DC: DOE. </w:t>
      </w:r>
    </w:p>
    <w:p w14:paraId="2F78C3CE" w14:textId="77777777" w:rsidR="00130999" w:rsidRDefault="00000000">
      <w:pPr>
        <w:spacing w:after="0" w:line="360" w:lineRule="auto"/>
        <w:jc w:val="both"/>
      </w:pPr>
      <w:r>
        <w:rPr>
          <w:rFonts w:ascii="Arial" w:hAnsi="Arial" w:cs="Arial"/>
          <w:sz w:val="24"/>
          <w:szCs w:val="24"/>
        </w:rPr>
        <w:t xml:space="preserve">Williamson, O.E. (2018) </w:t>
      </w:r>
      <w:r>
        <w:rPr>
          <w:rFonts w:ascii="Arial" w:hAnsi="Arial" w:cs="Arial"/>
          <w:i/>
          <w:iCs/>
          <w:sz w:val="24"/>
          <w:szCs w:val="24"/>
        </w:rPr>
        <w:t>The Economic Institutions of Capitalism</w:t>
      </w:r>
      <w:r>
        <w:rPr>
          <w:rFonts w:ascii="Arial" w:hAnsi="Arial" w:cs="Arial"/>
          <w:sz w:val="24"/>
          <w:szCs w:val="24"/>
        </w:rPr>
        <w:t>. New York: Free Press.</w:t>
      </w:r>
    </w:p>
    <w:p w14:paraId="46FC8EC7" w14:textId="77777777" w:rsidR="00130999" w:rsidRDefault="00000000">
      <w:pPr>
        <w:spacing w:after="0" w:line="360" w:lineRule="auto"/>
        <w:jc w:val="both"/>
      </w:pPr>
      <w:r>
        <w:rPr>
          <w:rFonts w:ascii="Arial" w:hAnsi="Arial" w:cs="Arial"/>
          <w:sz w:val="24"/>
          <w:szCs w:val="24"/>
        </w:rPr>
        <w:t xml:space="preserve">Wood Mackenzie (2024a) </w:t>
      </w:r>
      <w:r>
        <w:rPr>
          <w:rFonts w:ascii="Arial" w:hAnsi="Arial" w:cs="Arial"/>
          <w:i/>
          <w:iCs/>
          <w:sz w:val="24"/>
          <w:szCs w:val="24"/>
        </w:rPr>
        <w:t>Global Copper Market Service</w:t>
      </w:r>
      <w:r>
        <w:rPr>
          <w:rFonts w:ascii="Arial" w:hAnsi="Arial" w:cs="Arial"/>
          <w:sz w:val="24"/>
          <w:szCs w:val="24"/>
        </w:rPr>
        <w:t xml:space="preserve">. Edinburgh: Wood Mackenzie. </w:t>
      </w:r>
    </w:p>
    <w:p w14:paraId="61FE3312" w14:textId="77777777" w:rsidR="00130999" w:rsidRDefault="00000000">
      <w:pPr>
        <w:spacing w:after="0" w:line="360" w:lineRule="auto"/>
        <w:jc w:val="both"/>
      </w:pPr>
      <w:r>
        <w:rPr>
          <w:rFonts w:ascii="Arial" w:hAnsi="Arial" w:cs="Arial"/>
          <w:sz w:val="24"/>
          <w:szCs w:val="24"/>
        </w:rPr>
        <w:lastRenderedPageBreak/>
        <w:t xml:space="preserve">Wood Mackenzie (2024b) </w:t>
      </w:r>
      <w:r>
        <w:rPr>
          <w:rFonts w:ascii="Arial" w:hAnsi="Arial" w:cs="Arial"/>
          <w:i/>
          <w:iCs/>
          <w:sz w:val="24"/>
          <w:szCs w:val="24"/>
        </w:rPr>
        <w:t>Global Mining Majors: Transition Exposure and Market Valuation</w:t>
      </w:r>
      <w:r>
        <w:rPr>
          <w:rFonts w:ascii="Arial" w:hAnsi="Arial" w:cs="Arial"/>
          <w:sz w:val="24"/>
          <w:szCs w:val="24"/>
        </w:rPr>
        <w:t>. Edinburgh: Wood Mackenzie.</w:t>
      </w:r>
    </w:p>
    <w:p w14:paraId="6FFA1E04" w14:textId="77777777" w:rsidR="00130999" w:rsidRDefault="00000000">
      <w:pPr>
        <w:spacing w:after="0" w:line="360" w:lineRule="auto"/>
        <w:jc w:val="both"/>
        <w:sectPr w:rsidR="00130999">
          <w:headerReference w:type="default" r:id="rId16"/>
          <w:footerReference w:type="default" r:id="rId17"/>
          <w:pgSz w:w="11906" w:h="16838"/>
          <w:pgMar w:top="1440" w:right="1440" w:bottom="1440" w:left="1440" w:header="720" w:footer="720" w:gutter="0"/>
          <w:cols w:space="720"/>
        </w:sectPr>
      </w:pPr>
      <w:r>
        <w:rPr>
          <w:rFonts w:ascii="Arial" w:hAnsi="Arial" w:cs="Arial"/>
          <w:sz w:val="24"/>
          <w:szCs w:val="24"/>
        </w:rPr>
        <w:t xml:space="preserve">World Resources Institute (2023) Aqueduct 4.0: </w:t>
      </w:r>
      <w:r>
        <w:rPr>
          <w:rFonts w:ascii="Arial" w:hAnsi="Arial" w:cs="Arial"/>
          <w:i/>
          <w:iCs/>
          <w:sz w:val="24"/>
          <w:szCs w:val="24"/>
        </w:rPr>
        <w:t>Updated Decision-Relevant Global Water Risk Indicators</w:t>
      </w:r>
      <w:r>
        <w:rPr>
          <w:rFonts w:ascii="Arial" w:hAnsi="Arial" w:cs="Arial"/>
          <w:sz w:val="24"/>
          <w:szCs w:val="24"/>
        </w:rPr>
        <w:t xml:space="preserve">. Washington DC: WRI. </w:t>
      </w:r>
    </w:p>
    <w:p w14:paraId="695E6F8B" w14:textId="77777777" w:rsidR="00130999" w:rsidRDefault="00130999">
      <w:pPr>
        <w:spacing w:after="0" w:line="360" w:lineRule="auto"/>
        <w:jc w:val="both"/>
        <w:rPr>
          <w:rFonts w:ascii="Arial" w:hAnsi="Arial" w:cs="Arial"/>
          <w:sz w:val="24"/>
          <w:szCs w:val="24"/>
        </w:rPr>
      </w:pPr>
    </w:p>
    <w:p w14:paraId="66EA1D82" w14:textId="77777777" w:rsidR="00130999" w:rsidRDefault="00000000">
      <w:pPr>
        <w:pStyle w:val="Titre1"/>
        <w:spacing w:before="0" w:after="0" w:line="360" w:lineRule="auto"/>
        <w:jc w:val="both"/>
      </w:pPr>
      <w:bookmarkStart w:id="60" w:name="_Toc235452156"/>
      <w:bookmarkStart w:id="61" w:name="_Toc235634453"/>
      <w:bookmarkStart w:id="62" w:name="_Toc235641169"/>
      <w:bookmarkStart w:id="63" w:name="_Toc235662529"/>
      <w:r>
        <w:rPr>
          <w:rFonts w:ascii="Arial" w:hAnsi="Arial" w:cs="Arial"/>
          <w:b/>
          <w:bCs/>
          <w:color w:val="auto"/>
          <w:sz w:val="24"/>
          <w:szCs w:val="24"/>
          <w:u w:val="single"/>
        </w:rPr>
        <w:t>Appendix A:</w:t>
      </w:r>
      <w:r>
        <w:rPr>
          <w:rFonts w:ascii="Arial" w:hAnsi="Arial" w:cs="Arial"/>
          <w:b/>
          <w:bCs/>
          <w:color w:val="auto"/>
          <w:sz w:val="24"/>
          <w:szCs w:val="24"/>
        </w:rPr>
        <w:t xml:space="preserve"> Mining / Major Projects Countries - 8 countries These are where BHP has mines, processing plants, or major projects.</w:t>
      </w:r>
      <w:bookmarkEnd w:id="60"/>
      <w:bookmarkEnd w:id="61"/>
      <w:bookmarkEnd w:id="62"/>
      <w:bookmarkEnd w:id="63"/>
    </w:p>
    <w:p w14:paraId="3E7AE14A" w14:textId="77777777" w:rsidR="00130999" w:rsidRDefault="00000000">
      <w:pPr>
        <w:pStyle w:val="Paragraphedeliste"/>
        <w:numPr>
          <w:ilvl w:val="0"/>
          <w:numId w:val="1"/>
        </w:numPr>
        <w:spacing w:after="0" w:line="360" w:lineRule="auto"/>
        <w:jc w:val="both"/>
        <w:rPr>
          <w:rFonts w:ascii="Arial" w:hAnsi="Arial" w:cs="Arial"/>
          <w:sz w:val="24"/>
          <w:szCs w:val="24"/>
        </w:rPr>
      </w:pPr>
      <w:r>
        <w:rPr>
          <w:rFonts w:ascii="Arial" w:hAnsi="Arial" w:cs="Arial"/>
          <w:sz w:val="24"/>
          <w:szCs w:val="24"/>
        </w:rPr>
        <w:t xml:space="preserve">Australia - Pilbara Iron Ore, Nickel West, Olympic Dam Copper </w:t>
      </w:r>
    </w:p>
    <w:p w14:paraId="0B219E4A" w14:textId="77777777" w:rsidR="00130999" w:rsidRDefault="00000000">
      <w:pPr>
        <w:pStyle w:val="Paragraphedeliste"/>
        <w:numPr>
          <w:ilvl w:val="0"/>
          <w:numId w:val="1"/>
        </w:numPr>
        <w:spacing w:after="0" w:line="360" w:lineRule="auto"/>
        <w:jc w:val="both"/>
        <w:rPr>
          <w:rFonts w:ascii="Arial" w:hAnsi="Arial" w:cs="Arial"/>
          <w:sz w:val="24"/>
          <w:szCs w:val="24"/>
        </w:rPr>
      </w:pPr>
      <w:r>
        <w:rPr>
          <w:rFonts w:ascii="Arial" w:hAnsi="Arial" w:cs="Arial"/>
          <w:sz w:val="24"/>
          <w:szCs w:val="24"/>
        </w:rPr>
        <w:t>Chile - Escondida, Spence Copper. World’s largest copper mine</w:t>
      </w:r>
    </w:p>
    <w:p w14:paraId="23C23E86" w14:textId="77777777" w:rsidR="00130999" w:rsidRDefault="00000000">
      <w:pPr>
        <w:pStyle w:val="Paragraphedeliste"/>
        <w:numPr>
          <w:ilvl w:val="0"/>
          <w:numId w:val="1"/>
        </w:numPr>
        <w:spacing w:after="0" w:line="360" w:lineRule="auto"/>
        <w:jc w:val="both"/>
        <w:rPr>
          <w:rFonts w:ascii="Arial" w:hAnsi="Arial" w:cs="Arial"/>
          <w:sz w:val="24"/>
          <w:szCs w:val="24"/>
        </w:rPr>
      </w:pPr>
      <w:r>
        <w:rPr>
          <w:rFonts w:ascii="Arial" w:hAnsi="Arial" w:cs="Arial"/>
          <w:sz w:val="24"/>
          <w:szCs w:val="24"/>
        </w:rPr>
        <w:t>Canada - Jansen Potash project, Copper exploration</w:t>
      </w:r>
    </w:p>
    <w:p w14:paraId="6DE552A6" w14:textId="77777777" w:rsidR="00130999" w:rsidRDefault="00000000">
      <w:pPr>
        <w:pStyle w:val="Paragraphedeliste"/>
        <w:numPr>
          <w:ilvl w:val="0"/>
          <w:numId w:val="1"/>
        </w:numPr>
        <w:spacing w:after="0" w:line="360" w:lineRule="auto"/>
        <w:jc w:val="both"/>
        <w:rPr>
          <w:rFonts w:ascii="Arial" w:hAnsi="Arial" w:cs="Arial"/>
          <w:sz w:val="24"/>
          <w:szCs w:val="24"/>
        </w:rPr>
      </w:pPr>
      <w:r>
        <w:rPr>
          <w:rFonts w:ascii="Arial" w:hAnsi="Arial" w:cs="Arial"/>
          <w:sz w:val="24"/>
          <w:szCs w:val="24"/>
        </w:rPr>
        <w:t>United States - Copper projects in Arizona</w:t>
      </w:r>
    </w:p>
    <w:p w14:paraId="11A09E72" w14:textId="77777777" w:rsidR="00130999" w:rsidRDefault="00000000">
      <w:pPr>
        <w:pStyle w:val="Paragraphedeliste"/>
        <w:numPr>
          <w:ilvl w:val="0"/>
          <w:numId w:val="1"/>
        </w:numPr>
        <w:spacing w:after="0" w:line="360" w:lineRule="auto"/>
        <w:jc w:val="both"/>
        <w:rPr>
          <w:rFonts w:ascii="Arial" w:hAnsi="Arial" w:cs="Arial"/>
          <w:sz w:val="24"/>
          <w:szCs w:val="24"/>
        </w:rPr>
      </w:pPr>
      <w:r>
        <w:rPr>
          <w:rFonts w:ascii="Arial" w:hAnsi="Arial" w:cs="Arial"/>
          <w:sz w:val="24"/>
          <w:szCs w:val="24"/>
        </w:rPr>
        <w:t>Peru - Antamina Copper Joint Venture</w:t>
      </w:r>
    </w:p>
    <w:p w14:paraId="59EB43DE" w14:textId="77777777" w:rsidR="00130999" w:rsidRDefault="00000000">
      <w:pPr>
        <w:pStyle w:val="Paragraphedeliste"/>
        <w:numPr>
          <w:ilvl w:val="0"/>
          <w:numId w:val="1"/>
        </w:numPr>
        <w:spacing w:after="0" w:line="360" w:lineRule="auto"/>
        <w:jc w:val="both"/>
        <w:rPr>
          <w:rFonts w:ascii="Arial" w:hAnsi="Arial" w:cs="Arial"/>
          <w:sz w:val="24"/>
          <w:szCs w:val="24"/>
        </w:rPr>
      </w:pPr>
      <w:r>
        <w:rPr>
          <w:rFonts w:ascii="Arial" w:hAnsi="Arial" w:cs="Arial"/>
          <w:sz w:val="24"/>
          <w:szCs w:val="24"/>
        </w:rPr>
        <w:t>Mexico - Copper exploration</w:t>
      </w:r>
    </w:p>
    <w:p w14:paraId="31978E4A" w14:textId="77777777" w:rsidR="00130999" w:rsidRDefault="00000000">
      <w:pPr>
        <w:pStyle w:val="Paragraphedeliste"/>
        <w:numPr>
          <w:ilvl w:val="0"/>
          <w:numId w:val="1"/>
        </w:numPr>
        <w:spacing w:after="0" w:line="360" w:lineRule="auto"/>
        <w:jc w:val="both"/>
        <w:rPr>
          <w:rFonts w:ascii="Arial" w:hAnsi="Arial" w:cs="Arial"/>
          <w:sz w:val="24"/>
          <w:szCs w:val="24"/>
        </w:rPr>
      </w:pPr>
      <w:r>
        <w:rPr>
          <w:rFonts w:ascii="Arial" w:hAnsi="Arial" w:cs="Arial"/>
          <w:sz w:val="24"/>
          <w:szCs w:val="24"/>
        </w:rPr>
        <w:t>Colombia - Cerrejón Metallurgical Coal</w:t>
      </w:r>
    </w:p>
    <w:p w14:paraId="1E3A8347" w14:textId="77777777" w:rsidR="00130999" w:rsidRDefault="00000000">
      <w:pPr>
        <w:pStyle w:val="Paragraphedeliste"/>
        <w:numPr>
          <w:ilvl w:val="0"/>
          <w:numId w:val="1"/>
        </w:numPr>
        <w:spacing w:after="0" w:line="360" w:lineRule="auto"/>
        <w:jc w:val="both"/>
        <w:rPr>
          <w:rFonts w:ascii="Arial" w:hAnsi="Arial" w:cs="Arial"/>
          <w:sz w:val="24"/>
          <w:szCs w:val="24"/>
        </w:rPr>
      </w:pPr>
      <w:r>
        <w:rPr>
          <w:rFonts w:ascii="Arial" w:hAnsi="Arial" w:cs="Arial"/>
          <w:sz w:val="24"/>
          <w:szCs w:val="24"/>
        </w:rPr>
        <w:t>Trinidad and Tobago - Legacy oil and gas assets</w:t>
      </w:r>
    </w:p>
    <w:p w14:paraId="45CAFED4" w14:textId="77777777" w:rsidR="00130999" w:rsidRDefault="00130999">
      <w:pPr>
        <w:spacing w:after="0" w:line="360" w:lineRule="auto"/>
        <w:jc w:val="both"/>
        <w:rPr>
          <w:rFonts w:ascii="Arial" w:hAnsi="Arial" w:cs="Arial"/>
          <w:sz w:val="24"/>
          <w:szCs w:val="24"/>
        </w:rPr>
      </w:pPr>
    </w:p>
    <w:p w14:paraId="179EE229" w14:textId="77777777" w:rsidR="00130999" w:rsidRDefault="00000000">
      <w:pPr>
        <w:pStyle w:val="Titre1"/>
        <w:spacing w:before="0" w:after="0" w:line="360" w:lineRule="auto"/>
        <w:jc w:val="both"/>
      </w:pPr>
      <w:bookmarkStart w:id="64" w:name="_Toc235452157"/>
      <w:bookmarkStart w:id="65" w:name="_Toc235634454"/>
      <w:bookmarkStart w:id="66" w:name="_Toc235641170"/>
      <w:bookmarkStart w:id="67" w:name="_Toc235662530"/>
      <w:r>
        <w:rPr>
          <w:rFonts w:ascii="Arial" w:hAnsi="Arial" w:cs="Arial"/>
          <w:b/>
          <w:bCs/>
          <w:color w:val="auto"/>
          <w:sz w:val="24"/>
          <w:szCs w:val="24"/>
          <w:u w:val="single"/>
        </w:rPr>
        <w:t>Appendix B:</w:t>
      </w:r>
      <w:r>
        <w:rPr>
          <w:rFonts w:ascii="Arial" w:hAnsi="Arial" w:cs="Arial"/>
          <w:b/>
          <w:bCs/>
          <w:color w:val="auto"/>
          <w:sz w:val="24"/>
          <w:szCs w:val="24"/>
        </w:rPr>
        <w:t xml:space="preserve"> Commercial / Office / Trading Presence: There are sales, marketing, trading and HQ offices</w:t>
      </w:r>
      <w:bookmarkEnd w:id="64"/>
      <w:r>
        <w:rPr>
          <w:rFonts w:ascii="Arial" w:hAnsi="Arial" w:cs="Arial"/>
          <w:b/>
          <w:bCs/>
          <w:color w:val="auto"/>
          <w:sz w:val="24"/>
          <w:szCs w:val="24"/>
        </w:rPr>
        <w:t xml:space="preserve"> in 18 countries.</w:t>
      </w:r>
      <w:bookmarkEnd w:id="65"/>
      <w:bookmarkEnd w:id="66"/>
      <w:bookmarkEnd w:id="67"/>
    </w:p>
    <w:p w14:paraId="4556FBE3" w14:textId="77777777" w:rsidR="00130999" w:rsidRDefault="00000000">
      <w:pPr>
        <w:spacing w:after="0" w:line="360" w:lineRule="auto"/>
        <w:jc w:val="both"/>
        <w:rPr>
          <w:rFonts w:ascii="Arial" w:hAnsi="Arial" w:cs="Arial"/>
          <w:sz w:val="24"/>
          <w:szCs w:val="24"/>
        </w:rPr>
      </w:pPr>
      <w:r>
        <w:rPr>
          <w:rFonts w:ascii="Arial" w:hAnsi="Arial" w:cs="Arial"/>
          <w:sz w:val="24"/>
          <w:szCs w:val="24"/>
        </w:rPr>
        <w:t>United Kingdom - London HQ / Listing</w:t>
      </w:r>
    </w:p>
    <w:p w14:paraId="350A07C3" w14:textId="77777777" w:rsidR="00130999" w:rsidRDefault="00000000">
      <w:pPr>
        <w:spacing w:after="0" w:line="360" w:lineRule="auto"/>
        <w:jc w:val="both"/>
        <w:rPr>
          <w:rFonts w:ascii="Arial" w:hAnsi="Arial" w:cs="Arial"/>
          <w:sz w:val="24"/>
          <w:szCs w:val="24"/>
        </w:rPr>
      </w:pPr>
      <w:r>
        <w:rPr>
          <w:rFonts w:ascii="Arial" w:hAnsi="Arial" w:cs="Arial"/>
          <w:sz w:val="24"/>
          <w:szCs w:val="24"/>
        </w:rPr>
        <w:t>Singapore - Global marketing hub</w:t>
      </w:r>
    </w:p>
    <w:p w14:paraId="5CD88494" w14:textId="77777777" w:rsidR="00130999" w:rsidRDefault="00000000">
      <w:pPr>
        <w:spacing w:after="0" w:line="360" w:lineRule="auto"/>
        <w:jc w:val="both"/>
        <w:rPr>
          <w:rFonts w:ascii="Arial" w:hAnsi="Arial" w:cs="Arial"/>
          <w:sz w:val="24"/>
          <w:szCs w:val="24"/>
        </w:rPr>
      </w:pPr>
      <w:r>
        <w:rPr>
          <w:rFonts w:ascii="Arial" w:hAnsi="Arial" w:cs="Arial"/>
          <w:sz w:val="24"/>
          <w:szCs w:val="24"/>
        </w:rPr>
        <w:t>China - Trading office</w:t>
      </w:r>
    </w:p>
    <w:p w14:paraId="7962F934" w14:textId="77777777" w:rsidR="00130999" w:rsidRDefault="00000000">
      <w:pPr>
        <w:spacing w:after="0" w:line="360" w:lineRule="auto"/>
        <w:jc w:val="both"/>
        <w:rPr>
          <w:rFonts w:ascii="Arial" w:hAnsi="Arial" w:cs="Arial"/>
          <w:sz w:val="24"/>
          <w:szCs w:val="24"/>
        </w:rPr>
      </w:pPr>
      <w:r>
        <w:rPr>
          <w:rFonts w:ascii="Arial" w:hAnsi="Arial" w:cs="Arial"/>
          <w:sz w:val="24"/>
          <w:szCs w:val="24"/>
        </w:rPr>
        <w:t>Japan - Trading office</w:t>
      </w:r>
    </w:p>
    <w:p w14:paraId="64FF3F1E" w14:textId="77777777" w:rsidR="00130999" w:rsidRDefault="00000000">
      <w:pPr>
        <w:spacing w:after="0" w:line="360" w:lineRule="auto"/>
        <w:jc w:val="both"/>
        <w:rPr>
          <w:rFonts w:ascii="Arial" w:hAnsi="Arial" w:cs="Arial"/>
          <w:sz w:val="24"/>
          <w:szCs w:val="24"/>
        </w:rPr>
      </w:pPr>
      <w:r>
        <w:rPr>
          <w:rFonts w:ascii="Arial" w:hAnsi="Arial" w:cs="Arial"/>
          <w:sz w:val="24"/>
          <w:szCs w:val="24"/>
        </w:rPr>
        <w:t>South Korea - Trading office</w:t>
      </w:r>
    </w:p>
    <w:p w14:paraId="2F254C39" w14:textId="77777777" w:rsidR="00130999" w:rsidRDefault="00000000">
      <w:pPr>
        <w:spacing w:after="0" w:line="360" w:lineRule="auto"/>
        <w:jc w:val="both"/>
        <w:rPr>
          <w:rFonts w:ascii="Arial" w:hAnsi="Arial" w:cs="Arial"/>
          <w:sz w:val="24"/>
          <w:szCs w:val="24"/>
        </w:rPr>
      </w:pPr>
      <w:r>
        <w:rPr>
          <w:rFonts w:ascii="Arial" w:hAnsi="Arial" w:cs="Arial"/>
          <w:sz w:val="24"/>
          <w:szCs w:val="24"/>
        </w:rPr>
        <w:t>India - Trading and technology office</w:t>
      </w:r>
    </w:p>
    <w:p w14:paraId="44E9F6E1" w14:textId="77777777" w:rsidR="00130999" w:rsidRDefault="00000000">
      <w:pPr>
        <w:spacing w:after="0" w:line="360" w:lineRule="auto"/>
        <w:jc w:val="both"/>
        <w:rPr>
          <w:rFonts w:ascii="Arial" w:hAnsi="Arial" w:cs="Arial"/>
          <w:sz w:val="24"/>
          <w:szCs w:val="24"/>
        </w:rPr>
      </w:pPr>
      <w:r>
        <w:rPr>
          <w:rFonts w:ascii="Arial" w:hAnsi="Arial" w:cs="Arial"/>
          <w:sz w:val="24"/>
          <w:szCs w:val="24"/>
        </w:rPr>
        <w:t>Brazil - Commercial office</w:t>
      </w:r>
    </w:p>
    <w:p w14:paraId="5EB0FD36" w14:textId="77777777" w:rsidR="00130999" w:rsidRDefault="00000000">
      <w:pPr>
        <w:spacing w:after="0" w:line="360" w:lineRule="auto"/>
        <w:jc w:val="both"/>
        <w:rPr>
          <w:rFonts w:ascii="Arial" w:hAnsi="Arial" w:cs="Arial"/>
          <w:sz w:val="24"/>
          <w:szCs w:val="24"/>
        </w:rPr>
      </w:pPr>
      <w:r>
        <w:rPr>
          <w:rFonts w:ascii="Arial" w:hAnsi="Arial" w:cs="Arial"/>
          <w:sz w:val="24"/>
          <w:szCs w:val="24"/>
        </w:rPr>
        <w:t>South Africa - Regional office</w:t>
      </w:r>
    </w:p>
    <w:p w14:paraId="46EEFAE6" w14:textId="77777777" w:rsidR="00130999" w:rsidRDefault="00000000">
      <w:pPr>
        <w:spacing w:after="0" w:line="360" w:lineRule="auto"/>
        <w:jc w:val="both"/>
        <w:rPr>
          <w:rFonts w:ascii="Arial" w:hAnsi="Arial" w:cs="Arial"/>
          <w:sz w:val="24"/>
          <w:szCs w:val="24"/>
        </w:rPr>
      </w:pPr>
      <w:r>
        <w:rPr>
          <w:rFonts w:ascii="Arial" w:hAnsi="Arial" w:cs="Arial"/>
          <w:sz w:val="24"/>
          <w:szCs w:val="24"/>
        </w:rPr>
        <w:t>Switzerland - Marketing and finance</w:t>
      </w:r>
    </w:p>
    <w:p w14:paraId="591C342D" w14:textId="77777777" w:rsidR="00130999" w:rsidRDefault="00000000">
      <w:pPr>
        <w:spacing w:after="0" w:line="360" w:lineRule="auto"/>
        <w:jc w:val="both"/>
        <w:rPr>
          <w:rFonts w:ascii="Arial" w:hAnsi="Arial" w:cs="Arial"/>
          <w:sz w:val="24"/>
          <w:szCs w:val="24"/>
        </w:rPr>
      </w:pPr>
      <w:r>
        <w:rPr>
          <w:rFonts w:ascii="Arial" w:hAnsi="Arial" w:cs="Arial"/>
          <w:sz w:val="24"/>
          <w:szCs w:val="24"/>
        </w:rPr>
        <w:t>Netherlands - European office</w:t>
      </w:r>
    </w:p>
    <w:p w14:paraId="2A0A8E65" w14:textId="77777777" w:rsidR="00130999" w:rsidRDefault="00130999">
      <w:pPr>
        <w:spacing w:after="0" w:line="360" w:lineRule="auto"/>
        <w:jc w:val="both"/>
        <w:rPr>
          <w:rFonts w:ascii="Arial" w:hAnsi="Arial" w:cs="Arial"/>
          <w:sz w:val="24"/>
          <w:szCs w:val="24"/>
        </w:rPr>
      </w:pPr>
    </w:p>
    <w:p w14:paraId="72058FAE" w14:textId="77777777" w:rsidR="00130999" w:rsidRDefault="00130999">
      <w:pPr>
        <w:spacing w:after="0" w:line="360" w:lineRule="auto"/>
        <w:jc w:val="both"/>
        <w:rPr>
          <w:rFonts w:ascii="Arial" w:hAnsi="Arial" w:cs="Arial"/>
          <w:sz w:val="24"/>
          <w:szCs w:val="24"/>
        </w:rPr>
      </w:pPr>
    </w:p>
    <w:p w14:paraId="5A6601FE" w14:textId="77777777" w:rsidR="00130999" w:rsidRDefault="00130999">
      <w:pPr>
        <w:spacing w:after="0" w:line="360" w:lineRule="auto"/>
        <w:jc w:val="both"/>
        <w:rPr>
          <w:rFonts w:ascii="Arial" w:hAnsi="Arial" w:cs="Arial"/>
          <w:sz w:val="24"/>
          <w:szCs w:val="24"/>
        </w:rPr>
      </w:pPr>
    </w:p>
    <w:p w14:paraId="166749D0" w14:textId="77777777" w:rsidR="00130999" w:rsidRDefault="00130999">
      <w:pPr>
        <w:spacing w:after="0" w:line="360" w:lineRule="auto"/>
        <w:jc w:val="both"/>
        <w:rPr>
          <w:rFonts w:ascii="Arial" w:hAnsi="Arial" w:cs="Arial"/>
          <w:sz w:val="24"/>
          <w:szCs w:val="24"/>
        </w:rPr>
      </w:pPr>
    </w:p>
    <w:p w14:paraId="1387708E" w14:textId="77777777" w:rsidR="00130999" w:rsidRDefault="00130999">
      <w:pPr>
        <w:spacing w:after="0" w:line="360" w:lineRule="auto"/>
        <w:jc w:val="both"/>
        <w:rPr>
          <w:rFonts w:ascii="Arial" w:hAnsi="Arial" w:cs="Arial"/>
          <w:sz w:val="24"/>
          <w:szCs w:val="24"/>
        </w:rPr>
      </w:pPr>
    </w:p>
    <w:p w14:paraId="4DF5AFB5" w14:textId="77777777" w:rsidR="00130999" w:rsidRDefault="00130999">
      <w:pPr>
        <w:spacing w:after="0" w:line="360" w:lineRule="auto"/>
        <w:jc w:val="both"/>
        <w:rPr>
          <w:rFonts w:ascii="Arial" w:hAnsi="Arial" w:cs="Arial"/>
          <w:sz w:val="24"/>
          <w:szCs w:val="24"/>
        </w:rPr>
      </w:pPr>
    </w:p>
    <w:p w14:paraId="65628E77" w14:textId="77777777" w:rsidR="00130999" w:rsidRDefault="00130999">
      <w:pPr>
        <w:spacing w:after="0" w:line="360" w:lineRule="auto"/>
        <w:jc w:val="both"/>
        <w:rPr>
          <w:rFonts w:ascii="Arial" w:hAnsi="Arial" w:cs="Arial"/>
          <w:sz w:val="24"/>
          <w:szCs w:val="24"/>
        </w:rPr>
      </w:pPr>
    </w:p>
    <w:p w14:paraId="110051A9" w14:textId="77777777" w:rsidR="00130999" w:rsidRDefault="00130999">
      <w:pPr>
        <w:spacing w:after="0" w:line="360" w:lineRule="auto"/>
        <w:jc w:val="both"/>
        <w:rPr>
          <w:rFonts w:ascii="Arial" w:hAnsi="Arial" w:cs="Arial"/>
          <w:sz w:val="24"/>
          <w:szCs w:val="24"/>
        </w:rPr>
      </w:pPr>
    </w:p>
    <w:p w14:paraId="54497F7C" w14:textId="77777777" w:rsidR="00130999" w:rsidRDefault="00130999">
      <w:pPr>
        <w:spacing w:after="0" w:line="360" w:lineRule="auto"/>
        <w:jc w:val="both"/>
        <w:rPr>
          <w:rFonts w:ascii="Arial" w:hAnsi="Arial" w:cs="Arial"/>
          <w:sz w:val="24"/>
          <w:szCs w:val="24"/>
        </w:rPr>
      </w:pPr>
    </w:p>
    <w:p w14:paraId="22AC8FA4" w14:textId="77777777" w:rsidR="00130999" w:rsidRDefault="00130999">
      <w:pPr>
        <w:spacing w:after="0" w:line="360" w:lineRule="auto"/>
        <w:jc w:val="both"/>
        <w:rPr>
          <w:rFonts w:ascii="Arial" w:hAnsi="Arial" w:cs="Arial"/>
          <w:sz w:val="24"/>
          <w:szCs w:val="24"/>
        </w:rPr>
      </w:pPr>
    </w:p>
    <w:p w14:paraId="510F4704" w14:textId="77777777" w:rsidR="00130999" w:rsidRDefault="00000000">
      <w:pPr>
        <w:pStyle w:val="Titre1"/>
        <w:spacing w:line="360" w:lineRule="auto"/>
        <w:jc w:val="both"/>
      </w:pPr>
      <w:bookmarkStart w:id="68" w:name="_Toc235641171"/>
      <w:bookmarkStart w:id="69" w:name="_Toc235662531"/>
      <w:r>
        <w:rPr>
          <w:rFonts w:ascii="Arial" w:hAnsi="Arial" w:cs="Arial"/>
          <w:b/>
          <w:bCs/>
          <w:color w:val="auto"/>
          <w:sz w:val="24"/>
          <w:szCs w:val="24"/>
          <w:u w:val="single"/>
        </w:rPr>
        <w:lastRenderedPageBreak/>
        <w:t>APPENDIX C:</w:t>
      </w:r>
      <w:r>
        <w:rPr>
          <w:rFonts w:ascii="Arial" w:hAnsi="Arial" w:cs="Arial"/>
          <w:b/>
          <w:bCs/>
          <w:color w:val="auto"/>
          <w:sz w:val="24"/>
          <w:szCs w:val="24"/>
        </w:rPr>
        <w:t xml:space="preserve"> Key Climate Policies Affecting BHP</w:t>
      </w:r>
      <w:bookmarkEnd w:id="68"/>
      <w:bookmarkEnd w:id="69"/>
      <w:r>
        <w:rPr>
          <w:rFonts w:ascii="Arial" w:hAnsi="Arial" w:cs="Arial"/>
          <w:b/>
          <w:bCs/>
          <w:color w:val="auto"/>
          <w:sz w:val="24"/>
          <w:szCs w:val="24"/>
        </w:rPr>
        <w:t xml:space="preserve"> </w:t>
      </w:r>
    </w:p>
    <w:tbl>
      <w:tblPr>
        <w:tblW w:w="11300" w:type="dxa"/>
        <w:tblInd w:w="-1142" w:type="dxa"/>
        <w:tblCellMar>
          <w:left w:w="10" w:type="dxa"/>
          <w:right w:w="10" w:type="dxa"/>
        </w:tblCellMar>
        <w:tblLook w:val="0000" w:firstRow="0" w:lastRow="0" w:firstColumn="0" w:lastColumn="0" w:noHBand="0" w:noVBand="0"/>
      </w:tblPr>
      <w:tblGrid>
        <w:gridCol w:w="1880"/>
        <w:gridCol w:w="1195"/>
        <w:gridCol w:w="2560"/>
        <w:gridCol w:w="2336"/>
        <w:gridCol w:w="1403"/>
        <w:gridCol w:w="1926"/>
      </w:tblGrid>
      <w:tr w:rsidR="00130999" w14:paraId="31B229C1" w14:textId="77777777">
        <w:trPr>
          <w:trHeight w:val="576"/>
        </w:trPr>
        <w:tc>
          <w:tcPr>
            <w:tcW w:w="1880" w:type="dxa"/>
            <w:tcBorders>
              <w:top w:val="double" w:sz="12" w:space="0" w:color="000000"/>
              <w:bottom w:val="double" w:sz="12" w:space="0" w:color="000000"/>
            </w:tcBorders>
            <w:tcMar>
              <w:top w:w="0" w:type="dxa"/>
              <w:left w:w="108" w:type="dxa"/>
              <w:bottom w:w="0" w:type="dxa"/>
              <w:right w:w="108" w:type="dxa"/>
            </w:tcMar>
          </w:tcPr>
          <w:p w14:paraId="52244662" w14:textId="77777777" w:rsidR="00130999" w:rsidRDefault="00000000">
            <w:pPr>
              <w:spacing w:after="0" w:line="360" w:lineRule="auto"/>
              <w:jc w:val="both"/>
              <w:rPr>
                <w:rFonts w:ascii="Arial" w:hAnsi="Arial" w:cs="Arial"/>
                <w:b/>
                <w:bCs/>
                <w:sz w:val="24"/>
                <w:szCs w:val="24"/>
              </w:rPr>
            </w:pPr>
            <w:r>
              <w:rPr>
                <w:rFonts w:ascii="Arial" w:hAnsi="Arial" w:cs="Arial"/>
                <w:b/>
                <w:bCs/>
                <w:sz w:val="24"/>
                <w:szCs w:val="24"/>
              </w:rPr>
              <w:t xml:space="preserve">Policy </w:t>
            </w:r>
          </w:p>
        </w:tc>
        <w:tc>
          <w:tcPr>
            <w:tcW w:w="1195" w:type="dxa"/>
            <w:tcBorders>
              <w:top w:val="double" w:sz="12" w:space="0" w:color="000000"/>
              <w:bottom w:val="double" w:sz="12" w:space="0" w:color="000000"/>
            </w:tcBorders>
            <w:tcMar>
              <w:top w:w="0" w:type="dxa"/>
              <w:left w:w="108" w:type="dxa"/>
              <w:bottom w:w="0" w:type="dxa"/>
              <w:right w:w="108" w:type="dxa"/>
            </w:tcMar>
          </w:tcPr>
          <w:p w14:paraId="54AD06F3" w14:textId="77777777" w:rsidR="00130999" w:rsidRDefault="00000000">
            <w:pPr>
              <w:spacing w:after="0" w:line="360" w:lineRule="auto"/>
              <w:jc w:val="both"/>
              <w:rPr>
                <w:rFonts w:ascii="Arial" w:hAnsi="Arial" w:cs="Arial"/>
                <w:b/>
                <w:bCs/>
                <w:sz w:val="24"/>
                <w:szCs w:val="24"/>
              </w:rPr>
            </w:pPr>
            <w:r>
              <w:rPr>
                <w:rFonts w:ascii="Arial" w:hAnsi="Arial" w:cs="Arial"/>
                <w:b/>
                <w:bCs/>
                <w:sz w:val="24"/>
                <w:szCs w:val="24"/>
              </w:rPr>
              <w:t>Where</w:t>
            </w:r>
          </w:p>
        </w:tc>
        <w:tc>
          <w:tcPr>
            <w:tcW w:w="2560" w:type="dxa"/>
            <w:tcBorders>
              <w:top w:val="double" w:sz="12" w:space="0" w:color="000000"/>
              <w:bottom w:val="double" w:sz="12" w:space="0" w:color="000000"/>
            </w:tcBorders>
            <w:tcMar>
              <w:top w:w="0" w:type="dxa"/>
              <w:left w:w="108" w:type="dxa"/>
              <w:bottom w:w="0" w:type="dxa"/>
              <w:right w:w="108" w:type="dxa"/>
            </w:tcMar>
          </w:tcPr>
          <w:p w14:paraId="0CF080F5" w14:textId="77777777" w:rsidR="00130999" w:rsidRDefault="00000000">
            <w:pPr>
              <w:spacing w:after="0" w:line="360" w:lineRule="auto"/>
              <w:jc w:val="both"/>
              <w:rPr>
                <w:rFonts w:ascii="Arial" w:hAnsi="Arial" w:cs="Arial"/>
                <w:b/>
                <w:bCs/>
                <w:sz w:val="24"/>
                <w:szCs w:val="24"/>
              </w:rPr>
            </w:pPr>
            <w:r>
              <w:rPr>
                <w:rFonts w:ascii="Arial" w:hAnsi="Arial" w:cs="Arial"/>
                <w:b/>
                <w:bCs/>
                <w:sz w:val="24"/>
                <w:szCs w:val="24"/>
              </w:rPr>
              <w:t>How it works</w:t>
            </w:r>
          </w:p>
        </w:tc>
        <w:tc>
          <w:tcPr>
            <w:tcW w:w="2336" w:type="dxa"/>
            <w:tcBorders>
              <w:top w:val="double" w:sz="12" w:space="0" w:color="000000"/>
              <w:bottom w:val="double" w:sz="12" w:space="0" w:color="000000"/>
            </w:tcBorders>
            <w:tcMar>
              <w:top w:w="0" w:type="dxa"/>
              <w:left w:w="108" w:type="dxa"/>
              <w:bottom w:w="0" w:type="dxa"/>
              <w:right w:w="108" w:type="dxa"/>
            </w:tcMar>
          </w:tcPr>
          <w:p w14:paraId="018FE0F8" w14:textId="77777777" w:rsidR="00130999" w:rsidRDefault="00000000">
            <w:pPr>
              <w:spacing w:after="0" w:line="360" w:lineRule="auto"/>
              <w:jc w:val="both"/>
              <w:rPr>
                <w:rFonts w:ascii="Arial" w:hAnsi="Arial" w:cs="Arial"/>
                <w:b/>
                <w:bCs/>
                <w:sz w:val="24"/>
                <w:szCs w:val="24"/>
              </w:rPr>
            </w:pPr>
            <w:r>
              <w:rPr>
                <w:rFonts w:ascii="Arial" w:hAnsi="Arial" w:cs="Arial"/>
                <w:b/>
                <w:bCs/>
                <w:sz w:val="24"/>
                <w:szCs w:val="24"/>
              </w:rPr>
              <w:t>What it means for BHP</w:t>
            </w:r>
          </w:p>
        </w:tc>
        <w:tc>
          <w:tcPr>
            <w:tcW w:w="1403" w:type="dxa"/>
            <w:tcBorders>
              <w:top w:val="double" w:sz="12" w:space="0" w:color="000000"/>
              <w:bottom w:val="double" w:sz="12" w:space="0" w:color="000000"/>
            </w:tcBorders>
            <w:tcMar>
              <w:top w:w="0" w:type="dxa"/>
              <w:left w:w="108" w:type="dxa"/>
              <w:bottom w:w="0" w:type="dxa"/>
              <w:right w:w="108" w:type="dxa"/>
            </w:tcMar>
          </w:tcPr>
          <w:p w14:paraId="07B632C9" w14:textId="77777777" w:rsidR="00130999" w:rsidRDefault="00000000">
            <w:pPr>
              <w:spacing w:after="0" w:line="360" w:lineRule="auto"/>
              <w:jc w:val="both"/>
              <w:rPr>
                <w:rFonts w:ascii="Arial" w:hAnsi="Arial" w:cs="Arial"/>
                <w:b/>
                <w:bCs/>
                <w:sz w:val="24"/>
                <w:szCs w:val="24"/>
              </w:rPr>
            </w:pPr>
            <w:r>
              <w:rPr>
                <w:rFonts w:ascii="Arial" w:hAnsi="Arial" w:cs="Arial"/>
                <w:b/>
                <w:bCs/>
                <w:sz w:val="24"/>
                <w:szCs w:val="24"/>
              </w:rPr>
              <w:t>Timing</w:t>
            </w:r>
          </w:p>
        </w:tc>
        <w:tc>
          <w:tcPr>
            <w:tcW w:w="1926" w:type="dxa"/>
            <w:tcBorders>
              <w:top w:val="double" w:sz="12" w:space="0" w:color="000000"/>
              <w:bottom w:val="double" w:sz="12" w:space="0" w:color="000000"/>
            </w:tcBorders>
            <w:tcMar>
              <w:top w:w="0" w:type="dxa"/>
              <w:left w:w="108" w:type="dxa"/>
              <w:bottom w:w="0" w:type="dxa"/>
              <w:right w:w="108" w:type="dxa"/>
            </w:tcMar>
          </w:tcPr>
          <w:p w14:paraId="73C6EE55" w14:textId="77777777" w:rsidR="00130999" w:rsidRDefault="00000000">
            <w:pPr>
              <w:spacing w:after="0" w:line="360" w:lineRule="auto"/>
              <w:jc w:val="both"/>
              <w:rPr>
                <w:rFonts w:ascii="Arial" w:hAnsi="Arial" w:cs="Arial"/>
                <w:b/>
                <w:bCs/>
                <w:sz w:val="24"/>
                <w:szCs w:val="24"/>
              </w:rPr>
            </w:pPr>
            <w:r>
              <w:rPr>
                <w:rFonts w:ascii="Arial" w:hAnsi="Arial" w:cs="Arial"/>
                <w:b/>
                <w:bCs/>
                <w:sz w:val="24"/>
                <w:szCs w:val="24"/>
              </w:rPr>
              <w:t>Source</w:t>
            </w:r>
          </w:p>
        </w:tc>
      </w:tr>
      <w:tr w:rsidR="00130999" w14:paraId="4A51606F" w14:textId="77777777">
        <w:trPr>
          <w:trHeight w:val="2015"/>
        </w:trPr>
        <w:tc>
          <w:tcPr>
            <w:tcW w:w="1880" w:type="dxa"/>
            <w:tcBorders>
              <w:top w:val="double" w:sz="12" w:space="0" w:color="000000"/>
            </w:tcBorders>
            <w:tcMar>
              <w:top w:w="0" w:type="dxa"/>
              <w:left w:w="108" w:type="dxa"/>
              <w:bottom w:w="0" w:type="dxa"/>
              <w:right w:w="108" w:type="dxa"/>
            </w:tcMar>
          </w:tcPr>
          <w:p w14:paraId="1AF89E84" w14:textId="77777777" w:rsidR="00130999" w:rsidRDefault="00000000">
            <w:pPr>
              <w:spacing w:after="0" w:line="360" w:lineRule="auto"/>
              <w:jc w:val="both"/>
              <w:rPr>
                <w:rFonts w:ascii="Arial" w:hAnsi="Arial" w:cs="Arial"/>
                <w:sz w:val="24"/>
                <w:szCs w:val="24"/>
                <w:lang w:val="fr-FR"/>
              </w:rPr>
            </w:pPr>
            <w:r>
              <w:rPr>
                <w:rFonts w:ascii="Arial" w:hAnsi="Arial" w:cs="Arial"/>
                <w:sz w:val="24"/>
                <w:szCs w:val="24"/>
                <w:lang w:val="fr-FR"/>
              </w:rPr>
              <w:t>EU Carbon Border Tax CBAM</w:t>
            </w:r>
          </w:p>
        </w:tc>
        <w:tc>
          <w:tcPr>
            <w:tcW w:w="1195" w:type="dxa"/>
            <w:tcBorders>
              <w:top w:val="double" w:sz="12" w:space="0" w:color="000000"/>
            </w:tcBorders>
            <w:tcMar>
              <w:top w:w="0" w:type="dxa"/>
              <w:left w:w="108" w:type="dxa"/>
              <w:bottom w:w="0" w:type="dxa"/>
              <w:right w:w="108" w:type="dxa"/>
            </w:tcMar>
          </w:tcPr>
          <w:p w14:paraId="4EE5F9C8" w14:textId="77777777" w:rsidR="00130999" w:rsidRDefault="00000000">
            <w:pPr>
              <w:spacing w:after="0" w:line="360" w:lineRule="auto"/>
              <w:jc w:val="both"/>
              <w:rPr>
                <w:rFonts w:ascii="Arial" w:hAnsi="Arial" w:cs="Arial"/>
                <w:sz w:val="24"/>
                <w:szCs w:val="24"/>
                <w:lang w:val="fr-FR"/>
              </w:rPr>
            </w:pPr>
            <w:r>
              <w:rPr>
                <w:rFonts w:ascii="Arial" w:hAnsi="Arial" w:cs="Arial"/>
                <w:sz w:val="24"/>
                <w:szCs w:val="24"/>
                <w:lang w:val="fr-FR"/>
              </w:rPr>
              <w:t>EU</w:t>
            </w:r>
          </w:p>
        </w:tc>
        <w:tc>
          <w:tcPr>
            <w:tcW w:w="2560" w:type="dxa"/>
            <w:tcBorders>
              <w:top w:val="double" w:sz="12" w:space="0" w:color="000000"/>
            </w:tcBorders>
            <w:tcMar>
              <w:top w:w="0" w:type="dxa"/>
              <w:left w:w="108" w:type="dxa"/>
              <w:bottom w:w="0" w:type="dxa"/>
              <w:right w:w="108" w:type="dxa"/>
            </w:tcMar>
          </w:tcPr>
          <w:p w14:paraId="67AC409A" w14:textId="77777777" w:rsidR="00130999" w:rsidRDefault="00000000">
            <w:pPr>
              <w:spacing w:after="0" w:line="360" w:lineRule="auto"/>
              <w:jc w:val="both"/>
              <w:rPr>
                <w:rFonts w:ascii="Arial" w:hAnsi="Arial" w:cs="Arial"/>
                <w:sz w:val="24"/>
                <w:szCs w:val="24"/>
              </w:rPr>
            </w:pPr>
            <w:r>
              <w:rPr>
                <w:rFonts w:ascii="Arial" w:hAnsi="Arial" w:cs="Arial"/>
                <w:sz w:val="24"/>
                <w:szCs w:val="24"/>
              </w:rPr>
              <w:t>Carbon charge on steel, iron and aluminium imports</w:t>
            </w:r>
          </w:p>
        </w:tc>
        <w:tc>
          <w:tcPr>
            <w:tcW w:w="2336" w:type="dxa"/>
            <w:tcBorders>
              <w:top w:val="double" w:sz="12" w:space="0" w:color="000000"/>
            </w:tcBorders>
            <w:tcMar>
              <w:top w:w="0" w:type="dxa"/>
              <w:left w:w="108" w:type="dxa"/>
              <w:bottom w:w="0" w:type="dxa"/>
              <w:right w:w="108" w:type="dxa"/>
            </w:tcMar>
          </w:tcPr>
          <w:p w14:paraId="563730B5" w14:textId="77777777" w:rsidR="00130999" w:rsidRDefault="00000000">
            <w:pPr>
              <w:spacing w:after="0" w:line="360" w:lineRule="auto"/>
              <w:jc w:val="both"/>
              <w:rPr>
                <w:rFonts w:ascii="Arial" w:hAnsi="Arial" w:cs="Arial"/>
                <w:sz w:val="24"/>
                <w:szCs w:val="24"/>
              </w:rPr>
            </w:pPr>
            <w:r>
              <w:rPr>
                <w:rFonts w:ascii="Arial" w:hAnsi="Arial" w:cs="Arial"/>
                <w:sz w:val="24"/>
                <w:szCs w:val="24"/>
              </w:rPr>
              <w:t>Will likely raise costs for BHP’s iron ore sold to EU mills. Pushes BHP to offer "greener" ore</w:t>
            </w:r>
          </w:p>
        </w:tc>
        <w:tc>
          <w:tcPr>
            <w:tcW w:w="1403" w:type="dxa"/>
            <w:tcBorders>
              <w:top w:val="double" w:sz="12" w:space="0" w:color="000000"/>
            </w:tcBorders>
            <w:tcMar>
              <w:top w:w="0" w:type="dxa"/>
              <w:left w:w="108" w:type="dxa"/>
              <w:bottom w:w="0" w:type="dxa"/>
              <w:right w:w="108" w:type="dxa"/>
            </w:tcMar>
          </w:tcPr>
          <w:p w14:paraId="1E5464A6" w14:textId="77777777" w:rsidR="00130999" w:rsidRDefault="00000000">
            <w:pPr>
              <w:spacing w:after="0" w:line="360" w:lineRule="auto"/>
              <w:jc w:val="both"/>
              <w:rPr>
                <w:rFonts w:ascii="Arial" w:hAnsi="Arial" w:cs="Arial"/>
                <w:sz w:val="24"/>
                <w:szCs w:val="24"/>
              </w:rPr>
            </w:pPr>
            <w:r>
              <w:rPr>
                <w:rFonts w:ascii="Arial" w:hAnsi="Arial" w:cs="Arial"/>
                <w:sz w:val="24"/>
                <w:szCs w:val="24"/>
              </w:rPr>
              <w:t>Full cost from 2026</w:t>
            </w:r>
          </w:p>
        </w:tc>
        <w:tc>
          <w:tcPr>
            <w:tcW w:w="1926" w:type="dxa"/>
            <w:tcBorders>
              <w:top w:val="double" w:sz="12" w:space="0" w:color="000000"/>
            </w:tcBorders>
            <w:tcMar>
              <w:top w:w="0" w:type="dxa"/>
              <w:left w:w="108" w:type="dxa"/>
              <w:bottom w:w="0" w:type="dxa"/>
              <w:right w:w="108" w:type="dxa"/>
            </w:tcMar>
          </w:tcPr>
          <w:p w14:paraId="26A6066E" w14:textId="77777777" w:rsidR="00130999" w:rsidRDefault="00000000">
            <w:pPr>
              <w:spacing w:after="0" w:line="360" w:lineRule="auto"/>
              <w:jc w:val="both"/>
              <w:rPr>
                <w:rFonts w:ascii="Arial" w:hAnsi="Arial" w:cs="Arial"/>
                <w:sz w:val="24"/>
                <w:szCs w:val="24"/>
              </w:rPr>
            </w:pPr>
            <w:r>
              <w:rPr>
                <w:rFonts w:ascii="Arial" w:hAnsi="Arial" w:cs="Arial"/>
                <w:sz w:val="24"/>
                <w:szCs w:val="24"/>
              </w:rPr>
              <w:t>European Commission (2023)</w:t>
            </w:r>
          </w:p>
        </w:tc>
      </w:tr>
      <w:tr w:rsidR="00130999" w14:paraId="70EB2C42" w14:textId="77777777">
        <w:trPr>
          <w:trHeight w:val="1438"/>
        </w:trPr>
        <w:tc>
          <w:tcPr>
            <w:tcW w:w="1880" w:type="dxa"/>
            <w:tcMar>
              <w:top w:w="0" w:type="dxa"/>
              <w:left w:w="108" w:type="dxa"/>
              <w:bottom w:w="0" w:type="dxa"/>
              <w:right w:w="108" w:type="dxa"/>
            </w:tcMar>
          </w:tcPr>
          <w:p w14:paraId="2EED5E30" w14:textId="77777777" w:rsidR="00130999" w:rsidRDefault="00000000">
            <w:pPr>
              <w:spacing w:after="0" w:line="360" w:lineRule="auto"/>
              <w:jc w:val="both"/>
              <w:rPr>
                <w:rFonts w:ascii="Arial" w:hAnsi="Arial" w:cs="Arial"/>
                <w:sz w:val="24"/>
                <w:szCs w:val="24"/>
                <w:lang w:val="fr-FR"/>
              </w:rPr>
            </w:pPr>
            <w:proofErr w:type="spellStart"/>
            <w:r>
              <w:rPr>
                <w:rFonts w:ascii="Arial" w:hAnsi="Arial" w:cs="Arial"/>
                <w:sz w:val="24"/>
                <w:szCs w:val="24"/>
                <w:lang w:val="fr-FR"/>
              </w:rPr>
              <w:t>Australia</w:t>
            </w:r>
            <w:proofErr w:type="spellEnd"/>
            <w:r>
              <w:rPr>
                <w:rFonts w:ascii="Arial" w:hAnsi="Arial" w:cs="Arial"/>
                <w:sz w:val="24"/>
                <w:szCs w:val="24"/>
                <w:lang w:val="fr-FR"/>
              </w:rPr>
              <w:t xml:space="preserve"> </w:t>
            </w:r>
            <w:proofErr w:type="spellStart"/>
            <w:r>
              <w:rPr>
                <w:rFonts w:ascii="Arial" w:hAnsi="Arial" w:cs="Arial"/>
                <w:sz w:val="24"/>
                <w:szCs w:val="24"/>
                <w:lang w:val="fr-FR"/>
              </w:rPr>
              <w:t>Safeguard</w:t>
            </w:r>
            <w:proofErr w:type="spellEnd"/>
            <w:r>
              <w:rPr>
                <w:rFonts w:ascii="Arial" w:hAnsi="Arial" w:cs="Arial"/>
                <w:sz w:val="24"/>
                <w:szCs w:val="24"/>
                <w:lang w:val="fr-FR"/>
              </w:rPr>
              <w:t xml:space="preserve"> Mechanism</w:t>
            </w:r>
          </w:p>
        </w:tc>
        <w:tc>
          <w:tcPr>
            <w:tcW w:w="1195" w:type="dxa"/>
            <w:tcMar>
              <w:top w:w="0" w:type="dxa"/>
              <w:left w:w="108" w:type="dxa"/>
              <w:bottom w:w="0" w:type="dxa"/>
              <w:right w:w="108" w:type="dxa"/>
            </w:tcMar>
          </w:tcPr>
          <w:p w14:paraId="63432570" w14:textId="77777777" w:rsidR="00130999" w:rsidRDefault="00000000">
            <w:pPr>
              <w:spacing w:after="0" w:line="360" w:lineRule="auto"/>
              <w:jc w:val="both"/>
              <w:rPr>
                <w:rFonts w:ascii="Arial" w:hAnsi="Arial" w:cs="Arial"/>
                <w:sz w:val="24"/>
                <w:szCs w:val="24"/>
                <w:lang w:val="fr-FR"/>
              </w:rPr>
            </w:pPr>
            <w:proofErr w:type="spellStart"/>
            <w:r>
              <w:rPr>
                <w:rFonts w:ascii="Arial" w:hAnsi="Arial" w:cs="Arial"/>
                <w:sz w:val="24"/>
                <w:szCs w:val="24"/>
                <w:lang w:val="fr-FR"/>
              </w:rPr>
              <w:t>Australia</w:t>
            </w:r>
            <w:proofErr w:type="spellEnd"/>
          </w:p>
        </w:tc>
        <w:tc>
          <w:tcPr>
            <w:tcW w:w="2560" w:type="dxa"/>
            <w:tcMar>
              <w:top w:w="0" w:type="dxa"/>
              <w:left w:w="108" w:type="dxa"/>
              <w:bottom w:w="0" w:type="dxa"/>
              <w:right w:w="108" w:type="dxa"/>
            </w:tcMar>
          </w:tcPr>
          <w:p w14:paraId="220016E7" w14:textId="77777777" w:rsidR="00130999" w:rsidRDefault="00000000">
            <w:pPr>
              <w:spacing w:after="0" w:line="360" w:lineRule="auto"/>
              <w:jc w:val="both"/>
              <w:rPr>
                <w:rFonts w:ascii="Arial" w:hAnsi="Arial" w:cs="Arial"/>
                <w:sz w:val="24"/>
                <w:szCs w:val="24"/>
              </w:rPr>
            </w:pPr>
            <w:r>
              <w:rPr>
                <w:rFonts w:ascii="Arial" w:hAnsi="Arial" w:cs="Arial"/>
                <w:sz w:val="24"/>
                <w:szCs w:val="24"/>
              </w:rPr>
              <w:t>4.9% yearly emissions cut for big sites</w:t>
            </w:r>
          </w:p>
        </w:tc>
        <w:tc>
          <w:tcPr>
            <w:tcW w:w="2336" w:type="dxa"/>
            <w:tcMar>
              <w:top w:w="0" w:type="dxa"/>
              <w:left w:w="108" w:type="dxa"/>
              <w:bottom w:w="0" w:type="dxa"/>
              <w:right w:w="108" w:type="dxa"/>
            </w:tcMar>
          </w:tcPr>
          <w:p w14:paraId="787B4DE4" w14:textId="77777777" w:rsidR="00130999" w:rsidRDefault="00000000">
            <w:pPr>
              <w:spacing w:after="0" w:line="360" w:lineRule="auto"/>
              <w:jc w:val="both"/>
              <w:rPr>
                <w:rFonts w:ascii="Arial" w:hAnsi="Arial" w:cs="Arial"/>
                <w:sz w:val="24"/>
                <w:szCs w:val="24"/>
              </w:rPr>
            </w:pPr>
            <w:r>
              <w:rPr>
                <w:rFonts w:ascii="Arial" w:hAnsi="Arial" w:cs="Arial"/>
                <w:sz w:val="24"/>
                <w:szCs w:val="24"/>
              </w:rPr>
              <w:t>Covers 33 BHP sites. BHP must cut emissions or buy credits</w:t>
            </w:r>
          </w:p>
        </w:tc>
        <w:tc>
          <w:tcPr>
            <w:tcW w:w="1403" w:type="dxa"/>
            <w:tcMar>
              <w:top w:w="0" w:type="dxa"/>
              <w:left w:w="108" w:type="dxa"/>
              <w:bottom w:w="0" w:type="dxa"/>
              <w:right w:w="108" w:type="dxa"/>
            </w:tcMar>
          </w:tcPr>
          <w:p w14:paraId="2D6829F4" w14:textId="77777777" w:rsidR="00130999" w:rsidRDefault="00000000">
            <w:pPr>
              <w:spacing w:after="0" w:line="360" w:lineRule="auto"/>
              <w:jc w:val="both"/>
              <w:rPr>
                <w:rFonts w:ascii="Arial" w:hAnsi="Arial" w:cs="Arial"/>
                <w:sz w:val="24"/>
                <w:szCs w:val="24"/>
              </w:rPr>
            </w:pPr>
            <w:r>
              <w:rPr>
                <w:rFonts w:ascii="Arial" w:hAnsi="Arial" w:cs="Arial"/>
                <w:sz w:val="24"/>
                <w:szCs w:val="24"/>
              </w:rPr>
              <w:t>2023 to 2030</w:t>
            </w:r>
          </w:p>
        </w:tc>
        <w:tc>
          <w:tcPr>
            <w:tcW w:w="1926" w:type="dxa"/>
            <w:tcMar>
              <w:top w:w="0" w:type="dxa"/>
              <w:left w:w="108" w:type="dxa"/>
              <w:bottom w:w="0" w:type="dxa"/>
              <w:right w:w="108" w:type="dxa"/>
            </w:tcMar>
          </w:tcPr>
          <w:p w14:paraId="101E2E84" w14:textId="77777777" w:rsidR="00130999" w:rsidRDefault="00000000">
            <w:pPr>
              <w:spacing w:after="0" w:line="360" w:lineRule="auto"/>
              <w:jc w:val="both"/>
              <w:rPr>
                <w:rFonts w:ascii="Arial" w:hAnsi="Arial" w:cs="Arial"/>
                <w:sz w:val="24"/>
                <w:szCs w:val="24"/>
              </w:rPr>
            </w:pPr>
            <w:r>
              <w:rPr>
                <w:rFonts w:ascii="Arial" w:hAnsi="Arial" w:cs="Arial"/>
                <w:sz w:val="24"/>
                <w:szCs w:val="24"/>
              </w:rPr>
              <w:t>Australian Government (2023)</w:t>
            </w:r>
          </w:p>
        </w:tc>
      </w:tr>
      <w:tr w:rsidR="00130999" w14:paraId="13A8D4A5" w14:textId="77777777">
        <w:trPr>
          <w:trHeight w:val="1723"/>
        </w:trPr>
        <w:tc>
          <w:tcPr>
            <w:tcW w:w="1880" w:type="dxa"/>
            <w:tcBorders>
              <w:bottom w:val="double" w:sz="12" w:space="0" w:color="000000"/>
            </w:tcBorders>
            <w:tcMar>
              <w:top w:w="0" w:type="dxa"/>
              <w:left w:w="108" w:type="dxa"/>
              <w:bottom w:w="0" w:type="dxa"/>
              <w:right w:w="108" w:type="dxa"/>
            </w:tcMar>
          </w:tcPr>
          <w:p w14:paraId="090DC38F" w14:textId="77777777" w:rsidR="00130999" w:rsidRDefault="00000000">
            <w:pPr>
              <w:spacing w:after="0" w:line="360" w:lineRule="auto"/>
              <w:jc w:val="both"/>
              <w:rPr>
                <w:rFonts w:ascii="Arial" w:hAnsi="Arial" w:cs="Arial"/>
                <w:sz w:val="24"/>
                <w:szCs w:val="24"/>
                <w:lang w:val="fr-FR"/>
              </w:rPr>
            </w:pPr>
            <w:r>
              <w:rPr>
                <w:rFonts w:ascii="Arial" w:hAnsi="Arial" w:cs="Arial"/>
                <w:sz w:val="24"/>
                <w:szCs w:val="24"/>
                <w:lang w:val="fr-FR"/>
              </w:rPr>
              <w:t xml:space="preserve">US Inflation Reduction </w:t>
            </w:r>
            <w:proofErr w:type="spellStart"/>
            <w:r>
              <w:rPr>
                <w:rFonts w:ascii="Arial" w:hAnsi="Arial" w:cs="Arial"/>
                <w:sz w:val="24"/>
                <w:szCs w:val="24"/>
                <w:lang w:val="fr-FR"/>
              </w:rPr>
              <w:t>Act</w:t>
            </w:r>
            <w:proofErr w:type="spellEnd"/>
          </w:p>
        </w:tc>
        <w:tc>
          <w:tcPr>
            <w:tcW w:w="1195" w:type="dxa"/>
            <w:tcBorders>
              <w:bottom w:val="double" w:sz="12" w:space="0" w:color="000000"/>
            </w:tcBorders>
            <w:tcMar>
              <w:top w:w="0" w:type="dxa"/>
              <w:left w:w="108" w:type="dxa"/>
              <w:bottom w:w="0" w:type="dxa"/>
              <w:right w:w="108" w:type="dxa"/>
            </w:tcMar>
          </w:tcPr>
          <w:p w14:paraId="701407DC" w14:textId="77777777" w:rsidR="00130999" w:rsidRDefault="00000000">
            <w:pPr>
              <w:spacing w:after="0" w:line="360" w:lineRule="auto"/>
              <w:jc w:val="both"/>
              <w:rPr>
                <w:rFonts w:ascii="Arial" w:hAnsi="Arial" w:cs="Arial"/>
                <w:sz w:val="24"/>
                <w:szCs w:val="24"/>
                <w:lang w:val="fr-FR"/>
              </w:rPr>
            </w:pPr>
            <w:r>
              <w:rPr>
                <w:rFonts w:ascii="Arial" w:hAnsi="Arial" w:cs="Arial"/>
                <w:sz w:val="24"/>
                <w:szCs w:val="24"/>
                <w:lang w:val="fr-FR"/>
              </w:rPr>
              <w:t>USA</w:t>
            </w:r>
          </w:p>
        </w:tc>
        <w:tc>
          <w:tcPr>
            <w:tcW w:w="2560" w:type="dxa"/>
            <w:tcBorders>
              <w:bottom w:val="double" w:sz="12" w:space="0" w:color="000000"/>
            </w:tcBorders>
            <w:tcMar>
              <w:top w:w="0" w:type="dxa"/>
              <w:left w:w="108" w:type="dxa"/>
              <w:bottom w:w="0" w:type="dxa"/>
              <w:right w:w="108" w:type="dxa"/>
            </w:tcMar>
          </w:tcPr>
          <w:p w14:paraId="4B7E64A1" w14:textId="77777777" w:rsidR="00130999" w:rsidRDefault="00000000">
            <w:pPr>
              <w:spacing w:after="0" w:line="360" w:lineRule="auto"/>
              <w:jc w:val="both"/>
              <w:rPr>
                <w:rFonts w:ascii="Arial" w:hAnsi="Arial" w:cs="Arial"/>
                <w:sz w:val="24"/>
                <w:szCs w:val="24"/>
              </w:rPr>
            </w:pPr>
            <w:r>
              <w:rPr>
                <w:rFonts w:ascii="Arial" w:hAnsi="Arial" w:cs="Arial"/>
                <w:sz w:val="24"/>
                <w:szCs w:val="24"/>
              </w:rPr>
              <w:t>Subsidies for critical minerals in Electrics Vehicle</w:t>
            </w:r>
          </w:p>
        </w:tc>
        <w:tc>
          <w:tcPr>
            <w:tcW w:w="2336" w:type="dxa"/>
            <w:tcBorders>
              <w:bottom w:val="double" w:sz="12" w:space="0" w:color="000000"/>
            </w:tcBorders>
            <w:tcMar>
              <w:top w:w="0" w:type="dxa"/>
              <w:left w:w="108" w:type="dxa"/>
              <w:bottom w:w="0" w:type="dxa"/>
              <w:right w:w="108" w:type="dxa"/>
            </w:tcMar>
          </w:tcPr>
          <w:p w14:paraId="4AE748EF" w14:textId="77777777" w:rsidR="00130999" w:rsidRDefault="00000000">
            <w:pPr>
              <w:spacing w:after="0" w:line="360" w:lineRule="auto"/>
              <w:jc w:val="both"/>
              <w:rPr>
                <w:rFonts w:ascii="Arial" w:hAnsi="Arial" w:cs="Arial"/>
                <w:sz w:val="24"/>
                <w:szCs w:val="24"/>
              </w:rPr>
            </w:pPr>
            <w:r>
              <w:rPr>
                <w:rFonts w:ascii="Arial" w:hAnsi="Arial" w:cs="Arial"/>
                <w:sz w:val="24"/>
                <w:szCs w:val="24"/>
              </w:rPr>
              <w:t>Should increase demand for BHP nickel and copper in North America</w:t>
            </w:r>
          </w:p>
        </w:tc>
        <w:tc>
          <w:tcPr>
            <w:tcW w:w="1403" w:type="dxa"/>
            <w:tcBorders>
              <w:bottom w:val="double" w:sz="12" w:space="0" w:color="000000"/>
            </w:tcBorders>
            <w:tcMar>
              <w:top w:w="0" w:type="dxa"/>
              <w:left w:w="108" w:type="dxa"/>
              <w:bottom w:w="0" w:type="dxa"/>
              <w:right w:w="108" w:type="dxa"/>
            </w:tcMar>
          </w:tcPr>
          <w:p w14:paraId="25E5C780" w14:textId="77777777" w:rsidR="00130999" w:rsidRDefault="00000000">
            <w:pPr>
              <w:spacing w:after="0" w:line="360" w:lineRule="auto"/>
              <w:jc w:val="both"/>
              <w:rPr>
                <w:rFonts w:ascii="Arial" w:hAnsi="Arial" w:cs="Arial"/>
                <w:sz w:val="24"/>
                <w:szCs w:val="24"/>
              </w:rPr>
            </w:pPr>
            <w:r>
              <w:rPr>
                <w:rFonts w:ascii="Arial" w:hAnsi="Arial" w:cs="Arial"/>
                <w:sz w:val="24"/>
                <w:szCs w:val="24"/>
              </w:rPr>
              <w:t>2022 to 2032</w:t>
            </w:r>
          </w:p>
        </w:tc>
        <w:tc>
          <w:tcPr>
            <w:tcW w:w="1926" w:type="dxa"/>
            <w:tcBorders>
              <w:bottom w:val="double" w:sz="12" w:space="0" w:color="000000"/>
            </w:tcBorders>
            <w:tcMar>
              <w:top w:w="0" w:type="dxa"/>
              <w:left w:w="108" w:type="dxa"/>
              <w:bottom w:w="0" w:type="dxa"/>
              <w:right w:w="108" w:type="dxa"/>
            </w:tcMar>
          </w:tcPr>
          <w:p w14:paraId="7B2348B2" w14:textId="77777777" w:rsidR="00130999" w:rsidRDefault="00000000">
            <w:pPr>
              <w:spacing w:after="0" w:line="360" w:lineRule="auto"/>
              <w:jc w:val="both"/>
              <w:rPr>
                <w:rFonts w:ascii="Arial" w:hAnsi="Arial" w:cs="Arial"/>
                <w:sz w:val="24"/>
                <w:szCs w:val="24"/>
              </w:rPr>
            </w:pPr>
            <w:r>
              <w:rPr>
                <w:rFonts w:ascii="Arial" w:hAnsi="Arial" w:cs="Arial"/>
                <w:sz w:val="24"/>
                <w:szCs w:val="24"/>
              </w:rPr>
              <w:t>U.S. Department of Energy (2022)</w:t>
            </w:r>
          </w:p>
        </w:tc>
      </w:tr>
      <w:tr w:rsidR="00130999" w14:paraId="2C4B1ED9" w14:textId="77777777">
        <w:trPr>
          <w:trHeight w:val="1438"/>
        </w:trPr>
        <w:tc>
          <w:tcPr>
            <w:tcW w:w="1880" w:type="dxa"/>
            <w:tcBorders>
              <w:top w:val="double" w:sz="12" w:space="0" w:color="000000"/>
              <w:bottom w:val="double" w:sz="12" w:space="0" w:color="000000"/>
            </w:tcBorders>
            <w:tcMar>
              <w:top w:w="0" w:type="dxa"/>
              <w:left w:w="108" w:type="dxa"/>
              <w:bottom w:w="0" w:type="dxa"/>
              <w:right w:w="108" w:type="dxa"/>
            </w:tcMar>
          </w:tcPr>
          <w:p w14:paraId="4EF27AB5" w14:textId="77777777" w:rsidR="00130999" w:rsidRDefault="00000000">
            <w:pPr>
              <w:spacing w:after="0" w:line="360" w:lineRule="auto"/>
              <w:jc w:val="both"/>
              <w:rPr>
                <w:rFonts w:ascii="Arial" w:hAnsi="Arial" w:cs="Arial"/>
                <w:sz w:val="24"/>
                <w:szCs w:val="24"/>
                <w:lang w:val="fr-FR"/>
              </w:rPr>
            </w:pPr>
            <w:r>
              <w:rPr>
                <w:rFonts w:ascii="Arial" w:hAnsi="Arial" w:cs="Arial"/>
                <w:sz w:val="24"/>
                <w:szCs w:val="24"/>
                <w:lang w:val="fr-FR"/>
              </w:rPr>
              <w:t>IPCC 1.5°C Target</w:t>
            </w:r>
          </w:p>
        </w:tc>
        <w:tc>
          <w:tcPr>
            <w:tcW w:w="1195" w:type="dxa"/>
            <w:tcBorders>
              <w:top w:val="double" w:sz="12" w:space="0" w:color="000000"/>
              <w:bottom w:val="double" w:sz="12" w:space="0" w:color="000000"/>
            </w:tcBorders>
            <w:tcMar>
              <w:top w:w="0" w:type="dxa"/>
              <w:left w:w="108" w:type="dxa"/>
              <w:bottom w:w="0" w:type="dxa"/>
              <w:right w:w="108" w:type="dxa"/>
            </w:tcMar>
          </w:tcPr>
          <w:p w14:paraId="475A5782" w14:textId="77777777" w:rsidR="00130999" w:rsidRDefault="00000000">
            <w:pPr>
              <w:spacing w:after="0" w:line="360" w:lineRule="auto"/>
              <w:jc w:val="both"/>
              <w:rPr>
                <w:rFonts w:ascii="Arial" w:hAnsi="Arial" w:cs="Arial"/>
                <w:sz w:val="24"/>
                <w:szCs w:val="24"/>
                <w:lang w:val="fr-FR"/>
              </w:rPr>
            </w:pPr>
            <w:r>
              <w:rPr>
                <w:rFonts w:ascii="Arial" w:hAnsi="Arial" w:cs="Arial"/>
                <w:sz w:val="24"/>
                <w:szCs w:val="24"/>
                <w:lang w:val="fr-FR"/>
              </w:rPr>
              <w:t>Global</w:t>
            </w:r>
          </w:p>
        </w:tc>
        <w:tc>
          <w:tcPr>
            <w:tcW w:w="2560" w:type="dxa"/>
            <w:tcBorders>
              <w:top w:val="double" w:sz="12" w:space="0" w:color="000000"/>
              <w:bottom w:val="double" w:sz="12" w:space="0" w:color="000000"/>
            </w:tcBorders>
            <w:tcMar>
              <w:top w:w="0" w:type="dxa"/>
              <w:left w:w="108" w:type="dxa"/>
              <w:bottom w:w="0" w:type="dxa"/>
              <w:right w:w="108" w:type="dxa"/>
            </w:tcMar>
          </w:tcPr>
          <w:p w14:paraId="6FDBE353" w14:textId="77777777" w:rsidR="00130999" w:rsidRDefault="00000000">
            <w:pPr>
              <w:spacing w:after="0" w:line="360" w:lineRule="auto"/>
              <w:jc w:val="both"/>
              <w:rPr>
                <w:rFonts w:ascii="Arial" w:hAnsi="Arial" w:cs="Arial"/>
                <w:sz w:val="24"/>
                <w:szCs w:val="24"/>
                <w:lang w:val="fr-FR"/>
              </w:rPr>
            </w:pPr>
            <w:r>
              <w:rPr>
                <w:rFonts w:ascii="Arial" w:hAnsi="Arial" w:cs="Arial"/>
                <w:sz w:val="24"/>
                <w:szCs w:val="24"/>
                <w:lang w:val="fr-FR"/>
              </w:rPr>
              <w:t xml:space="preserve">Science benchmark : 43% </w:t>
            </w:r>
            <w:proofErr w:type="spellStart"/>
            <w:r>
              <w:rPr>
                <w:rFonts w:ascii="Arial" w:hAnsi="Arial" w:cs="Arial"/>
                <w:sz w:val="24"/>
                <w:szCs w:val="24"/>
                <w:lang w:val="fr-FR"/>
              </w:rPr>
              <w:t>cut</w:t>
            </w:r>
            <w:proofErr w:type="spellEnd"/>
            <w:r>
              <w:rPr>
                <w:rFonts w:ascii="Arial" w:hAnsi="Arial" w:cs="Arial"/>
                <w:sz w:val="24"/>
                <w:szCs w:val="24"/>
                <w:lang w:val="fr-FR"/>
              </w:rPr>
              <w:t xml:space="preserve"> by 2030</w:t>
            </w:r>
          </w:p>
        </w:tc>
        <w:tc>
          <w:tcPr>
            <w:tcW w:w="2336" w:type="dxa"/>
            <w:tcBorders>
              <w:top w:val="double" w:sz="12" w:space="0" w:color="000000"/>
              <w:bottom w:val="double" w:sz="12" w:space="0" w:color="000000"/>
            </w:tcBorders>
            <w:tcMar>
              <w:top w:w="0" w:type="dxa"/>
              <w:left w:w="108" w:type="dxa"/>
              <w:bottom w:w="0" w:type="dxa"/>
              <w:right w:w="108" w:type="dxa"/>
            </w:tcMar>
          </w:tcPr>
          <w:p w14:paraId="61ACE3D5" w14:textId="77777777" w:rsidR="00130999" w:rsidRDefault="00000000">
            <w:pPr>
              <w:spacing w:after="0" w:line="360" w:lineRule="auto"/>
              <w:jc w:val="both"/>
              <w:rPr>
                <w:rFonts w:ascii="Arial" w:hAnsi="Arial" w:cs="Arial"/>
                <w:sz w:val="24"/>
                <w:szCs w:val="24"/>
              </w:rPr>
            </w:pPr>
            <w:r>
              <w:rPr>
                <w:rFonts w:ascii="Arial" w:hAnsi="Arial" w:cs="Arial"/>
                <w:sz w:val="24"/>
                <w:szCs w:val="24"/>
              </w:rPr>
              <w:t>Investors now expect BHP capex to shift to low-carbon metals</w:t>
            </w:r>
          </w:p>
        </w:tc>
        <w:tc>
          <w:tcPr>
            <w:tcW w:w="1403" w:type="dxa"/>
            <w:tcBorders>
              <w:top w:val="double" w:sz="12" w:space="0" w:color="000000"/>
              <w:bottom w:val="double" w:sz="12" w:space="0" w:color="000000"/>
            </w:tcBorders>
            <w:tcMar>
              <w:top w:w="0" w:type="dxa"/>
              <w:left w:w="108" w:type="dxa"/>
              <w:bottom w:w="0" w:type="dxa"/>
              <w:right w:w="108" w:type="dxa"/>
            </w:tcMar>
          </w:tcPr>
          <w:p w14:paraId="40AD45CF" w14:textId="77777777" w:rsidR="00130999" w:rsidRDefault="00000000">
            <w:pPr>
              <w:spacing w:after="0" w:line="360" w:lineRule="auto"/>
              <w:jc w:val="both"/>
              <w:rPr>
                <w:rFonts w:ascii="Arial" w:hAnsi="Arial" w:cs="Arial"/>
                <w:sz w:val="24"/>
                <w:szCs w:val="24"/>
              </w:rPr>
            </w:pPr>
            <w:r>
              <w:rPr>
                <w:rFonts w:ascii="Arial" w:hAnsi="Arial" w:cs="Arial"/>
                <w:sz w:val="24"/>
                <w:szCs w:val="24"/>
              </w:rPr>
              <w:t>By 2030</w:t>
            </w:r>
          </w:p>
        </w:tc>
        <w:tc>
          <w:tcPr>
            <w:tcW w:w="1926" w:type="dxa"/>
            <w:tcBorders>
              <w:top w:val="double" w:sz="12" w:space="0" w:color="000000"/>
              <w:bottom w:val="double" w:sz="12" w:space="0" w:color="000000"/>
            </w:tcBorders>
            <w:tcMar>
              <w:top w:w="0" w:type="dxa"/>
              <w:left w:w="108" w:type="dxa"/>
              <w:bottom w:w="0" w:type="dxa"/>
              <w:right w:w="108" w:type="dxa"/>
            </w:tcMar>
          </w:tcPr>
          <w:p w14:paraId="525BF176" w14:textId="77777777" w:rsidR="00130999" w:rsidRDefault="00000000">
            <w:pPr>
              <w:spacing w:after="0" w:line="360" w:lineRule="auto"/>
              <w:jc w:val="both"/>
              <w:rPr>
                <w:rFonts w:ascii="Arial" w:hAnsi="Arial" w:cs="Arial"/>
                <w:sz w:val="24"/>
                <w:szCs w:val="24"/>
              </w:rPr>
            </w:pPr>
            <w:r>
              <w:rPr>
                <w:rFonts w:ascii="Arial" w:hAnsi="Arial" w:cs="Arial"/>
                <w:sz w:val="24"/>
                <w:szCs w:val="24"/>
              </w:rPr>
              <w:t>IPCC (2023)</w:t>
            </w:r>
          </w:p>
        </w:tc>
      </w:tr>
    </w:tbl>
    <w:p w14:paraId="58EB42A6" w14:textId="77777777" w:rsidR="00130999" w:rsidRDefault="00000000">
      <w:pPr>
        <w:spacing w:after="0" w:line="360" w:lineRule="auto"/>
        <w:jc w:val="both"/>
      </w:pPr>
      <w:r>
        <w:rPr>
          <w:rFonts w:ascii="Arial" w:hAnsi="Arial" w:cs="Arial"/>
          <w:b/>
          <w:bCs/>
          <w:sz w:val="24"/>
          <w:szCs w:val="24"/>
          <w:u w:val="single"/>
        </w:rPr>
        <w:t>Source:</w:t>
      </w:r>
      <w:r>
        <w:rPr>
          <w:rFonts w:ascii="Arial" w:hAnsi="Arial" w:cs="Arial"/>
          <w:sz w:val="24"/>
          <w:szCs w:val="24"/>
        </w:rPr>
        <w:t xml:space="preserve"> Compiled by author from European Commission (2023), Australian Government (2023), U.S. Department of Energy (2022), IPCC (2023)</w:t>
      </w:r>
    </w:p>
    <w:p w14:paraId="5468AFA6" w14:textId="77777777" w:rsidR="00130999" w:rsidRDefault="00130999">
      <w:pPr>
        <w:spacing w:after="0" w:line="360" w:lineRule="auto"/>
        <w:jc w:val="both"/>
        <w:rPr>
          <w:rFonts w:ascii="Arial" w:hAnsi="Arial" w:cs="Arial"/>
          <w:sz w:val="24"/>
          <w:szCs w:val="24"/>
        </w:rPr>
      </w:pPr>
    </w:p>
    <w:p w14:paraId="4F2748DF" w14:textId="77777777" w:rsidR="00130999" w:rsidRDefault="00130999">
      <w:pPr>
        <w:spacing w:after="0" w:line="360" w:lineRule="auto"/>
        <w:jc w:val="both"/>
        <w:rPr>
          <w:rFonts w:ascii="Arial" w:hAnsi="Arial" w:cs="Arial"/>
          <w:sz w:val="24"/>
          <w:szCs w:val="24"/>
        </w:rPr>
      </w:pPr>
    </w:p>
    <w:p w14:paraId="31237D7C" w14:textId="77777777" w:rsidR="00130999" w:rsidRDefault="00130999">
      <w:pPr>
        <w:spacing w:after="0" w:line="360" w:lineRule="auto"/>
        <w:jc w:val="both"/>
        <w:rPr>
          <w:rFonts w:ascii="Arial" w:hAnsi="Arial" w:cs="Arial"/>
          <w:sz w:val="24"/>
          <w:szCs w:val="24"/>
        </w:rPr>
      </w:pPr>
    </w:p>
    <w:p w14:paraId="3991DC28" w14:textId="77777777" w:rsidR="00130999" w:rsidRDefault="00130999">
      <w:pPr>
        <w:spacing w:after="0" w:line="360" w:lineRule="auto"/>
        <w:jc w:val="both"/>
        <w:rPr>
          <w:rFonts w:ascii="Arial" w:hAnsi="Arial" w:cs="Arial"/>
          <w:sz w:val="24"/>
          <w:szCs w:val="24"/>
        </w:rPr>
      </w:pPr>
    </w:p>
    <w:p w14:paraId="2BB7C9C4" w14:textId="77777777" w:rsidR="00130999" w:rsidRDefault="00130999">
      <w:pPr>
        <w:spacing w:after="0" w:line="360" w:lineRule="auto"/>
        <w:jc w:val="both"/>
        <w:rPr>
          <w:rFonts w:ascii="Arial" w:hAnsi="Arial" w:cs="Arial"/>
          <w:sz w:val="24"/>
          <w:szCs w:val="24"/>
        </w:rPr>
      </w:pPr>
    </w:p>
    <w:p w14:paraId="44C438DF" w14:textId="77777777" w:rsidR="00130999" w:rsidRDefault="00130999">
      <w:pPr>
        <w:spacing w:after="0" w:line="360" w:lineRule="auto"/>
        <w:jc w:val="both"/>
        <w:rPr>
          <w:rFonts w:ascii="Arial" w:hAnsi="Arial" w:cs="Arial"/>
          <w:sz w:val="24"/>
          <w:szCs w:val="24"/>
        </w:rPr>
      </w:pPr>
    </w:p>
    <w:p w14:paraId="36C6A698" w14:textId="77777777" w:rsidR="00130999" w:rsidRDefault="00130999">
      <w:pPr>
        <w:spacing w:after="0" w:line="360" w:lineRule="auto"/>
        <w:jc w:val="both"/>
        <w:rPr>
          <w:rFonts w:ascii="Arial" w:hAnsi="Arial" w:cs="Arial"/>
          <w:sz w:val="24"/>
          <w:szCs w:val="24"/>
        </w:rPr>
      </w:pPr>
    </w:p>
    <w:p w14:paraId="7DF1D80D" w14:textId="77777777" w:rsidR="00130999" w:rsidRDefault="00130999">
      <w:pPr>
        <w:spacing w:after="0" w:line="360" w:lineRule="auto"/>
        <w:jc w:val="both"/>
        <w:rPr>
          <w:rFonts w:ascii="Arial" w:hAnsi="Arial" w:cs="Arial"/>
          <w:sz w:val="24"/>
          <w:szCs w:val="24"/>
        </w:rPr>
      </w:pPr>
    </w:p>
    <w:p w14:paraId="41FA6BD3" w14:textId="77777777" w:rsidR="00130999" w:rsidRDefault="00130999">
      <w:pPr>
        <w:spacing w:after="0" w:line="360" w:lineRule="auto"/>
        <w:jc w:val="both"/>
        <w:rPr>
          <w:rFonts w:ascii="Arial" w:hAnsi="Arial" w:cs="Arial"/>
          <w:sz w:val="24"/>
          <w:szCs w:val="24"/>
        </w:rPr>
      </w:pPr>
    </w:p>
    <w:p w14:paraId="3F07564B" w14:textId="77777777" w:rsidR="00130999" w:rsidRDefault="00130999">
      <w:pPr>
        <w:spacing w:after="0" w:line="360" w:lineRule="auto"/>
        <w:jc w:val="both"/>
        <w:rPr>
          <w:rFonts w:ascii="Arial" w:hAnsi="Arial" w:cs="Arial"/>
          <w:sz w:val="24"/>
          <w:szCs w:val="24"/>
        </w:rPr>
      </w:pPr>
    </w:p>
    <w:p w14:paraId="17865084" w14:textId="77777777" w:rsidR="00130999" w:rsidRDefault="00000000">
      <w:pPr>
        <w:spacing w:after="0" w:line="360" w:lineRule="auto"/>
        <w:jc w:val="both"/>
      </w:pPr>
      <w:r>
        <w:rPr>
          <w:rFonts w:ascii="Arial" w:hAnsi="Arial" w:cs="Arial"/>
          <w:b/>
          <w:bCs/>
          <w:sz w:val="24"/>
          <w:szCs w:val="24"/>
          <w:u w:val="single"/>
        </w:rPr>
        <w:lastRenderedPageBreak/>
        <w:t>Appendix D:</w:t>
      </w:r>
      <w:r>
        <w:rPr>
          <w:rFonts w:ascii="Arial" w:hAnsi="Arial" w:cs="Arial"/>
          <w:b/>
          <w:bCs/>
          <w:sz w:val="24"/>
          <w:szCs w:val="24"/>
        </w:rPr>
        <w:t xml:space="preserve"> Ansoff's Growth Matrix applied to BHP Group</w:t>
      </w:r>
    </w:p>
    <w:tbl>
      <w:tblPr>
        <w:tblW w:w="10096" w:type="dxa"/>
        <w:tblCellMar>
          <w:left w:w="10" w:type="dxa"/>
          <w:right w:w="10" w:type="dxa"/>
        </w:tblCellMar>
        <w:tblLook w:val="0000" w:firstRow="0" w:lastRow="0" w:firstColumn="0" w:lastColumn="0" w:noHBand="0" w:noVBand="0"/>
      </w:tblPr>
      <w:tblGrid>
        <w:gridCol w:w="2534"/>
        <w:gridCol w:w="4196"/>
        <w:gridCol w:w="3366"/>
      </w:tblGrid>
      <w:tr w:rsidR="00130999" w14:paraId="0AA84E27" w14:textId="77777777">
        <w:trPr>
          <w:trHeight w:val="362"/>
        </w:trPr>
        <w:tc>
          <w:tcPr>
            <w:tcW w:w="2534" w:type="dxa"/>
            <w:tcBorders>
              <w:top w:val="double" w:sz="12" w:space="0" w:color="000000"/>
              <w:bottom w:val="double" w:sz="12" w:space="0" w:color="000000"/>
            </w:tcBorders>
            <w:tcMar>
              <w:top w:w="0" w:type="dxa"/>
              <w:left w:w="108" w:type="dxa"/>
              <w:bottom w:w="0" w:type="dxa"/>
              <w:right w:w="108" w:type="dxa"/>
            </w:tcMar>
          </w:tcPr>
          <w:p w14:paraId="16CBA68E" w14:textId="77777777" w:rsidR="00130999" w:rsidRDefault="00130999">
            <w:pPr>
              <w:spacing w:after="0"/>
              <w:jc w:val="both"/>
              <w:rPr>
                <w:rFonts w:ascii="Arial" w:hAnsi="Arial" w:cs="Arial"/>
                <w:b/>
                <w:bCs/>
                <w:sz w:val="24"/>
                <w:szCs w:val="24"/>
              </w:rPr>
            </w:pPr>
          </w:p>
        </w:tc>
        <w:tc>
          <w:tcPr>
            <w:tcW w:w="4196" w:type="dxa"/>
            <w:tcBorders>
              <w:top w:val="double" w:sz="12" w:space="0" w:color="000000"/>
              <w:bottom w:val="double" w:sz="12" w:space="0" w:color="000000"/>
            </w:tcBorders>
            <w:tcMar>
              <w:top w:w="0" w:type="dxa"/>
              <w:left w:w="108" w:type="dxa"/>
              <w:bottom w:w="0" w:type="dxa"/>
              <w:right w:w="108" w:type="dxa"/>
            </w:tcMar>
          </w:tcPr>
          <w:p w14:paraId="1DC15DD2" w14:textId="77777777" w:rsidR="00130999" w:rsidRDefault="00000000">
            <w:pPr>
              <w:spacing w:after="0"/>
              <w:jc w:val="both"/>
              <w:rPr>
                <w:rFonts w:ascii="Arial" w:hAnsi="Arial" w:cs="Arial"/>
                <w:b/>
                <w:bCs/>
                <w:sz w:val="24"/>
                <w:szCs w:val="24"/>
              </w:rPr>
            </w:pPr>
            <w:r>
              <w:rPr>
                <w:rFonts w:ascii="Arial" w:hAnsi="Arial" w:cs="Arial"/>
                <w:b/>
                <w:bCs/>
                <w:sz w:val="24"/>
                <w:szCs w:val="24"/>
              </w:rPr>
              <w:t>Existing Products</w:t>
            </w:r>
          </w:p>
        </w:tc>
        <w:tc>
          <w:tcPr>
            <w:tcW w:w="3366" w:type="dxa"/>
            <w:tcBorders>
              <w:top w:val="double" w:sz="12" w:space="0" w:color="000000"/>
              <w:bottom w:val="double" w:sz="12" w:space="0" w:color="000000"/>
            </w:tcBorders>
            <w:tcMar>
              <w:top w:w="0" w:type="dxa"/>
              <w:left w:w="108" w:type="dxa"/>
              <w:bottom w:w="0" w:type="dxa"/>
              <w:right w:w="108" w:type="dxa"/>
            </w:tcMar>
          </w:tcPr>
          <w:p w14:paraId="1E38F8AA" w14:textId="77777777" w:rsidR="00130999" w:rsidRDefault="00000000">
            <w:pPr>
              <w:spacing w:after="0"/>
              <w:jc w:val="both"/>
              <w:rPr>
                <w:rFonts w:ascii="Arial" w:hAnsi="Arial" w:cs="Arial"/>
                <w:b/>
                <w:bCs/>
                <w:sz w:val="24"/>
                <w:szCs w:val="24"/>
              </w:rPr>
            </w:pPr>
            <w:r>
              <w:rPr>
                <w:rFonts w:ascii="Arial" w:hAnsi="Arial" w:cs="Arial"/>
                <w:b/>
                <w:bCs/>
                <w:sz w:val="24"/>
                <w:szCs w:val="24"/>
              </w:rPr>
              <w:t>New Products</w:t>
            </w:r>
          </w:p>
        </w:tc>
      </w:tr>
      <w:tr w:rsidR="00130999" w14:paraId="779A8BB8" w14:textId="77777777">
        <w:trPr>
          <w:trHeight w:val="3299"/>
        </w:trPr>
        <w:tc>
          <w:tcPr>
            <w:tcW w:w="2534" w:type="dxa"/>
            <w:tcBorders>
              <w:top w:val="double" w:sz="12" w:space="0" w:color="000000"/>
            </w:tcBorders>
            <w:tcMar>
              <w:top w:w="0" w:type="dxa"/>
              <w:left w:w="108" w:type="dxa"/>
              <w:bottom w:w="0" w:type="dxa"/>
              <w:right w:w="108" w:type="dxa"/>
            </w:tcMar>
          </w:tcPr>
          <w:p w14:paraId="75CAF113" w14:textId="77777777" w:rsidR="00130999" w:rsidRDefault="00000000">
            <w:pPr>
              <w:spacing w:after="0"/>
              <w:jc w:val="both"/>
              <w:rPr>
                <w:rFonts w:ascii="Arial" w:hAnsi="Arial" w:cs="Arial"/>
                <w:sz w:val="24"/>
                <w:szCs w:val="24"/>
              </w:rPr>
            </w:pPr>
            <w:r>
              <w:rPr>
                <w:rFonts w:ascii="Arial" w:hAnsi="Arial" w:cs="Arial"/>
                <w:sz w:val="24"/>
                <w:szCs w:val="24"/>
              </w:rPr>
              <w:t>Existing Markets</w:t>
            </w:r>
          </w:p>
        </w:tc>
        <w:tc>
          <w:tcPr>
            <w:tcW w:w="4196" w:type="dxa"/>
            <w:tcBorders>
              <w:top w:val="double" w:sz="12" w:space="0" w:color="000000"/>
            </w:tcBorders>
            <w:tcMar>
              <w:top w:w="0" w:type="dxa"/>
              <w:left w:w="108" w:type="dxa"/>
              <w:bottom w:w="0" w:type="dxa"/>
              <w:right w:w="108" w:type="dxa"/>
            </w:tcMar>
          </w:tcPr>
          <w:p w14:paraId="058F6DFA" w14:textId="77777777" w:rsidR="00130999" w:rsidRDefault="00000000">
            <w:pPr>
              <w:spacing w:after="0"/>
              <w:jc w:val="both"/>
              <w:rPr>
                <w:rFonts w:ascii="Arial" w:hAnsi="Arial" w:cs="Arial"/>
                <w:sz w:val="24"/>
                <w:szCs w:val="24"/>
              </w:rPr>
            </w:pPr>
            <w:r>
              <w:rPr>
                <w:rFonts w:ascii="Arial" w:hAnsi="Arial" w:cs="Arial"/>
                <w:sz w:val="24"/>
                <w:szCs w:val="24"/>
              </w:rPr>
              <w:t>1. Market Penetration</w:t>
            </w:r>
          </w:p>
          <w:p w14:paraId="6A7ABDE6" w14:textId="77777777" w:rsidR="00130999" w:rsidRDefault="00000000">
            <w:pPr>
              <w:spacing w:after="0"/>
              <w:jc w:val="both"/>
              <w:rPr>
                <w:rFonts w:ascii="Arial" w:hAnsi="Arial" w:cs="Arial"/>
                <w:sz w:val="24"/>
                <w:szCs w:val="24"/>
              </w:rPr>
            </w:pPr>
            <w:r>
              <w:rPr>
                <w:rFonts w:ascii="Arial" w:hAnsi="Arial" w:cs="Arial"/>
                <w:sz w:val="24"/>
                <w:szCs w:val="24"/>
              </w:rPr>
              <w:t>Increase volume of copper/nickel to existing steel and Electric Vehicle customers.</w:t>
            </w:r>
          </w:p>
          <w:p w14:paraId="01D41599" w14:textId="77777777" w:rsidR="00130999" w:rsidRDefault="00000000">
            <w:pPr>
              <w:spacing w:after="0"/>
              <w:jc w:val="both"/>
              <w:rPr>
                <w:rFonts w:ascii="Arial" w:hAnsi="Arial" w:cs="Arial"/>
                <w:sz w:val="24"/>
                <w:szCs w:val="24"/>
              </w:rPr>
            </w:pPr>
            <w:r>
              <w:rPr>
                <w:rFonts w:ascii="Arial" w:hAnsi="Arial" w:cs="Arial"/>
                <w:sz w:val="24"/>
                <w:szCs w:val="24"/>
              </w:rPr>
              <w:t>Rejected: Risk of higher CBAM/SGM costs</w:t>
            </w:r>
          </w:p>
        </w:tc>
        <w:tc>
          <w:tcPr>
            <w:tcW w:w="3366" w:type="dxa"/>
            <w:tcBorders>
              <w:top w:val="double" w:sz="12" w:space="0" w:color="000000"/>
            </w:tcBorders>
            <w:tcMar>
              <w:top w:w="0" w:type="dxa"/>
              <w:left w:w="108" w:type="dxa"/>
              <w:bottom w:w="0" w:type="dxa"/>
              <w:right w:w="108" w:type="dxa"/>
            </w:tcMar>
          </w:tcPr>
          <w:p w14:paraId="404D376B" w14:textId="77777777" w:rsidR="00130999" w:rsidRDefault="00000000">
            <w:pPr>
              <w:spacing w:after="0"/>
              <w:jc w:val="both"/>
              <w:rPr>
                <w:rFonts w:ascii="Arial" w:hAnsi="Arial" w:cs="Arial"/>
                <w:sz w:val="24"/>
                <w:szCs w:val="24"/>
              </w:rPr>
            </w:pPr>
            <w:r>
              <w:rPr>
                <w:rFonts w:ascii="Arial" w:hAnsi="Arial" w:cs="Arial"/>
                <w:sz w:val="24"/>
                <w:szCs w:val="24"/>
              </w:rPr>
              <w:t>2. Product Development</w:t>
            </w:r>
          </w:p>
          <w:p w14:paraId="6D53DD7C" w14:textId="77777777" w:rsidR="00130999" w:rsidRDefault="00000000">
            <w:pPr>
              <w:spacing w:after="0"/>
              <w:jc w:val="both"/>
              <w:rPr>
                <w:rFonts w:ascii="Arial" w:hAnsi="Arial" w:cs="Arial"/>
                <w:sz w:val="24"/>
                <w:szCs w:val="24"/>
              </w:rPr>
            </w:pPr>
            <w:r>
              <w:rPr>
                <w:rFonts w:ascii="Arial" w:hAnsi="Arial" w:cs="Arial"/>
                <w:sz w:val="24"/>
                <w:szCs w:val="24"/>
              </w:rPr>
              <w:t>RECOMMENDED FOR BHP</w:t>
            </w:r>
          </w:p>
          <w:p w14:paraId="4564D82E" w14:textId="77777777" w:rsidR="00130999" w:rsidRDefault="00000000">
            <w:pPr>
              <w:spacing w:after="0"/>
              <w:jc w:val="both"/>
              <w:rPr>
                <w:rFonts w:ascii="Arial" w:hAnsi="Arial" w:cs="Arial"/>
                <w:sz w:val="24"/>
                <w:szCs w:val="24"/>
              </w:rPr>
            </w:pPr>
            <w:r>
              <w:rPr>
                <w:rFonts w:ascii="Arial" w:hAnsi="Arial" w:cs="Arial"/>
                <w:sz w:val="24"/>
                <w:szCs w:val="24"/>
              </w:rPr>
              <w:t>Launch "Future Fit Metals": certified low-carbon copper, iron ore, nickel with emissions/water passports.</w:t>
            </w:r>
          </w:p>
          <w:p w14:paraId="48C6398C" w14:textId="77777777" w:rsidR="00130999" w:rsidRDefault="00000000">
            <w:pPr>
              <w:spacing w:after="0"/>
              <w:jc w:val="both"/>
              <w:rPr>
                <w:rFonts w:ascii="Arial" w:hAnsi="Arial" w:cs="Arial"/>
                <w:sz w:val="24"/>
                <w:szCs w:val="24"/>
              </w:rPr>
            </w:pPr>
            <w:r>
              <w:rPr>
                <w:rFonts w:ascii="Arial" w:hAnsi="Arial" w:cs="Arial"/>
                <w:sz w:val="24"/>
                <w:szCs w:val="24"/>
              </w:rPr>
              <w:t>Example: Green copper pilot with BMW/Tesla, HBI with HBIS</w:t>
            </w:r>
          </w:p>
        </w:tc>
      </w:tr>
      <w:tr w:rsidR="00130999" w14:paraId="5A330F7D" w14:textId="77777777">
        <w:trPr>
          <w:trHeight w:val="2565"/>
        </w:trPr>
        <w:tc>
          <w:tcPr>
            <w:tcW w:w="2534" w:type="dxa"/>
            <w:tcBorders>
              <w:bottom w:val="double" w:sz="12" w:space="0" w:color="000000"/>
            </w:tcBorders>
            <w:tcMar>
              <w:top w:w="0" w:type="dxa"/>
              <w:left w:w="108" w:type="dxa"/>
              <w:bottom w:w="0" w:type="dxa"/>
              <w:right w:w="108" w:type="dxa"/>
            </w:tcMar>
          </w:tcPr>
          <w:p w14:paraId="7EEF0634" w14:textId="77777777" w:rsidR="00130999" w:rsidRDefault="00000000">
            <w:pPr>
              <w:spacing w:after="0"/>
              <w:jc w:val="both"/>
              <w:rPr>
                <w:rFonts w:ascii="Arial" w:hAnsi="Arial" w:cs="Arial"/>
                <w:sz w:val="24"/>
                <w:szCs w:val="24"/>
              </w:rPr>
            </w:pPr>
            <w:r>
              <w:rPr>
                <w:rFonts w:ascii="Arial" w:hAnsi="Arial" w:cs="Arial"/>
                <w:sz w:val="24"/>
                <w:szCs w:val="24"/>
              </w:rPr>
              <w:t>New Markets</w:t>
            </w:r>
          </w:p>
        </w:tc>
        <w:tc>
          <w:tcPr>
            <w:tcW w:w="4196" w:type="dxa"/>
            <w:tcBorders>
              <w:bottom w:val="double" w:sz="12" w:space="0" w:color="000000"/>
            </w:tcBorders>
            <w:tcMar>
              <w:top w:w="0" w:type="dxa"/>
              <w:left w:w="108" w:type="dxa"/>
              <w:bottom w:w="0" w:type="dxa"/>
              <w:right w:w="108" w:type="dxa"/>
            </w:tcMar>
          </w:tcPr>
          <w:p w14:paraId="32CDFC8A" w14:textId="77777777" w:rsidR="00130999" w:rsidRDefault="00000000">
            <w:pPr>
              <w:spacing w:after="0"/>
              <w:jc w:val="both"/>
              <w:rPr>
                <w:rFonts w:ascii="Arial" w:hAnsi="Arial" w:cs="Arial"/>
                <w:sz w:val="24"/>
                <w:szCs w:val="24"/>
              </w:rPr>
            </w:pPr>
            <w:r>
              <w:rPr>
                <w:rFonts w:ascii="Arial" w:hAnsi="Arial" w:cs="Arial"/>
                <w:sz w:val="24"/>
                <w:szCs w:val="24"/>
              </w:rPr>
              <w:t>3. Market Development</w:t>
            </w:r>
          </w:p>
          <w:p w14:paraId="235E1985" w14:textId="77777777" w:rsidR="00130999" w:rsidRDefault="00000000">
            <w:pPr>
              <w:spacing w:after="0"/>
              <w:jc w:val="both"/>
              <w:rPr>
                <w:rFonts w:ascii="Arial" w:hAnsi="Arial" w:cs="Arial"/>
                <w:sz w:val="24"/>
                <w:szCs w:val="24"/>
              </w:rPr>
            </w:pPr>
            <w:r>
              <w:rPr>
                <w:rFonts w:ascii="Arial" w:hAnsi="Arial" w:cs="Arial"/>
                <w:sz w:val="24"/>
                <w:szCs w:val="24"/>
              </w:rPr>
              <w:t>Sell existing high-carbon ore to new geographic markets.</w:t>
            </w:r>
          </w:p>
          <w:p w14:paraId="6C05BF8E" w14:textId="77777777" w:rsidR="00130999" w:rsidRDefault="00000000">
            <w:pPr>
              <w:spacing w:after="0"/>
              <w:jc w:val="both"/>
              <w:rPr>
                <w:rFonts w:ascii="Arial" w:hAnsi="Arial" w:cs="Arial"/>
                <w:sz w:val="24"/>
                <w:szCs w:val="24"/>
              </w:rPr>
            </w:pPr>
            <w:r>
              <w:rPr>
                <w:rFonts w:ascii="Arial" w:hAnsi="Arial" w:cs="Arial"/>
                <w:sz w:val="24"/>
                <w:szCs w:val="24"/>
              </w:rPr>
              <w:t>Rejected: Scope 3 reporting is becoming global</w:t>
            </w:r>
          </w:p>
        </w:tc>
        <w:tc>
          <w:tcPr>
            <w:tcW w:w="3366" w:type="dxa"/>
            <w:tcBorders>
              <w:bottom w:val="double" w:sz="12" w:space="0" w:color="000000"/>
            </w:tcBorders>
            <w:tcMar>
              <w:top w:w="0" w:type="dxa"/>
              <w:left w:w="108" w:type="dxa"/>
              <w:bottom w:w="0" w:type="dxa"/>
              <w:right w:w="108" w:type="dxa"/>
            </w:tcMar>
          </w:tcPr>
          <w:p w14:paraId="3392AC4A" w14:textId="77777777" w:rsidR="00130999" w:rsidRDefault="00000000">
            <w:pPr>
              <w:spacing w:after="0"/>
              <w:jc w:val="both"/>
              <w:rPr>
                <w:rFonts w:ascii="Arial" w:hAnsi="Arial" w:cs="Arial"/>
                <w:sz w:val="24"/>
                <w:szCs w:val="24"/>
              </w:rPr>
            </w:pPr>
            <w:r>
              <w:rPr>
                <w:rFonts w:ascii="Arial" w:hAnsi="Arial" w:cs="Arial"/>
                <w:sz w:val="24"/>
                <w:szCs w:val="24"/>
              </w:rPr>
              <w:t>4. Diversification</w:t>
            </w:r>
          </w:p>
          <w:p w14:paraId="1CE8568C" w14:textId="77777777" w:rsidR="00130999" w:rsidRDefault="00000000">
            <w:pPr>
              <w:spacing w:after="0"/>
              <w:jc w:val="both"/>
              <w:rPr>
                <w:rFonts w:ascii="Arial" w:hAnsi="Arial" w:cs="Arial"/>
                <w:sz w:val="24"/>
                <w:szCs w:val="24"/>
              </w:rPr>
            </w:pPr>
            <w:r>
              <w:rPr>
                <w:rFonts w:ascii="Arial" w:hAnsi="Arial" w:cs="Arial"/>
                <w:sz w:val="24"/>
                <w:szCs w:val="24"/>
              </w:rPr>
              <w:t>Enter battery manufacturing or renewable energy.</w:t>
            </w:r>
          </w:p>
          <w:p w14:paraId="184CED29" w14:textId="77777777" w:rsidR="00130999" w:rsidRDefault="00000000">
            <w:pPr>
              <w:spacing w:after="0"/>
              <w:jc w:val="both"/>
              <w:rPr>
                <w:rFonts w:ascii="Arial" w:hAnsi="Arial" w:cs="Arial"/>
                <w:sz w:val="24"/>
                <w:szCs w:val="24"/>
              </w:rPr>
            </w:pPr>
            <w:r>
              <w:rPr>
                <w:rFonts w:ascii="Arial" w:hAnsi="Arial" w:cs="Arial"/>
                <w:sz w:val="24"/>
                <w:szCs w:val="24"/>
              </w:rPr>
              <w:t>Rejected: Diverts from core mining, high risk, stretches capabilities</w:t>
            </w:r>
          </w:p>
        </w:tc>
      </w:tr>
    </w:tbl>
    <w:p w14:paraId="73E62731" w14:textId="77777777" w:rsidR="00130999" w:rsidRDefault="00130999">
      <w:pPr>
        <w:spacing w:after="0" w:line="360" w:lineRule="auto"/>
        <w:jc w:val="both"/>
        <w:rPr>
          <w:rFonts w:ascii="Arial" w:hAnsi="Arial" w:cs="Arial"/>
          <w:sz w:val="24"/>
          <w:szCs w:val="24"/>
        </w:rPr>
      </w:pPr>
    </w:p>
    <w:p w14:paraId="5F7A7B82" w14:textId="77777777" w:rsidR="00130999" w:rsidRDefault="00130999">
      <w:pPr>
        <w:spacing w:after="0" w:line="360" w:lineRule="auto"/>
        <w:jc w:val="both"/>
        <w:rPr>
          <w:rFonts w:ascii="Arial" w:hAnsi="Arial" w:cs="Arial"/>
          <w:sz w:val="24"/>
          <w:szCs w:val="24"/>
        </w:rPr>
      </w:pPr>
    </w:p>
    <w:p w14:paraId="78E11C0A" w14:textId="77777777" w:rsidR="00130999" w:rsidRDefault="00000000">
      <w:pPr>
        <w:spacing w:after="0" w:line="360" w:lineRule="auto"/>
        <w:jc w:val="both"/>
      </w:pPr>
      <w:r>
        <w:rPr>
          <w:rFonts w:ascii="Arial" w:hAnsi="Arial" w:cs="Arial"/>
          <w:b/>
          <w:bCs/>
          <w:sz w:val="24"/>
          <w:szCs w:val="24"/>
          <w:u w:val="single"/>
        </w:rPr>
        <w:t>Source:</w:t>
      </w:r>
      <w:r>
        <w:rPr>
          <w:rFonts w:ascii="Arial" w:hAnsi="Arial" w:cs="Arial"/>
          <w:sz w:val="24"/>
          <w:szCs w:val="24"/>
        </w:rPr>
        <w:t xml:space="preserve"> Adapted from Ansoff, H.I. (2018). Corporate Strategy.</w:t>
      </w:r>
    </w:p>
    <w:p w14:paraId="6EFDA876" w14:textId="77777777" w:rsidR="00130999" w:rsidRDefault="00130999">
      <w:pPr>
        <w:spacing w:after="0" w:line="360" w:lineRule="auto"/>
        <w:jc w:val="both"/>
        <w:rPr>
          <w:rFonts w:ascii="Arial" w:hAnsi="Arial" w:cs="Arial"/>
          <w:sz w:val="24"/>
          <w:szCs w:val="24"/>
        </w:rPr>
      </w:pPr>
    </w:p>
    <w:p w14:paraId="1434A863" w14:textId="77777777" w:rsidR="00130999" w:rsidRDefault="00130999">
      <w:pPr>
        <w:spacing w:after="0" w:line="360" w:lineRule="auto"/>
        <w:jc w:val="both"/>
      </w:pPr>
    </w:p>
    <w:sectPr w:rsidR="00130999">
      <w:headerReference w:type="default" r:id="rId18"/>
      <w:footerReference w:type="default" r:id="rId19"/>
      <w:pgSz w:w="11906" w:h="16838"/>
      <w:pgMar w:top="1440" w:right="1440" w:bottom="1440" w:left="1440" w:header="720" w:footer="720" w:gutter="0"/>
      <w:pgNumType w:fmt="upperRoman"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58168" w14:textId="77777777" w:rsidR="00525EAC" w:rsidRDefault="00525EAC">
      <w:pPr>
        <w:spacing w:after="0"/>
      </w:pPr>
      <w:r>
        <w:separator/>
      </w:r>
    </w:p>
  </w:endnote>
  <w:endnote w:type="continuationSeparator" w:id="0">
    <w:p w14:paraId="7FD78F32" w14:textId="77777777" w:rsidR="00525EAC" w:rsidRDefault="00525E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D8171" w14:textId="77777777" w:rsidR="007E0E98" w:rsidRDefault="00000000">
    <w:pPr>
      <w:pStyle w:val="Pieddepage"/>
      <w:jc w:val="right"/>
    </w:pPr>
    <w:r>
      <w:rPr>
        <w:lang w:val="fr-FR"/>
      </w:rPr>
      <w:fldChar w:fldCharType="begin"/>
    </w:r>
    <w:r>
      <w:rPr>
        <w:lang w:val="fr-FR"/>
      </w:rPr>
      <w:instrText xml:space="preserve"> PAGE </w:instrText>
    </w:r>
    <w:r>
      <w:rPr>
        <w:lang w:val="fr-FR"/>
      </w:rPr>
      <w:fldChar w:fldCharType="separate"/>
    </w:r>
    <w:r>
      <w:rPr>
        <w:lang w:val="fr-FR"/>
      </w:rPr>
      <w:t>2</w:t>
    </w:r>
    <w:r>
      <w:rPr>
        <w:lang w:val="fr-FR"/>
      </w:rPr>
      <w:fldChar w:fldCharType="end"/>
    </w:r>
  </w:p>
  <w:p w14:paraId="0D7BA8E4" w14:textId="77777777" w:rsidR="007E0E98" w:rsidRDefault="007E0E9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72098" w14:textId="77777777" w:rsidR="007E0E98" w:rsidRDefault="00000000">
    <w:pPr>
      <w:pStyle w:val="Pieddepage"/>
      <w:jc w:val="right"/>
    </w:pPr>
    <w:r>
      <w:rPr>
        <w:lang w:val="fr-FR"/>
      </w:rPr>
      <w:fldChar w:fldCharType="begin"/>
    </w:r>
    <w:r>
      <w:rPr>
        <w:lang w:val="fr-FR"/>
      </w:rPr>
      <w:instrText xml:space="preserve"> PAGE </w:instrText>
    </w:r>
    <w:r>
      <w:rPr>
        <w:lang w:val="fr-FR"/>
      </w:rPr>
      <w:fldChar w:fldCharType="separate"/>
    </w:r>
    <w:r>
      <w:rPr>
        <w:lang w:val="fr-FR"/>
      </w:rPr>
      <w:t>2</w:t>
    </w:r>
    <w:r>
      <w:rPr>
        <w:lang w:val="fr-FR"/>
      </w:rPr>
      <w:fldChar w:fldCharType="end"/>
    </w:r>
  </w:p>
  <w:p w14:paraId="1B9A6D58" w14:textId="77777777" w:rsidR="007E0E98" w:rsidRDefault="007E0E9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A486E" w14:textId="77777777" w:rsidR="007E0E98" w:rsidRDefault="00000000">
    <w:pPr>
      <w:pStyle w:val="Pieddepage"/>
      <w:jc w:val="right"/>
    </w:pPr>
    <w:r>
      <w:rPr>
        <w:lang w:val="fr-FR"/>
      </w:rPr>
      <w:fldChar w:fldCharType="begin"/>
    </w:r>
    <w:r>
      <w:rPr>
        <w:lang w:val="fr-FR"/>
      </w:rPr>
      <w:instrText xml:space="preserve"> PAGE </w:instrText>
    </w:r>
    <w:r>
      <w:rPr>
        <w:lang w:val="fr-FR"/>
      </w:rPr>
      <w:fldChar w:fldCharType="separate"/>
    </w:r>
    <w:r>
      <w:rPr>
        <w:lang w:val="fr-FR"/>
      </w:rPr>
      <w:t>2</w:t>
    </w:r>
    <w:r>
      <w:rPr>
        <w:lang w:val="fr-FR"/>
      </w:rPr>
      <w:fldChar w:fldCharType="end"/>
    </w:r>
  </w:p>
  <w:p w14:paraId="6B795855" w14:textId="77777777" w:rsidR="007E0E98" w:rsidRDefault="007E0E98">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9AD59" w14:textId="77777777" w:rsidR="007E0E98" w:rsidRDefault="00000000">
    <w:pPr>
      <w:pStyle w:val="Pieddepage"/>
      <w:jc w:val="right"/>
    </w:pPr>
    <w:r>
      <w:rPr>
        <w:lang w:val="fr-FR"/>
      </w:rPr>
      <w:fldChar w:fldCharType="begin"/>
    </w:r>
    <w:r>
      <w:rPr>
        <w:lang w:val="fr-FR"/>
      </w:rPr>
      <w:instrText xml:space="preserve"> PAGE </w:instrText>
    </w:r>
    <w:r>
      <w:rPr>
        <w:lang w:val="fr-FR"/>
      </w:rPr>
      <w:fldChar w:fldCharType="separate"/>
    </w:r>
    <w:r>
      <w:rPr>
        <w:lang w:val="fr-FR"/>
      </w:rPr>
      <w:t>2</w:t>
    </w:r>
    <w:r>
      <w:rPr>
        <w:lang w:val="fr-FR"/>
      </w:rPr>
      <w:fldChar w:fldCharType="end"/>
    </w:r>
  </w:p>
  <w:p w14:paraId="426BEAFA" w14:textId="77777777" w:rsidR="007E0E98" w:rsidRDefault="007E0E98">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67258" w14:textId="77777777" w:rsidR="007E0E98" w:rsidRDefault="00000000">
    <w:pPr>
      <w:pStyle w:val="Pieddepage"/>
      <w:jc w:val="right"/>
    </w:pPr>
    <w:r>
      <w:rPr>
        <w:lang w:val="fr-FR"/>
      </w:rPr>
      <w:fldChar w:fldCharType="begin"/>
    </w:r>
    <w:r>
      <w:rPr>
        <w:lang w:val="fr-FR"/>
      </w:rPr>
      <w:instrText xml:space="preserve"> PAGE </w:instrText>
    </w:r>
    <w:r>
      <w:rPr>
        <w:lang w:val="fr-FR"/>
      </w:rPr>
      <w:fldChar w:fldCharType="separate"/>
    </w:r>
    <w:r>
      <w:rPr>
        <w:lang w:val="fr-FR"/>
      </w:rPr>
      <w:t>2</w:t>
    </w:r>
    <w:r>
      <w:rPr>
        <w:lang w:val="fr-FR"/>
      </w:rPr>
      <w:fldChar w:fldCharType="end"/>
    </w:r>
  </w:p>
  <w:p w14:paraId="158D9DC5" w14:textId="77777777" w:rsidR="007E0E98" w:rsidRDefault="007E0E9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A4E25" w14:textId="77777777" w:rsidR="00525EAC" w:rsidRDefault="00525EAC">
      <w:pPr>
        <w:spacing w:after="0"/>
      </w:pPr>
      <w:r>
        <w:rPr>
          <w:color w:val="000000"/>
        </w:rPr>
        <w:separator/>
      </w:r>
    </w:p>
  </w:footnote>
  <w:footnote w:type="continuationSeparator" w:id="0">
    <w:p w14:paraId="7E01953A" w14:textId="77777777" w:rsidR="00525EAC" w:rsidRDefault="00525EA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FAC85" w14:textId="77777777" w:rsidR="007E0E98" w:rsidRDefault="007E0E98">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EE9C6" w14:textId="77777777" w:rsidR="007E0E98" w:rsidRDefault="007E0E98">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4DAA6" w14:textId="77777777" w:rsidR="007E0E98" w:rsidRDefault="007E0E98">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8A17C" w14:textId="77777777" w:rsidR="007E0E98" w:rsidRDefault="007E0E9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51C96"/>
    <w:multiLevelType w:val="multilevel"/>
    <w:tmpl w:val="B86A3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47005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999"/>
    <w:rsid w:val="00130999"/>
    <w:rsid w:val="001D1BD4"/>
    <w:rsid w:val="003378EA"/>
    <w:rsid w:val="00525EAC"/>
    <w:rsid w:val="007E0E98"/>
    <w:rsid w:val="00D723DB"/>
    <w:rsid w:val="00F34115"/>
    <w:rsid w:val="00F51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15246"/>
  <w15:docId w15:val="{8703A271-762F-49A9-8B69-43E9372DB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itre1">
    <w:name w:val="heading 1"/>
    <w:basedOn w:val="Normal"/>
    <w:next w:val="Normal"/>
    <w:uiPriority w:val="9"/>
    <w:qFormat/>
    <w:pPr>
      <w:keepNext/>
      <w:keepLines/>
      <w:spacing w:before="360" w:after="80"/>
      <w:outlineLvl w:val="0"/>
    </w:pPr>
    <w:rPr>
      <w:rFonts w:ascii="Calibri Light" w:eastAsia="Times New Roman" w:hAnsi="Calibri Light"/>
      <w:color w:val="2F5496"/>
      <w:sz w:val="40"/>
      <w:szCs w:val="40"/>
    </w:rPr>
  </w:style>
  <w:style w:type="paragraph" w:styleId="Titre2">
    <w:name w:val="heading 2"/>
    <w:basedOn w:val="Normal"/>
    <w:next w:val="Normal"/>
    <w:uiPriority w:val="9"/>
    <w:unhideWhenUsed/>
    <w:qFormat/>
    <w:pPr>
      <w:keepNext/>
      <w:keepLines/>
      <w:spacing w:before="160" w:after="80"/>
      <w:outlineLvl w:val="1"/>
    </w:pPr>
    <w:rPr>
      <w:rFonts w:ascii="Calibri Light" w:eastAsia="Times New Roman" w:hAnsi="Calibri Light"/>
      <w:color w:val="2F5496"/>
      <w:sz w:val="32"/>
      <w:szCs w:val="32"/>
    </w:rPr>
  </w:style>
  <w:style w:type="paragraph" w:styleId="Titre3">
    <w:name w:val="heading 3"/>
    <w:basedOn w:val="Normal"/>
    <w:next w:val="Normal"/>
    <w:uiPriority w:val="9"/>
    <w:semiHidden/>
    <w:unhideWhenUsed/>
    <w:qFormat/>
    <w:pPr>
      <w:keepNext/>
      <w:keepLines/>
      <w:spacing w:before="160" w:after="80"/>
      <w:outlineLvl w:val="2"/>
    </w:pPr>
    <w:rPr>
      <w:rFonts w:eastAsia="Times New Roman"/>
      <w:color w:val="2F5496"/>
      <w:sz w:val="28"/>
      <w:szCs w:val="28"/>
    </w:rPr>
  </w:style>
  <w:style w:type="paragraph" w:styleId="Titre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Titre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Titre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itre7">
    <w:name w:val="heading 7"/>
    <w:basedOn w:val="Normal"/>
    <w:next w:val="Normal"/>
    <w:pPr>
      <w:keepNext/>
      <w:keepLines/>
      <w:spacing w:before="40" w:after="0"/>
      <w:outlineLvl w:val="6"/>
    </w:pPr>
    <w:rPr>
      <w:rFonts w:eastAsia="Times New Roman"/>
      <w:color w:val="595959"/>
    </w:rPr>
  </w:style>
  <w:style w:type="paragraph" w:styleId="Titre8">
    <w:name w:val="heading 8"/>
    <w:basedOn w:val="Normal"/>
    <w:next w:val="Normal"/>
    <w:pPr>
      <w:keepNext/>
      <w:keepLines/>
      <w:spacing w:after="0"/>
      <w:outlineLvl w:val="7"/>
    </w:pPr>
    <w:rPr>
      <w:rFonts w:eastAsia="Times New Roman"/>
      <w:i/>
      <w:iCs/>
      <w:color w:val="272727"/>
    </w:rPr>
  </w:style>
  <w:style w:type="paragraph" w:styleId="Titre9">
    <w:name w:val="heading 9"/>
    <w:basedOn w:val="Normal"/>
    <w:next w:val="Normal"/>
    <w:pPr>
      <w:keepNext/>
      <w:keepLines/>
      <w:spacing w:after="0"/>
      <w:outlineLvl w:val="8"/>
    </w:pPr>
    <w:rPr>
      <w:rFonts w:eastAsia="Times New Roman"/>
      <w:color w:val="27272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rPr>
      <w:rFonts w:ascii="Calibri Light" w:eastAsia="Times New Roman" w:hAnsi="Calibri Light" w:cs="Times New Roman"/>
      <w:color w:val="2F5496"/>
      <w:sz w:val="40"/>
      <w:szCs w:val="40"/>
    </w:rPr>
  </w:style>
  <w:style w:type="character" w:customStyle="1" w:styleId="Titre2Car">
    <w:name w:val="Titre 2 Car"/>
    <w:basedOn w:val="Policepardfaut"/>
    <w:rPr>
      <w:rFonts w:ascii="Calibri Light" w:eastAsia="Times New Roman" w:hAnsi="Calibri Light" w:cs="Times New Roman"/>
      <w:color w:val="2F5496"/>
      <w:sz w:val="32"/>
      <w:szCs w:val="32"/>
    </w:rPr>
  </w:style>
  <w:style w:type="character" w:customStyle="1" w:styleId="Titre3Car">
    <w:name w:val="Titre 3 Car"/>
    <w:basedOn w:val="Policepardfaut"/>
    <w:rPr>
      <w:rFonts w:eastAsia="Times New Roman" w:cs="Times New Roman"/>
      <w:color w:val="2F5496"/>
      <w:sz w:val="28"/>
      <w:szCs w:val="28"/>
    </w:rPr>
  </w:style>
  <w:style w:type="character" w:customStyle="1" w:styleId="Titre4Car">
    <w:name w:val="Titre 4 Car"/>
    <w:basedOn w:val="Policepardfaut"/>
    <w:rPr>
      <w:rFonts w:eastAsia="Times New Roman" w:cs="Times New Roman"/>
      <w:i/>
      <w:iCs/>
      <w:color w:val="2F5496"/>
    </w:rPr>
  </w:style>
  <w:style w:type="character" w:customStyle="1" w:styleId="Titre5Car">
    <w:name w:val="Titre 5 Car"/>
    <w:basedOn w:val="Policepardfaut"/>
    <w:rPr>
      <w:rFonts w:eastAsia="Times New Roman" w:cs="Times New Roman"/>
      <w:color w:val="2F5496"/>
    </w:rPr>
  </w:style>
  <w:style w:type="character" w:customStyle="1" w:styleId="Titre6Car">
    <w:name w:val="Titre 6 Car"/>
    <w:basedOn w:val="Policepardfaut"/>
    <w:rPr>
      <w:rFonts w:eastAsia="Times New Roman" w:cs="Times New Roman"/>
      <w:i/>
      <w:iCs/>
      <w:color w:val="595959"/>
    </w:rPr>
  </w:style>
  <w:style w:type="character" w:customStyle="1" w:styleId="Titre7Car">
    <w:name w:val="Titre 7 Car"/>
    <w:basedOn w:val="Policepardfaut"/>
    <w:rPr>
      <w:rFonts w:eastAsia="Times New Roman" w:cs="Times New Roman"/>
      <w:color w:val="595959"/>
    </w:rPr>
  </w:style>
  <w:style w:type="character" w:customStyle="1" w:styleId="Titre8Car">
    <w:name w:val="Titre 8 Car"/>
    <w:basedOn w:val="Policepardfaut"/>
    <w:rPr>
      <w:rFonts w:eastAsia="Times New Roman" w:cs="Times New Roman"/>
      <w:i/>
      <w:iCs/>
      <w:color w:val="272727"/>
    </w:rPr>
  </w:style>
  <w:style w:type="character" w:customStyle="1" w:styleId="Titre9Car">
    <w:name w:val="Titre 9 Car"/>
    <w:basedOn w:val="Policepardfaut"/>
    <w:rPr>
      <w:rFonts w:eastAsia="Times New Roman" w:cs="Times New Roman"/>
      <w:color w:val="272727"/>
    </w:rPr>
  </w:style>
  <w:style w:type="paragraph" w:styleId="Titre">
    <w:name w:val="Title"/>
    <w:basedOn w:val="Normal"/>
    <w:next w:val="Normal"/>
    <w:uiPriority w:val="10"/>
    <w:qFormat/>
    <w:pPr>
      <w:spacing w:after="80"/>
    </w:pPr>
    <w:rPr>
      <w:rFonts w:ascii="Calibri Light" w:eastAsia="Times New Roman" w:hAnsi="Calibri Light"/>
      <w:spacing w:val="-10"/>
      <w:sz w:val="56"/>
      <w:szCs w:val="56"/>
    </w:rPr>
  </w:style>
  <w:style w:type="character" w:customStyle="1" w:styleId="TitreCar">
    <w:name w:val="Titre Car"/>
    <w:basedOn w:val="Policepardfaut"/>
    <w:rPr>
      <w:rFonts w:ascii="Calibri Light" w:eastAsia="Times New Roman" w:hAnsi="Calibri Light" w:cs="Times New Roman"/>
      <w:spacing w:val="-10"/>
      <w:kern w:val="3"/>
      <w:sz w:val="56"/>
      <w:szCs w:val="56"/>
    </w:rPr>
  </w:style>
  <w:style w:type="paragraph" w:styleId="Sous-titre">
    <w:name w:val="Subtitle"/>
    <w:basedOn w:val="Normal"/>
    <w:next w:val="Normal"/>
    <w:uiPriority w:val="11"/>
    <w:qFormat/>
    <w:rPr>
      <w:rFonts w:eastAsia="Times New Roman"/>
      <w:color w:val="595959"/>
      <w:spacing w:val="15"/>
      <w:sz w:val="28"/>
      <w:szCs w:val="28"/>
    </w:rPr>
  </w:style>
  <w:style w:type="character" w:customStyle="1" w:styleId="Sous-titreCar">
    <w:name w:val="Sous-titre Car"/>
    <w:basedOn w:val="Policepardfaut"/>
    <w:rPr>
      <w:rFonts w:eastAsia="Times New Roman" w:cs="Times New Roman"/>
      <w:color w:val="595959"/>
      <w:spacing w:val="15"/>
      <w:sz w:val="28"/>
      <w:szCs w:val="28"/>
    </w:rPr>
  </w:style>
  <w:style w:type="paragraph" w:styleId="Citation">
    <w:name w:val="Quote"/>
    <w:basedOn w:val="Normal"/>
    <w:next w:val="Normal"/>
    <w:pPr>
      <w:spacing w:before="160"/>
      <w:jc w:val="center"/>
    </w:pPr>
    <w:rPr>
      <w:i/>
      <w:iCs/>
      <w:color w:val="404040"/>
    </w:rPr>
  </w:style>
  <w:style w:type="character" w:customStyle="1" w:styleId="CitationCar">
    <w:name w:val="Citation Car"/>
    <w:basedOn w:val="Policepardfaut"/>
    <w:rPr>
      <w:i/>
      <w:iCs/>
      <w:color w:val="404040"/>
    </w:rPr>
  </w:style>
  <w:style w:type="paragraph" w:styleId="Paragraphedeliste">
    <w:name w:val="List Paragraph"/>
    <w:basedOn w:val="Normal"/>
    <w:pPr>
      <w:ind w:left="720"/>
    </w:pPr>
  </w:style>
  <w:style w:type="character" w:styleId="Accentuationintense">
    <w:name w:val="Intense Emphasis"/>
    <w:basedOn w:val="Policepardfaut"/>
    <w:rPr>
      <w:i/>
      <w:iCs/>
      <w:color w:val="2F5496"/>
    </w:rPr>
  </w:style>
  <w:style w:type="paragraph" w:styleId="Citationintens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CitationintenseCar">
    <w:name w:val="Citation intense Car"/>
    <w:basedOn w:val="Policepardfaut"/>
    <w:rPr>
      <w:i/>
      <w:iCs/>
      <w:color w:val="2F5496"/>
    </w:rPr>
  </w:style>
  <w:style w:type="character" w:styleId="Rfrenceintense">
    <w:name w:val="Intense Reference"/>
    <w:basedOn w:val="Policepardfaut"/>
    <w:rPr>
      <w:b/>
      <w:bCs/>
      <w:smallCaps/>
      <w:color w:val="2F5496"/>
      <w:spacing w:val="5"/>
    </w:rPr>
  </w:style>
  <w:style w:type="paragraph" w:styleId="En-ttedetabledesmatires">
    <w:name w:val="TOC Heading"/>
    <w:basedOn w:val="Titre1"/>
    <w:next w:val="Normal"/>
    <w:pPr>
      <w:suppressAutoHyphens w:val="0"/>
      <w:spacing w:before="240" w:after="0" w:line="242" w:lineRule="auto"/>
      <w:textAlignment w:val="auto"/>
    </w:pPr>
    <w:rPr>
      <w:kern w:val="0"/>
      <w:sz w:val="32"/>
      <w:szCs w:val="32"/>
      <w:lang w:eastAsia="en-GB"/>
    </w:rPr>
  </w:style>
  <w:style w:type="paragraph" w:styleId="TM1">
    <w:name w:val="toc 1"/>
    <w:basedOn w:val="Normal"/>
    <w:next w:val="Normal"/>
    <w:autoRedefine/>
    <w:pPr>
      <w:tabs>
        <w:tab w:val="right" w:leader="dot" w:pos="9016"/>
      </w:tabs>
      <w:spacing w:after="100" w:line="360" w:lineRule="auto"/>
      <w:jc w:val="both"/>
    </w:pPr>
  </w:style>
  <w:style w:type="paragraph" w:styleId="TM2">
    <w:name w:val="toc 2"/>
    <w:basedOn w:val="Normal"/>
    <w:next w:val="Normal"/>
    <w:autoRedefine/>
    <w:pPr>
      <w:spacing w:after="100"/>
      <w:ind w:left="220"/>
    </w:pPr>
  </w:style>
  <w:style w:type="character" w:styleId="Lienhypertexte">
    <w:name w:val="Hyperlink"/>
    <w:basedOn w:val="Policepardfaut"/>
    <w:rPr>
      <w:color w:val="0563C1"/>
      <w:u w:val="single"/>
    </w:rPr>
  </w:style>
  <w:style w:type="paragraph" w:styleId="En-tte">
    <w:name w:val="header"/>
    <w:basedOn w:val="Normal"/>
    <w:pPr>
      <w:tabs>
        <w:tab w:val="center" w:pos="4513"/>
        <w:tab w:val="right" w:pos="9026"/>
      </w:tabs>
      <w:spacing w:after="0"/>
    </w:pPr>
  </w:style>
  <w:style w:type="character" w:customStyle="1" w:styleId="En-tteCar">
    <w:name w:val="En-tête Car"/>
    <w:basedOn w:val="Policepardfaut"/>
  </w:style>
  <w:style w:type="paragraph" w:styleId="Pieddepage">
    <w:name w:val="footer"/>
    <w:basedOn w:val="Normal"/>
    <w:pPr>
      <w:tabs>
        <w:tab w:val="center" w:pos="4513"/>
        <w:tab w:val="right" w:pos="9026"/>
      </w:tabs>
      <w:spacing w:after="0"/>
    </w:pPr>
  </w:style>
  <w:style w:type="character" w:customStyle="1" w:styleId="PieddepageCar">
    <w:name w:val="Pied de page Car"/>
    <w:basedOn w:val="Policepardfau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3751</Words>
  <Characters>21384</Characters>
  <Application>Microsoft Office Word</Application>
  <DocSecurity>0</DocSecurity>
  <Lines>178</Lines>
  <Paragraphs>50</Paragraphs>
  <ScaleCrop>false</ScaleCrop>
  <Company/>
  <LinksUpToDate>false</LinksUpToDate>
  <CharactersWithSpaces>25085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Boubacar Ouedraogo</dc:creator>
  <dc:description/>
  <cp:lastModifiedBy>Boubacar Ouedraogo</cp:lastModifiedBy>
  <cp:revision>3</cp:revision>
  <cp:lastPrinted>2026-07-23T00:55:00Z</cp:lastPrinted>
  <dcterms:created xsi:type="dcterms:W3CDTF">2026-07-23T01:28:00Z</dcterms:created>
  <dcterms:modified xsi:type="dcterms:W3CDTF">2026-07-23T01:33:00Z</dcterms:modified>
</cp:coreProperties>
</file>