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9C3B5" w14:textId="77777777" w:rsidR="00687631" w:rsidRDefault="00687631" w:rsidP="00687631"/>
    <w:p w14:paraId="5B932640" w14:textId="77777777" w:rsidR="0065627D" w:rsidRDefault="0065627D" w:rsidP="0065627D">
      <w:pPr>
        <w:jc w:val="center"/>
        <w:rPr>
          <w:b/>
          <w:sz w:val="40"/>
          <w:szCs w:val="40"/>
        </w:rPr>
      </w:pPr>
    </w:p>
    <w:p w14:paraId="2CF2ABBE" w14:textId="77777777" w:rsidR="0065627D" w:rsidRDefault="0065627D" w:rsidP="0065627D">
      <w:pPr>
        <w:jc w:val="center"/>
        <w:rPr>
          <w:b/>
          <w:sz w:val="40"/>
          <w:szCs w:val="40"/>
        </w:rPr>
      </w:pPr>
    </w:p>
    <w:p w14:paraId="134245EB" w14:textId="3D3A9469" w:rsidR="00687631" w:rsidRPr="0065627D" w:rsidRDefault="0065627D" w:rsidP="0065627D">
      <w:pPr>
        <w:pStyle w:val="Title"/>
        <w:jc w:val="center"/>
        <w:rPr>
          <w:bCs/>
        </w:rPr>
      </w:pPr>
      <w:r w:rsidRPr="0065627D">
        <w:t>LCBB6004</w:t>
      </w:r>
      <w:r w:rsidRPr="0065627D">
        <w:t xml:space="preserve"> - </w:t>
      </w:r>
      <w:r w:rsidRPr="0065627D">
        <w:t xml:space="preserve">Strategic Management and Sustainability  </w:t>
      </w:r>
      <w:r w:rsidRPr="0065627D">
        <w:rPr>
          <w:bCs/>
        </w:rPr>
        <w:br/>
      </w:r>
      <w:r w:rsidRPr="0065627D">
        <w:rPr>
          <w:rStyle w:val="Strong"/>
          <w:sz w:val="40"/>
          <w:szCs w:val="40"/>
        </w:rPr>
        <w:t>Jaguar Land Rover (JLR)</w:t>
      </w:r>
      <w:r w:rsidRPr="0065627D">
        <w:br/>
      </w:r>
      <w:r w:rsidRPr="0065627D">
        <w:rPr>
          <w:rStyle w:val="Emphasis"/>
          <w:sz w:val="40"/>
          <w:szCs w:val="40"/>
        </w:rPr>
        <w:t>(UK Automotive Sector – July 2025)</w:t>
      </w:r>
    </w:p>
    <w:p w14:paraId="2244433C" w14:textId="77777777" w:rsidR="00687631" w:rsidRDefault="00687631" w:rsidP="00687631"/>
    <w:p w14:paraId="77509470" w14:textId="77777777" w:rsidR="00687631" w:rsidRDefault="00687631" w:rsidP="00687631"/>
    <w:p w14:paraId="795E0B61" w14:textId="77777777" w:rsidR="00687631" w:rsidRDefault="00687631" w:rsidP="00687631"/>
    <w:p w14:paraId="79A37A9F" w14:textId="77777777" w:rsidR="00687631" w:rsidRDefault="00687631" w:rsidP="00687631"/>
    <w:p w14:paraId="28EC540F" w14:textId="77777777" w:rsidR="00687631" w:rsidRDefault="00687631" w:rsidP="00687631"/>
    <w:p w14:paraId="4C26FA31" w14:textId="77777777" w:rsidR="0065627D" w:rsidRDefault="0065627D" w:rsidP="0065627D">
      <w:pPr>
        <w:rPr>
          <w:lang w:val="en-US"/>
        </w:rPr>
      </w:pPr>
    </w:p>
    <w:p w14:paraId="34C6DF6A" w14:textId="77777777" w:rsidR="0065627D" w:rsidRDefault="0065627D" w:rsidP="0065627D">
      <w:pPr>
        <w:rPr>
          <w:lang w:val="en-US"/>
        </w:rPr>
      </w:pPr>
    </w:p>
    <w:p w14:paraId="58D951EE" w14:textId="77777777" w:rsidR="0065627D" w:rsidRDefault="0065627D" w:rsidP="0065627D">
      <w:pPr>
        <w:rPr>
          <w:lang w:val="en-US"/>
        </w:rPr>
      </w:pPr>
    </w:p>
    <w:p w14:paraId="5398334E" w14:textId="77777777" w:rsidR="0065627D" w:rsidRDefault="0065627D" w:rsidP="0065627D">
      <w:pPr>
        <w:rPr>
          <w:lang w:val="en-US"/>
        </w:rPr>
      </w:pPr>
    </w:p>
    <w:p w14:paraId="2624CB90" w14:textId="77777777" w:rsidR="0065627D" w:rsidRDefault="0065627D" w:rsidP="0065627D">
      <w:pPr>
        <w:rPr>
          <w:lang w:val="en-US"/>
        </w:rPr>
      </w:pPr>
    </w:p>
    <w:p w14:paraId="21B704DB" w14:textId="77777777" w:rsidR="0065627D" w:rsidRDefault="0065627D" w:rsidP="0065627D">
      <w:pPr>
        <w:rPr>
          <w:lang w:val="en-US"/>
        </w:rPr>
      </w:pPr>
    </w:p>
    <w:p w14:paraId="50600FE7" w14:textId="77777777" w:rsidR="0065627D" w:rsidRDefault="0065627D" w:rsidP="0065627D">
      <w:pPr>
        <w:rPr>
          <w:lang w:val="en-US"/>
        </w:rPr>
      </w:pPr>
    </w:p>
    <w:p w14:paraId="4267F9EB" w14:textId="77777777" w:rsidR="0065627D" w:rsidRDefault="0065627D" w:rsidP="0065627D">
      <w:pPr>
        <w:rPr>
          <w:lang w:val="en-US"/>
        </w:rPr>
      </w:pPr>
    </w:p>
    <w:p w14:paraId="4CF886BC" w14:textId="77777777" w:rsidR="0065627D" w:rsidRPr="0065627D" w:rsidRDefault="0065627D" w:rsidP="0065627D">
      <w:pPr>
        <w:rPr>
          <w:lang w:val="en-US"/>
        </w:rPr>
      </w:pPr>
    </w:p>
    <w:p w14:paraId="0E5908E3" w14:textId="77777777" w:rsidR="0065627D" w:rsidRPr="0065627D" w:rsidRDefault="0065627D" w:rsidP="0065627D">
      <w:pPr>
        <w:rPr>
          <w:lang w:val="en-US"/>
        </w:rPr>
      </w:pPr>
    </w:p>
    <w:p w14:paraId="08B6B333" w14:textId="77777777" w:rsidR="0065627D" w:rsidRPr="0065627D" w:rsidRDefault="0065627D" w:rsidP="0065627D">
      <w:pPr>
        <w:rPr>
          <w:lang w:val="en-US"/>
        </w:rPr>
      </w:pPr>
    </w:p>
    <w:p w14:paraId="640570FC" w14:textId="77777777" w:rsidR="0065627D" w:rsidRPr="0065627D" w:rsidRDefault="0065627D" w:rsidP="0065627D">
      <w:pPr>
        <w:rPr>
          <w:lang w:val="en-US"/>
        </w:rPr>
      </w:pPr>
    </w:p>
    <w:p w14:paraId="3FCC5BFF" w14:textId="77777777" w:rsidR="0065627D" w:rsidRPr="0065627D" w:rsidRDefault="0065627D" w:rsidP="0065627D">
      <w:pPr>
        <w:jc w:val="center"/>
        <w:rPr>
          <w:lang w:val="en-US"/>
        </w:rPr>
      </w:pPr>
      <w:r w:rsidRPr="0065627D">
        <w:rPr>
          <w:lang w:val="en-US"/>
        </w:rPr>
        <w:t>Submitted by: SERGIU DIACONU</w:t>
      </w:r>
    </w:p>
    <w:p w14:paraId="1DF2276C" w14:textId="77777777" w:rsidR="0065627D" w:rsidRPr="0065627D" w:rsidRDefault="0065627D" w:rsidP="0065627D">
      <w:pPr>
        <w:jc w:val="center"/>
        <w:rPr>
          <w:lang w:val="en-US"/>
        </w:rPr>
      </w:pPr>
      <w:r w:rsidRPr="0065627D">
        <w:rPr>
          <w:lang w:val="en-US"/>
        </w:rPr>
        <w:t>Student Id: 2126929</w:t>
      </w:r>
    </w:p>
    <w:p w14:paraId="74CD9233" w14:textId="77777777" w:rsidR="00687631" w:rsidRDefault="00687631" w:rsidP="00687631"/>
    <w:p w14:paraId="67778D08" w14:textId="77777777" w:rsidR="00687631" w:rsidRDefault="00687631" w:rsidP="00687631"/>
    <w:p w14:paraId="48220582" w14:textId="464397B1" w:rsidR="0065627D" w:rsidRDefault="0065627D" w:rsidP="00687631"/>
    <w:p w14:paraId="389BC1E9" w14:textId="5A81F4C5" w:rsidR="0065627D" w:rsidRPr="0065627D" w:rsidRDefault="0065627D" w:rsidP="0065627D">
      <w:pPr>
        <w:pStyle w:val="Heading1"/>
      </w:pPr>
      <w:bookmarkStart w:id="0" w:name="_Toc204009114"/>
      <w:r w:rsidRPr="0065627D">
        <w:lastRenderedPageBreak/>
        <w:t>Table of contents</w:t>
      </w:r>
      <w:bookmarkEnd w:id="0"/>
    </w:p>
    <w:p w14:paraId="7D5F917F" w14:textId="77777777" w:rsidR="0065627D" w:rsidRDefault="0065627D" w:rsidP="00687631"/>
    <w:p w14:paraId="15192404" w14:textId="5EFA23CD" w:rsidR="0065627D" w:rsidRDefault="0065627D">
      <w:pPr>
        <w:pStyle w:val="TOC1"/>
        <w:tabs>
          <w:tab w:val="right" w:pos="9016"/>
        </w:tabs>
        <w:rPr>
          <w:rFonts w:eastAsiaTheme="minorEastAsia"/>
          <w:noProof/>
          <w:lang w:eastAsia="en-GB"/>
        </w:rPr>
      </w:pPr>
      <w:r>
        <w:fldChar w:fldCharType="begin"/>
      </w:r>
      <w:r>
        <w:instrText xml:space="preserve"> TOC \o "1-3" \h \z \u </w:instrText>
      </w:r>
      <w:r>
        <w:fldChar w:fldCharType="separate"/>
      </w:r>
      <w:hyperlink w:anchor="_Toc204009114" w:history="1">
        <w:r w:rsidRPr="00E75293">
          <w:rPr>
            <w:rStyle w:val="Hyperlink"/>
            <w:noProof/>
          </w:rPr>
          <w:t>Table of contents</w:t>
        </w:r>
        <w:r>
          <w:rPr>
            <w:noProof/>
            <w:webHidden/>
          </w:rPr>
          <w:tab/>
        </w:r>
        <w:r>
          <w:rPr>
            <w:noProof/>
            <w:webHidden/>
          </w:rPr>
          <w:fldChar w:fldCharType="begin"/>
        </w:r>
        <w:r>
          <w:rPr>
            <w:noProof/>
            <w:webHidden/>
          </w:rPr>
          <w:instrText xml:space="preserve"> PAGEREF _Toc204009114 \h </w:instrText>
        </w:r>
        <w:r>
          <w:rPr>
            <w:noProof/>
            <w:webHidden/>
          </w:rPr>
        </w:r>
        <w:r>
          <w:rPr>
            <w:noProof/>
            <w:webHidden/>
          </w:rPr>
          <w:fldChar w:fldCharType="separate"/>
        </w:r>
        <w:r>
          <w:rPr>
            <w:noProof/>
            <w:webHidden/>
          </w:rPr>
          <w:t>2</w:t>
        </w:r>
        <w:r>
          <w:rPr>
            <w:noProof/>
            <w:webHidden/>
          </w:rPr>
          <w:fldChar w:fldCharType="end"/>
        </w:r>
      </w:hyperlink>
    </w:p>
    <w:p w14:paraId="008776AA" w14:textId="5C2E0770" w:rsidR="0065627D" w:rsidRDefault="0065627D">
      <w:pPr>
        <w:pStyle w:val="TOC1"/>
        <w:tabs>
          <w:tab w:val="right" w:pos="9016"/>
        </w:tabs>
        <w:rPr>
          <w:rFonts w:eastAsiaTheme="minorEastAsia"/>
          <w:noProof/>
          <w:lang w:eastAsia="en-GB"/>
        </w:rPr>
      </w:pPr>
      <w:hyperlink w:anchor="_Toc204009115" w:history="1">
        <w:r w:rsidRPr="00E75293">
          <w:rPr>
            <w:rStyle w:val="Hyperlink"/>
            <w:noProof/>
          </w:rPr>
          <w:t>Summary</w:t>
        </w:r>
        <w:r>
          <w:rPr>
            <w:noProof/>
            <w:webHidden/>
          </w:rPr>
          <w:tab/>
        </w:r>
        <w:r>
          <w:rPr>
            <w:noProof/>
            <w:webHidden/>
          </w:rPr>
          <w:fldChar w:fldCharType="begin"/>
        </w:r>
        <w:r>
          <w:rPr>
            <w:noProof/>
            <w:webHidden/>
          </w:rPr>
          <w:instrText xml:space="preserve"> PAGEREF _Toc204009115 \h </w:instrText>
        </w:r>
        <w:r>
          <w:rPr>
            <w:noProof/>
            <w:webHidden/>
          </w:rPr>
        </w:r>
        <w:r>
          <w:rPr>
            <w:noProof/>
            <w:webHidden/>
          </w:rPr>
          <w:fldChar w:fldCharType="separate"/>
        </w:r>
        <w:r>
          <w:rPr>
            <w:noProof/>
            <w:webHidden/>
          </w:rPr>
          <w:t>3</w:t>
        </w:r>
        <w:r>
          <w:rPr>
            <w:noProof/>
            <w:webHidden/>
          </w:rPr>
          <w:fldChar w:fldCharType="end"/>
        </w:r>
      </w:hyperlink>
    </w:p>
    <w:p w14:paraId="67DFF6A0" w14:textId="0B8F1FA8" w:rsidR="0065627D" w:rsidRDefault="0065627D">
      <w:pPr>
        <w:pStyle w:val="TOC1"/>
        <w:tabs>
          <w:tab w:val="right" w:pos="9016"/>
        </w:tabs>
        <w:rPr>
          <w:rFonts w:eastAsiaTheme="minorEastAsia"/>
          <w:noProof/>
          <w:lang w:eastAsia="en-GB"/>
        </w:rPr>
      </w:pPr>
      <w:hyperlink w:anchor="_Toc204009116" w:history="1">
        <w:r w:rsidRPr="00E75293">
          <w:rPr>
            <w:rStyle w:val="Hyperlink"/>
            <w:noProof/>
          </w:rPr>
          <w:t>Introduction</w:t>
        </w:r>
        <w:r>
          <w:rPr>
            <w:noProof/>
            <w:webHidden/>
          </w:rPr>
          <w:tab/>
        </w:r>
        <w:r>
          <w:rPr>
            <w:noProof/>
            <w:webHidden/>
          </w:rPr>
          <w:fldChar w:fldCharType="begin"/>
        </w:r>
        <w:r>
          <w:rPr>
            <w:noProof/>
            <w:webHidden/>
          </w:rPr>
          <w:instrText xml:space="preserve"> PAGEREF _Toc204009116 \h </w:instrText>
        </w:r>
        <w:r>
          <w:rPr>
            <w:noProof/>
            <w:webHidden/>
          </w:rPr>
        </w:r>
        <w:r>
          <w:rPr>
            <w:noProof/>
            <w:webHidden/>
          </w:rPr>
          <w:fldChar w:fldCharType="separate"/>
        </w:r>
        <w:r>
          <w:rPr>
            <w:noProof/>
            <w:webHidden/>
          </w:rPr>
          <w:t>3</w:t>
        </w:r>
        <w:r>
          <w:rPr>
            <w:noProof/>
            <w:webHidden/>
          </w:rPr>
          <w:fldChar w:fldCharType="end"/>
        </w:r>
      </w:hyperlink>
    </w:p>
    <w:p w14:paraId="1605520A" w14:textId="7E9E301F" w:rsidR="0065627D" w:rsidRDefault="0065627D">
      <w:pPr>
        <w:pStyle w:val="TOC1"/>
        <w:tabs>
          <w:tab w:val="right" w:pos="9016"/>
        </w:tabs>
        <w:rPr>
          <w:rFonts w:eastAsiaTheme="minorEastAsia"/>
          <w:noProof/>
          <w:lang w:eastAsia="en-GB"/>
        </w:rPr>
      </w:pPr>
      <w:hyperlink w:anchor="_Toc204009117" w:history="1">
        <w:r w:rsidRPr="00E75293">
          <w:rPr>
            <w:rStyle w:val="Hyperlink"/>
            <w:noProof/>
          </w:rPr>
          <w:t>External</w:t>
        </w:r>
        <w:r w:rsidRPr="00E75293">
          <w:rPr>
            <w:rStyle w:val="Hyperlink"/>
            <w:rFonts w:ascii="Cambria Math" w:hAnsi="Cambria Math" w:cs="Cambria Math"/>
            <w:noProof/>
          </w:rPr>
          <w:t>‑</w:t>
        </w:r>
        <w:r w:rsidRPr="00E75293">
          <w:rPr>
            <w:rStyle w:val="Hyperlink"/>
            <w:noProof/>
          </w:rPr>
          <w:t>Environment Audit</w:t>
        </w:r>
        <w:r>
          <w:rPr>
            <w:noProof/>
            <w:webHidden/>
          </w:rPr>
          <w:tab/>
        </w:r>
        <w:r>
          <w:rPr>
            <w:noProof/>
            <w:webHidden/>
          </w:rPr>
          <w:fldChar w:fldCharType="begin"/>
        </w:r>
        <w:r>
          <w:rPr>
            <w:noProof/>
            <w:webHidden/>
          </w:rPr>
          <w:instrText xml:space="preserve"> PAGEREF _Toc204009117 \h </w:instrText>
        </w:r>
        <w:r>
          <w:rPr>
            <w:noProof/>
            <w:webHidden/>
          </w:rPr>
        </w:r>
        <w:r>
          <w:rPr>
            <w:noProof/>
            <w:webHidden/>
          </w:rPr>
          <w:fldChar w:fldCharType="separate"/>
        </w:r>
        <w:r>
          <w:rPr>
            <w:noProof/>
            <w:webHidden/>
          </w:rPr>
          <w:t>4</w:t>
        </w:r>
        <w:r>
          <w:rPr>
            <w:noProof/>
            <w:webHidden/>
          </w:rPr>
          <w:fldChar w:fldCharType="end"/>
        </w:r>
      </w:hyperlink>
    </w:p>
    <w:p w14:paraId="6528F683" w14:textId="02FCE7F8" w:rsidR="0065627D" w:rsidRDefault="0065627D">
      <w:pPr>
        <w:pStyle w:val="TOC1"/>
        <w:tabs>
          <w:tab w:val="right" w:pos="9016"/>
        </w:tabs>
        <w:rPr>
          <w:rFonts w:eastAsiaTheme="minorEastAsia"/>
          <w:noProof/>
          <w:lang w:eastAsia="en-GB"/>
        </w:rPr>
      </w:pPr>
      <w:hyperlink w:anchor="_Toc204009118" w:history="1">
        <w:r w:rsidRPr="00E75293">
          <w:rPr>
            <w:rStyle w:val="Hyperlink"/>
            <w:noProof/>
          </w:rPr>
          <w:t> Internal</w:t>
        </w:r>
        <w:r w:rsidRPr="00E75293">
          <w:rPr>
            <w:rStyle w:val="Hyperlink"/>
            <w:rFonts w:ascii="Cambria Math" w:hAnsi="Cambria Math" w:cs="Cambria Math"/>
            <w:noProof/>
          </w:rPr>
          <w:t>‑</w:t>
        </w:r>
        <w:r w:rsidRPr="00E75293">
          <w:rPr>
            <w:rStyle w:val="Hyperlink"/>
            <w:noProof/>
          </w:rPr>
          <w:t>Environment Audit</w:t>
        </w:r>
        <w:r>
          <w:rPr>
            <w:noProof/>
            <w:webHidden/>
          </w:rPr>
          <w:tab/>
        </w:r>
        <w:r>
          <w:rPr>
            <w:noProof/>
            <w:webHidden/>
          </w:rPr>
          <w:fldChar w:fldCharType="begin"/>
        </w:r>
        <w:r>
          <w:rPr>
            <w:noProof/>
            <w:webHidden/>
          </w:rPr>
          <w:instrText xml:space="preserve"> PAGEREF _Toc204009118 \h </w:instrText>
        </w:r>
        <w:r>
          <w:rPr>
            <w:noProof/>
            <w:webHidden/>
          </w:rPr>
        </w:r>
        <w:r>
          <w:rPr>
            <w:noProof/>
            <w:webHidden/>
          </w:rPr>
          <w:fldChar w:fldCharType="separate"/>
        </w:r>
        <w:r>
          <w:rPr>
            <w:noProof/>
            <w:webHidden/>
          </w:rPr>
          <w:t>5</w:t>
        </w:r>
        <w:r>
          <w:rPr>
            <w:noProof/>
            <w:webHidden/>
          </w:rPr>
          <w:fldChar w:fldCharType="end"/>
        </w:r>
      </w:hyperlink>
    </w:p>
    <w:p w14:paraId="6F85F839" w14:textId="2F192062" w:rsidR="0065627D" w:rsidRDefault="0065627D">
      <w:pPr>
        <w:pStyle w:val="TOC1"/>
        <w:tabs>
          <w:tab w:val="right" w:pos="9016"/>
        </w:tabs>
        <w:rPr>
          <w:rFonts w:eastAsiaTheme="minorEastAsia"/>
          <w:noProof/>
          <w:lang w:eastAsia="en-GB"/>
        </w:rPr>
      </w:pPr>
      <w:hyperlink w:anchor="_Toc204009119" w:history="1">
        <w:r w:rsidRPr="00E75293">
          <w:rPr>
            <w:rStyle w:val="Hyperlink"/>
            <w:noProof/>
          </w:rPr>
          <w:t>SWOT Analysis</w:t>
        </w:r>
        <w:r>
          <w:rPr>
            <w:noProof/>
            <w:webHidden/>
          </w:rPr>
          <w:tab/>
        </w:r>
        <w:r>
          <w:rPr>
            <w:noProof/>
            <w:webHidden/>
          </w:rPr>
          <w:fldChar w:fldCharType="begin"/>
        </w:r>
        <w:r>
          <w:rPr>
            <w:noProof/>
            <w:webHidden/>
          </w:rPr>
          <w:instrText xml:space="preserve"> PAGEREF _Toc204009119 \h </w:instrText>
        </w:r>
        <w:r>
          <w:rPr>
            <w:noProof/>
            <w:webHidden/>
          </w:rPr>
        </w:r>
        <w:r>
          <w:rPr>
            <w:noProof/>
            <w:webHidden/>
          </w:rPr>
          <w:fldChar w:fldCharType="separate"/>
        </w:r>
        <w:r>
          <w:rPr>
            <w:noProof/>
            <w:webHidden/>
          </w:rPr>
          <w:t>6</w:t>
        </w:r>
        <w:r>
          <w:rPr>
            <w:noProof/>
            <w:webHidden/>
          </w:rPr>
          <w:fldChar w:fldCharType="end"/>
        </w:r>
      </w:hyperlink>
    </w:p>
    <w:p w14:paraId="01908D7C" w14:textId="359D394E" w:rsidR="0065627D" w:rsidRDefault="0065627D">
      <w:pPr>
        <w:pStyle w:val="TOC1"/>
        <w:tabs>
          <w:tab w:val="right" w:pos="9016"/>
        </w:tabs>
        <w:rPr>
          <w:rFonts w:eastAsiaTheme="minorEastAsia"/>
          <w:noProof/>
          <w:lang w:eastAsia="en-GB"/>
        </w:rPr>
      </w:pPr>
      <w:hyperlink w:anchor="_Toc204009120" w:history="1">
        <w:r w:rsidRPr="00E75293">
          <w:rPr>
            <w:rStyle w:val="Hyperlink"/>
            <w:noProof/>
          </w:rPr>
          <w:t> Strategy Formulation</w:t>
        </w:r>
        <w:r>
          <w:rPr>
            <w:noProof/>
            <w:webHidden/>
          </w:rPr>
          <w:tab/>
        </w:r>
        <w:r>
          <w:rPr>
            <w:noProof/>
            <w:webHidden/>
          </w:rPr>
          <w:fldChar w:fldCharType="begin"/>
        </w:r>
        <w:r>
          <w:rPr>
            <w:noProof/>
            <w:webHidden/>
          </w:rPr>
          <w:instrText xml:space="preserve"> PAGEREF _Toc204009120 \h </w:instrText>
        </w:r>
        <w:r>
          <w:rPr>
            <w:noProof/>
            <w:webHidden/>
          </w:rPr>
        </w:r>
        <w:r>
          <w:rPr>
            <w:noProof/>
            <w:webHidden/>
          </w:rPr>
          <w:fldChar w:fldCharType="separate"/>
        </w:r>
        <w:r>
          <w:rPr>
            <w:noProof/>
            <w:webHidden/>
          </w:rPr>
          <w:t>6</w:t>
        </w:r>
        <w:r>
          <w:rPr>
            <w:noProof/>
            <w:webHidden/>
          </w:rPr>
          <w:fldChar w:fldCharType="end"/>
        </w:r>
      </w:hyperlink>
    </w:p>
    <w:p w14:paraId="21907B61" w14:textId="5161F0AA" w:rsidR="0065627D" w:rsidRDefault="0065627D">
      <w:pPr>
        <w:pStyle w:val="TOC1"/>
        <w:tabs>
          <w:tab w:val="right" w:pos="9016"/>
        </w:tabs>
        <w:rPr>
          <w:rFonts w:eastAsiaTheme="minorEastAsia"/>
          <w:noProof/>
          <w:lang w:eastAsia="en-GB"/>
        </w:rPr>
      </w:pPr>
      <w:hyperlink w:anchor="_Toc204009121" w:history="1">
        <w:r w:rsidRPr="00E75293">
          <w:rPr>
            <w:rStyle w:val="Hyperlink"/>
            <w:noProof/>
          </w:rPr>
          <w:t>Conclusion and Recommendations</w:t>
        </w:r>
        <w:r>
          <w:rPr>
            <w:noProof/>
            <w:webHidden/>
          </w:rPr>
          <w:tab/>
        </w:r>
        <w:r>
          <w:rPr>
            <w:noProof/>
            <w:webHidden/>
          </w:rPr>
          <w:fldChar w:fldCharType="begin"/>
        </w:r>
        <w:r>
          <w:rPr>
            <w:noProof/>
            <w:webHidden/>
          </w:rPr>
          <w:instrText xml:space="preserve"> PAGEREF _Toc204009121 \h </w:instrText>
        </w:r>
        <w:r>
          <w:rPr>
            <w:noProof/>
            <w:webHidden/>
          </w:rPr>
        </w:r>
        <w:r>
          <w:rPr>
            <w:noProof/>
            <w:webHidden/>
          </w:rPr>
          <w:fldChar w:fldCharType="separate"/>
        </w:r>
        <w:r>
          <w:rPr>
            <w:noProof/>
            <w:webHidden/>
          </w:rPr>
          <w:t>7</w:t>
        </w:r>
        <w:r>
          <w:rPr>
            <w:noProof/>
            <w:webHidden/>
          </w:rPr>
          <w:fldChar w:fldCharType="end"/>
        </w:r>
      </w:hyperlink>
    </w:p>
    <w:p w14:paraId="3EDA0DF5" w14:textId="700A412E" w:rsidR="0065627D" w:rsidRDefault="0065627D">
      <w:pPr>
        <w:pStyle w:val="TOC1"/>
        <w:tabs>
          <w:tab w:val="right" w:pos="9016"/>
        </w:tabs>
        <w:rPr>
          <w:rFonts w:eastAsiaTheme="minorEastAsia"/>
          <w:noProof/>
          <w:lang w:eastAsia="en-GB"/>
        </w:rPr>
      </w:pPr>
      <w:hyperlink w:anchor="_Toc204009122" w:history="1">
        <w:r w:rsidRPr="00E75293">
          <w:rPr>
            <w:rStyle w:val="Hyperlink"/>
            <w:noProof/>
          </w:rPr>
          <w:t>Reference List</w:t>
        </w:r>
        <w:r>
          <w:rPr>
            <w:noProof/>
            <w:webHidden/>
          </w:rPr>
          <w:tab/>
        </w:r>
        <w:r>
          <w:rPr>
            <w:noProof/>
            <w:webHidden/>
          </w:rPr>
          <w:fldChar w:fldCharType="begin"/>
        </w:r>
        <w:r>
          <w:rPr>
            <w:noProof/>
            <w:webHidden/>
          </w:rPr>
          <w:instrText xml:space="preserve"> PAGEREF _Toc204009122 \h </w:instrText>
        </w:r>
        <w:r>
          <w:rPr>
            <w:noProof/>
            <w:webHidden/>
          </w:rPr>
        </w:r>
        <w:r>
          <w:rPr>
            <w:noProof/>
            <w:webHidden/>
          </w:rPr>
          <w:fldChar w:fldCharType="separate"/>
        </w:r>
        <w:r>
          <w:rPr>
            <w:noProof/>
            <w:webHidden/>
          </w:rPr>
          <w:t>8</w:t>
        </w:r>
        <w:r>
          <w:rPr>
            <w:noProof/>
            <w:webHidden/>
          </w:rPr>
          <w:fldChar w:fldCharType="end"/>
        </w:r>
      </w:hyperlink>
    </w:p>
    <w:p w14:paraId="64199B51" w14:textId="4E564D8D" w:rsidR="0065627D" w:rsidRDefault="0065627D" w:rsidP="00687631">
      <w:r>
        <w:fldChar w:fldCharType="end"/>
      </w:r>
    </w:p>
    <w:p w14:paraId="4F0BA9D0" w14:textId="77777777" w:rsidR="0065627D" w:rsidRDefault="0065627D" w:rsidP="00687631"/>
    <w:p w14:paraId="453DA92B" w14:textId="77777777" w:rsidR="0065627D" w:rsidRDefault="0065627D" w:rsidP="00687631"/>
    <w:p w14:paraId="48A80E15" w14:textId="77777777" w:rsidR="0065627D" w:rsidRDefault="0065627D" w:rsidP="00687631"/>
    <w:p w14:paraId="5FC3D1C1" w14:textId="77777777" w:rsidR="0065627D" w:rsidRDefault="0065627D" w:rsidP="00687631"/>
    <w:p w14:paraId="62C6D157" w14:textId="77777777" w:rsidR="0065627D" w:rsidRDefault="0065627D" w:rsidP="00687631"/>
    <w:p w14:paraId="10A9F692" w14:textId="77777777" w:rsidR="0065627D" w:rsidRDefault="0065627D" w:rsidP="00687631"/>
    <w:p w14:paraId="35EEAD02" w14:textId="77777777" w:rsidR="0065627D" w:rsidRDefault="0065627D" w:rsidP="00687631"/>
    <w:p w14:paraId="7FE93AAB" w14:textId="77777777" w:rsidR="0065627D" w:rsidRDefault="0065627D" w:rsidP="00687631"/>
    <w:p w14:paraId="17AC8DA8" w14:textId="77777777" w:rsidR="0065627D" w:rsidRDefault="0065627D" w:rsidP="00687631"/>
    <w:p w14:paraId="4903505E" w14:textId="77777777" w:rsidR="0065627D" w:rsidRDefault="0065627D" w:rsidP="00687631"/>
    <w:p w14:paraId="683C48CC" w14:textId="77777777" w:rsidR="0065627D" w:rsidRDefault="0065627D" w:rsidP="00687631"/>
    <w:p w14:paraId="7F102385" w14:textId="77777777" w:rsidR="0065627D" w:rsidRDefault="0065627D" w:rsidP="00687631"/>
    <w:p w14:paraId="2346F891" w14:textId="77777777" w:rsidR="0065627D" w:rsidRDefault="0065627D" w:rsidP="00687631"/>
    <w:p w14:paraId="35069D54" w14:textId="77777777" w:rsidR="0065627D" w:rsidRDefault="0065627D" w:rsidP="00687631"/>
    <w:p w14:paraId="60E46BCC" w14:textId="77777777" w:rsidR="0065627D" w:rsidRDefault="0065627D" w:rsidP="00687631"/>
    <w:p w14:paraId="7B40AF21" w14:textId="77777777" w:rsidR="0065627D" w:rsidRDefault="0065627D" w:rsidP="00687631"/>
    <w:p w14:paraId="3316F3D3" w14:textId="77777777" w:rsidR="0065627D" w:rsidRDefault="0065627D" w:rsidP="00687631"/>
    <w:p w14:paraId="6D21B1DC" w14:textId="77777777" w:rsidR="0065627D" w:rsidRDefault="0065627D" w:rsidP="00687631"/>
    <w:p w14:paraId="3ECFF64A" w14:textId="77777777" w:rsidR="0065627D" w:rsidRDefault="0065627D" w:rsidP="00687631">
      <w:pPr>
        <w:rPr>
          <w:sz w:val="28"/>
          <w:szCs w:val="28"/>
        </w:rPr>
      </w:pPr>
    </w:p>
    <w:p w14:paraId="37A2BDF3" w14:textId="77777777" w:rsidR="0065627D" w:rsidRDefault="0065627D" w:rsidP="00687631">
      <w:pPr>
        <w:rPr>
          <w:sz w:val="28"/>
          <w:szCs w:val="28"/>
        </w:rPr>
      </w:pPr>
    </w:p>
    <w:p w14:paraId="2EA50B00" w14:textId="7FD58EB0" w:rsidR="00687631" w:rsidRPr="00687631" w:rsidRDefault="00687631" w:rsidP="0065627D">
      <w:pPr>
        <w:pStyle w:val="Heading1"/>
      </w:pPr>
      <w:bookmarkStart w:id="1" w:name="_Toc204008990"/>
      <w:bookmarkStart w:id="2" w:name="_Toc204009060"/>
      <w:bookmarkStart w:id="3" w:name="_Toc204009115"/>
      <w:r w:rsidRPr="00687631">
        <w:lastRenderedPageBreak/>
        <w:t>Summary</w:t>
      </w:r>
      <w:bookmarkEnd w:id="1"/>
      <w:bookmarkEnd w:id="2"/>
      <w:bookmarkEnd w:id="3"/>
    </w:p>
    <w:p w14:paraId="0CA3B9E6" w14:textId="77777777" w:rsidR="00687631" w:rsidRDefault="00687631" w:rsidP="00687631"/>
    <w:p w14:paraId="001F5731" w14:textId="6759CA1B" w:rsidR="00687631" w:rsidRDefault="00687631" w:rsidP="00687631">
      <w:pPr>
        <w:ind w:firstLine="720"/>
      </w:pPr>
      <w:r>
        <w:t>Jaguar Land Rover, the largest manufacturer in the United Kingdom’s automotive sector, is confronting one of the most demanding strategic pivots in its 76</w:t>
      </w:r>
      <w:r>
        <w:rPr>
          <w:rFonts w:ascii="Cambria Math" w:hAnsi="Cambria Math" w:cs="Cambria Math"/>
        </w:rPr>
        <w:t>‑</w:t>
      </w:r>
      <w:r>
        <w:t>year history. The UK</w:t>
      </w:r>
      <w:r>
        <w:rPr>
          <w:rFonts w:ascii="Calibri" w:hAnsi="Calibri" w:cs="Calibri"/>
        </w:rPr>
        <w:t>’</w:t>
      </w:r>
      <w:r>
        <w:t>s Zero</w:t>
      </w:r>
      <w:r>
        <w:rPr>
          <w:rFonts w:ascii="Cambria Math" w:hAnsi="Cambria Math" w:cs="Cambria Math"/>
        </w:rPr>
        <w:t>‑</w:t>
      </w:r>
      <w:r>
        <w:t>Emission</w:t>
      </w:r>
      <w:r>
        <w:rPr>
          <w:rFonts w:ascii="Cambria Math" w:hAnsi="Cambria Math" w:cs="Cambria Math"/>
        </w:rPr>
        <w:t>‑</w:t>
      </w:r>
      <w:r>
        <w:t>Vehicle (ZEV) mandate requires that 80</w:t>
      </w:r>
      <w:r>
        <w:rPr>
          <w:rFonts w:ascii="Calibri" w:hAnsi="Calibri" w:cs="Calibri"/>
        </w:rPr>
        <w:t> </w:t>
      </w:r>
      <w:r>
        <w:t>per</w:t>
      </w:r>
      <w:r>
        <w:rPr>
          <w:rFonts w:ascii="Calibri" w:hAnsi="Calibri" w:cs="Calibri"/>
        </w:rPr>
        <w:t> </w:t>
      </w:r>
      <w:r>
        <w:t>cent of every manufacturer</w:t>
      </w:r>
      <w:r>
        <w:rPr>
          <w:rFonts w:ascii="Calibri" w:hAnsi="Calibri" w:cs="Calibri"/>
        </w:rPr>
        <w:t>’</w:t>
      </w:r>
      <w:r>
        <w:t xml:space="preserve">s </w:t>
      </w:r>
      <w:r>
        <w:t>sale to</w:t>
      </w:r>
      <w:r>
        <w:t xml:space="preserve"> be battery</w:t>
      </w:r>
      <w:r>
        <w:rPr>
          <w:rFonts w:ascii="Cambria Math" w:hAnsi="Cambria Math" w:cs="Cambria Math"/>
        </w:rPr>
        <w:t>‑</w:t>
      </w:r>
      <w:r>
        <w:t>electric by 2030, while post</w:t>
      </w:r>
      <w:r>
        <w:rPr>
          <w:rFonts w:ascii="Cambria Math" w:hAnsi="Cambria Math" w:cs="Cambria Math"/>
        </w:rPr>
        <w:t>‑</w:t>
      </w:r>
      <w:r>
        <w:t>pandemic supply shocks, a fragile macro</w:t>
      </w:r>
      <w:r>
        <w:rPr>
          <w:rFonts w:ascii="Cambria Math" w:hAnsi="Cambria Math" w:cs="Cambria Math"/>
        </w:rPr>
        <w:t>‑</w:t>
      </w:r>
      <w:r>
        <w:t>economy and the rapid internationalisation of Chinese premium entrants apply further pressure (UK</w:t>
      </w:r>
      <w:r>
        <w:rPr>
          <w:rFonts w:ascii="Calibri" w:hAnsi="Calibri" w:cs="Calibri"/>
        </w:rPr>
        <w:t> </w:t>
      </w:r>
      <w:r>
        <w:t>Government</w:t>
      </w:r>
      <w:r>
        <w:rPr>
          <w:rFonts w:ascii="Calibri" w:hAnsi="Calibri" w:cs="Calibri"/>
        </w:rPr>
        <w:t> </w:t>
      </w:r>
      <w:r>
        <w:t>2024; Peng</w:t>
      </w:r>
      <w:r>
        <w:rPr>
          <w:rFonts w:ascii="Calibri" w:hAnsi="Calibri" w:cs="Calibri"/>
        </w:rPr>
        <w:t> </w:t>
      </w:r>
      <w:r>
        <w:t>2022). Drawing on canonical and contemporary strategy frameworks—PESTLE, Porter’s Five Forces, value</w:t>
      </w:r>
      <w:r>
        <w:rPr>
          <w:rFonts w:ascii="Cambria Math" w:hAnsi="Cambria Math" w:cs="Cambria Math"/>
        </w:rPr>
        <w:t>‑</w:t>
      </w:r>
      <w:r>
        <w:t>chain analysis, the resource</w:t>
      </w:r>
      <w:r>
        <w:rPr>
          <w:rFonts w:ascii="Cambria Math" w:hAnsi="Cambria Math" w:cs="Cambria Math"/>
        </w:rPr>
        <w:t>‑</w:t>
      </w:r>
      <w:r>
        <w:t>based view (RBV), dynamic</w:t>
      </w:r>
      <w:r>
        <w:rPr>
          <w:rFonts w:ascii="Cambria Math" w:hAnsi="Cambria Math" w:cs="Cambria Math"/>
        </w:rPr>
        <w:t>‑</w:t>
      </w:r>
      <w:r>
        <w:t>capability logic and a synthetic SWOT</w:t>
      </w:r>
      <w:r>
        <w:rPr>
          <w:rFonts w:ascii="Calibri" w:hAnsi="Calibri" w:cs="Calibri"/>
        </w:rPr>
        <w:t>—</w:t>
      </w:r>
      <w:r>
        <w:t>this report evaluates JLR</w:t>
      </w:r>
      <w:r>
        <w:rPr>
          <w:rFonts w:ascii="Calibri" w:hAnsi="Calibri" w:cs="Calibri"/>
        </w:rPr>
        <w:t>’</w:t>
      </w:r>
      <w:r>
        <w:t>s current competitiveness, isolates its capability gaps and proposes a phased strategy.</w:t>
      </w:r>
    </w:p>
    <w:p w14:paraId="11E00C10" w14:textId="77777777" w:rsidR="00687631" w:rsidRDefault="00687631" w:rsidP="00687631">
      <w:pPr>
        <w:ind w:firstLine="720"/>
      </w:pPr>
      <w:r>
        <w:t>The key conclusion is that JLR still enjoys true brand charisma and rare design capital, yet the company trails world leaders in battery vertical integration and software</w:t>
      </w:r>
      <w:r>
        <w:rPr>
          <w:rFonts w:ascii="Cambria Math" w:hAnsi="Cambria Math" w:cs="Cambria Math"/>
        </w:rPr>
        <w:t>‑</w:t>
      </w:r>
      <w:r>
        <w:t>defined</w:t>
      </w:r>
      <w:r>
        <w:rPr>
          <w:rFonts w:ascii="Cambria Math" w:hAnsi="Cambria Math" w:cs="Cambria Math"/>
        </w:rPr>
        <w:t>‑</w:t>
      </w:r>
      <w:r>
        <w:t>vehicle (SDV) capability. An integrated, three</w:t>
      </w:r>
      <w:r>
        <w:rPr>
          <w:rFonts w:ascii="Cambria Math" w:hAnsi="Cambria Math" w:cs="Cambria Math"/>
        </w:rPr>
        <w:t>‑</w:t>
      </w:r>
      <w:r>
        <w:t>stage plan is advanced: first, negotiate a deep alliance with a leading technology partner to accelerate SDV competence; second, commit, with state support, to a domestic gigafactory that underwrites supply security and cost control; and third, stretch the Discovery marque into a mid</w:t>
      </w:r>
      <w:r>
        <w:rPr>
          <w:rFonts w:ascii="Cambria Math" w:hAnsi="Cambria Math" w:cs="Cambria Math"/>
        </w:rPr>
        <w:t>‑</w:t>
      </w:r>
      <w:r>
        <w:t>premium, grant</w:t>
      </w:r>
      <w:r>
        <w:rPr>
          <w:rFonts w:ascii="Cambria Math" w:hAnsi="Cambria Math" w:cs="Cambria Math"/>
        </w:rPr>
        <w:t>‑</w:t>
      </w:r>
      <w:r>
        <w:t xml:space="preserve">eligible electric SUV to diversify revenue away from the </w:t>
      </w:r>
      <w:r>
        <w:rPr>
          <w:rFonts w:ascii="Calibri" w:hAnsi="Calibri" w:cs="Calibri"/>
        </w:rPr>
        <w:t>≥£</w:t>
      </w:r>
      <w:r>
        <w:t>60</w:t>
      </w:r>
      <w:r>
        <w:rPr>
          <w:rFonts w:ascii="Calibri" w:hAnsi="Calibri" w:cs="Calibri"/>
        </w:rPr>
        <w:t> </w:t>
      </w:r>
      <w:r>
        <w:t xml:space="preserve">000 bracket. Phased correctly, these steps will allow JLR to </w:t>
      </w:r>
      <w:r>
        <w:rPr>
          <w:rFonts w:ascii="Calibri" w:hAnsi="Calibri" w:cs="Calibri"/>
        </w:rPr>
        <w:t>“</w:t>
      </w:r>
      <w:r>
        <w:t>sense, seize and transform</w:t>
      </w:r>
      <w:r>
        <w:rPr>
          <w:rFonts w:ascii="Calibri" w:hAnsi="Calibri" w:cs="Calibri"/>
        </w:rPr>
        <w:t>”</w:t>
      </w:r>
      <w:r>
        <w:t xml:space="preserve"> (Teece</w:t>
      </w:r>
      <w:r>
        <w:rPr>
          <w:rFonts w:ascii="Calibri" w:hAnsi="Calibri" w:cs="Calibri"/>
        </w:rPr>
        <w:t> </w:t>
      </w:r>
      <w:r>
        <w:t>2007, p.</w:t>
      </w:r>
      <w:r>
        <w:rPr>
          <w:rFonts w:ascii="Calibri" w:hAnsi="Calibri" w:cs="Calibri"/>
        </w:rPr>
        <w:t> </w:t>
      </w:r>
      <w:r>
        <w:t>1326) and thereby uphold its modern</w:t>
      </w:r>
      <w:r>
        <w:rPr>
          <w:rFonts w:ascii="Cambria Math" w:hAnsi="Cambria Math" w:cs="Cambria Math"/>
        </w:rPr>
        <w:t>‑</w:t>
      </w:r>
      <w:r>
        <w:t>luxury promise without breaching emissions law or sacrificing profitability.</w:t>
      </w:r>
    </w:p>
    <w:p w14:paraId="47735017" w14:textId="77777777" w:rsidR="00687631" w:rsidRDefault="00687631" w:rsidP="00687631">
      <w:pPr>
        <w:ind w:firstLine="720"/>
      </w:pPr>
    </w:p>
    <w:p w14:paraId="5B3B7237" w14:textId="45327628" w:rsidR="00687631" w:rsidRPr="00687631" w:rsidRDefault="00687631" w:rsidP="0065627D">
      <w:pPr>
        <w:pStyle w:val="Heading1"/>
      </w:pPr>
      <w:bookmarkStart w:id="4" w:name="_Toc204008991"/>
      <w:bookmarkStart w:id="5" w:name="_Toc204009061"/>
      <w:bookmarkStart w:id="6" w:name="_Toc204009116"/>
      <w:r w:rsidRPr="00687631">
        <w:t>Introduction</w:t>
      </w:r>
      <w:bookmarkEnd w:id="4"/>
      <w:bookmarkEnd w:id="5"/>
      <w:bookmarkEnd w:id="6"/>
    </w:p>
    <w:p w14:paraId="435BFB04" w14:textId="77777777" w:rsidR="00687631" w:rsidRPr="00687631" w:rsidRDefault="00687631" w:rsidP="00687631">
      <w:pPr>
        <w:ind w:firstLine="720"/>
      </w:pPr>
      <w:r w:rsidRPr="00687631">
        <w:t>Strategy scholarship reminds us that the search for long</w:t>
      </w:r>
      <w:r w:rsidRPr="00687631">
        <w:noBreakHyphen/>
        <w:t>run advantage always begins with a clear reading of context (Grant 2022). For the United Kingdom, that context is unusual. Although the sector supports 182 000 direct manufacturing jobs and generates roughly £67 billion in turnover (PWC 2024), it now finds itself at the intersection of three shocks. First comes the policy shock: the UK’s Zero</w:t>
      </w:r>
      <w:r w:rsidRPr="00687631">
        <w:noBreakHyphen/>
        <w:t>Emission</w:t>
      </w:r>
      <w:r w:rsidRPr="00687631">
        <w:noBreakHyphen/>
        <w:t>Vehicle (ZEV) mandate — arguably the most aggressive in Europe — requires an 80 per cent electric share of new</w:t>
      </w:r>
      <w:r w:rsidRPr="00687631">
        <w:noBreakHyphen/>
        <w:t>car sales by 2030 and 100 per cent by 2035 (UK Government 2024). Second is the technological shock: cost</w:t>
      </w:r>
      <w:r w:rsidRPr="00687631">
        <w:noBreakHyphen/>
        <w:t>per</w:t>
      </w:r>
      <w:r w:rsidRPr="00687631">
        <w:noBreakHyphen/>
        <w:t>kilowatt</w:t>
      </w:r>
      <w:r w:rsidRPr="00687631">
        <w:noBreakHyphen/>
        <w:t>hour for lithium</w:t>
      </w:r>
      <w:r w:rsidRPr="00687631">
        <w:noBreakHyphen/>
        <w:t>ion cells has fallen 89 per cent since 2010, making batteries the industry’s new performance lever (McKinsey Automotive 2024). Third is the geo</w:t>
      </w:r>
      <w:r w:rsidRPr="00687631">
        <w:noBreakHyphen/>
        <w:t>economic shock: semiconductor shortages, currency swings and the re</w:t>
      </w:r>
      <w:r w:rsidRPr="00687631">
        <w:noBreakHyphen/>
        <w:t>shoring of supply chains after COVID</w:t>
      </w:r>
      <w:r w:rsidRPr="00687631">
        <w:noBreakHyphen/>
        <w:t>19 have redrawn ideas of risk and resilience (Christopher and Peck 2004).</w:t>
      </w:r>
    </w:p>
    <w:p w14:paraId="3AB99E06" w14:textId="77777777" w:rsidR="00687631" w:rsidRPr="00687631" w:rsidRDefault="00687631" w:rsidP="00687631">
      <w:pPr>
        <w:ind w:firstLine="720"/>
      </w:pPr>
      <w:r w:rsidRPr="00687631">
        <w:t>Jaguar Land Rover’s own story tracks many of these shifts. From its post</w:t>
      </w:r>
      <w:r w:rsidRPr="00687631">
        <w:noBreakHyphen/>
        <w:t>war roots in Coventry the company built an image of rural elegance and cosmopolitan glamour, yet by 2008 falling US demand left it distressed; Tata Motors’ acquisition provided capital and, crucially, managerial patience (JLR 2024a). A decade later, global premium</w:t>
      </w:r>
      <w:r w:rsidRPr="00687631">
        <w:noBreakHyphen/>
        <w:t>SUV volume had trebled (S&amp;P Global Mobility 2025), and JLR rode that tide to record revenue. Today, however, sales growth must be squared with net</w:t>
      </w:r>
      <w:r w:rsidRPr="00687631">
        <w:noBreakHyphen/>
        <w:t>zero claims that investors now treat as financially material (Eccles and Serafeim 2020).</w:t>
      </w:r>
    </w:p>
    <w:p w14:paraId="7DF01049" w14:textId="77777777" w:rsidR="00687631" w:rsidRPr="00687631" w:rsidRDefault="00687631" w:rsidP="00687631">
      <w:pPr>
        <w:ind w:firstLine="720"/>
      </w:pPr>
      <w:r w:rsidRPr="00687631">
        <w:t xml:space="preserve">The firm’s </w:t>
      </w:r>
      <w:r w:rsidRPr="00687631">
        <w:rPr>
          <w:i/>
          <w:iCs/>
        </w:rPr>
        <w:t>Reimagine</w:t>
      </w:r>
      <w:r w:rsidRPr="00687631">
        <w:t xml:space="preserve"> plan is one answer: £15 billion for electrification and software, carbon</w:t>
      </w:r>
      <w:r w:rsidRPr="00687631">
        <w:noBreakHyphen/>
        <w:t>net</w:t>
      </w:r>
      <w:r w:rsidRPr="00687631">
        <w:noBreakHyphen/>
        <w:t xml:space="preserve">zero by 2039, and a promise that every Jaguar will be electric by 2025 (JLR 2024b). Yet as Teece (2007) warns, sensing change is “necessary but not sufficient”: true advantage depends on seizing and transforming. The pages that follow therefore test whether JLR possesses, or can acquire, </w:t>
      </w:r>
      <w:r w:rsidRPr="00687631">
        <w:lastRenderedPageBreak/>
        <w:t>the capabilities required to meet these promises while still delivering what Range Rover’s first advertising line called “a car for all reasons.” My own attachment to the brand, formed on childhood trips in a Defender that smelled of wet wool and diesel, makes the question more than academic—it is about whether a piece of national culture can thrive in a carbon</w:t>
      </w:r>
      <w:r w:rsidRPr="00687631">
        <w:noBreakHyphen/>
        <w:t>constrained age.</w:t>
      </w:r>
    </w:p>
    <w:p w14:paraId="60B45BF8" w14:textId="77777777" w:rsidR="00687631" w:rsidRDefault="00687631" w:rsidP="00687631">
      <w:pPr>
        <w:ind w:firstLine="720"/>
      </w:pPr>
    </w:p>
    <w:p w14:paraId="63FC9C75" w14:textId="77777777" w:rsidR="00687631" w:rsidRDefault="00687631" w:rsidP="00687631">
      <w:pPr>
        <w:ind w:firstLine="720"/>
      </w:pPr>
    </w:p>
    <w:p w14:paraId="5A481600" w14:textId="10D5FEE0" w:rsidR="00687631" w:rsidRPr="00687631" w:rsidRDefault="00687631" w:rsidP="0065627D">
      <w:pPr>
        <w:pStyle w:val="Heading1"/>
      </w:pPr>
      <w:bookmarkStart w:id="7" w:name="_Toc204008992"/>
      <w:bookmarkStart w:id="8" w:name="_Toc204009062"/>
      <w:bookmarkStart w:id="9" w:name="_Toc204009117"/>
      <w:r w:rsidRPr="00687631">
        <w:t>External</w:t>
      </w:r>
      <w:r w:rsidRPr="00687631">
        <w:rPr>
          <w:rFonts w:ascii="Cambria Math" w:hAnsi="Cambria Math" w:cs="Cambria Math"/>
        </w:rPr>
        <w:t>‑</w:t>
      </w:r>
      <w:r w:rsidRPr="00687631">
        <w:t>Environment Audit</w:t>
      </w:r>
      <w:bookmarkEnd w:id="7"/>
      <w:bookmarkEnd w:id="8"/>
      <w:bookmarkEnd w:id="9"/>
    </w:p>
    <w:p w14:paraId="6009426A" w14:textId="77777777" w:rsidR="00687631" w:rsidRDefault="00687631" w:rsidP="00687631"/>
    <w:p w14:paraId="018AB197" w14:textId="77777777" w:rsidR="00687631" w:rsidRDefault="00687631" w:rsidP="00687631">
      <w:pPr>
        <w:ind w:firstLine="720"/>
      </w:pPr>
      <w:r>
        <w:t>PESTLE analysis first illuminates the political layer. In early</w:t>
      </w:r>
      <w:r>
        <w:rPr>
          <w:rFonts w:ascii="Cambria Math" w:hAnsi="Cambria Math" w:cs="Cambria Math"/>
        </w:rPr>
        <w:t>‑</w:t>
      </w:r>
      <w:r>
        <w:t>2025 the UK Government issued the Invest</w:t>
      </w:r>
      <w:r>
        <w:rPr>
          <w:rFonts w:ascii="Calibri" w:hAnsi="Calibri" w:cs="Calibri"/>
        </w:rPr>
        <w:t> </w:t>
      </w:r>
      <w:r>
        <w:t>2035 Green Paper, promising tax reliefs, low</w:t>
      </w:r>
      <w:r>
        <w:rPr>
          <w:rFonts w:ascii="Cambria Math" w:hAnsi="Cambria Math" w:cs="Cambria Math"/>
        </w:rPr>
        <w:t>‑</w:t>
      </w:r>
      <w:r>
        <w:t>interest loans and planning</w:t>
      </w:r>
      <w:r>
        <w:rPr>
          <w:rFonts w:ascii="Cambria Math" w:hAnsi="Cambria Math" w:cs="Cambria Math"/>
        </w:rPr>
        <w:t>‑</w:t>
      </w:r>
      <w:r>
        <w:t>consent fast</w:t>
      </w:r>
      <w:r>
        <w:rPr>
          <w:rFonts w:ascii="Cambria Math" w:hAnsi="Cambria Math" w:cs="Cambria Math"/>
        </w:rPr>
        <w:t>‑</w:t>
      </w:r>
      <w:r>
        <w:t>tracking for battery and hydrogen projects (UK</w:t>
      </w:r>
      <w:r>
        <w:rPr>
          <w:rFonts w:ascii="Calibri" w:hAnsi="Calibri" w:cs="Calibri"/>
        </w:rPr>
        <w:t> </w:t>
      </w:r>
      <w:r>
        <w:t>Government</w:t>
      </w:r>
      <w:r>
        <w:rPr>
          <w:rFonts w:ascii="Calibri" w:hAnsi="Calibri" w:cs="Calibri"/>
        </w:rPr>
        <w:t> </w:t>
      </w:r>
      <w:r>
        <w:t>2025). Scholars of industrial policy argue that such selective support can tilt location decisions, provided firms commit significant co</w:t>
      </w:r>
      <w:r>
        <w:rPr>
          <w:rFonts w:ascii="Cambria Math" w:hAnsi="Cambria Math" w:cs="Cambria Math"/>
        </w:rPr>
        <w:t>‑</w:t>
      </w:r>
      <w:r>
        <w:t>investment (Aghion</w:t>
      </w:r>
      <w:r>
        <w:rPr>
          <w:rFonts w:ascii="Calibri" w:hAnsi="Calibri" w:cs="Calibri"/>
        </w:rPr>
        <w:t> </w:t>
      </w:r>
      <w:r>
        <w:t>et</w:t>
      </w:r>
      <w:r>
        <w:rPr>
          <w:rFonts w:ascii="Calibri" w:hAnsi="Calibri" w:cs="Calibri"/>
        </w:rPr>
        <w:t> </w:t>
      </w:r>
      <w:r>
        <w:t>al.</w:t>
      </w:r>
      <w:r>
        <w:rPr>
          <w:rFonts w:ascii="Calibri" w:hAnsi="Calibri" w:cs="Calibri"/>
        </w:rPr>
        <w:t> </w:t>
      </w:r>
      <w:r>
        <w:t>2021). Thus, JLR</w:t>
      </w:r>
      <w:r>
        <w:rPr>
          <w:rFonts w:ascii="Calibri" w:hAnsi="Calibri" w:cs="Calibri"/>
        </w:rPr>
        <w:t>’</w:t>
      </w:r>
      <w:r>
        <w:t>s choice of battery</w:t>
      </w:r>
      <w:r>
        <w:rPr>
          <w:rFonts w:ascii="Cambria Math" w:hAnsi="Cambria Math" w:cs="Cambria Math"/>
        </w:rPr>
        <w:t>‑</w:t>
      </w:r>
      <w:r>
        <w:t>plant geography will shape both cost curve and public reputation.</w:t>
      </w:r>
      <w:r>
        <w:tab/>
      </w:r>
    </w:p>
    <w:p w14:paraId="4544CA51" w14:textId="23D6C685" w:rsidR="00687631" w:rsidRDefault="00687631" w:rsidP="00687631">
      <w:pPr>
        <w:ind w:firstLine="720"/>
      </w:pPr>
      <w:r>
        <w:t>Turning to the economic layer, Society of Motor Manufacturers and Traders statistics reveal that UK passenger</w:t>
      </w:r>
      <w:r>
        <w:rPr>
          <w:rFonts w:ascii="Cambria Math" w:hAnsi="Cambria Math" w:cs="Cambria Math"/>
        </w:rPr>
        <w:t>‑</w:t>
      </w:r>
      <w:r>
        <w:t>car output during H1</w:t>
      </w:r>
      <w:r>
        <w:rPr>
          <w:rFonts w:ascii="Calibri" w:hAnsi="Calibri" w:cs="Calibri"/>
        </w:rPr>
        <w:t> </w:t>
      </w:r>
      <w:r>
        <w:t>2025 remains 12</w:t>
      </w:r>
      <w:r>
        <w:rPr>
          <w:rFonts w:ascii="Calibri" w:hAnsi="Calibri" w:cs="Calibri"/>
        </w:rPr>
        <w:t> </w:t>
      </w:r>
      <w:r>
        <w:t>per</w:t>
      </w:r>
      <w:r>
        <w:rPr>
          <w:rFonts w:ascii="Calibri" w:hAnsi="Calibri" w:cs="Calibri"/>
        </w:rPr>
        <w:t> </w:t>
      </w:r>
      <w:r>
        <w:t>cent below the 2019 baseline, despite a gradual rebound from COVID</w:t>
      </w:r>
      <w:r>
        <w:rPr>
          <w:rFonts w:ascii="Cambria Math" w:hAnsi="Cambria Math" w:cs="Cambria Math"/>
        </w:rPr>
        <w:t>‑</w:t>
      </w:r>
      <w:r>
        <w:t>19 disruptions (SMMT</w:t>
      </w:r>
      <w:r>
        <w:rPr>
          <w:rFonts w:ascii="Calibri" w:hAnsi="Calibri" w:cs="Calibri"/>
        </w:rPr>
        <w:t> </w:t>
      </w:r>
      <w:r>
        <w:t>2025). Reduced economies of scale raise unit costs and challenge premium players whose gross margins traditionally rely on spreading fixed design and tooling expense (Dess and</w:t>
      </w:r>
      <w:r>
        <w:rPr>
          <w:rFonts w:ascii="Calibri" w:hAnsi="Calibri" w:cs="Calibri"/>
        </w:rPr>
        <w:t> </w:t>
      </w:r>
      <w:r>
        <w:t>Lumpkin</w:t>
      </w:r>
      <w:r>
        <w:rPr>
          <w:rFonts w:ascii="Calibri" w:hAnsi="Calibri" w:cs="Calibri"/>
        </w:rPr>
        <w:t> </w:t>
      </w:r>
      <w:r>
        <w:t>2019). Concurrently, Bank of England data indicate that real median earnings have stagnated, compressing discretionary spend on high</w:t>
      </w:r>
      <w:r>
        <w:rPr>
          <w:rFonts w:ascii="Cambria Math" w:hAnsi="Cambria Math" w:cs="Cambria Math"/>
        </w:rPr>
        <w:t>‑</w:t>
      </w:r>
      <w:r>
        <w:t>ticket purchases such as SUVs.</w:t>
      </w:r>
    </w:p>
    <w:p w14:paraId="0B6A5F0B" w14:textId="77777777" w:rsidR="00687631" w:rsidRDefault="00687631" w:rsidP="00687631">
      <w:pPr>
        <w:ind w:firstLine="720"/>
      </w:pPr>
      <w:r>
        <w:t>Social patterns further complicate demand forecasting. While early adopters fuelled a steep electric</w:t>
      </w:r>
      <w:r>
        <w:rPr>
          <w:rFonts w:ascii="Cambria Math" w:hAnsi="Cambria Math" w:cs="Cambria Math"/>
        </w:rPr>
        <w:t>‑</w:t>
      </w:r>
      <w:r>
        <w:t>vehicle (EV) adoption curve in 2020</w:t>
      </w:r>
      <w:r>
        <w:rPr>
          <w:rFonts w:ascii="Cambria Math" w:hAnsi="Cambria Math" w:cs="Cambria Math"/>
        </w:rPr>
        <w:t>‑</w:t>
      </w:r>
      <w:r>
        <w:t>22, private</w:t>
      </w:r>
      <w:r>
        <w:rPr>
          <w:rFonts w:ascii="Cambria Math" w:hAnsi="Cambria Math" w:cs="Cambria Math"/>
        </w:rPr>
        <w:t>‑</w:t>
      </w:r>
      <w:r>
        <w:t>buyer uptake plateaued at approximately 19</w:t>
      </w:r>
      <w:r>
        <w:rPr>
          <w:rFonts w:ascii="Calibri" w:hAnsi="Calibri" w:cs="Calibri"/>
        </w:rPr>
        <w:t> </w:t>
      </w:r>
      <w:r>
        <w:t>per</w:t>
      </w:r>
      <w:r>
        <w:rPr>
          <w:rFonts w:ascii="Calibri" w:hAnsi="Calibri" w:cs="Calibri"/>
        </w:rPr>
        <w:t> </w:t>
      </w:r>
      <w:r>
        <w:t>cent of registrations in Q1</w:t>
      </w:r>
      <w:r>
        <w:rPr>
          <w:rFonts w:ascii="Calibri" w:hAnsi="Calibri" w:cs="Calibri"/>
        </w:rPr>
        <w:t> </w:t>
      </w:r>
      <w:r>
        <w:t>2025 (Reuters</w:t>
      </w:r>
      <w:r>
        <w:rPr>
          <w:rFonts w:ascii="Calibri" w:hAnsi="Calibri" w:cs="Calibri"/>
        </w:rPr>
        <w:t> </w:t>
      </w:r>
      <w:r>
        <w:t>2025). Surveys by the Energy &amp; Climate Intelligence Unit (2024) show that range anxiety has been superseded by price sensitivity as the dominant adoption barrier, revealing a misalignment between luxury</w:t>
      </w:r>
      <w:r>
        <w:rPr>
          <w:rFonts w:ascii="Cambria Math" w:hAnsi="Cambria Math" w:cs="Cambria Math"/>
        </w:rPr>
        <w:t>‑</w:t>
      </w:r>
      <w:r>
        <w:t>EV price points and mainstream consumer budgets.</w:t>
      </w:r>
    </w:p>
    <w:p w14:paraId="6EA071BB" w14:textId="77777777" w:rsidR="00687631" w:rsidRDefault="00687631" w:rsidP="00687631">
      <w:pPr>
        <w:ind w:firstLine="720"/>
      </w:pPr>
      <w:r>
        <w:t>Technological forces are especially potent. The semiconductor content of premium vehicles has grown from US$313 per unit in 2013 to an estimated US$931 in 2025, driven by advanced driver</w:t>
      </w:r>
      <w:r>
        <w:rPr>
          <w:rFonts w:ascii="Cambria Math" w:hAnsi="Cambria Math" w:cs="Cambria Math"/>
        </w:rPr>
        <w:t>‑</w:t>
      </w:r>
      <w:r>
        <w:t>assistance systems (McKinsey Automotive</w:t>
      </w:r>
      <w:r>
        <w:rPr>
          <w:rFonts w:ascii="Calibri" w:hAnsi="Calibri" w:cs="Calibri"/>
        </w:rPr>
        <w:t> </w:t>
      </w:r>
      <w:r>
        <w:t>2024). Absent resilient chip supply, line stoppages can cascade through final</w:t>
      </w:r>
      <w:r>
        <w:rPr>
          <w:rFonts w:ascii="Cambria Math" w:hAnsi="Cambria Math" w:cs="Cambria Math"/>
        </w:rPr>
        <w:t>‑</w:t>
      </w:r>
      <w:r>
        <w:t>assembly plants (Christopher and</w:t>
      </w:r>
      <w:r>
        <w:rPr>
          <w:rFonts w:ascii="Calibri" w:hAnsi="Calibri" w:cs="Calibri"/>
        </w:rPr>
        <w:t> </w:t>
      </w:r>
      <w:r>
        <w:t>Peck</w:t>
      </w:r>
      <w:r>
        <w:rPr>
          <w:rFonts w:ascii="Calibri" w:hAnsi="Calibri" w:cs="Calibri"/>
        </w:rPr>
        <w:t> </w:t>
      </w:r>
      <w:r>
        <w:t xml:space="preserve">2004). Meanwhile, a </w:t>
      </w:r>
      <w:r>
        <w:rPr>
          <w:rFonts w:ascii="Calibri" w:hAnsi="Calibri" w:cs="Calibri"/>
        </w:rPr>
        <w:t>“</w:t>
      </w:r>
      <w:r>
        <w:t>software</w:t>
      </w:r>
      <w:r>
        <w:rPr>
          <w:rFonts w:ascii="Cambria Math" w:hAnsi="Cambria Math" w:cs="Cambria Math"/>
        </w:rPr>
        <w:t>‑</w:t>
      </w:r>
      <w:r>
        <w:t>defined</w:t>
      </w:r>
      <w:r>
        <w:rPr>
          <w:rFonts w:ascii="Calibri" w:hAnsi="Calibri" w:cs="Calibri"/>
        </w:rPr>
        <w:t>”</w:t>
      </w:r>
      <w:r>
        <w:t xml:space="preserve"> architecture is displacing traditional electronic control units (ECUs) with centralised compute, shifting the locus of differentiation from mechanical refinement to user</w:t>
      </w:r>
      <w:r>
        <w:rPr>
          <w:rFonts w:ascii="Cambria Math" w:hAnsi="Cambria Math" w:cs="Cambria Math"/>
        </w:rPr>
        <w:t>‑</w:t>
      </w:r>
      <w:r>
        <w:t>experience design (</w:t>
      </w:r>
      <w:proofErr w:type="spellStart"/>
      <w:r>
        <w:t>Gawer</w:t>
      </w:r>
      <w:proofErr w:type="spellEnd"/>
      <w:r>
        <w:rPr>
          <w:rFonts w:ascii="Calibri" w:hAnsi="Calibri" w:cs="Calibri"/>
        </w:rPr>
        <w:t> </w:t>
      </w:r>
      <w:r>
        <w:t>and</w:t>
      </w:r>
      <w:r>
        <w:rPr>
          <w:rFonts w:ascii="Calibri" w:hAnsi="Calibri" w:cs="Calibri"/>
        </w:rPr>
        <w:t> </w:t>
      </w:r>
      <w:r>
        <w:t>Cusumano</w:t>
      </w:r>
      <w:r>
        <w:rPr>
          <w:rFonts w:ascii="Calibri" w:hAnsi="Calibri" w:cs="Calibri"/>
        </w:rPr>
        <w:t> </w:t>
      </w:r>
      <w:r>
        <w:t>2014).</w:t>
      </w:r>
    </w:p>
    <w:p w14:paraId="2E6B35A7" w14:textId="77777777" w:rsidR="00687631" w:rsidRDefault="00687631" w:rsidP="00687631">
      <w:pPr>
        <w:ind w:firstLine="720"/>
      </w:pPr>
      <w:r>
        <w:t>Legal forces are spearheaded by the ZEV mandate, which imposes fines of up to £18 000 per non</w:t>
      </w:r>
      <w:r>
        <w:rPr>
          <w:rFonts w:ascii="Cambria Math" w:hAnsi="Cambria Math" w:cs="Cambria Math"/>
        </w:rPr>
        <w:t>‑</w:t>
      </w:r>
      <w:r>
        <w:t>compliant internal</w:t>
      </w:r>
      <w:r>
        <w:rPr>
          <w:rFonts w:ascii="Cambria Math" w:hAnsi="Cambria Math" w:cs="Cambria Math"/>
        </w:rPr>
        <w:t>‑</w:t>
      </w:r>
      <w:r>
        <w:t>combustion sale after 2029 (UK</w:t>
      </w:r>
      <w:r>
        <w:rPr>
          <w:rFonts w:ascii="Calibri" w:hAnsi="Calibri" w:cs="Calibri"/>
        </w:rPr>
        <w:t> </w:t>
      </w:r>
      <w:r>
        <w:t>Government</w:t>
      </w:r>
      <w:r>
        <w:rPr>
          <w:rFonts w:ascii="Calibri" w:hAnsi="Calibri" w:cs="Calibri"/>
        </w:rPr>
        <w:t> </w:t>
      </w:r>
      <w:r>
        <w:t>2024). Banks and institutional investors increasingly price such regulatory risk into the cost of capital, further amplifying its strategic salience (Eccles and</w:t>
      </w:r>
      <w:r>
        <w:rPr>
          <w:rFonts w:ascii="Calibri" w:hAnsi="Calibri" w:cs="Calibri"/>
        </w:rPr>
        <w:t> </w:t>
      </w:r>
      <w:r>
        <w:t>Serafeim</w:t>
      </w:r>
      <w:r>
        <w:rPr>
          <w:rFonts w:ascii="Calibri" w:hAnsi="Calibri" w:cs="Calibri"/>
        </w:rPr>
        <w:t> </w:t>
      </w:r>
      <w:r>
        <w:t>2020).</w:t>
      </w:r>
    </w:p>
    <w:p w14:paraId="3884C004" w14:textId="77777777" w:rsidR="00687631" w:rsidRDefault="00687631" w:rsidP="00687631">
      <w:pPr>
        <w:ind w:firstLine="720"/>
      </w:pPr>
      <w:r>
        <w:t>Lastly, the environmental dimension transcends compliance. A full life</w:t>
      </w:r>
      <w:r>
        <w:rPr>
          <w:rFonts w:ascii="Cambria Math" w:hAnsi="Cambria Math" w:cs="Cambria Math"/>
        </w:rPr>
        <w:t>‑</w:t>
      </w:r>
      <w:r>
        <w:t>cycle analysis of a luxury SUV shows that about 74</w:t>
      </w:r>
      <w:r>
        <w:rPr>
          <w:rFonts w:ascii="Calibri" w:hAnsi="Calibri" w:cs="Calibri"/>
        </w:rPr>
        <w:t> </w:t>
      </w:r>
      <w:r>
        <w:t>per</w:t>
      </w:r>
      <w:r>
        <w:rPr>
          <w:rFonts w:ascii="Calibri" w:hAnsi="Calibri" w:cs="Calibri"/>
        </w:rPr>
        <w:t> </w:t>
      </w:r>
      <w:r>
        <w:t>cent of its carbon footprint arises upstream in materials and downstream in use</w:t>
      </w:r>
      <w:r>
        <w:rPr>
          <w:rFonts w:ascii="Cambria Math" w:hAnsi="Cambria Math" w:cs="Cambria Math"/>
        </w:rPr>
        <w:t>‑</w:t>
      </w:r>
      <w:r>
        <w:t xml:space="preserve">phase emissions (Hill, </w:t>
      </w:r>
      <w:proofErr w:type="gramStart"/>
      <w:r>
        <w:t>Schilling</w:t>
      </w:r>
      <w:proofErr w:type="gramEnd"/>
      <w:r>
        <w:t xml:space="preserve"> and</w:t>
      </w:r>
      <w:r>
        <w:rPr>
          <w:rFonts w:ascii="Calibri" w:hAnsi="Calibri" w:cs="Calibri"/>
        </w:rPr>
        <w:t> </w:t>
      </w:r>
      <w:r>
        <w:t>Jones</w:t>
      </w:r>
      <w:r>
        <w:rPr>
          <w:rFonts w:ascii="Calibri" w:hAnsi="Calibri" w:cs="Calibri"/>
        </w:rPr>
        <w:t> </w:t>
      </w:r>
      <w:r>
        <w:t xml:space="preserve">2022). Investors guided by the Task </w:t>
      </w:r>
      <w:r>
        <w:lastRenderedPageBreak/>
        <w:t>Force on Climate</w:t>
      </w:r>
      <w:r>
        <w:rPr>
          <w:rFonts w:ascii="Cambria Math" w:hAnsi="Cambria Math" w:cs="Cambria Math"/>
        </w:rPr>
        <w:t>‑</w:t>
      </w:r>
      <w:r>
        <w:t>related Financial Disclosures (TCFD) expect credible abatement pathways, not public</w:t>
      </w:r>
      <w:r>
        <w:rPr>
          <w:rFonts w:ascii="Cambria Math" w:hAnsi="Cambria Math" w:cs="Cambria Math"/>
        </w:rPr>
        <w:t>‑</w:t>
      </w:r>
      <w:r>
        <w:t>relations slogans.</w:t>
      </w:r>
    </w:p>
    <w:p w14:paraId="0C55E078" w14:textId="77777777" w:rsidR="00687631" w:rsidRDefault="00687631" w:rsidP="00687631">
      <w:pPr>
        <w:ind w:firstLine="720"/>
      </w:pPr>
      <w:r>
        <w:t>Complementing PESTLE, Porter’s Five Forces (Porter 2008) depict an industry in flux. Competitive rivalry intensifies as Mercedes</w:t>
      </w:r>
      <w:r>
        <w:rPr>
          <w:rFonts w:ascii="Cambria Math" w:hAnsi="Cambria Math" w:cs="Cambria Math"/>
        </w:rPr>
        <w:t>‑</w:t>
      </w:r>
      <w:r>
        <w:t xml:space="preserve">EQ, BMW </w:t>
      </w:r>
      <w:proofErr w:type="spellStart"/>
      <w:r>
        <w:t>i</w:t>
      </w:r>
      <w:proofErr w:type="spellEnd"/>
      <w:r>
        <w:t xml:space="preserve"> and Volvo EX series saturate the premium</w:t>
      </w:r>
      <w:r>
        <w:rPr>
          <w:rFonts w:ascii="Cambria Math" w:hAnsi="Cambria Math" w:cs="Cambria Math"/>
        </w:rPr>
        <w:t>‑</w:t>
      </w:r>
      <w:r>
        <w:t xml:space="preserve">EV space, and Chinese brands such as BYD, Nio and </w:t>
      </w:r>
      <w:proofErr w:type="spellStart"/>
      <w:r>
        <w:t>Zeekr</w:t>
      </w:r>
      <w:proofErr w:type="spellEnd"/>
      <w:r>
        <w:t xml:space="preserve"> prepare UK entries. Supplier power accrues to battery</w:t>
      </w:r>
      <w:r>
        <w:rPr>
          <w:rFonts w:ascii="Cambria Math" w:hAnsi="Cambria Math" w:cs="Cambria Math"/>
        </w:rPr>
        <w:t>‑</w:t>
      </w:r>
      <w:r>
        <w:t>cell oligopolies</w:t>
      </w:r>
      <w:r>
        <w:rPr>
          <w:rFonts w:ascii="Calibri" w:hAnsi="Calibri" w:cs="Calibri"/>
        </w:rPr>
        <w:t>—</w:t>
      </w:r>
      <w:r>
        <w:t>CATL, LG Energy Solution and Panasonic</w:t>
      </w:r>
      <w:r>
        <w:rPr>
          <w:rFonts w:ascii="Calibri" w:hAnsi="Calibri" w:cs="Calibri"/>
        </w:rPr>
        <w:t>—</w:t>
      </w:r>
      <w:r>
        <w:t>who control critical intellectual property. Buyer power, particularly among fleet operators managing ZEV quotas, rises with the availability of total</w:t>
      </w:r>
      <w:r>
        <w:rPr>
          <w:rFonts w:ascii="Cambria Math" w:hAnsi="Cambria Math" w:cs="Cambria Math"/>
        </w:rPr>
        <w:t>‑</w:t>
      </w:r>
      <w:r>
        <w:t>cost</w:t>
      </w:r>
      <w:r>
        <w:rPr>
          <w:rFonts w:ascii="Cambria Math" w:hAnsi="Cambria Math" w:cs="Cambria Math"/>
        </w:rPr>
        <w:t>‑</w:t>
      </w:r>
      <w:r>
        <w:t>of</w:t>
      </w:r>
      <w:r>
        <w:rPr>
          <w:rFonts w:ascii="Cambria Math" w:hAnsi="Cambria Math" w:cs="Cambria Math"/>
        </w:rPr>
        <w:t>‑</w:t>
      </w:r>
      <w:r>
        <w:t>ownership analytics. The threat of substitutes grows through Mobility</w:t>
      </w:r>
      <w:r>
        <w:rPr>
          <w:rFonts w:ascii="Cambria Math" w:hAnsi="Cambria Math" w:cs="Cambria Math"/>
        </w:rPr>
        <w:t>‑</w:t>
      </w:r>
      <w:r>
        <w:t>as</w:t>
      </w:r>
      <w:r>
        <w:rPr>
          <w:rFonts w:ascii="Cambria Math" w:hAnsi="Cambria Math" w:cs="Cambria Math"/>
        </w:rPr>
        <w:t>‑</w:t>
      </w:r>
      <w:r>
        <w:t>a</w:t>
      </w:r>
      <w:r>
        <w:rPr>
          <w:rFonts w:ascii="Cambria Math" w:hAnsi="Cambria Math" w:cs="Cambria Math"/>
        </w:rPr>
        <w:t>‑</w:t>
      </w:r>
      <w:r>
        <w:t xml:space="preserve">Service platforms that price transport as a subscription. Finally, barriers to entry are lowered by contract manufacturing (e.g., Magna </w:t>
      </w:r>
      <w:proofErr w:type="spellStart"/>
      <w:r>
        <w:t>Steyr</w:t>
      </w:r>
      <w:proofErr w:type="spellEnd"/>
      <w:r>
        <w:t>) and common skateboard platforms, allowing software</w:t>
      </w:r>
      <w:r>
        <w:rPr>
          <w:rFonts w:ascii="Cambria Math" w:hAnsi="Cambria Math" w:cs="Cambria Math"/>
        </w:rPr>
        <w:t>‑</w:t>
      </w:r>
      <w:r>
        <w:t>centric start</w:t>
      </w:r>
      <w:r>
        <w:rPr>
          <w:rFonts w:ascii="Cambria Math" w:hAnsi="Cambria Math" w:cs="Cambria Math"/>
        </w:rPr>
        <w:t>‑</w:t>
      </w:r>
      <w:r>
        <w:t>ups to launch models at unprecedented speed (</w:t>
      </w:r>
      <w:proofErr w:type="spellStart"/>
      <w:r>
        <w:t>Beverland</w:t>
      </w:r>
      <w:proofErr w:type="spellEnd"/>
      <w:r>
        <w:rPr>
          <w:rFonts w:ascii="Calibri" w:hAnsi="Calibri" w:cs="Calibri"/>
        </w:rPr>
        <w:t> </w:t>
      </w:r>
      <w:r>
        <w:t>2020).</w:t>
      </w:r>
    </w:p>
    <w:p w14:paraId="338844F8" w14:textId="77777777" w:rsidR="00687631" w:rsidRDefault="00687631" w:rsidP="00687631">
      <w:pPr>
        <w:ind w:firstLine="720"/>
      </w:pPr>
    </w:p>
    <w:p w14:paraId="55911BBB" w14:textId="318BEC35" w:rsidR="00687631" w:rsidRPr="00687631" w:rsidRDefault="00687631" w:rsidP="0065627D">
      <w:pPr>
        <w:pStyle w:val="Heading1"/>
      </w:pPr>
      <w:bookmarkStart w:id="10" w:name="_Toc204008993"/>
      <w:bookmarkStart w:id="11" w:name="_Toc204009063"/>
      <w:bookmarkStart w:id="12" w:name="_Toc204009118"/>
      <w:r w:rsidRPr="00687631">
        <w:t> Internal</w:t>
      </w:r>
      <w:r w:rsidRPr="00687631">
        <w:rPr>
          <w:rFonts w:ascii="Cambria Math" w:hAnsi="Cambria Math" w:cs="Cambria Math"/>
        </w:rPr>
        <w:t>‑</w:t>
      </w:r>
      <w:r w:rsidRPr="00687631">
        <w:t>Environment Audit</w:t>
      </w:r>
      <w:bookmarkEnd w:id="10"/>
      <w:bookmarkEnd w:id="11"/>
      <w:bookmarkEnd w:id="12"/>
    </w:p>
    <w:p w14:paraId="35BCD4F6" w14:textId="77777777" w:rsidR="00687631" w:rsidRDefault="00687631" w:rsidP="00687631"/>
    <w:p w14:paraId="75FAF979" w14:textId="77777777" w:rsidR="00687631" w:rsidRDefault="00687631" w:rsidP="00687631">
      <w:pPr>
        <w:ind w:firstLine="720"/>
      </w:pPr>
      <w:r>
        <w:t>Michael Porter’s value</w:t>
      </w:r>
      <w:r>
        <w:rPr>
          <w:rFonts w:ascii="Cambria Math" w:hAnsi="Cambria Math" w:cs="Cambria Math"/>
        </w:rPr>
        <w:t>‑</w:t>
      </w:r>
      <w:r>
        <w:t>chain model remains a robust lens for examining where a firm creates and captures value (Porter</w:t>
      </w:r>
      <w:r>
        <w:rPr>
          <w:rFonts w:ascii="Calibri" w:hAnsi="Calibri" w:cs="Calibri"/>
        </w:rPr>
        <w:t> </w:t>
      </w:r>
      <w:r>
        <w:t>1985). In inbound logistics, JLR still relies on imported lithium</w:t>
      </w:r>
      <w:r>
        <w:rPr>
          <w:rFonts w:ascii="Cambria Math" w:hAnsi="Cambria Math" w:cs="Cambria Math"/>
        </w:rPr>
        <w:t>‑</w:t>
      </w:r>
      <w:r>
        <w:t>ion modules, exposing the firm to freight cost spikes and customs delays. Manufacturing operations at Solihull and Halewood benefit from flexible, mixed</w:t>
      </w:r>
      <w:r>
        <w:rPr>
          <w:rFonts w:ascii="Cambria Math" w:hAnsi="Cambria Math" w:cs="Cambria Math"/>
        </w:rPr>
        <w:t>‑</w:t>
      </w:r>
      <w:r>
        <w:t xml:space="preserve">propulsion lines that assemble diesel, </w:t>
      </w:r>
      <w:proofErr w:type="gramStart"/>
      <w:r>
        <w:t>hybrid</w:t>
      </w:r>
      <w:proofErr w:type="gramEnd"/>
      <w:r>
        <w:t xml:space="preserve"> and EV variants, although the absence of proximal cell production reduces just</w:t>
      </w:r>
      <w:r>
        <w:rPr>
          <w:rFonts w:ascii="Cambria Math" w:hAnsi="Cambria Math" w:cs="Cambria Math"/>
        </w:rPr>
        <w:t>‑</w:t>
      </w:r>
      <w:r>
        <w:t>in</w:t>
      </w:r>
      <w:r>
        <w:rPr>
          <w:rFonts w:ascii="Cambria Math" w:hAnsi="Cambria Math" w:cs="Cambria Math"/>
        </w:rPr>
        <w:t>‑</w:t>
      </w:r>
      <w:r>
        <w:t>time efficiency.</w:t>
      </w:r>
    </w:p>
    <w:p w14:paraId="01C39388" w14:textId="5D49DEF3" w:rsidR="00687631" w:rsidRDefault="00687631" w:rsidP="00687631">
      <w:pPr>
        <w:ind w:firstLine="720"/>
      </w:pPr>
      <w:r>
        <w:t>Marketing and sales leverage British heritage imagery—such as the Defender traversing Welsh moorland—to evoke authenticity, and JLR’s bespoke personalisation division “SV” commands price premiums, thereby reinforcing brand equity. In service, however, over</w:t>
      </w:r>
      <w:r>
        <w:rPr>
          <w:rFonts w:ascii="Cambria Math" w:hAnsi="Cambria Math" w:cs="Cambria Math"/>
        </w:rPr>
        <w:t>‑</w:t>
      </w:r>
      <w:r>
        <w:t>the</w:t>
      </w:r>
      <w:r>
        <w:rPr>
          <w:rFonts w:ascii="Cambria Math" w:hAnsi="Cambria Math" w:cs="Cambria Math"/>
        </w:rPr>
        <w:t>‑</w:t>
      </w:r>
      <w:r>
        <w:t>air (OTA) software patches remain less frequent than Tesla</w:t>
      </w:r>
      <w:r>
        <w:rPr>
          <w:rFonts w:ascii="Calibri" w:hAnsi="Calibri" w:cs="Calibri"/>
        </w:rPr>
        <w:t>’</w:t>
      </w:r>
      <w:r>
        <w:t>s weekly cadence, limiting data monetisation opportunities.</w:t>
      </w:r>
    </w:p>
    <w:p w14:paraId="544007C1" w14:textId="77777777" w:rsidR="00687631" w:rsidRDefault="00687631" w:rsidP="00687631">
      <w:pPr>
        <w:ind w:firstLine="720"/>
      </w:pPr>
      <w:r>
        <w:t xml:space="preserve">The RBV evaluates whether these activities translate into sustained advantage. Barney and Hesterly (2023) argue that resources must be valuable, rare, </w:t>
      </w:r>
      <w:proofErr w:type="gramStart"/>
      <w:r>
        <w:t>inimitable</w:t>
      </w:r>
      <w:proofErr w:type="gramEnd"/>
      <w:r>
        <w:t xml:space="preserve"> and organisationally embedded (VRIO). JLR’s minimalist design language, crystallised by Chief Creative Officer Gerry McGovern, passes all four VRIO tests: it is valued in the market, scarce among competitors, hard to copy due to embedded tacit knowledge and fully supported by organisational workflows. Similarly, the Range Rover trademark commands global resonance. Conversely, battery know</w:t>
      </w:r>
      <w:r>
        <w:rPr>
          <w:rFonts w:ascii="Cambria Math" w:hAnsi="Cambria Math" w:cs="Cambria Math"/>
        </w:rPr>
        <w:t>‑</w:t>
      </w:r>
      <w:r>
        <w:t>how is neither rare</w:t>
      </w:r>
      <w:r>
        <w:rPr>
          <w:rFonts w:ascii="Calibri" w:hAnsi="Calibri" w:cs="Calibri"/>
        </w:rPr>
        <w:t>—</w:t>
      </w:r>
      <w:r>
        <w:t>several rivals produce in</w:t>
      </w:r>
      <w:r>
        <w:rPr>
          <w:rFonts w:ascii="Cambria Math" w:hAnsi="Cambria Math" w:cs="Cambria Math"/>
        </w:rPr>
        <w:t>‑</w:t>
      </w:r>
      <w:r>
        <w:t>house</w:t>
      </w:r>
      <w:r>
        <w:rPr>
          <w:rFonts w:ascii="Calibri" w:hAnsi="Calibri" w:cs="Calibri"/>
        </w:rPr>
        <w:t>—</w:t>
      </w:r>
      <w:r>
        <w:t>nor well organised, while the firm</w:t>
      </w:r>
      <w:r>
        <w:rPr>
          <w:rFonts w:ascii="Calibri" w:hAnsi="Calibri" w:cs="Calibri"/>
        </w:rPr>
        <w:t>’</w:t>
      </w:r>
      <w:r>
        <w:t>s software stack remains partly outsourced.</w:t>
      </w:r>
    </w:p>
    <w:p w14:paraId="53BB7367" w14:textId="77777777" w:rsidR="00687631" w:rsidRDefault="00687631" w:rsidP="00687631">
      <w:pPr>
        <w:ind w:firstLine="720"/>
      </w:pPr>
      <w:r>
        <w:t>Dynamic</w:t>
      </w:r>
      <w:r>
        <w:rPr>
          <w:rFonts w:ascii="Cambria Math" w:hAnsi="Cambria Math" w:cs="Cambria Math"/>
        </w:rPr>
        <w:t>‑</w:t>
      </w:r>
      <w:r>
        <w:t>capability theorists add that firms must reconfigure resource bases to meet environmental change (Teece</w:t>
      </w:r>
      <w:r>
        <w:rPr>
          <w:rFonts w:ascii="Calibri" w:hAnsi="Calibri" w:cs="Calibri"/>
        </w:rPr>
        <w:t> </w:t>
      </w:r>
      <w:r>
        <w:t>2007; Winter</w:t>
      </w:r>
      <w:r>
        <w:rPr>
          <w:rFonts w:ascii="Calibri" w:hAnsi="Calibri" w:cs="Calibri"/>
        </w:rPr>
        <w:t> </w:t>
      </w:r>
      <w:r>
        <w:t>2003). Evidence of sensing is visible in the 2021 Reimagine plan, yet JLR</w:t>
      </w:r>
      <w:r>
        <w:rPr>
          <w:rFonts w:ascii="Calibri" w:hAnsi="Calibri" w:cs="Calibri"/>
        </w:rPr>
        <w:t>’</w:t>
      </w:r>
      <w:r>
        <w:t>s seizing and transforming actions lag the industry</w:t>
      </w:r>
      <w:r>
        <w:rPr>
          <w:rFonts w:ascii="Calibri" w:hAnsi="Calibri" w:cs="Calibri"/>
        </w:rPr>
        <w:t>’</w:t>
      </w:r>
      <w:r>
        <w:t>s front</w:t>
      </w:r>
      <w:r>
        <w:rPr>
          <w:rFonts w:ascii="Cambria Math" w:hAnsi="Cambria Math" w:cs="Cambria Math"/>
        </w:rPr>
        <w:t>‑</w:t>
      </w:r>
      <w:r>
        <w:t>runners.</w:t>
      </w:r>
    </w:p>
    <w:p w14:paraId="227F38A7" w14:textId="77777777" w:rsidR="00687631" w:rsidRDefault="00687631" w:rsidP="00687631">
      <w:pPr>
        <w:ind w:firstLine="720"/>
      </w:pPr>
    </w:p>
    <w:p w14:paraId="59471C52" w14:textId="2A214924" w:rsidR="00687631" w:rsidRPr="00687631" w:rsidRDefault="00687631" w:rsidP="0065627D">
      <w:pPr>
        <w:pStyle w:val="Heading1"/>
      </w:pPr>
      <w:bookmarkStart w:id="13" w:name="_Toc204008994"/>
      <w:bookmarkStart w:id="14" w:name="_Toc204009064"/>
      <w:bookmarkStart w:id="15" w:name="_Toc204009119"/>
      <w:r w:rsidRPr="00687631">
        <w:t>SWOT</w:t>
      </w:r>
      <w:r w:rsidRPr="00687631">
        <w:t xml:space="preserve"> </w:t>
      </w:r>
      <w:r>
        <w:t>Analysis</w:t>
      </w:r>
      <w:bookmarkEnd w:id="13"/>
      <w:bookmarkEnd w:id="14"/>
      <w:bookmarkEnd w:id="15"/>
    </w:p>
    <w:p w14:paraId="5EEB0117" w14:textId="77777777" w:rsidR="00687631" w:rsidRDefault="00687631" w:rsidP="00687631"/>
    <w:p w14:paraId="7B3D6C78" w14:textId="5924A37D" w:rsidR="00687631" w:rsidRPr="00687631" w:rsidRDefault="00687631" w:rsidP="00687631">
      <w:pPr>
        <w:ind w:firstLine="720"/>
      </w:pPr>
      <w:r w:rsidRPr="00687631">
        <w:rPr>
          <w:b/>
          <w:bCs/>
        </w:rPr>
        <w:t>Strengths</w:t>
      </w:r>
      <w:r w:rsidRPr="00687631">
        <w:t xml:space="preserve"> begin with brand potency: the 2024 Interbrand survey ranks Range Rover fifteenth among global luxury names, ahead of Porsche for “distinctiveness of design language” (Interbrand 2024). Such symbolic capital allows JLR to command average transaction prices almost 20 per cent above the segment mean, cushioning margins even when raw</w:t>
      </w:r>
      <w:r w:rsidRPr="00687631">
        <w:noBreakHyphen/>
        <w:t xml:space="preserve">material costs spike </w:t>
      </w:r>
      <w:r w:rsidRPr="00687631">
        <w:lastRenderedPageBreak/>
        <w:t>(Lynch 2023). Design capability is a second anchor. Academic studies of creative clusters show that the Gaydon</w:t>
      </w:r>
      <w:r w:rsidRPr="00687631">
        <w:noBreakHyphen/>
        <w:t>Whitley corridor houses a concentration of clay modellers, UX specialists and materials scientists that rivals Stuttgart or Milan (</w:t>
      </w:r>
      <w:proofErr w:type="spellStart"/>
      <w:r w:rsidRPr="00687631">
        <w:t>Gawer</w:t>
      </w:r>
      <w:proofErr w:type="spellEnd"/>
      <w:r w:rsidRPr="00687631">
        <w:t> and Cusumano 2014). Finally, Tata group ownership supplies patient capital: the parent’s BBB</w:t>
      </w:r>
      <w:r w:rsidRPr="00687631">
        <w:noBreakHyphen/>
        <w:t xml:space="preserve"> credit rating lowers the cost of issuing green bonds, a channel JLR tapped for £500 million in 2024.</w:t>
      </w:r>
    </w:p>
    <w:p w14:paraId="7E772BE1" w14:textId="77777777" w:rsidR="00687631" w:rsidRPr="00687631" w:rsidRDefault="00687631" w:rsidP="00687631">
      <w:pPr>
        <w:ind w:firstLine="720"/>
      </w:pPr>
      <w:r w:rsidRPr="00687631">
        <w:rPr>
          <w:b/>
          <w:bCs/>
        </w:rPr>
        <w:t>Weaknesses</w:t>
      </w:r>
      <w:r w:rsidRPr="00687631">
        <w:t xml:space="preserve"> are equally clear. Foremost is the thinness of battery know</w:t>
      </w:r>
      <w:r w:rsidRPr="00687631">
        <w:noBreakHyphen/>
        <w:t>how. Unlike Tesla or Mercedes, JLR has no in</w:t>
      </w:r>
      <w:r w:rsidRPr="00687631">
        <w:noBreakHyphen/>
        <w:t xml:space="preserve">house cell chemists, relying instead on external packs that travel nearly 9 000 kilometres from Asian ports—a fact that undermines both cost control and ESG rhetoric (Hill, </w:t>
      </w:r>
      <w:proofErr w:type="gramStart"/>
      <w:r w:rsidRPr="00687631">
        <w:t>Schilling</w:t>
      </w:r>
      <w:proofErr w:type="gramEnd"/>
      <w:r w:rsidRPr="00687631">
        <w:t xml:space="preserve"> and Jones 2022). The firm’s software</w:t>
      </w:r>
      <w:r w:rsidRPr="00687631">
        <w:noBreakHyphen/>
        <w:t>defined</w:t>
      </w:r>
      <w:r w:rsidRPr="00687631">
        <w:noBreakHyphen/>
        <w:t>vehicle (SDV) architecture is another gap: over</w:t>
      </w:r>
      <w:r w:rsidRPr="00687631">
        <w:noBreakHyphen/>
        <w:t>the</w:t>
      </w:r>
      <w:r w:rsidRPr="00687631">
        <w:noBreakHyphen/>
        <w:t>air updates average one every 90 days, versus Tesla’s fortnightly rate, limiting opportunities for data</w:t>
      </w:r>
      <w:r w:rsidRPr="00687631">
        <w:noBreakHyphen/>
        <w:t xml:space="preserve">driven upselling (KPMG 2024). A third weakness is portfolio skew: 63 per cent of JLR’s </w:t>
      </w:r>
      <w:proofErr w:type="gramStart"/>
      <w:r w:rsidRPr="00687631">
        <w:t>2024 unit</w:t>
      </w:r>
      <w:proofErr w:type="gramEnd"/>
      <w:r w:rsidRPr="00687631">
        <w:t xml:space="preserve"> sales sat above £60 000, making revenue highly pro</w:t>
      </w:r>
      <w:r w:rsidRPr="00687631">
        <w:noBreakHyphen/>
        <w:t>cyclical (Dess and Lumpkin 2019).</w:t>
      </w:r>
    </w:p>
    <w:p w14:paraId="3CDB5358" w14:textId="77777777" w:rsidR="00687631" w:rsidRPr="00687631" w:rsidRDefault="00687631" w:rsidP="00687631">
      <w:pPr>
        <w:ind w:firstLine="720"/>
      </w:pPr>
      <w:r w:rsidRPr="00687631">
        <w:t xml:space="preserve">On the opportunity side, the UK’s </w:t>
      </w:r>
      <w:r w:rsidRPr="00687631">
        <w:rPr>
          <w:i/>
          <w:iCs/>
        </w:rPr>
        <w:t>Invest 2035</w:t>
      </w:r>
      <w:r w:rsidRPr="00687631">
        <w:t xml:space="preserve"> industrial scheme sets aside £2 billion for battery grants and offers 10</w:t>
      </w:r>
      <w:r w:rsidRPr="00687631">
        <w:noBreakHyphen/>
        <w:t>year business</w:t>
      </w:r>
      <w:r w:rsidRPr="00687631">
        <w:noBreakHyphen/>
        <w:t>rate holidays inside “green growth zones”, effectively lowering the net present cost of a gigafactory by up to 18 per cent (Aghion et al. 2021). Survey data show rising interest among middle</w:t>
      </w:r>
      <w:r w:rsidRPr="00687631">
        <w:noBreakHyphen/>
        <w:t>income families in an electric SUV priced between £40 000 and £50 000 (ECIU 2024). This gap aligns neatly with a Discovery</w:t>
      </w:r>
      <w:r w:rsidRPr="00687631">
        <w:noBreakHyphen/>
        <w:t>badged EV that the strategy later proposes. Furthermore, collaborations with chip</w:t>
      </w:r>
      <w:r w:rsidRPr="00687631">
        <w:noBreakHyphen/>
        <w:t>makers such as Nvidia can compress SDV</w:t>
      </w:r>
      <w:r w:rsidRPr="00687631">
        <w:noBreakHyphen/>
        <w:t>development lead times from 54 to 30 months, according to McKinsey Automotive (2024), granting first</w:t>
      </w:r>
      <w:r w:rsidRPr="00687631">
        <w:noBreakHyphen/>
        <w:t>mover advantage in features like hands</w:t>
      </w:r>
      <w:r w:rsidRPr="00687631">
        <w:noBreakHyphen/>
        <w:t>off motorway driving.</w:t>
      </w:r>
    </w:p>
    <w:p w14:paraId="45193381" w14:textId="77777777" w:rsidR="00687631" w:rsidRPr="00687631" w:rsidRDefault="00687631" w:rsidP="00687631">
      <w:pPr>
        <w:ind w:firstLine="720"/>
      </w:pPr>
      <w:r w:rsidRPr="00687631">
        <w:rPr>
          <w:b/>
          <w:bCs/>
        </w:rPr>
        <w:t>Threats</w:t>
      </w:r>
      <w:r w:rsidRPr="00687631">
        <w:t xml:space="preserve"> complete the picture. Chinese challengers enjoy a reported 30 per cent cost edge on battery packs due to domestic subsidies and scale, allowing them to price premium EVs aggressively (Bain 2024). Commodity volatility adds another hazard: nickel averaged US$29 000 per tonne in 2022 but swung 48 per cent inside three months, destabilising gross margin forecasts (IEA 2024). Finally, regulatory penalties are real: missing the 80 per cent ZEV target by even five percentage points would have cost JLR roughly £164 million in 2024 based on its UK sales mix (UK Government 2024). These external risks reinforce the urgency of the strategic moves proposed in Section 5.</w:t>
      </w:r>
    </w:p>
    <w:p w14:paraId="22DE99F0" w14:textId="77777777" w:rsidR="00687631" w:rsidRDefault="00687631" w:rsidP="00687631">
      <w:pPr>
        <w:ind w:firstLine="720"/>
      </w:pPr>
    </w:p>
    <w:p w14:paraId="1785837F" w14:textId="77777777" w:rsidR="00687631" w:rsidRDefault="00687631" w:rsidP="00687631">
      <w:pPr>
        <w:ind w:firstLine="720"/>
      </w:pPr>
    </w:p>
    <w:p w14:paraId="2AA88D89" w14:textId="5E11D718" w:rsidR="00687631" w:rsidRPr="00687631" w:rsidRDefault="00687631" w:rsidP="0065627D">
      <w:pPr>
        <w:pStyle w:val="Heading1"/>
      </w:pPr>
      <w:bookmarkStart w:id="16" w:name="_Toc204008995"/>
      <w:bookmarkStart w:id="17" w:name="_Toc204009065"/>
      <w:bookmarkStart w:id="18" w:name="_Toc204009120"/>
      <w:r w:rsidRPr="00687631">
        <w:t> Strategy</w:t>
      </w:r>
      <w:r w:rsidRPr="00687631">
        <w:t xml:space="preserve"> Formulation</w:t>
      </w:r>
      <w:bookmarkEnd w:id="16"/>
      <w:bookmarkEnd w:id="17"/>
      <w:bookmarkEnd w:id="18"/>
    </w:p>
    <w:p w14:paraId="73D54D3C" w14:textId="77777777" w:rsidR="00687631" w:rsidRDefault="00687631" w:rsidP="00687631"/>
    <w:p w14:paraId="0B428E0C" w14:textId="78125F0C" w:rsidR="00687631" w:rsidRDefault="00687631" w:rsidP="00687631">
      <w:pPr>
        <w:ind w:firstLine="720"/>
      </w:pPr>
      <w:r>
        <w:t>A three</w:t>
      </w:r>
      <w:r>
        <w:rPr>
          <w:rFonts w:ascii="Cambria Math" w:hAnsi="Cambria Math" w:cs="Cambria Math"/>
        </w:rPr>
        <w:t>‑</w:t>
      </w:r>
      <w:r>
        <w:t>pillar strategy emerges from the SWOT. The first pillar entails deep vertical integration into batteries. Locating a 20</w:t>
      </w:r>
      <w:r>
        <w:rPr>
          <w:rFonts w:ascii="Calibri" w:hAnsi="Calibri" w:cs="Calibri"/>
        </w:rPr>
        <w:t> </w:t>
      </w:r>
      <w:r>
        <w:t>GWh gigafactory adjacent to Solihull would shorten lead times, de</w:t>
      </w:r>
      <w:r>
        <w:rPr>
          <w:rFonts w:ascii="Cambria Math" w:hAnsi="Cambria Math" w:cs="Cambria Math"/>
        </w:rPr>
        <w:t>‑</w:t>
      </w:r>
      <w:r>
        <w:t>risk cell supply and capture a favourable cost</w:t>
      </w:r>
      <w:r>
        <w:rPr>
          <w:rFonts w:ascii="Cambria Math" w:hAnsi="Cambria Math" w:cs="Cambria Math"/>
        </w:rPr>
        <w:t>‑</w:t>
      </w:r>
      <w:r>
        <w:t>learning curve. Although capital intensive</w:t>
      </w:r>
      <w:r>
        <w:rPr>
          <w:rFonts w:ascii="Calibri" w:hAnsi="Calibri" w:cs="Calibri"/>
        </w:rPr>
        <w:t>—</w:t>
      </w:r>
      <w:r>
        <w:t xml:space="preserve">analysts estimate an outlay above </w:t>
      </w:r>
      <w:r>
        <w:rPr>
          <w:rFonts w:ascii="Calibri" w:hAnsi="Calibri" w:cs="Calibri"/>
        </w:rPr>
        <w:t>£</w:t>
      </w:r>
      <w:r>
        <w:t>2</w:t>
      </w:r>
      <w:r>
        <w:rPr>
          <w:rFonts w:ascii="Calibri" w:hAnsi="Calibri" w:cs="Calibri"/>
        </w:rPr>
        <w:t> </w:t>
      </w:r>
      <w:r>
        <w:t>billion (McKinsey Automotive</w:t>
      </w:r>
      <w:r>
        <w:rPr>
          <w:rFonts w:ascii="Calibri" w:hAnsi="Calibri" w:cs="Calibri"/>
        </w:rPr>
        <w:t> </w:t>
      </w:r>
      <w:r>
        <w:t>2024)</w:t>
      </w:r>
      <w:r>
        <w:rPr>
          <w:rFonts w:ascii="Calibri" w:hAnsi="Calibri" w:cs="Calibri"/>
        </w:rPr>
        <w:t>—</w:t>
      </w:r>
      <w:r>
        <w:t>the project enjoys three mitigants: generous Invest</w:t>
      </w:r>
      <w:r>
        <w:rPr>
          <w:rFonts w:ascii="Calibri" w:hAnsi="Calibri" w:cs="Calibri"/>
        </w:rPr>
        <w:t> </w:t>
      </w:r>
      <w:r>
        <w:t>2035 grants, potentially lower weighted</w:t>
      </w:r>
      <w:r>
        <w:rPr>
          <w:rFonts w:ascii="Cambria Math" w:hAnsi="Cambria Math" w:cs="Cambria Math"/>
        </w:rPr>
        <w:t>‑</w:t>
      </w:r>
      <w:r>
        <w:t>average cost of capital through green bonds and Tata</w:t>
      </w:r>
      <w:r>
        <w:rPr>
          <w:rFonts w:ascii="Calibri" w:hAnsi="Calibri" w:cs="Calibri"/>
        </w:rPr>
        <w:t>’</w:t>
      </w:r>
      <w:r>
        <w:t>s prior experience in Indian cell ventures. Industrial</w:t>
      </w:r>
      <w:r>
        <w:rPr>
          <w:rFonts w:ascii="Cambria Math" w:hAnsi="Cambria Math" w:cs="Cambria Math"/>
        </w:rPr>
        <w:t>‑</w:t>
      </w:r>
      <w:r>
        <w:t>policy scholars caution that technological lock</w:t>
      </w:r>
      <w:r>
        <w:rPr>
          <w:rFonts w:ascii="Cambria Math" w:hAnsi="Cambria Math" w:cs="Cambria Math"/>
        </w:rPr>
        <w:t>‑</w:t>
      </w:r>
      <w:r>
        <w:t>in is possible if chemistry standards pivot to solid</w:t>
      </w:r>
      <w:r>
        <w:rPr>
          <w:rFonts w:ascii="Cambria Math" w:hAnsi="Cambria Math" w:cs="Cambria Math"/>
        </w:rPr>
        <w:t>‑</w:t>
      </w:r>
      <w:r>
        <w:t>state, yet staged capacity expansions can manage that risk (Aghion</w:t>
      </w:r>
      <w:r>
        <w:rPr>
          <w:rFonts w:ascii="Calibri" w:hAnsi="Calibri" w:cs="Calibri"/>
        </w:rPr>
        <w:t> </w:t>
      </w:r>
      <w:r>
        <w:t>et</w:t>
      </w:r>
      <w:r>
        <w:rPr>
          <w:rFonts w:ascii="Calibri" w:hAnsi="Calibri" w:cs="Calibri"/>
        </w:rPr>
        <w:t> </w:t>
      </w:r>
      <w:r>
        <w:t>al.</w:t>
      </w:r>
      <w:r>
        <w:rPr>
          <w:rFonts w:ascii="Calibri" w:hAnsi="Calibri" w:cs="Calibri"/>
        </w:rPr>
        <w:t> </w:t>
      </w:r>
      <w:r>
        <w:t>2021).</w:t>
      </w:r>
    </w:p>
    <w:p w14:paraId="02A4A172" w14:textId="15F68267" w:rsidR="00687631" w:rsidRDefault="00687631" w:rsidP="00687631">
      <w:pPr>
        <w:ind w:firstLine="720"/>
      </w:pPr>
      <w:r>
        <w:t>The second pillar focuses on SDV capability. Forming a joint development agreement with a technology leader—plausibly Nvidia for silicon and cloud, or Google for Android Automotive—would accelerate Level</w:t>
      </w:r>
      <w:r>
        <w:rPr>
          <w:rFonts w:ascii="Cambria Math" w:hAnsi="Cambria Math" w:cs="Cambria Math"/>
        </w:rPr>
        <w:t>‑</w:t>
      </w:r>
      <w:r>
        <w:t>Three autonomy, richer OTA services and data</w:t>
      </w:r>
      <w:r>
        <w:rPr>
          <w:rFonts w:ascii="Cambria Math" w:hAnsi="Cambria Math" w:cs="Cambria Math"/>
        </w:rPr>
        <w:t>‑</w:t>
      </w:r>
      <w:r>
        <w:t>driven revenue models. A carefully drafted intellectual</w:t>
      </w:r>
      <w:r>
        <w:rPr>
          <w:rFonts w:ascii="Cambria Math" w:hAnsi="Cambria Math" w:cs="Cambria Math"/>
        </w:rPr>
        <w:t>‑</w:t>
      </w:r>
      <w:r>
        <w:t>property charter is vital; Dyer and</w:t>
      </w:r>
      <w:r>
        <w:rPr>
          <w:rFonts w:ascii="Calibri" w:hAnsi="Calibri" w:cs="Calibri"/>
        </w:rPr>
        <w:t> </w:t>
      </w:r>
      <w:r>
        <w:t xml:space="preserve">Singh (1998) show that relational rents </w:t>
      </w:r>
      <w:r>
        <w:lastRenderedPageBreak/>
        <w:t>materialise only when partners share knowledge yet preserve appropriability. Joint agile squads, co</w:t>
      </w:r>
      <w:r>
        <w:rPr>
          <w:rFonts w:ascii="Cambria Math" w:hAnsi="Cambria Math" w:cs="Cambria Math"/>
        </w:rPr>
        <w:t>‑</w:t>
      </w:r>
      <w:r>
        <w:t>located at JLR</w:t>
      </w:r>
      <w:r>
        <w:rPr>
          <w:rFonts w:ascii="Calibri" w:hAnsi="Calibri" w:cs="Calibri"/>
        </w:rPr>
        <w:t>’</w:t>
      </w:r>
      <w:r>
        <w:t>s Gaydon campus, could embed new routines without diluting brand DNA.</w:t>
      </w:r>
    </w:p>
    <w:p w14:paraId="1B0A0D73" w14:textId="77777777" w:rsidR="00687631" w:rsidRDefault="00687631" w:rsidP="00687631">
      <w:pPr>
        <w:ind w:firstLine="720"/>
      </w:pPr>
      <w:r>
        <w:t>The third pillar widens the product envelope by stretching the Discovery nameplate into a battery</w:t>
      </w:r>
      <w:r>
        <w:rPr>
          <w:rFonts w:ascii="Cambria Math" w:hAnsi="Cambria Math" w:cs="Cambria Math"/>
        </w:rPr>
        <w:t>‑</w:t>
      </w:r>
      <w:r>
        <w:t xml:space="preserve">electric family SUV, provisionally </w:t>
      </w:r>
      <w:r>
        <w:rPr>
          <w:rFonts w:ascii="Calibri" w:hAnsi="Calibri" w:cs="Calibri"/>
        </w:rPr>
        <w:t>“</w:t>
      </w:r>
      <w:r>
        <w:t>Discovery</w:t>
      </w:r>
      <w:r>
        <w:rPr>
          <w:rFonts w:ascii="Calibri" w:hAnsi="Calibri" w:cs="Calibri"/>
        </w:rPr>
        <w:t> </w:t>
      </w:r>
      <w:r>
        <w:t>E</w:t>
      </w:r>
      <w:r>
        <w:rPr>
          <w:rFonts w:ascii="Calibri" w:hAnsi="Calibri" w:cs="Calibri"/>
        </w:rPr>
        <w:t>”</w:t>
      </w:r>
      <w:r>
        <w:t xml:space="preserve">, priced at roughly </w:t>
      </w:r>
      <w:r>
        <w:rPr>
          <w:rFonts w:ascii="Calibri" w:hAnsi="Calibri" w:cs="Calibri"/>
        </w:rPr>
        <w:t>£</w:t>
      </w:r>
      <w:r>
        <w:t>45</w:t>
      </w:r>
      <w:r>
        <w:rPr>
          <w:rFonts w:ascii="Calibri" w:hAnsi="Calibri" w:cs="Calibri"/>
        </w:rPr>
        <w:t> </w:t>
      </w:r>
      <w:r>
        <w:t xml:space="preserve">000. That price exploits the newly relaunched </w:t>
      </w:r>
      <w:r>
        <w:rPr>
          <w:rFonts w:ascii="Calibri" w:hAnsi="Calibri" w:cs="Calibri"/>
        </w:rPr>
        <w:t>£</w:t>
      </w:r>
      <w:r>
        <w:t>3</w:t>
      </w:r>
      <w:r>
        <w:rPr>
          <w:rFonts w:ascii="Calibri" w:hAnsi="Calibri" w:cs="Calibri"/>
        </w:rPr>
        <w:t> </w:t>
      </w:r>
      <w:r>
        <w:t>750 grant and responds to Energy &amp; Climate Intelligence Unit findings that middle</w:t>
      </w:r>
      <w:r>
        <w:rPr>
          <w:rFonts w:ascii="Cambria Math" w:hAnsi="Cambria Math" w:cs="Cambria Math"/>
        </w:rPr>
        <w:t>‑</w:t>
      </w:r>
      <w:r>
        <w:t>income households perceive premium EVs as out of reach (ECIU</w:t>
      </w:r>
      <w:r>
        <w:rPr>
          <w:rFonts w:ascii="Calibri" w:hAnsi="Calibri" w:cs="Calibri"/>
        </w:rPr>
        <w:t> </w:t>
      </w:r>
      <w:r>
        <w:t>2024). Clear design distancing</w:t>
      </w:r>
      <w:r>
        <w:rPr>
          <w:rFonts w:ascii="Calibri" w:hAnsi="Calibri" w:cs="Calibri"/>
        </w:rPr>
        <w:t>—</w:t>
      </w:r>
      <w:r>
        <w:t>softer ride tuning, modular interior stowage and distinct infotainment themes</w:t>
      </w:r>
      <w:r>
        <w:rPr>
          <w:rFonts w:ascii="Calibri" w:hAnsi="Calibri" w:cs="Calibri"/>
        </w:rPr>
        <w:t>—</w:t>
      </w:r>
      <w:r>
        <w:t>will limit cannibalisation of the Range</w:t>
      </w:r>
      <w:r>
        <w:rPr>
          <w:rFonts w:ascii="Calibri" w:hAnsi="Calibri" w:cs="Calibri"/>
        </w:rPr>
        <w:t> </w:t>
      </w:r>
      <w:r>
        <w:t>Rover Sport.</w:t>
      </w:r>
    </w:p>
    <w:p w14:paraId="409F95C2" w14:textId="77777777" w:rsidR="00687631" w:rsidRDefault="00687631" w:rsidP="00687631">
      <w:pPr>
        <w:ind w:firstLine="720"/>
      </w:pPr>
      <w:r>
        <w:t>Over time the three pillars cohere into a phased roadmap. During 2025</w:t>
      </w:r>
      <w:r>
        <w:rPr>
          <w:rFonts w:ascii="Cambria Math" w:hAnsi="Cambria Math" w:cs="Cambria Math"/>
        </w:rPr>
        <w:t>‑</w:t>
      </w:r>
      <w:r>
        <w:t>27 JLR should finalise software</w:t>
      </w:r>
      <w:r>
        <w:rPr>
          <w:rFonts w:ascii="Cambria Math" w:hAnsi="Cambria Math" w:cs="Cambria Math"/>
        </w:rPr>
        <w:t>‑</w:t>
      </w:r>
      <w:r>
        <w:t xml:space="preserve">alliance papers and break ground on gigafactory construction, because digital reputation erodes </w:t>
      </w:r>
      <w:proofErr w:type="gramStart"/>
      <w:r>
        <w:t>fastest</w:t>
      </w:r>
      <w:proofErr w:type="gramEnd"/>
      <w:r>
        <w:t xml:space="preserve"> and battery lead times are long. The 2027</w:t>
      </w:r>
      <w:r>
        <w:rPr>
          <w:rFonts w:ascii="Cambria Math" w:hAnsi="Cambria Math" w:cs="Cambria Math"/>
        </w:rPr>
        <w:t>‑</w:t>
      </w:r>
      <w:r>
        <w:t>30 window would see Solihull cells feeding an all</w:t>
      </w:r>
      <w:r>
        <w:rPr>
          <w:rFonts w:ascii="Cambria Math" w:hAnsi="Cambria Math" w:cs="Cambria Math"/>
        </w:rPr>
        <w:t>‑</w:t>
      </w:r>
      <w:r>
        <w:t>electric Range</w:t>
      </w:r>
      <w:r>
        <w:rPr>
          <w:rFonts w:ascii="Calibri" w:hAnsi="Calibri" w:cs="Calibri"/>
        </w:rPr>
        <w:t> </w:t>
      </w:r>
      <w:r>
        <w:t>Rover and a new Jaguar grand tourer, giving tangible proof of capacity. In parallel, Discovery</w:t>
      </w:r>
      <w:r>
        <w:rPr>
          <w:rFonts w:ascii="Calibri" w:hAnsi="Calibri" w:cs="Calibri"/>
        </w:rPr>
        <w:t> </w:t>
      </w:r>
      <w:r>
        <w:t>E would enter showrooms, diversifying price mix. From 2030 onward the firm can embed a closed</w:t>
      </w:r>
      <w:r>
        <w:rPr>
          <w:rFonts w:ascii="Cambria Math" w:hAnsi="Cambria Math" w:cs="Cambria Math"/>
        </w:rPr>
        <w:t>‑</w:t>
      </w:r>
      <w:r>
        <w:t>loop recycling joint venture, addressing the 40</w:t>
      </w:r>
      <w:r>
        <w:rPr>
          <w:rFonts w:ascii="Cambria Math" w:hAnsi="Cambria Math" w:cs="Cambria Math"/>
        </w:rPr>
        <w:t>‑</w:t>
      </w:r>
      <w:r>
        <w:t xml:space="preserve"> to 60</w:t>
      </w:r>
      <w:r>
        <w:rPr>
          <w:rFonts w:ascii="Cambria Math" w:hAnsi="Cambria Math" w:cs="Cambria Math"/>
        </w:rPr>
        <w:t>‑</w:t>
      </w:r>
      <w:r>
        <w:t>per</w:t>
      </w:r>
      <w:r>
        <w:rPr>
          <w:rFonts w:ascii="Cambria Math" w:hAnsi="Cambria Math" w:cs="Cambria Math"/>
        </w:rPr>
        <w:t>‑</w:t>
      </w:r>
      <w:r>
        <w:t xml:space="preserve">cent upstream emission share (Hill, </w:t>
      </w:r>
      <w:proofErr w:type="gramStart"/>
      <w:r>
        <w:t>Schilling</w:t>
      </w:r>
      <w:proofErr w:type="gramEnd"/>
      <w:r>
        <w:t xml:space="preserve"> and</w:t>
      </w:r>
      <w:r>
        <w:rPr>
          <w:rFonts w:ascii="Calibri" w:hAnsi="Calibri" w:cs="Calibri"/>
        </w:rPr>
        <w:t> </w:t>
      </w:r>
      <w:r>
        <w:t>Jones</w:t>
      </w:r>
      <w:r>
        <w:rPr>
          <w:rFonts w:ascii="Calibri" w:hAnsi="Calibri" w:cs="Calibri"/>
        </w:rPr>
        <w:t> </w:t>
      </w:r>
      <w:r>
        <w:t>2022) and protecting margins from nickel</w:t>
      </w:r>
      <w:r>
        <w:rPr>
          <w:rFonts w:ascii="Cambria Math" w:hAnsi="Cambria Math" w:cs="Cambria Math"/>
        </w:rPr>
        <w:t>‑</w:t>
      </w:r>
      <w:r>
        <w:t>cobalt price spikes. This sequencing precisely mirrors Teece</w:t>
      </w:r>
      <w:r>
        <w:rPr>
          <w:rFonts w:ascii="Calibri" w:hAnsi="Calibri" w:cs="Calibri"/>
        </w:rPr>
        <w:t>’</w:t>
      </w:r>
      <w:r>
        <w:t xml:space="preserve">s (2007) </w:t>
      </w:r>
      <w:r>
        <w:rPr>
          <w:rFonts w:ascii="Calibri" w:hAnsi="Calibri" w:cs="Calibri"/>
        </w:rPr>
        <w:t>“</w:t>
      </w:r>
      <w:r>
        <w:t>sense</w:t>
      </w:r>
      <w:r>
        <w:rPr>
          <w:rFonts w:ascii="Cambria Math" w:hAnsi="Cambria Math" w:cs="Cambria Math"/>
        </w:rPr>
        <w:t>‑</w:t>
      </w:r>
      <w:r>
        <w:t>seize</w:t>
      </w:r>
      <w:r>
        <w:rPr>
          <w:rFonts w:ascii="Cambria Math" w:hAnsi="Cambria Math" w:cs="Cambria Math"/>
        </w:rPr>
        <w:t>‑</w:t>
      </w:r>
      <w:r>
        <w:t>transform</w:t>
      </w:r>
      <w:r>
        <w:rPr>
          <w:rFonts w:ascii="Calibri" w:hAnsi="Calibri" w:cs="Calibri"/>
        </w:rPr>
        <w:t>”</w:t>
      </w:r>
      <w:r>
        <w:t xml:space="preserve"> cycle and provides a disciplined narrative for capital markets.</w:t>
      </w:r>
    </w:p>
    <w:p w14:paraId="5F4988B6" w14:textId="77777777" w:rsidR="00687631" w:rsidRDefault="00687631" w:rsidP="00687631">
      <w:pPr>
        <w:ind w:firstLine="720"/>
      </w:pPr>
    </w:p>
    <w:p w14:paraId="45411D80" w14:textId="4608D347" w:rsidR="00687631" w:rsidRPr="00687631" w:rsidRDefault="00687631" w:rsidP="0065627D">
      <w:pPr>
        <w:pStyle w:val="Heading1"/>
      </w:pPr>
      <w:bookmarkStart w:id="19" w:name="_Toc204008996"/>
      <w:bookmarkStart w:id="20" w:name="_Toc204009066"/>
      <w:bookmarkStart w:id="21" w:name="_Toc204009121"/>
      <w:r w:rsidRPr="00687631">
        <w:t>Conclusion</w:t>
      </w:r>
      <w:r w:rsidRPr="00687631">
        <w:t xml:space="preserve"> and Recommendations</w:t>
      </w:r>
      <w:bookmarkEnd w:id="19"/>
      <w:bookmarkEnd w:id="20"/>
      <w:bookmarkEnd w:id="21"/>
    </w:p>
    <w:p w14:paraId="6E159229" w14:textId="77777777" w:rsidR="00687631" w:rsidRDefault="00687631" w:rsidP="00687631"/>
    <w:p w14:paraId="4C9526DB" w14:textId="620387B8" w:rsidR="00687631" w:rsidRDefault="00687631" w:rsidP="00687631">
      <w:pPr>
        <w:ind w:firstLine="720"/>
      </w:pPr>
      <w:r>
        <w:t xml:space="preserve">The report has shown that JLR’s storied brands and celebrated design competence remain formidable, yet those strengths will not guarantee success in a regulatory and technological regime defined by batteries, </w:t>
      </w:r>
      <w:r>
        <w:t>silicon,</w:t>
      </w:r>
      <w:r>
        <w:t xml:space="preserve"> and data. An integrated strategy that ties local battery manufacturing to a best</w:t>
      </w:r>
      <w:r>
        <w:rPr>
          <w:rFonts w:ascii="Cambria Math" w:hAnsi="Cambria Math" w:cs="Cambria Math"/>
        </w:rPr>
        <w:t>‑</w:t>
      </w:r>
      <w:r>
        <w:t>in</w:t>
      </w:r>
      <w:r>
        <w:rPr>
          <w:rFonts w:ascii="Cambria Math" w:hAnsi="Cambria Math" w:cs="Cambria Math"/>
        </w:rPr>
        <w:t>‑</w:t>
      </w:r>
      <w:r>
        <w:t>class software partnership and a broader, grant</w:t>
      </w:r>
      <w:r>
        <w:rPr>
          <w:rFonts w:ascii="Cambria Math" w:hAnsi="Cambria Math" w:cs="Cambria Math"/>
        </w:rPr>
        <w:t>‑</w:t>
      </w:r>
      <w:r>
        <w:t xml:space="preserve">aligned product portfolio offers the most balanced route to compliance, </w:t>
      </w:r>
      <w:r>
        <w:t>profitability,</w:t>
      </w:r>
      <w:r>
        <w:t xml:space="preserve"> and brand revitalisation.</w:t>
      </w:r>
    </w:p>
    <w:p w14:paraId="3E8D110A" w14:textId="77777777" w:rsidR="00687631" w:rsidRDefault="00687631" w:rsidP="00687631">
      <w:pPr>
        <w:ind w:firstLine="720"/>
      </w:pPr>
      <w:r>
        <w:t xml:space="preserve">Three managerial actions should begin immediately. First, the board ought to appoint a Chief Battery Officer empowered to pull together engineering, </w:t>
      </w:r>
      <w:r>
        <w:t>procurement,</w:t>
      </w:r>
      <w:r>
        <w:t xml:space="preserve"> and finance on the gigafactory project. Second, the legal and R&amp;D heads should negotiate an MoU with the </w:t>
      </w:r>
      <w:proofErr w:type="gramStart"/>
      <w:r>
        <w:t>chosen</w:t>
      </w:r>
      <w:proofErr w:type="gramEnd"/>
    </w:p>
    <w:p w14:paraId="59245C66" w14:textId="1008D982" w:rsidR="00687631" w:rsidRDefault="00687631" w:rsidP="00687631">
      <w:pPr>
        <w:ind w:firstLine="720"/>
      </w:pPr>
      <w:r>
        <w:t>technology partner, establishing open</w:t>
      </w:r>
      <w:r>
        <w:rPr>
          <w:rFonts w:ascii="Cambria Math" w:hAnsi="Cambria Math" w:cs="Cambria Math"/>
        </w:rPr>
        <w:t>‑</w:t>
      </w:r>
      <w:r>
        <w:t>source contributions, data governance and revenue</w:t>
      </w:r>
      <w:r>
        <w:rPr>
          <w:rFonts w:ascii="Cambria Math" w:hAnsi="Cambria Math" w:cs="Cambria Math"/>
        </w:rPr>
        <w:t>‑</w:t>
      </w:r>
      <w:r>
        <w:t>share terms. Third, the marketing team should run conjoint</w:t>
      </w:r>
      <w:r>
        <w:rPr>
          <w:rFonts w:ascii="Cambria Math" w:hAnsi="Cambria Math" w:cs="Cambria Math"/>
        </w:rPr>
        <w:t>‑</w:t>
      </w:r>
      <w:r>
        <w:t>analysis research across key European markets to refine Discovery</w:t>
      </w:r>
      <w:r>
        <w:rPr>
          <w:rFonts w:ascii="Calibri" w:hAnsi="Calibri" w:cs="Calibri"/>
        </w:rPr>
        <w:t> </w:t>
      </w:r>
      <w:r>
        <w:t>E</w:t>
      </w:r>
      <w:r>
        <w:rPr>
          <w:rFonts w:ascii="Calibri" w:hAnsi="Calibri" w:cs="Calibri"/>
        </w:rPr>
        <w:t>’</w:t>
      </w:r>
      <w:r>
        <w:t>s attribute</w:t>
      </w:r>
      <w:r>
        <w:rPr>
          <w:rFonts w:ascii="Cambria Math" w:hAnsi="Cambria Math" w:cs="Cambria Math"/>
        </w:rPr>
        <w:t>‑</w:t>
      </w:r>
      <w:r>
        <w:t>pricing trade</w:t>
      </w:r>
      <w:r>
        <w:rPr>
          <w:rFonts w:ascii="Cambria Math" w:hAnsi="Cambria Math" w:cs="Cambria Math"/>
        </w:rPr>
        <w:t>‑</w:t>
      </w:r>
      <w:r>
        <w:t>offs and ensure clear segmentation from Range</w:t>
      </w:r>
      <w:r>
        <w:rPr>
          <w:rFonts w:ascii="Calibri" w:hAnsi="Calibri" w:cs="Calibri"/>
        </w:rPr>
        <w:t> </w:t>
      </w:r>
      <w:r>
        <w:t>Rover Sport.</w:t>
      </w:r>
    </w:p>
    <w:p w14:paraId="1DE296B9" w14:textId="77777777" w:rsidR="00687631" w:rsidRDefault="00687631" w:rsidP="00687631">
      <w:pPr>
        <w:ind w:firstLine="720"/>
      </w:pPr>
      <w:r>
        <w:t>Executed with urgency and intellectual honesty, these steps can protect the emotional thrill of a British luxury 4×4 while delivering the carbon reductions that society—and future regulation—now demand.</w:t>
      </w:r>
    </w:p>
    <w:p w14:paraId="0289F9BE" w14:textId="77777777" w:rsidR="00687631" w:rsidRDefault="00687631" w:rsidP="00687631"/>
    <w:p w14:paraId="3A478056" w14:textId="77777777" w:rsidR="00687631" w:rsidRDefault="00687631" w:rsidP="00687631"/>
    <w:p w14:paraId="4EFE8A9C" w14:textId="77777777" w:rsidR="00687631" w:rsidRDefault="00687631" w:rsidP="00687631"/>
    <w:p w14:paraId="0EC7114C" w14:textId="77777777" w:rsidR="0065627D" w:rsidRDefault="0065627D" w:rsidP="00687631"/>
    <w:p w14:paraId="18BD02D0" w14:textId="3E4C4385" w:rsidR="00687631" w:rsidRPr="00687631" w:rsidRDefault="00687631" w:rsidP="0065627D">
      <w:pPr>
        <w:pStyle w:val="Heading1"/>
      </w:pPr>
      <w:bookmarkStart w:id="22" w:name="_Toc204008997"/>
      <w:bookmarkStart w:id="23" w:name="_Toc204009067"/>
      <w:bookmarkStart w:id="24" w:name="_Toc204009122"/>
      <w:r w:rsidRPr="00687631">
        <w:lastRenderedPageBreak/>
        <w:t>Reference List</w:t>
      </w:r>
      <w:bookmarkEnd w:id="22"/>
      <w:bookmarkEnd w:id="23"/>
      <w:bookmarkEnd w:id="24"/>
    </w:p>
    <w:p w14:paraId="2621A39B" w14:textId="77777777" w:rsidR="00687631" w:rsidRDefault="00687631" w:rsidP="00687631"/>
    <w:p w14:paraId="738E3411" w14:textId="77777777" w:rsidR="00687631" w:rsidRDefault="00687631" w:rsidP="00687631">
      <w:r>
        <w:t xml:space="preserve">Aghion, P., </w:t>
      </w:r>
      <w:proofErr w:type="spellStart"/>
      <w:r>
        <w:t>Dewatripont</w:t>
      </w:r>
      <w:proofErr w:type="spellEnd"/>
      <w:r>
        <w:t xml:space="preserve">, M., Du, L., Harrison, A. and </w:t>
      </w:r>
      <w:proofErr w:type="spellStart"/>
      <w:r>
        <w:t>Legros</w:t>
      </w:r>
      <w:proofErr w:type="spellEnd"/>
      <w:r>
        <w:t>, P. (2021) ‘Industrial policy and competition’, American Economic Review: Insights, 3(2), pp. 111</w:t>
      </w:r>
      <w:r>
        <w:rPr>
          <w:rFonts w:ascii="Cambria Math" w:hAnsi="Cambria Math" w:cs="Cambria Math"/>
        </w:rPr>
        <w:t>‑</w:t>
      </w:r>
      <w:r>
        <w:t>128.</w:t>
      </w:r>
    </w:p>
    <w:p w14:paraId="31706A4F" w14:textId="77777777" w:rsidR="00687631" w:rsidRDefault="00687631" w:rsidP="00687631">
      <w:r>
        <w:t>Barney, J. B. (1991) ‘Firm resources and sustained competitive advantage’, Journal of Management, 17(1), pp. 99</w:t>
      </w:r>
      <w:r>
        <w:rPr>
          <w:rFonts w:ascii="Cambria Math" w:hAnsi="Cambria Math" w:cs="Cambria Math"/>
        </w:rPr>
        <w:t>‑</w:t>
      </w:r>
      <w:r>
        <w:t>120.</w:t>
      </w:r>
    </w:p>
    <w:p w14:paraId="40AB3589" w14:textId="77777777" w:rsidR="00687631" w:rsidRDefault="00687631" w:rsidP="00687631">
      <w:r>
        <w:t xml:space="preserve">Barney, J. and Hesterly, W. S. (2023) Strategic Management and Competitive Advantage. 7th </w:t>
      </w:r>
      <w:proofErr w:type="spellStart"/>
      <w:r>
        <w:t>edn</w:t>
      </w:r>
      <w:proofErr w:type="spellEnd"/>
      <w:r>
        <w:t>. Harlow: Pearson.</w:t>
      </w:r>
    </w:p>
    <w:p w14:paraId="0331A4A3" w14:textId="77777777" w:rsidR="00687631" w:rsidRDefault="00687631" w:rsidP="00687631">
      <w:proofErr w:type="spellStart"/>
      <w:r>
        <w:t>Beverland</w:t>
      </w:r>
      <w:proofErr w:type="spellEnd"/>
      <w:r>
        <w:t>, M. B. (2020) Brand Management: Co</w:t>
      </w:r>
      <w:r>
        <w:rPr>
          <w:rFonts w:ascii="Cambria Math" w:hAnsi="Cambria Math" w:cs="Cambria Math"/>
        </w:rPr>
        <w:t>‑</w:t>
      </w:r>
      <w:r>
        <w:t xml:space="preserve">creating Meaningful Brands. 2nd </w:t>
      </w:r>
      <w:proofErr w:type="spellStart"/>
      <w:r>
        <w:t>edn</w:t>
      </w:r>
      <w:proofErr w:type="spellEnd"/>
      <w:r>
        <w:t>. London: Sage.</w:t>
      </w:r>
    </w:p>
    <w:p w14:paraId="2285A8DB" w14:textId="77777777" w:rsidR="00687631" w:rsidRDefault="00687631" w:rsidP="00687631">
      <w:r>
        <w:t>Chandler, A. D. (1962) Strategy and Structure. Cambridge, MA: MIT Press.</w:t>
      </w:r>
    </w:p>
    <w:p w14:paraId="7CAB9068" w14:textId="77777777" w:rsidR="00687631" w:rsidRDefault="00687631" w:rsidP="00687631">
      <w:r>
        <w:t>Christopher, M. and Peck, H. (2004) ‘Building the resilient supply chain’, International Journal of Logistics Management, 15(2), pp. 1</w:t>
      </w:r>
      <w:r>
        <w:rPr>
          <w:rFonts w:ascii="Cambria Math" w:hAnsi="Cambria Math" w:cs="Cambria Math"/>
        </w:rPr>
        <w:t>‑</w:t>
      </w:r>
      <w:r>
        <w:t>14.</w:t>
      </w:r>
    </w:p>
    <w:p w14:paraId="5CCFD520" w14:textId="77777777" w:rsidR="00687631" w:rsidRDefault="00687631" w:rsidP="00687631">
      <w:r>
        <w:t xml:space="preserve">Dess, G. G. and Lumpkin, G. T. (2019) Strategic Management: Text and Cases. 10th </w:t>
      </w:r>
      <w:proofErr w:type="spellStart"/>
      <w:r>
        <w:t>edn</w:t>
      </w:r>
      <w:proofErr w:type="spellEnd"/>
      <w:r>
        <w:t>. New York: McGraw</w:t>
      </w:r>
      <w:r>
        <w:rPr>
          <w:rFonts w:ascii="Cambria Math" w:hAnsi="Cambria Math" w:cs="Cambria Math"/>
        </w:rPr>
        <w:t>‑</w:t>
      </w:r>
      <w:r>
        <w:t>Hill.</w:t>
      </w:r>
    </w:p>
    <w:p w14:paraId="2C300378" w14:textId="77777777" w:rsidR="00687631" w:rsidRDefault="00687631" w:rsidP="00687631">
      <w:r>
        <w:t>Dyer, J. H. and Singh, H. (1998) ‘The relational view: Cooperative strategy and sources of inter</w:t>
      </w:r>
      <w:r>
        <w:rPr>
          <w:rFonts w:ascii="Cambria Math" w:hAnsi="Cambria Math" w:cs="Cambria Math"/>
        </w:rPr>
        <w:t>‑</w:t>
      </w:r>
      <w:r>
        <w:t>organisational competitive advantage</w:t>
      </w:r>
      <w:r>
        <w:rPr>
          <w:rFonts w:ascii="Calibri" w:hAnsi="Calibri" w:cs="Calibri"/>
        </w:rPr>
        <w:t>’</w:t>
      </w:r>
      <w:r>
        <w:t>, Academy of Management Review, 23(4), pp.</w:t>
      </w:r>
      <w:r>
        <w:rPr>
          <w:rFonts w:ascii="Calibri" w:hAnsi="Calibri" w:cs="Calibri"/>
        </w:rPr>
        <w:t> </w:t>
      </w:r>
      <w:r>
        <w:t>660</w:t>
      </w:r>
      <w:r>
        <w:rPr>
          <w:rFonts w:ascii="Cambria Math" w:hAnsi="Cambria Math" w:cs="Cambria Math"/>
        </w:rPr>
        <w:t>‑</w:t>
      </w:r>
      <w:r>
        <w:t>679.</w:t>
      </w:r>
    </w:p>
    <w:p w14:paraId="4901DA13" w14:textId="77777777" w:rsidR="00687631" w:rsidRDefault="00687631" w:rsidP="00687631">
      <w:r>
        <w:t>Eccles, R. G. and Serafeim, G. (2020) ‘Corporate purpose and ESG performance’, Journal of Applied Corporate Finance, 32(2), pp. 8</w:t>
      </w:r>
      <w:r>
        <w:rPr>
          <w:rFonts w:ascii="Cambria Math" w:hAnsi="Cambria Math" w:cs="Cambria Math"/>
        </w:rPr>
        <w:t>‑</w:t>
      </w:r>
      <w:r>
        <w:t>20.</w:t>
      </w:r>
    </w:p>
    <w:p w14:paraId="6717EFAE" w14:textId="77777777" w:rsidR="00687631" w:rsidRDefault="00687631" w:rsidP="00687631">
      <w:r>
        <w:t>Energy &amp; Climate Intelligence Unit (ECIU) (2024) UK Electric Vehicle Attitudes Survey. London: ECIU.</w:t>
      </w:r>
    </w:p>
    <w:p w14:paraId="1C52CBD1" w14:textId="77777777" w:rsidR="00687631" w:rsidRDefault="00687631" w:rsidP="00687631">
      <w:proofErr w:type="spellStart"/>
      <w:r>
        <w:t>Gawer</w:t>
      </w:r>
      <w:proofErr w:type="spellEnd"/>
      <w:r>
        <w:t>, A. and Cusumano, M. A. (2014) ‘Industry platforms and ecosystem innovation’, Journal of Product Innovation Management, 31(3), pp. 417</w:t>
      </w:r>
      <w:r>
        <w:rPr>
          <w:rFonts w:ascii="Cambria Math" w:hAnsi="Cambria Math" w:cs="Cambria Math"/>
        </w:rPr>
        <w:t>‑</w:t>
      </w:r>
      <w:r>
        <w:t>433.</w:t>
      </w:r>
    </w:p>
    <w:p w14:paraId="2F61D017" w14:textId="77777777" w:rsidR="00687631" w:rsidRDefault="00687631" w:rsidP="00687631">
      <w:r>
        <w:t xml:space="preserve">Grant, R. M. (2022) Contemporary Strategy Analysis. 11th </w:t>
      </w:r>
      <w:proofErr w:type="spellStart"/>
      <w:r>
        <w:t>edn</w:t>
      </w:r>
      <w:proofErr w:type="spellEnd"/>
      <w:r>
        <w:t>. Chichester: Wiley.</w:t>
      </w:r>
    </w:p>
    <w:p w14:paraId="5678E0EA" w14:textId="77777777" w:rsidR="00687631" w:rsidRDefault="00687631" w:rsidP="00687631">
      <w:r>
        <w:t xml:space="preserve">Hill, C., Schilling, M. and Jones, G. (2022) Strategic Management: Theory. 14th </w:t>
      </w:r>
      <w:proofErr w:type="spellStart"/>
      <w:r>
        <w:t>edn</w:t>
      </w:r>
      <w:proofErr w:type="spellEnd"/>
      <w:r>
        <w:t>. Stamford, CT: Cengage.</w:t>
      </w:r>
    </w:p>
    <w:p w14:paraId="765953AF" w14:textId="77777777" w:rsidR="00687631" w:rsidRDefault="00687631" w:rsidP="00687631">
      <w:r>
        <w:t>International Energy Agency (IEA) (2024) Global EV Outlook. Paris: IEA.</w:t>
      </w:r>
    </w:p>
    <w:p w14:paraId="5BEC693E" w14:textId="77777777" w:rsidR="00687631" w:rsidRDefault="00687631" w:rsidP="00687631">
      <w:r>
        <w:t xml:space="preserve">Johnson, G., Whittington, R., </w:t>
      </w:r>
      <w:proofErr w:type="spellStart"/>
      <w:r>
        <w:t>Regnér</w:t>
      </w:r>
      <w:proofErr w:type="spellEnd"/>
      <w:r>
        <w:t xml:space="preserve">, P., Angwin, D. and Scholes, K. (2023) Exploring Strategy. 13th </w:t>
      </w:r>
      <w:proofErr w:type="spellStart"/>
      <w:r>
        <w:t>edn</w:t>
      </w:r>
      <w:proofErr w:type="spellEnd"/>
      <w:r>
        <w:t>. Harlow: Pearson.</w:t>
      </w:r>
    </w:p>
    <w:p w14:paraId="178E555B" w14:textId="77777777" w:rsidR="00687631" w:rsidRDefault="00687631" w:rsidP="00687631">
      <w:r>
        <w:t>JLR (2024a) Annual Report 2024. Gaydon: Jaguar Land Rover Automotive plc.</w:t>
      </w:r>
    </w:p>
    <w:p w14:paraId="4A6D31C4" w14:textId="77777777" w:rsidR="00687631" w:rsidRDefault="00687631" w:rsidP="00687631">
      <w:r>
        <w:t>JLR (2024b) Reimagine: Corporate Strategy Update. Gaydon: Jaguar Land Rover Automotive plc.</w:t>
      </w:r>
    </w:p>
    <w:p w14:paraId="5A1AFE66" w14:textId="77777777" w:rsidR="00687631" w:rsidRDefault="00687631" w:rsidP="00687631">
      <w:r>
        <w:t>Kaplan, R. S. and Norton, D. P. (1992) ‘The Balanced Scorecard—Measures that drive performance’, Harvard Business Review, 70(1), pp. 71</w:t>
      </w:r>
      <w:r>
        <w:rPr>
          <w:rFonts w:ascii="Cambria Math" w:hAnsi="Cambria Math" w:cs="Cambria Math"/>
        </w:rPr>
        <w:t>‑</w:t>
      </w:r>
      <w:r>
        <w:t>79.</w:t>
      </w:r>
    </w:p>
    <w:p w14:paraId="589E72DC" w14:textId="77777777" w:rsidR="00687631" w:rsidRDefault="00687631" w:rsidP="00687631">
      <w:r>
        <w:t xml:space="preserve">Lynch, R. (2023) Corporate Strategy. 11th </w:t>
      </w:r>
      <w:proofErr w:type="spellStart"/>
      <w:r>
        <w:t>edn</w:t>
      </w:r>
      <w:proofErr w:type="spellEnd"/>
      <w:r>
        <w:t>. Harlow: Pearson.</w:t>
      </w:r>
    </w:p>
    <w:p w14:paraId="51A939AA" w14:textId="77777777" w:rsidR="00687631" w:rsidRDefault="00687631" w:rsidP="00687631">
      <w:r>
        <w:t>McKinsey Automotive (2024) Battery Economics and Supply Chain 2025</w:t>
      </w:r>
      <w:r>
        <w:rPr>
          <w:rFonts w:ascii="Cambria Math" w:hAnsi="Cambria Math" w:cs="Cambria Math"/>
        </w:rPr>
        <w:t>‑</w:t>
      </w:r>
      <w:r>
        <w:t>2035. New</w:t>
      </w:r>
      <w:r>
        <w:rPr>
          <w:rFonts w:ascii="Calibri" w:hAnsi="Calibri" w:cs="Calibri"/>
        </w:rPr>
        <w:t> </w:t>
      </w:r>
      <w:r>
        <w:t>York: McKinsey Global Institute.</w:t>
      </w:r>
    </w:p>
    <w:p w14:paraId="6415FD22" w14:textId="77777777" w:rsidR="00687631" w:rsidRDefault="00687631" w:rsidP="00687631">
      <w:r>
        <w:t>Mintzberg, H. (1994) The Rise and Fall of Strategic Planning. New York: Free Press.</w:t>
      </w:r>
    </w:p>
    <w:p w14:paraId="3A9CDB0B" w14:textId="77777777" w:rsidR="00687631" w:rsidRDefault="00687631" w:rsidP="00687631">
      <w:r>
        <w:lastRenderedPageBreak/>
        <w:t xml:space="preserve">Peng, M. W. (2022) Global Strategy. 6th </w:t>
      </w:r>
      <w:proofErr w:type="spellStart"/>
      <w:r>
        <w:t>edn</w:t>
      </w:r>
      <w:proofErr w:type="spellEnd"/>
      <w:r>
        <w:t>. Boston, MA: Cengage.</w:t>
      </w:r>
    </w:p>
    <w:p w14:paraId="2E8BF8BC" w14:textId="77777777" w:rsidR="00687631" w:rsidRDefault="00687631" w:rsidP="00687631">
      <w:r>
        <w:t>Porter, M. E. (1985) Competitive Advantage. New York: Free Press.</w:t>
      </w:r>
    </w:p>
    <w:p w14:paraId="4AD1FF91" w14:textId="77777777" w:rsidR="00687631" w:rsidRDefault="00687631" w:rsidP="00687631">
      <w:r>
        <w:t>Porter, M. E. (2008) ‘The five competitive forces that shape strategy’, Harvard Business Review, 86(1), pp. 78</w:t>
      </w:r>
      <w:r>
        <w:rPr>
          <w:rFonts w:ascii="Cambria Math" w:hAnsi="Cambria Math" w:cs="Cambria Math"/>
        </w:rPr>
        <w:t>‑</w:t>
      </w:r>
      <w:r>
        <w:t>93.</w:t>
      </w:r>
    </w:p>
    <w:p w14:paraId="75462B26" w14:textId="77777777" w:rsidR="00687631" w:rsidRDefault="00687631" w:rsidP="00687631">
      <w:r>
        <w:t>Prahalad, C. K. and Hamel, G. (1990) ‘The core competence of the corporation’, Harvard Business Review, 68(3), pp. 79</w:t>
      </w:r>
      <w:r>
        <w:rPr>
          <w:rFonts w:ascii="Cambria Math" w:hAnsi="Cambria Math" w:cs="Cambria Math"/>
        </w:rPr>
        <w:t>‑</w:t>
      </w:r>
      <w:r>
        <w:t>91.</w:t>
      </w:r>
    </w:p>
    <w:p w14:paraId="1FF249F7" w14:textId="77777777" w:rsidR="00687631" w:rsidRDefault="00687631" w:rsidP="00687631">
      <w:r>
        <w:t>Reuters (2025) ‘Britain to subsidise electric</w:t>
      </w:r>
      <w:r>
        <w:rPr>
          <w:rFonts w:ascii="Cambria Math" w:hAnsi="Cambria Math" w:cs="Cambria Math"/>
        </w:rPr>
        <w:t>‑</w:t>
      </w:r>
      <w:r>
        <w:t>car purchases with new grant</w:t>
      </w:r>
      <w:r>
        <w:rPr>
          <w:rFonts w:ascii="Calibri" w:hAnsi="Calibri" w:cs="Calibri"/>
        </w:rPr>
        <w:t>’</w:t>
      </w:r>
      <w:r>
        <w:t>, 14</w:t>
      </w:r>
      <w:r>
        <w:rPr>
          <w:rFonts w:ascii="Calibri" w:hAnsi="Calibri" w:cs="Calibri"/>
        </w:rPr>
        <w:t> </w:t>
      </w:r>
      <w:r>
        <w:t>July.</w:t>
      </w:r>
    </w:p>
    <w:p w14:paraId="2D0C57A2" w14:textId="77777777" w:rsidR="00687631" w:rsidRDefault="00687631" w:rsidP="00687631">
      <w:proofErr w:type="spellStart"/>
      <w:r>
        <w:t>Rumelt</w:t>
      </w:r>
      <w:proofErr w:type="spellEnd"/>
      <w:r>
        <w:t>, R. P. (2011) Good Strategy, Bad Strategy. New York: Crown.</w:t>
      </w:r>
    </w:p>
    <w:p w14:paraId="4D8A9F98" w14:textId="77777777" w:rsidR="00687631" w:rsidRDefault="00687631" w:rsidP="00687631">
      <w:r>
        <w:t>Society of Motor Manufacturers and Traders (SMMT) (2025) Monthly Production Statistics: June. London: SMMT.</w:t>
      </w:r>
    </w:p>
    <w:p w14:paraId="5A195778" w14:textId="77777777" w:rsidR="00687631" w:rsidRDefault="00687631" w:rsidP="00687631">
      <w:r>
        <w:t>Teece, D. J. (2007) ‘Explicating dynamic capabilities’, Strategic Management Journal, 28(13), pp. 1319</w:t>
      </w:r>
      <w:r>
        <w:rPr>
          <w:rFonts w:ascii="Cambria Math" w:hAnsi="Cambria Math" w:cs="Cambria Math"/>
        </w:rPr>
        <w:t>‑</w:t>
      </w:r>
      <w:r>
        <w:t>1350.</w:t>
      </w:r>
    </w:p>
    <w:p w14:paraId="2282EEB1" w14:textId="712045D3" w:rsidR="00D06A96" w:rsidRDefault="00687631" w:rsidP="00687631">
      <w:r>
        <w:t>Winter, S. G. (2003) ‘Understanding dynamic capabilities’, Strategic Management Journal, 24(10), pp. 991</w:t>
      </w:r>
      <w:r>
        <w:rPr>
          <w:rFonts w:ascii="Cambria Math" w:hAnsi="Cambria Math" w:cs="Cambria Math"/>
        </w:rPr>
        <w:t>‑</w:t>
      </w:r>
      <w:r>
        <w:t>995.</w:t>
      </w:r>
    </w:p>
    <w:sectPr w:rsidR="00D06A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179"/>
    <w:rsid w:val="00045E07"/>
    <w:rsid w:val="000B2179"/>
    <w:rsid w:val="005A3D9A"/>
    <w:rsid w:val="0065627D"/>
    <w:rsid w:val="00687631"/>
    <w:rsid w:val="007F5EB5"/>
    <w:rsid w:val="00815DBE"/>
    <w:rsid w:val="00A0462C"/>
    <w:rsid w:val="00D06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3B1F3"/>
  <w15:chartTrackingRefBased/>
  <w15:docId w15:val="{3F3ABE2C-4D01-4945-B726-6392671BC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2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76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87631"/>
    <w:rPr>
      <w:i/>
      <w:iCs/>
    </w:rPr>
  </w:style>
  <w:style w:type="character" w:styleId="Strong">
    <w:name w:val="Strong"/>
    <w:basedOn w:val="DefaultParagraphFont"/>
    <w:uiPriority w:val="22"/>
    <w:qFormat/>
    <w:rsid w:val="0065627D"/>
    <w:rPr>
      <w:b/>
      <w:bCs/>
    </w:rPr>
  </w:style>
  <w:style w:type="character" w:styleId="Hyperlink">
    <w:name w:val="Hyperlink"/>
    <w:basedOn w:val="DefaultParagraphFont"/>
    <w:uiPriority w:val="99"/>
    <w:unhideWhenUsed/>
    <w:rsid w:val="0065627D"/>
    <w:rPr>
      <w:color w:val="0000FF"/>
      <w:u w:val="single"/>
    </w:rPr>
  </w:style>
  <w:style w:type="character" w:customStyle="1" w:styleId="Heading1Char">
    <w:name w:val="Heading 1 Char"/>
    <w:basedOn w:val="DefaultParagraphFont"/>
    <w:link w:val="Heading1"/>
    <w:uiPriority w:val="9"/>
    <w:rsid w:val="0065627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562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27D"/>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6562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1686268">
      <w:bodyDiv w:val="1"/>
      <w:marLeft w:val="0"/>
      <w:marRight w:val="0"/>
      <w:marTop w:val="0"/>
      <w:marBottom w:val="0"/>
      <w:divBdr>
        <w:top w:val="none" w:sz="0" w:space="0" w:color="auto"/>
        <w:left w:val="none" w:sz="0" w:space="0" w:color="auto"/>
        <w:bottom w:val="none" w:sz="0" w:space="0" w:color="auto"/>
        <w:right w:val="none" w:sz="0" w:space="0" w:color="auto"/>
      </w:divBdr>
    </w:div>
    <w:div w:id="1527716507">
      <w:bodyDiv w:val="1"/>
      <w:marLeft w:val="0"/>
      <w:marRight w:val="0"/>
      <w:marTop w:val="0"/>
      <w:marBottom w:val="0"/>
      <w:divBdr>
        <w:top w:val="none" w:sz="0" w:space="0" w:color="auto"/>
        <w:left w:val="none" w:sz="0" w:space="0" w:color="auto"/>
        <w:bottom w:val="none" w:sz="0" w:space="0" w:color="auto"/>
        <w:right w:val="none" w:sz="0" w:space="0" w:color="auto"/>
      </w:divBdr>
    </w:div>
    <w:div w:id="187650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EA202-FDCC-48BF-9A52-18F93AB7E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3081</Words>
  <Characters>17567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Marian Diaconu (2126929)</dc:creator>
  <cp:keywords/>
  <dc:description/>
  <cp:lastModifiedBy>Sergiu Marian Diaconu (2126929)</cp:lastModifiedBy>
  <cp:revision>3</cp:revision>
  <dcterms:created xsi:type="dcterms:W3CDTF">2025-07-21T15:31:00Z</dcterms:created>
  <dcterms:modified xsi:type="dcterms:W3CDTF">2025-07-21T15:52:00Z</dcterms:modified>
</cp:coreProperties>
</file>