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192BE7" w14:textId="0BB13BEB" w:rsidR="000669EE" w:rsidRDefault="000669EE" w:rsidP="000669EE">
      <w:pPr>
        <w:spacing w:after="134"/>
        <w:rPr>
          <w:rFonts w:asciiTheme="majorHAnsi" w:hAnsiTheme="majorHAnsi" w:cstheme="majorHAnsi"/>
          <w:b/>
          <w:color w:val="3A7C22" w:themeColor="accent6" w:themeShade="BF"/>
          <w:sz w:val="48"/>
        </w:rPr>
      </w:pPr>
      <w:r>
        <w:rPr>
          <w:rFonts w:asciiTheme="majorHAnsi" w:hAnsiTheme="majorHAnsi" w:cstheme="majorHAnsi"/>
          <w:b/>
          <w:noProof/>
          <w:color w:val="3A7C22" w:themeColor="accent6" w:themeShade="BF"/>
          <w:sz w:val="48"/>
        </w:rPr>
        <w:drawing>
          <wp:anchor distT="0" distB="0" distL="114300" distR="114300" simplePos="0" relativeHeight="251658240" behindDoc="1" locked="0" layoutInCell="1" allowOverlap="1" wp14:anchorId="7215BEDB" wp14:editId="11528540">
            <wp:simplePos x="0" y="0"/>
            <wp:positionH relativeFrom="column">
              <wp:posOffset>-622300</wp:posOffset>
            </wp:positionH>
            <wp:positionV relativeFrom="paragraph">
              <wp:posOffset>342265</wp:posOffset>
            </wp:positionV>
            <wp:extent cx="1315085" cy="794385"/>
            <wp:effectExtent l="0" t="0" r="0" b="5715"/>
            <wp:wrapTight wrapText="bothSides">
              <wp:wrapPolygon edited="0">
                <wp:start x="0" y="0"/>
                <wp:lineTo x="0" y="21237"/>
                <wp:lineTo x="21277" y="21237"/>
                <wp:lineTo x="21277" y="0"/>
                <wp:lineTo x="0" y="0"/>
              </wp:wrapPolygon>
            </wp:wrapTight>
            <wp:docPr id="13774674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315085" cy="794385"/>
                    </a:xfrm>
                    <a:prstGeom prst="rect">
                      <a:avLst/>
                    </a:prstGeom>
                    <a:noFill/>
                  </pic:spPr>
                </pic:pic>
              </a:graphicData>
            </a:graphic>
            <wp14:sizeRelH relativeFrom="margin">
              <wp14:pctWidth>0</wp14:pctWidth>
            </wp14:sizeRelH>
            <wp14:sizeRelV relativeFrom="margin">
              <wp14:pctHeight>0</wp14:pctHeight>
            </wp14:sizeRelV>
          </wp:anchor>
        </w:drawing>
      </w:r>
    </w:p>
    <w:p w14:paraId="3D45A5F8" w14:textId="49D1AB9B" w:rsidR="00FF2113" w:rsidRPr="00062104" w:rsidRDefault="00FF2113" w:rsidP="000669EE">
      <w:pPr>
        <w:spacing w:after="134"/>
        <w:jc w:val="center"/>
        <w:rPr>
          <w:rFonts w:asciiTheme="majorHAnsi" w:hAnsiTheme="majorHAnsi" w:cstheme="majorHAnsi"/>
          <w:b/>
          <w:color w:val="3A7C22" w:themeColor="accent6" w:themeShade="BF"/>
        </w:rPr>
      </w:pPr>
      <w:r>
        <w:rPr>
          <w:rFonts w:asciiTheme="majorHAnsi" w:hAnsiTheme="majorHAnsi" w:cstheme="majorHAnsi"/>
          <w:b/>
          <w:color w:val="3A7C22" w:themeColor="accent6" w:themeShade="BF"/>
          <w:sz w:val="48"/>
        </w:rPr>
        <w:t xml:space="preserve">Therapeutic </w:t>
      </w:r>
      <w:r w:rsidR="000669EE">
        <w:rPr>
          <w:rFonts w:asciiTheme="majorHAnsi" w:hAnsiTheme="majorHAnsi" w:cstheme="majorHAnsi"/>
          <w:b/>
          <w:color w:val="3A7C22" w:themeColor="accent6" w:themeShade="BF"/>
          <w:sz w:val="48"/>
        </w:rPr>
        <w:t>Techniques Evaluation Table</w:t>
      </w:r>
    </w:p>
    <w:p w14:paraId="4F0A6215" w14:textId="77777777" w:rsidR="00FF2113" w:rsidRDefault="00FF2113"/>
    <w:tbl>
      <w:tblPr>
        <w:tblStyle w:val="TableGrid"/>
        <w:tblW w:w="15735" w:type="dxa"/>
        <w:tblInd w:w="-998" w:type="dxa"/>
        <w:tblLook w:val="04A0" w:firstRow="1" w:lastRow="0" w:firstColumn="1" w:lastColumn="0" w:noHBand="0" w:noVBand="1"/>
      </w:tblPr>
      <w:tblGrid>
        <w:gridCol w:w="2127"/>
        <w:gridCol w:w="3261"/>
        <w:gridCol w:w="5244"/>
        <w:gridCol w:w="5103"/>
      </w:tblGrid>
      <w:tr w:rsidR="00FF2113" w14:paraId="6E9C4AD7" w14:textId="77777777" w:rsidTr="000669EE">
        <w:tc>
          <w:tcPr>
            <w:tcW w:w="2127" w:type="dxa"/>
            <w:shd w:val="clear" w:color="auto" w:fill="D1D1D1" w:themeFill="background2" w:themeFillShade="E6"/>
          </w:tcPr>
          <w:p w14:paraId="74BE2719" w14:textId="3ED35FFA" w:rsidR="00FF2113" w:rsidRPr="000669EE" w:rsidRDefault="00FF2113">
            <w:pPr>
              <w:rPr>
                <w:b/>
                <w:bCs/>
              </w:rPr>
            </w:pPr>
            <w:r w:rsidRPr="000669EE">
              <w:rPr>
                <w:b/>
                <w:bCs/>
              </w:rPr>
              <w:t xml:space="preserve">Therapeutic technique </w:t>
            </w:r>
          </w:p>
        </w:tc>
        <w:tc>
          <w:tcPr>
            <w:tcW w:w="3261" w:type="dxa"/>
            <w:shd w:val="clear" w:color="auto" w:fill="D1D1D1" w:themeFill="background2" w:themeFillShade="E6"/>
          </w:tcPr>
          <w:p w14:paraId="3DEEDFDF" w14:textId="47D549EC" w:rsidR="00FF2113" w:rsidRPr="000669EE" w:rsidRDefault="00FF2113">
            <w:pPr>
              <w:rPr>
                <w:b/>
                <w:bCs/>
              </w:rPr>
            </w:pPr>
            <w:r w:rsidRPr="000669EE">
              <w:rPr>
                <w:b/>
                <w:bCs/>
              </w:rPr>
              <w:t xml:space="preserve">Description </w:t>
            </w:r>
          </w:p>
        </w:tc>
        <w:tc>
          <w:tcPr>
            <w:tcW w:w="5244" w:type="dxa"/>
            <w:shd w:val="clear" w:color="auto" w:fill="D1D1D1" w:themeFill="background2" w:themeFillShade="E6"/>
          </w:tcPr>
          <w:p w14:paraId="100F362C" w14:textId="32E4B1CD" w:rsidR="00FF2113" w:rsidRPr="000669EE" w:rsidRDefault="00FF2113">
            <w:pPr>
              <w:rPr>
                <w:b/>
                <w:bCs/>
              </w:rPr>
            </w:pPr>
            <w:r w:rsidRPr="000669EE">
              <w:rPr>
                <w:b/>
                <w:bCs/>
              </w:rPr>
              <w:t xml:space="preserve">Example of </w:t>
            </w:r>
            <w:r w:rsidR="00B80729">
              <w:rPr>
                <w:b/>
                <w:bCs/>
              </w:rPr>
              <w:t xml:space="preserve">how you could use it, it’s importance and benefits within your role. </w:t>
            </w:r>
            <w:r w:rsidRPr="000669EE">
              <w:rPr>
                <w:b/>
                <w:bCs/>
              </w:rPr>
              <w:t xml:space="preserve"> </w:t>
            </w:r>
          </w:p>
        </w:tc>
        <w:tc>
          <w:tcPr>
            <w:tcW w:w="5103" w:type="dxa"/>
            <w:shd w:val="clear" w:color="auto" w:fill="D1D1D1" w:themeFill="background2" w:themeFillShade="E6"/>
          </w:tcPr>
          <w:p w14:paraId="329DE664" w14:textId="777CFF13" w:rsidR="00FF2113" w:rsidRPr="000669EE" w:rsidRDefault="000669EE">
            <w:pPr>
              <w:rPr>
                <w:b/>
                <w:bCs/>
              </w:rPr>
            </w:pPr>
            <w:r>
              <w:rPr>
                <w:b/>
                <w:bCs/>
              </w:rPr>
              <w:t>Examples of the c</w:t>
            </w:r>
            <w:r w:rsidR="00FF2113" w:rsidRPr="000669EE">
              <w:rPr>
                <w:b/>
                <w:bCs/>
              </w:rPr>
              <w:t xml:space="preserve">hallenges or drawbacks to using this method within your role </w:t>
            </w:r>
          </w:p>
        </w:tc>
      </w:tr>
      <w:tr w:rsidR="00FF2113" w14:paraId="52273059" w14:textId="77777777" w:rsidTr="000669EE">
        <w:tc>
          <w:tcPr>
            <w:tcW w:w="2127" w:type="dxa"/>
            <w:shd w:val="clear" w:color="auto" w:fill="E8E8E8" w:themeFill="background2"/>
          </w:tcPr>
          <w:p w14:paraId="333B18DF" w14:textId="77777777" w:rsidR="00FF2113" w:rsidRDefault="000669EE">
            <w:r>
              <w:t xml:space="preserve">Active listening </w:t>
            </w:r>
          </w:p>
          <w:p w14:paraId="191E40CC" w14:textId="77777777" w:rsidR="000669EE" w:rsidRDefault="000669EE"/>
          <w:p w14:paraId="0A456D82" w14:textId="441B442A" w:rsidR="000669EE" w:rsidRDefault="000669EE"/>
        </w:tc>
        <w:tc>
          <w:tcPr>
            <w:tcW w:w="3261" w:type="dxa"/>
          </w:tcPr>
          <w:p w14:paraId="1F8BB64F" w14:textId="62B9FD07" w:rsidR="004323F3" w:rsidRDefault="00CD3236">
            <w:r>
              <w:t xml:space="preserve">A skilled empathic listening, attending, and observing of verbal and non-verbal communication. </w:t>
            </w:r>
            <w:r w:rsidR="004323F3">
              <w:t>‘Listening is not merely a skill. It is a rich metaphor for the helping relationship’</w:t>
            </w:r>
            <w:r w:rsidR="00695BC0">
              <w:t xml:space="preserve"> </w:t>
            </w:r>
            <w:r w:rsidR="004323F3">
              <w:t>Egan (200</w:t>
            </w:r>
            <w:r w:rsidR="009766EE">
              <w:t>7</w:t>
            </w:r>
            <w:r w:rsidR="00695BC0">
              <w:t>,</w:t>
            </w:r>
            <w:r w:rsidR="004323F3">
              <w:t xml:space="preserve"> p.75</w:t>
            </w:r>
            <w:r w:rsidR="00695BC0">
              <w:t>).</w:t>
            </w:r>
          </w:p>
          <w:p w14:paraId="2486D8CA" w14:textId="77777777" w:rsidR="000669EE" w:rsidRDefault="000669EE"/>
        </w:tc>
        <w:tc>
          <w:tcPr>
            <w:tcW w:w="5244" w:type="dxa"/>
          </w:tcPr>
          <w:p w14:paraId="64377893" w14:textId="1DB25F61" w:rsidR="00FF2113" w:rsidRDefault="00CD3236">
            <w:r>
              <w:t>Listening and watching a patient explain their pain in an ankle injury. Paraphrasing their words to show understanding and build a therapeutic relationship with the patient. It is important to empower the patient to be involved in their care and feel their goals have been listened to and achieve the best outcome.</w:t>
            </w:r>
          </w:p>
        </w:tc>
        <w:tc>
          <w:tcPr>
            <w:tcW w:w="5103" w:type="dxa"/>
          </w:tcPr>
          <w:p w14:paraId="3F198C46" w14:textId="2AA71792" w:rsidR="00FF2113" w:rsidRDefault="00CD3236">
            <w:r>
              <w:t>Can be easily be mistaken for sympathy or pity. It is a skilled technique that requires practice and training.</w:t>
            </w:r>
            <w:r w:rsidR="004323F3">
              <w:t xml:space="preserve"> </w:t>
            </w:r>
            <w:r>
              <w:t>This approach is time consuming and is often difficult with the pressures of patient workloads. However, it is best practice, delivers a better outcome and achieves improved patient satisfaction.</w:t>
            </w:r>
          </w:p>
        </w:tc>
      </w:tr>
      <w:tr w:rsidR="00FF2113" w14:paraId="0B9EE689" w14:textId="77777777" w:rsidTr="000669EE">
        <w:tc>
          <w:tcPr>
            <w:tcW w:w="2127" w:type="dxa"/>
            <w:shd w:val="clear" w:color="auto" w:fill="E8E8E8" w:themeFill="background2"/>
          </w:tcPr>
          <w:p w14:paraId="33506638" w14:textId="77777777" w:rsidR="00FF2113" w:rsidRDefault="000669EE">
            <w:r>
              <w:t xml:space="preserve">Motivational interviewing </w:t>
            </w:r>
          </w:p>
          <w:p w14:paraId="55991956" w14:textId="77777777" w:rsidR="000669EE" w:rsidRDefault="000669EE"/>
          <w:p w14:paraId="447694C8" w14:textId="3C45B81D" w:rsidR="000669EE" w:rsidRDefault="000669EE"/>
        </w:tc>
        <w:tc>
          <w:tcPr>
            <w:tcW w:w="3261" w:type="dxa"/>
          </w:tcPr>
          <w:p w14:paraId="1BA03720" w14:textId="5F7E1868" w:rsidR="000669EE" w:rsidRDefault="00092471">
            <w:r>
              <w:t>Facilitative</w:t>
            </w:r>
            <w:r w:rsidR="00695BC0">
              <w:t xml:space="preserve"> style of counselling that directs </w:t>
            </w:r>
            <w:r>
              <w:t>clients</w:t>
            </w:r>
            <w:r w:rsidR="00695BC0">
              <w:t xml:space="preserve"> to </w:t>
            </w:r>
            <w:r>
              <w:t>explore their ambivalence to considering positive change. A directive way of working to facilitate change.</w:t>
            </w:r>
          </w:p>
          <w:p w14:paraId="14369D51" w14:textId="77777777" w:rsidR="000669EE" w:rsidRDefault="000669EE"/>
        </w:tc>
        <w:tc>
          <w:tcPr>
            <w:tcW w:w="5244" w:type="dxa"/>
          </w:tcPr>
          <w:p w14:paraId="0E3DEC0B" w14:textId="56370761" w:rsidR="00FF2113" w:rsidRDefault="00092471">
            <w:r>
              <w:t>Collaborative working towards a therapeutic goal. Patient feels ambivalence towards a goal of mobilising after surgery. Explore the motivation to change behaviour and illicit positive change. Empowering and directing a patient towards the positive change that mobilising will bring. Exploring the negative aspects of not mobilising to motivate change.</w:t>
            </w:r>
          </w:p>
        </w:tc>
        <w:tc>
          <w:tcPr>
            <w:tcW w:w="5103" w:type="dxa"/>
          </w:tcPr>
          <w:p w14:paraId="78951DA3" w14:textId="02F1F823" w:rsidR="00A02DA4" w:rsidRDefault="00A02DA4">
            <w:r>
              <w:t>Patient may not have capacity or cognitive impairment that reduces ability to resolve uncertainty and ambivalence. Time consuming to explore the patient’s ambivalence towards the issue. Patient may be pre-contemplative and may not have sufficient time to explore options available to them. The factitive and directive style of intervention does not suit all patients.</w:t>
            </w:r>
          </w:p>
        </w:tc>
      </w:tr>
      <w:tr w:rsidR="00FF2113" w14:paraId="162AF924" w14:textId="77777777" w:rsidTr="000669EE">
        <w:tc>
          <w:tcPr>
            <w:tcW w:w="2127" w:type="dxa"/>
            <w:shd w:val="clear" w:color="auto" w:fill="E8E8E8" w:themeFill="background2"/>
          </w:tcPr>
          <w:p w14:paraId="29777D6C" w14:textId="77777777" w:rsidR="00FF2113" w:rsidRDefault="000669EE">
            <w:r>
              <w:t xml:space="preserve">Goal setting </w:t>
            </w:r>
          </w:p>
          <w:p w14:paraId="4BB32418" w14:textId="77777777" w:rsidR="000669EE" w:rsidRDefault="000669EE"/>
          <w:p w14:paraId="69FED408" w14:textId="4E9FD5B0" w:rsidR="000669EE" w:rsidRDefault="000669EE"/>
        </w:tc>
        <w:tc>
          <w:tcPr>
            <w:tcW w:w="3261" w:type="dxa"/>
          </w:tcPr>
          <w:p w14:paraId="0199AA30" w14:textId="183EDBB4" w:rsidR="00FF2113" w:rsidRDefault="00A02DA4">
            <w:r>
              <w:t xml:space="preserve">‘Identifying and choosing action </w:t>
            </w:r>
            <w:proofErr w:type="gramStart"/>
            <w:r>
              <w:t>strategies’</w:t>
            </w:r>
            <w:proofErr w:type="gramEnd"/>
            <w:r>
              <w:t xml:space="preserve"> and plans with the patient. Egan (200</w:t>
            </w:r>
            <w:r w:rsidR="009766EE">
              <w:t>7</w:t>
            </w:r>
            <w:r>
              <w:t>, p.30).</w:t>
            </w:r>
          </w:p>
          <w:p w14:paraId="7039275E" w14:textId="77777777" w:rsidR="000669EE" w:rsidRDefault="000669EE"/>
          <w:p w14:paraId="2701CE05" w14:textId="77777777" w:rsidR="000669EE" w:rsidRDefault="000669EE"/>
          <w:p w14:paraId="701934EF" w14:textId="77777777" w:rsidR="000669EE" w:rsidRDefault="000669EE"/>
        </w:tc>
        <w:tc>
          <w:tcPr>
            <w:tcW w:w="5244" w:type="dxa"/>
          </w:tcPr>
          <w:p w14:paraId="1210A299" w14:textId="72AEBDCA" w:rsidR="00FF2113" w:rsidRDefault="00A02DA4">
            <w:r>
              <w:t>After exploring the issue (poor mobility) and patient is motivated to change this issue positively. The next stage is to identify how they get there</w:t>
            </w:r>
            <w:r w:rsidR="00FE5721">
              <w:t xml:space="preserve"> (the goal), what is required to achieve this and agree specific, achievable, relevant, and time bound (SMART) goals.</w:t>
            </w:r>
            <w:r w:rsidR="002643B8">
              <w:t xml:space="preserve"> Goal setting is measurable as an outcome for the patient.</w:t>
            </w:r>
          </w:p>
        </w:tc>
        <w:tc>
          <w:tcPr>
            <w:tcW w:w="5103" w:type="dxa"/>
          </w:tcPr>
          <w:p w14:paraId="233A7F1B" w14:textId="3B0D61D9" w:rsidR="00FF2113" w:rsidRDefault="00FE5721">
            <w:r>
              <w:t>Progress is slow and goal is difficult to achieve. Goal setting is not action. Action is required from the patient and can be difficult to maintain motivation in the face of adversity or changing physical limitations.</w:t>
            </w:r>
          </w:p>
        </w:tc>
      </w:tr>
      <w:tr w:rsidR="00FF2113" w14:paraId="79B0C50C" w14:textId="77777777" w:rsidTr="000669EE">
        <w:tc>
          <w:tcPr>
            <w:tcW w:w="2127" w:type="dxa"/>
            <w:shd w:val="clear" w:color="auto" w:fill="E8E8E8" w:themeFill="background2"/>
          </w:tcPr>
          <w:p w14:paraId="09A494C0" w14:textId="50D8AA04" w:rsidR="00FF2113" w:rsidRDefault="000669EE">
            <w:r>
              <w:lastRenderedPageBreak/>
              <w:t>Compassion focused approaches</w:t>
            </w:r>
          </w:p>
        </w:tc>
        <w:tc>
          <w:tcPr>
            <w:tcW w:w="3261" w:type="dxa"/>
          </w:tcPr>
          <w:p w14:paraId="18D7CE07" w14:textId="75FB6AA1" w:rsidR="00FF2113" w:rsidRDefault="002643B8">
            <w:r>
              <w:t>An evidence based non-directive technique to listen, empathise, empower in a congruent and non-judgemental way.</w:t>
            </w:r>
          </w:p>
          <w:p w14:paraId="03070D7B" w14:textId="77777777" w:rsidR="000669EE" w:rsidRDefault="000669EE"/>
          <w:p w14:paraId="5B0C7707" w14:textId="77777777" w:rsidR="000669EE" w:rsidRDefault="000669EE"/>
          <w:p w14:paraId="09EB45D9" w14:textId="77777777" w:rsidR="000669EE" w:rsidRDefault="000669EE"/>
        </w:tc>
        <w:tc>
          <w:tcPr>
            <w:tcW w:w="5244" w:type="dxa"/>
          </w:tcPr>
          <w:p w14:paraId="21E33CDF" w14:textId="357B5F0A" w:rsidR="00FF2113" w:rsidRDefault="002643B8">
            <w:r>
              <w:t xml:space="preserve">Listening to a patient explain and tell their story. The how and why they are here in a health care setting. This could be a cerebral vascular accident or muscular skeletal complaint. This develops trust and a therapeutic relationship that </w:t>
            </w:r>
            <w:r w:rsidR="009766EE">
              <w:t>‘</w:t>
            </w:r>
            <w:r>
              <w:t>empowers the patient towards better outcomes</w:t>
            </w:r>
            <w:r w:rsidR="009766EE">
              <w:t>’ D</w:t>
            </w:r>
            <w:r w:rsidR="009766EE" w:rsidRPr="002643B8">
              <w:t xml:space="preserve">e </w:t>
            </w:r>
            <w:proofErr w:type="spellStart"/>
            <w:r w:rsidR="009766EE" w:rsidRPr="002643B8">
              <w:t>Zulueta</w:t>
            </w:r>
            <w:proofErr w:type="spellEnd"/>
            <w:r w:rsidR="009766EE">
              <w:t xml:space="preserve"> (2015).</w:t>
            </w:r>
          </w:p>
        </w:tc>
        <w:tc>
          <w:tcPr>
            <w:tcW w:w="5103" w:type="dxa"/>
          </w:tcPr>
          <w:p w14:paraId="25A302D7" w14:textId="743B499D" w:rsidR="00FF2113" w:rsidRDefault="009766EE">
            <w:r>
              <w:t>Compassion centred approaches</w:t>
            </w:r>
            <w:r w:rsidR="004156BC">
              <w:t xml:space="preserve"> advocated by CSP (2007) use holistic and promoting successful outcomes, also highlight their limitations in health care. Management rather than ‘cure’ is a realistic outcome measure with certain patient populations. Patients have wisdom, life experience and know that communication sometimes does ‘not solve all problems’ Alder (2016, p.30).</w:t>
            </w:r>
          </w:p>
        </w:tc>
      </w:tr>
      <w:tr w:rsidR="00FF2113" w14:paraId="6E23110E" w14:textId="77777777" w:rsidTr="000669EE">
        <w:tc>
          <w:tcPr>
            <w:tcW w:w="2127" w:type="dxa"/>
            <w:shd w:val="clear" w:color="auto" w:fill="E8E8E8" w:themeFill="background2"/>
          </w:tcPr>
          <w:p w14:paraId="6D90B5A3" w14:textId="77777777" w:rsidR="00FF2113" w:rsidRDefault="000669EE">
            <w:r>
              <w:t>Emotional intelligence</w:t>
            </w:r>
          </w:p>
          <w:p w14:paraId="0D84607D" w14:textId="4A503375" w:rsidR="000669EE" w:rsidRDefault="000669EE"/>
        </w:tc>
        <w:tc>
          <w:tcPr>
            <w:tcW w:w="3261" w:type="dxa"/>
          </w:tcPr>
          <w:p w14:paraId="7974B852" w14:textId="0C5B9EE2" w:rsidR="00FF2113" w:rsidRDefault="004156BC">
            <w:r>
              <w:t>Understand, use and manage emotions in a positive way.</w:t>
            </w:r>
          </w:p>
          <w:p w14:paraId="04F9DBEC" w14:textId="77777777" w:rsidR="000669EE" w:rsidRDefault="000669EE"/>
          <w:p w14:paraId="2A764A18" w14:textId="77777777" w:rsidR="000669EE" w:rsidRDefault="000669EE"/>
        </w:tc>
        <w:tc>
          <w:tcPr>
            <w:tcW w:w="5244" w:type="dxa"/>
          </w:tcPr>
          <w:p w14:paraId="1705346B" w14:textId="1C797D07" w:rsidR="00FF2113" w:rsidRDefault="004156BC">
            <w:r>
              <w:t xml:space="preserve">To be self-aware, using </w:t>
            </w:r>
            <w:r w:rsidR="008C6AB6">
              <w:t xml:space="preserve">appropriate </w:t>
            </w:r>
            <w:r>
              <w:t>social skills</w:t>
            </w:r>
            <w:r w:rsidR="008C6AB6">
              <w:t xml:space="preserve"> and</w:t>
            </w:r>
            <w:r>
              <w:t xml:space="preserve"> empathy</w:t>
            </w:r>
            <w:r w:rsidR="008C6AB6">
              <w:t xml:space="preserve"> to self-regulate in stressful situations that allow professional conduct. </w:t>
            </w:r>
          </w:p>
        </w:tc>
        <w:tc>
          <w:tcPr>
            <w:tcW w:w="5103" w:type="dxa"/>
          </w:tcPr>
          <w:p w14:paraId="3DB89B1A" w14:textId="56C0BA87" w:rsidR="00FF2113" w:rsidRDefault="008C6AB6">
            <w:r>
              <w:t>Being exposed to a patient’s trauma can be debilitating and can lead to compassion fatigue. This can be exacerbated by the amount of support ‘that can be offered, or the effectiveness of the intervention is limited’ McLeod (2003, p. 429)</w:t>
            </w:r>
          </w:p>
        </w:tc>
      </w:tr>
      <w:tr w:rsidR="00FF2113" w14:paraId="4AFFC654" w14:textId="77777777" w:rsidTr="000669EE">
        <w:tc>
          <w:tcPr>
            <w:tcW w:w="2127" w:type="dxa"/>
            <w:shd w:val="clear" w:color="auto" w:fill="E8E8E8" w:themeFill="background2"/>
          </w:tcPr>
          <w:p w14:paraId="6B1D27E5" w14:textId="77777777" w:rsidR="000669EE" w:rsidRDefault="000669EE">
            <w:r>
              <w:t>Shared engagement</w:t>
            </w:r>
          </w:p>
          <w:p w14:paraId="3729C13C" w14:textId="77777777" w:rsidR="000669EE" w:rsidRDefault="000669EE"/>
          <w:p w14:paraId="52523368" w14:textId="58906970" w:rsidR="00FF2113" w:rsidRDefault="000669EE">
            <w:r>
              <w:t xml:space="preserve"> </w:t>
            </w:r>
          </w:p>
        </w:tc>
        <w:tc>
          <w:tcPr>
            <w:tcW w:w="3261" w:type="dxa"/>
          </w:tcPr>
          <w:p w14:paraId="368AF738" w14:textId="320AE4DC" w:rsidR="00FF2113" w:rsidRDefault="009766EE">
            <w:r>
              <w:t>Collaborative working to ‘create a sense of value for the patient and build on their present strengths and skills</w:t>
            </w:r>
            <w:proofErr w:type="gramStart"/>
            <w:r>
              <w:t>’  Future</w:t>
            </w:r>
            <w:proofErr w:type="gramEnd"/>
            <w:r>
              <w:t xml:space="preserve"> Generations (Wales) Act 2015.</w:t>
            </w:r>
          </w:p>
        </w:tc>
        <w:tc>
          <w:tcPr>
            <w:tcW w:w="5244" w:type="dxa"/>
          </w:tcPr>
          <w:p w14:paraId="0C3B0267" w14:textId="08C5199A" w:rsidR="00FF2113" w:rsidRDefault="009766EE">
            <w:r>
              <w:t xml:space="preserve">Patients have pre-existing strategies and life experience to formulate goals and problem solve day to day difficulties. </w:t>
            </w:r>
            <w:r w:rsidR="004156BC">
              <w:t>Building on this allows collaborative working leading to better outcomes.</w:t>
            </w:r>
          </w:p>
        </w:tc>
        <w:tc>
          <w:tcPr>
            <w:tcW w:w="5103" w:type="dxa"/>
          </w:tcPr>
          <w:p w14:paraId="4ED7E1D7" w14:textId="73A3234F" w:rsidR="00FF2113" w:rsidRDefault="004E284C">
            <w:r>
              <w:t xml:space="preserve">Patient may not have the capacity, motivation or cognitive capacity to work collaboratively. Staff may not have the knowledge or skills to work collaboratively regarding some patients and their distinct issues. </w:t>
            </w:r>
            <w:proofErr w:type="spellStart"/>
            <w:r>
              <w:t>E.g</w:t>
            </w:r>
            <w:proofErr w:type="spellEnd"/>
            <w:r>
              <w:t xml:space="preserve"> neurological diseases.</w:t>
            </w:r>
          </w:p>
        </w:tc>
      </w:tr>
    </w:tbl>
    <w:p w14:paraId="7C7CFB07" w14:textId="77777777" w:rsidR="000A5670" w:rsidRDefault="000A5670"/>
    <w:p w14:paraId="502298D2" w14:textId="77777777" w:rsidR="000669EE" w:rsidRDefault="000669EE"/>
    <w:tbl>
      <w:tblPr>
        <w:tblStyle w:val="TableGrid"/>
        <w:tblW w:w="0" w:type="auto"/>
        <w:tblInd w:w="562" w:type="dxa"/>
        <w:tblLook w:val="04A0" w:firstRow="1" w:lastRow="0" w:firstColumn="1" w:lastColumn="0" w:noHBand="0" w:noVBand="1"/>
      </w:tblPr>
      <w:tblGrid>
        <w:gridCol w:w="13386"/>
      </w:tblGrid>
      <w:tr w:rsidR="000669EE" w14:paraId="6EEAD1A8" w14:textId="77777777" w:rsidTr="000669EE">
        <w:tc>
          <w:tcPr>
            <w:tcW w:w="13386" w:type="dxa"/>
          </w:tcPr>
          <w:p w14:paraId="6E70865C" w14:textId="06D2FD41" w:rsidR="000669EE" w:rsidRDefault="000669EE">
            <w:r>
              <w:t>Reference list</w:t>
            </w:r>
            <w:r w:rsidR="001C7C34">
              <w:t xml:space="preserve"> (at least 3 references with corresponding citations</w:t>
            </w:r>
            <w:r w:rsidR="00B80729">
              <w:t xml:space="preserve"> within the table</w:t>
            </w:r>
            <w:r w:rsidR="001C7C34">
              <w:t>)</w:t>
            </w:r>
            <w:r>
              <w:t xml:space="preserve">: </w:t>
            </w:r>
          </w:p>
          <w:p w14:paraId="30F18764" w14:textId="77777777" w:rsidR="000669EE" w:rsidRDefault="000669EE"/>
          <w:p w14:paraId="33196A75" w14:textId="77777777" w:rsidR="004156BC" w:rsidRDefault="004156BC" w:rsidP="004156BC">
            <w:pPr>
              <w:rPr>
                <w:rFonts w:ascii="Times New Roman" w:hAnsi="Times New Roman" w:cs="Times New Roman"/>
              </w:rPr>
            </w:pPr>
            <w:r w:rsidRPr="004156BC">
              <w:rPr>
                <w:rFonts w:ascii="Times New Roman" w:hAnsi="Times New Roman" w:cs="Times New Roman"/>
              </w:rPr>
              <w:t xml:space="preserve">Alder, R.B., Rodman, G. and Du Pre, A., (2016) </w:t>
            </w:r>
            <w:r w:rsidRPr="004156BC">
              <w:rPr>
                <w:rFonts w:ascii="Times New Roman" w:hAnsi="Times New Roman" w:cs="Times New Roman"/>
                <w:i/>
                <w:iCs/>
              </w:rPr>
              <w:t>Understanding Human Communication.</w:t>
            </w:r>
            <w:r w:rsidRPr="004156BC">
              <w:rPr>
                <w:rFonts w:ascii="Times New Roman" w:hAnsi="Times New Roman" w:cs="Times New Roman"/>
              </w:rPr>
              <w:t xml:space="preserve"> 13</w:t>
            </w:r>
            <w:r w:rsidRPr="004156BC">
              <w:rPr>
                <w:rFonts w:ascii="Times New Roman" w:hAnsi="Times New Roman" w:cs="Times New Roman"/>
                <w:vertAlign w:val="superscript"/>
              </w:rPr>
              <w:t>th</w:t>
            </w:r>
            <w:r w:rsidRPr="004156BC">
              <w:rPr>
                <w:rFonts w:ascii="Times New Roman" w:hAnsi="Times New Roman" w:cs="Times New Roman"/>
              </w:rPr>
              <w:t xml:space="preserve"> edition. New York: Oxford University Press.</w:t>
            </w:r>
          </w:p>
          <w:p w14:paraId="68AB5233" w14:textId="77777777" w:rsidR="004156BC" w:rsidRPr="004156BC" w:rsidRDefault="004156BC" w:rsidP="004156BC">
            <w:pPr>
              <w:rPr>
                <w:rFonts w:ascii="Times New Roman" w:hAnsi="Times New Roman" w:cs="Times New Roman"/>
              </w:rPr>
            </w:pPr>
          </w:p>
          <w:p w14:paraId="3DEAEE11" w14:textId="4E1F6AC6" w:rsidR="004156BC" w:rsidRPr="004156BC" w:rsidRDefault="004156BC" w:rsidP="004156BC">
            <w:pPr>
              <w:rPr>
                <w:rFonts w:ascii="Times New Roman" w:hAnsi="Times New Roman" w:cs="Times New Roman"/>
              </w:rPr>
            </w:pPr>
            <w:r w:rsidRPr="004156BC">
              <w:rPr>
                <w:rFonts w:ascii="Times New Roman" w:hAnsi="Times New Roman" w:cs="Times New Roman"/>
              </w:rPr>
              <w:t>Charted Society of Physiotherapists. (2007) A joint statement on continuing professional development for health and social care practi</w:t>
            </w:r>
            <w:r>
              <w:rPr>
                <w:rFonts w:ascii="Times New Roman" w:hAnsi="Times New Roman" w:cs="Times New Roman"/>
              </w:rPr>
              <w:t>ti</w:t>
            </w:r>
            <w:r w:rsidRPr="004156BC">
              <w:rPr>
                <w:rFonts w:ascii="Times New Roman" w:hAnsi="Times New Roman" w:cs="Times New Roman"/>
              </w:rPr>
              <w:t>oners. (Online).</w:t>
            </w:r>
            <w:r>
              <w:rPr>
                <w:rFonts w:ascii="Times New Roman" w:hAnsi="Times New Roman" w:cs="Times New Roman"/>
              </w:rPr>
              <w:t xml:space="preserve"> </w:t>
            </w:r>
            <w:r w:rsidRPr="004156BC">
              <w:rPr>
                <w:rFonts w:ascii="Times New Roman" w:hAnsi="Times New Roman" w:cs="Times New Roman"/>
              </w:rPr>
              <w:t xml:space="preserve">Accessed </w:t>
            </w:r>
            <w:r>
              <w:rPr>
                <w:rFonts w:ascii="Times New Roman" w:hAnsi="Times New Roman" w:cs="Times New Roman"/>
              </w:rPr>
              <w:t>17</w:t>
            </w:r>
            <w:r w:rsidRPr="004156BC">
              <w:rPr>
                <w:rFonts w:ascii="Times New Roman" w:hAnsi="Times New Roman" w:cs="Times New Roman"/>
                <w:vertAlign w:val="superscript"/>
              </w:rPr>
              <w:t>th</w:t>
            </w:r>
            <w:r w:rsidRPr="004156BC">
              <w:rPr>
                <w:rFonts w:ascii="Times New Roman" w:hAnsi="Times New Roman" w:cs="Times New Roman"/>
              </w:rPr>
              <w:t xml:space="preserve"> J</w:t>
            </w:r>
            <w:r>
              <w:rPr>
                <w:rFonts w:ascii="Times New Roman" w:hAnsi="Times New Roman" w:cs="Times New Roman"/>
              </w:rPr>
              <w:t>anuary</w:t>
            </w:r>
            <w:r w:rsidRPr="004156BC">
              <w:rPr>
                <w:rFonts w:ascii="Times New Roman" w:hAnsi="Times New Roman" w:cs="Times New Roman"/>
              </w:rPr>
              <w:t xml:space="preserve"> 202</w:t>
            </w:r>
            <w:r>
              <w:rPr>
                <w:rFonts w:ascii="Times New Roman" w:hAnsi="Times New Roman" w:cs="Times New Roman"/>
              </w:rPr>
              <w:t>5</w:t>
            </w:r>
            <w:r w:rsidRPr="004156BC">
              <w:rPr>
                <w:rFonts w:ascii="Times New Roman" w:hAnsi="Times New Roman" w:cs="Times New Roman"/>
              </w:rPr>
              <w:t>.</w:t>
            </w:r>
          </w:p>
          <w:p w14:paraId="78BBD09F" w14:textId="77777777" w:rsidR="004156BC" w:rsidRPr="004156BC" w:rsidRDefault="004156BC" w:rsidP="004156BC">
            <w:pPr>
              <w:rPr>
                <w:rFonts w:ascii="Times New Roman" w:hAnsi="Times New Roman" w:cs="Times New Roman"/>
              </w:rPr>
            </w:pPr>
            <w:r w:rsidRPr="004156BC">
              <w:rPr>
                <w:rFonts w:ascii="Times New Roman" w:hAnsi="Times New Roman" w:cs="Times New Roman"/>
              </w:rPr>
              <w:t xml:space="preserve">Available: </w:t>
            </w:r>
            <w:hyperlink r:id="rId7" w:history="1">
              <w:r w:rsidRPr="004156BC">
                <w:rPr>
                  <w:rStyle w:val="Hyperlink"/>
                  <w:rFonts w:ascii="Times New Roman" w:hAnsi="Times New Roman" w:cs="Times New Roman"/>
                </w:rPr>
                <w:t>https://www.csp.org.uk/publications/joint-statement-continuing-professional-development-health-social-care-practitioners</w:t>
              </w:r>
            </w:hyperlink>
          </w:p>
          <w:p w14:paraId="0AF79AAE" w14:textId="77777777" w:rsidR="000669EE" w:rsidRPr="004156BC" w:rsidRDefault="000669EE"/>
          <w:p w14:paraId="2EF6F283" w14:textId="770E3727" w:rsidR="009766EE" w:rsidRDefault="009766EE" w:rsidP="009766EE">
            <w:pPr>
              <w:rPr>
                <w:rFonts w:ascii="Times New Roman" w:hAnsi="Times New Roman" w:cs="Times New Roman"/>
              </w:rPr>
            </w:pPr>
            <w:r w:rsidRPr="004156BC">
              <w:rPr>
                <w:rFonts w:ascii="Times New Roman" w:hAnsi="Times New Roman" w:cs="Times New Roman"/>
              </w:rPr>
              <w:t xml:space="preserve">Egan, </w:t>
            </w:r>
            <w:r w:rsidR="004E284C" w:rsidRPr="004156BC">
              <w:rPr>
                <w:rFonts w:ascii="Times New Roman" w:hAnsi="Times New Roman" w:cs="Times New Roman"/>
              </w:rPr>
              <w:t>G.</w:t>
            </w:r>
            <w:r w:rsidR="004E284C">
              <w:rPr>
                <w:rFonts w:ascii="Times New Roman" w:hAnsi="Times New Roman" w:cs="Times New Roman"/>
              </w:rPr>
              <w:t>,</w:t>
            </w:r>
            <w:r w:rsidR="004E284C" w:rsidRPr="004156BC">
              <w:rPr>
                <w:rFonts w:ascii="Times New Roman" w:hAnsi="Times New Roman" w:cs="Times New Roman"/>
              </w:rPr>
              <w:t xml:space="preserve"> (</w:t>
            </w:r>
            <w:r w:rsidRPr="004156BC">
              <w:rPr>
                <w:rFonts w:ascii="Times New Roman" w:hAnsi="Times New Roman" w:cs="Times New Roman"/>
              </w:rPr>
              <w:t xml:space="preserve">2007) </w:t>
            </w:r>
            <w:r w:rsidRPr="004156BC">
              <w:rPr>
                <w:rFonts w:ascii="Times New Roman" w:hAnsi="Times New Roman" w:cs="Times New Roman"/>
                <w:i/>
                <w:iCs/>
              </w:rPr>
              <w:t>The Skilled Helper: A problem-management and opportunity-development approach to helping</w:t>
            </w:r>
            <w:r w:rsidRPr="004156BC">
              <w:rPr>
                <w:rFonts w:ascii="Times New Roman" w:hAnsi="Times New Roman" w:cs="Times New Roman"/>
              </w:rPr>
              <w:t>. 7</w:t>
            </w:r>
            <w:r w:rsidRPr="004156BC">
              <w:rPr>
                <w:rFonts w:ascii="Times New Roman" w:hAnsi="Times New Roman" w:cs="Times New Roman"/>
                <w:vertAlign w:val="superscript"/>
              </w:rPr>
              <w:t>th</w:t>
            </w:r>
            <w:r w:rsidRPr="004156BC">
              <w:rPr>
                <w:rFonts w:ascii="Times New Roman" w:hAnsi="Times New Roman" w:cs="Times New Roman"/>
              </w:rPr>
              <w:t xml:space="preserve"> Edition. Pacific Grove: Brooks/Cole.</w:t>
            </w:r>
          </w:p>
          <w:p w14:paraId="2BA289B4" w14:textId="77777777" w:rsidR="004E284C" w:rsidRPr="004156BC" w:rsidRDefault="004E284C" w:rsidP="009766EE">
            <w:pPr>
              <w:rPr>
                <w:rFonts w:ascii="Times New Roman" w:hAnsi="Times New Roman" w:cs="Times New Roman"/>
              </w:rPr>
            </w:pPr>
          </w:p>
          <w:p w14:paraId="5A6BACE6" w14:textId="0B3F1FA9" w:rsidR="000669EE" w:rsidRPr="009766EE" w:rsidRDefault="008C6AB6">
            <w:pPr>
              <w:rPr>
                <w:rFonts w:ascii="Times New Roman" w:hAnsi="Times New Roman" w:cs="Times New Roman"/>
              </w:rPr>
            </w:pPr>
            <w:r>
              <w:rPr>
                <w:rFonts w:ascii="Times New Roman" w:hAnsi="Times New Roman" w:cs="Times New Roman"/>
              </w:rPr>
              <w:t>McLeod</w:t>
            </w:r>
            <w:r w:rsidR="004E284C">
              <w:rPr>
                <w:rFonts w:ascii="Times New Roman" w:hAnsi="Times New Roman" w:cs="Times New Roman"/>
              </w:rPr>
              <w:t xml:space="preserve">, J., (2003) </w:t>
            </w:r>
            <w:r w:rsidR="004E284C" w:rsidRPr="004E284C">
              <w:rPr>
                <w:rFonts w:ascii="Times New Roman" w:hAnsi="Times New Roman" w:cs="Times New Roman"/>
                <w:i/>
                <w:iCs/>
              </w:rPr>
              <w:t>An Introduction to Counselling. 3rd Edition.</w:t>
            </w:r>
            <w:r w:rsidR="004E284C">
              <w:rPr>
                <w:rFonts w:ascii="Times New Roman" w:hAnsi="Times New Roman" w:cs="Times New Roman"/>
              </w:rPr>
              <w:t xml:space="preserve"> Maidenhead: Open University Press.</w:t>
            </w:r>
          </w:p>
          <w:p w14:paraId="53202A15" w14:textId="79963AC7" w:rsidR="000669EE" w:rsidRPr="009766EE" w:rsidRDefault="002643B8">
            <w:pPr>
              <w:rPr>
                <w:rFonts w:ascii="Times New Roman" w:hAnsi="Times New Roman" w:cs="Times New Roman"/>
              </w:rPr>
            </w:pPr>
            <w:r w:rsidRPr="009766EE">
              <w:rPr>
                <w:rFonts w:ascii="Times New Roman" w:hAnsi="Times New Roman" w:cs="Times New Roman"/>
              </w:rPr>
              <w:lastRenderedPageBreak/>
              <w:t>P</w:t>
            </w:r>
            <w:r w:rsidRPr="009766EE">
              <w:rPr>
                <w:rFonts w:ascii="Times New Roman" w:hAnsi="Times New Roman" w:cs="Times New Roman"/>
              </w:rPr>
              <w:t xml:space="preserve">. </w:t>
            </w:r>
            <w:r w:rsidRPr="009766EE">
              <w:rPr>
                <w:rFonts w:ascii="Times New Roman" w:hAnsi="Times New Roman" w:cs="Times New Roman"/>
              </w:rPr>
              <w:t xml:space="preserve">C. </w:t>
            </w:r>
            <w:r w:rsidR="004156BC">
              <w:rPr>
                <w:rFonts w:ascii="Times New Roman" w:hAnsi="Times New Roman" w:cs="Times New Roman"/>
              </w:rPr>
              <w:t>d</w:t>
            </w:r>
            <w:r w:rsidR="009766EE" w:rsidRPr="009766EE">
              <w:rPr>
                <w:rFonts w:ascii="Times New Roman" w:hAnsi="Times New Roman" w:cs="Times New Roman"/>
              </w:rPr>
              <w:t xml:space="preserve">e </w:t>
            </w:r>
            <w:proofErr w:type="spellStart"/>
            <w:r w:rsidR="009766EE" w:rsidRPr="009766EE">
              <w:rPr>
                <w:rFonts w:ascii="Times New Roman" w:hAnsi="Times New Roman" w:cs="Times New Roman"/>
              </w:rPr>
              <w:t>Zulueta</w:t>
            </w:r>
            <w:proofErr w:type="spellEnd"/>
            <w:r w:rsidR="009766EE" w:rsidRPr="009766EE">
              <w:rPr>
                <w:rFonts w:ascii="Times New Roman" w:hAnsi="Times New Roman" w:cs="Times New Roman"/>
              </w:rPr>
              <w:t xml:space="preserve"> </w:t>
            </w:r>
            <w:r w:rsidR="009766EE" w:rsidRPr="009766EE">
              <w:rPr>
                <w:rFonts w:ascii="Times New Roman" w:hAnsi="Times New Roman" w:cs="Times New Roman"/>
              </w:rPr>
              <w:t xml:space="preserve">(2015), </w:t>
            </w:r>
            <w:r w:rsidR="009766EE">
              <w:rPr>
                <w:rFonts w:ascii="Times New Roman" w:hAnsi="Times New Roman" w:cs="Times New Roman"/>
              </w:rPr>
              <w:t>‘</w:t>
            </w:r>
            <w:r w:rsidRPr="009766EE">
              <w:rPr>
                <w:rFonts w:ascii="Times New Roman" w:hAnsi="Times New Roman" w:cs="Times New Roman"/>
              </w:rPr>
              <w:t>Developing compassionate leadership in health care: an integrative review</w:t>
            </w:r>
            <w:r w:rsidR="009766EE">
              <w:rPr>
                <w:rFonts w:ascii="Times New Roman" w:hAnsi="Times New Roman" w:cs="Times New Roman"/>
              </w:rPr>
              <w:t>’</w:t>
            </w:r>
            <w:r w:rsidRPr="009766EE">
              <w:rPr>
                <w:rFonts w:ascii="Times New Roman" w:hAnsi="Times New Roman" w:cs="Times New Roman"/>
              </w:rPr>
              <w:t xml:space="preserve">. </w:t>
            </w:r>
            <w:r w:rsidRPr="009766EE">
              <w:rPr>
                <w:rFonts w:ascii="Times New Roman" w:hAnsi="Times New Roman" w:cs="Times New Roman"/>
                <w:i/>
                <w:iCs/>
              </w:rPr>
              <w:t>J</w:t>
            </w:r>
            <w:r w:rsidR="009766EE" w:rsidRPr="009766EE">
              <w:rPr>
                <w:rFonts w:ascii="Times New Roman" w:hAnsi="Times New Roman" w:cs="Times New Roman"/>
                <w:i/>
                <w:iCs/>
              </w:rPr>
              <w:t xml:space="preserve">ournal of </w:t>
            </w:r>
            <w:r w:rsidRPr="009766EE">
              <w:rPr>
                <w:rFonts w:ascii="Times New Roman" w:hAnsi="Times New Roman" w:cs="Times New Roman"/>
                <w:i/>
                <w:iCs/>
              </w:rPr>
              <w:t>Healthc</w:t>
            </w:r>
            <w:r w:rsidR="009766EE" w:rsidRPr="009766EE">
              <w:rPr>
                <w:rFonts w:ascii="Times New Roman" w:hAnsi="Times New Roman" w:cs="Times New Roman"/>
                <w:i/>
                <w:iCs/>
              </w:rPr>
              <w:t>are</w:t>
            </w:r>
            <w:r w:rsidRPr="009766EE">
              <w:rPr>
                <w:rFonts w:ascii="Times New Roman" w:hAnsi="Times New Roman" w:cs="Times New Roman"/>
                <w:i/>
                <w:iCs/>
              </w:rPr>
              <w:t xml:space="preserve"> Leadersh</w:t>
            </w:r>
            <w:r w:rsidR="009766EE" w:rsidRPr="009766EE">
              <w:rPr>
                <w:rFonts w:ascii="Times New Roman" w:hAnsi="Times New Roman" w:cs="Times New Roman"/>
                <w:i/>
                <w:iCs/>
              </w:rPr>
              <w:t>ip</w:t>
            </w:r>
            <w:r w:rsidRPr="009766EE">
              <w:rPr>
                <w:rFonts w:ascii="Times New Roman" w:hAnsi="Times New Roman" w:cs="Times New Roman"/>
              </w:rPr>
              <w:t xml:space="preserve">. Dec </w:t>
            </w:r>
            <w:proofErr w:type="gramStart"/>
            <w:r w:rsidRPr="009766EE">
              <w:rPr>
                <w:rFonts w:ascii="Times New Roman" w:hAnsi="Times New Roman" w:cs="Times New Roman"/>
              </w:rPr>
              <w:t>18;8:1</w:t>
            </w:r>
            <w:proofErr w:type="gramEnd"/>
            <w:r w:rsidRPr="009766EE">
              <w:rPr>
                <w:rFonts w:ascii="Times New Roman" w:hAnsi="Times New Roman" w:cs="Times New Roman"/>
              </w:rPr>
              <w:t>-10.</w:t>
            </w:r>
          </w:p>
          <w:p w14:paraId="0F253AA1" w14:textId="77777777" w:rsidR="000669EE" w:rsidRDefault="000669EE"/>
          <w:p w14:paraId="181EC150" w14:textId="0E744E63" w:rsidR="000669EE" w:rsidRDefault="000669EE"/>
        </w:tc>
      </w:tr>
    </w:tbl>
    <w:p w14:paraId="4F8F220E" w14:textId="77777777" w:rsidR="000669EE" w:rsidRDefault="000669EE"/>
    <w:p w14:paraId="70D109CA" w14:textId="77777777" w:rsidR="000669EE" w:rsidRDefault="000669EE"/>
    <w:p w14:paraId="008E9FE7" w14:textId="613C7E87" w:rsidR="000669EE" w:rsidRDefault="000669EE">
      <w:r>
        <w:t xml:space="preserve">Completed by: </w:t>
      </w:r>
      <w:r w:rsidR="008C6AB6">
        <w:t>Daniel Jenkins</w:t>
      </w:r>
      <w:r>
        <w:t>_____________________________________</w:t>
      </w:r>
      <w:r>
        <w:tab/>
      </w:r>
      <w:r>
        <w:tab/>
        <w:t xml:space="preserve">Date: </w:t>
      </w:r>
      <w:r w:rsidR="008C6AB6">
        <w:t>20/2/25</w:t>
      </w:r>
      <w:r>
        <w:t>___________________</w:t>
      </w:r>
    </w:p>
    <w:sectPr w:rsidR="000669EE" w:rsidSect="00FF2113">
      <w:headerReference w:type="default" r:id="rId8"/>
      <w:footerReference w:type="default" r:id="rId9"/>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E7E509" w14:textId="77777777" w:rsidR="00AB0AC8" w:rsidRDefault="00AB0AC8" w:rsidP="00FF2113">
      <w:pPr>
        <w:spacing w:after="0" w:line="240" w:lineRule="auto"/>
      </w:pPr>
      <w:r>
        <w:separator/>
      </w:r>
    </w:p>
  </w:endnote>
  <w:endnote w:type="continuationSeparator" w:id="0">
    <w:p w14:paraId="696ED736" w14:textId="77777777" w:rsidR="00AB0AC8" w:rsidRDefault="00AB0AC8" w:rsidP="00FF21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18F5193" w14:textId="2E4544FE" w:rsidR="00FF2113" w:rsidRPr="00FF2113" w:rsidRDefault="00FF2113" w:rsidP="00FF2113">
    <w:pPr>
      <w:spacing w:after="77" w:line="247" w:lineRule="auto"/>
      <w:jc w:val="both"/>
      <w:rPr>
        <w:rFonts w:asciiTheme="majorHAnsi" w:eastAsia="Times New Roman" w:hAnsiTheme="majorHAnsi" w:cstheme="majorHAnsi"/>
        <w:color w:val="000000"/>
        <w:sz w:val="24"/>
        <w:szCs w:val="24"/>
        <w:lang w:eastAsia="en-GB"/>
      </w:rPr>
    </w:pPr>
    <w:r w:rsidRPr="00FF2113">
      <w:rPr>
        <w:rFonts w:asciiTheme="majorHAnsi" w:eastAsia="Times New Roman" w:hAnsiTheme="majorHAnsi" w:cstheme="majorHAnsi"/>
        <w:color w:val="000000"/>
        <w:sz w:val="24"/>
        <w:szCs w:val="24"/>
        <w:lang w:eastAsia="en-GB"/>
      </w:rPr>
      <w:t>Developing Therapeutic Relationships to Enhance Interventions</w:t>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sidRPr="00FF2113">
      <w:rPr>
        <w:rFonts w:asciiTheme="majorHAnsi" w:eastAsia="Times New Roman" w:hAnsiTheme="majorHAnsi" w:cstheme="majorHAnsi"/>
        <w:color w:val="000000"/>
        <w:sz w:val="24"/>
        <w:szCs w:val="24"/>
        <w:lang w:eastAsia="en-GB"/>
      </w:rPr>
      <w:t>Unit Code: PJ14CY021</w:t>
    </w:r>
  </w:p>
  <w:p w14:paraId="41EE6FDC" w14:textId="77777777" w:rsidR="00FF2113" w:rsidRDefault="00FF21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F167AC" w14:textId="77777777" w:rsidR="00AB0AC8" w:rsidRDefault="00AB0AC8" w:rsidP="00FF2113">
      <w:pPr>
        <w:spacing w:after="0" w:line="240" w:lineRule="auto"/>
      </w:pPr>
      <w:r>
        <w:separator/>
      </w:r>
    </w:p>
  </w:footnote>
  <w:footnote w:type="continuationSeparator" w:id="0">
    <w:p w14:paraId="094E59A9" w14:textId="77777777" w:rsidR="00AB0AC8" w:rsidRDefault="00AB0AC8" w:rsidP="00FF21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D6B3DF" w14:textId="007FA019" w:rsidR="00FF2113" w:rsidRPr="000669EE" w:rsidRDefault="000669EE" w:rsidP="000669EE">
    <w:pPr>
      <w:pStyle w:val="Header"/>
    </w:pPr>
    <w:r>
      <w:rPr>
        <w:noProof/>
      </w:rPr>
      <w:drawing>
        <wp:anchor distT="0" distB="0" distL="114300" distR="114300" simplePos="0" relativeHeight="251658240" behindDoc="1" locked="0" layoutInCell="1" allowOverlap="1" wp14:anchorId="405F460E" wp14:editId="3F84AFAC">
          <wp:simplePos x="0" y="0"/>
          <wp:positionH relativeFrom="column">
            <wp:posOffset>7778750</wp:posOffset>
          </wp:positionH>
          <wp:positionV relativeFrom="paragraph">
            <wp:posOffset>-436880</wp:posOffset>
          </wp:positionV>
          <wp:extent cx="1853565" cy="975360"/>
          <wp:effectExtent l="0" t="0" r="0" b="0"/>
          <wp:wrapNone/>
          <wp:docPr id="431114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53565" cy="975360"/>
                  </a:xfrm>
                  <a:prstGeom prst="rect">
                    <a:avLst/>
                  </a:prstGeom>
                  <a:noFill/>
                </pic:spPr>
              </pic:pic>
            </a:graphicData>
          </a:graphic>
        </wp:anchor>
      </w:drawing>
    </w:r>
    <w:r>
      <w:rPr>
        <w:noProof/>
      </w:rPr>
      <w:drawing>
        <wp:anchor distT="0" distB="0" distL="114300" distR="114300" simplePos="0" relativeHeight="251660288" behindDoc="0" locked="0" layoutInCell="1" allowOverlap="1" wp14:anchorId="30C573BC" wp14:editId="6129D503">
          <wp:simplePos x="0" y="0"/>
          <wp:positionH relativeFrom="column">
            <wp:posOffset>-762000</wp:posOffset>
          </wp:positionH>
          <wp:positionV relativeFrom="paragraph">
            <wp:posOffset>-368935</wp:posOffset>
          </wp:positionV>
          <wp:extent cx="2510790" cy="885825"/>
          <wp:effectExtent l="0" t="0" r="3810" b="9525"/>
          <wp:wrapThrough wrapText="bothSides">
            <wp:wrapPolygon edited="0">
              <wp:start x="0" y="0"/>
              <wp:lineTo x="0" y="21368"/>
              <wp:lineTo x="21469" y="21368"/>
              <wp:lineTo x="21469"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2510790" cy="885825"/>
                  </a:xfrm>
                  <a:prstGeom prst="rect">
                    <a:avLst/>
                  </a:prstGeom>
                  <a:noFill/>
                  <a:ln>
                    <a:noFill/>
                  </a:ln>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2113"/>
    <w:rsid w:val="000669EE"/>
    <w:rsid w:val="00092471"/>
    <w:rsid w:val="000A5670"/>
    <w:rsid w:val="001C7C34"/>
    <w:rsid w:val="002643B8"/>
    <w:rsid w:val="002A5B1C"/>
    <w:rsid w:val="004156BC"/>
    <w:rsid w:val="004323F3"/>
    <w:rsid w:val="004E284C"/>
    <w:rsid w:val="00622858"/>
    <w:rsid w:val="00695BC0"/>
    <w:rsid w:val="006C1E03"/>
    <w:rsid w:val="007246F5"/>
    <w:rsid w:val="00786550"/>
    <w:rsid w:val="007E28D2"/>
    <w:rsid w:val="008C6AB6"/>
    <w:rsid w:val="009766EE"/>
    <w:rsid w:val="00A02DA4"/>
    <w:rsid w:val="00A532D0"/>
    <w:rsid w:val="00A95DEE"/>
    <w:rsid w:val="00AB0AC8"/>
    <w:rsid w:val="00AF324A"/>
    <w:rsid w:val="00B80729"/>
    <w:rsid w:val="00BB1CBD"/>
    <w:rsid w:val="00BC5EA1"/>
    <w:rsid w:val="00BF6479"/>
    <w:rsid w:val="00C55BC7"/>
    <w:rsid w:val="00CD3236"/>
    <w:rsid w:val="00CF4927"/>
    <w:rsid w:val="00EE5C01"/>
    <w:rsid w:val="00FE5721"/>
    <w:rsid w:val="00FF21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631F3B"/>
  <w15:chartTrackingRefBased/>
  <w15:docId w15:val="{5685B94D-49AC-4DEB-A991-5CE9305E1D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21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21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21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21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21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21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21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21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21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21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21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21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21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21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21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21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21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2113"/>
    <w:rPr>
      <w:rFonts w:eastAsiaTheme="majorEastAsia" w:cstheme="majorBidi"/>
      <w:color w:val="272727" w:themeColor="text1" w:themeTint="D8"/>
    </w:rPr>
  </w:style>
  <w:style w:type="paragraph" w:styleId="Title">
    <w:name w:val="Title"/>
    <w:basedOn w:val="Normal"/>
    <w:next w:val="Normal"/>
    <w:link w:val="TitleChar"/>
    <w:uiPriority w:val="10"/>
    <w:qFormat/>
    <w:rsid w:val="00FF21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21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21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21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2113"/>
    <w:pPr>
      <w:spacing w:before="160"/>
      <w:jc w:val="center"/>
    </w:pPr>
    <w:rPr>
      <w:i/>
      <w:iCs/>
      <w:color w:val="404040" w:themeColor="text1" w:themeTint="BF"/>
    </w:rPr>
  </w:style>
  <w:style w:type="character" w:customStyle="1" w:styleId="QuoteChar">
    <w:name w:val="Quote Char"/>
    <w:basedOn w:val="DefaultParagraphFont"/>
    <w:link w:val="Quote"/>
    <w:uiPriority w:val="29"/>
    <w:rsid w:val="00FF2113"/>
    <w:rPr>
      <w:i/>
      <w:iCs/>
      <w:color w:val="404040" w:themeColor="text1" w:themeTint="BF"/>
    </w:rPr>
  </w:style>
  <w:style w:type="paragraph" w:styleId="ListParagraph">
    <w:name w:val="List Paragraph"/>
    <w:basedOn w:val="Normal"/>
    <w:uiPriority w:val="34"/>
    <w:qFormat/>
    <w:rsid w:val="00FF2113"/>
    <w:pPr>
      <w:ind w:left="720"/>
      <w:contextualSpacing/>
    </w:pPr>
  </w:style>
  <w:style w:type="character" w:styleId="IntenseEmphasis">
    <w:name w:val="Intense Emphasis"/>
    <w:basedOn w:val="DefaultParagraphFont"/>
    <w:uiPriority w:val="21"/>
    <w:qFormat/>
    <w:rsid w:val="00FF2113"/>
    <w:rPr>
      <w:i/>
      <w:iCs/>
      <w:color w:val="0F4761" w:themeColor="accent1" w:themeShade="BF"/>
    </w:rPr>
  </w:style>
  <w:style w:type="paragraph" w:styleId="IntenseQuote">
    <w:name w:val="Intense Quote"/>
    <w:basedOn w:val="Normal"/>
    <w:next w:val="Normal"/>
    <w:link w:val="IntenseQuoteChar"/>
    <w:uiPriority w:val="30"/>
    <w:qFormat/>
    <w:rsid w:val="00FF21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2113"/>
    <w:rPr>
      <w:i/>
      <w:iCs/>
      <w:color w:val="0F4761" w:themeColor="accent1" w:themeShade="BF"/>
    </w:rPr>
  </w:style>
  <w:style w:type="character" w:styleId="IntenseReference">
    <w:name w:val="Intense Reference"/>
    <w:basedOn w:val="DefaultParagraphFont"/>
    <w:uiPriority w:val="32"/>
    <w:qFormat/>
    <w:rsid w:val="00FF2113"/>
    <w:rPr>
      <w:b/>
      <w:bCs/>
      <w:smallCaps/>
      <w:color w:val="0F4761" w:themeColor="accent1" w:themeShade="BF"/>
      <w:spacing w:val="5"/>
    </w:rPr>
  </w:style>
  <w:style w:type="paragraph" w:styleId="Header">
    <w:name w:val="header"/>
    <w:basedOn w:val="Normal"/>
    <w:link w:val="HeaderChar"/>
    <w:uiPriority w:val="99"/>
    <w:unhideWhenUsed/>
    <w:rsid w:val="00FF21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2113"/>
  </w:style>
  <w:style w:type="paragraph" w:styleId="Footer">
    <w:name w:val="footer"/>
    <w:basedOn w:val="Normal"/>
    <w:link w:val="FooterChar"/>
    <w:uiPriority w:val="99"/>
    <w:unhideWhenUsed/>
    <w:rsid w:val="00FF21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2113"/>
  </w:style>
  <w:style w:type="table" w:styleId="TableGrid">
    <w:name w:val="Table Grid"/>
    <w:basedOn w:val="TableNormal"/>
    <w:uiPriority w:val="39"/>
    <w:rsid w:val="00FF21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156B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csp.org.uk/publications/joint-statement-continuing-professional-development-health-social-care-practitioner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2" Type="http://schemas.openxmlformats.org/officeDocument/2006/relationships/image" Target="media/image3.png"/><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112</TotalTime>
  <Pages>3</Pages>
  <Words>853</Words>
  <Characters>4866</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dan jenkins</cp:lastModifiedBy>
  <cp:revision>6</cp:revision>
  <dcterms:created xsi:type="dcterms:W3CDTF">2025-02-20T08:39:00Z</dcterms:created>
  <dcterms:modified xsi:type="dcterms:W3CDTF">2025-02-20T22:20:00Z</dcterms:modified>
</cp:coreProperties>
</file>