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51CFD" w14:textId="77777777" w:rsidR="00272F86" w:rsidRDefault="00272F86" w:rsidP="00272F86">
      <w:pPr>
        <w:pStyle w:val="NormalWeb"/>
      </w:pPr>
      <w:r w:rsidRPr="001B3A1B">
        <w:rPr>
          <w:noProof/>
        </w:rPr>
        <w:drawing>
          <wp:anchor distT="0" distB="0" distL="114300" distR="114300" simplePos="0" relativeHeight="251665408" behindDoc="0" locked="0" layoutInCell="1" allowOverlap="1" wp14:anchorId="4345C7E3" wp14:editId="60D7DA4B">
            <wp:simplePos x="0" y="0"/>
            <wp:positionH relativeFrom="column">
              <wp:posOffset>0</wp:posOffset>
            </wp:positionH>
            <wp:positionV relativeFrom="paragraph">
              <wp:posOffset>0</wp:posOffset>
            </wp:positionV>
            <wp:extent cx="4485290" cy="1268095"/>
            <wp:effectExtent l="0" t="0" r="0"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5290" cy="1268095"/>
                    </a:xfrm>
                    <a:prstGeom prst="rect">
                      <a:avLst/>
                    </a:prstGeom>
                    <a:noFill/>
                    <a:ln>
                      <a:noFill/>
                    </a:ln>
                  </pic:spPr>
                </pic:pic>
              </a:graphicData>
            </a:graphic>
          </wp:anchor>
        </w:drawing>
      </w:r>
    </w:p>
    <w:p w14:paraId="76519635" w14:textId="77777777" w:rsidR="008332B6" w:rsidRPr="00B549E7" w:rsidRDefault="00DD1348" w:rsidP="00034B98">
      <w:pPr>
        <w:jc w:val="both"/>
        <w:rPr>
          <w:rFonts w:ascii="Arial" w:hAnsi="Arial" w:cs="Arial"/>
          <w:sz w:val="36"/>
          <w:szCs w:val="36"/>
        </w:rPr>
      </w:pPr>
      <w:r w:rsidRPr="00B549E7">
        <w:rPr>
          <w:rFonts w:ascii="Arial" w:hAnsi="Arial" w:cs="Arial"/>
          <w:sz w:val="36"/>
          <w:szCs w:val="36"/>
        </w:rPr>
        <w:t>Module: Business Development Propo</w:t>
      </w:r>
      <w:r w:rsidR="008332B6" w:rsidRPr="00B549E7">
        <w:rPr>
          <w:rFonts w:ascii="Arial" w:hAnsi="Arial" w:cs="Arial"/>
          <w:sz w:val="36"/>
          <w:szCs w:val="36"/>
        </w:rPr>
        <w:t xml:space="preserve">sal </w:t>
      </w:r>
    </w:p>
    <w:p w14:paraId="67929EB3" w14:textId="77777777" w:rsidR="00453EAA" w:rsidRPr="00B549E7" w:rsidRDefault="008332B6" w:rsidP="00034B98">
      <w:pPr>
        <w:jc w:val="both"/>
        <w:rPr>
          <w:rFonts w:ascii="Arial" w:hAnsi="Arial" w:cs="Arial"/>
          <w:sz w:val="36"/>
          <w:szCs w:val="36"/>
        </w:rPr>
      </w:pPr>
      <w:r w:rsidRPr="00B549E7">
        <w:rPr>
          <w:rFonts w:ascii="Arial" w:hAnsi="Arial" w:cs="Arial"/>
          <w:sz w:val="36"/>
          <w:szCs w:val="36"/>
        </w:rPr>
        <w:t>Module no: LCMB703</w:t>
      </w:r>
      <w:r w:rsidR="00453EAA" w:rsidRPr="00B549E7">
        <w:rPr>
          <w:rFonts w:ascii="Arial" w:hAnsi="Arial" w:cs="Arial"/>
          <w:sz w:val="36"/>
          <w:szCs w:val="36"/>
        </w:rPr>
        <w:t>7</w:t>
      </w:r>
    </w:p>
    <w:p w14:paraId="6FA94F22" w14:textId="77777777" w:rsidR="00453EAA" w:rsidRDefault="00453EAA" w:rsidP="00034B98">
      <w:pPr>
        <w:jc w:val="both"/>
        <w:rPr>
          <w:rFonts w:ascii="Arial" w:hAnsi="Arial" w:cs="Arial"/>
        </w:rPr>
      </w:pPr>
    </w:p>
    <w:p w14:paraId="6FDF46BA" w14:textId="77777777" w:rsidR="00417F01" w:rsidRDefault="00417F01" w:rsidP="00034B98">
      <w:pPr>
        <w:jc w:val="both"/>
        <w:rPr>
          <w:rFonts w:ascii="Arial" w:hAnsi="Arial" w:cs="Arial"/>
        </w:rPr>
      </w:pPr>
    </w:p>
    <w:p w14:paraId="6F05AEAD" w14:textId="77777777" w:rsidR="00417F01" w:rsidRDefault="00417F01" w:rsidP="00034B98">
      <w:pPr>
        <w:jc w:val="both"/>
        <w:rPr>
          <w:rFonts w:ascii="Arial" w:hAnsi="Arial" w:cs="Arial"/>
        </w:rPr>
      </w:pPr>
    </w:p>
    <w:p w14:paraId="169FBB4F" w14:textId="77777777" w:rsidR="00417F01" w:rsidRDefault="00417F01" w:rsidP="00417F01">
      <w:pPr>
        <w:pStyle w:val="NormalWeb"/>
      </w:pPr>
      <w:r>
        <w:rPr>
          <w:noProof/>
        </w:rPr>
        <w:drawing>
          <wp:inline distT="0" distB="0" distL="0" distR="0" wp14:anchorId="08E18E62" wp14:editId="3CCF5B5A">
            <wp:extent cx="5633085" cy="3755390"/>
            <wp:effectExtent l="0" t="0" r="5715" b="0"/>
            <wp:docPr id="1117666594" name="Picture 1117666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6446" cy="3764297"/>
                    </a:xfrm>
                    <a:prstGeom prst="rect">
                      <a:avLst/>
                    </a:prstGeom>
                    <a:noFill/>
                    <a:ln>
                      <a:noFill/>
                    </a:ln>
                  </pic:spPr>
                </pic:pic>
              </a:graphicData>
            </a:graphic>
          </wp:inline>
        </w:drawing>
      </w:r>
    </w:p>
    <w:p w14:paraId="38FA8133" w14:textId="77777777" w:rsidR="00453EAA" w:rsidRPr="00B549E7" w:rsidRDefault="00453EAA" w:rsidP="00034B98">
      <w:pPr>
        <w:jc w:val="both"/>
        <w:rPr>
          <w:rFonts w:ascii="Arial" w:hAnsi="Arial" w:cs="Arial"/>
          <w:sz w:val="32"/>
          <w:szCs w:val="32"/>
        </w:rPr>
      </w:pPr>
    </w:p>
    <w:p w14:paraId="595F789F" w14:textId="77777777" w:rsidR="00453EAA" w:rsidRPr="00B549E7" w:rsidRDefault="00453EAA" w:rsidP="00034B98">
      <w:pPr>
        <w:jc w:val="both"/>
        <w:rPr>
          <w:rFonts w:ascii="Arial" w:hAnsi="Arial" w:cs="Arial"/>
          <w:sz w:val="32"/>
          <w:szCs w:val="32"/>
        </w:rPr>
      </w:pPr>
      <w:r w:rsidRPr="00B549E7">
        <w:rPr>
          <w:rFonts w:ascii="Arial" w:hAnsi="Arial" w:cs="Arial"/>
          <w:sz w:val="32"/>
          <w:szCs w:val="32"/>
        </w:rPr>
        <w:t>Kaniz Fathama Chowdhury</w:t>
      </w:r>
    </w:p>
    <w:p w14:paraId="12313B32" w14:textId="0E3F9DA1" w:rsidR="0057554F" w:rsidRDefault="00824983" w:rsidP="00034B98">
      <w:pPr>
        <w:jc w:val="both"/>
        <w:rPr>
          <w:rFonts w:ascii="Arial" w:hAnsi="Arial" w:cs="Arial"/>
          <w:sz w:val="32"/>
          <w:szCs w:val="32"/>
        </w:rPr>
      </w:pPr>
      <w:r w:rsidRPr="00B549E7">
        <w:rPr>
          <w:rFonts w:ascii="Arial" w:hAnsi="Arial" w:cs="Arial"/>
          <w:sz w:val="32"/>
          <w:szCs w:val="32"/>
        </w:rPr>
        <w:t xml:space="preserve">Student ID: </w:t>
      </w:r>
      <w:r w:rsidR="00822377" w:rsidRPr="00B549E7">
        <w:rPr>
          <w:rFonts w:ascii="Arial" w:hAnsi="Arial" w:cs="Arial"/>
          <w:sz w:val="32"/>
          <w:szCs w:val="32"/>
        </w:rPr>
        <w:t>2429424</w:t>
      </w:r>
    </w:p>
    <w:p w14:paraId="19394B42" w14:textId="77777777" w:rsidR="0057554F" w:rsidRDefault="0057554F">
      <w:pPr>
        <w:rPr>
          <w:rFonts w:ascii="Arial" w:hAnsi="Arial" w:cs="Arial"/>
        </w:rPr>
      </w:pPr>
      <w:r>
        <w:rPr>
          <w:rFonts w:ascii="Arial" w:hAnsi="Arial" w:cs="Arial"/>
        </w:rPr>
        <w:br w:type="page"/>
      </w:r>
    </w:p>
    <w:p w14:paraId="2D7FC1A0" w14:textId="77777777" w:rsidR="003D6B1D" w:rsidRPr="009356C2" w:rsidRDefault="003D6B1D" w:rsidP="003D6B1D">
      <w:pPr>
        <w:spacing w:after="120"/>
        <w:rPr>
          <w:rFonts w:ascii="Arial" w:hAnsi="Arial" w:cs="Arial"/>
          <w:b/>
        </w:rPr>
      </w:pPr>
    </w:p>
    <w:p w14:paraId="1933EC65" w14:textId="1A11862E" w:rsidR="003D6B1D" w:rsidRPr="009356C2" w:rsidRDefault="003D6B1D" w:rsidP="003D6B1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5496852C" wp14:editId="75CED014">
            <wp:extent cx="2845435" cy="1166495"/>
            <wp:effectExtent l="0" t="0" r="0" b="0"/>
            <wp:docPr id="11846429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5435" cy="1166495"/>
                    </a:xfrm>
                    <a:prstGeom prst="rect">
                      <a:avLst/>
                    </a:prstGeom>
                    <a:noFill/>
                    <a:ln>
                      <a:noFill/>
                    </a:ln>
                  </pic:spPr>
                </pic:pic>
              </a:graphicData>
            </a:graphic>
          </wp:inline>
        </w:drawing>
      </w:r>
    </w:p>
    <w:p w14:paraId="7800AD4A" w14:textId="77777777" w:rsidR="003D6B1D" w:rsidRDefault="003D6B1D" w:rsidP="003D6B1D">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4D04DE7A" w14:textId="77777777" w:rsidR="003D6B1D" w:rsidRPr="004A32A7" w:rsidRDefault="003D6B1D" w:rsidP="003D6B1D">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4ED7CC0E" w14:textId="77777777" w:rsidR="003D6B1D" w:rsidRPr="004A32A7" w:rsidRDefault="003D6B1D" w:rsidP="003D6B1D">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47BC17D7" w14:textId="77777777" w:rsidR="003D6B1D" w:rsidRDefault="003D6B1D" w:rsidP="003D6B1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15EB7C62" w14:textId="77777777" w:rsidR="003D6B1D" w:rsidRPr="004A32A7" w:rsidRDefault="003D6B1D" w:rsidP="003D6B1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I, </w:t>
      </w:r>
      <w:r>
        <w:rPr>
          <w:rFonts w:ascii="Arial" w:hAnsi="Arial" w:cs="Arial"/>
        </w:rPr>
        <w:t>Kaniz Fathama Chowdhury,</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060F76F3" w14:textId="77777777" w:rsidR="003D6B1D" w:rsidRPr="004A32A7" w:rsidRDefault="003D6B1D" w:rsidP="003D6B1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1A52F65C" w14:textId="77777777" w:rsidR="003D6B1D" w:rsidRDefault="003D6B1D" w:rsidP="003D6B1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Signature: ………………………………............................</w:t>
      </w:r>
    </w:p>
    <w:p w14:paraId="7BC1F618" w14:textId="77777777" w:rsidR="003D6B1D" w:rsidRPr="004A32A7" w:rsidRDefault="003D6B1D" w:rsidP="003D6B1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5B0AEC48" w14:textId="77777777" w:rsidR="003D6B1D" w:rsidRDefault="003D6B1D" w:rsidP="003D6B1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w:t>
      </w:r>
      <w:r w:rsidRPr="004A32A7">
        <w:rPr>
          <w:rFonts w:ascii="Arial" w:hAnsi="Arial" w:cs="Arial"/>
        </w:rPr>
        <w:t>…</w:t>
      </w:r>
      <w:r>
        <w:rPr>
          <w:rFonts w:ascii="Arial" w:hAnsi="Arial" w:cs="Arial"/>
        </w:rPr>
        <w:t>21/01/2026</w:t>
      </w:r>
      <w:r w:rsidRPr="004A32A7">
        <w:rPr>
          <w:rFonts w:ascii="Arial" w:hAnsi="Arial" w:cs="Arial"/>
        </w:rPr>
        <w:t>……………………………............................</w:t>
      </w:r>
    </w:p>
    <w:p w14:paraId="4D175FD8" w14:textId="77777777" w:rsidR="003D6B1D" w:rsidRPr="009356C2" w:rsidRDefault="003D6B1D" w:rsidP="003D6B1D">
      <w:pPr>
        <w:pBdr>
          <w:top w:val="single" w:sz="4" w:space="1" w:color="auto"/>
          <w:left w:val="single" w:sz="4" w:space="4" w:color="auto"/>
          <w:bottom w:val="single" w:sz="4" w:space="1" w:color="auto"/>
          <w:right w:val="single" w:sz="4" w:space="4" w:color="auto"/>
        </w:pBdr>
        <w:spacing w:after="120"/>
        <w:rPr>
          <w:rFonts w:ascii="Arial" w:hAnsi="Arial" w:cs="Arial"/>
        </w:rPr>
      </w:pPr>
    </w:p>
    <w:p w14:paraId="62BC8B78" w14:textId="05B8AFB4" w:rsidR="00D84C2D" w:rsidRDefault="00D84C2D" w:rsidP="00034B98">
      <w:pPr>
        <w:jc w:val="both"/>
        <w:rPr>
          <w:rFonts w:ascii="Arial" w:eastAsiaTheme="majorEastAsia" w:hAnsi="Arial" w:cs="Arial"/>
          <w:color w:val="0F4761" w:themeColor="accent1" w:themeShade="BF"/>
          <w:sz w:val="40"/>
          <w:szCs w:val="40"/>
        </w:rPr>
      </w:pPr>
      <w:r>
        <w:rPr>
          <w:rFonts w:ascii="Arial" w:hAnsi="Arial" w:cs="Arial"/>
        </w:rPr>
        <w:br w:type="page"/>
      </w:r>
    </w:p>
    <w:sdt>
      <w:sdtPr>
        <w:id w:val="136926719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9113F71" w14:textId="3A60A60D" w:rsidR="00776FD9" w:rsidRDefault="00776FD9">
          <w:pPr>
            <w:pStyle w:val="TOCHeading"/>
          </w:pPr>
          <w:r>
            <w:t>Contents</w:t>
          </w:r>
        </w:p>
        <w:p w14:paraId="062BB722" w14:textId="15AF63AD" w:rsidR="00776FD9" w:rsidRDefault="00776FD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9926245" w:history="1">
            <w:r w:rsidRPr="000676B9">
              <w:rPr>
                <w:rStyle w:val="Hyperlink"/>
                <w:rFonts w:ascii="Arial" w:hAnsi="Arial" w:cs="Arial"/>
                <w:noProof/>
              </w:rPr>
              <w:t>Chapter 1: Executive Summary</w:t>
            </w:r>
            <w:r>
              <w:rPr>
                <w:noProof/>
                <w:webHidden/>
              </w:rPr>
              <w:tab/>
            </w:r>
            <w:r>
              <w:rPr>
                <w:noProof/>
                <w:webHidden/>
              </w:rPr>
              <w:fldChar w:fldCharType="begin"/>
            </w:r>
            <w:r>
              <w:rPr>
                <w:noProof/>
                <w:webHidden/>
              </w:rPr>
              <w:instrText xml:space="preserve"> PAGEREF _Toc219926245 \h </w:instrText>
            </w:r>
            <w:r>
              <w:rPr>
                <w:noProof/>
                <w:webHidden/>
              </w:rPr>
            </w:r>
            <w:r>
              <w:rPr>
                <w:noProof/>
                <w:webHidden/>
              </w:rPr>
              <w:fldChar w:fldCharType="separate"/>
            </w:r>
            <w:r>
              <w:rPr>
                <w:noProof/>
                <w:webHidden/>
              </w:rPr>
              <w:t>1</w:t>
            </w:r>
            <w:r>
              <w:rPr>
                <w:noProof/>
                <w:webHidden/>
              </w:rPr>
              <w:fldChar w:fldCharType="end"/>
            </w:r>
          </w:hyperlink>
        </w:p>
        <w:p w14:paraId="561D3D4F" w14:textId="15C3C4C6" w:rsidR="00776FD9" w:rsidRDefault="00776FD9">
          <w:pPr>
            <w:pStyle w:val="TOC1"/>
            <w:tabs>
              <w:tab w:val="right" w:leader="dot" w:pos="9016"/>
            </w:tabs>
            <w:rPr>
              <w:rFonts w:eastAsiaTheme="minorEastAsia"/>
              <w:noProof/>
              <w:lang w:eastAsia="en-GB"/>
            </w:rPr>
          </w:pPr>
          <w:hyperlink w:anchor="_Toc219926246" w:history="1">
            <w:r w:rsidRPr="000676B9">
              <w:rPr>
                <w:rStyle w:val="Hyperlink"/>
                <w:rFonts w:ascii="Arial" w:hAnsi="Arial" w:cs="Arial"/>
                <w:noProof/>
              </w:rPr>
              <w:t>Chapter 2: Company Description and Strategic Foundations</w:t>
            </w:r>
            <w:r>
              <w:rPr>
                <w:noProof/>
                <w:webHidden/>
              </w:rPr>
              <w:tab/>
            </w:r>
            <w:r>
              <w:rPr>
                <w:noProof/>
                <w:webHidden/>
              </w:rPr>
              <w:fldChar w:fldCharType="begin"/>
            </w:r>
            <w:r>
              <w:rPr>
                <w:noProof/>
                <w:webHidden/>
              </w:rPr>
              <w:instrText xml:space="preserve"> PAGEREF _Toc219926246 \h </w:instrText>
            </w:r>
            <w:r>
              <w:rPr>
                <w:noProof/>
                <w:webHidden/>
              </w:rPr>
            </w:r>
            <w:r>
              <w:rPr>
                <w:noProof/>
                <w:webHidden/>
              </w:rPr>
              <w:fldChar w:fldCharType="separate"/>
            </w:r>
            <w:r>
              <w:rPr>
                <w:noProof/>
                <w:webHidden/>
              </w:rPr>
              <w:t>2</w:t>
            </w:r>
            <w:r>
              <w:rPr>
                <w:noProof/>
                <w:webHidden/>
              </w:rPr>
              <w:fldChar w:fldCharType="end"/>
            </w:r>
          </w:hyperlink>
        </w:p>
        <w:p w14:paraId="3AC5F51D" w14:textId="1E0F4DF0" w:rsidR="00776FD9" w:rsidRDefault="00776FD9">
          <w:pPr>
            <w:pStyle w:val="TOC2"/>
            <w:tabs>
              <w:tab w:val="right" w:leader="dot" w:pos="9016"/>
            </w:tabs>
            <w:rPr>
              <w:rFonts w:eastAsiaTheme="minorEastAsia"/>
              <w:noProof/>
              <w:lang w:eastAsia="en-GB"/>
            </w:rPr>
          </w:pPr>
          <w:hyperlink w:anchor="_Toc219926247" w:history="1">
            <w:r w:rsidRPr="000676B9">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_Toc219926247 \h </w:instrText>
            </w:r>
            <w:r>
              <w:rPr>
                <w:noProof/>
                <w:webHidden/>
              </w:rPr>
            </w:r>
            <w:r>
              <w:rPr>
                <w:noProof/>
                <w:webHidden/>
              </w:rPr>
              <w:fldChar w:fldCharType="separate"/>
            </w:r>
            <w:r>
              <w:rPr>
                <w:noProof/>
                <w:webHidden/>
              </w:rPr>
              <w:t>2</w:t>
            </w:r>
            <w:r>
              <w:rPr>
                <w:noProof/>
                <w:webHidden/>
              </w:rPr>
              <w:fldChar w:fldCharType="end"/>
            </w:r>
          </w:hyperlink>
        </w:p>
        <w:p w14:paraId="57592536" w14:textId="11229D72" w:rsidR="00776FD9" w:rsidRDefault="00776FD9">
          <w:pPr>
            <w:pStyle w:val="TOC2"/>
            <w:tabs>
              <w:tab w:val="right" w:leader="dot" w:pos="9016"/>
            </w:tabs>
            <w:rPr>
              <w:rFonts w:eastAsiaTheme="minorEastAsia"/>
              <w:noProof/>
              <w:lang w:eastAsia="en-GB"/>
            </w:rPr>
          </w:pPr>
          <w:hyperlink w:anchor="_Toc219926248" w:history="1">
            <w:r w:rsidRPr="000676B9">
              <w:rPr>
                <w:rStyle w:val="Hyperlink"/>
                <w:rFonts w:ascii="Arial" w:hAnsi="Arial" w:cs="Arial"/>
                <w:noProof/>
              </w:rPr>
              <w:t>2.2 Business Identity and Strategic Orientation</w:t>
            </w:r>
            <w:r>
              <w:rPr>
                <w:noProof/>
                <w:webHidden/>
              </w:rPr>
              <w:tab/>
            </w:r>
            <w:r>
              <w:rPr>
                <w:noProof/>
                <w:webHidden/>
              </w:rPr>
              <w:fldChar w:fldCharType="begin"/>
            </w:r>
            <w:r>
              <w:rPr>
                <w:noProof/>
                <w:webHidden/>
              </w:rPr>
              <w:instrText xml:space="preserve"> PAGEREF _Toc219926248 \h </w:instrText>
            </w:r>
            <w:r>
              <w:rPr>
                <w:noProof/>
                <w:webHidden/>
              </w:rPr>
            </w:r>
            <w:r>
              <w:rPr>
                <w:noProof/>
                <w:webHidden/>
              </w:rPr>
              <w:fldChar w:fldCharType="separate"/>
            </w:r>
            <w:r>
              <w:rPr>
                <w:noProof/>
                <w:webHidden/>
              </w:rPr>
              <w:t>3</w:t>
            </w:r>
            <w:r>
              <w:rPr>
                <w:noProof/>
                <w:webHidden/>
              </w:rPr>
              <w:fldChar w:fldCharType="end"/>
            </w:r>
          </w:hyperlink>
        </w:p>
        <w:p w14:paraId="11F573FE" w14:textId="074DD7EA" w:rsidR="00776FD9" w:rsidRDefault="00776FD9">
          <w:pPr>
            <w:pStyle w:val="TOC2"/>
            <w:tabs>
              <w:tab w:val="right" w:leader="dot" w:pos="9016"/>
            </w:tabs>
            <w:rPr>
              <w:rFonts w:eastAsiaTheme="minorEastAsia"/>
              <w:noProof/>
              <w:lang w:eastAsia="en-GB"/>
            </w:rPr>
          </w:pPr>
          <w:hyperlink w:anchor="_Toc219926249" w:history="1">
            <w:r w:rsidRPr="000676B9">
              <w:rPr>
                <w:rStyle w:val="Hyperlink"/>
                <w:rFonts w:ascii="Arial" w:hAnsi="Arial" w:cs="Arial"/>
                <w:noProof/>
              </w:rPr>
              <w:t>2.2.1 Application of the Triple Bottom Line Framework</w:t>
            </w:r>
            <w:r>
              <w:rPr>
                <w:noProof/>
                <w:webHidden/>
              </w:rPr>
              <w:tab/>
            </w:r>
            <w:r>
              <w:rPr>
                <w:noProof/>
                <w:webHidden/>
              </w:rPr>
              <w:fldChar w:fldCharType="begin"/>
            </w:r>
            <w:r>
              <w:rPr>
                <w:noProof/>
                <w:webHidden/>
              </w:rPr>
              <w:instrText xml:space="preserve"> PAGEREF _Toc219926249 \h </w:instrText>
            </w:r>
            <w:r>
              <w:rPr>
                <w:noProof/>
                <w:webHidden/>
              </w:rPr>
            </w:r>
            <w:r>
              <w:rPr>
                <w:noProof/>
                <w:webHidden/>
              </w:rPr>
              <w:fldChar w:fldCharType="separate"/>
            </w:r>
            <w:r>
              <w:rPr>
                <w:noProof/>
                <w:webHidden/>
              </w:rPr>
              <w:t>3</w:t>
            </w:r>
            <w:r>
              <w:rPr>
                <w:noProof/>
                <w:webHidden/>
              </w:rPr>
              <w:fldChar w:fldCharType="end"/>
            </w:r>
          </w:hyperlink>
        </w:p>
        <w:p w14:paraId="106F95EB" w14:textId="319DD05F" w:rsidR="00776FD9" w:rsidRDefault="00776FD9">
          <w:pPr>
            <w:pStyle w:val="TOC2"/>
            <w:tabs>
              <w:tab w:val="right" w:leader="dot" w:pos="9016"/>
            </w:tabs>
            <w:rPr>
              <w:rFonts w:eastAsiaTheme="minorEastAsia"/>
              <w:noProof/>
              <w:lang w:eastAsia="en-GB"/>
            </w:rPr>
          </w:pPr>
          <w:hyperlink w:anchor="_Toc219926250" w:history="1">
            <w:r w:rsidRPr="000676B9">
              <w:rPr>
                <w:rStyle w:val="Hyperlink"/>
                <w:rFonts w:ascii="Arial" w:hAnsi="Arial" w:cs="Arial"/>
                <w:noProof/>
              </w:rPr>
              <w:t>2.3 Legal Structure and Regulatory Framework</w:t>
            </w:r>
            <w:r>
              <w:rPr>
                <w:noProof/>
                <w:webHidden/>
              </w:rPr>
              <w:tab/>
            </w:r>
            <w:r>
              <w:rPr>
                <w:noProof/>
                <w:webHidden/>
              </w:rPr>
              <w:fldChar w:fldCharType="begin"/>
            </w:r>
            <w:r>
              <w:rPr>
                <w:noProof/>
                <w:webHidden/>
              </w:rPr>
              <w:instrText xml:space="preserve"> PAGEREF _Toc219926250 \h </w:instrText>
            </w:r>
            <w:r>
              <w:rPr>
                <w:noProof/>
                <w:webHidden/>
              </w:rPr>
            </w:r>
            <w:r>
              <w:rPr>
                <w:noProof/>
                <w:webHidden/>
              </w:rPr>
              <w:fldChar w:fldCharType="separate"/>
            </w:r>
            <w:r>
              <w:rPr>
                <w:noProof/>
                <w:webHidden/>
              </w:rPr>
              <w:t>5</w:t>
            </w:r>
            <w:r>
              <w:rPr>
                <w:noProof/>
                <w:webHidden/>
              </w:rPr>
              <w:fldChar w:fldCharType="end"/>
            </w:r>
          </w:hyperlink>
        </w:p>
        <w:p w14:paraId="23D70628" w14:textId="204BE0C4" w:rsidR="00776FD9" w:rsidRDefault="00776FD9">
          <w:pPr>
            <w:pStyle w:val="TOC2"/>
            <w:tabs>
              <w:tab w:val="right" w:leader="dot" w:pos="9016"/>
            </w:tabs>
            <w:rPr>
              <w:rFonts w:eastAsiaTheme="minorEastAsia"/>
              <w:noProof/>
              <w:lang w:eastAsia="en-GB"/>
            </w:rPr>
          </w:pPr>
          <w:hyperlink w:anchor="_Toc219926251" w:history="1">
            <w:r w:rsidRPr="000676B9">
              <w:rPr>
                <w:rStyle w:val="Hyperlink"/>
                <w:rFonts w:ascii="Arial" w:hAnsi="Arial" w:cs="Arial"/>
                <w:noProof/>
              </w:rPr>
              <w:t>2.3.1 Network Selection and Strategic Fit</w:t>
            </w:r>
            <w:r>
              <w:rPr>
                <w:noProof/>
                <w:webHidden/>
              </w:rPr>
              <w:tab/>
            </w:r>
            <w:r>
              <w:rPr>
                <w:noProof/>
                <w:webHidden/>
              </w:rPr>
              <w:fldChar w:fldCharType="begin"/>
            </w:r>
            <w:r>
              <w:rPr>
                <w:noProof/>
                <w:webHidden/>
              </w:rPr>
              <w:instrText xml:space="preserve"> PAGEREF _Toc219926251 \h </w:instrText>
            </w:r>
            <w:r>
              <w:rPr>
                <w:noProof/>
                <w:webHidden/>
              </w:rPr>
            </w:r>
            <w:r>
              <w:rPr>
                <w:noProof/>
                <w:webHidden/>
              </w:rPr>
              <w:fldChar w:fldCharType="separate"/>
            </w:r>
            <w:r>
              <w:rPr>
                <w:noProof/>
                <w:webHidden/>
              </w:rPr>
              <w:t>5</w:t>
            </w:r>
            <w:r>
              <w:rPr>
                <w:noProof/>
                <w:webHidden/>
              </w:rPr>
              <w:fldChar w:fldCharType="end"/>
            </w:r>
          </w:hyperlink>
        </w:p>
        <w:p w14:paraId="0B13DF56" w14:textId="3BBD2477" w:rsidR="00776FD9" w:rsidRDefault="00776FD9">
          <w:pPr>
            <w:pStyle w:val="TOC2"/>
            <w:tabs>
              <w:tab w:val="right" w:leader="dot" w:pos="9016"/>
            </w:tabs>
            <w:rPr>
              <w:rFonts w:eastAsiaTheme="minorEastAsia"/>
              <w:noProof/>
              <w:lang w:eastAsia="en-GB"/>
            </w:rPr>
          </w:pPr>
          <w:hyperlink w:anchor="_Toc219926252" w:history="1">
            <w:r w:rsidRPr="000676B9">
              <w:rPr>
                <w:rStyle w:val="Hyperlink"/>
                <w:rFonts w:ascii="Arial" w:hAnsi="Arial" w:cs="Arial"/>
                <w:noProof/>
              </w:rPr>
              <w:t>2.3.2 Compliance Responsibilities</w:t>
            </w:r>
            <w:r>
              <w:rPr>
                <w:noProof/>
                <w:webHidden/>
              </w:rPr>
              <w:tab/>
            </w:r>
            <w:r>
              <w:rPr>
                <w:noProof/>
                <w:webHidden/>
              </w:rPr>
              <w:fldChar w:fldCharType="begin"/>
            </w:r>
            <w:r>
              <w:rPr>
                <w:noProof/>
                <w:webHidden/>
              </w:rPr>
              <w:instrText xml:space="preserve"> PAGEREF _Toc219926252 \h </w:instrText>
            </w:r>
            <w:r>
              <w:rPr>
                <w:noProof/>
                <w:webHidden/>
              </w:rPr>
            </w:r>
            <w:r>
              <w:rPr>
                <w:noProof/>
                <w:webHidden/>
              </w:rPr>
              <w:fldChar w:fldCharType="separate"/>
            </w:r>
            <w:r>
              <w:rPr>
                <w:noProof/>
                <w:webHidden/>
              </w:rPr>
              <w:t>6</w:t>
            </w:r>
            <w:r>
              <w:rPr>
                <w:noProof/>
                <w:webHidden/>
              </w:rPr>
              <w:fldChar w:fldCharType="end"/>
            </w:r>
          </w:hyperlink>
        </w:p>
        <w:p w14:paraId="146B9F91" w14:textId="68DA2B81" w:rsidR="00776FD9" w:rsidRDefault="00776FD9">
          <w:pPr>
            <w:pStyle w:val="TOC2"/>
            <w:tabs>
              <w:tab w:val="right" w:leader="dot" w:pos="9016"/>
            </w:tabs>
            <w:rPr>
              <w:rFonts w:eastAsiaTheme="minorEastAsia"/>
              <w:noProof/>
              <w:lang w:eastAsia="en-GB"/>
            </w:rPr>
          </w:pPr>
          <w:hyperlink w:anchor="_Toc219926253" w:history="1">
            <w:r w:rsidRPr="000676B9">
              <w:rPr>
                <w:rStyle w:val="Hyperlink"/>
                <w:rFonts w:ascii="Arial" w:hAnsi="Arial" w:cs="Arial"/>
                <w:noProof/>
              </w:rPr>
              <w:t>2.4 Mission, Vision, and Core Values</w:t>
            </w:r>
            <w:r>
              <w:rPr>
                <w:noProof/>
                <w:webHidden/>
              </w:rPr>
              <w:tab/>
            </w:r>
            <w:r>
              <w:rPr>
                <w:noProof/>
                <w:webHidden/>
              </w:rPr>
              <w:fldChar w:fldCharType="begin"/>
            </w:r>
            <w:r>
              <w:rPr>
                <w:noProof/>
                <w:webHidden/>
              </w:rPr>
              <w:instrText xml:space="preserve"> PAGEREF _Toc219926253 \h </w:instrText>
            </w:r>
            <w:r>
              <w:rPr>
                <w:noProof/>
                <w:webHidden/>
              </w:rPr>
            </w:r>
            <w:r>
              <w:rPr>
                <w:noProof/>
                <w:webHidden/>
              </w:rPr>
              <w:fldChar w:fldCharType="separate"/>
            </w:r>
            <w:r>
              <w:rPr>
                <w:noProof/>
                <w:webHidden/>
              </w:rPr>
              <w:t>6</w:t>
            </w:r>
            <w:r>
              <w:rPr>
                <w:noProof/>
                <w:webHidden/>
              </w:rPr>
              <w:fldChar w:fldCharType="end"/>
            </w:r>
          </w:hyperlink>
        </w:p>
        <w:p w14:paraId="7FD52F6D" w14:textId="39B9A167" w:rsidR="00776FD9" w:rsidRDefault="00776FD9">
          <w:pPr>
            <w:pStyle w:val="TOC2"/>
            <w:tabs>
              <w:tab w:val="right" w:leader="dot" w:pos="9016"/>
            </w:tabs>
            <w:rPr>
              <w:rFonts w:eastAsiaTheme="minorEastAsia"/>
              <w:noProof/>
              <w:lang w:eastAsia="en-GB"/>
            </w:rPr>
          </w:pPr>
          <w:hyperlink w:anchor="_Toc219926254" w:history="1">
            <w:r w:rsidRPr="000676B9">
              <w:rPr>
                <w:rStyle w:val="Hyperlink"/>
                <w:rFonts w:ascii="Arial" w:hAnsi="Arial" w:cs="Arial"/>
                <w:noProof/>
              </w:rPr>
              <w:t>2.5 Founding Background and Business Rationale</w:t>
            </w:r>
            <w:r>
              <w:rPr>
                <w:noProof/>
                <w:webHidden/>
              </w:rPr>
              <w:tab/>
            </w:r>
            <w:r>
              <w:rPr>
                <w:noProof/>
                <w:webHidden/>
              </w:rPr>
              <w:fldChar w:fldCharType="begin"/>
            </w:r>
            <w:r>
              <w:rPr>
                <w:noProof/>
                <w:webHidden/>
              </w:rPr>
              <w:instrText xml:space="preserve"> PAGEREF _Toc219926254 \h </w:instrText>
            </w:r>
            <w:r>
              <w:rPr>
                <w:noProof/>
                <w:webHidden/>
              </w:rPr>
            </w:r>
            <w:r>
              <w:rPr>
                <w:noProof/>
                <w:webHidden/>
              </w:rPr>
              <w:fldChar w:fldCharType="separate"/>
            </w:r>
            <w:r>
              <w:rPr>
                <w:noProof/>
                <w:webHidden/>
              </w:rPr>
              <w:t>7</w:t>
            </w:r>
            <w:r>
              <w:rPr>
                <w:noProof/>
                <w:webHidden/>
              </w:rPr>
              <w:fldChar w:fldCharType="end"/>
            </w:r>
          </w:hyperlink>
        </w:p>
        <w:p w14:paraId="308959D1" w14:textId="25F4D676" w:rsidR="00776FD9" w:rsidRDefault="00776FD9">
          <w:pPr>
            <w:pStyle w:val="TOC2"/>
            <w:tabs>
              <w:tab w:val="right" w:leader="dot" w:pos="9016"/>
            </w:tabs>
            <w:rPr>
              <w:rFonts w:eastAsiaTheme="minorEastAsia"/>
              <w:noProof/>
              <w:lang w:eastAsia="en-GB"/>
            </w:rPr>
          </w:pPr>
          <w:hyperlink w:anchor="_Toc219926255" w:history="1">
            <w:r w:rsidRPr="000676B9">
              <w:rPr>
                <w:rStyle w:val="Hyperlink"/>
                <w:rFonts w:ascii="Arial" w:hAnsi="Arial" w:cs="Arial"/>
                <w:noProof/>
              </w:rPr>
              <w:t>2.6 Unique Value Proposition</w:t>
            </w:r>
            <w:r>
              <w:rPr>
                <w:noProof/>
                <w:webHidden/>
              </w:rPr>
              <w:tab/>
            </w:r>
            <w:r>
              <w:rPr>
                <w:noProof/>
                <w:webHidden/>
              </w:rPr>
              <w:fldChar w:fldCharType="begin"/>
            </w:r>
            <w:r>
              <w:rPr>
                <w:noProof/>
                <w:webHidden/>
              </w:rPr>
              <w:instrText xml:space="preserve"> PAGEREF _Toc219926255 \h </w:instrText>
            </w:r>
            <w:r>
              <w:rPr>
                <w:noProof/>
                <w:webHidden/>
              </w:rPr>
            </w:r>
            <w:r>
              <w:rPr>
                <w:noProof/>
                <w:webHidden/>
              </w:rPr>
              <w:fldChar w:fldCharType="separate"/>
            </w:r>
            <w:r>
              <w:rPr>
                <w:noProof/>
                <w:webHidden/>
              </w:rPr>
              <w:t>8</w:t>
            </w:r>
            <w:r>
              <w:rPr>
                <w:noProof/>
                <w:webHidden/>
              </w:rPr>
              <w:fldChar w:fldCharType="end"/>
            </w:r>
          </w:hyperlink>
        </w:p>
        <w:p w14:paraId="20476C16" w14:textId="31179F93" w:rsidR="00776FD9" w:rsidRDefault="00776FD9">
          <w:pPr>
            <w:pStyle w:val="TOC2"/>
            <w:tabs>
              <w:tab w:val="right" w:leader="dot" w:pos="9016"/>
            </w:tabs>
            <w:rPr>
              <w:rFonts w:eastAsiaTheme="minorEastAsia"/>
              <w:noProof/>
              <w:lang w:eastAsia="en-GB"/>
            </w:rPr>
          </w:pPr>
          <w:hyperlink w:anchor="_Toc219926256" w:history="1">
            <w:r w:rsidRPr="000676B9">
              <w:rPr>
                <w:rStyle w:val="Hyperlink"/>
                <w:rFonts w:ascii="Arial" w:hAnsi="Arial" w:cs="Arial"/>
                <w:noProof/>
              </w:rPr>
              <w:t>2.7 Strategic Advantage</w:t>
            </w:r>
            <w:r>
              <w:rPr>
                <w:noProof/>
                <w:webHidden/>
              </w:rPr>
              <w:tab/>
            </w:r>
            <w:r>
              <w:rPr>
                <w:noProof/>
                <w:webHidden/>
              </w:rPr>
              <w:fldChar w:fldCharType="begin"/>
            </w:r>
            <w:r>
              <w:rPr>
                <w:noProof/>
                <w:webHidden/>
              </w:rPr>
              <w:instrText xml:space="preserve"> PAGEREF _Toc219926256 \h </w:instrText>
            </w:r>
            <w:r>
              <w:rPr>
                <w:noProof/>
                <w:webHidden/>
              </w:rPr>
            </w:r>
            <w:r>
              <w:rPr>
                <w:noProof/>
                <w:webHidden/>
              </w:rPr>
              <w:fldChar w:fldCharType="separate"/>
            </w:r>
            <w:r>
              <w:rPr>
                <w:noProof/>
                <w:webHidden/>
              </w:rPr>
              <w:t>8</w:t>
            </w:r>
            <w:r>
              <w:rPr>
                <w:noProof/>
                <w:webHidden/>
              </w:rPr>
              <w:fldChar w:fldCharType="end"/>
            </w:r>
          </w:hyperlink>
        </w:p>
        <w:p w14:paraId="6F0A5491" w14:textId="3CE3A090" w:rsidR="00776FD9" w:rsidRDefault="00776FD9">
          <w:pPr>
            <w:pStyle w:val="TOC2"/>
            <w:tabs>
              <w:tab w:val="right" w:leader="dot" w:pos="9016"/>
            </w:tabs>
            <w:rPr>
              <w:rFonts w:eastAsiaTheme="minorEastAsia"/>
              <w:noProof/>
              <w:lang w:eastAsia="en-GB"/>
            </w:rPr>
          </w:pPr>
          <w:hyperlink w:anchor="_Toc219926257" w:history="1">
            <w:r w:rsidRPr="000676B9">
              <w:rPr>
                <w:rStyle w:val="Hyperlink"/>
                <w:rFonts w:ascii="Arial" w:hAnsi="Arial" w:cs="Arial"/>
                <w:noProof/>
              </w:rPr>
              <w:t>2.8 Summary</w:t>
            </w:r>
            <w:r>
              <w:rPr>
                <w:noProof/>
                <w:webHidden/>
              </w:rPr>
              <w:tab/>
            </w:r>
            <w:r>
              <w:rPr>
                <w:noProof/>
                <w:webHidden/>
              </w:rPr>
              <w:fldChar w:fldCharType="begin"/>
            </w:r>
            <w:r>
              <w:rPr>
                <w:noProof/>
                <w:webHidden/>
              </w:rPr>
              <w:instrText xml:space="preserve"> PAGEREF _Toc219926257 \h </w:instrText>
            </w:r>
            <w:r>
              <w:rPr>
                <w:noProof/>
                <w:webHidden/>
              </w:rPr>
            </w:r>
            <w:r>
              <w:rPr>
                <w:noProof/>
                <w:webHidden/>
              </w:rPr>
              <w:fldChar w:fldCharType="separate"/>
            </w:r>
            <w:r>
              <w:rPr>
                <w:noProof/>
                <w:webHidden/>
              </w:rPr>
              <w:t>8</w:t>
            </w:r>
            <w:r>
              <w:rPr>
                <w:noProof/>
                <w:webHidden/>
              </w:rPr>
              <w:fldChar w:fldCharType="end"/>
            </w:r>
          </w:hyperlink>
        </w:p>
        <w:p w14:paraId="7A5B30F0" w14:textId="4FB2B4FA" w:rsidR="00776FD9" w:rsidRDefault="00776FD9">
          <w:pPr>
            <w:pStyle w:val="TOC1"/>
            <w:tabs>
              <w:tab w:val="right" w:leader="dot" w:pos="9016"/>
            </w:tabs>
            <w:rPr>
              <w:rFonts w:eastAsiaTheme="minorEastAsia"/>
              <w:noProof/>
              <w:lang w:eastAsia="en-GB"/>
            </w:rPr>
          </w:pPr>
          <w:hyperlink w:anchor="_Toc219926258" w:history="1">
            <w:r w:rsidRPr="000676B9">
              <w:rPr>
                <w:rStyle w:val="Hyperlink"/>
                <w:rFonts w:ascii="Arial" w:hAnsi="Arial" w:cs="Arial"/>
                <w:noProof/>
              </w:rPr>
              <w:t>Chapter 3: Market Research</w:t>
            </w:r>
            <w:r>
              <w:rPr>
                <w:noProof/>
                <w:webHidden/>
              </w:rPr>
              <w:tab/>
            </w:r>
            <w:r>
              <w:rPr>
                <w:noProof/>
                <w:webHidden/>
              </w:rPr>
              <w:fldChar w:fldCharType="begin"/>
            </w:r>
            <w:r>
              <w:rPr>
                <w:noProof/>
                <w:webHidden/>
              </w:rPr>
              <w:instrText xml:space="preserve"> PAGEREF _Toc219926258 \h </w:instrText>
            </w:r>
            <w:r>
              <w:rPr>
                <w:noProof/>
                <w:webHidden/>
              </w:rPr>
            </w:r>
            <w:r>
              <w:rPr>
                <w:noProof/>
                <w:webHidden/>
              </w:rPr>
              <w:fldChar w:fldCharType="separate"/>
            </w:r>
            <w:r>
              <w:rPr>
                <w:noProof/>
                <w:webHidden/>
              </w:rPr>
              <w:t>9</w:t>
            </w:r>
            <w:r>
              <w:rPr>
                <w:noProof/>
                <w:webHidden/>
              </w:rPr>
              <w:fldChar w:fldCharType="end"/>
            </w:r>
          </w:hyperlink>
        </w:p>
        <w:p w14:paraId="1771678B" w14:textId="424CCB65" w:rsidR="00776FD9" w:rsidRDefault="00776FD9">
          <w:pPr>
            <w:pStyle w:val="TOC2"/>
            <w:tabs>
              <w:tab w:val="right" w:leader="dot" w:pos="9016"/>
            </w:tabs>
            <w:rPr>
              <w:rFonts w:eastAsiaTheme="minorEastAsia"/>
              <w:noProof/>
              <w:lang w:eastAsia="en-GB"/>
            </w:rPr>
          </w:pPr>
          <w:hyperlink w:anchor="_Toc219926259" w:history="1">
            <w:r w:rsidRPr="000676B9">
              <w:rPr>
                <w:rStyle w:val="Hyperlink"/>
                <w:rFonts w:ascii="Arial" w:hAnsi="Arial" w:cs="Arial"/>
                <w:noProof/>
              </w:rPr>
              <w:t>3.1 Industry Overview</w:t>
            </w:r>
            <w:r>
              <w:rPr>
                <w:noProof/>
                <w:webHidden/>
              </w:rPr>
              <w:tab/>
            </w:r>
            <w:r>
              <w:rPr>
                <w:noProof/>
                <w:webHidden/>
              </w:rPr>
              <w:fldChar w:fldCharType="begin"/>
            </w:r>
            <w:r>
              <w:rPr>
                <w:noProof/>
                <w:webHidden/>
              </w:rPr>
              <w:instrText xml:space="preserve"> PAGEREF _Toc219926259 \h </w:instrText>
            </w:r>
            <w:r>
              <w:rPr>
                <w:noProof/>
                <w:webHidden/>
              </w:rPr>
            </w:r>
            <w:r>
              <w:rPr>
                <w:noProof/>
                <w:webHidden/>
              </w:rPr>
              <w:fldChar w:fldCharType="separate"/>
            </w:r>
            <w:r>
              <w:rPr>
                <w:noProof/>
                <w:webHidden/>
              </w:rPr>
              <w:t>9</w:t>
            </w:r>
            <w:r>
              <w:rPr>
                <w:noProof/>
                <w:webHidden/>
              </w:rPr>
              <w:fldChar w:fldCharType="end"/>
            </w:r>
          </w:hyperlink>
        </w:p>
        <w:p w14:paraId="749DF8D0" w14:textId="506B2740" w:rsidR="00776FD9" w:rsidRDefault="00776FD9">
          <w:pPr>
            <w:pStyle w:val="TOC2"/>
            <w:tabs>
              <w:tab w:val="right" w:leader="dot" w:pos="9016"/>
            </w:tabs>
            <w:rPr>
              <w:rFonts w:eastAsiaTheme="minorEastAsia"/>
              <w:noProof/>
              <w:lang w:eastAsia="en-GB"/>
            </w:rPr>
          </w:pPr>
          <w:hyperlink w:anchor="_Toc219926260" w:history="1">
            <w:r w:rsidRPr="000676B9">
              <w:rPr>
                <w:rStyle w:val="Hyperlink"/>
                <w:rFonts w:ascii="Arial" w:hAnsi="Arial" w:cs="Arial"/>
                <w:noProof/>
              </w:rPr>
              <w:t>3.2 Market Segmentation, Targeting, and Positioning (STP Framework)</w:t>
            </w:r>
            <w:r>
              <w:rPr>
                <w:noProof/>
                <w:webHidden/>
              </w:rPr>
              <w:tab/>
            </w:r>
            <w:r>
              <w:rPr>
                <w:noProof/>
                <w:webHidden/>
              </w:rPr>
              <w:fldChar w:fldCharType="begin"/>
            </w:r>
            <w:r>
              <w:rPr>
                <w:noProof/>
                <w:webHidden/>
              </w:rPr>
              <w:instrText xml:space="preserve"> PAGEREF _Toc219926260 \h </w:instrText>
            </w:r>
            <w:r>
              <w:rPr>
                <w:noProof/>
                <w:webHidden/>
              </w:rPr>
            </w:r>
            <w:r>
              <w:rPr>
                <w:noProof/>
                <w:webHidden/>
              </w:rPr>
              <w:fldChar w:fldCharType="separate"/>
            </w:r>
            <w:r>
              <w:rPr>
                <w:noProof/>
                <w:webHidden/>
              </w:rPr>
              <w:t>12</w:t>
            </w:r>
            <w:r>
              <w:rPr>
                <w:noProof/>
                <w:webHidden/>
              </w:rPr>
              <w:fldChar w:fldCharType="end"/>
            </w:r>
          </w:hyperlink>
        </w:p>
        <w:p w14:paraId="6B5F420A" w14:textId="218D9D26" w:rsidR="00776FD9" w:rsidRDefault="00776FD9">
          <w:pPr>
            <w:pStyle w:val="TOC2"/>
            <w:tabs>
              <w:tab w:val="right" w:leader="dot" w:pos="9016"/>
            </w:tabs>
            <w:rPr>
              <w:rFonts w:eastAsiaTheme="minorEastAsia"/>
              <w:noProof/>
              <w:lang w:eastAsia="en-GB"/>
            </w:rPr>
          </w:pPr>
          <w:hyperlink w:anchor="_Toc219926261" w:history="1">
            <w:r w:rsidRPr="000676B9">
              <w:rPr>
                <w:rStyle w:val="Hyperlink"/>
                <w:rFonts w:ascii="Arial" w:hAnsi="Arial" w:cs="Arial"/>
                <w:noProof/>
              </w:rPr>
              <w:t>3.3 Customer Needs and Demand Patterns</w:t>
            </w:r>
            <w:r>
              <w:rPr>
                <w:noProof/>
                <w:webHidden/>
              </w:rPr>
              <w:tab/>
            </w:r>
            <w:r>
              <w:rPr>
                <w:noProof/>
                <w:webHidden/>
              </w:rPr>
              <w:fldChar w:fldCharType="begin"/>
            </w:r>
            <w:r>
              <w:rPr>
                <w:noProof/>
                <w:webHidden/>
              </w:rPr>
              <w:instrText xml:space="preserve"> PAGEREF _Toc219926261 \h </w:instrText>
            </w:r>
            <w:r>
              <w:rPr>
                <w:noProof/>
                <w:webHidden/>
              </w:rPr>
            </w:r>
            <w:r>
              <w:rPr>
                <w:noProof/>
                <w:webHidden/>
              </w:rPr>
              <w:fldChar w:fldCharType="separate"/>
            </w:r>
            <w:r>
              <w:rPr>
                <w:noProof/>
                <w:webHidden/>
              </w:rPr>
              <w:t>16</w:t>
            </w:r>
            <w:r>
              <w:rPr>
                <w:noProof/>
                <w:webHidden/>
              </w:rPr>
              <w:fldChar w:fldCharType="end"/>
            </w:r>
          </w:hyperlink>
        </w:p>
        <w:p w14:paraId="40756ADA" w14:textId="359DFDA7" w:rsidR="00776FD9" w:rsidRDefault="00776FD9">
          <w:pPr>
            <w:pStyle w:val="TOC2"/>
            <w:tabs>
              <w:tab w:val="right" w:leader="dot" w:pos="9016"/>
            </w:tabs>
            <w:rPr>
              <w:rFonts w:eastAsiaTheme="minorEastAsia"/>
              <w:noProof/>
              <w:lang w:eastAsia="en-GB"/>
            </w:rPr>
          </w:pPr>
          <w:hyperlink w:anchor="_Toc219926262" w:history="1">
            <w:r w:rsidRPr="000676B9">
              <w:rPr>
                <w:rStyle w:val="Hyperlink"/>
                <w:rFonts w:ascii="Arial" w:hAnsi="Arial" w:cs="Arial"/>
                <w:noProof/>
              </w:rPr>
              <w:t>3.4 Competitive Analysis</w:t>
            </w:r>
            <w:r>
              <w:rPr>
                <w:noProof/>
                <w:webHidden/>
              </w:rPr>
              <w:tab/>
            </w:r>
            <w:r>
              <w:rPr>
                <w:noProof/>
                <w:webHidden/>
              </w:rPr>
              <w:fldChar w:fldCharType="begin"/>
            </w:r>
            <w:r>
              <w:rPr>
                <w:noProof/>
                <w:webHidden/>
              </w:rPr>
              <w:instrText xml:space="preserve"> PAGEREF _Toc219926262 \h </w:instrText>
            </w:r>
            <w:r>
              <w:rPr>
                <w:noProof/>
                <w:webHidden/>
              </w:rPr>
            </w:r>
            <w:r>
              <w:rPr>
                <w:noProof/>
                <w:webHidden/>
              </w:rPr>
              <w:fldChar w:fldCharType="separate"/>
            </w:r>
            <w:r>
              <w:rPr>
                <w:noProof/>
                <w:webHidden/>
              </w:rPr>
              <w:t>18</w:t>
            </w:r>
            <w:r>
              <w:rPr>
                <w:noProof/>
                <w:webHidden/>
              </w:rPr>
              <w:fldChar w:fldCharType="end"/>
            </w:r>
          </w:hyperlink>
        </w:p>
        <w:p w14:paraId="7390F25A" w14:textId="184A82A4" w:rsidR="00776FD9" w:rsidRDefault="00776FD9">
          <w:pPr>
            <w:pStyle w:val="TOC2"/>
            <w:tabs>
              <w:tab w:val="right" w:leader="dot" w:pos="9016"/>
            </w:tabs>
            <w:rPr>
              <w:rFonts w:eastAsiaTheme="minorEastAsia"/>
              <w:noProof/>
              <w:lang w:eastAsia="en-GB"/>
            </w:rPr>
          </w:pPr>
          <w:hyperlink w:anchor="_Toc219926263" w:history="1">
            <w:r w:rsidRPr="000676B9">
              <w:rPr>
                <w:rStyle w:val="Hyperlink"/>
                <w:rFonts w:ascii="Arial" w:hAnsi="Arial" w:cs="Arial"/>
                <w:noProof/>
              </w:rPr>
              <w:t>3.5 Market Validation</w:t>
            </w:r>
            <w:r>
              <w:rPr>
                <w:noProof/>
                <w:webHidden/>
              </w:rPr>
              <w:tab/>
            </w:r>
            <w:r>
              <w:rPr>
                <w:noProof/>
                <w:webHidden/>
              </w:rPr>
              <w:fldChar w:fldCharType="begin"/>
            </w:r>
            <w:r>
              <w:rPr>
                <w:noProof/>
                <w:webHidden/>
              </w:rPr>
              <w:instrText xml:space="preserve"> PAGEREF _Toc219926263 \h </w:instrText>
            </w:r>
            <w:r>
              <w:rPr>
                <w:noProof/>
                <w:webHidden/>
              </w:rPr>
            </w:r>
            <w:r>
              <w:rPr>
                <w:noProof/>
                <w:webHidden/>
              </w:rPr>
              <w:fldChar w:fldCharType="separate"/>
            </w:r>
            <w:r>
              <w:rPr>
                <w:noProof/>
                <w:webHidden/>
              </w:rPr>
              <w:t>20</w:t>
            </w:r>
            <w:r>
              <w:rPr>
                <w:noProof/>
                <w:webHidden/>
              </w:rPr>
              <w:fldChar w:fldCharType="end"/>
            </w:r>
          </w:hyperlink>
        </w:p>
        <w:p w14:paraId="1AAE59A3" w14:textId="1469B312" w:rsidR="00776FD9" w:rsidRDefault="00776FD9">
          <w:pPr>
            <w:pStyle w:val="TOC2"/>
            <w:tabs>
              <w:tab w:val="right" w:leader="dot" w:pos="9016"/>
            </w:tabs>
            <w:rPr>
              <w:rFonts w:eastAsiaTheme="minorEastAsia"/>
              <w:noProof/>
              <w:lang w:eastAsia="en-GB"/>
            </w:rPr>
          </w:pPr>
          <w:hyperlink w:anchor="_Toc219926264" w:history="1">
            <w:r w:rsidRPr="000676B9">
              <w:rPr>
                <w:rStyle w:val="Hyperlink"/>
                <w:rFonts w:ascii="Arial" w:hAnsi="Arial" w:cs="Arial"/>
                <w:noProof/>
              </w:rPr>
              <w:t>3.6 SWOT Analysis of Sense Mortgage and Residential</w:t>
            </w:r>
            <w:r>
              <w:rPr>
                <w:noProof/>
                <w:webHidden/>
              </w:rPr>
              <w:tab/>
            </w:r>
            <w:r>
              <w:rPr>
                <w:noProof/>
                <w:webHidden/>
              </w:rPr>
              <w:fldChar w:fldCharType="begin"/>
            </w:r>
            <w:r>
              <w:rPr>
                <w:noProof/>
                <w:webHidden/>
              </w:rPr>
              <w:instrText xml:space="preserve"> PAGEREF _Toc219926264 \h </w:instrText>
            </w:r>
            <w:r>
              <w:rPr>
                <w:noProof/>
                <w:webHidden/>
              </w:rPr>
            </w:r>
            <w:r>
              <w:rPr>
                <w:noProof/>
                <w:webHidden/>
              </w:rPr>
              <w:fldChar w:fldCharType="separate"/>
            </w:r>
            <w:r>
              <w:rPr>
                <w:noProof/>
                <w:webHidden/>
              </w:rPr>
              <w:t>20</w:t>
            </w:r>
            <w:r>
              <w:rPr>
                <w:noProof/>
                <w:webHidden/>
              </w:rPr>
              <w:fldChar w:fldCharType="end"/>
            </w:r>
          </w:hyperlink>
        </w:p>
        <w:p w14:paraId="2DB18E45" w14:textId="54CE910E" w:rsidR="00776FD9" w:rsidRDefault="00776FD9">
          <w:pPr>
            <w:pStyle w:val="TOC2"/>
            <w:tabs>
              <w:tab w:val="right" w:leader="dot" w:pos="9016"/>
            </w:tabs>
            <w:rPr>
              <w:rFonts w:eastAsiaTheme="minorEastAsia"/>
              <w:noProof/>
              <w:lang w:eastAsia="en-GB"/>
            </w:rPr>
          </w:pPr>
          <w:hyperlink w:anchor="_Toc219926265" w:history="1">
            <w:r w:rsidRPr="000676B9">
              <w:rPr>
                <w:rStyle w:val="Hyperlink"/>
                <w:rFonts w:ascii="Arial" w:hAnsi="Arial" w:cs="Arial"/>
                <w:noProof/>
              </w:rPr>
              <w:t>3.7 Summary</w:t>
            </w:r>
            <w:r>
              <w:rPr>
                <w:noProof/>
                <w:webHidden/>
              </w:rPr>
              <w:tab/>
            </w:r>
            <w:r>
              <w:rPr>
                <w:noProof/>
                <w:webHidden/>
              </w:rPr>
              <w:fldChar w:fldCharType="begin"/>
            </w:r>
            <w:r>
              <w:rPr>
                <w:noProof/>
                <w:webHidden/>
              </w:rPr>
              <w:instrText xml:space="preserve"> PAGEREF _Toc219926265 \h </w:instrText>
            </w:r>
            <w:r>
              <w:rPr>
                <w:noProof/>
                <w:webHidden/>
              </w:rPr>
            </w:r>
            <w:r>
              <w:rPr>
                <w:noProof/>
                <w:webHidden/>
              </w:rPr>
              <w:fldChar w:fldCharType="separate"/>
            </w:r>
            <w:r>
              <w:rPr>
                <w:noProof/>
                <w:webHidden/>
              </w:rPr>
              <w:t>22</w:t>
            </w:r>
            <w:r>
              <w:rPr>
                <w:noProof/>
                <w:webHidden/>
              </w:rPr>
              <w:fldChar w:fldCharType="end"/>
            </w:r>
          </w:hyperlink>
        </w:p>
        <w:p w14:paraId="0FABAE8F" w14:textId="71FA2866" w:rsidR="00776FD9" w:rsidRDefault="00776FD9">
          <w:pPr>
            <w:pStyle w:val="TOC1"/>
            <w:tabs>
              <w:tab w:val="right" w:leader="dot" w:pos="9016"/>
            </w:tabs>
            <w:rPr>
              <w:rFonts w:eastAsiaTheme="minorEastAsia"/>
              <w:noProof/>
              <w:lang w:eastAsia="en-GB"/>
            </w:rPr>
          </w:pPr>
          <w:hyperlink w:anchor="_Toc219926266" w:history="1">
            <w:r w:rsidRPr="000676B9">
              <w:rPr>
                <w:rStyle w:val="Hyperlink"/>
                <w:rFonts w:ascii="Arial" w:hAnsi="Arial" w:cs="Arial"/>
                <w:noProof/>
              </w:rPr>
              <w:t>Chapter 4: Marketing and Sales Strategy</w:t>
            </w:r>
            <w:r>
              <w:rPr>
                <w:noProof/>
                <w:webHidden/>
              </w:rPr>
              <w:tab/>
            </w:r>
            <w:r>
              <w:rPr>
                <w:noProof/>
                <w:webHidden/>
              </w:rPr>
              <w:fldChar w:fldCharType="begin"/>
            </w:r>
            <w:r>
              <w:rPr>
                <w:noProof/>
                <w:webHidden/>
              </w:rPr>
              <w:instrText xml:space="preserve"> PAGEREF _Toc219926266 \h </w:instrText>
            </w:r>
            <w:r>
              <w:rPr>
                <w:noProof/>
                <w:webHidden/>
              </w:rPr>
            </w:r>
            <w:r>
              <w:rPr>
                <w:noProof/>
                <w:webHidden/>
              </w:rPr>
              <w:fldChar w:fldCharType="separate"/>
            </w:r>
            <w:r>
              <w:rPr>
                <w:noProof/>
                <w:webHidden/>
              </w:rPr>
              <w:t>23</w:t>
            </w:r>
            <w:r>
              <w:rPr>
                <w:noProof/>
                <w:webHidden/>
              </w:rPr>
              <w:fldChar w:fldCharType="end"/>
            </w:r>
          </w:hyperlink>
        </w:p>
        <w:p w14:paraId="48544DFC" w14:textId="2B10AF24" w:rsidR="00776FD9" w:rsidRDefault="00776FD9">
          <w:pPr>
            <w:pStyle w:val="TOC2"/>
            <w:tabs>
              <w:tab w:val="right" w:leader="dot" w:pos="9016"/>
            </w:tabs>
            <w:rPr>
              <w:rFonts w:eastAsiaTheme="minorEastAsia"/>
              <w:noProof/>
              <w:lang w:eastAsia="en-GB"/>
            </w:rPr>
          </w:pPr>
          <w:hyperlink w:anchor="_Toc219926267" w:history="1">
            <w:r w:rsidRPr="000676B9">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_Toc219926267 \h </w:instrText>
            </w:r>
            <w:r>
              <w:rPr>
                <w:noProof/>
                <w:webHidden/>
              </w:rPr>
            </w:r>
            <w:r>
              <w:rPr>
                <w:noProof/>
                <w:webHidden/>
              </w:rPr>
              <w:fldChar w:fldCharType="separate"/>
            </w:r>
            <w:r>
              <w:rPr>
                <w:noProof/>
                <w:webHidden/>
              </w:rPr>
              <w:t>23</w:t>
            </w:r>
            <w:r>
              <w:rPr>
                <w:noProof/>
                <w:webHidden/>
              </w:rPr>
              <w:fldChar w:fldCharType="end"/>
            </w:r>
          </w:hyperlink>
        </w:p>
        <w:p w14:paraId="65409290" w14:textId="55573850" w:rsidR="00776FD9" w:rsidRDefault="00776FD9">
          <w:pPr>
            <w:pStyle w:val="TOC2"/>
            <w:tabs>
              <w:tab w:val="right" w:leader="dot" w:pos="9016"/>
            </w:tabs>
            <w:rPr>
              <w:rFonts w:eastAsiaTheme="minorEastAsia"/>
              <w:noProof/>
              <w:lang w:eastAsia="en-GB"/>
            </w:rPr>
          </w:pPr>
          <w:hyperlink w:anchor="_Toc219926268" w:history="1">
            <w:r w:rsidRPr="000676B9">
              <w:rPr>
                <w:rStyle w:val="Hyperlink"/>
                <w:rFonts w:ascii="Arial" w:hAnsi="Arial" w:cs="Arial"/>
                <w:noProof/>
              </w:rPr>
              <w:t>4.1.1 Strategic Marketing Rationale</w:t>
            </w:r>
            <w:r>
              <w:rPr>
                <w:noProof/>
                <w:webHidden/>
              </w:rPr>
              <w:tab/>
            </w:r>
            <w:r>
              <w:rPr>
                <w:noProof/>
                <w:webHidden/>
              </w:rPr>
              <w:fldChar w:fldCharType="begin"/>
            </w:r>
            <w:r>
              <w:rPr>
                <w:noProof/>
                <w:webHidden/>
              </w:rPr>
              <w:instrText xml:space="preserve"> PAGEREF _Toc219926268 \h </w:instrText>
            </w:r>
            <w:r>
              <w:rPr>
                <w:noProof/>
                <w:webHidden/>
              </w:rPr>
            </w:r>
            <w:r>
              <w:rPr>
                <w:noProof/>
                <w:webHidden/>
              </w:rPr>
              <w:fldChar w:fldCharType="separate"/>
            </w:r>
            <w:r>
              <w:rPr>
                <w:noProof/>
                <w:webHidden/>
              </w:rPr>
              <w:t>23</w:t>
            </w:r>
            <w:r>
              <w:rPr>
                <w:noProof/>
                <w:webHidden/>
              </w:rPr>
              <w:fldChar w:fldCharType="end"/>
            </w:r>
          </w:hyperlink>
        </w:p>
        <w:p w14:paraId="79438C3B" w14:textId="5369E775" w:rsidR="00776FD9" w:rsidRDefault="00776FD9">
          <w:pPr>
            <w:pStyle w:val="TOC2"/>
            <w:tabs>
              <w:tab w:val="right" w:leader="dot" w:pos="9016"/>
            </w:tabs>
            <w:rPr>
              <w:rFonts w:eastAsiaTheme="minorEastAsia"/>
              <w:noProof/>
              <w:lang w:eastAsia="en-GB"/>
            </w:rPr>
          </w:pPr>
          <w:hyperlink w:anchor="_Toc219926269" w:history="1">
            <w:r w:rsidRPr="000676B9">
              <w:rPr>
                <w:rStyle w:val="Hyperlink"/>
                <w:rFonts w:ascii="Arial" w:hAnsi="Arial" w:cs="Arial"/>
                <w:noProof/>
              </w:rPr>
              <w:t>4.2 Unique Selling Proposition (USP)</w:t>
            </w:r>
            <w:r>
              <w:rPr>
                <w:noProof/>
                <w:webHidden/>
              </w:rPr>
              <w:tab/>
            </w:r>
            <w:r>
              <w:rPr>
                <w:noProof/>
                <w:webHidden/>
              </w:rPr>
              <w:fldChar w:fldCharType="begin"/>
            </w:r>
            <w:r>
              <w:rPr>
                <w:noProof/>
                <w:webHidden/>
              </w:rPr>
              <w:instrText xml:space="preserve"> PAGEREF _Toc219926269 \h </w:instrText>
            </w:r>
            <w:r>
              <w:rPr>
                <w:noProof/>
                <w:webHidden/>
              </w:rPr>
            </w:r>
            <w:r>
              <w:rPr>
                <w:noProof/>
                <w:webHidden/>
              </w:rPr>
              <w:fldChar w:fldCharType="separate"/>
            </w:r>
            <w:r>
              <w:rPr>
                <w:noProof/>
                <w:webHidden/>
              </w:rPr>
              <w:t>24</w:t>
            </w:r>
            <w:r>
              <w:rPr>
                <w:noProof/>
                <w:webHidden/>
              </w:rPr>
              <w:fldChar w:fldCharType="end"/>
            </w:r>
          </w:hyperlink>
        </w:p>
        <w:p w14:paraId="2F679F2F" w14:textId="7E249D5A" w:rsidR="00776FD9" w:rsidRDefault="00776FD9">
          <w:pPr>
            <w:pStyle w:val="TOC2"/>
            <w:tabs>
              <w:tab w:val="right" w:leader="dot" w:pos="9016"/>
            </w:tabs>
            <w:rPr>
              <w:rFonts w:eastAsiaTheme="minorEastAsia"/>
              <w:noProof/>
              <w:lang w:eastAsia="en-GB"/>
            </w:rPr>
          </w:pPr>
          <w:hyperlink w:anchor="_Toc219926270" w:history="1">
            <w:r w:rsidRPr="000676B9">
              <w:rPr>
                <w:rStyle w:val="Hyperlink"/>
                <w:rFonts w:ascii="Arial" w:hAnsi="Arial" w:cs="Arial"/>
                <w:noProof/>
              </w:rPr>
              <w:t>4.3 Brand Positioning and Identity</w:t>
            </w:r>
            <w:r>
              <w:rPr>
                <w:noProof/>
                <w:webHidden/>
              </w:rPr>
              <w:tab/>
            </w:r>
            <w:r>
              <w:rPr>
                <w:noProof/>
                <w:webHidden/>
              </w:rPr>
              <w:fldChar w:fldCharType="begin"/>
            </w:r>
            <w:r>
              <w:rPr>
                <w:noProof/>
                <w:webHidden/>
              </w:rPr>
              <w:instrText xml:space="preserve"> PAGEREF _Toc219926270 \h </w:instrText>
            </w:r>
            <w:r>
              <w:rPr>
                <w:noProof/>
                <w:webHidden/>
              </w:rPr>
            </w:r>
            <w:r>
              <w:rPr>
                <w:noProof/>
                <w:webHidden/>
              </w:rPr>
              <w:fldChar w:fldCharType="separate"/>
            </w:r>
            <w:r>
              <w:rPr>
                <w:noProof/>
                <w:webHidden/>
              </w:rPr>
              <w:t>25</w:t>
            </w:r>
            <w:r>
              <w:rPr>
                <w:noProof/>
                <w:webHidden/>
              </w:rPr>
              <w:fldChar w:fldCharType="end"/>
            </w:r>
          </w:hyperlink>
        </w:p>
        <w:p w14:paraId="35528958" w14:textId="1945EA10" w:rsidR="00776FD9" w:rsidRDefault="00776FD9">
          <w:pPr>
            <w:pStyle w:val="TOC2"/>
            <w:tabs>
              <w:tab w:val="right" w:leader="dot" w:pos="9016"/>
            </w:tabs>
            <w:rPr>
              <w:rFonts w:eastAsiaTheme="minorEastAsia"/>
              <w:noProof/>
              <w:lang w:eastAsia="en-GB"/>
            </w:rPr>
          </w:pPr>
          <w:hyperlink w:anchor="_Toc219926271" w:history="1">
            <w:r w:rsidRPr="000676B9">
              <w:rPr>
                <w:rStyle w:val="Hyperlink"/>
                <w:rFonts w:ascii="Arial" w:hAnsi="Arial" w:cs="Arial"/>
                <w:noProof/>
              </w:rPr>
              <w:t>4.4 Marketing Mix (7Ps Framework)</w:t>
            </w:r>
            <w:r>
              <w:rPr>
                <w:noProof/>
                <w:webHidden/>
              </w:rPr>
              <w:tab/>
            </w:r>
            <w:r>
              <w:rPr>
                <w:noProof/>
                <w:webHidden/>
              </w:rPr>
              <w:fldChar w:fldCharType="begin"/>
            </w:r>
            <w:r>
              <w:rPr>
                <w:noProof/>
                <w:webHidden/>
              </w:rPr>
              <w:instrText xml:space="preserve"> PAGEREF _Toc219926271 \h </w:instrText>
            </w:r>
            <w:r>
              <w:rPr>
                <w:noProof/>
                <w:webHidden/>
              </w:rPr>
            </w:r>
            <w:r>
              <w:rPr>
                <w:noProof/>
                <w:webHidden/>
              </w:rPr>
              <w:fldChar w:fldCharType="separate"/>
            </w:r>
            <w:r>
              <w:rPr>
                <w:noProof/>
                <w:webHidden/>
              </w:rPr>
              <w:t>26</w:t>
            </w:r>
            <w:r>
              <w:rPr>
                <w:noProof/>
                <w:webHidden/>
              </w:rPr>
              <w:fldChar w:fldCharType="end"/>
            </w:r>
          </w:hyperlink>
        </w:p>
        <w:p w14:paraId="3A6BC272" w14:textId="3C29B270" w:rsidR="00776FD9" w:rsidRDefault="00776FD9">
          <w:pPr>
            <w:pStyle w:val="TOC2"/>
            <w:tabs>
              <w:tab w:val="right" w:leader="dot" w:pos="9016"/>
            </w:tabs>
            <w:rPr>
              <w:rFonts w:eastAsiaTheme="minorEastAsia"/>
              <w:noProof/>
              <w:lang w:eastAsia="en-GB"/>
            </w:rPr>
          </w:pPr>
          <w:hyperlink w:anchor="_Toc219926272" w:history="1">
            <w:r w:rsidRPr="000676B9">
              <w:rPr>
                <w:rStyle w:val="Hyperlink"/>
                <w:rFonts w:ascii="Arial" w:hAnsi="Arial" w:cs="Arial"/>
                <w:noProof/>
              </w:rPr>
              <w:t>4.5 Sales Strategy and Customer Funnel</w:t>
            </w:r>
            <w:r>
              <w:rPr>
                <w:noProof/>
                <w:webHidden/>
              </w:rPr>
              <w:tab/>
            </w:r>
            <w:r>
              <w:rPr>
                <w:noProof/>
                <w:webHidden/>
              </w:rPr>
              <w:fldChar w:fldCharType="begin"/>
            </w:r>
            <w:r>
              <w:rPr>
                <w:noProof/>
                <w:webHidden/>
              </w:rPr>
              <w:instrText xml:space="preserve"> PAGEREF _Toc219926272 \h </w:instrText>
            </w:r>
            <w:r>
              <w:rPr>
                <w:noProof/>
                <w:webHidden/>
              </w:rPr>
            </w:r>
            <w:r>
              <w:rPr>
                <w:noProof/>
                <w:webHidden/>
              </w:rPr>
              <w:fldChar w:fldCharType="separate"/>
            </w:r>
            <w:r>
              <w:rPr>
                <w:noProof/>
                <w:webHidden/>
              </w:rPr>
              <w:t>28</w:t>
            </w:r>
            <w:r>
              <w:rPr>
                <w:noProof/>
                <w:webHidden/>
              </w:rPr>
              <w:fldChar w:fldCharType="end"/>
            </w:r>
          </w:hyperlink>
        </w:p>
        <w:p w14:paraId="530F6236" w14:textId="2F007E3E" w:rsidR="00776FD9" w:rsidRDefault="00776FD9">
          <w:pPr>
            <w:pStyle w:val="TOC2"/>
            <w:tabs>
              <w:tab w:val="right" w:leader="dot" w:pos="9016"/>
            </w:tabs>
            <w:rPr>
              <w:rFonts w:eastAsiaTheme="minorEastAsia"/>
              <w:noProof/>
              <w:lang w:eastAsia="en-GB"/>
            </w:rPr>
          </w:pPr>
          <w:hyperlink w:anchor="_Toc219926273" w:history="1">
            <w:r w:rsidRPr="000676B9">
              <w:rPr>
                <w:rStyle w:val="Hyperlink"/>
                <w:rFonts w:ascii="Arial" w:hAnsi="Arial" w:cs="Arial"/>
                <w:noProof/>
              </w:rPr>
              <w:t>4.6 Digital Marketing Strategy</w:t>
            </w:r>
            <w:r>
              <w:rPr>
                <w:noProof/>
                <w:webHidden/>
              </w:rPr>
              <w:tab/>
            </w:r>
            <w:r>
              <w:rPr>
                <w:noProof/>
                <w:webHidden/>
              </w:rPr>
              <w:fldChar w:fldCharType="begin"/>
            </w:r>
            <w:r>
              <w:rPr>
                <w:noProof/>
                <w:webHidden/>
              </w:rPr>
              <w:instrText xml:space="preserve"> PAGEREF _Toc219926273 \h </w:instrText>
            </w:r>
            <w:r>
              <w:rPr>
                <w:noProof/>
                <w:webHidden/>
              </w:rPr>
            </w:r>
            <w:r>
              <w:rPr>
                <w:noProof/>
                <w:webHidden/>
              </w:rPr>
              <w:fldChar w:fldCharType="separate"/>
            </w:r>
            <w:r>
              <w:rPr>
                <w:noProof/>
                <w:webHidden/>
              </w:rPr>
              <w:t>29</w:t>
            </w:r>
            <w:r>
              <w:rPr>
                <w:noProof/>
                <w:webHidden/>
              </w:rPr>
              <w:fldChar w:fldCharType="end"/>
            </w:r>
          </w:hyperlink>
        </w:p>
        <w:p w14:paraId="10378072" w14:textId="7DCD92A8" w:rsidR="00776FD9" w:rsidRDefault="00776FD9">
          <w:pPr>
            <w:pStyle w:val="TOC2"/>
            <w:tabs>
              <w:tab w:val="right" w:leader="dot" w:pos="9016"/>
            </w:tabs>
            <w:rPr>
              <w:rFonts w:eastAsiaTheme="minorEastAsia"/>
              <w:noProof/>
              <w:lang w:eastAsia="en-GB"/>
            </w:rPr>
          </w:pPr>
          <w:hyperlink w:anchor="_Toc219926274" w:history="1">
            <w:r w:rsidRPr="000676B9">
              <w:rPr>
                <w:rStyle w:val="Hyperlink"/>
                <w:rFonts w:ascii="Arial" w:hAnsi="Arial" w:cs="Arial"/>
                <w:noProof/>
              </w:rPr>
              <w:t>4.7 Marketing Budget and Resource Allocation</w:t>
            </w:r>
            <w:r>
              <w:rPr>
                <w:noProof/>
                <w:webHidden/>
              </w:rPr>
              <w:tab/>
            </w:r>
            <w:r>
              <w:rPr>
                <w:noProof/>
                <w:webHidden/>
              </w:rPr>
              <w:fldChar w:fldCharType="begin"/>
            </w:r>
            <w:r>
              <w:rPr>
                <w:noProof/>
                <w:webHidden/>
              </w:rPr>
              <w:instrText xml:space="preserve"> PAGEREF _Toc219926274 \h </w:instrText>
            </w:r>
            <w:r>
              <w:rPr>
                <w:noProof/>
                <w:webHidden/>
              </w:rPr>
            </w:r>
            <w:r>
              <w:rPr>
                <w:noProof/>
                <w:webHidden/>
              </w:rPr>
              <w:fldChar w:fldCharType="separate"/>
            </w:r>
            <w:r>
              <w:rPr>
                <w:noProof/>
                <w:webHidden/>
              </w:rPr>
              <w:t>30</w:t>
            </w:r>
            <w:r>
              <w:rPr>
                <w:noProof/>
                <w:webHidden/>
              </w:rPr>
              <w:fldChar w:fldCharType="end"/>
            </w:r>
          </w:hyperlink>
        </w:p>
        <w:p w14:paraId="3C474C30" w14:textId="1CF61D69" w:rsidR="00776FD9" w:rsidRDefault="00776FD9">
          <w:pPr>
            <w:pStyle w:val="TOC2"/>
            <w:tabs>
              <w:tab w:val="right" w:leader="dot" w:pos="9016"/>
            </w:tabs>
            <w:rPr>
              <w:rFonts w:eastAsiaTheme="minorEastAsia"/>
              <w:noProof/>
              <w:lang w:eastAsia="en-GB"/>
            </w:rPr>
          </w:pPr>
          <w:hyperlink w:anchor="_Toc219926275" w:history="1">
            <w:r w:rsidRPr="000676B9">
              <w:rPr>
                <w:rStyle w:val="Hyperlink"/>
                <w:rFonts w:ascii="Arial" w:hAnsi="Arial" w:cs="Arial"/>
                <w:noProof/>
              </w:rPr>
              <w:t>4.8 Performance Measurement and Key Performance Indicators (KPIs)</w:t>
            </w:r>
            <w:r>
              <w:rPr>
                <w:noProof/>
                <w:webHidden/>
              </w:rPr>
              <w:tab/>
            </w:r>
            <w:r>
              <w:rPr>
                <w:noProof/>
                <w:webHidden/>
              </w:rPr>
              <w:fldChar w:fldCharType="begin"/>
            </w:r>
            <w:r>
              <w:rPr>
                <w:noProof/>
                <w:webHidden/>
              </w:rPr>
              <w:instrText xml:space="preserve"> PAGEREF _Toc219926275 \h </w:instrText>
            </w:r>
            <w:r>
              <w:rPr>
                <w:noProof/>
                <w:webHidden/>
              </w:rPr>
            </w:r>
            <w:r>
              <w:rPr>
                <w:noProof/>
                <w:webHidden/>
              </w:rPr>
              <w:fldChar w:fldCharType="separate"/>
            </w:r>
            <w:r>
              <w:rPr>
                <w:noProof/>
                <w:webHidden/>
              </w:rPr>
              <w:t>31</w:t>
            </w:r>
            <w:r>
              <w:rPr>
                <w:noProof/>
                <w:webHidden/>
              </w:rPr>
              <w:fldChar w:fldCharType="end"/>
            </w:r>
          </w:hyperlink>
        </w:p>
        <w:p w14:paraId="16429ED0" w14:textId="4164D440" w:rsidR="00776FD9" w:rsidRDefault="00776FD9">
          <w:pPr>
            <w:pStyle w:val="TOC2"/>
            <w:tabs>
              <w:tab w:val="right" w:leader="dot" w:pos="9016"/>
            </w:tabs>
            <w:rPr>
              <w:rFonts w:eastAsiaTheme="minorEastAsia"/>
              <w:noProof/>
              <w:lang w:eastAsia="en-GB"/>
            </w:rPr>
          </w:pPr>
          <w:hyperlink w:anchor="_Toc219926276" w:history="1">
            <w:r w:rsidRPr="000676B9">
              <w:rPr>
                <w:rStyle w:val="Hyperlink"/>
                <w:rFonts w:ascii="Arial" w:hAnsi="Arial" w:cs="Arial"/>
                <w:noProof/>
              </w:rPr>
              <w:t>4.9 Summary</w:t>
            </w:r>
            <w:r>
              <w:rPr>
                <w:noProof/>
                <w:webHidden/>
              </w:rPr>
              <w:tab/>
            </w:r>
            <w:r>
              <w:rPr>
                <w:noProof/>
                <w:webHidden/>
              </w:rPr>
              <w:fldChar w:fldCharType="begin"/>
            </w:r>
            <w:r>
              <w:rPr>
                <w:noProof/>
                <w:webHidden/>
              </w:rPr>
              <w:instrText xml:space="preserve"> PAGEREF _Toc219926276 \h </w:instrText>
            </w:r>
            <w:r>
              <w:rPr>
                <w:noProof/>
                <w:webHidden/>
              </w:rPr>
            </w:r>
            <w:r>
              <w:rPr>
                <w:noProof/>
                <w:webHidden/>
              </w:rPr>
              <w:fldChar w:fldCharType="separate"/>
            </w:r>
            <w:r>
              <w:rPr>
                <w:noProof/>
                <w:webHidden/>
              </w:rPr>
              <w:t>31</w:t>
            </w:r>
            <w:r>
              <w:rPr>
                <w:noProof/>
                <w:webHidden/>
              </w:rPr>
              <w:fldChar w:fldCharType="end"/>
            </w:r>
          </w:hyperlink>
        </w:p>
        <w:p w14:paraId="14D34F15" w14:textId="3DBF8D1A" w:rsidR="00776FD9" w:rsidRDefault="00776FD9">
          <w:pPr>
            <w:pStyle w:val="TOC1"/>
            <w:tabs>
              <w:tab w:val="right" w:leader="dot" w:pos="9016"/>
            </w:tabs>
            <w:rPr>
              <w:rFonts w:eastAsiaTheme="minorEastAsia"/>
              <w:noProof/>
              <w:lang w:eastAsia="en-GB"/>
            </w:rPr>
          </w:pPr>
          <w:hyperlink w:anchor="_Toc219926277" w:history="1">
            <w:r w:rsidRPr="000676B9">
              <w:rPr>
                <w:rStyle w:val="Hyperlink"/>
                <w:rFonts w:ascii="Arial" w:hAnsi="Arial" w:cs="Arial"/>
                <w:noProof/>
              </w:rPr>
              <w:t>Chapter 5: Operational Plan</w:t>
            </w:r>
            <w:r>
              <w:rPr>
                <w:noProof/>
                <w:webHidden/>
              </w:rPr>
              <w:tab/>
            </w:r>
            <w:r>
              <w:rPr>
                <w:noProof/>
                <w:webHidden/>
              </w:rPr>
              <w:fldChar w:fldCharType="begin"/>
            </w:r>
            <w:r>
              <w:rPr>
                <w:noProof/>
                <w:webHidden/>
              </w:rPr>
              <w:instrText xml:space="preserve"> PAGEREF _Toc219926277 \h </w:instrText>
            </w:r>
            <w:r>
              <w:rPr>
                <w:noProof/>
                <w:webHidden/>
              </w:rPr>
            </w:r>
            <w:r>
              <w:rPr>
                <w:noProof/>
                <w:webHidden/>
              </w:rPr>
              <w:fldChar w:fldCharType="separate"/>
            </w:r>
            <w:r>
              <w:rPr>
                <w:noProof/>
                <w:webHidden/>
              </w:rPr>
              <w:t>33</w:t>
            </w:r>
            <w:r>
              <w:rPr>
                <w:noProof/>
                <w:webHidden/>
              </w:rPr>
              <w:fldChar w:fldCharType="end"/>
            </w:r>
          </w:hyperlink>
        </w:p>
        <w:p w14:paraId="098D90FB" w14:textId="06AF7291" w:rsidR="00776FD9" w:rsidRDefault="00776FD9">
          <w:pPr>
            <w:pStyle w:val="TOC2"/>
            <w:tabs>
              <w:tab w:val="right" w:leader="dot" w:pos="9016"/>
            </w:tabs>
            <w:rPr>
              <w:rFonts w:eastAsiaTheme="minorEastAsia"/>
              <w:noProof/>
              <w:lang w:eastAsia="en-GB"/>
            </w:rPr>
          </w:pPr>
          <w:hyperlink w:anchor="_Toc219926278" w:history="1">
            <w:r w:rsidRPr="000676B9">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_Toc219926278 \h </w:instrText>
            </w:r>
            <w:r>
              <w:rPr>
                <w:noProof/>
                <w:webHidden/>
              </w:rPr>
            </w:r>
            <w:r>
              <w:rPr>
                <w:noProof/>
                <w:webHidden/>
              </w:rPr>
              <w:fldChar w:fldCharType="separate"/>
            </w:r>
            <w:r>
              <w:rPr>
                <w:noProof/>
                <w:webHidden/>
              </w:rPr>
              <w:t>33</w:t>
            </w:r>
            <w:r>
              <w:rPr>
                <w:noProof/>
                <w:webHidden/>
              </w:rPr>
              <w:fldChar w:fldCharType="end"/>
            </w:r>
          </w:hyperlink>
        </w:p>
        <w:p w14:paraId="16FF9114" w14:textId="65D378DC" w:rsidR="00776FD9" w:rsidRDefault="00776FD9">
          <w:pPr>
            <w:pStyle w:val="TOC2"/>
            <w:tabs>
              <w:tab w:val="right" w:leader="dot" w:pos="9016"/>
            </w:tabs>
            <w:rPr>
              <w:rFonts w:eastAsiaTheme="minorEastAsia"/>
              <w:noProof/>
              <w:lang w:eastAsia="en-GB"/>
            </w:rPr>
          </w:pPr>
          <w:hyperlink w:anchor="_Toc219926279" w:history="1">
            <w:r w:rsidRPr="000676B9">
              <w:rPr>
                <w:rStyle w:val="Hyperlink"/>
                <w:rFonts w:ascii="Arial" w:hAnsi="Arial" w:cs="Arial"/>
                <w:noProof/>
              </w:rPr>
              <w:t>5.2 Service Delivery Model</w:t>
            </w:r>
            <w:r>
              <w:rPr>
                <w:noProof/>
                <w:webHidden/>
              </w:rPr>
              <w:tab/>
            </w:r>
            <w:r>
              <w:rPr>
                <w:noProof/>
                <w:webHidden/>
              </w:rPr>
              <w:fldChar w:fldCharType="begin"/>
            </w:r>
            <w:r>
              <w:rPr>
                <w:noProof/>
                <w:webHidden/>
              </w:rPr>
              <w:instrText xml:space="preserve"> PAGEREF _Toc219926279 \h </w:instrText>
            </w:r>
            <w:r>
              <w:rPr>
                <w:noProof/>
                <w:webHidden/>
              </w:rPr>
            </w:r>
            <w:r>
              <w:rPr>
                <w:noProof/>
                <w:webHidden/>
              </w:rPr>
              <w:fldChar w:fldCharType="separate"/>
            </w:r>
            <w:r>
              <w:rPr>
                <w:noProof/>
                <w:webHidden/>
              </w:rPr>
              <w:t>33</w:t>
            </w:r>
            <w:r>
              <w:rPr>
                <w:noProof/>
                <w:webHidden/>
              </w:rPr>
              <w:fldChar w:fldCharType="end"/>
            </w:r>
          </w:hyperlink>
        </w:p>
        <w:p w14:paraId="656D5FF7" w14:textId="63172845" w:rsidR="00776FD9" w:rsidRDefault="00776FD9">
          <w:pPr>
            <w:pStyle w:val="TOC2"/>
            <w:tabs>
              <w:tab w:val="right" w:leader="dot" w:pos="9016"/>
            </w:tabs>
            <w:rPr>
              <w:rFonts w:eastAsiaTheme="minorEastAsia"/>
              <w:noProof/>
              <w:lang w:eastAsia="en-GB"/>
            </w:rPr>
          </w:pPr>
          <w:hyperlink w:anchor="_Toc219926280" w:history="1">
            <w:r w:rsidRPr="000676B9">
              <w:rPr>
                <w:rStyle w:val="Hyperlink"/>
                <w:rFonts w:ascii="Arial" w:hAnsi="Arial" w:cs="Arial"/>
                <w:noProof/>
              </w:rPr>
              <w:t>5.3 End-to-End Operational Process</w:t>
            </w:r>
            <w:r>
              <w:rPr>
                <w:noProof/>
                <w:webHidden/>
              </w:rPr>
              <w:tab/>
            </w:r>
            <w:r>
              <w:rPr>
                <w:noProof/>
                <w:webHidden/>
              </w:rPr>
              <w:fldChar w:fldCharType="begin"/>
            </w:r>
            <w:r>
              <w:rPr>
                <w:noProof/>
                <w:webHidden/>
              </w:rPr>
              <w:instrText xml:space="preserve"> PAGEREF _Toc219926280 \h </w:instrText>
            </w:r>
            <w:r>
              <w:rPr>
                <w:noProof/>
                <w:webHidden/>
              </w:rPr>
            </w:r>
            <w:r>
              <w:rPr>
                <w:noProof/>
                <w:webHidden/>
              </w:rPr>
              <w:fldChar w:fldCharType="separate"/>
            </w:r>
            <w:r>
              <w:rPr>
                <w:noProof/>
                <w:webHidden/>
              </w:rPr>
              <w:t>33</w:t>
            </w:r>
            <w:r>
              <w:rPr>
                <w:noProof/>
                <w:webHidden/>
              </w:rPr>
              <w:fldChar w:fldCharType="end"/>
            </w:r>
          </w:hyperlink>
        </w:p>
        <w:p w14:paraId="30076D4F" w14:textId="214FEF82" w:rsidR="00776FD9" w:rsidRDefault="00776FD9">
          <w:pPr>
            <w:pStyle w:val="TOC2"/>
            <w:tabs>
              <w:tab w:val="right" w:leader="dot" w:pos="9016"/>
            </w:tabs>
            <w:rPr>
              <w:rFonts w:eastAsiaTheme="minorEastAsia"/>
              <w:noProof/>
              <w:lang w:eastAsia="en-GB"/>
            </w:rPr>
          </w:pPr>
          <w:hyperlink w:anchor="_Toc219926281" w:history="1">
            <w:r w:rsidRPr="000676B9">
              <w:rPr>
                <w:rStyle w:val="Hyperlink"/>
                <w:rFonts w:ascii="Arial" w:hAnsi="Arial" w:cs="Arial"/>
                <w:noProof/>
              </w:rPr>
              <w:t>5.4 Systems, Technology, and Digital Infrastructure</w:t>
            </w:r>
            <w:r>
              <w:rPr>
                <w:noProof/>
                <w:webHidden/>
              </w:rPr>
              <w:tab/>
            </w:r>
            <w:r>
              <w:rPr>
                <w:noProof/>
                <w:webHidden/>
              </w:rPr>
              <w:fldChar w:fldCharType="begin"/>
            </w:r>
            <w:r>
              <w:rPr>
                <w:noProof/>
                <w:webHidden/>
              </w:rPr>
              <w:instrText xml:space="preserve"> PAGEREF _Toc219926281 \h </w:instrText>
            </w:r>
            <w:r>
              <w:rPr>
                <w:noProof/>
                <w:webHidden/>
              </w:rPr>
            </w:r>
            <w:r>
              <w:rPr>
                <w:noProof/>
                <w:webHidden/>
              </w:rPr>
              <w:fldChar w:fldCharType="separate"/>
            </w:r>
            <w:r>
              <w:rPr>
                <w:noProof/>
                <w:webHidden/>
              </w:rPr>
              <w:t>35</w:t>
            </w:r>
            <w:r>
              <w:rPr>
                <w:noProof/>
                <w:webHidden/>
              </w:rPr>
              <w:fldChar w:fldCharType="end"/>
            </w:r>
          </w:hyperlink>
        </w:p>
        <w:p w14:paraId="27F93CBA" w14:textId="3A7A55B3" w:rsidR="00776FD9" w:rsidRDefault="00776FD9">
          <w:pPr>
            <w:pStyle w:val="TOC2"/>
            <w:tabs>
              <w:tab w:val="right" w:leader="dot" w:pos="9016"/>
            </w:tabs>
            <w:rPr>
              <w:rFonts w:eastAsiaTheme="minorEastAsia"/>
              <w:noProof/>
              <w:lang w:eastAsia="en-GB"/>
            </w:rPr>
          </w:pPr>
          <w:hyperlink w:anchor="_Toc219926282" w:history="1">
            <w:r w:rsidRPr="000676B9">
              <w:rPr>
                <w:rStyle w:val="Hyperlink"/>
                <w:rFonts w:ascii="Arial" w:hAnsi="Arial" w:cs="Arial"/>
                <w:noProof/>
              </w:rPr>
              <w:t>5.5 Operational Capacity and Scalability</w:t>
            </w:r>
            <w:r>
              <w:rPr>
                <w:noProof/>
                <w:webHidden/>
              </w:rPr>
              <w:tab/>
            </w:r>
            <w:r>
              <w:rPr>
                <w:noProof/>
                <w:webHidden/>
              </w:rPr>
              <w:fldChar w:fldCharType="begin"/>
            </w:r>
            <w:r>
              <w:rPr>
                <w:noProof/>
                <w:webHidden/>
              </w:rPr>
              <w:instrText xml:space="preserve"> PAGEREF _Toc219926282 \h </w:instrText>
            </w:r>
            <w:r>
              <w:rPr>
                <w:noProof/>
                <w:webHidden/>
              </w:rPr>
            </w:r>
            <w:r>
              <w:rPr>
                <w:noProof/>
                <w:webHidden/>
              </w:rPr>
              <w:fldChar w:fldCharType="separate"/>
            </w:r>
            <w:r>
              <w:rPr>
                <w:noProof/>
                <w:webHidden/>
              </w:rPr>
              <w:t>36</w:t>
            </w:r>
            <w:r>
              <w:rPr>
                <w:noProof/>
                <w:webHidden/>
              </w:rPr>
              <w:fldChar w:fldCharType="end"/>
            </w:r>
          </w:hyperlink>
        </w:p>
        <w:p w14:paraId="1F9B7AEC" w14:textId="006660EA" w:rsidR="00776FD9" w:rsidRDefault="00776FD9">
          <w:pPr>
            <w:pStyle w:val="TOC2"/>
            <w:tabs>
              <w:tab w:val="right" w:leader="dot" w:pos="9016"/>
            </w:tabs>
            <w:rPr>
              <w:rFonts w:eastAsiaTheme="minorEastAsia"/>
              <w:noProof/>
              <w:lang w:eastAsia="en-GB"/>
            </w:rPr>
          </w:pPr>
          <w:hyperlink w:anchor="_Toc219926283" w:history="1">
            <w:r w:rsidRPr="000676B9">
              <w:rPr>
                <w:rStyle w:val="Hyperlink"/>
                <w:rFonts w:ascii="Arial" w:hAnsi="Arial" w:cs="Arial"/>
                <w:noProof/>
              </w:rPr>
              <w:t>5.6 Complaints Handling and Customer Feedback</w:t>
            </w:r>
            <w:r>
              <w:rPr>
                <w:noProof/>
                <w:webHidden/>
              </w:rPr>
              <w:tab/>
            </w:r>
            <w:r>
              <w:rPr>
                <w:noProof/>
                <w:webHidden/>
              </w:rPr>
              <w:fldChar w:fldCharType="begin"/>
            </w:r>
            <w:r>
              <w:rPr>
                <w:noProof/>
                <w:webHidden/>
              </w:rPr>
              <w:instrText xml:space="preserve"> PAGEREF _Toc219926283 \h </w:instrText>
            </w:r>
            <w:r>
              <w:rPr>
                <w:noProof/>
                <w:webHidden/>
              </w:rPr>
            </w:r>
            <w:r>
              <w:rPr>
                <w:noProof/>
                <w:webHidden/>
              </w:rPr>
              <w:fldChar w:fldCharType="separate"/>
            </w:r>
            <w:r>
              <w:rPr>
                <w:noProof/>
                <w:webHidden/>
              </w:rPr>
              <w:t>38</w:t>
            </w:r>
            <w:r>
              <w:rPr>
                <w:noProof/>
                <w:webHidden/>
              </w:rPr>
              <w:fldChar w:fldCharType="end"/>
            </w:r>
          </w:hyperlink>
        </w:p>
        <w:p w14:paraId="2AC770EC" w14:textId="1582EC5C" w:rsidR="00776FD9" w:rsidRDefault="00776FD9">
          <w:pPr>
            <w:pStyle w:val="TOC2"/>
            <w:tabs>
              <w:tab w:val="right" w:leader="dot" w:pos="9016"/>
            </w:tabs>
            <w:rPr>
              <w:rFonts w:eastAsiaTheme="minorEastAsia"/>
              <w:noProof/>
              <w:lang w:eastAsia="en-GB"/>
            </w:rPr>
          </w:pPr>
          <w:hyperlink w:anchor="_Toc219926284" w:history="1">
            <w:r w:rsidRPr="000676B9">
              <w:rPr>
                <w:rStyle w:val="Hyperlink"/>
                <w:rFonts w:ascii="Arial" w:hAnsi="Arial" w:cs="Arial"/>
                <w:noProof/>
              </w:rPr>
              <w:t>5.7 Risk Management and Operational Resilience</w:t>
            </w:r>
            <w:r>
              <w:rPr>
                <w:noProof/>
                <w:webHidden/>
              </w:rPr>
              <w:tab/>
            </w:r>
            <w:r>
              <w:rPr>
                <w:noProof/>
                <w:webHidden/>
              </w:rPr>
              <w:fldChar w:fldCharType="begin"/>
            </w:r>
            <w:r>
              <w:rPr>
                <w:noProof/>
                <w:webHidden/>
              </w:rPr>
              <w:instrText xml:space="preserve"> PAGEREF _Toc219926284 \h </w:instrText>
            </w:r>
            <w:r>
              <w:rPr>
                <w:noProof/>
                <w:webHidden/>
              </w:rPr>
            </w:r>
            <w:r>
              <w:rPr>
                <w:noProof/>
                <w:webHidden/>
              </w:rPr>
              <w:fldChar w:fldCharType="separate"/>
            </w:r>
            <w:r>
              <w:rPr>
                <w:noProof/>
                <w:webHidden/>
              </w:rPr>
              <w:t>38</w:t>
            </w:r>
            <w:r>
              <w:rPr>
                <w:noProof/>
                <w:webHidden/>
              </w:rPr>
              <w:fldChar w:fldCharType="end"/>
            </w:r>
          </w:hyperlink>
        </w:p>
        <w:p w14:paraId="4043E89F" w14:textId="04E402B6" w:rsidR="00776FD9" w:rsidRDefault="00776FD9">
          <w:pPr>
            <w:pStyle w:val="TOC2"/>
            <w:tabs>
              <w:tab w:val="right" w:leader="dot" w:pos="9016"/>
            </w:tabs>
            <w:rPr>
              <w:rFonts w:eastAsiaTheme="minorEastAsia"/>
              <w:noProof/>
              <w:lang w:eastAsia="en-GB"/>
            </w:rPr>
          </w:pPr>
          <w:hyperlink w:anchor="_Toc219926285" w:history="1">
            <w:r w:rsidRPr="000676B9">
              <w:rPr>
                <w:rStyle w:val="Hyperlink"/>
                <w:rFonts w:ascii="Arial" w:hAnsi="Arial" w:cs="Arial"/>
                <w:noProof/>
              </w:rPr>
              <w:t>5.8 Operational Performance Monitoring</w:t>
            </w:r>
            <w:r>
              <w:rPr>
                <w:noProof/>
                <w:webHidden/>
              </w:rPr>
              <w:tab/>
            </w:r>
            <w:r>
              <w:rPr>
                <w:noProof/>
                <w:webHidden/>
              </w:rPr>
              <w:fldChar w:fldCharType="begin"/>
            </w:r>
            <w:r>
              <w:rPr>
                <w:noProof/>
                <w:webHidden/>
              </w:rPr>
              <w:instrText xml:space="preserve"> PAGEREF _Toc219926285 \h </w:instrText>
            </w:r>
            <w:r>
              <w:rPr>
                <w:noProof/>
                <w:webHidden/>
              </w:rPr>
            </w:r>
            <w:r>
              <w:rPr>
                <w:noProof/>
                <w:webHidden/>
              </w:rPr>
              <w:fldChar w:fldCharType="separate"/>
            </w:r>
            <w:r>
              <w:rPr>
                <w:noProof/>
                <w:webHidden/>
              </w:rPr>
              <w:t>39</w:t>
            </w:r>
            <w:r>
              <w:rPr>
                <w:noProof/>
                <w:webHidden/>
              </w:rPr>
              <w:fldChar w:fldCharType="end"/>
            </w:r>
          </w:hyperlink>
        </w:p>
        <w:p w14:paraId="08400244" w14:textId="1007F7F3" w:rsidR="00776FD9" w:rsidRDefault="00776FD9">
          <w:pPr>
            <w:pStyle w:val="TOC2"/>
            <w:tabs>
              <w:tab w:val="right" w:leader="dot" w:pos="9016"/>
            </w:tabs>
            <w:rPr>
              <w:rFonts w:eastAsiaTheme="minorEastAsia"/>
              <w:noProof/>
              <w:lang w:eastAsia="en-GB"/>
            </w:rPr>
          </w:pPr>
          <w:hyperlink w:anchor="_Toc219926286" w:history="1">
            <w:r w:rsidRPr="000676B9">
              <w:rPr>
                <w:rStyle w:val="Hyperlink"/>
                <w:rFonts w:ascii="Arial" w:hAnsi="Arial" w:cs="Arial"/>
                <w:noProof/>
              </w:rPr>
              <w:t>5.9 Compliance and Quality Assurance</w:t>
            </w:r>
            <w:r>
              <w:rPr>
                <w:noProof/>
                <w:webHidden/>
              </w:rPr>
              <w:tab/>
            </w:r>
            <w:r>
              <w:rPr>
                <w:noProof/>
                <w:webHidden/>
              </w:rPr>
              <w:fldChar w:fldCharType="begin"/>
            </w:r>
            <w:r>
              <w:rPr>
                <w:noProof/>
                <w:webHidden/>
              </w:rPr>
              <w:instrText xml:space="preserve"> PAGEREF _Toc219926286 \h </w:instrText>
            </w:r>
            <w:r>
              <w:rPr>
                <w:noProof/>
                <w:webHidden/>
              </w:rPr>
            </w:r>
            <w:r>
              <w:rPr>
                <w:noProof/>
                <w:webHidden/>
              </w:rPr>
              <w:fldChar w:fldCharType="separate"/>
            </w:r>
            <w:r>
              <w:rPr>
                <w:noProof/>
                <w:webHidden/>
              </w:rPr>
              <w:t>39</w:t>
            </w:r>
            <w:r>
              <w:rPr>
                <w:noProof/>
                <w:webHidden/>
              </w:rPr>
              <w:fldChar w:fldCharType="end"/>
            </w:r>
          </w:hyperlink>
        </w:p>
        <w:p w14:paraId="1AA3B0C4" w14:textId="06BD37DC" w:rsidR="00776FD9" w:rsidRDefault="00776FD9">
          <w:pPr>
            <w:pStyle w:val="TOC2"/>
            <w:tabs>
              <w:tab w:val="right" w:leader="dot" w:pos="9016"/>
            </w:tabs>
            <w:rPr>
              <w:rFonts w:eastAsiaTheme="minorEastAsia"/>
              <w:noProof/>
              <w:lang w:eastAsia="en-GB"/>
            </w:rPr>
          </w:pPr>
          <w:hyperlink w:anchor="_Toc219926287" w:history="1">
            <w:r w:rsidRPr="000676B9">
              <w:rPr>
                <w:rStyle w:val="Hyperlink"/>
                <w:rFonts w:ascii="Arial" w:hAnsi="Arial" w:cs="Arial"/>
                <w:noProof/>
              </w:rPr>
              <w:t>5.10 Summary</w:t>
            </w:r>
            <w:r>
              <w:rPr>
                <w:noProof/>
                <w:webHidden/>
              </w:rPr>
              <w:tab/>
            </w:r>
            <w:r>
              <w:rPr>
                <w:noProof/>
                <w:webHidden/>
              </w:rPr>
              <w:fldChar w:fldCharType="begin"/>
            </w:r>
            <w:r>
              <w:rPr>
                <w:noProof/>
                <w:webHidden/>
              </w:rPr>
              <w:instrText xml:space="preserve"> PAGEREF _Toc219926287 \h </w:instrText>
            </w:r>
            <w:r>
              <w:rPr>
                <w:noProof/>
                <w:webHidden/>
              </w:rPr>
            </w:r>
            <w:r>
              <w:rPr>
                <w:noProof/>
                <w:webHidden/>
              </w:rPr>
              <w:fldChar w:fldCharType="separate"/>
            </w:r>
            <w:r>
              <w:rPr>
                <w:noProof/>
                <w:webHidden/>
              </w:rPr>
              <w:t>41</w:t>
            </w:r>
            <w:r>
              <w:rPr>
                <w:noProof/>
                <w:webHidden/>
              </w:rPr>
              <w:fldChar w:fldCharType="end"/>
            </w:r>
          </w:hyperlink>
        </w:p>
        <w:p w14:paraId="14C0FC50" w14:textId="45913C20" w:rsidR="00776FD9" w:rsidRDefault="00776FD9">
          <w:pPr>
            <w:pStyle w:val="TOC1"/>
            <w:tabs>
              <w:tab w:val="right" w:leader="dot" w:pos="9016"/>
            </w:tabs>
            <w:rPr>
              <w:rFonts w:eastAsiaTheme="minorEastAsia"/>
              <w:noProof/>
              <w:lang w:eastAsia="en-GB"/>
            </w:rPr>
          </w:pPr>
          <w:hyperlink w:anchor="_Toc219926288" w:history="1">
            <w:r w:rsidRPr="000676B9">
              <w:rPr>
                <w:rStyle w:val="Hyperlink"/>
                <w:rFonts w:ascii="Arial" w:hAnsi="Arial" w:cs="Arial"/>
                <w:noProof/>
              </w:rPr>
              <w:t>Chapter 6: Human Resource Plan</w:t>
            </w:r>
            <w:r>
              <w:rPr>
                <w:noProof/>
                <w:webHidden/>
              </w:rPr>
              <w:tab/>
            </w:r>
            <w:r>
              <w:rPr>
                <w:noProof/>
                <w:webHidden/>
              </w:rPr>
              <w:fldChar w:fldCharType="begin"/>
            </w:r>
            <w:r>
              <w:rPr>
                <w:noProof/>
                <w:webHidden/>
              </w:rPr>
              <w:instrText xml:space="preserve"> PAGEREF _Toc219926288 \h </w:instrText>
            </w:r>
            <w:r>
              <w:rPr>
                <w:noProof/>
                <w:webHidden/>
              </w:rPr>
            </w:r>
            <w:r>
              <w:rPr>
                <w:noProof/>
                <w:webHidden/>
              </w:rPr>
              <w:fldChar w:fldCharType="separate"/>
            </w:r>
            <w:r>
              <w:rPr>
                <w:noProof/>
                <w:webHidden/>
              </w:rPr>
              <w:t>41</w:t>
            </w:r>
            <w:r>
              <w:rPr>
                <w:noProof/>
                <w:webHidden/>
              </w:rPr>
              <w:fldChar w:fldCharType="end"/>
            </w:r>
          </w:hyperlink>
        </w:p>
        <w:p w14:paraId="4A9C49E0" w14:textId="2BEF2D2E" w:rsidR="00776FD9" w:rsidRDefault="00776FD9">
          <w:pPr>
            <w:pStyle w:val="TOC2"/>
            <w:tabs>
              <w:tab w:val="right" w:leader="dot" w:pos="9016"/>
            </w:tabs>
            <w:rPr>
              <w:rFonts w:eastAsiaTheme="minorEastAsia"/>
              <w:noProof/>
              <w:lang w:eastAsia="en-GB"/>
            </w:rPr>
          </w:pPr>
          <w:hyperlink w:anchor="_Toc219926289" w:history="1">
            <w:r w:rsidRPr="000676B9">
              <w:rPr>
                <w:rStyle w:val="Hyperlink"/>
                <w:rFonts w:ascii="Arial" w:hAnsi="Arial" w:cs="Arial"/>
                <w:noProof/>
              </w:rPr>
              <w:t>6.1 Introduction</w:t>
            </w:r>
            <w:r>
              <w:rPr>
                <w:noProof/>
                <w:webHidden/>
              </w:rPr>
              <w:tab/>
            </w:r>
            <w:r>
              <w:rPr>
                <w:noProof/>
                <w:webHidden/>
              </w:rPr>
              <w:fldChar w:fldCharType="begin"/>
            </w:r>
            <w:r>
              <w:rPr>
                <w:noProof/>
                <w:webHidden/>
              </w:rPr>
              <w:instrText xml:space="preserve"> PAGEREF _Toc219926289 \h </w:instrText>
            </w:r>
            <w:r>
              <w:rPr>
                <w:noProof/>
                <w:webHidden/>
              </w:rPr>
            </w:r>
            <w:r>
              <w:rPr>
                <w:noProof/>
                <w:webHidden/>
              </w:rPr>
              <w:fldChar w:fldCharType="separate"/>
            </w:r>
            <w:r>
              <w:rPr>
                <w:noProof/>
                <w:webHidden/>
              </w:rPr>
              <w:t>41</w:t>
            </w:r>
            <w:r>
              <w:rPr>
                <w:noProof/>
                <w:webHidden/>
              </w:rPr>
              <w:fldChar w:fldCharType="end"/>
            </w:r>
          </w:hyperlink>
        </w:p>
        <w:p w14:paraId="68CAF4C8" w14:textId="021B7537" w:rsidR="00776FD9" w:rsidRDefault="00776FD9">
          <w:pPr>
            <w:pStyle w:val="TOC2"/>
            <w:tabs>
              <w:tab w:val="right" w:leader="dot" w:pos="9016"/>
            </w:tabs>
            <w:rPr>
              <w:rFonts w:eastAsiaTheme="minorEastAsia"/>
              <w:noProof/>
              <w:lang w:eastAsia="en-GB"/>
            </w:rPr>
          </w:pPr>
          <w:hyperlink w:anchor="_Toc219926290" w:history="1">
            <w:r w:rsidRPr="000676B9">
              <w:rPr>
                <w:rStyle w:val="Hyperlink"/>
                <w:rFonts w:ascii="Arial" w:hAnsi="Arial" w:cs="Arial"/>
                <w:noProof/>
              </w:rPr>
              <w:t>6.2 Organisational Structure</w:t>
            </w:r>
            <w:r>
              <w:rPr>
                <w:noProof/>
                <w:webHidden/>
              </w:rPr>
              <w:tab/>
            </w:r>
            <w:r>
              <w:rPr>
                <w:noProof/>
                <w:webHidden/>
              </w:rPr>
              <w:fldChar w:fldCharType="begin"/>
            </w:r>
            <w:r>
              <w:rPr>
                <w:noProof/>
                <w:webHidden/>
              </w:rPr>
              <w:instrText xml:space="preserve"> PAGEREF _Toc219926290 \h </w:instrText>
            </w:r>
            <w:r>
              <w:rPr>
                <w:noProof/>
                <w:webHidden/>
              </w:rPr>
            </w:r>
            <w:r>
              <w:rPr>
                <w:noProof/>
                <w:webHidden/>
              </w:rPr>
              <w:fldChar w:fldCharType="separate"/>
            </w:r>
            <w:r>
              <w:rPr>
                <w:noProof/>
                <w:webHidden/>
              </w:rPr>
              <w:t>41</w:t>
            </w:r>
            <w:r>
              <w:rPr>
                <w:noProof/>
                <w:webHidden/>
              </w:rPr>
              <w:fldChar w:fldCharType="end"/>
            </w:r>
          </w:hyperlink>
        </w:p>
        <w:p w14:paraId="4D1D97C3" w14:textId="43649BB7" w:rsidR="00776FD9" w:rsidRDefault="00776FD9">
          <w:pPr>
            <w:pStyle w:val="TOC2"/>
            <w:tabs>
              <w:tab w:val="right" w:leader="dot" w:pos="9016"/>
            </w:tabs>
            <w:rPr>
              <w:rFonts w:eastAsiaTheme="minorEastAsia"/>
              <w:noProof/>
              <w:lang w:eastAsia="en-GB"/>
            </w:rPr>
          </w:pPr>
          <w:hyperlink w:anchor="_Toc219926291" w:history="1">
            <w:r w:rsidRPr="000676B9">
              <w:rPr>
                <w:rStyle w:val="Hyperlink"/>
                <w:rFonts w:ascii="Arial" w:hAnsi="Arial" w:cs="Arial"/>
                <w:noProof/>
              </w:rPr>
              <w:t>6.3 Staffing Requirements and Role Definition</w:t>
            </w:r>
            <w:r>
              <w:rPr>
                <w:noProof/>
                <w:webHidden/>
              </w:rPr>
              <w:tab/>
            </w:r>
            <w:r>
              <w:rPr>
                <w:noProof/>
                <w:webHidden/>
              </w:rPr>
              <w:fldChar w:fldCharType="begin"/>
            </w:r>
            <w:r>
              <w:rPr>
                <w:noProof/>
                <w:webHidden/>
              </w:rPr>
              <w:instrText xml:space="preserve"> PAGEREF _Toc219926291 \h </w:instrText>
            </w:r>
            <w:r>
              <w:rPr>
                <w:noProof/>
                <w:webHidden/>
              </w:rPr>
            </w:r>
            <w:r>
              <w:rPr>
                <w:noProof/>
                <w:webHidden/>
              </w:rPr>
              <w:fldChar w:fldCharType="separate"/>
            </w:r>
            <w:r>
              <w:rPr>
                <w:noProof/>
                <w:webHidden/>
              </w:rPr>
              <w:t>42</w:t>
            </w:r>
            <w:r>
              <w:rPr>
                <w:noProof/>
                <w:webHidden/>
              </w:rPr>
              <w:fldChar w:fldCharType="end"/>
            </w:r>
          </w:hyperlink>
        </w:p>
        <w:p w14:paraId="0353FE64" w14:textId="495A3326" w:rsidR="00776FD9" w:rsidRDefault="00776FD9">
          <w:pPr>
            <w:pStyle w:val="TOC2"/>
            <w:tabs>
              <w:tab w:val="right" w:leader="dot" w:pos="9016"/>
            </w:tabs>
            <w:rPr>
              <w:rFonts w:eastAsiaTheme="minorEastAsia"/>
              <w:noProof/>
              <w:lang w:eastAsia="en-GB"/>
            </w:rPr>
          </w:pPr>
          <w:hyperlink w:anchor="_Toc219926292" w:history="1">
            <w:r w:rsidRPr="000676B9">
              <w:rPr>
                <w:rStyle w:val="Hyperlink"/>
                <w:rFonts w:ascii="Arial" w:hAnsi="Arial" w:cs="Arial"/>
                <w:noProof/>
              </w:rPr>
              <w:t>6.4 Competency Framework and Skills Requirements</w:t>
            </w:r>
            <w:r>
              <w:rPr>
                <w:noProof/>
                <w:webHidden/>
              </w:rPr>
              <w:tab/>
            </w:r>
            <w:r>
              <w:rPr>
                <w:noProof/>
                <w:webHidden/>
              </w:rPr>
              <w:fldChar w:fldCharType="begin"/>
            </w:r>
            <w:r>
              <w:rPr>
                <w:noProof/>
                <w:webHidden/>
              </w:rPr>
              <w:instrText xml:space="preserve"> PAGEREF _Toc219926292 \h </w:instrText>
            </w:r>
            <w:r>
              <w:rPr>
                <w:noProof/>
                <w:webHidden/>
              </w:rPr>
            </w:r>
            <w:r>
              <w:rPr>
                <w:noProof/>
                <w:webHidden/>
              </w:rPr>
              <w:fldChar w:fldCharType="separate"/>
            </w:r>
            <w:r>
              <w:rPr>
                <w:noProof/>
                <w:webHidden/>
              </w:rPr>
              <w:t>42</w:t>
            </w:r>
            <w:r>
              <w:rPr>
                <w:noProof/>
                <w:webHidden/>
              </w:rPr>
              <w:fldChar w:fldCharType="end"/>
            </w:r>
          </w:hyperlink>
        </w:p>
        <w:p w14:paraId="4853010B" w14:textId="6F72C4CC" w:rsidR="00776FD9" w:rsidRDefault="00776FD9">
          <w:pPr>
            <w:pStyle w:val="TOC2"/>
            <w:tabs>
              <w:tab w:val="right" w:leader="dot" w:pos="9016"/>
            </w:tabs>
            <w:rPr>
              <w:rFonts w:eastAsiaTheme="minorEastAsia"/>
              <w:noProof/>
              <w:lang w:eastAsia="en-GB"/>
            </w:rPr>
          </w:pPr>
          <w:hyperlink w:anchor="_Toc219926293" w:history="1">
            <w:r w:rsidRPr="000676B9">
              <w:rPr>
                <w:rStyle w:val="Hyperlink"/>
                <w:rFonts w:ascii="Arial" w:hAnsi="Arial" w:cs="Arial"/>
                <w:noProof/>
              </w:rPr>
              <w:t>6.5 Recruitment Strategy</w:t>
            </w:r>
            <w:r>
              <w:rPr>
                <w:noProof/>
                <w:webHidden/>
              </w:rPr>
              <w:tab/>
            </w:r>
            <w:r>
              <w:rPr>
                <w:noProof/>
                <w:webHidden/>
              </w:rPr>
              <w:fldChar w:fldCharType="begin"/>
            </w:r>
            <w:r>
              <w:rPr>
                <w:noProof/>
                <w:webHidden/>
              </w:rPr>
              <w:instrText xml:space="preserve"> PAGEREF _Toc219926293 \h </w:instrText>
            </w:r>
            <w:r>
              <w:rPr>
                <w:noProof/>
                <w:webHidden/>
              </w:rPr>
            </w:r>
            <w:r>
              <w:rPr>
                <w:noProof/>
                <w:webHidden/>
              </w:rPr>
              <w:fldChar w:fldCharType="separate"/>
            </w:r>
            <w:r>
              <w:rPr>
                <w:noProof/>
                <w:webHidden/>
              </w:rPr>
              <w:t>43</w:t>
            </w:r>
            <w:r>
              <w:rPr>
                <w:noProof/>
                <w:webHidden/>
              </w:rPr>
              <w:fldChar w:fldCharType="end"/>
            </w:r>
          </w:hyperlink>
        </w:p>
        <w:p w14:paraId="335BDE1D" w14:textId="698B3B41" w:rsidR="00776FD9" w:rsidRDefault="00776FD9">
          <w:pPr>
            <w:pStyle w:val="TOC2"/>
            <w:tabs>
              <w:tab w:val="right" w:leader="dot" w:pos="9016"/>
            </w:tabs>
            <w:rPr>
              <w:rFonts w:eastAsiaTheme="minorEastAsia"/>
              <w:noProof/>
              <w:lang w:eastAsia="en-GB"/>
            </w:rPr>
          </w:pPr>
          <w:hyperlink w:anchor="_Toc219926294" w:history="1">
            <w:r w:rsidRPr="000676B9">
              <w:rPr>
                <w:rStyle w:val="Hyperlink"/>
                <w:rFonts w:ascii="Arial" w:hAnsi="Arial" w:cs="Arial"/>
                <w:noProof/>
              </w:rPr>
              <w:t>6.6 Training, Competence, and Professional Development</w:t>
            </w:r>
            <w:r>
              <w:rPr>
                <w:noProof/>
                <w:webHidden/>
              </w:rPr>
              <w:tab/>
            </w:r>
            <w:r>
              <w:rPr>
                <w:noProof/>
                <w:webHidden/>
              </w:rPr>
              <w:fldChar w:fldCharType="begin"/>
            </w:r>
            <w:r>
              <w:rPr>
                <w:noProof/>
                <w:webHidden/>
              </w:rPr>
              <w:instrText xml:space="preserve"> PAGEREF _Toc219926294 \h </w:instrText>
            </w:r>
            <w:r>
              <w:rPr>
                <w:noProof/>
                <w:webHidden/>
              </w:rPr>
            </w:r>
            <w:r>
              <w:rPr>
                <w:noProof/>
                <w:webHidden/>
              </w:rPr>
              <w:fldChar w:fldCharType="separate"/>
            </w:r>
            <w:r>
              <w:rPr>
                <w:noProof/>
                <w:webHidden/>
              </w:rPr>
              <w:t>44</w:t>
            </w:r>
            <w:r>
              <w:rPr>
                <w:noProof/>
                <w:webHidden/>
              </w:rPr>
              <w:fldChar w:fldCharType="end"/>
            </w:r>
          </w:hyperlink>
        </w:p>
        <w:p w14:paraId="6664C437" w14:textId="7FADC77C" w:rsidR="00776FD9" w:rsidRDefault="00776FD9">
          <w:pPr>
            <w:pStyle w:val="TOC2"/>
            <w:tabs>
              <w:tab w:val="right" w:leader="dot" w:pos="9016"/>
            </w:tabs>
            <w:rPr>
              <w:rFonts w:eastAsiaTheme="minorEastAsia"/>
              <w:noProof/>
              <w:lang w:eastAsia="en-GB"/>
            </w:rPr>
          </w:pPr>
          <w:hyperlink w:anchor="_Toc219926295" w:history="1">
            <w:r w:rsidRPr="000676B9">
              <w:rPr>
                <w:rStyle w:val="Hyperlink"/>
                <w:rFonts w:ascii="Arial" w:hAnsi="Arial" w:cs="Arial"/>
                <w:noProof/>
              </w:rPr>
              <w:t>6.6.1 Ethical Culture and Consumer Duty Alignment</w:t>
            </w:r>
            <w:r>
              <w:rPr>
                <w:noProof/>
                <w:webHidden/>
              </w:rPr>
              <w:tab/>
            </w:r>
            <w:r>
              <w:rPr>
                <w:noProof/>
                <w:webHidden/>
              </w:rPr>
              <w:fldChar w:fldCharType="begin"/>
            </w:r>
            <w:r>
              <w:rPr>
                <w:noProof/>
                <w:webHidden/>
              </w:rPr>
              <w:instrText xml:space="preserve"> PAGEREF _Toc219926295 \h </w:instrText>
            </w:r>
            <w:r>
              <w:rPr>
                <w:noProof/>
                <w:webHidden/>
              </w:rPr>
            </w:r>
            <w:r>
              <w:rPr>
                <w:noProof/>
                <w:webHidden/>
              </w:rPr>
              <w:fldChar w:fldCharType="separate"/>
            </w:r>
            <w:r>
              <w:rPr>
                <w:noProof/>
                <w:webHidden/>
              </w:rPr>
              <w:t>45</w:t>
            </w:r>
            <w:r>
              <w:rPr>
                <w:noProof/>
                <w:webHidden/>
              </w:rPr>
              <w:fldChar w:fldCharType="end"/>
            </w:r>
          </w:hyperlink>
        </w:p>
        <w:p w14:paraId="42C86F56" w14:textId="27664751" w:rsidR="00776FD9" w:rsidRDefault="00776FD9">
          <w:pPr>
            <w:pStyle w:val="TOC2"/>
            <w:tabs>
              <w:tab w:val="right" w:leader="dot" w:pos="9016"/>
            </w:tabs>
            <w:rPr>
              <w:rFonts w:eastAsiaTheme="minorEastAsia"/>
              <w:noProof/>
              <w:lang w:eastAsia="en-GB"/>
            </w:rPr>
          </w:pPr>
          <w:hyperlink w:anchor="_Toc219926296" w:history="1">
            <w:r w:rsidRPr="000676B9">
              <w:rPr>
                <w:rStyle w:val="Hyperlink"/>
                <w:rFonts w:ascii="Arial" w:hAnsi="Arial" w:cs="Arial"/>
                <w:noProof/>
              </w:rPr>
              <w:t>6.7 Performance Management and Incentives</w:t>
            </w:r>
            <w:r>
              <w:rPr>
                <w:noProof/>
                <w:webHidden/>
              </w:rPr>
              <w:tab/>
            </w:r>
            <w:r>
              <w:rPr>
                <w:noProof/>
                <w:webHidden/>
              </w:rPr>
              <w:fldChar w:fldCharType="begin"/>
            </w:r>
            <w:r>
              <w:rPr>
                <w:noProof/>
                <w:webHidden/>
              </w:rPr>
              <w:instrText xml:space="preserve"> PAGEREF _Toc219926296 \h </w:instrText>
            </w:r>
            <w:r>
              <w:rPr>
                <w:noProof/>
                <w:webHidden/>
              </w:rPr>
            </w:r>
            <w:r>
              <w:rPr>
                <w:noProof/>
                <w:webHidden/>
              </w:rPr>
              <w:fldChar w:fldCharType="separate"/>
            </w:r>
            <w:r>
              <w:rPr>
                <w:noProof/>
                <w:webHidden/>
              </w:rPr>
              <w:t>46</w:t>
            </w:r>
            <w:r>
              <w:rPr>
                <w:noProof/>
                <w:webHidden/>
              </w:rPr>
              <w:fldChar w:fldCharType="end"/>
            </w:r>
          </w:hyperlink>
        </w:p>
        <w:p w14:paraId="1E640BAA" w14:textId="0F07FD34" w:rsidR="00776FD9" w:rsidRDefault="00776FD9">
          <w:pPr>
            <w:pStyle w:val="TOC2"/>
            <w:tabs>
              <w:tab w:val="right" w:leader="dot" w:pos="9016"/>
            </w:tabs>
            <w:rPr>
              <w:rFonts w:eastAsiaTheme="minorEastAsia"/>
              <w:noProof/>
              <w:lang w:eastAsia="en-GB"/>
            </w:rPr>
          </w:pPr>
          <w:hyperlink w:anchor="_Toc219926297" w:history="1">
            <w:r w:rsidRPr="000676B9">
              <w:rPr>
                <w:rStyle w:val="Hyperlink"/>
                <w:rFonts w:ascii="Arial" w:hAnsi="Arial" w:cs="Arial"/>
                <w:noProof/>
              </w:rPr>
              <w:t>6.8 Employee Wellbeing and Retention</w:t>
            </w:r>
            <w:r>
              <w:rPr>
                <w:noProof/>
                <w:webHidden/>
              </w:rPr>
              <w:tab/>
            </w:r>
            <w:r>
              <w:rPr>
                <w:noProof/>
                <w:webHidden/>
              </w:rPr>
              <w:fldChar w:fldCharType="begin"/>
            </w:r>
            <w:r>
              <w:rPr>
                <w:noProof/>
                <w:webHidden/>
              </w:rPr>
              <w:instrText xml:space="preserve"> PAGEREF _Toc219926297 \h </w:instrText>
            </w:r>
            <w:r>
              <w:rPr>
                <w:noProof/>
                <w:webHidden/>
              </w:rPr>
            </w:r>
            <w:r>
              <w:rPr>
                <w:noProof/>
                <w:webHidden/>
              </w:rPr>
              <w:fldChar w:fldCharType="separate"/>
            </w:r>
            <w:r>
              <w:rPr>
                <w:noProof/>
                <w:webHidden/>
              </w:rPr>
              <w:t>47</w:t>
            </w:r>
            <w:r>
              <w:rPr>
                <w:noProof/>
                <w:webHidden/>
              </w:rPr>
              <w:fldChar w:fldCharType="end"/>
            </w:r>
          </w:hyperlink>
        </w:p>
        <w:p w14:paraId="7F202EED" w14:textId="737D253D" w:rsidR="00776FD9" w:rsidRDefault="00776FD9">
          <w:pPr>
            <w:pStyle w:val="TOC2"/>
            <w:tabs>
              <w:tab w:val="right" w:leader="dot" w:pos="9016"/>
            </w:tabs>
            <w:rPr>
              <w:rFonts w:eastAsiaTheme="minorEastAsia"/>
              <w:noProof/>
              <w:lang w:eastAsia="en-GB"/>
            </w:rPr>
          </w:pPr>
          <w:hyperlink w:anchor="_Toc219926298" w:history="1">
            <w:r w:rsidRPr="000676B9">
              <w:rPr>
                <w:rStyle w:val="Hyperlink"/>
                <w:rFonts w:ascii="Arial" w:hAnsi="Arial" w:cs="Arial"/>
                <w:noProof/>
              </w:rPr>
              <w:t>6.9 HR Risk Management</w:t>
            </w:r>
            <w:r>
              <w:rPr>
                <w:noProof/>
                <w:webHidden/>
              </w:rPr>
              <w:tab/>
            </w:r>
            <w:r>
              <w:rPr>
                <w:noProof/>
                <w:webHidden/>
              </w:rPr>
              <w:fldChar w:fldCharType="begin"/>
            </w:r>
            <w:r>
              <w:rPr>
                <w:noProof/>
                <w:webHidden/>
              </w:rPr>
              <w:instrText xml:space="preserve"> PAGEREF _Toc219926298 \h </w:instrText>
            </w:r>
            <w:r>
              <w:rPr>
                <w:noProof/>
                <w:webHidden/>
              </w:rPr>
            </w:r>
            <w:r>
              <w:rPr>
                <w:noProof/>
                <w:webHidden/>
              </w:rPr>
              <w:fldChar w:fldCharType="separate"/>
            </w:r>
            <w:r>
              <w:rPr>
                <w:noProof/>
                <w:webHidden/>
              </w:rPr>
              <w:t>48</w:t>
            </w:r>
            <w:r>
              <w:rPr>
                <w:noProof/>
                <w:webHidden/>
              </w:rPr>
              <w:fldChar w:fldCharType="end"/>
            </w:r>
          </w:hyperlink>
        </w:p>
        <w:p w14:paraId="10B546D1" w14:textId="666495E0" w:rsidR="00776FD9" w:rsidRDefault="00776FD9">
          <w:pPr>
            <w:pStyle w:val="TOC2"/>
            <w:tabs>
              <w:tab w:val="right" w:leader="dot" w:pos="9016"/>
            </w:tabs>
            <w:rPr>
              <w:rFonts w:eastAsiaTheme="minorEastAsia"/>
              <w:noProof/>
              <w:lang w:eastAsia="en-GB"/>
            </w:rPr>
          </w:pPr>
          <w:hyperlink w:anchor="_Toc219926299" w:history="1">
            <w:r w:rsidRPr="000676B9">
              <w:rPr>
                <w:rStyle w:val="Hyperlink"/>
                <w:rFonts w:ascii="Arial" w:hAnsi="Arial" w:cs="Arial"/>
                <w:noProof/>
              </w:rPr>
              <w:t>6.10 Summary</w:t>
            </w:r>
            <w:r>
              <w:rPr>
                <w:noProof/>
                <w:webHidden/>
              </w:rPr>
              <w:tab/>
            </w:r>
            <w:r>
              <w:rPr>
                <w:noProof/>
                <w:webHidden/>
              </w:rPr>
              <w:fldChar w:fldCharType="begin"/>
            </w:r>
            <w:r>
              <w:rPr>
                <w:noProof/>
                <w:webHidden/>
              </w:rPr>
              <w:instrText xml:space="preserve"> PAGEREF _Toc219926299 \h </w:instrText>
            </w:r>
            <w:r>
              <w:rPr>
                <w:noProof/>
                <w:webHidden/>
              </w:rPr>
            </w:r>
            <w:r>
              <w:rPr>
                <w:noProof/>
                <w:webHidden/>
              </w:rPr>
              <w:fldChar w:fldCharType="separate"/>
            </w:r>
            <w:r>
              <w:rPr>
                <w:noProof/>
                <w:webHidden/>
              </w:rPr>
              <w:t>49</w:t>
            </w:r>
            <w:r>
              <w:rPr>
                <w:noProof/>
                <w:webHidden/>
              </w:rPr>
              <w:fldChar w:fldCharType="end"/>
            </w:r>
          </w:hyperlink>
        </w:p>
        <w:p w14:paraId="156A7833" w14:textId="32DBF3FD" w:rsidR="00776FD9" w:rsidRDefault="00776FD9">
          <w:pPr>
            <w:pStyle w:val="TOC1"/>
            <w:tabs>
              <w:tab w:val="right" w:leader="dot" w:pos="9016"/>
            </w:tabs>
            <w:rPr>
              <w:rFonts w:eastAsiaTheme="minorEastAsia"/>
              <w:noProof/>
              <w:lang w:eastAsia="en-GB"/>
            </w:rPr>
          </w:pPr>
          <w:hyperlink w:anchor="_Toc219926300" w:history="1">
            <w:r w:rsidRPr="000676B9">
              <w:rPr>
                <w:rStyle w:val="Hyperlink"/>
                <w:rFonts w:ascii="Arial" w:hAnsi="Arial" w:cs="Arial"/>
                <w:noProof/>
              </w:rPr>
              <w:t>Chapter 7: Financial Plan</w:t>
            </w:r>
            <w:r>
              <w:rPr>
                <w:noProof/>
                <w:webHidden/>
              </w:rPr>
              <w:tab/>
            </w:r>
            <w:r>
              <w:rPr>
                <w:noProof/>
                <w:webHidden/>
              </w:rPr>
              <w:fldChar w:fldCharType="begin"/>
            </w:r>
            <w:r>
              <w:rPr>
                <w:noProof/>
                <w:webHidden/>
              </w:rPr>
              <w:instrText xml:space="preserve"> PAGEREF _Toc219926300 \h </w:instrText>
            </w:r>
            <w:r>
              <w:rPr>
                <w:noProof/>
                <w:webHidden/>
              </w:rPr>
            </w:r>
            <w:r>
              <w:rPr>
                <w:noProof/>
                <w:webHidden/>
              </w:rPr>
              <w:fldChar w:fldCharType="separate"/>
            </w:r>
            <w:r>
              <w:rPr>
                <w:noProof/>
                <w:webHidden/>
              </w:rPr>
              <w:t>49</w:t>
            </w:r>
            <w:r>
              <w:rPr>
                <w:noProof/>
                <w:webHidden/>
              </w:rPr>
              <w:fldChar w:fldCharType="end"/>
            </w:r>
          </w:hyperlink>
        </w:p>
        <w:p w14:paraId="3091FFD0" w14:textId="1FCB45C8" w:rsidR="00776FD9" w:rsidRDefault="00776FD9">
          <w:pPr>
            <w:pStyle w:val="TOC2"/>
            <w:tabs>
              <w:tab w:val="right" w:leader="dot" w:pos="9016"/>
            </w:tabs>
            <w:rPr>
              <w:rFonts w:eastAsiaTheme="minorEastAsia"/>
              <w:noProof/>
              <w:lang w:eastAsia="en-GB"/>
            </w:rPr>
          </w:pPr>
          <w:hyperlink w:anchor="_Toc219926301" w:history="1">
            <w:r w:rsidRPr="000676B9">
              <w:rPr>
                <w:rStyle w:val="Hyperlink"/>
                <w:rFonts w:ascii="Arial" w:hAnsi="Arial" w:cs="Arial"/>
                <w:noProof/>
              </w:rPr>
              <w:t>7.1 Purpose of the Financial Plan</w:t>
            </w:r>
            <w:r>
              <w:rPr>
                <w:noProof/>
                <w:webHidden/>
              </w:rPr>
              <w:tab/>
            </w:r>
            <w:r>
              <w:rPr>
                <w:noProof/>
                <w:webHidden/>
              </w:rPr>
              <w:fldChar w:fldCharType="begin"/>
            </w:r>
            <w:r>
              <w:rPr>
                <w:noProof/>
                <w:webHidden/>
              </w:rPr>
              <w:instrText xml:space="preserve"> PAGEREF _Toc219926301 \h </w:instrText>
            </w:r>
            <w:r>
              <w:rPr>
                <w:noProof/>
                <w:webHidden/>
              </w:rPr>
            </w:r>
            <w:r>
              <w:rPr>
                <w:noProof/>
                <w:webHidden/>
              </w:rPr>
              <w:fldChar w:fldCharType="separate"/>
            </w:r>
            <w:r>
              <w:rPr>
                <w:noProof/>
                <w:webHidden/>
              </w:rPr>
              <w:t>49</w:t>
            </w:r>
            <w:r>
              <w:rPr>
                <w:noProof/>
                <w:webHidden/>
              </w:rPr>
              <w:fldChar w:fldCharType="end"/>
            </w:r>
          </w:hyperlink>
        </w:p>
        <w:p w14:paraId="6C0FACBF" w14:textId="576FFBCD" w:rsidR="00776FD9" w:rsidRDefault="00776FD9">
          <w:pPr>
            <w:pStyle w:val="TOC2"/>
            <w:tabs>
              <w:tab w:val="right" w:leader="dot" w:pos="9016"/>
            </w:tabs>
            <w:rPr>
              <w:rFonts w:eastAsiaTheme="minorEastAsia"/>
              <w:noProof/>
              <w:lang w:eastAsia="en-GB"/>
            </w:rPr>
          </w:pPr>
          <w:hyperlink w:anchor="_Toc219926302" w:history="1">
            <w:r w:rsidRPr="000676B9">
              <w:rPr>
                <w:rStyle w:val="Hyperlink"/>
                <w:rFonts w:ascii="Arial" w:hAnsi="Arial" w:cs="Arial"/>
                <w:noProof/>
              </w:rPr>
              <w:t>7.2 Justification of Revenue Assumptions</w:t>
            </w:r>
            <w:r>
              <w:rPr>
                <w:noProof/>
                <w:webHidden/>
              </w:rPr>
              <w:tab/>
            </w:r>
            <w:r>
              <w:rPr>
                <w:noProof/>
                <w:webHidden/>
              </w:rPr>
              <w:fldChar w:fldCharType="begin"/>
            </w:r>
            <w:r>
              <w:rPr>
                <w:noProof/>
                <w:webHidden/>
              </w:rPr>
              <w:instrText xml:space="preserve"> PAGEREF _Toc219926302 \h </w:instrText>
            </w:r>
            <w:r>
              <w:rPr>
                <w:noProof/>
                <w:webHidden/>
              </w:rPr>
            </w:r>
            <w:r>
              <w:rPr>
                <w:noProof/>
                <w:webHidden/>
              </w:rPr>
              <w:fldChar w:fldCharType="separate"/>
            </w:r>
            <w:r>
              <w:rPr>
                <w:noProof/>
                <w:webHidden/>
              </w:rPr>
              <w:t>50</w:t>
            </w:r>
            <w:r>
              <w:rPr>
                <w:noProof/>
                <w:webHidden/>
              </w:rPr>
              <w:fldChar w:fldCharType="end"/>
            </w:r>
          </w:hyperlink>
        </w:p>
        <w:p w14:paraId="30630197" w14:textId="0A8343D9" w:rsidR="00776FD9" w:rsidRDefault="00776FD9">
          <w:pPr>
            <w:pStyle w:val="TOC2"/>
            <w:tabs>
              <w:tab w:val="right" w:leader="dot" w:pos="9016"/>
            </w:tabs>
            <w:rPr>
              <w:rFonts w:eastAsiaTheme="minorEastAsia"/>
              <w:noProof/>
              <w:lang w:eastAsia="en-GB"/>
            </w:rPr>
          </w:pPr>
          <w:hyperlink w:anchor="_Toc219926303" w:history="1">
            <w:r w:rsidRPr="000676B9">
              <w:rPr>
                <w:rStyle w:val="Hyperlink"/>
                <w:rFonts w:ascii="Arial" w:hAnsi="Arial" w:cs="Arial"/>
                <w:noProof/>
              </w:rPr>
              <w:t>7.3 Revenue Model and Income Streams</w:t>
            </w:r>
            <w:r>
              <w:rPr>
                <w:noProof/>
                <w:webHidden/>
              </w:rPr>
              <w:tab/>
            </w:r>
            <w:r>
              <w:rPr>
                <w:noProof/>
                <w:webHidden/>
              </w:rPr>
              <w:fldChar w:fldCharType="begin"/>
            </w:r>
            <w:r>
              <w:rPr>
                <w:noProof/>
                <w:webHidden/>
              </w:rPr>
              <w:instrText xml:space="preserve"> PAGEREF _Toc219926303 \h </w:instrText>
            </w:r>
            <w:r>
              <w:rPr>
                <w:noProof/>
                <w:webHidden/>
              </w:rPr>
            </w:r>
            <w:r>
              <w:rPr>
                <w:noProof/>
                <w:webHidden/>
              </w:rPr>
              <w:fldChar w:fldCharType="separate"/>
            </w:r>
            <w:r>
              <w:rPr>
                <w:noProof/>
                <w:webHidden/>
              </w:rPr>
              <w:t>50</w:t>
            </w:r>
            <w:r>
              <w:rPr>
                <w:noProof/>
                <w:webHidden/>
              </w:rPr>
              <w:fldChar w:fldCharType="end"/>
            </w:r>
          </w:hyperlink>
        </w:p>
        <w:p w14:paraId="6140CE67" w14:textId="59E07E67" w:rsidR="00776FD9" w:rsidRDefault="00776FD9">
          <w:pPr>
            <w:pStyle w:val="TOC2"/>
            <w:tabs>
              <w:tab w:val="right" w:leader="dot" w:pos="9016"/>
            </w:tabs>
            <w:rPr>
              <w:rFonts w:eastAsiaTheme="minorEastAsia"/>
              <w:noProof/>
              <w:lang w:eastAsia="en-GB"/>
            </w:rPr>
          </w:pPr>
          <w:hyperlink w:anchor="_Toc219926304" w:history="1">
            <w:r w:rsidRPr="000676B9">
              <w:rPr>
                <w:rStyle w:val="Hyperlink"/>
                <w:rFonts w:ascii="Arial" w:hAnsi="Arial" w:cs="Arial"/>
                <w:noProof/>
              </w:rPr>
              <w:t>7.4 Cost Structure and Variable Costs</w:t>
            </w:r>
            <w:r>
              <w:rPr>
                <w:noProof/>
                <w:webHidden/>
              </w:rPr>
              <w:tab/>
            </w:r>
            <w:r>
              <w:rPr>
                <w:noProof/>
                <w:webHidden/>
              </w:rPr>
              <w:fldChar w:fldCharType="begin"/>
            </w:r>
            <w:r>
              <w:rPr>
                <w:noProof/>
                <w:webHidden/>
              </w:rPr>
              <w:instrText xml:space="preserve"> PAGEREF _Toc219926304 \h </w:instrText>
            </w:r>
            <w:r>
              <w:rPr>
                <w:noProof/>
                <w:webHidden/>
              </w:rPr>
            </w:r>
            <w:r>
              <w:rPr>
                <w:noProof/>
                <w:webHidden/>
              </w:rPr>
              <w:fldChar w:fldCharType="separate"/>
            </w:r>
            <w:r>
              <w:rPr>
                <w:noProof/>
                <w:webHidden/>
              </w:rPr>
              <w:t>53</w:t>
            </w:r>
            <w:r>
              <w:rPr>
                <w:noProof/>
                <w:webHidden/>
              </w:rPr>
              <w:fldChar w:fldCharType="end"/>
            </w:r>
          </w:hyperlink>
        </w:p>
        <w:p w14:paraId="0E3B2960" w14:textId="770EED8F" w:rsidR="00776FD9" w:rsidRDefault="00776FD9">
          <w:pPr>
            <w:pStyle w:val="TOC2"/>
            <w:tabs>
              <w:tab w:val="right" w:leader="dot" w:pos="9016"/>
            </w:tabs>
            <w:rPr>
              <w:rFonts w:eastAsiaTheme="minorEastAsia"/>
              <w:noProof/>
              <w:lang w:eastAsia="en-GB"/>
            </w:rPr>
          </w:pPr>
          <w:hyperlink w:anchor="_Toc219926305" w:history="1">
            <w:r w:rsidRPr="000676B9">
              <w:rPr>
                <w:rStyle w:val="Hyperlink"/>
                <w:rFonts w:ascii="Arial" w:hAnsi="Arial" w:cs="Arial"/>
                <w:noProof/>
              </w:rPr>
              <w:t>7.5 Operating Expenses</w:t>
            </w:r>
            <w:r>
              <w:rPr>
                <w:noProof/>
                <w:webHidden/>
              </w:rPr>
              <w:tab/>
            </w:r>
            <w:r>
              <w:rPr>
                <w:noProof/>
                <w:webHidden/>
              </w:rPr>
              <w:fldChar w:fldCharType="begin"/>
            </w:r>
            <w:r>
              <w:rPr>
                <w:noProof/>
                <w:webHidden/>
              </w:rPr>
              <w:instrText xml:space="preserve"> PAGEREF _Toc219926305 \h </w:instrText>
            </w:r>
            <w:r>
              <w:rPr>
                <w:noProof/>
                <w:webHidden/>
              </w:rPr>
            </w:r>
            <w:r>
              <w:rPr>
                <w:noProof/>
                <w:webHidden/>
              </w:rPr>
              <w:fldChar w:fldCharType="separate"/>
            </w:r>
            <w:r>
              <w:rPr>
                <w:noProof/>
                <w:webHidden/>
              </w:rPr>
              <w:t>55</w:t>
            </w:r>
            <w:r>
              <w:rPr>
                <w:noProof/>
                <w:webHidden/>
              </w:rPr>
              <w:fldChar w:fldCharType="end"/>
            </w:r>
          </w:hyperlink>
        </w:p>
        <w:p w14:paraId="0EAF0731" w14:textId="66013042" w:rsidR="00776FD9" w:rsidRDefault="00776FD9">
          <w:pPr>
            <w:pStyle w:val="TOC2"/>
            <w:tabs>
              <w:tab w:val="right" w:leader="dot" w:pos="9016"/>
            </w:tabs>
            <w:rPr>
              <w:rFonts w:eastAsiaTheme="minorEastAsia"/>
              <w:noProof/>
              <w:lang w:eastAsia="en-GB"/>
            </w:rPr>
          </w:pPr>
          <w:hyperlink w:anchor="_Toc219926306" w:history="1">
            <w:r w:rsidRPr="000676B9">
              <w:rPr>
                <w:rStyle w:val="Hyperlink"/>
                <w:rFonts w:ascii="Arial" w:hAnsi="Arial" w:cs="Arial"/>
                <w:noProof/>
              </w:rPr>
              <w:t>7.6 Revenue Forecast</w:t>
            </w:r>
            <w:r>
              <w:rPr>
                <w:noProof/>
                <w:webHidden/>
              </w:rPr>
              <w:tab/>
            </w:r>
            <w:r>
              <w:rPr>
                <w:noProof/>
                <w:webHidden/>
              </w:rPr>
              <w:fldChar w:fldCharType="begin"/>
            </w:r>
            <w:r>
              <w:rPr>
                <w:noProof/>
                <w:webHidden/>
              </w:rPr>
              <w:instrText xml:space="preserve"> PAGEREF _Toc219926306 \h </w:instrText>
            </w:r>
            <w:r>
              <w:rPr>
                <w:noProof/>
                <w:webHidden/>
              </w:rPr>
            </w:r>
            <w:r>
              <w:rPr>
                <w:noProof/>
                <w:webHidden/>
              </w:rPr>
              <w:fldChar w:fldCharType="separate"/>
            </w:r>
            <w:r>
              <w:rPr>
                <w:noProof/>
                <w:webHidden/>
              </w:rPr>
              <w:t>56</w:t>
            </w:r>
            <w:r>
              <w:rPr>
                <w:noProof/>
                <w:webHidden/>
              </w:rPr>
              <w:fldChar w:fldCharType="end"/>
            </w:r>
          </w:hyperlink>
        </w:p>
        <w:p w14:paraId="6BB3A8EE" w14:textId="1B99088E" w:rsidR="00776FD9" w:rsidRDefault="00776FD9">
          <w:pPr>
            <w:pStyle w:val="TOC2"/>
            <w:tabs>
              <w:tab w:val="right" w:leader="dot" w:pos="9016"/>
            </w:tabs>
            <w:rPr>
              <w:rFonts w:eastAsiaTheme="minorEastAsia"/>
              <w:noProof/>
              <w:lang w:eastAsia="en-GB"/>
            </w:rPr>
          </w:pPr>
          <w:hyperlink w:anchor="_Toc219926307" w:history="1">
            <w:r w:rsidRPr="000676B9">
              <w:rPr>
                <w:rStyle w:val="Hyperlink"/>
                <w:rFonts w:ascii="Arial" w:hAnsi="Arial" w:cs="Arial"/>
                <w:noProof/>
              </w:rPr>
              <w:t>7.7 Gross profit/margin analysis:</w:t>
            </w:r>
            <w:r>
              <w:rPr>
                <w:noProof/>
                <w:webHidden/>
              </w:rPr>
              <w:tab/>
            </w:r>
            <w:r>
              <w:rPr>
                <w:noProof/>
                <w:webHidden/>
              </w:rPr>
              <w:fldChar w:fldCharType="begin"/>
            </w:r>
            <w:r>
              <w:rPr>
                <w:noProof/>
                <w:webHidden/>
              </w:rPr>
              <w:instrText xml:space="preserve"> PAGEREF _Toc219926307 \h </w:instrText>
            </w:r>
            <w:r>
              <w:rPr>
                <w:noProof/>
                <w:webHidden/>
              </w:rPr>
            </w:r>
            <w:r>
              <w:rPr>
                <w:noProof/>
                <w:webHidden/>
              </w:rPr>
              <w:fldChar w:fldCharType="separate"/>
            </w:r>
            <w:r>
              <w:rPr>
                <w:noProof/>
                <w:webHidden/>
              </w:rPr>
              <w:t>57</w:t>
            </w:r>
            <w:r>
              <w:rPr>
                <w:noProof/>
                <w:webHidden/>
              </w:rPr>
              <w:fldChar w:fldCharType="end"/>
            </w:r>
          </w:hyperlink>
        </w:p>
        <w:p w14:paraId="6664B343" w14:textId="21A9F81D" w:rsidR="00776FD9" w:rsidRDefault="00776FD9">
          <w:pPr>
            <w:pStyle w:val="TOC2"/>
            <w:tabs>
              <w:tab w:val="right" w:leader="dot" w:pos="9016"/>
            </w:tabs>
            <w:rPr>
              <w:rFonts w:eastAsiaTheme="minorEastAsia"/>
              <w:noProof/>
              <w:lang w:eastAsia="en-GB"/>
            </w:rPr>
          </w:pPr>
          <w:hyperlink w:anchor="_Toc219926308" w:history="1">
            <w:r w:rsidRPr="000676B9">
              <w:rPr>
                <w:rStyle w:val="Hyperlink"/>
                <w:rFonts w:ascii="Arial" w:hAnsi="Arial" w:cs="Arial"/>
                <w:noProof/>
              </w:rPr>
              <w:t>7.8 Break-Even Analysis</w:t>
            </w:r>
            <w:r>
              <w:rPr>
                <w:noProof/>
                <w:webHidden/>
              </w:rPr>
              <w:tab/>
            </w:r>
            <w:r>
              <w:rPr>
                <w:noProof/>
                <w:webHidden/>
              </w:rPr>
              <w:fldChar w:fldCharType="begin"/>
            </w:r>
            <w:r>
              <w:rPr>
                <w:noProof/>
                <w:webHidden/>
              </w:rPr>
              <w:instrText xml:space="preserve"> PAGEREF _Toc219926308 \h </w:instrText>
            </w:r>
            <w:r>
              <w:rPr>
                <w:noProof/>
                <w:webHidden/>
              </w:rPr>
            </w:r>
            <w:r>
              <w:rPr>
                <w:noProof/>
                <w:webHidden/>
              </w:rPr>
              <w:fldChar w:fldCharType="separate"/>
            </w:r>
            <w:r>
              <w:rPr>
                <w:noProof/>
                <w:webHidden/>
              </w:rPr>
              <w:t>58</w:t>
            </w:r>
            <w:r>
              <w:rPr>
                <w:noProof/>
                <w:webHidden/>
              </w:rPr>
              <w:fldChar w:fldCharType="end"/>
            </w:r>
          </w:hyperlink>
        </w:p>
        <w:p w14:paraId="403DF478" w14:textId="6CE55DFD" w:rsidR="00776FD9" w:rsidRDefault="00776FD9">
          <w:pPr>
            <w:pStyle w:val="TOC2"/>
            <w:tabs>
              <w:tab w:val="right" w:leader="dot" w:pos="9016"/>
            </w:tabs>
            <w:rPr>
              <w:rFonts w:eastAsiaTheme="minorEastAsia"/>
              <w:noProof/>
              <w:lang w:eastAsia="en-GB"/>
            </w:rPr>
          </w:pPr>
          <w:hyperlink w:anchor="_Toc219926309" w:history="1">
            <w:r w:rsidRPr="000676B9">
              <w:rPr>
                <w:rStyle w:val="Hyperlink"/>
                <w:rFonts w:ascii="Arial" w:hAnsi="Arial" w:cs="Arial"/>
                <w:noProof/>
              </w:rPr>
              <w:t>7.9 Financial Risks</w:t>
            </w:r>
            <w:r>
              <w:rPr>
                <w:noProof/>
                <w:webHidden/>
              </w:rPr>
              <w:tab/>
            </w:r>
            <w:r>
              <w:rPr>
                <w:noProof/>
                <w:webHidden/>
              </w:rPr>
              <w:fldChar w:fldCharType="begin"/>
            </w:r>
            <w:r>
              <w:rPr>
                <w:noProof/>
                <w:webHidden/>
              </w:rPr>
              <w:instrText xml:space="preserve"> PAGEREF _Toc219926309 \h </w:instrText>
            </w:r>
            <w:r>
              <w:rPr>
                <w:noProof/>
                <w:webHidden/>
              </w:rPr>
            </w:r>
            <w:r>
              <w:rPr>
                <w:noProof/>
                <w:webHidden/>
              </w:rPr>
              <w:fldChar w:fldCharType="separate"/>
            </w:r>
            <w:r>
              <w:rPr>
                <w:noProof/>
                <w:webHidden/>
              </w:rPr>
              <w:t>60</w:t>
            </w:r>
            <w:r>
              <w:rPr>
                <w:noProof/>
                <w:webHidden/>
              </w:rPr>
              <w:fldChar w:fldCharType="end"/>
            </w:r>
          </w:hyperlink>
        </w:p>
        <w:p w14:paraId="23D88559" w14:textId="429E21A2" w:rsidR="00776FD9" w:rsidRDefault="00776FD9">
          <w:pPr>
            <w:pStyle w:val="TOC2"/>
            <w:tabs>
              <w:tab w:val="right" w:leader="dot" w:pos="9016"/>
            </w:tabs>
            <w:rPr>
              <w:rFonts w:eastAsiaTheme="minorEastAsia"/>
              <w:noProof/>
              <w:lang w:eastAsia="en-GB"/>
            </w:rPr>
          </w:pPr>
          <w:hyperlink w:anchor="_Toc219926310" w:history="1">
            <w:r w:rsidRPr="000676B9">
              <w:rPr>
                <w:rStyle w:val="Hyperlink"/>
                <w:rFonts w:ascii="Arial" w:hAnsi="Arial" w:cs="Arial"/>
                <w:noProof/>
              </w:rPr>
              <w:t>7.10 Summary</w:t>
            </w:r>
            <w:r>
              <w:rPr>
                <w:noProof/>
                <w:webHidden/>
              </w:rPr>
              <w:tab/>
            </w:r>
            <w:r>
              <w:rPr>
                <w:noProof/>
                <w:webHidden/>
              </w:rPr>
              <w:fldChar w:fldCharType="begin"/>
            </w:r>
            <w:r>
              <w:rPr>
                <w:noProof/>
                <w:webHidden/>
              </w:rPr>
              <w:instrText xml:space="preserve"> PAGEREF _Toc219926310 \h </w:instrText>
            </w:r>
            <w:r>
              <w:rPr>
                <w:noProof/>
                <w:webHidden/>
              </w:rPr>
            </w:r>
            <w:r>
              <w:rPr>
                <w:noProof/>
                <w:webHidden/>
              </w:rPr>
              <w:fldChar w:fldCharType="separate"/>
            </w:r>
            <w:r>
              <w:rPr>
                <w:noProof/>
                <w:webHidden/>
              </w:rPr>
              <w:t>61</w:t>
            </w:r>
            <w:r>
              <w:rPr>
                <w:noProof/>
                <w:webHidden/>
              </w:rPr>
              <w:fldChar w:fldCharType="end"/>
            </w:r>
          </w:hyperlink>
        </w:p>
        <w:p w14:paraId="4480746F" w14:textId="23C9996B" w:rsidR="00776FD9" w:rsidRDefault="00776FD9">
          <w:pPr>
            <w:pStyle w:val="TOC1"/>
            <w:tabs>
              <w:tab w:val="right" w:leader="dot" w:pos="9016"/>
            </w:tabs>
            <w:rPr>
              <w:rFonts w:eastAsiaTheme="minorEastAsia"/>
              <w:noProof/>
              <w:lang w:eastAsia="en-GB"/>
            </w:rPr>
          </w:pPr>
          <w:hyperlink w:anchor="_Toc219926311" w:history="1">
            <w:r w:rsidRPr="000676B9">
              <w:rPr>
                <w:rStyle w:val="Hyperlink"/>
                <w:rFonts w:ascii="Arial" w:hAnsi="Arial" w:cs="Arial"/>
                <w:noProof/>
              </w:rPr>
              <w:t>Chapter 8: Risk Analysis and Mitigation</w:t>
            </w:r>
            <w:r>
              <w:rPr>
                <w:noProof/>
                <w:webHidden/>
              </w:rPr>
              <w:tab/>
            </w:r>
            <w:r>
              <w:rPr>
                <w:noProof/>
                <w:webHidden/>
              </w:rPr>
              <w:fldChar w:fldCharType="begin"/>
            </w:r>
            <w:r>
              <w:rPr>
                <w:noProof/>
                <w:webHidden/>
              </w:rPr>
              <w:instrText xml:space="preserve"> PAGEREF _Toc219926311 \h </w:instrText>
            </w:r>
            <w:r>
              <w:rPr>
                <w:noProof/>
                <w:webHidden/>
              </w:rPr>
            </w:r>
            <w:r>
              <w:rPr>
                <w:noProof/>
                <w:webHidden/>
              </w:rPr>
              <w:fldChar w:fldCharType="separate"/>
            </w:r>
            <w:r>
              <w:rPr>
                <w:noProof/>
                <w:webHidden/>
              </w:rPr>
              <w:t>62</w:t>
            </w:r>
            <w:r>
              <w:rPr>
                <w:noProof/>
                <w:webHidden/>
              </w:rPr>
              <w:fldChar w:fldCharType="end"/>
            </w:r>
          </w:hyperlink>
        </w:p>
        <w:p w14:paraId="0EFF9CA5" w14:textId="505CE1BC" w:rsidR="00776FD9" w:rsidRDefault="00776FD9">
          <w:pPr>
            <w:pStyle w:val="TOC2"/>
            <w:tabs>
              <w:tab w:val="right" w:leader="dot" w:pos="9016"/>
            </w:tabs>
            <w:rPr>
              <w:rFonts w:eastAsiaTheme="minorEastAsia"/>
              <w:noProof/>
              <w:lang w:eastAsia="en-GB"/>
            </w:rPr>
          </w:pPr>
          <w:hyperlink w:anchor="_Toc219926312" w:history="1">
            <w:r w:rsidRPr="000676B9">
              <w:rPr>
                <w:rStyle w:val="Hyperlink"/>
                <w:rFonts w:ascii="Arial" w:hAnsi="Arial" w:cs="Arial"/>
                <w:noProof/>
              </w:rPr>
              <w:t>8.1 Introduction</w:t>
            </w:r>
            <w:r>
              <w:rPr>
                <w:noProof/>
                <w:webHidden/>
              </w:rPr>
              <w:tab/>
            </w:r>
            <w:r>
              <w:rPr>
                <w:noProof/>
                <w:webHidden/>
              </w:rPr>
              <w:fldChar w:fldCharType="begin"/>
            </w:r>
            <w:r>
              <w:rPr>
                <w:noProof/>
                <w:webHidden/>
              </w:rPr>
              <w:instrText xml:space="preserve"> PAGEREF _Toc219926312 \h </w:instrText>
            </w:r>
            <w:r>
              <w:rPr>
                <w:noProof/>
                <w:webHidden/>
              </w:rPr>
            </w:r>
            <w:r>
              <w:rPr>
                <w:noProof/>
                <w:webHidden/>
              </w:rPr>
              <w:fldChar w:fldCharType="separate"/>
            </w:r>
            <w:r>
              <w:rPr>
                <w:noProof/>
                <w:webHidden/>
              </w:rPr>
              <w:t>62</w:t>
            </w:r>
            <w:r>
              <w:rPr>
                <w:noProof/>
                <w:webHidden/>
              </w:rPr>
              <w:fldChar w:fldCharType="end"/>
            </w:r>
          </w:hyperlink>
        </w:p>
        <w:p w14:paraId="7F292301" w14:textId="19CD088E" w:rsidR="00776FD9" w:rsidRDefault="00776FD9">
          <w:pPr>
            <w:pStyle w:val="TOC2"/>
            <w:tabs>
              <w:tab w:val="right" w:leader="dot" w:pos="9016"/>
            </w:tabs>
            <w:rPr>
              <w:rFonts w:eastAsiaTheme="minorEastAsia"/>
              <w:noProof/>
              <w:lang w:eastAsia="en-GB"/>
            </w:rPr>
          </w:pPr>
          <w:hyperlink w:anchor="_Toc219926313" w:history="1">
            <w:r w:rsidRPr="000676B9">
              <w:rPr>
                <w:rStyle w:val="Hyperlink"/>
                <w:rFonts w:ascii="Arial" w:hAnsi="Arial" w:cs="Arial"/>
                <w:noProof/>
              </w:rPr>
              <w:t>8.2 Regulatory and Compliance Risk</w:t>
            </w:r>
            <w:r>
              <w:rPr>
                <w:noProof/>
                <w:webHidden/>
              </w:rPr>
              <w:tab/>
            </w:r>
            <w:r>
              <w:rPr>
                <w:noProof/>
                <w:webHidden/>
              </w:rPr>
              <w:fldChar w:fldCharType="begin"/>
            </w:r>
            <w:r>
              <w:rPr>
                <w:noProof/>
                <w:webHidden/>
              </w:rPr>
              <w:instrText xml:space="preserve"> PAGEREF _Toc219926313 \h </w:instrText>
            </w:r>
            <w:r>
              <w:rPr>
                <w:noProof/>
                <w:webHidden/>
              </w:rPr>
            </w:r>
            <w:r>
              <w:rPr>
                <w:noProof/>
                <w:webHidden/>
              </w:rPr>
              <w:fldChar w:fldCharType="separate"/>
            </w:r>
            <w:r>
              <w:rPr>
                <w:noProof/>
                <w:webHidden/>
              </w:rPr>
              <w:t>62</w:t>
            </w:r>
            <w:r>
              <w:rPr>
                <w:noProof/>
                <w:webHidden/>
              </w:rPr>
              <w:fldChar w:fldCharType="end"/>
            </w:r>
          </w:hyperlink>
        </w:p>
        <w:p w14:paraId="6830DEFD" w14:textId="1A4A9176" w:rsidR="00776FD9" w:rsidRDefault="00776FD9">
          <w:pPr>
            <w:pStyle w:val="TOC2"/>
            <w:tabs>
              <w:tab w:val="right" w:leader="dot" w:pos="9016"/>
            </w:tabs>
            <w:rPr>
              <w:rFonts w:eastAsiaTheme="minorEastAsia"/>
              <w:noProof/>
              <w:lang w:eastAsia="en-GB"/>
            </w:rPr>
          </w:pPr>
          <w:hyperlink w:anchor="_Toc219926314" w:history="1">
            <w:r w:rsidRPr="000676B9">
              <w:rPr>
                <w:rStyle w:val="Hyperlink"/>
                <w:rFonts w:ascii="Arial" w:hAnsi="Arial" w:cs="Arial"/>
                <w:noProof/>
              </w:rPr>
              <w:t>8.3 Market and Competitive Risk</w:t>
            </w:r>
            <w:r>
              <w:rPr>
                <w:noProof/>
                <w:webHidden/>
              </w:rPr>
              <w:tab/>
            </w:r>
            <w:r>
              <w:rPr>
                <w:noProof/>
                <w:webHidden/>
              </w:rPr>
              <w:fldChar w:fldCharType="begin"/>
            </w:r>
            <w:r>
              <w:rPr>
                <w:noProof/>
                <w:webHidden/>
              </w:rPr>
              <w:instrText xml:space="preserve"> PAGEREF _Toc219926314 \h </w:instrText>
            </w:r>
            <w:r>
              <w:rPr>
                <w:noProof/>
                <w:webHidden/>
              </w:rPr>
            </w:r>
            <w:r>
              <w:rPr>
                <w:noProof/>
                <w:webHidden/>
              </w:rPr>
              <w:fldChar w:fldCharType="separate"/>
            </w:r>
            <w:r>
              <w:rPr>
                <w:noProof/>
                <w:webHidden/>
              </w:rPr>
              <w:t>63</w:t>
            </w:r>
            <w:r>
              <w:rPr>
                <w:noProof/>
                <w:webHidden/>
              </w:rPr>
              <w:fldChar w:fldCharType="end"/>
            </w:r>
          </w:hyperlink>
        </w:p>
        <w:p w14:paraId="35E7730B" w14:textId="5AEBF63F" w:rsidR="00776FD9" w:rsidRDefault="00776FD9">
          <w:pPr>
            <w:pStyle w:val="TOC2"/>
            <w:tabs>
              <w:tab w:val="right" w:leader="dot" w:pos="9016"/>
            </w:tabs>
            <w:rPr>
              <w:rFonts w:eastAsiaTheme="minorEastAsia"/>
              <w:noProof/>
              <w:lang w:eastAsia="en-GB"/>
            </w:rPr>
          </w:pPr>
          <w:hyperlink w:anchor="_Toc219926315" w:history="1">
            <w:r w:rsidRPr="000676B9">
              <w:rPr>
                <w:rStyle w:val="Hyperlink"/>
                <w:rFonts w:ascii="Arial" w:hAnsi="Arial" w:cs="Arial"/>
                <w:noProof/>
              </w:rPr>
              <w:t>8.4 Operational Risk</w:t>
            </w:r>
            <w:r>
              <w:rPr>
                <w:noProof/>
                <w:webHidden/>
              </w:rPr>
              <w:tab/>
            </w:r>
            <w:r>
              <w:rPr>
                <w:noProof/>
                <w:webHidden/>
              </w:rPr>
              <w:fldChar w:fldCharType="begin"/>
            </w:r>
            <w:r>
              <w:rPr>
                <w:noProof/>
                <w:webHidden/>
              </w:rPr>
              <w:instrText xml:space="preserve"> PAGEREF _Toc219926315 \h </w:instrText>
            </w:r>
            <w:r>
              <w:rPr>
                <w:noProof/>
                <w:webHidden/>
              </w:rPr>
            </w:r>
            <w:r>
              <w:rPr>
                <w:noProof/>
                <w:webHidden/>
              </w:rPr>
              <w:fldChar w:fldCharType="separate"/>
            </w:r>
            <w:r>
              <w:rPr>
                <w:noProof/>
                <w:webHidden/>
              </w:rPr>
              <w:t>63</w:t>
            </w:r>
            <w:r>
              <w:rPr>
                <w:noProof/>
                <w:webHidden/>
              </w:rPr>
              <w:fldChar w:fldCharType="end"/>
            </w:r>
          </w:hyperlink>
        </w:p>
        <w:p w14:paraId="0B352C64" w14:textId="6766E7F8" w:rsidR="00776FD9" w:rsidRDefault="00776FD9">
          <w:pPr>
            <w:pStyle w:val="TOC2"/>
            <w:tabs>
              <w:tab w:val="right" w:leader="dot" w:pos="9016"/>
            </w:tabs>
            <w:rPr>
              <w:rFonts w:eastAsiaTheme="minorEastAsia"/>
              <w:noProof/>
              <w:lang w:eastAsia="en-GB"/>
            </w:rPr>
          </w:pPr>
          <w:hyperlink w:anchor="_Toc219926316" w:history="1">
            <w:r w:rsidRPr="000676B9">
              <w:rPr>
                <w:rStyle w:val="Hyperlink"/>
                <w:rFonts w:ascii="Arial" w:hAnsi="Arial" w:cs="Arial"/>
                <w:noProof/>
              </w:rPr>
              <w:t>8.5 Financial Risk</w:t>
            </w:r>
            <w:r>
              <w:rPr>
                <w:noProof/>
                <w:webHidden/>
              </w:rPr>
              <w:tab/>
            </w:r>
            <w:r>
              <w:rPr>
                <w:noProof/>
                <w:webHidden/>
              </w:rPr>
              <w:fldChar w:fldCharType="begin"/>
            </w:r>
            <w:r>
              <w:rPr>
                <w:noProof/>
                <w:webHidden/>
              </w:rPr>
              <w:instrText xml:space="preserve"> PAGEREF _Toc219926316 \h </w:instrText>
            </w:r>
            <w:r>
              <w:rPr>
                <w:noProof/>
                <w:webHidden/>
              </w:rPr>
            </w:r>
            <w:r>
              <w:rPr>
                <w:noProof/>
                <w:webHidden/>
              </w:rPr>
              <w:fldChar w:fldCharType="separate"/>
            </w:r>
            <w:r>
              <w:rPr>
                <w:noProof/>
                <w:webHidden/>
              </w:rPr>
              <w:t>64</w:t>
            </w:r>
            <w:r>
              <w:rPr>
                <w:noProof/>
                <w:webHidden/>
              </w:rPr>
              <w:fldChar w:fldCharType="end"/>
            </w:r>
          </w:hyperlink>
        </w:p>
        <w:p w14:paraId="11F49F12" w14:textId="6A7D347C" w:rsidR="00776FD9" w:rsidRDefault="00776FD9">
          <w:pPr>
            <w:pStyle w:val="TOC2"/>
            <w:tabs>
              <w:tab w:val="right" w:leader="dot" w:pos="9016"/>
            </w:tabs>
            <w:rPr>
              <w:rFonts w:eastAsiaTheme="minorEastAsia"/>
              <w:noProof/>
              <w:lang w:eastAsia="en-GB"/>
            </w:rPr>
          </w:pPr>
          <w:hyperlink w:anchor="_Toc219926317" w:history="1">
            <w:r w:rsidRPr="000676B9">
              <w:rPr>
                <w:rStyle w:val="Hyperlink"/>
                <w:rFonts w:ascii="Arial" w:hAnsi="Arial" w:cs="Arial"/>
                <w:noProof/>
              </w:rPr>
              <w:t>8.6 Human Resource Risk</w:t>
            </w:r>
            <w:r>
              <w:rPr>
                <w:noProof/>
                <w:webHidden/>
              </w:rPr>
              <w:tab/>
            </w:r>
            <w:r>
              <w:rPr>
                <w:noProof/>
                <w:webHidden/>
              </w:rPr>
              <w:fldChar w:fldCharType="begin"/>
            </w:r>
            <w:r>
              <w:rPr>
                <w:noProof/>
                <w:webHidden/>
              </w:rPr>
              <w:instrText xml:space="preserve"> PAGEREF _Toc219926317 \h </w:instrText>
            </w:r>
            <w:r>
              <w:rPr>
                <w:noProof/>
                <w:webHidden/>
              </w:rPr>
            </w:r>
            <w:r>
              <w:rPr>
                <w:noProof/>
                <w:webHidden/>
              </w:rPr>
              <w:fldChar w:fldCharType="separate"/>
            </w:r>
            <w:r>
              <w:rPr>
                <w:noProof/>
                <w:webHidden/>
              </w:rPr>
              <w:t>64</w:t>
            </w:r>
            <w:r>
              <w:rPr>
                <w:noProof/>
                <w:webHidden/>
              </w:rPr>
              <w:fldChar w:fldCharType="end"/>
            </w:r>
          </w:hyperlink>
        </w:p>
        <w:p w14:paraId="7087257E" w14:textId="7B6B346C" w:rsidR="00776FD9" w:rsidRDefault="00776FD9">
          <w:pPr>
            <w:pStyle w:val="TOC2"/>
            <w:tabs>
              <w:tab w:val="right" w:leader="dot" w:pos="9016"/>
            </w:tabs>
            <w:rPr>
              <w:rFonts w:eastAsiaTheme="minorEastAsia"/>
              <w:noProof/>
              <w:lang w:eastAsia="en-GB"/>
            </w:rPr>
          </w:pPr>
          <w:hyperlink w:anchor="_Toc219926318" w:history="1">
            <w:r w:rsidRPr="000676B9">
              <w:rPr>
                <w:rStyle w:val="Hyperlink"/>
                <w:rFonts w:ascii="Arial" w:hAnsi="Arial" w:cs="Arial"/>
                <w:noProof/>
              </w:rPr>
              <w:t>8.7 Strategic and Reputational Risk</w:t>
            </w:r>
            <w:r>
              <w:rPr>
                <w:noProof/>
                <w:webHidden/>
              </w:rPr>
              <w:tab/>
            </w:r>
            <w:r>
              <w:rPr>
                <w:noProof/>
                <w:webHidden/>
              </w:rPr>
              <w:fldChar w:fldCharType="begin"/>
            </w:r>
            <w:r>
              <w:rPr>
                <w:noProof/>
                <w:webHidden/>
              </w:rPr>
              <w:instrText xml:space="preserve"> PAGEREF _Toc219926318 \h </w:instrText>
            </w:r>
            <w:r>
              <w:rPr>
                <w:noProof/>
                <w:webHidden/>
              </w:rPr>
            </w:r>
            <w:r>
              <w:rPr>
                <w:noProof/>
                <w:webHidden/>
              </w:rPr>
              <w:fldChar w:fldCharType="separate"/>
            </w:r>
            <w:r>
              <w:rPr>
                <w:noProof/>
                <w:webHidden/>
              </w:rPr>
              <w:t>65</w:t>
            </w:r>
            <w:r>
              <w:rPr>
                <w:noProof/>
                <w:webHidden/>
              </w:rPr>
              <w:fldChar w:fldCharType="end"/>
            </w:r>
          </w:hyperlink>
        </w:p>
        <w:p w14:paraId="0BB63635" w14:textId="206A16A5" w:rsidR="00776FD9" w:rsidRDefault="00776FD9">
          <w:pPr>
            <w:pStyle w:val="TOC2"/>
            <w:tabs>
              <w:tab w:val="right" w:leader="dot" w:pos="9016"/>
            </w:tabs>
            <w:rPr>
              <w:rFonts w:eastAsiaTheme="minorEastAsia"/>
              <w:noProof/>
              <w:lang w:eastAsia="en-GB"/>
            </w:rPr>
          </w:pPr>
          <w:hyperlink w:anchor="_Toc219926319" w:history="1">
            <w:r w:rsidRPr="000676B9">
              <w:rPr>
                <w:rStyle w:val="Hyperlink"/>
                <w:rFonts w:ascii="Arial" w:hAnsi="Arial" w:cs="Arial"/>
                <w:noProof/>
              </w:rPr>
              <w:t>8.8 Summary</w:t>
            </w:r>
            <w:r>
              <w:rPr>
                <w:noProof/>
                <w:webHidden/>
              </w:rPr>
              <w:tab/>
            </w:r>
            <w:r>
              <w:rPr>
                <w:noProof/>
                <w:webHidden/>
              </w:rPr>
              <w:fldChar w:fldCharType="begin"/>
            </w:r>
            <w:r>
              <w:rPr>
                <w:noProof/>
                <w:webHidden/>
              </w:rPr>
              <w:instrText xml:space="preserve"> PAGEREF _Toc219926319 \h </w:instrText>
            </w:r>
            <w:r>
              <w:rPr>
                <w:noProof/>
                <w:webHidden/>
              </w:rPr>
            </w:r>
            <w:r>
              <w:rPr>
                <w:noProof/>
                <w:webHidden/>
              </w:rPr>
              <w:fldChar w:fldCharType="separate"/>
            </w:r>
            <w:r>
              <w:rPr>
                <w:noProof/>
                <w:webHidden/>
              </w:rPr>
              <w:t>65</w:t>
            </w:r>
            <w:r>
              <w:rPr>
                <w:noProof/>
                <w:webHidden/>
              </w:rPr>
              <w:fldChar w:fldCharType="end"/>
            </w:r>
          </w:hyperlink>
        </w:p>
        <w:p w14:paraId="684A443A" w14:textId="39F3256D" w:rsidR="00776FD9" w:rsidRDefault="00776FD9">
          <w:pPr>
            <w:pStyle w:val="TOC1"/>
            <w:tabs>
              <w:tab w:val="right" w:leader="dot" w:pos="9016"/>
            </w:tabs>
            <w:rPr>
              <w:rFonts w:eastAsiaTheme="minorEastAsia"/>
              <w:noProof/>
              <w:lang w:eastAsia="en-GB"/>
            </w:rPr>
          </w:pPr>
          <w:hyperlink w:anchor="_Toc219926320" w:history="1">
            <w:r w:rsidRPr="000676B9">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_Toc219926320 \h </w:instrText>
            </w:r>
            <w:r>
              <w:rPr>
                <w:noProof/>
                <w:webHidden/>
              </w:rPr>
            </w:r>
            <w:r>
              <w:rPr>
                <w:noProof/>
                <w:webHidden/>
              </w:rPr>
              <w:fldChar w:fldCharType="separate"/>
            </w:r>
            <w:r>
              <w:rPr>
                <w:noProof/>
                <w:webHidden/>
              </w:rPr>
              <w:t>66</w:t>
            </w:r>
            <w:r>
              <w:rPr>
                <w:noProof/>
                <w:webHidden/>
              </w:rPr>
              <w:fldChar w:fldCharType="end"/>
            </w:r>
          </w:hyperlink>
        </w:p>
        <w:p w14:paraId="04284F06" w14:textId="652D2E67" w:rsidR="00776FD9" w:rsidRDefault="00776FD9">
          <w:pPr>
            <w:pStyle w:val="TOC1"/>
            <w:tabs>
              <w:tab w:val="right" w:leader="dot" w:pos="9016"/>
            </w:tabs>
            <w:rPr>
              <w:rFonts w:eastAsiaTheme="minorEastAsia"/>
              <w:noProof/>
              <w:lang w:eastAsia="en-GB"/>
            </w:rPr>
          </w:pPr>
          <w:hyperlink w:anchor="_Toc219926321" w:history="1">
            <w:r w:rsidRPr="000676B9">
              <w:rPr>
                <w:rStyle w:val="Hyperlink"/>
                <w:rFonts w:ascii="Arial" w:eastAsia="Times New Roman" w:hAnsi="Arial" w:cs="Arial"/>
                <w:noProof/>
                <w:lang w:eastAsia="en-GB"/>
              </w:rPr>
              <w:t>Appendices</w:t>
            </w:r>
            <w:r>
              <w:rPr>
                <w:noProof/>
                <w:webHidden/>
              </w:rPr>
              <w:tab/>
            </w:r>
            <w:r>
              <w:rPr>
                <w:noProof/>
                <w:webHidden/>
              </w:rPr>
              <w:fldChar w:fldCharType="begin"/>
            </w:r>
            <w:r>
              <w:rPr>
                <w:noProof/>
                <w:webHidden/>
              </w:rPr>
              <w:instrText xml:space="preserve"> PAGEREF _Toc219926321 \h </w:instrText>
            </w:r>
            <w:r>
              <w:rPr>
                <w:noProof/>
                <w:webHidden/>
              </w:rPr>
            </w:r>
            <w:r>
              <w:rPr>
                <w:noProof/>
                <w:webHidden/>
              </w:rPr>
              <w:fldChar w:fldCharType="separate"/>
            </w:r>
            <w:r>
              <w:rPr>
                <w:noProof/>
                <w:webHidden/>
              </w:rPr>
              <w:t>67</w:t>
            </w:r>
            <w:r>
              <w:rPr>
                <w:noProof/>
                <w:webHidden/>
              </w:rPr>
              <w:fldChar w:fldCharType="end"/>
            </w:r>
          </w:hyperlink>
        </w:p>
        <w:p w14:paraId="196C4684" w14:textId="484E4E5C" w:rsidR="00776FD9" w:rsidRDefault="00776FD9">
          <w:pPr>
            <w:pStyle w:val="TOC2"/>
            <w:tabs>
              <w:tab w:val="right" w:leader="dot" w:pos="9016"/>
            </w:tabs>
            <w:rPr>
              <w:rFonts w:eastAsiaTheme="minorEastAsia"/>
              <w:noProof/>
              <w:lang w:eastAsia="en-GB"/>
            </w:rPr>
          </w:pPr>
          <w:hyperlink w:anchor="_Toc219926322" w:history="1">
            <w:r w:rsidRPr="000676B9">
              <w:rPr>
                <w:rStyle w:val="Hyperlink"/>
                <w:rFonts w:ascii="Arial" w:hAnsi="Arial" w:cs="Arial"/>
                <w:noProof/>
              </w:rPr>
              <w:t>Appendix A1: Creating Flowcharts for Beginners (LinkedIn Learning)</w:t>
            </w:r>
            <w:r>
              <w:rPr>
                <w:noProof/>
                <w:webHidden/>
              </w:rPr>
              <w:tab/>
            </w:r>
            <w:r>
              <w:rPr>
                <w:noProof/>
                <w:webHidden/>
              </w:rPr>
              <w:fldChar w:fldCharType="begin"/>
            </w:r>
            <w:r>
              <w:rPr>
                <w:noProof/>
                <w:webHidden/>
              </w:rPr>
              <w:instrText xml:space="preserve"> PAGEREF _Toc219926322 \h </w:instrText>
            </w:r>
            <w:r>
              <w:rPr>
                <w:noProof/>
                <w:webHidden/>
              </w:rPr>
            </w:r>
            <w:r>
              <w:rPr>
                <w:noProof/>
                <w:webHidden/>
              </w:rPr>
              <w:fldChar w:fldCharType="separate"/>
            </w:r>
            <w:r>
              <w:rPr>
                <w:noProof/>
                <w:webHidden/>
              </w:rPr>
              <w:t>67</w:t>
            </w:r>
            <w:r>
              <w:rPr>
                <w:noProof/>
                <w:webHidden/>
              </w:rPr>
              <w:fldChar w:fldCharType="end"/>
            </w:r>
          </w:hyperlink>
        </w:p>
        <w:p w14:paraId="69D9E54E" w14:textId="2E3B3A32" w:rsidR="00776FD9" w:rsidRDefault="00776FD9">
          <w:pPr>
            <w:pStyle w:val="TOC2"/>
            <w:tabs>
              <w:tab w:val="right" w:leader="dot" w:pos="9016"/>
            </w:tabs>
            <w:rPr>
              <w:rFonts w:eastAsiaTheme="minorEastAsia"/>
              <w:noProof/>
              <w:lang w:eastAsia="en-GB"/>
            </w:rPr>
          </w:pPr>
          <w:hyperlink w:anchor="_Toc219926323" w:history="1">
            <w:r w:rsidRPr="000676B9">
              <w:rPr>
                <w:rStyle w:val="Hyperlink"/>
                <w:rFonts w:ascii="Arial" w:eastAsia="Times New Roman" w:hAnsi="Arial" w:cs="Arial"/>
                <w:noProof/>
                <w:lang w:eastAsia="en-GB"/>
              </w:rPr>
              <w:t>Appendix A2: Writing Like the Greatest Masters of Persuasion (LinkedIn Learning)</w:t>
            </w:r>
            <w:r>
              <w:rPr>
                <w:noProof/>
                <w:webHidden/>
              </w:rPr>
              <w:tab/>
            </w:r>
            <w:r>
              <w:rPr>
                <w:noProof/>
                <w:webHidden/>
              </w:rPr>
              <w:fldChar w:fldCharType="begin"/>
            </w:r>
            <w:r>
              <w:rPr>
                <w:noProof/>
                <w:webHidden/>
              </w:rPr>
              <w:instrText xml:space="preserve"> PAGEREF _Toc219926323 \h </w:instrText>
            </w:r>
            <w:r>
              <w:rPr>
                <w:noProof/>
                <w:webHidden/>
              </w:rPr>
            </w:r>
            <w:r>
              <w:rPr>
                <w:noProof/>
                <w:webHidden/>
              </w:rPr>
              <w:fldChar w:fldCharType="separate"/>
            </w:r>
            <w:r>
              <w:rPr>
                <w:noProof/>
                <w:webHidden/>
              </w:rPr>
              <w:t>68</w:t>
            </w:r>
            <w:r>
              <w:rPr>
                <w:noProof/>
                <w:webHidden/>
              </w:rPr>
              <w:fldChar w:fldCharType="end"/>
            </w:r>
          </w:hyperlink>
        </w:p>
        <w:p w14:paraId="673ED9BE" w14:textId="40A01362" w:rsidR="00776FD9" w:rsidRDefault="00776FD9">
          <w:pPr>
            <w:pStyle w:val="TOC2"/>
            <w:tabs>
              <w:tab w:val="right" w:leader="dot" w:pos="9016"/>
            </w:tabs>
            <w:rPr>
              <w:rFonts w:eastAsiaTheme="minorEastAsia"/>
              <w:noProof/>
              <w:lang w:eastAsia="en-GB"/>
            </w:rPr>
          </w:pPr>
          <w:hyperlink w:anchor="_Toc219926324" w:history="1">
            <w:r w:rsidRPr="000676B9">
              <w:rPr>
                <w:rStyle w:val="Hyperlink"/>
                <w:rFonts w:ascii="Arial" w:eastAsia="Times New Roman" w:hAnsi="Arial" w:cs="Arial"/>
                <w:noProof/>
                <w:lang w:eastAsia="en-GB"/>
              </w:rPr>
              <w:t>Appendix A3: Independent Learning Resource – Break-Even Analysis</w:t>
            </w:r>
            <w:r>
              <w:rPr>
                <w:noProof/>
                <w:webHidden/>
              </w:rPr>
              <w:tab/>
            </w:r>
            <w:r>
              <w:rPr>
                <w:noProof/>
                <w:webHidden/>
              </w:rPr>
              <w:fldChar w:fldCharType="begin"/>
            </w:r>
            <w:r>
              <w:rPr>
                <w:noProof/>
                <w:webHidden/>
              </w:rPr>
              <w:instrText xml:space="preserve"> PAGEREF _Toc219926324 \h </w:instrText>
            </w:r>
            <w:r>
              <w:rPr>
                <w:noProof/>
                <w:webHidden/>
              </w:rPr>
            </w:r>
            <w:r>
              <w:rPr>
                <w:noProof/>
                <w:webHidden/>
              </w:rPr>
              <w:fldChar w:fldCharType="separate"/>
            </w:r>
            <w:r>
              <w:rPr>
                <w:noProof/>
                <w:webHidden/>
              </w:rPr>
              <w:t>69</w:t>
            </w:r>
            <w:r>
              <w:rPr>
                <w:noProof/>
                <w:webHidden/>
              </w:rPr>
              <w:fldChar w:fldCharType="end"/>
            </w:r>
          </w:hyperlink>
        </w:p>
        <w:p w14:paraId="71344A40" w14:textId="2369ADE1" w:rsidR="00776FD9" w:rsidRDefault="00776FD9">
          <w:pPr>
            <w:pStyle w:val="TOC1"/>
            <w:tabs>
              <w:tab w:val="right" w:leader="dot" w:pos="9016"/>
            </w:tabs>
            <w:rPr>
              <w:rFonts w:eastAsiaTheme="minorEastAsia"/>
              <w:noProof/>
              <w:lang w:eastAsia="en-GB"/>
            </w:rPr>
          </w:pPr>
          <w:hyperlink w:anchor="_Toc219926325" w:history="1">
            <w:r w:rsidRPr="000676B9">
              <w:rPr>
                <w:rStyle w:val="Hyperlink"/>
                <w:rFonts w:ascii="Arial" w:hAnsi="Arial" w:cs="Arial"/>
                <w:noProof/>
              </w:rPr>
              <w:t>Appendix B: Financial Projections and Cash Flow Model</w:t>
            </w:r>
            <w:r>
              <w:rPr>
                <w:noProof/>
                <w:webHidden/>
              </w:rPr>
              <w:tab/>
            </w:r>
            <w:r>
              <w:rPr>
                <w:noProof/>
                <w:webHidden/>
              </w:rPr>
              <w:fldChar w:fldCharType="begin"/>
            </w:r>
            <w:r>
              <w:rPr>
                <w:noProof/>
                <w:webHidden/>
              </w:rPr>
              <w:instrText xml:space="preserve"> PAGEREF _Toc219926325 \h </w:instrText>
            </w:r>
            <w:r>
              <w:rPr>
                <w:noProof/>
                <w:webHidden/>
              </w:rPr>
            </w:r>
            <w:r>
              <w:rPr>
                <w:noProof/>
                <w:webHidden/>
              </w:rPr>
              <w:fldChar w:fldCharType="separate"/>
            </w:r>
            <w:r>
              <w:rPr>
                <w:noProof/>
                <w:webHidden/>
              </w:rPr>
              <w:t>71</w:t>
            </w:r>
            <w:r>
              <w:rPr>
                <w:noProof/>
                <w:webHidden/>
              </w:rPr>
              <w:fldChar w:fldCharType="end"/>
            </w:r>
          </w:hyperlink>
        </w:p>
        <w:p w14:paraId="7E117F98" w14:textId="481D9A45" w:rsidR="00776FD9" w:rsidRDefault="00776FD9">
          <w:pPr>
            <w:pStyle w:val="TOC2"/>
            <w:tabs>
              <w:tab w:val="right" w:leader="dot" w:pos="9016"/>
            </w:tabs>
            <w:rPr>
              <w:rFonts w:eastAsiaTheme="minorEastAsia"/>
              <w:noProof/>
              <w:lang w:eastAsia="en-GB"/>
            </w:rPr>
          </w:pPr>
          <w:hyperlink w:anchor="_Toc219926326" w:history="1">
            <w:r w:rsidRPr="000676B9">
              <w:rPr>
                <w:rStyle w:val="Hyperlink"/>
                <w:rFonts w:ascii="Arial" w:eastAsia="Times New Roman" w:hAnsi="Arial" w:cs="Arial"/>
                <w:noProof/>
                <w:lang w:eastAsia="en-GB"/>
              </w:rPr>
              <w:t>Appendix B1: Monthly Cash Flow Forecast (Year 1)</w:t>
            </w:r>
            <w:r>
              <w:rPr>
                <w:noProof/>
                <w:webHidden/>
              </w:rPr>
              <w:tab/>
            </w:r>
            <w:r>
              <w:rPr>
                <w:noProof/>
                <w:webHidden/>
              </w:rPr>
              <w:fldChar w:fldCharType="begin"/>
            </w:r>
            <w:r>
              <w:rPr>
                <w:noProof/>
                <w:webHidden/>
              </w:rPr>
              <w:instrText xml:space="preserve"> PAGEREF _Toc219926326 \h </w:instrText>
            </w:r>
            <w:r>
              <w:rPr>
                <w:noProof/>
                <w:webHidden/>
              </w:rPr>
            </w:r>
            <w:r>
              <w:rPr>
                <w:noProof/>
                <w:webHidden/>
              </w:rPr>
              <w:fldChar w:fldCharType="separate"/>
            </w:r>
            <w:r>
              <w:rPr>
                <w:noProof/>
                <w:webHidden/>
              </w:rPr>
              <w:t>71</w:t>
            </w:r>
            <w:r>
              <w:rPr>
                <w:noProof/>
                <w:webHidden/>
              </w:rPr>
              <w:fldChar w:fldCharType="end"/>
            </w:r>
          </w:hyperlink>
        </w:p>
        <w:p w14:paraId="0058DE49" w14:textId="4172C98F" w:rsidR="00776FD9" w:rsidRDefault="00776FD9">
          <w:pPr>
            <w:pStyle w:val="TOC2"/>
            <w:tabs>
              <w:tab w:val="right" w:leader="dot" w:pos="9016"/>
            </w:tabs>
            <w:rPr>
              <w:rFonts w:eastAsiaTheme="minorEastAsia"/>
              <w:noProof/>
              <w:lang w:eastAsia="en-GB"/>
            </w:rPr>
          </w:pPr>
          <w:hyperlink w:anchor="_Toc219926327" w:history="1">
            <w:r w:rsidRPr="000676B9">
              <w:rPr>
                <w:rStyle w:val="Hyperlink"/>
                <w:rFonts w:ascii="Arial" w:eastAsia="Times New Roman" w:hAnsi="Arial" w:cs="Arial"/>
                <w:noProof/>
                <w:lang w:eastAsia="en-GB"/>
              </w:rPr>
              <w:t>Appendix B2: Revenue Breakdown by Product Type</w:t>
            </w:r>
            <w:r>
              <w:rPr>
                <w:noProof/>
                <w:webHidden/>
              </w:rPr>
              <w:tab/>
            </w:r>
            <w:r>
              <w:rPr>
                <w:noProof/>
                <w:webHidden/>
              </w:rPr>
              <w:fldChar w:fldCharType="begin"/>
            </w:r>
            <w:r>
              <w:rPr>
                <w:noProof/>
                <w:webHidden/>
              </w:rPr>
              <w:instrText xml:space="preserve"> PAGEREF _Toc219926327 \h </w:instrText>
            </w:r>
            <w:r>
              <w:rPr>
                <w:noProof/>
                <w:webHidden/>
              </w:rPr>
            </w:r>
            <w:r>
              <w:rPr>
                <w:noProof/>
                <w:webHidden/>
              </w:rPr>
              <w:fldChar w:fldCharType="separate"/>
            </w:r>
            <w:r>
              <w:rPr>
                <w:noProof/>
                <w:webHidden/>
              </w:rPr>
              <w:t>72</w:t>
            </w:r>
            <w:r>
              <w:rPr>
                <w:noProof/>
                <w:webHidden/>
              </w:rPr>
              <w:fldChar w:fldCharType="end"/>
            </w:r>
          </w:hyperlink>
        </w:p>
        <w:p w14:paraId="6C5457EE" w14:textId="272921FC" w:rsidR="00776FD9" w:rsidRDefault="00776FD9">
          <w:pPr>
            <w:pStyle w:val="TOC2"/>
            <w:tabs>
              <w:tab w:val="right" w:leader="dot" w:pos="9016"/>
            </w:tabs>
            <w:rPr>
              <w:rFonts w:eastAsiaTheme="minorEastAsia"/>
              <w:noProof/>
              <w:lang w:eastAsia="en-GB"/>
            </w:rPr>
          </w:pPr>
          <w:hyperlink w:anchor="_Toc219926328" w:history="1">
            <w:r w:rsidRPr="000676B9">
              <w:rPr>
                <w:rStyle w:val="Hyperlink"/>
                <w:rFonts w:ascii="Arial" w:hAnsi="Arial" w:cs="Arial"/>
                <w:noProof/>
              </w:rPr>
              <w:t>Appendix B3: Variable and Fixed Cost Breakdown</w:t>
            </w:r>
            <w:r>
              <w:rPr>
                <w:noProof/>
                <w:webHidden/>
              </w:rPr>
              <w:tab/>
            </w:r>
            <w:r>
              <w:rPr>
                <w:noProof/>
                <w:webHidden/>
              </w:rPr>
              <w:fldChar w:fldCharType="begin"/>
            </w:r>
            <w:r>
              <w:rPr>
                <w:noProof/>
                <w:webHidden/>
              </w:rPr>
              <w:instrText xml:space="preserve"> PAGEREF _Toc219926328 \h </w:instrText>
            </w:r>
            <w:r>
              <w:rPr>
                <w:noProof/>
                <w:webHidden/>
              </w:rPr>
            </w:r>
            <w:r>
              <w:rPr>
                <w:noProof/>
                <w:webHidden/>
              </w:rPr>
              <w:fldChar w:fldCharType="separate"/>
            </w:r>
            <w:r>
              <w:rPr>
                <w:noProof/>
                <w:webHidden/>
              </w:rPr>
              <w:t>72</w:t>
            </w:r>
            <w:r>
              <w:rPr>
                <w:noProof/>
                <w:webHidden/>
              </w:rPr>
              <w:fldChar w:fldCharType="end"/>
            </w:r>
          </w:hyperlink>
        </w:p>
        <w:p w14:paraId="45BB8C6B" w14:textId="70099331" w:rsidR="00776FD9" w:rsidRDefault="00776FD9">
          <w:r>
            <w:rPr>
              <w:b/>
              <w:bCs/>
              <w:noProof/>
            </w:rPr>
            <w:fldChar w:fldCharType="end"/>
          </w:r>
        </w:p>
      </w:sdtContent>
    </w:sdt>
    <w:p w14:paraId="12E26F03" w14:textId="7B6DB0E9" w:rsidR="00BD1CFA" w:rsidRPr="00776FD9" w:rsidRDefault="00BD1CFA">
      <w:pPr>
        <w:rPr>
          <w:rFonts w:ascii="Arial" w:eastAsiaTheme="majorEastAsia" w:hAnsi="Arial" w:cs="Arial"/>
          <w:color w:val="0F4761" w:themeColor="accent1" w:themeShade="BF"/>
          <w:sz w:val="40"/>
          <w:szCs w:val="40"/>
        </w:rPr>
      </w:pPr>
      <w:r>
        <w:rPr>
          <w:rFonts w:ascii="Arial" w:hAnsi="Arial" w:cs="Arial"/>
        </w:rPr>
        <w:br w:type="page"/>
      </w:r>
    </w:p>
    <w:p w14:paraId="4C138DBE" w14:textId="77777777" w:rsidR="007436EE" w:rsidRDefault="007436EE" w:rsidP="00293FED">
      <w:pPr>
        <w:pStyle w:val="Heading1"/>
        <w:rPr>
          <w:rFonts w:ascii="Arial" w:hAnsi="Arial" w:cs="Arial"/>
        </w:rPr>
        <w:sectPr w:rsidR="007436EE" w:rsidSect="00CC5D3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3A4B1D5" w14:textId="68B8C174" w:rsidR="00FA0AC0" w:rsidRPr="008F59EC" w:rsidRDefault="00FA0AC0" w:rsidP="00293FED">
      <w:pPr>
        <w:pStyle w:val="Heading1"/>
        <w:rPr>
          <w:rFonts w:ascii="Arial" w:hAnsi="Arial" w:cs="Arial"/>
        </w:rPr>
      </w:pPr>
      <w:bookmarkStart w:id="0" w:name="_Toc219926245"/>
      <w:r w:rsidRPr="008F59EC">
        <w:rPr>
          <w:rFonts w:ascii="Arial" w:hAnsi="Arial" w:cs="Arial"/>
        </w:rPr>
        <w:lastRenderedPageBreak/>
        <w:t>Chapter 1: Executive Summary</w:t>
      </w:r>
      <w:bookmarkEnd w:id="0"/>
    </w:p>
    <w:p w14:paraId="50471A29" w14:textId="2EC2D7B8" w:rsidR="00FA0AC0" w:rsidRPr="008F59EC" w:rsidRDefault="00FA0AC0" w:rsidP="0014211F">
      <w:pPr>
        <w:spacing w:line="360" w:lineRule="auto"/>
        <w:jc w:val="both"/>
        <w:rPr>
          <w:rFonts w:ascii="Arial" w:hAnsi="Arial" w:cs="Arial"/>
        </w:rPr>
      </w:pPr>
      <w:r w:rsidRPr="008F59EC">
        <w:rPr>
          <w:rFonts w:ascii="Arial" w:hAnsi="Arial" w:cs="Arial"/>
        </w:rPr>
        <w:t xml:space="preserve">This Business Development Proposal evaluates the feasibility of establishing </w:t>
      </w:r>
      <w:r w:rsidR="00EC30AA" w:rsidRPr="008F59EC">
        <w:rPr>
          <w:rFonts w:ascii="Arial" w:hAnsi="Arial" w:cs="Arial"/>
        </w:rPr>
        <w:t>Sense Mortgage and Residential</w:t>
      </w:r>
      <w:r w:rsidRPr="008F59EC">
        <w:rPr>
          <w:rFonts w:ascii="Arial" w:hAnsi="Arial" w:cs="Arial"/>
        </w:rPr>
        <w:t xml:space="preserve">, an independent mortgage advisory firm operating within the UK’s regulated financial services sector. The report assesses the strategic rationale, market opportunity, operational structure, human resource planning, financial viability, and risk profile of the proposed business. The analysis demonstrates that </w:t>
      </w:r>
      <w:r w:rsidR="00EC30AA" w:rsidRPr="008F59EC">
        <w:rPr>
          <w:rFonts w:ascii="Arial" w:hAnsi="Arial" w:cs="Arial"/>
        </w:rPr>
        <w:t>Sense Mortgage and Residentia</w:t>
      </w:r>
      <w:r w:rsidR="00E22A86" w:rsidRPr="008F59EC">
        <w:rPr>
          <w:rFonts w:ascii="Arial" w:hAnsi="Arial" w:cs="Arial"/>
        </w:rPr>
        <w:t>l</w:t>
      </w:r>
      <w:r w:rsidRPr="008F59EC">
        <w:rPr>
          <w:rFonts w:ascii="Arial" w:hAnsi="Arial" w:cs="Arial"/>
        </w:rPr>
        <w:t xml:space="preserve"> is commercially viable, operationally sustainable, and well aligned with current regulatory and market conditions (FCA, 2023; UK Finance, 2024).</w:t>
      </w:r>
    </w:p>
    <w:p w14:paraId="52C3724E" w14:textId="77777777" w:rsidR="00FA0AC0" w:rsidRPr="008F59EC" w:rsidRDefault="00FA0AC0" w:rsidP="0014211F">
      <w:pPr>
        <w:spacing w:line="360" w:lineRule="auto"/>
        <w:jc w:val="both"/>
        <w:rPr>
          <w:rFonts w:ascii="Arial" w:hAnsi="Arial" w:cs="Arial"/>
        </w:rPr>
      </w:pPr>
    </w:p>
    <w:p w14:paraId="2F050B41" w14:textId="40980B8E" w:rsidR="00FA0AC0" w:rsidRPr="008F59EC" w:rsidRDefault="00EC30AA" w:rsidP="0014211F">
      <w:pPr>
        <w:spacing w:line="360" w:lineRule="auto"/>
        <w:jc w:val="both"/>
        <w:rPr>
          <w:rFonts w:ascii="Arial" w:hAnsi="Arial" w:cs="Arial"/>
        </w:rPr>
      </w:pPr>
      <w:r w:rsidRPr="008F59EC">
        <w:rPr>
          <w:rFonts w:ascii="Arial" w:hAnsi="Arial" w:cs="Arial"/>
        </w:rPr>
        <w:t>Sense Mortgage and Residential</w:t>
      </w:r>
      <w:r w:rsidR="00FA0AC0" w:rsidRPr="008F59EC">
        <w:rPr>
          <w:rFonts w:ascii="Arial" w:hAnsi="Arial" w:cs="Arial"/>
        </w:rPr>
        <w:t xml:space="preserve"> is structured to operate as an Appointed Representative under an FCA-authorised principal network, enabling the firm to deliver regulated mortgage advice while benefiting from established compliance oversight and regulatory infrastructure. The business adopts a hybrid advisory model that combines personalised, adviser-led guidance with digitally enabled processes. This approach reflects growing consumer demand for transparency, efficiency, and professional support when navigating increasingly complex mortgage products and affordability requirements (MarketLine, 2024; Deloitte, 2023).</w:t>
      </w:r>
    </w:p>
    <w:p w14:paraId="6F8D8C2F" w14:textId="77777777" w:rsidR="00FA0AC0" w:rsidRPr="008F59EC" w:rsidRDefault="00FA0AC0" w:rsidP="0014211F">
      <w:pPr>
        <w:spacing w:line="360" w:lineRule="auto"/>
        <w:jc w:val="both"/>
        <w:rPr>
          <w:rFonts w:ascii="Arial" w:hAnsi="Arial" w:cs="Arial"/>
        </w:rPr>
      </w:pPr>
    </w:p>
    <w:p w14:paraId="2447E388" w14:textId="2D061A25" w:rsidR="00FA0AC0" w:rsidRPr="008F59EC" w:rsidRDefault="00FA0AC0" w:rsidP="0014211F">
      <w:pPr>
        <w:spacing w:line="360" w:lineRule="auto"/>
        <w:jc w:val="both"/>
        <w:rPr>
          <w:rFonts w:ascii="Arial" w:hAnsi="Arial" w:cs="Arial"/>
        </w:rPr>
      </w:pPr>
      <w:r w:rsidRPr="008F59EC">
        <w:rPr>
          <w:rFonts w:ascii="Arial" w:hAnsi="Arial" w:cs="Arial"/>
        </w:rPr>
        <w:t>Market analysis confirms that the UK mortgage market remains resilient despite economic uncertainty, with sustained demand driven by first-time buyers, remortgaging households, and buy-to-let investors (UK Finance, 2024). Remortgaging activity associated with fixed-rate mortgage expiries provides recurring demand and repeat business opportunities for intermediary firms (Deloitte, 2023). Competitive analysis indicates that while rivalry within the sector is strong, there is a clear service gap for compliant, client-focused advisers who combine digital convenience with personalised advice (McKinsey &amp; Company, 2023).</w:t>
      </w:r>
    </w:p>
    <w:p w14:paraId="74F0A701" w14:textId="77777777" w:rsidR="00FA0AC0" w:rsidRPr="008F59EC" w:rsidRDefault="00FA0AC0" w:rsidP="0014211F">
      <w:pPr>
        <w:spacing w:line="360" w:lineRule="auto"/>
        <w:jc w:val="both"/>
        <w:rPr>
          <w:rFonts w:ascii="Arial" w:hAnsi="Arial" w:cs="Arial"/>
        </w:rPr>
      </w:pPr>
    </w:p>
    <w:p w14:paraId="4F43BFF5" w14:textId="77777777" w:rsidR="00FA0AC0" w:rsidRPr="008F59EC" w:rsidRDefault="00FA0AC0" w:rsidP="0014211F">
      <w:pPr>
        <w:spacing w:line="360" w:lineRule="auto"/>
        <w:jc w:val="both"/>
        <w:rPr>
          <w:rFonts w:ascii="Arial" w:hAnsi="Arial" w:cs="Arial"/>
        </w:rPr>
      </w:pPr>
      <w:r w:rsidRPr="008F59EC">
        <w:rPr>
          <w:rFonts w:ascii="Arial" w:hAnsi="Arial" w:cs="Arial"/>
        </w:rPr>
        <w:t xml:space="preserve">The operational plan outlines a structured and scalable service delivery model supported by digital systems, embedded compliance processes, and phased growth. </w:t>
      </w:r>
      <w:r w:rsidRPr="008F59EC">
        <w:rPr>
          <w:rFonts w:ascii="Arial" w:hAnsi="Arial" w:cs="Arial"/>
        </w:rPr>
        <w:lastRenderedPageBreak/>
        <w:t>The human resource strategy prioritises adviser competence, ethical conduct, and continuous professional development, ensuring alignment with regulatory expectations and Consumer Duty requirements (FCA, 2023; CIPD, 2023).</w:t>
      </w:r>
    </w:p>
    <w:p w14:paraId="7527F7BC" w14:textId="77777777" w:rsidR="00FA0AC0" w:rsidRPr="008F59EC" w:rsidRDefault="00FA0AC0" w:rsidP="0014211F">
      <w:pPr>
        <w:spacing w:line="360" w:lineRule="auto"/>
        <w:jc w:val="both"/>
        <w:rPr>
          <w:rFonts w:ascii="Arial" w:hAnsi="Arial" w:cs="Arial"/>
        </w:rPr>
      </w:pPr>
    </w:p>
    <w:p w14:paraId="1957F06B" w14:textId="77777777" w:rsidR="00FA0AC0" w:rsidRPr="008F59EC" w:rsidRDefault="00FA0AC0" w:rsidP="0014211F">
      <w:pPr>
        <w:spacing w:line="360" w:lineRule="auto"/>
        <w:jc w:val="both"/>
        <w:rPr>
          <w:rFonts w:ascii="Arial" w:hAnsi="Arial" w:cs="Arial"/>
        </w:rPr>
      </w:pPr>
      <w:r w:rsidRPr="008F59EC">
        <w:rPr>
          <w:rFonts w:ascii="Arial" w:hAnsi="Arial" w:cs="Arial"/>
        </w:rPr>
        <w:t>Financial analysis demonstrates that the business is viable under conservative assumptions. Revenue is generated primarily from mortgage completions, supplemented by ancillary protection income offered on a suitability-led basis. Monthly cash flow forecasting and break-even analysis indicate that the business can achieve sustainability at modest case volumes, supported by strong gross margins and controlled cost structures (UK Finance, 2024).</w:t>
      </w:r>
    </w:p>
    <w:p w14:paraId="5DAEFBEE" w14:textId="77777777" w:rsidR="00FA0AC0" w:rsidRPr="008F59EC" w:rsidRDefault="00FA0AC0" w:rsidP="0014211F">
      <w:pPr>
        <w:spacing w:line="360" w:lineRule="auto"/>
        <w:jc w:val="both"/>
        <w:rPr>
          <w:rFonts w:ascii="Arial" w:hAnsi="Arial" w:cs="Arial"/>
        </w:rPr>
      </w:pPr>
    </w:p>
    <w:p w14:paraId="1D03C91B" w14:textId="2395545A" w:rsidR="00FA0AC0" w:rsidRPr="008F59EC" w:rsidRDefault="00FA0AC0" w:rsidP="0014211F">
      <w:pPr>
        <w:spacing w:line="360" w:lineRule="auto"/>
        <w:jc w:val="both"/>
        <w:rPr>
          <w:rFonts w:ascii="Arial" w:hAnsi="Arial" w:cs="Arial"/>
        </w:rPr>
      </w:pPr>
      <w:r w:rsidRPr="008F59EC">
        <w:rPr>
          <w:rFonts w:ascii="Arial" w:hAnsi="Arial" w:cs="Arial"/>
        </w:rPr>
        <w:t xml:space="preserve">Risk analysis identifies regulatory, market, operational, financial, and human resource risks; however, appropriate mitigation strategies are embedded throughout the business model. Strong compliance oversight, conservative financial planning, and a scalable operating structure reduce exposure to uncertainty and support long-term stability. Overall, the findings of this report confirm that </w:t>
      </w:r>
      <w:r w:rsidR="00EC30AA" w:rsidRPr="008F59EC">
        <w:rPr>
          <w:rFonts w:ascii="Arial" w:hAnsi="Arial" w:cs="Arial"/>
        </w:rPr>
        <w:t xml:space="preserve">Sense Mortgage and </w:t>
      </w:r>
      <w:r w:rsidR="001B3D87" w:rsidRPr="008F59EC">
        <w:rPr>
          <w:rFonts w:ascii="Arial" w:hAnsi="Arial" w:cs="Arial"/>
        </w:rPr>
        <w:t>Residential is</w:t>
      </w:r>
      <w:r w:rsidRPr="008F59EC">
        <w:rPr>
          <w:rFonts w:ascii="Arial" w:hAnsi="Arial" w:cs="Arial"/>
        </w:rPr>
        <w:t xml:space="preserve"> well positioned to enter the UK mortgage advisory market and achieve sustainable growth through a compliant, client-centred, and financially disciplined business model.</w:t>
      </w:r>
    </w:p>
    <w:p w14:paraId="379A8E5F" w14:textId="77777777" w:rsidR="00FA0AC0" w:rsidRPr="008F59EC" w:rsidRDefault="00FA0AC0" w:rsidP="0014211F">
      <w:pPr>
        <w:pBdr>
          <w:bottom w:val="single" w:sz="4" w:space="1" w:color="auto"/>
        </w:pBdr>
        <w:spacing w:line="360" w:lineRule="auto"/>
        <w:jc w:val="both"/>
        <w:rPr>
          <w:rFonts w:ascii="Arial" w:hAnsi="Arial" w:cs="Arial"/>
          <w:u w:val="single"/>
        </w:rPr>
      </w:pPr>
    </w:p>
    <w:p w14:paraId="634F8727" w14:textId="77777777" w:rsidR="00D40CC0" w:rsidRPr="008F59EC" w:rsidRDefault="00D40CC0" w:rsidP="0014211F">
      <w:pPr>
        <w:spacing w:line="360" w:lineRule="auto"/>
        <w:jc w:val="both"/>
        <w:rPr>
          <w:rFonts w:ascii="Arial" w:hAnsi="Arial" w:cs="Arial"/>
        </w:rPr>
      </w:pPr>
    </w:p>
    <w:p w14:paraId="1E714D92" w14:textId="77777777" w:rsidR="00D40CC0" w:rsidRDefault="00D40CC0" w:rsidP="0014211F">
      <w:pPr>
        <w:spacing w:line="360" w:lineRule="auto"/>
        <w:jc w:val="both"/>
        <w:rPr>
          <w:rFonts w:ascii="Arial" w:hAnsi="Arial" w:cs="Arial"/>
        </w:rPr>
      </w:pPr>
    </w:p>
    <w:p w14:paraId="7931A035" w14:textId="77777777" w:rsidR="007138EF" w:rsidRDefault="007138EF" w:rsidP="0014211F">
      <w:pPr>
        <w:spacing w:line="360" w:lineRule="auto"/>
        <w:jc w:val="both"/>
        <w:rPr>
          <w:rFonts w:ascii="Arial" w:hAnsi="Arial" w:cs="Arial"/>
        </w:rPr>
      </w:pPr>
    </w:p>
    <w:p w14:paraId="397C7CE8" w14:textId="77777777" w:rsidR="007138EF" w:rsidRPr="008F59EC" w:rsidRDefault="007138EF" w:rsidP="0014211F">
      <w:pPr>
        <w:spacing w:line="360" w:lineRule="auto"/>
        <w:jc w:val="both"/>
        <w:rPr>
          <w:rFonts w:ascii="Arial" w:hAnsi="Arial" w:cs="Arial"/>
        </w:rPr>
      </w:pPr>
    </w:p>
    <w:p w14:paraId="3546DD03" w14:textId="72D6330C" w:rsidR="00FA0AC0" w:rsidRPr="008F59EC" w:rsidRDefault="00FA0AC0" w:rsidP="00293FED">
      <w:pPr>
        <w:pStyle w:val="Heading1"/>
        <w:rPr>
          <w:rFonts w:ascii="Arial" w:hAnsi="Arial" w:cs="Arial"/>
        </w:rPr>
      </w:pPr>
      <w:bookmarkStart w:id="1" w:name="_Toc219926246"/>
      <w:r w:rsidRPr="008F59EC">
        <w:rPr>
          <w:rFonts w:ascii="Arial" w:hAnsi="Arial" w:cs="Arial"/>
        </w:rPr>
        <w:lastRenderedPageBreak/>
        <w:t>Chapter 2: Company Description and Strategic Foundations</w:t>
      </w:r>
      <w:bookmarkEnd w:id="1"/>
    </w:p>
    <w:p w14:paraId="75C9AB90" w14:textId="3803D0BA" w:rsidR="00034883" w:rsidRPr="008F59EC" w:rsidRDefault="00034883" w:rsidP="00293FED">
      <w:pPr>
        <w:pStyle w:val="Heading2"/>
        <w:rPr>
          <w:rFonts w:ascii="Arial" w:hAnsi="Arial" w:cs="Arial"/>
        </w:rPr>
      </w:pPr>
      <w:bookmarkStart w:id="2" w:name="_Toc219926247"/>
      <w:r w:rsidRPr="008F59EC">
        <w:rPr>
          <w:rFonts w:ascii="Arial" w:hAnsi="Arial" w:cs="Arial"/>
        </w:rPr>
        <w:t>2.1 Introduction</w:t>
      </w:r>
      <w:bookmarkEnd w:id="2"/>
    </w:p>
    <w:p w14:paraId="54C7B53D" w14:textId="0058F3F4" w:rsidR="00034883" w:rsidRPr="008F59EC" w:rsidRDefault="00034883" w:rsidP="0014211F">
      <w:pPr>
        <w:spacing w:line="360" w:lineRule="auto"/>
        <w:jc w:val="both"/>
        <w:rPr>
          <w:rFonts w:ascii="Arial" w:hAnsi="Arial" w:cs="Arial"/>
        </w:rPr>
      </w:pPr>
      <w:r w:rsidRPr="008F59EC">
        <w:rPr>
          <w:rFonts w:ascii="Arial" w:hAnsi="Arial" w:cs="Arial"/>
        </w:rPr>
        <w:t xml:space="preserve">This chapter establishes the strategic, legal, and organisational foundations of </w:t>
      </w:r>
      <w:r w:rsidR="00EC30AA" w:rsidRPr="008F59EC">
        <w:rPr>
          <w:rFonts w:ascii="Arial" w:hAnsi="Arial" w:cs="Arial"/>
        </w:rPr>
        <w:t>Sense Mortgage and Residential</w:t>
      </w:r>
      <w:r w:rsidRPr="008F59EC">
        <w:rPr>
          <w:rFonts w:ascii="Arial" w:hAnsi="Arial" w:cs="Arial"/>
        </w:rPr>
        <w:t>. It outlines the business identity, regulatory structure, mission and values, founding rationale, and sources of competitive advantage. By defining the internal context of the business, this chapter provides the framework for understanding the subsequent market, operational, and financial analyses. The discussion is situated within the wider UK mortgage advisory environment, where sustained demand and increasing regulatory complexity continue to reinforce the importance of intermediary-led advice (MarketLine, 2024; FCA, 2023).</w:t>
      </w:r>
    </w:p>
    <w:p w14:paraId="0C80BDCE" w14:textId="77777777" w:rsidR="00034883" w:rsidRPr="008F59EC" w:rsidRDefault="00034883" w:rsidP="0014211F">
      <w:pPr>
        <w:spacing w:line="360" w:lineRule="auto"/>
        <w:jc w:val="both"/>
        <w:rPr>
          <w:rFonts w:ascii="Arial" w:hAnsi="Arial" w:cs="Arial"/>
        </w:rPr>
      </w:pPr>
    </w:p>
    <w:p w14:paraId="41FE36BE" w14:textId="77777777" w:rsidR="00034883" w:rsidRPr="008F59EC" w:rsidRDefault="00034883" w:rsidP="00293FED">
      <w:pPr>
        <w:pStyle w:val="Heading2"/>
        <w:rPr>
          <w:rFonts w:ascii="Arial" w:hAnsi="Arial" w:cs="Arial"/>
        </w:rPr>
      </w:pPr>
      <w:bookmarkStart w:id="3" w:name="_Toc219926248"/>
      <w:r w:rsidRPr="008F59EC">
        <w:rPr>
          <w:rFonts w:ascii="Arial" w:hAnsi="Arial" w:cs="Arial"/>
        </w:rPr>
        <w:t>2.2 Business Identity and Strategic Orientation</w:t>
      </w:r>
      <w:bookmarkEnd w:id="3"/>
    </w:p>
    <w:p w14:paraId="5086E59F" w14:textId="77777777" w:rsidR="00034883" w:rsidRPr="008F59EC" w:rsidRDefault="00034883" w:rsidP="0014211F">
      <w:pPr>
        <w:spacing w:line="360" w:lineRule="auto"/>
        <w:jc w:val="both"/>
        <w:rPr>
          <w:rFonts w:ascii="Arial" w:hAnsi="Arial" w:cs="Arial"/>
        </w:rPr>
      </w:pPr>
    </w:p>
    <w:p w14:paraId="6223F35B" w14:textId="10B914EF" w:rsidR="00034883" w:rsidRPr="008F59EC" w:rsidRDefault="00EC30AA" w:rsidP="0014211F">
      <w:pPr>
        <w:spacing w:line="360" w:lineRule="auto"/>
        <w:jc w:val="both"/>
        <w:rPr>
          <w:rFonts w:ascii="Arial" w:hAnsi="Arial" w:cs="Arial"/>
        </w:rPr>
      </w:pPr>
      <w:r w:rsidRPr="008F59EC">
        <w:rPr>
          <w:rFonts w:ascii="Arial" w:hAnsi="Arial" w:cs="Arial"/>
        </w:rPr>
        <w:t xml:space="preserve">Sense Mortgage and Residential </w:t>
      </w:r>
      <w:r w:rsidR="00034883" w:rsidRPr="008F59EC">
        <w:rPr>
          <w:rFonts w:ascii="Arial" w:hAnsi="Arial" w:cs="Arial"/>
        </w:rPr>
        <w:t>is positioned as an independent mortgage advisory firm delivering personalised, compliant, and transparent advice to residential property customers in the UK. The business adopts a client-centred advisory model that prioritises suitability, clarity, and long-term customer outcomes in line with FCA expectations.</w:t>
      </w:r>
    </w:p>
    <w:p w14:paraId="183BC7CC" w14:textId="77777777" w:rsidR="00034883" w:rsidRPr="008F59EC" w:rsidRDefault="00034883" w:rsidP="0014211F">
      <w:pPr>
        <w:spacing w:line="360" w:lineRule="auto"/>
        <w:jc w:val="both"/>
        <w:rPr>
          <w:rFonts w:ascii="Arial" w:hAnsi="Arial" w:cs="Arial"/>
        </w:rPr>
      </w:pPr>
    </w:p>
    <w:p w14:paraId="486C9980" w14:textId="62986A4B" w:rsidR="00034883" w:rsidRPr="008F59EC" w:rsidRDefault="00034883" w:rsidP="0014211F">
      <w:pPr>
        <w:spacing w:line="360" w:lineRule="auto"/>
        <w:jc w:val="both"/>
        <w:rPr>
          <w:rFonts w:ascii="Arial" w:hAnsi="Arial" w:cs="Arial"/>
        </w:rPr>
      </w:pPr>
      <w:r w:rsidRPr="008F59EC">
        <w:rPr>
          <w:rFonts w:ascii="Arial" w:hAnsi="Arial" w:cs="Arial"/>
        </w:rPr>
        <w:t xml:space="preserve">The firm’s strategic orientation reflects structural changes within the UK mortgage market. As mortgage products and affordability assessments have become more complex, consumers increasingly rely on professional intermediaries to navigate regulatory and financial requirements (MarketLine, 2024). Research indicates that regulatory tightening and product differentiation have strengthened the role of mortgage advisers relative to direct-to-lender channels (UK Finance, 2024). </w:t>
      </w:r>
      <w:r w:rsidR="00EC30AA" w:rsidRPr="008F59EC">
        <w:rPr>
          <w:rFonts w:ascii="Arial" w:hAnsi="Arial" w:cs="Arial"/>
        </w:rPr>
        <w:t xml:space="preserve">Sense Mortgage and Residential </w:t>
      </w:r>
      <w:r w:rsidRPr="008F59EC">
        <w:rPr>
          <w:rFonts w:ascii="Arial" w:hAnsi="Arial" w:cs="Arial"/>
        </w:rPr>
        <w:t>responds to these conditions by combining adviser-led guidance with efficient digital processes, ensuring both regulatory compliance and service accessibility.</w:t>
      </w:r>
    </w:p>
    <w:p w14:paraId="3C573D97" w14:textId="77777777" w:rsidR="008B33B2" w:rsidRPr="008F59EC" w:rsidRDefault="008B33B2" w:rsidP="0014211F">
      <w:pPr>
        <w:spacing w:line="360" w:lineRule="auto"/>
        <w:jc w:val="both"/>
        <w:rPr>
          <w:rFonts w:ascii="Arial" w:hAnsi="Arial" w:cs="Arial"/>
        </w:rPr>
      </w:pPr>
    </w:p>
    <w:p w14:paraId="0949ACC7" w14:textId="77777777" w:rsidR="00034883" w:rsidRPr="008F59EC" w:rsidRDefault="00034883" w:rsidP="0014211F">
      <w:pPr>
        <w:spacing w:line="360" w:lineRule="auto"/>
        <w:jc w:val="both"/>
        <w:rPr>
          <w:rFonts w:ascii="Arial" w:hAnsi="Arial" w:cs="Arial"/>
        </w:rPr>
      </w:pPr>
    </w:p>
    <w:p w14:paraId="4D5C86A9" w14:textId="117F52B7" w:rsidR="00034883" w:rsidRPr="008F59EC" w:rsidRDefault="00034883" w:rsidP="00293FED">
      <w:pPr>
        <w:pStyle w:val="Heading2"/>
        <w:rPr>
          <w:rFonts w:ascii="Arial" w:hAnsi="Arial" w:cs="Arial"/>
        </w:rPr>
      </w:pPr>
      <w:bookmarkStart w:id="4" w:name="_Toc219926249"/>
      <w:r w:rsidRPr="008F59EC">
        <w:rPr>
          <w:rFonts w:ascii="Arial" w:hAnsi="Arial" w:cs="Arial"/>
        </w:rPr>
        <w:t>2.2.1 Application of the Triple Bottom Line Framework</w:t>
      </w:r>
      <w:bookmarkEnd w:id="4"/>
    </w:p>
    <w:p w14:paraId="71A6D011" w14:textId="0C32BCE8" w:rsidR="00034883" w:rsidRPr="008F59EC" w:rsidRDefault="00034883" w:rsidP="0014211F">
      <w:pPr>
        <w:spacing w:line="360" w:lineRule="auto"/>
        <w:jc w:val="both"/>
        <w:rPr>
          <w:rFonts w:ascii="Arial" w:hAnsi="Arial" w:cs="Arial"/>
        </w:rPr>
      </w:pPr>
      <w:r w:rsidRPr="008F59EC">
        <w:rPr>
          <w:rFonts w:ascii="Arial" w:hAnsi="Arial" w:cs="Arial"/>
        </w:rPr>
        <w:t xml:space="preserve">The strategic orientation of </w:t>
      </w:r>
      <w:r w:rsidR="00EC30AA" w:rsidRPr="008F59EC">
        <w:rPr>
          <w:rFonts w:ascii="Arial" w:hAnsi="Arial" w:cs="Arial"/>
        </w:rPr>
        <w:t xml:space="preserve">Sense Mortgage and Residential </w:t>
      </w:r>
      <w:r w:rsidRPr="008F59EC">
        <w:rPr>
          <w:rFonts w:ascii="Arial" w:hAnsi="Arial" w:cs="Arial"/>
        </w:rPr>
        <w:t>is informed by the Triple Bottom Line (TBL) framework, which evaluates business performance across three dimensions: People, Planet, and Profit (Elkington, 1997). The framework is particularly relevant in regulated financial services, where commercial objectives must be balanced with ethical responsibility and long-term sustainability.</w:t>
      </w:r>
    </w:p>
    <w:tbl>
      <w:tblPr>
        <w:tblStyle w:val="TableGrid"/>
        <w:tblW w:w="0" w:type="auto"/>
        <w:tblLook w:val="04A0" w:firstRow="1" w:lastRow="0" w:firstColumn="1" w:lastColumn="0" w:noHBand="0" w:noVBand="1"/>
      </w:tblPr>
      <w:tblGrid>
        <w:gridCol w:w="9016"/>
      </w:tblGrid>
      <w:tr w:rsidR="00D40CC0" w:rsidRPr="008F59EC" w14:paraId="2F4645CA" w14:textId="77777777" w:rsidTr="00D40CC0">
        <w:tc>
          <w:tcPr>
            <w:tcW w:w="9016" w:type="dxa"/>
          </w:tcPr>
          <w:p w14:paraId="6134524D" w14:textId="7C5BEC29" w:rsidR="00D40CC0" w:rsidRPr="008F59EC" w:rsidRDefault="00D40CC0" w:rsidP="0014211F">
            <w:pPr>
              <w:spacing w:line="360" w:lineRule="auto"/>
              <w:jc w:val="both"/>
              <w:rPr>
                <w:rFonts w:ascii="Arial" w:hAnsi="Arial" w:cs="Arial"/>
              </w:rPr>
            </w:pPr>
            <w:r w:rsidRPr="008F59EC">
              <w:rPr>
                <w:rFonts w:ascii="Arial" w:hAnsi="Arial" w:cs="Arial"/>
                <w:noProof/>
                <w:bdr w:val="single" w:sz="4" w:space="0" w:color="auto"/>
              </w:rPr>
              <w:drawing>
                <wp:inline distT="0" distB="0" distL="0" distR="0" wp14:anchorId="6D7FCDEA" wp14:editId="5B0B6EEF">
                  <wp:extent cx="5495925" cy="2726055"/>
                  <wp:effectExtent l="0" t="0" r="9525" b="0"/>
                  <wp:docPr id="18269123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5957" cy="2740951"/>
                          </a:xfrm>
                          <a:prstGeom prst="rect">
                            <a:avLst/>
                          </a:prstGeom>
                          <a:noFill/>
                          <a:ln>
                            <a:noFill/>
                          </a:ln>
                        </pic:spPr>
                      </pic:pic>
                    </a:graphicData>
                  </a:graphic>
                </wp:inline>
              </w:drawing>
            </w:r>
          </w:p>
        </w:tc>
      </w:tr>
    </w:tbl>
    <w:p w14:paraId="3826FF8B" w14:textId="3E839842" w:rsidR="00034883" w:rsidRPr="008F59EC" w:rsidRDefault="00034883" w:rsidP="0014211F">
      <w:pPr>
        <w:spacing w:line="360" w:lineRule="auto"/>
        <w:jc w:val="both"/>
        <w:rPr>
          <w:rFonts w:ascii="Arial" w:hAnsi="Arial" w:cs="Arial"/>
        </w:rPr>
      </w:pPr>
    </w:p>
    <w:p w14:paraId="278911BD" w14:textId="2E7606E4" w:rsidR="00034883" w:rsidRPr="008F59EC" w:rsidRDefault="00D40CC0" w:rsidP="0014211F">
      <w:pPr>
        <w:spacing w:line="360" w:lineRule="auto"/>
        <w:jc w:val="both"/>
        <w:rPr>
          <w:rFonts w:ascii="Arial" w:hAnsi="Arial" w:cs="Arial"/>
          <w:i/>
          <w:iCs/>
        </w:rPr>
      </w:pPr>
      <w:r w:rsidRPr="008F59EC">
        <w:rPr>
          <w:rFonts w:ascii="Arial" w:hAnsi="Arial" w:cs="Arial"/>
          <w:i/>
          <w:iCs/>
        </w:rPr>
        <w:t>Figure 1: Triple bottom-line framework</w:t>
      </w:r>
    </w:p>
    <w:p w14:paraId="7B2832D3" w14:textId="2EB6706C" w:rsidR="00D40CC0" w:rsidRPr="008F59EC" w:rsidRDefault="00D40CC0" w:rsidP="0014211F">
      <w:pPr>
        <w:spacing w:line="360" w:lineRule="auto"/>
        <w:jc w:val="both"/>
        <w:rPr>
          <w:rFonts w:ascii="Arial" w:hAnsi="Arial" w:cs="Arial"/>
          <w:i/>
          <w:iCs/>
        </w:rPr>
      </w:pPr>
      <w:r w:rsidRPr="008F59EC">
        <w:rPr>
          <w:rFonts w:ascii="Arial" w:hAnsi="Arial" w:cs="Arial"/>
          <w:i/>
          <w:iCs/>
        </w:rPr>
        <w:t>Source: Author illustration</w:t>
      </w:r>
    </w:p>
    <w:p w14:paraId="507A5959" w14:textId="77777777" w:rsidR="00034883" w:rsidRPr="008F59EC" w:rsidRDefault="00034883" w:rsidP="0014211F">
      <w:pPr>
        <w:spacing w:line="360" w:lineRule="auto"/>
        <w:jc w:val="both"/>
        <w:rPr>
          <w:rFonts w:ascii="Arial" w:hAnsi="Arial" w:cs="Arial"/>
        </w:rPr>
      </w:pPr>
      <w:r w:rsidRPr="008F59EC">
        <w:rPr>
          <w:rFonts w:ascii="Arial" w:hAnsi="Arial" w:cs="Arial"/>
        </w:rPr>
        <w:t>From a People perspective, the business prioritises positive customer outcomes, adviser competence, and ethical conduct. Mortgage advice is delivered in line with the Financial Conduct Authority’s Consumer Duty requirements, ensuring that customer needs, understanding, and suitability remain central to all recommendations (FCA, 2023). Ongoing professional development and compliance oversight further support responsible advice delivery and client trust.</w:t>
      </w:r>
    </w:p>
    <w:p w14:paraId="00C2956F" w14:textId="77777777" w:rsidR="00034883" w:rsidRPr="008F59EC" w:rsidRDefault="00034883" w:rsidP="0014211F">
      <w:pPr>
        <w:spacing w:line="360" w:lineRule="auto"/>
        <w:jc w:val="both"/>
        <w:rPr>
          <w:rFonts w:ascii="Arial" w:hAnsi="Arial" w:cs="Arial"/>
        </w:rPr>
      </w:pPr>
    </w:p>
    <w:p w14:paraId="6967846C" w14:textId="5C8BB72F" w:rsidR="00CD0BFF" w:rsidRPr="008F59EC" w:rsidRDefault="00034883" w:rsidP="0014211F">
      <w:pPr>
        <w:spacing w:line="360" w:lineRule="auto"/>
        <w:jc w:val="both"/>
        <w:rPr>
          <w:rFonts w:ascii="Arial" w:hAnsi="Arial" w:cs="Arial"/>
        </w:rPr>
      </w:pPr>
      <w:r w:rsidRPr="008F59EC">
        <w:rPr>
          <w:rFonts w:ascii="Arial" w:hAnsi="Arial" w:cs="Arial"/>
        </w:rPr>
        <w:t xml:space="preserve">The Planet dimension is addressed through the firm’s digitally enabled operating model. By adopting paperless documentation, electronic communications, and cloud-based systems, </w:t>
      </w:r>
      <w:r w:rsidR="00EC30AA" w:rsidRPr="008F59EC">
        <w:rPr>
          <w:rFonts w:ascii="Arial" w:hAnsi="Arial" w:cs="Arial"/>
        </w:rPr>
        <w:t xml:space="preserve">Sense Mortgage and </w:t>
      </w:r>
      <w:r w:rsidR="001B3D87" w:rsidRPr="008F59EC">
        <w:rPr>
          <w:rFonts w:ascii="Arial" w:hAnsi="Arial" w:cs="Arial"/>
        </w:rPr>
        <w:t>Residential reduces</w:t>
      </w:r>
      <w:r w:rsidRPr="008F59EC">
        <w:rPr>
          <w:rFonts w:ascii="Arial" w:hAnsi="Arial" w:cs="Arial"/>
        </w:rPr>
        <w:t xml:space="preserve"> its environmental footprint </w:t>
      </w:r>
      <w:r w:rsidRPr="008F59EC">
        <w:rPr>
          <w:rFonts w:ascii="Arial" w:hAnsi="Arial" w:cs="Arial"/>
        </w:rPr>
        <w:lastRenderedPageBreak/>
        <w:t>while improving operational efficiency. This approach aligns with broader sustainability expectations within professional services, where digital transformation is increasingly linked to environmental responsibility (McKinsey &amp; Company, 2023).</w:t>
      </w:r>
    </w:p>
    <w:p w14:paraId="3C645AB2" w14:textId="77777777" w:rsidR="00034883" w:rsidRPr="008F59EC" w:rsidRDefault="00034883" w:rsidP="0014211F">
      <w:pPr>
        <w:spacing w:line="360" w:lineRule="auto"/>
        <w:jc w:val="both"/>
        <w:rPr>
          <w:rFonts w:ascii="Arial" w:hAnsi="Arial" w:cs="Arial"/>
        </w:rPr>
      </w:pPr>
    </w:p>
    <w:p w14:paraId="70F83CEC" w14:textId="1EB83F63" w:rsidR="00034883" w:rsidRPr="008F59EC" w:rsidRDefault="00034883" w:rsidP="0014211F">
      <w:pPr>
        <w:spacing w:line="360" w:lineRule="auto"/>
        <w:jc w:val="both"/>
        <w:rPr>
          <w:rFonts w:ascii="Arial" w:hAnsi="Arial" w:cs="Arial"/>
        </w:rPr>
      </w:pPr>
      <w:r w:rsidRPr="008F59EC">
        <w:rPr>
          <w:rFonts w:ascii="Arial" w:hAnsi="Arial" w:cs="Arial"/>
        </w:rPr>
        <w:t xml:space="preserve">From a Profit perspective, the business is designed to achieve financial sustainability through strong gross margins, controlled fixed costs, and scalable operations. The financial model demonstrates that </w:t>
      </w:r>
      <w:r w:rsidR="00EC30AA" w:rsidRPr="008F59EC">
        <w:rPr>
          <w:rFonts w:ascii="Arial" w:hAnsi="Arial" w:cs="Arial"/>
        </w:rPr>
        <w:t xml:space="preserve">Sense Mortgage and </w:t>
      </w:r>
      <w:r w:rsidR="001B3D87" w:rsidRPr="008F59EC">
        <w:rPr>
          <w:rFonts w:ascii="Arial" w:hAnsi="Arial" w:cs="Arial"/>
        </w:rPr>
        <w:t>Residential can</w:t>
      </w:r>
      <w:r w:rsidRPr="008F59EC">
        <w:rPr>
          <w:rFonts w:ascii="Arial" w:hAnsi="Arial" w:cs="Arial"/>
        </w:rPr>
        <w:t xml:space="preserve"> reach break-even at a relatively low activity level, supporting long-term viability without reliance on excessive volume or high-risk lending. This balanced approach ensures that profitability is achieved in a manner consistent with ethical standards and regulatory expectations.</w:t>
      </w:r>
    </w:p>
    <w:p w14:paraId="7E4616E7" w14:textId="77777777" w:rsidR="00034883" w:rsidRPr="008F59EC" w:rsidRDefault="00034883" w:rsidP="0014211F">
      <w:pPr>
        <w:spacing w:line="360" w:lineRule="auto"/>
        <w:jc w:val="both"/>
        <w:rPr>
          <w:rFonts w:ascii="Arial" w:hAnsi="Arial" w:cs="Arial"/>
        </w:rPr>
      </w:pPr>
    </w:p>
    <w:p w14:paraId="61E98EC8" w14:textId="5414D9E6" w:rsidR="00034883" w:rsidRPr="008F59EC" w:rsidRDefault="00034883" w:rsidP="0014211F">
      <w:pPr>
        <w:spacing w:line="360" w:lineRule="auto"/>
        <w:jc w:val="both"/>
        <w:rPr>
          <w:rFonts w:ascii="Arial" w:hAnsi="Arial" w:cs="Arial"/>
        </w:rPr>
      </w:pPr>
      <w:r w:rsidRPr="008F59EC">
        <w:rPr>
          <w:rFonts w:ascii="Arial" w:hAnsi="Arial" w:cs="Arial"/>
        </w:rPr>
        <w:t xml:space="preserve">By integrating People, Planet, and Profit considerations into its strategic foundations, </w:t>
      </w:r>
      <w:r w:rsidR="00EC30AA" w:rsidRPr="008F59EC">
        <w:rPr>
          <w:rFonts w:ascii="Arial" w:hAnsi="Arial" w:cs="Arial"/>
        </w:rPr>
        <w:t xml:space="preserve">Sense Mortgage and </w:t>
      </w:r>
      <w:r w:rsidR="001B3D87" w:rsidRPr="008F59EC">
        <w:rPr>
          <w:rFonts w:ascii="Arial" w:hAnsi="Arial" w:cs="Arial"/>
        </w:rPr>
        <w:t>Residential adopts</w:t>
      </w:r>
      <w:r w:rsidRPr="008F59EC">
        <w:rPr>
          <w:rFonts w:ascii="Arial" w:hAnsi="Arial" w:cs="Arial"/>
        </w:rPr>
        <w:t xml:space="preserve"> a sustainable business model that aligns commercial success with responsible conduct. The application of the Triple Bottom Line framework therefore reinforces the firm’s commitment to long-term value creation for clients, regulators, and stakeholders.</w:t>
      </w:r>
    </w:p>
    <w:p w14:paraId="58177A07" w14:textId="77777777" w:rsidR="00034883" w:rsidRPr="008F59EC" w:rsidRDefault="00034883" w:rsidP="0014211F">
      <w:pPr>
        <w:spacing w:line="360" w:lineRule="auto"/>
        <w:jc w:val="both"/>
        <w:rPr>
          <w:rFonts w:ascii="Arial" w:hAnsi="Arial" w:cs="Arial"/>
        </w:rPr>
      </w:pPr>
    </w:p>
    <w:p w14:paraId="17B1438D" w14:textId="77777777" w:rsidR="00034883" w:rsidRPr="008F59EC" w:rsidRDefault="00034883" w:rsidP="00293FED">
      <w:pPr>
        <w:pStyle w:val="Heading2"/>
        <w:rPr>
          <w:rFonts w:ascii="Arial" w:hAnsi="Arial" w:cs="Arial"/>
        </w:rPr>
      </w:pPr>
      <w:bookmarkStart w:id="5" w:name="_Toc219926250"/>
      <w:r w:rsidRPr="008F59EC">
        <w:rPr>
          <w:rFonts w:ascii="Arial" w:hAnsi="Arial" w:cs="Arial"/>
        </w:rPr>
        <w:t>2.3 Legal Structure and Regulatory Framework</w:t>
      </w:r>
      <w:bookmarkEnd w:id="5"/>
    </w:p>
    <w:p w14:paraId="06792602" w14:textId="77777777" w:rsidR="00034883" w:rsidRPr="008F59EC" w:rsidRDefault="00034883" w:rsidP="0014211F">
      <w:pPr>
        <w:spacing w:line="360" w:lineRule="auto"/>
        <w:jc w:val="both"/>
        <w:rPr>
          <w:rFonts w:ascii="Arial" w:hAnsi="Arial" w:cs="Arial"/>
        </w:rPr>
      </w:pPr>
    </w:p>
    <w:p w14:paraId="70B3CD86" w14:textId="1514069F" w:rsidR="00034883" w:rsidRPr="008F59EC" w:rsidRDefault="00EC30AA" w:rsidP="0014211F">
      <w:pPr>
        <w:spacing w:line="360" w:lineRule="auto"/>
        <w:jc w:val="both"/>
        <w:rPr>
          <w:rFonts w:ascii="Arial" w:hAnsi="Arial" w:cs="Arial"/>
        </w:rPr>
      </w:pPr>
      <w:r w:rsidRPr="008F59EC">
        <w:rPr>
          <w:rFonts w:ascii="Arial" w:hAnsi="Arial" w:cs="Arial"/>
        </w:rPr>
        <w:t xml:space="preserve">Sense Mortgage and </w:t>
      </w:r>
      <w:r w:rsidR="001B3D87" w:rsidRPr="008F59EC">
        <w:rPr>
          <w:rFonts w:ascii="Arial" w:hAnsi="Arial" w:cs="Arial"/>
        </w:rPr>
        <w:t>Residential operates</w:t>
      </w:r>
      <w:r w:rsidR="00034883" w:rsidRPr="008F59EC">
        <w:rPr>
          <w:rFonts w:ascii="Arial" w:hAnsi="Arial" w:cs="Arial"/>
        </w:rPr>
        <w:t xml:space="preserve"> as a limited company within the UK’s regulated financial services environment. Mortgage advisory activity is governed by the Financial Conduct Authority (FCA), which sets requirements relating to conduct, competence, transparency, and consumer protection under the Mortgage Conduct of Business (MCOB) framework (FCA, 2023).</w:t>
      </w:r>
    </w:p>
    <w:p w14:paraId="3CE093BA" w14:textId="77777777" w:rsidR="00034883" w:rsidRPr="008F59EC" w:rsidRDefault="00034883" w:rsidP="0014211F">
      <w:pPr>
        <w:spacing w:line="360" w:lineRule="auto"/>
        <w:jc w:val="both"/>
        <w:rPr>
          <w:rFonts w:ascii="Arial" w:hAnsi="Arial" w:cs="Arial"/>
        </w:rPr>
      </w:pPr>
    </w:p>
    <w:p w14:paraId="0E901EC4" w14:textId="4E08CEEB" w:rsidR="00034883" w:rsidRPr="008F59EC" w:rsidRDefault="00034883" w:rsidP="0014211F">
      <w:pPr>
        <w:spacing w:line="360" w:lineRule="auto"/>
        <w:jc w:val="both"/>
        <w:rPr>
          <w:rFonts w:ascii="Arial" w:hAnsi="Arial" w:cs="Arial"/>
        </w:rPr>
      </w:pPr>
      <w:r w:rsidRPr="008F59EC">
        <w:rPr>
          <w:rFonts w:ascii="Arial" w:hAnsi="Arial" w:cs="Arial"/>
        </w:rPr>
        <w:t xml:space="preserve">Rather than pursuing direct FCA authorisation, the business will operate as an Appointed Representative (AR) of an authorised principal network. The AR model is widely used within the UK mortgage intermediary sector, particularly by new and growing firms, as it provides regulatory oversight, compliance infrastructure, and </w:t>
      </w:r>
      <w:r w:rsidRPr="008F59EC">
        <w:rPr>
          <w:rFonts w:ascii="Arial" w:hAnsi="Arial" w:cs="Arial"/>
        </w:rPr>
        <w:lastRenderedPageBreak/>
        <w:t xml:space="preserve">training support while allowing operational flexibility (PwC, 2023). This structure enables </w:t>
      </w:r>
      <w:r w:rsidR="00EC30AA" w:rsidRPr="008F59EC">
        <w:rPr>
          <w:rFonts w:ascii="Arial" w:hAnsi="Arial" w:cs="Arial"/>
        </w:rPr>
        <w:t xml:space="preserve">Sense Mortgage and </w:t>
      </w:r>
      <w:r w:rsidR="001B3D87" w:rsidRPr="008F59EC">
        <w:rPr>
          <w:rFonts w:ascii="Arial" w:hAnsi="Arial" w:cs="Arial"/>
        </w:rPr>
        <w:t>Residential to</w:t>
      </w:r>
      <w:r w:rsidRPr="008F59EC">
        <w:rPr>
          <w:rFonts w:ascii="Arial" w:hAnsi="Arial" w:cs="Arial"/>
        </w:rPr>
        <w:t xml:space="preserve"> manage regulatory risk effectively during early-stage operations while focusing on client service and sustainable growth.</w:t>
      </w:r>
    </w:p>
    <w:p w14:paraId="49F8F0A9" w14:textId="77777777" w:rsidR="00034883" w:rsidRPr="008F59EC" w:rsidRDefault="00034883" w:rsidP="0014211F">
      <w:pPr>
        <w:spacing w:line="360" w:lineRule="auto"/>
        <w:jc w:val="both"/>
        <w:rPr>
          <w:rFonts w:ascii="Arial" w:hAnsi="Arial" w:cs="Arial"/>
        </w:rPr>
      </w:pPr>
    </w:p>
    <w:p w14:paraId="6E356AB8" w14:textId="77777777" w:rsidR="00034883" w:rsidRPr="008F59EC" w:rsidRDefault="00034883" w:rsidP="00293FED">
      <w:pPr>
        <w:pStyle w:val="Heading2"/>
        <w:rPr>
          <w:rFonts w:ascii="Arial" w:hAnsi="Arial" w:cs="Arial"/>
        </w:rPr>
      </w:pPr>
      <w:bookmarkStart w:id="6" w:name="_Toc219926251"/>
      <w:r w:rsidRPr="008F59EC">
        <w:rPr>
          <w:rFonts w:ascii="Arial" w:hAnsi="Arial" w:cs="Arial"/>
        </w:rPr>
        <w:t>2.3.1 Network Selection and Strategic Fit</w:t>
      </w:r>
      <w:bookmarkEnd w:id="6"/>
    </w:p>
    <w:p w14:paraId="124C0131" w14:textId="77777777" w:rsidR="00034883" w:rsidRPr="008F59EC" w:rsidRDefault="00034883" w:rsidP="0014211F">
      <w:pPr>
        <w:spacing w:line="360" w:lineRule="auto"/>
        <w:jc w:val="both"/>
        <w:rPr>
          <w:rFonts w:ascii="Arial" w:hAnsi="Arial" w:cs="Arial"/>
        </w:rPr>
      </w:pPr>
    </w:p>
    <w:p w14:paraId="08D68175" w14:textId="3002ECF4" w:rsidR="00034883" w:rsidRPr="008F59EC" w:rsidRDefault="00034883" w:rsidP="0014211F">
      <w:pPr>
        <w:spacing w:line="360" w:lineRule="auto"/>
        <w:jc w:val="both"/>
        <w:rPr>
          <w:rFonts w:ascii="Arial" w:hAnsi="Arial" w:cs="Arial"/>
        </w:rPr>
      </w:pPr>
      <w:r w:rsidRPr="008F59EC">
        <w:rPr>
          <w:rFonts w:ascii="Arial" w:hAnsi="Arial" w:cs="Arial"/>
        </w:rPr>
        <w:t xml:space="preserve">A comparative review of established FCA-authorised principal networks, including Quilter Financial Planning, </w:t>
      </w:r>
      <w:r w:rsidR="00CD0BFF" w:rsidRPr="008F59EC">
        <w:rPr>
          <w:rFonts w:ascii="Arial" w:hAnsi="Arial" w:cs="Arial"/>
        </w:rPr>
        <w:t>City Plus</w:t>
      </w:r>
      <w:r w:rsidRPr="008F59EC">
        <w:rPr>
          <w:rFonts w:ascii="Arial" w:hAnsi="Arial" w:cs="Arial"/>
        </w:rPr>
        <w:t>, and Openwork, was undertaken to assess strategic fit. While each network offers regulatory supervision and access to lender panels, differences exist in compliance intensity, cost structures, and support for early-stage advisory firms.</w:t>
      </w:r>
    </w:p>
    <w:p w14:paraId="28311203" w14:textId="77777777" w:rsidR="00034883" w:rsidRPr="008F59EC" w:rsidRDefault="00034883" w:rsidP="0014211F">
      <w:pPr>
        <w:spacing w:line="360" w:lineRule="auto"/>
        <w:jc w:val="both"/>
        <w:rPr>
          <w:rFonts w:ascii="Arial" w:hAnsi="Arial" w:cs="Arial"/>
        </w:rPr>
      </w:pPr>
    </w:p>
    <w:p w14:paraId="7D8CD2E1" w14:textId="0E5B23A4" w:rsidR="00034883" w:rsidRPr="008F59EC" w:rsidRDefault="00034883" w:rsidP="0014211F">
      <w:pPr>
        <w:spacing w:line="360" w:lineRule="auto"/>
        <w:jc w:val="both"/>
        <w:rPr>
          <w:rFonts w:ascii="Arial" w:hAnsi="Arial" w:cs="Arial"/>
        </w:rPr>
      </w:pPr>
      <w:r w:rsidRPr="008F59EC">
        <w:rPr>
          <w:rFonts w:ascii="Arial" w:hAnsi="Arial" w:cs="Arial"/>
        </w:rPr>
        <w:t xml:space="preserve">Openwork was selected as the preferred network due to its strong compliance framework, structured adviser development programmes, and alignment with Consumer Duty principles (Openwork, 2024). The network’s emphasis on advice quality and ongoing monitoring supports </w:t>
      </w:r>
      <w:r w:rsidR="00EC30AA" w:rsidRPr="008F59EC">
        <w:rPr>
          <w:rFonts w:ascii="Arial" w:hAnsi="Arial" w:cs="Arial"/>
        </w:rPr>
        <w:t>Sense Mortgage and</w:t>
      </w:r>
      <w:r w:rsidR="00EB0190" w:rsidRPr="008F59EC">
        <w:rPr>
          <w:rFonts w:ascii="Arial" w:hAnsi="Arial" w:cs="Arial"/>
        </w:rPr>
        <w:t xml:space="preserve"> </w:t>
      </w:r>
      <w:r w:rsidRPr="008F59EC">
        <w:rPr>
          <w:rFonts w:ascii="Arial" w:hAnsi="Arial" w:cs="Arial"/>
        </w:rPr>
        <w:t>Residential’s compliance-led strategy and aligns with the phased growth model outlined in later operational and human resource planning chapters.</w:t>
      </w:r>
    </w:p>
    <w:p w14:paraId="1E83011E" w14:textId="77777777" w:rsidR="00034883" w:rsidRPr="008F59EC" w:rsidRDefault="00034883" w:rsidP="0014211F">
      <w:pPr>
        <w:spacing w:line="360" w:lineRule="auto"/>
        <w:jc w:val="both"/>
        <w:rPr>
          <w:rFonts w:ascii="Arial" w:hAnsi="Arial" w:cs="Arial"/>
        </w:rPr>
      </w:pPr>
    </w:p>
    <w:p w14:paraId="22CEADA6" w14:textId="77777777" w:rsidR="00034883" w:rsidRPr="008F59EC" w:rsidRDefault="00034883" w:rsidP="00293FED">
      <w:pPr>
        <w:pStyle w:val="Heading2"/>
        <w:rPr>
          <w:rFonts w:ascii="Arial" w:hAnsi="Arial" w:cs="Arial"/>
        </w:rPr>
      </w:pPr>
      <w:bookmarkStart w:id="7" w:name="_Toc219926252"/>
      <w:r w:rsidRPr="008F59EC">
        <w:rPr>
          <w:rFonts w:ascii="Arial" w:hAnsi="Arial" w:cs="Arial"/>
        </w:rPr>
        <w:t>2.3.2 Compliance Responsibilities</w:t>
      </w:r>
      <w:bookmarkEnd w:id="7"/>
    </w:p>
    <w:p w14:paraId="6DE8734C" w14:textId="77777777" w:rsidR="00034883" w:rsidRPr="008F59EC" w:rsidRDefault="00034883" w:rsidP="0014211F">
      <w:pPr>
        <w:spacing w:line="360" w:lineRule="auto"/>
        <w:jc w:val="both"/>
        <w:rPr>
          <w:rFonts w:ascii="Arial" w:hAnsi="Arial" w:cs="Arial"/>
        </w:rPr>
      </w:pPr>
    </w:p>
    <w:p w14:paraId="099C1B15" w14:textId="59A9F21E" w:rsidR="00034883" w:rsidRPr="008F59EC" w:rsidRDefault="00034883" w:rsidP="0014211F">
      <w:pPr>
        <w:spacing w:line="360" w:lineRule="auto"/>
        <w:jc w:val="both"/>
        <w:rPr>
          <w:rFonts w:ascii="Arial" w:hAnsi="Arial" w:cs="Arial"/>
        </w:rPr>
      </w:pPr>
      <w:r w:rsidRPr="008F59EC">
        <w:rPr>
          <w:rFonts w:ascii="Arial" w:hAnsi="Arial" w:cs="Arial"/>
        </w:rPr>
        <w:t xml:space="preserve">Despite operating under the supervision of a principal network, </w:t>
      </w:r>
      <w:r w:rsidR="00EC30AA" w:rsidRPr="008F59EC">
        <w:rPr>
          <w:rFonts w:ascii="Arial" w:hAnsi="Arial" w:cs="Arial"/>
        </w:rPr>
        <w:t xml:space="preserve">Sense Mortgage and Residential </w:t>
      </w:r>
      <w:r w:rsidRPr="008F59EC">
        <w:rPr>
          <w:rFonts w:ascii="Arial" w:hAnsi="Arial" w:cs="Arial"/>
        </w:rPr>
        <w:t>retains responsibility for ensuring that all advice meets regulatory standards. This includes adherence to the Treating Customers Fairly principles, compliance with Consumer Duty requirements, effective anti-money laundering controls, and robust data protection practices under UK GDPR (FCA, 2023; ICO, 2023). Accurate record-keeping and audit readiness are treated as core operational priorities, reflecting the high regulatory expectations placed on mortgage intermediaries.</w:t>
      </w:r>
    </w:p>
    <w:p w14:paraId="44C79A78" w14:textId="77777777" w:rsidR="00034883" w:rsidRPr="008F59EC" w:rsidRDefault="00034883" w:rsidP="0014211F">
      <w:pPr>
        <w:spacing w:line="360" w:lineRule="auto"/>
        <w:jc w:val="both"/>
        <w:rPr>
          <w:rFonts w:ascii="Arial" w:hAnsi="Arial" w:cs="Arial"/>
        </w:rPr>
      </w:pPr>
    </w:p>
    <w:p w14:paraId="387DBD05" w14:textId="77777777" w:rsidR="00034883" w:rsidRPr="008F59EC" w:rsidRDefault="00034883" w:rsidP="00293FED">
      <w:pPr>
        <w:pStyle w:val="Heading2"/>
        <w:rPr>
          <w:rFonts w:ascii="Arial" w:hAnsi="Arial" w:cs="Arial"/>
        </w:rPr>
      </w:pPr>
      <w:bookmarkStart w:id="8" w:name="_Toc219926253"/>
      <w:r w:rsidRPr="008F59EC">
        <w:rPr>
          <w:rFonts w:ascii="Arial" w:hAnsi="Arial" w:cs="Arial"/>
        </w:rPr>
        <w:lastRenderedPageBreak/>
        <w:t>2.4 Mission, Vision, and Core Values</w:t>
      </w:r>
      <w:bookmarkEnd w:id="8"/>
    </w:p>
    <w:p w14:paraId="4AC930F9" w14:textId="77777777" w:rsidR="00034883" w:rsidRPr="008F59EC" w:rsidRDefault="00034883" w:rsidP="0014211F">
      <w:pPr>
        <w:spacing w:line="360" w:lineRule="auto"/>
        <w:jc w:val="both"/>
        <w:rPr>
          <w:rFonts w:ascii="Arial" w:hAnsi="Arial" w:cs="Arial"/>
        </w:rPr>
      </w:pPr>
    </w:p>
    <w:p w14:paraId="2368973A" w14:textId="73EEECAB" w:rsidR="00034883" w:rsidRPr="008F59EC" w:rsidRDefault="00034883" w:rsidP="0014211F">
      <w:pPr>
        <w:spacing w:line="360" w:lineRule="auto"/>
        <w:jc w:val="both"/>
        <w:rPr>
          <w:rFonts w:ascii="Arial" w:hAnsi="Arial" w:cs="Arial"/>
        </w:rPr>
      </w:pPr>
      <w:r w:rsidRPr="008F59EC">
        <w:rPr>
          <w:rFonts w:ascii="Arial" w:hAnsi="Arial" w:cs="Arial"/>
        </w:rPr>
        <w:t xml:space="preserve">The mission of </w:t>
      </w:r>
      <w:r w:rsidR="00EC30AA" w:rsidRPr="008F59EC">
        <w:rPr>
          <w:rFonts w:ascii="Arial" w:hAnsi="Arial" w:cs="Arial"/>
        </w:rPr>
        <w:t xml:space="preserve">Sense Mortgage and Residential </w:t>
      </w:r>
      <w:r w:rsidRPr="008F59EC">
        <w:rPr>
          <w:rFonts w:ascii="Arial" w:hAnsi="Arial" w:cs="Arial"/>
        </w:rPr>
        <w:t>is to provide clear, responsible, and accessible mortgage advice that supports informed decision-making and positive long-term financial outcomes for clients. The firm aims to simplify complex lending processes while maintaining high standards of professional integrity and regulatory compliance.</w:t>
      </w:r>
    </w:p>
    <w:p w14:paraId="7E7E4C95" w14:textId="77777777" w:rsidR="00034883" w:rsidRPr="008F59EC" w:rsidRDefault="00034883" w:rsidP="0014211F">
      <w:pPr>
        <w:spacing w:line="360" w:lineRule="auto"/>
        <w:jc w:val="both"/>
        <w:rPr>
          <w:rFonts w:ascii="Arial" w:hAnsi="Arial" w:cs="Arial"/>
        </w:rPr>
      </w:pPr>
    </w:p>
    <w:p w14:paraId="4E4CD907" w14:textId="77777777" w:rsidR="00034883" w:rsidRPr="008F59EC" w:rsidRDefault="00034883" w:rsidP="0014211F">
      <w:pPr>
        <w:spacing w:line="360" w:lineRule="auto"/>
        <w:jc w:val="both"/>
        <w:rPr>
          <w:rFonts w:ascii="Arial" w:hAnsi="Arial" w:cs="Arial"/>
        </w:rPr>
      </w:pPr>
      <w:r w:rsidRPr="008F59EC">
        <w:rPr>
          <w:rFonts w:ascii="Arial" w:hAnsi="Arial" w:cs="Arial"/>
        </w:rPr>
        <w:t>The long-term vision is to establish a trusted boutique advisory practice recognised for transparency, service quality, and ethical conduct. Growth will be pursued gradually and sustainably, consistent with research suggesting that trust and reputation are critical success factors in professional financial services (Kotler and Keller, 2023).</w:t>
      </w:r>
    </w:p>
    <w:p w14:paraId="752EC6C5" w14:textId="77777777" w:rsidR="00034883" w:rsidRPr="008F59EC" w:rsidRDefault="00034883" w:rsidP="0014211F">
      <w:pPr>
        <w:spacing w:line="360" w:lineRule="auto"/>
        <w:jc w:val="both"/>
        <w:rPr>
          <w:rFonts w:ascii="Arial" w:hAnsi="Arial" w:cs="Arial"/>
        </w:rPr>
      </w:pPr>
    </w:p>
    <w:p w14:paraId="1E8C5C9E" w14:textId="14E73C24" w:rsidR="00034883" w:rsidRPr="008F59EC" w:rsidRDefault="00034883" w:rsidP="0014211F">
      <w:pPr>
        <w:spacing w:line="360" w:lineRule="auto"/>
        <w:jc w:val="both"/>
        <w:rPr>
          <w:rFonts w:ascii="Arial" w:hAnsi="Arial" w:cs="Arial"/>
        </w:rPr>
      </w:pPr>
      <w:r w:rsidRPr="008F59EC">
        <w:rPr>
          <w:rFonts w:ascii="Arial" w:hAnsi="Arial" w:cs="Arial"/>
        </w:rPr>
        <w:t xml:space="preserve">The firm’s core values underpin its culture and operations. Integrity and transparency guide all client interactions, ensuring advice is delivered honestly and clearly. Compliance excellence reflects the regulatory environment in which the firm operates, while client-centred service prioritises customer needs at every stage of the advisory process. Innovation is embraced </w:t>
      </w:r>
      <w:r w:rsidR="00CD0BFF" w:rsidRPr="008F59EC">
        <w:rPr>
          <w:rFonts w:ascii="Arial" w:hAnsi="Arial" w:cs="Arial"/>
        </w:rPr>
        <w:t>using</w:t>
      </w:r>
      <w:r w:rsidRPr="008F59EC">
        <w:rPr>
          <w:rFonts w:ascii="Arial" w:hAnsi="Arial" w:cs="Arial"/>
        </w:rPr>
        <w:t xml:space="preserve"> digital tools to improve efficiency, and professional competence is maintained through ongoing training and continuous professional development.</w:t>
      </w:r>
    </w:p>
    <w:p w14:paraId="09C9E65A" w14:textId="77777777" w:rsidR="00034883" w:rsidRPr="008F59EC" w:rsidRDefault="00034883" w:rsidP="0014211F">
      <w:pPr>
        <w:spacing w:line="360" w:lineRule="auto"/>
        <w:jc w:val="both"/>
        <w:rPr>
          <w:rFonts w:ascii="Arial" w:hAnsi="Arial" w:cs="Arial"/>
        </w:rPr>
      </w:pPr>
    </w:p>
    <w:p w14:paraId="2196D314" w14:textId="77777777" w:rsidR="00034883" w:rsidRPr="008F59EC" w:rsidRDefault="00034883" w:rsidP="00293FED">
      <w:pPr>
        <w:pStyle w:val="Heading2"/>
        <w:rPr>
          <w:rFonts w:ascii="Arial" w:hAnsi="Arial" w:cs="Arial"/>
        </w:rPr>
      </w:pPr>
      <w:bookmarkStart w:id="9" w:name="_Toc219926254"/>
      <w:r w:rsidRPr="008F59EC">
        <w:rPr>
          <w:rFonts w:ascii="Arial" w:hAnsi="Arial" w:cs="Arial"/>
        </w:rPr>
        <w:t>2.5 Founding Background and Business Rationale</w:t>
      </w:r>
      <w:bookmarkEnd w:id="9"/>
    </w:p>
    <w:p w14:paraId="322C6B93" w14:textId="77777777" w:rsidR="00034883" w:rsidRPr="008F59EC" w:rsidRDefault="00034883" w:rsidP="0014211F">
      <w:pPr>
        <w:spacing w:line="360" w:lineRule="auto"/>
        <w:jc w:val="both"/>
        <w:rPr>
          <w:rFonts w:ascii="Arial" w:hAnsi="Arial" w:cs="Arial"/>
        </w:rPr>
      </w:pPr>
    </w:p>
    <w:p w14:paraId="6D27C0EA" w14:textId="31337F3B" w:rsidR="00034883" w:rsidRPr="008F59EC" w:rsidRDefault="00034883" w:rsidP="0014211F">
      <w:pPr>
        <w:spacing w:line="360" w:lineRule="auto"/>
        <w:jc w:val="both"/>
        <w:rPr>
          <w:rFonts w:ascii="Arial" w:hAnsi="Arial" w:cs="Arial"/>
        </w:rPr>
      </w:pPr>
      <w:r w:rsidRPr="008F59EC">
        <w:rPr>
          <w:rFonts w:ascii="Arial" w:hAnsi="Arial" w:cs="Arial"/>
        </w:rPr>
        <w:t xml:space="preserve">The establishment of </w:t>
      </w:r>
      <w:r w:rsidR="00EC30AA" w:rsidRPr="008F59EC">
        <w:rPr>
          <w:rFonts w:ascii="Arial" w:hAnsi="Arial" w:cs="Arial"/>
        </w:rPr>
        <w:t xml:space="preserve">Sense Mortgage and Residential </w:t>
      </w:r>
      <w:r w:rsidRPr="008F59EC">
        <w:rPr>
          <w:rFonts w:ascii="Arial" w:hAnsi="Arial" w:cs="Arial"/>
        </w:rPr>
        <w:t>is driven by identifiable gaps within the UK mortgage advisory market. While large national brokers often prioritise volume-driven models and digital-only platforms emphasise automation, many borrowers continue to value personalised guidance, particularly in complex or high-risk financial decisions (MarketLine, 2024).</w:t>
      </w:r>
    </w:p>
    <w:p w14:paraId="2920BB08" w14:textId="77777777" w:rsidR="00034883" w:rsidRPr="008F59EC" w:rsidRDefault="00034883" w:rsidP="0014211F">
      <w:pPr>
        <w:spacing w:line="360" w:lineRule="auto"/>
        <w:jc w:val="both"/>
        <w:rPr>
          <w:rFonts w:ascii="Arial" w:hAnsi="Arial" w:cs="Arial"/>
        </w:rPr>
      </w:pPr>
    </w:p>
    <w:p w14:paraId="67B3FCA4" w14:textId="187433C1" w:rsidR="00034883" w:rsidRPr="008F59EC" w:rsidRDefault="00034883" w:rsidP="0014211F">
      <w:pPr>
        <w:spacing w:line="360" w:lineRule="auto"/>
        <w:jc w:val="both"/>
        <w:rPr>
          <w:rFonts w:ascii="Arial" w:hAnsi="Arial" w:cs="Arial"/>
        </w:rPr>
      </w:pPr>
      <w:r w:rsidRPr="008F59EC">
        <w:rPr>
          <w:rFonts w:ascii="Arial" w:hAnsi="Arial" w:cs="Arial"/>
        </w:rPr>
        <w:lastRenderedPageBreak/>
        <w:t xml:space="preserve">Market evidence suggests that regulatory tightening, affordability pressures, and increased scrutiny of customer outcomes have reinforced the need for compliant, adviser-led services, especially among first-time buyers and remortgaging households (UK Finance, 2024; FCA, 2023). </w:t>
      </w:r>
      <w:r w:rsidR="00EC30AA" w:rsidRPr="008F59EC">
        <w:rPr>
          <w:rFonts w:ascii="Arial" w:hAnsi="Arial" w:cs="Arial"/>
        </w:rPr>
        <w:t>Sense Mortgage and Residential</w:t>
      </w:r>
      <w:r w:rsidR="00445B5C" w:rsidRPr="008F59EC">
        <w:rPr>
          <w:rFonts w:ascii="Arial" w:hAnsi="Arial" w:cs="Arial"/>
        </w:rPr>
        <w:t xml:space="preserve"> </w:t>
      </w:r>
      <w:r w:rsidRPr="008F59EC">
        <w:rPr>
          <w:rFonts w:ascii="Arial" w:hAnsi="Arial" w:cs="Arial"/>
        </w:rPr>
        <w:t>was therefore conceived to address this need by offering a balanced model that integrates regulatory rigour with personalised client engagement.</w:t>
      </w:r>
    </w:p>
    <w:p w14:paraId="7EF01E81" w14:textId="77777777" w:rsidR="00034883" w:rsidRPr="008F59EC" w:rsidRDefault="00034883" w:rsidP="0014211F">
      <w:pPr>
        <w:spacing w:line="360" w:lineRule="auto"/>
        <w:jc w:val="both"/>
        <w:rPr>
          <w:rFonts w:ascii="Arial" w:hAnsi="Arial" w:cs="Arial"/>
        </w:rPr>
      </w:pPr>
    </w:p>
    <w:p w14:paraId="5CCF2F86" w14:textId="77777777" w:rsidR="00034883" w:rsidRPr="008F59EC" w:rsidRDefault="00034883" w:rsidP="00293FED">
      <w:pPr>
        <w:pStyle w:val="Heading2"/>
        <w:rPr>
          <w:rFonts w:ascii="Arial" w:hAnsi="Arial" w:cs="Arial"/>
        </w:rPr>
      </w:pPr>
      <w:bookmarkStart w:id="10" w:name="_Toc219926255"/>
      <w:r w:rsidRPr="008F59EC">
        <w:rPr>
          <w:rFonts w:ascii="Arial" w:hAnsi="Arial" w:cs="Arial"/>
        </w:rPr>
        <w:t>2.6 Unique Value Proposition</w:t>
      </w:r>
      <w:bookmarkEnd w:id="10"/>
    </w:p>
    <w:p w14:paraId="135F20D7" w14:textId="77777777" w:rsidR="00034883" w:rsidRPr="008F59EC" w:rsidRDefault="00034883" w:rsidP="0014211F">
      <w:pPr>
        <w:spacing w:line="360" w:lineRule="auto"/>
        <w:jc w:val="both"/>
        <w:rPr>
          <w:rFonts w:ascii="Arial" w:hAnsi="Arial" w:cs="Arial"/>
        </w:rPr>
      </w:pPr>
    </w:p>
    <w:p w14:paraId="437BA6EE" w14:textId="315799AD" w:rsidR="00034883" w:rsidRPr="008F59EC" w:rsidRDefault="00034883" w:rsidP="0014211F">
      <w:pPr>
        <w:spacing w:line="360" w:lineRule="auto"/>
        <w:jc w:val="both"/>
        <w:rPr>
          <w:rFonts w:ascii="Arial" w:hAnsi="Arial" w:cs="Arial"/>
        </w:rPr>
      </w:pPr>
      <w:r w:rsidRPr="008F59EC">
        <w:rPr>
          <w:rFonts w:ascii="Arial" w:hAnsi="Arial" w:cs="Arial"/>
        </w:rPr>
        <w:t xml:space="preserve">The unique value proposition of </w:t>
      </w:r>
      <w:r w:rsidR="00EC30AA" w:rsidRPr="008F59EC">
        <w:rPr>
          <w:rFonts w:ascii="Arial" w:hAnsi="Arial" w:cs="Arial"/>
        </w:rPr>
        <w:t xml:space="preserve">Sense Mortgage and Residential </w:t>
      </w:r>
      <w:r w:rsidRPr="008F59EC">
        <w:rPr>
          <w:rFonts w:ascii="Arial" w:hAnsi="Arial" w:cs="Arial"/>
        </w:rPr>
        <w:t>lies in its hybrid advisory model, which combines personalised, human-led advice with streamlined digital processes. Unlike execution-only or fully automated platforms, the firm emphasises suitability, education, and ongoing support. At the same time, digital systems are used to improve efficiency, documentation accuracy, and communication.</w:t>
      </w:r>
    </w:p>
    <w:p w14:paraId="79BFD598" w14:textId="77777777" w:rsidR="00034883" w:rsidRPr="008F59EC" w:rsidRDefault="00034883" w:rsidP="0014211F">
      <w:pPr>
        <w:spacing w:line="360" w:lineRule="auto"/>
        <w:jc w:val="both"/>
        <w:rPr>
          <w:rFonts w:ascii="Arial" w:hAnsi="Arial" w:cs="Arial"/>
        </w:rPr>
      </w:pPr>
    </w:p>
    <w:p w14:paraId="4F721FF4" w14:textId="77777777" w:rsidR="00034883" w:rsidRPr="008F59EC" w:rsidRDefault="00034883" w:rsidP="0014211F">
      <w:pPr>
        <w:spacing w:line="360" w:lineRule="auto"/>
        <w:jc w:val="both"/>
        <w:rPr>
          <w:rFonts w:ascii="Arial" w:hAnsi="Arial" w:cs="Arial"/>
        </w:rPr>
      </w:pPr>
      <w:r w:rsidRPr="008F59EC">
        <w:rPr>
          <w:rFonts w:ascii="Arial" w:hAnsi="Arial" w:cs="Arial"/>
        </w:rPr>
        <w:t>This approach reflects industry evidence that borrowers increasingly prefer hybrid service models that combine technology with professional advice, particularly in regulated financial services (McKinsey, 2023). By addressing both regulatory and experiential expectations, the firm differentiates itself within a competitive advisory landscape.</w:t>
      </w:r>
    </w:p>
    <w:p w14:paraId="6840B7AB" w14:textId="77777777" w:rsidR="00034883" w:rsidRPr="008F59EC" w:rsidRDefault="00034883" w:rsidP="0014211F">
      <w:pPr>
        <w:spacing w:line="360" w:lineRule="auto"/>
        <w:jc w:val="both"/>
        <w:rPr>
          <w:rFonts w:ascii="Arial" w:hAnsi="Arial" w:cs="Arial"/>
        </w:rPr>
      </w:pPr>
    </w:p>
    <w:p w14:paraId="15D307C5" w14:textId="77777777" w:rsidR="00034883" w:rsidRPr="008F59EC" w:rsidRDefault="00034883" w:rsidP="00293FED">
      <w:pPr>
        <w:pStyle w:val="Heading2"/>
        <w:rPr>
          <w:rFonts w:ascii="Arial" w:hAnsi="Arial" w:cs="Arial"/>
        </w:rPr>
      </w:pPr>
      <w:bookmarkStart w:id="11" w:name="_Toc219926256"/>
      <w:r w:rsidRPr="008F59EC">
        <w:rPr>
          <w:rFonts w:ascii="Arial" w:hAnsi="Arial" w:cs="Arial"/>
        </w:rPr>
        <w:t>2.7 Strategic Advantage</w:t>
      </w:r>
      <w:bookmarkEnd w:id="11"/>
    </w:p>
    <w:p w14:paraId="5BDDD294" w14:textId="77777777" w:rsidR="00034883" w:rsidRPr="008F59EC" w:rsidRDefault="00034883" w:rsidP="0014211F">
      <w:pPr>
        <w:spacing w:line="360" w:lineRule="auto"/>
        <w:jc w:val="both"/>
        <w:rPr>
          <w:rFonts w:ascii="Arial" w:hAnsi="Arial" w:cs="Arial"/>
        </w:rPr>
      </w:pPr>
    </w:p>
    <w:p w14:paraId="67E45294" w14:textId="464F8F4C" w:rsidR="00034883" w:rsidRPr="008F59EC" w:rsidRDefault="00EC30AA" w:rsidP="0014211F">
      <w:pPr>
        <w:spacing w:line="360" w:lineRule="auto"/>
        <w:jc w:val="both"/>
        <w:rPr>
          <w:rFonts w:ascii="Arial" w:hAnsi="Arial" w:cs="Arial"/>
        </w:rPr>
      </w:pPr>
      <w:r w:rsidRPr="008F59EC">
        <w:rPr>
          <w:rFonts w:ascii="Arial" w:hAnsi="Arial" w:cs="Arial"/>
        </w:rPr>
        <w:t xml:space="preserve">Sense Mortgage and </w:t>
      </w:r>
      <w:r w:rsidR="00034883" w:rsidRPr="008F59EC">
        <w:rPr>
          <w:rFonts w:ascii="Arial" w:hAnsi="Arial" w:cs="Arial"/>
        </w:rPr>
        <w:t>Residential’s strategic advantage is derived from a combination of regulatory alignment, operational flexibility, and client-focused differentiation. The compliance-led AR structure reduces regulatory risk and supports early-stage stability, while the hybrid service model aligns with contemporary borrower preferences. Additional advantages include a scalable cost structure, digital efficiency, and a phased growth strategy that prioritises service quality over rapid expansion.</w:t>
      </w:r>
    </w:p>
    <w:p w14:paraId="3D40D74D" w14:textId="77777777" w:rsidR="00034883" w:rsidRPr="008F59EC" w:rsidRDefault="00034883" w:rsidP="0014211F">
      <w:pPr>
        <w:spacing w:line="360" w:lineRule="auto"/>
        <w:jc w:val="both"/>
        <w:rPr>
          <w:rFonts w:ascii="Arial" w:hAnsi="Arial" w:cs="Arial"/>
        </w:rPr>
      </w:pPr>
    </w:p>
    <w:p w14:paraId="7B906F26" w14:textId="77777777" w:rsidR="00034883" w:rsidRPr="008F59EC" w:rsidRDefault="00034883" w:rsidP="0014211F">
      <w:pPr>
        <w:spacing w:line="360" w:lineRule="auto"/>
        <w:jc w:val="both"/>
        <w:rPr>
          <w:rFonts w:ascii="Arial" w:hAnsi="Arial" w:cs="Arial"/>
        </w:rPr>
      </w:pPr>
      <w:r w:rsidRPr="008F59EC">
        <w:rPr>
          <w:rFonts w:ascii="Arial" w:hAnsi="Arial" w:cs="Arial"/>
        </w:rPr>
        <w:lastRenderedPageBreak/>
        <w:t>Together, these factors provide a defensible competitive position within a highly regulated and competitive market.</w:t>
      </w:r>
    </w:p>
    <w:p w14:paraId="6F04FE43" w14:textId="77777777" w:rsidR="00034883" w:rsidRPr="008F59EC" w:rsidRDefault="00034883" w:rsidP="0014211F">
      <w:pPr>
        <w:spacing w:line="360" w:lineRule="auto"/>
        <w:jc w:val="both"/>
        <w:rPr>
          <w:rFonts w:ascii="Arial" w:hAnsi="Arial" w:cs="Arial"/>
        </w:rPr>
      </w:pPr>
    </w:p>
    <w:p w14:paraId="2D9B3B1D" w14:textId="77777777" w:rsidR="00034883" w:rsidRPr="008F59EC" w:rsidRDefault="00034883" w:rsidP="00293FED">
      <w:pPr>
        <w:pStyle w:val="Heading2"/>
        <w:rPr>
          <w:rFonts w:ascii="Arial" w:hAnsi="Arial" w:cs="Arial"/>
        </w:rPr>
      </w:pPr>
      <w:bookmarkStart w:id="12" w:name="_Toc219926257"/>
      <w:r w:rsidRPr="008F59EC">
        <w:rPr>
          <w:rFonts w:ascii="Arial" w:hAnsi="Arial" w:cs="Arial"/>
        </w:rPr>
        <w:t>2.8 Summary</w:t>
      </w:r>
      <w:bookmarkEnd w:id="12"/>
    </w:p>
    <w:p w14:paraId="37379B3B" w14:textId="77777777" w:rsidR="00034883" w:rsidRPr="008F59EC" w:rsidRDefault="00034883" w:rsidP="0014211F">
      <w:pPr>
        <w:spacing w:line="360" w:lineRule="auto"/>
        <w:jc w:val="both"/>
        <w:rPr>
          <w:rFonts w:ascii="Arial" w:hAnsi="Arial" w:cs="Arial"/>
        </w:rPr>
      </w:pPr>
    </w:p>
    <w:p w14:paraId="1F9B3F25" w14:textId="3FE56E91" w:rsidR="00AC6E35" w:rsidRPr="008F59EC" w:rsidRDefault="00034883" w:rsidP="0014211F">
      <w:pPr>
        <w:spacing w:line="360" w:lineRule="auto"/>
        <w:jc w:val="both"/>
        <w:rPr>
          <w:rFonts w:ascii="Arial" w:hAnsi="Arial" w:cs="Arial"/>
        </w:rPr>
      </w:pPr>
      <w:r w:rsidRPr="008F59EC">
        <w:rPr>
          <w:rFonts w:ascii="Arial" w:hAnsi="Arial" w:cs="Arial"/>
        </w:rPr>
        <w:t xml:space="preserve">This chapter has outlined the strategic and organisational foundations of </w:t>
      </w:r>
      <w:r w:rsidR="00EC30AA" w:rsidRPr="008F59EC">
        <w:rPr>
          <w:rFonts w:ascii="Arial" w:hAnsi="Arial" w:cs="Arial"/>
        </w:rPr>
        <w:t>Sense Mortgage and Residential</w:t>
      </w:r>
      <w:r w:rsidRPr="008F59EC">
        <w:rPr>
          <w:rFonts w:ascii="Arial" w:hAnsi="Arial" w:cs="Arial"/>
        </w:rPr>
        <w:t>, including its business identity, legal structure, regulatory framework, mission, and value proposition. The analysis demonstrates that key strategic decisions are grounded in both regulatory requirements and industry conditions. By integrating compliance excellence, personalised service, and scalable operations, the business is positioned to operate responsibly and competitively within the UK mortgage advisory sector. These foundations support the market analysis, operational planning, and financial evaluation presented in subsequent chapters.</w:t>
      </w:r>
    </w:p>
    <w:p w14:paraId="075253EA" w14:textId="77777777" w:rsidR="00CD0BFF" w:rsidRPr="008F59EC" w:rsidRDefault="00CD0BFF" w:rsidP="0014211F">
      <w:pPr>
        <w:spacing w:line="360" w:lineRule="auto"/>
        <w:jc w:val="both"/>
        <w:rPr>
          <w:rFonts w:ascii="Arial" w:hAnsi="Arial" w:cs="Arial"/>
        </w:rPr>
      </w:pPr>
    </w:p>
    <w:p w14:paraId="382F7D3F" w14:textId="77777777" w:rsidR="0098008F" w:rsidRPr="008F59EC" w:rsidRDefault="0098008F" w:rsidP="0014211F">
      <w:pPr>
        <w:spacing w:line="360" w:lineRule="auto"/>
        <w:jc w:val="both"/>
        <w:rPr>
          <w:rFonts w:ascii="Arial" w:hAnsi="Arial" w:cs="Arial"/>
        </w:rPr>
      </w:pPr>
    </w:p>
    <w:p w14:paraId="12A8C946" w14:textId="77777777" w:rsidR="0098008F" w:rsidRPr="008F59EC" w:rsidRDefault="0098008F" w:rsidP="0014211F">
      <w:pPr>
        <w:pBdr>
          <w:bottom w:val="single" w:sz="4" w:space="1" w:color="auto"/>
        </w:pBdr>
        <w:spacing w:line="360" w:lineRule="auto"/>
        <w:jc w:val="both"/>
        <w:rPr>
          <w:rFonts w:ascii="Arial" w:hAnsi="Arial" w:cs="Arial"/>
        </w:rPr>
      </w:pPr>
    </w:p>
    <w:p w14:paraId="7BD4B61E" w14:textId="77777777" w:rsidR="0098008F" w:rsidRPr="008F59EC" w:rsidRDefault="0098008F" w:rsidP="0014211F">
      <w:pPr>
        <w:spacing w:line="360" w:lineRule="auto"/>
        <w:jc w:val="both"/>
        <w:rPr>
          <w:rFonts w:ascii="Arial" w:hAnsi="Arial" w:cs="Arial"/>
        </w:rPr>
      </w:pPr>
    </w:p>
    <w:p w14:paraId="19F2418E" w14:textId="77777777" w:rsidR="00D40CC0" w:rsidRPr="008F59EC" w:rsidRDefault="00D40CC0" w:rsidP="0014211F">
      <w:pPr>
        <w:spacing w:line="360" w:lineRule="auto"/>
        <w:jc w:val="both"/>
        <w:rPr>
          <w:rFonts w:ascii="Arial" w:hAnsi="Arial" w:cs="Arial"/>
        </w:rPr>
      </w:pPr>
    </w:p>
    <w:p w14:paraId="3E8739AF" w14:textId="77777777" w:rsidR="00D40CC0" w:rsidRPr="008F59EC" w:rsidRDefault="00D40CC0" w:rsidP="0014211F">
      <w:pPr>
        <w:spacing w:line="360" w:lineRule="auto"/>
        <w:jc w:val="both"/>
        <w:rPr>
          <w:rFonts w:ascii="Arial" w:hAnsi="Arial" w:cs="Arial"/>
        </w:rPr>
      </w:pPr>
    </w:p>
    <w:p w14:paraId="3B21C801" w14:textId="77777777" w:rsidR="00D40CC0" w:rsidRPr="008F59EC" w:rsidRDefault="00D40CC0" w:rsidP="0014211F">
      <w:pPr>
        <w:spacing w:line="360" w:lineRule="auto"/>
        <w:jc w:val="both"/>
        <w:rPr>
          <w:rFonts w:ascii="Arial" w:hAnsi="Arial" w:cs="Arial"/>
        </w:rPr>
      </w:pPr>
    </w:p>
    <w:p w14:paraId="744ED54D" w14:textId="77777777" w:rsidR="00D40CC0" w:rsidRPr="008F59EC" w:rsidRDefault="00D40CC0" w:rsidP="0014211F">
      <w:pPr>
        <w:spacing w:line="360" w:lineRule="auto"/>
        <w:jc w:val="both"/>
        <w:rPr>
          <w:rFonts w:ascii="Arial" w:hAnsi="Arial" w:cs="Arial"/>
        </w:rPr>
      </w:pPr>
    </w:p>
    <w:p w14:paraId="03AC1C9F" w14:textId="77777777" w:rsidR="00D40CC0" w:rsidRPr="008F59EC" w:rsidRDefault="00D40CC0" w:rsidP="0014211F">
      <w:pPr>
        <w:spacing w:line="360" w:lineRule="auto"/>
        <w:jc w:val="both"/>
        <w:rPr>
          <w:rFonts w:ascii="Arial" w:hAnsi="Arial" w:cs="Arial"/>
        </w:rPr>
      </w:pPr>
    </w:p>
    <w:p w14:paraId="3A191DFF" w14:textId="77777777" w:rsidR="00D40CC0" w:rsidRPr="008F59EC" w:rsidRDefault="00D40CC0" w:rsidP="0014211F">
      <w:pPr>
        <w:spacing w:line="360" w:lineRule="auto"/>
        <w:jc w:val="both"/>
        <w:rPr>
          <w:rFonts w:ascii="Arial" w:hAnsi="Arial" w:cs="Arial"/>
        </w:rPr>
      </w:pPr>
    </w:p>
    <w:p w14:paraId="5BED71D6" w14:textId="77777777" w:rsidR="00D40CC0" w:rsidRPr="008F59EC" w:rsidRDefault="00D40CC0" w:rsidP="0014211F">
      <w:pPr>
        <w:spacing w:line="360" w:lineRule="auto"/>
        <w:jc w:val="both"/>
        <w:rPr>
          <w:rFonts w:ascii="Arial" w:hAnsi="Arial" w:cs="Arial"/>
        </w:rPr>
      </w:pPr>
    </w:p>
    <w:p w14:paraId="7036A685" w14:textId="77777777" w:rsidR="00D40CC0" w:rsidRPr="008F59EC" w:rsidRDefault="00D40CC0" w:rsidP="0014211F">
      <w:pPr>
        <w:spacing w:line="360" w:lineRule="auto"/>
        <w:jc w:val="both"/>
        <w:rPr>
          <w:rFonts w:ascii="Arial" w:hAnsi="Arial" w:cs="Arial"/>
        </w:rPr>
      </w:pPr>
    </w:p>
    <w:p w14:paraId="24E1E316" w14:textId="77777777" w:rsidR="00D40CC0" w:rsidRPr="008F59EC" w:rsidRDefault="00D40CC0" w:rsidP="0014211F">
      <w:pPr>
        <w:spacing w:line="360" w:lineRule="auto"/>
        <w:jc w:val="both"/>
        <w:rPr>
          <w:rFonts w:ascii="Arial" w:hAnsi="Arial" w:cs="Arial"/>
        </w:rPr>
      </w:pPr>
    </w:p>
    <w:p w14:paraId="44C09E5D" w14:textId="7B9F2F2E" w:rsidR="00F348D3" w:rsidRPr="008F59EC" w:rsidRDefault="00F348D3" w:rsidP="00293FED">
      <w:pPr>
        <w:pStyle w:val="Heading1"/>
        <w:rPr>
          <w:rFonts w:ascii="Arial" w:hAnsi="Arial" w:cs="Arial"/>
        </w:rPr>
      </w:pPr>
      <w:bookmarkStart w:id="13" w:name="_Toc219926258"/>
      <w:r w:rsidRPr="008F59EC">
        <w:rPr>
          <w:rFonts w:ascii="Arial" w:hAnsi="Arial" w:cs="Arial"/>
        </w:rPr>
        <w:lastRenderedPageBreak/>
        <w:t>Chapter 3: Market Research</w:t>
      </w:r>
      <w:bookmarkEnd w:id="13"/>
    </w:p>
    <w:p w14:paraId="2C882A15" w14:textId="77777777" w:rsidR="00F348D3" w:rsidRPr="008F59EC" w:rsidRDefault="00F348D3" w:rsidP="00293FED">
      <w:pPr>
        <w:pStyle w:val="Heading2"/>
        <w:rPr>
          <w:rFonts w:ascii="Arial" w:hAnsi="Arial" w:cs="Arial"/>
        </w:rPr>
      </w:pPr>
      <w:bookmarkStart w:id="14" w:name="_Toc219926259"/>
      <w:r w:rsidRPr="008F59EC">
        <w:rPr>
          <w:rFonts w:ascii="Arial" w:hAnsi="Arial" w:cs="Arial"/>
        </w:rPr>
        <w:t>3.1 Industry Overview</w:t>
      </w:r>
      <w:bookmarkEnd w:id="14"/>
    </w:p>
    <w:p w14:paraId="7EC3285D" w14:textId="77777777" w:rsidR="00F348D3" w:rsidRPr="008F59EC" w:rsidRDefault="00F348D3" w:rsidP="0014211F">
      <w:pPr>
        <w:spacing w:line="360" w:lineRule="auto"/>
        <w:jc w:val="both"/>
        <w:rPr>
          <w:rFonts w:ascii="Arial" w:hAnsi="Arial" w:cs="Arial"/>
        </w:rPr>
      </w:pPr>
    </w:p>
    <w:p w14:paraId="1FF07598" w14:textId="77777777" w:rsidR="00F348D3" w:rsidRPr="008F59EC" w:rsidRDefault="00F348D3" w:rsidP="0014211F">
      <w:pPr>
        <w:spacing w:line="360" w:lineRule="auto"/>
        <w:jc w:val="both"/>
        <w:rPr>
          <w:rFonts w:ascii="Arial" w:hAnsi="Arial" w:cs="Arial"/>
        </w:rPr>
      </w:pPr>
      <w:r w:rsidRPr="008F59EC">
        <w:rPr>
          <w:rFonts w:ascii="Arial" w:hAnsi="Arial" w:cs="Arial"/>
        </w:rPr>
        <w:t>The UK mortgage market represents a mature but resilient financial services sector that continues to demonstrate sustained demand despite economic and regulatory pressures. Gross mortgage lending in the UK exceeded £300 billion in recent years, supported by population growth, housing demand, and the continued role of mortgage refinancing (UK Finance, 2024). While macroeconomic uncertainty and interest rate volatility have affected transaction volumes, overall demand for mortgage advice has remained robust, particularly among first-time buyers and remortgaging households.</w:t>
      </w:r>
    </w:p>
    <w:p w14:paraId="66DBFACB" w14:textId="77777777" w:rsidR="00F348D3" w:rsidRPr="008F59EC" w:rsidRDefault="00F348D3" w:rsidP="0014211F">
      <w:pPr>
        <w:spacing w:line="360" w:lineRule="auto"/>
        <w:jc w:val="both"/>
        <w:rPr>
          <w:rFonts w:ascii="Arial" w:hAnsi="Arial" w:cs="Arial"/>
        </w:rPr>
      </w:pPr>
    </w:p>
    <w:p w14:paraId="38B6FB7F" w14:textId="0B4E12FE" w:rsidR="0098008F" w:rsidRPr="008F59EC" w:rsidRDefault="00F348D3" w:rsidP="0014211F">
      <w:pPr>
        <w:spacing w:line="360" w:lineRule="auto"/>
        <w:jc w:val="both"/>
        <w:rPr>
          <w:rFonts w:ascii="Arial" w:hAnsi="Arial" w:cs="Arial"/>
        </w:rPr>
      </w:pPr>
      <w:r w:rsidRPr="008F59EC">
        <w:rPr>
          <w:rFonts w:ascii="Arial" w:hAnsi="Arial" w:cs="Arial"/>
        </w:rPr>
        <w:t xml:space="preserve">Industry analysis indicates that regulatory tightening and increased product complexity have reinforced the importance of intermediary-led advice. MarketLine (2024) notes that mortgage intermediaries continue to play a central role in the market, as borrowers increasingly rely on professional guidance to navigate affordability assessments, regulatory requirements, and lender criteria. This trend supports the strategic rationale for establishing a compliance-focused advisory firm such as </w:t>
      </w:r>
      <w:r w:rsidR="00EC30AA" w:rsidRPr="008F59EC">
        <w:rPr>
          <w:rFonts w:ascii="Arial" w:hAnsi="Arial" w:cs="Arial"/>
        </w:rPr>
        <w:t xml:space="preserve">Sense Mortgage and </w:t>
      </w:r>
      <w:r w:rsidR="00D25C1D" w:rsidRPr="008F59EC">
        <w:rPr>
          <w:rFonts w:ascii="Arial" w:hAnsi="Arial" w:cs="Arial"/>
        </w:rPr>
        <w:t>Residential.</w:t>
      </w:r>
    </w:p>
    <w:p w14:paraId="38F5F29E" w14:textId="0C2D0F72" w:rsidR="00E87832" w:rsidRPr="008F59EC" w:rsidRDefault="00E87832" w:rsidP="0014211F">
      <w:pPr>
        <w:spacing w:line="360" w:lineRule="auto"/>
        <w:jc w:val="both"/>
        <w:rPr>
          <w:rFonts w:ascii="Arial" w:hAnsi="Arial" w:cs="Arial"/>
        </w:rPr>
      </w:pPr>
      <w:r w:rsidRPr="008F59EC">
        <w:rPr>
          <w:rFonts w:ascii="Arial" w:hAnsi="Arial" w:cs="Arial"/>
        </w:rPr>
        <w:t>Demand within the UK mortgage market is driven primarily by sustained housing needs, population growth, and fluctuations in interest rates, which influence both purchase and remortgage activity. Periods of interest rate change, in particular</w:t>
      </w:r>
      <w:r w:rsidR="0029673C" w:rsidRPr="008F59EC">
        <w:rPr>
          <w:rFonts w:ascii="Arial" w:hAnsi="Arial" w:cs="Arial"/>
        </w:rPr>
        <w:t>ly</w:t>
      </w:r>
      <w:r w:rsidRPr="008F59EC">
        <w:rPr>
          <w:rFonts w:ascii="Arial" w:hAnsi="Arial" w:cs="Arial"/>
        </w:rPr>
        <w:t xml:space="preserve"> creat</w:t>
      </w:r>
      <w:r w:rsidR="0029673C" w:rsidRPr="008F59EC">
        <w:rPr>
          <w:rFonts w:ascii="Arial" w:hAnsi="Arial" w:cs="Arial"/>
        </w:rPr>
        <w:t>e</w:t>
      </w:r>
      <w:r w:rsidRPr="008F59EC">
        <w:rPr>
          <w:rFonts w:ascii="Arial" w:hAnsi="Arial" w:cs="Arial"/>
        </w:rPr>
        <w:t xml:space="preserve"> recurring refinancing cycles that generate consistent demand for mortgage advice. In 2024, more than 1.6 million households reached the end of fixed-rate mortgage deals, leading to a significant increase in remortgaging activity (Deloitte, 2023). This trend highlights the structural nature of demand within the mortgage advisory sector and presents a stable revenue opportunity for intermediary firms. Furthermore, regional concentration of activity remains evident, with London and the </w:t>
      </w:r>
      <w:r w:rsidR="0029673C" w:rsidRPr="008F59EC">
        <w:rPr>
          <w:rFonts w:ascii="Arial" w:hAnsi="Arial" w:cs="Arial"/>
        </w:rPr>
        <w:t>Southeast</w:t>
      </w:r>
      <w:r w:rsidRPr="008F59EC">
        <w:rPr>
          <w:rFonts w:ascii="Arial" w:hAnsi="Arial" w:cs="Arial"/>
        </w:rPr>
        <w:t xml:space="preserve"> accounting for a disproportionate share of property transactions and mortgage lending. This is driven by higher property values, sustained housing demand, and relatively strong labour market conditions in these regions (ONS, 2024). </w:t>
      </w:r>
      <w:r w:rsidRPr="008F59EC">
        <w:rPr>
          <w:rFonts w:ascii="Arial" w:hAnsi="Arial" w:cs="Arial"/>
        </w:rPr>
        <w:lastRenderedPageBreak/>
        <w:t>These market characteristics support the strategic focus of advisory firms operating within high-demand geographic areas.</w:t>
      </w:r>
    </w:p>
    <w:p w14:paraId="252E701F" w14:textId="77777777" w:rsidR="00421E52" w:rsidRPr="008F59EC" w:rsidRDefault="00421E52" w:rsidP="0014211F">
      <w:pPr>
        <w:spacing w:line="360" w:lineRule="auto"/>
        <w:jc w:val="both"/>
        <w:rPr>
          <w:rFonts w:ascii="Arial" w:hAnsi="Arial" w:cs="Arial"/>
        </w:rPr>
      </w:pPr>
    </w:p>
    <w:p w14:paraId="037F506B" w14:textId="77777777" w:rsidR="00305771" w:rsidRPr="008F59EC" w:rsidRDefault="00305771" w:rsidP="0014211F">
      <w:pPr>
        <w:spacing w:line="360" w:lineRule="auto"/>
        <w:jc w:val="both"/>
        <w:rPr>
          <w:rFonts w:ascii="Arial" w:hAnsi="Arial" w:cs="Arial"/>
        </w:rPr>
      </w:pPr>
      <w:r w:rsidRPr="008F59EC">
        <w:rPr>
          <w:rFonts w:ascii="Arial" w:hAnsi="Arial" w:cs="Arial"/>
        </w:rPr>
        <w:t>While headline mortgage lending volumes fluctuate in response to interest rate movements, the underlying demand for mortgage advice remains structurally strong. This is because housing transactions and refinancing decisions are driven not only by price conditions but also by lifecycle events such as household formation, relocation, and financial restructuring. UK Finance (2024) reports that intermediary involvement continues to dominate the mortgage market, reflecting consumer reliance on professional advice amid increasingly complex affordability assessments and lender criteria.</w:t>
      </w:r>
    </w:p>
    <w:p w14:paraId="463CC887" w14:textId="77777777" w:rsidR="00305771" w:rsidRPr="008F59EC" w:rsidRDefault="00305771" w:rsidP="0014211F">
      <w:pPr>
        <w:spacing w:line="360" w:lineRule="auto"/>
        <w:jc w:val="both"/>
        <w:rPr>
          <w:rFonts w:ascii="Arial" w:hAnsi="Arial" w:cs="Arial"/>
        </w:rPr>
      </w:pPr>
    </w:p>
    <w:p w14:paraId="0FD3F381" w14:textId="259DF10C" w:rsidR="00421E52" w:rsidRPr="008F59EC" w:rsidRDefault="00305771" w:rsidP="0014211F">
      <w:pPr>
        <w:spacing w:line="360" w:lineRule="auto"/>
        <w:jc w:val="both"/>
        <w:rPr>
          <w:rFonts w:ascii="Arial" w:hAnsi="Arial" w:cs="Arial"/>
        </w:rPr>
      </w:pPr>
      <w:r w:rsidRPr="008F59EC">
        <w:rPr>
          <w:rFonts w:ascii="Arial" w:hAnsi="Arial" w:cs="Arial"/>
        </w:rPr>
        <w:t xml:space="preserve">For </w:t>
      </w:r>
      <w:r w:rsidR="00EC30AA" w:rsidRPr="008F59EC">
        <w:rPr>
          <w:rFonts w:ascii="Arial" w:hAnsi="Arial" w:cs="Arial"/>
        </w:rPr>
        <w:t xml:space="preserve">Sense Mortgage and </w:t>
      </w:r>
      <w:r w:rsidR="00D25C1D" w:rsidRPr="008F59EC">
        <w:rPr>
          <w:rFonts w:ascii="Arial" w:hAnsi="Arial" w:cs="Arial"/>
        </w:rPr>
        <w:t>Residential,</w:t>
      </w:r>
      <w:r w:rsidRPr="008F59EC">
        <w:rPr>
          <w:rFonts w:ascii="Arial" w:hAnsi="Arial" w:cs="Arial"/>
        </w:rPr>
        <w:t xml:space="preserve"> this environment presents an opportunity to enter the market with a value proposition focused on guidance rather than product comparison alone. As regulatory expectations increase and product structures become more nuanced, borrowers are less willing to rely solely on digital comparison tools. This reinforces the strategic relevance of adviser-led models, particularly for first-time buyers and remortgaging households navigating rate volatility (Deloitte, 2023).</w:t>
      </w:r>
    </w:p>
    <w:p w14:paraId="065247FB" w14:textId="77777777" w:rsidR="0026256F" w:rsidRPr="008F59EC" w:rsidRDefault="0026256F" w:rsidP="0014211F">
      <w:pPr>
        <w:spacing w:line="360" w:lineRule="auto"/>
        <w:jc w:val="both"/>
        <w:rPr>
          <w:rFonts w:ascii="Arial" w:hAnsi="Arial" w:cs="Arial"/>
        </w:rPr>
      </w:pPr>
    </w:p>
    <w:p w14:paraId="2420BF3F" w14:textId="77777777" w:rsidR="0026256F" w:rsidRPr="008F59EC" w:rsidRDefault="0026256F" w:rsidP="0014211F">
      <w:pPr>
        <w:spacing w:line="360" w:lineRule="auto"/>
        <w:jc w:val="both"/>
        <w:rPr>
          <w:rFonts w:ascii="Arial" w:hAnsi="Arial" w:cs="Arial"/>
        </w:rPr>
      </w:pPr>
    </w:p>
    <w:p w14:paraId="4B333E8C" w14:textId="77777777" w:rsidR="0026256F" w:rsidRPr="008F59EC" w:rsidRDefault="0026256F" w:rsidP="0014211F">
      <w:pPr>
        <w:spacing w:line="360" w:lineRule="auto"/>
        <w:jc w:val="both"/>
        <w:rPr>
          <w:rFonts w:ascii="Arial" w:hAnsi="Arial" w:cs="Arial"/>
        </w:rPr>
      </w:pPr>
    </w:p>
    <w:p w14:paraId="1D13C067" w14:textId="77777777" w:rsidR="0026256F" w:rsidRPr="008F59EC" w:rsidRDefault="0026256F" w:rsidP="0014211F">
      <w:pPr>
        <w:spacing w:line="360" w:lineRule="auto"/>
        <w:jc w:val="both"/>
        <w:rPr>
          <w:rFonts w:ascii="Arial" w:hAnsi="Arial" w:cs="Arial"/>
        </w:rPr>
      </w:pPr>
    </w:p>
    <w:p w14:paraId="4AF759E3" w14:textId="77777777" w:rsidR="0026256F" w:rsidRPr="008F59EC" w:rsidRDefault="0026256F" w:rsidP="0014211F">
      <w:pPr>
        <w:spacing w:line="360" w:lineRule="auto"/>
        <w:jc w:val="both"/>
        <w:rPr>
          <w:rFonts w:ascii="Arial" w:hAnsi="Arial" w:cs="Arial"/>
        </w:rPr>
      </w:pPr>
    </w:p>
    <w:p w14:paraId="52F6C6BC" w14:textId="77777777" w:rsidR="0026256F" w:rsidRPr="008F59EC" w:rsidRDefault="0026256F" w:rsidP="0014211F">
      <w:pPr>
        <w:spacing w:line="360" w:lineRule="auto"/>
        <w:jc w:val="both"/>
        <w:rPr>
          <w:rFonts w:ascii="Arial" w:hAnsi="Arial" w:cs="Arial"/>
        </w:rPr>
      </w:pPr>
    </w:p>
    <w:p w14:paraId="6DD441B9" w14:textId="77777777" w:rsidR="00421E52" w:rsidRPr="008F59EC" w:rsidRDefault="00421E52" w:rsidP="0014211F">
      <w:pPr>
        <w:spacing w:line="360" w:lineRule="auto"/>
        <w:jc w:val="both"/>
        <w:rPr>
          <w:rFonts w:ascii="Arial" w:hAnsi="Arial" w:cs="Arial"/>
        </w:rPr>
      </w:pPr>
    </w:p>
    <w:tbl>
      <w:tblPr>
        <w:tblStyle w:val="TableGrid"/>
        <w:tblW w:w="8885" w:type="dxa"/>
        <w:tblLook w:val="04A0" w:firstRow="1" w:lastRow="0" w:firstColumn="1" w:lastColumn="0" w:noHBand="0" w:noVBand="1"/>
      </w:tblPr>
      <w:tblGrid>
        <w:gridCol w:w="8885"/>
      </w:tblGrid>
      <w:tr w:rsidR="00544089" w:rsidRPr="008F59EC" w14:paraId="43263E4B" w14:textId="77777777" w:rsidTr="0026256F">
        <w:trPr>
          <w:trHeight w:val="1653"/>
        </w:trPr>
        <w:tc>
          <w:tcPr>
            <w:tcW w:w="8885" w:type="dxa"/>
          </w:tcPr>
          <w:p w14:paraId="35E6540A" w14:textId="77777777" w:rsidR="00544089" w:rsidRPr="008F59EC" w:rsidRDefault="00544089" w:rsidP="0014211F">
            <w:pPr>
              <w:spacing w:line="360" w:lineRule="auto"/>
              <w:jc w:val="both"/>
              <w:rPr>
                <w:rFonts w:ascii="Arial" w:hAnsi="Arial" w:cs="Arial"/>
                <w:noProof/>
              </w:rPr>
            </w:pPr>
          </w:p>
          <w:p w14:paraId="38A8EA03" w14:textId="65A0BCEC" w:rsidR="000143BE" w:rsidRPr="008F59EC" w:rsidRDefault="000143BE" w:rsidP="0014211F">
            <w:pPr>
              <w:spacing w:line="360" w:lineRule="auto"/>
              <w:jc w:val="both"/>
              <w:rPr>
                <w:rFonts w:ascii="Arial" w:hAnsi="Arial" w:cs="Arial"/>
              </w:rPr>
            </w:pPr>
            <w:r w:rsidRPr="008F59EC">
              <w:rPr>
                <w:rFonts w:ascii="Arial" w:hAnsi="Arial" w:cs="Arial"/>
                <w:noProof/>
              </w:rPr>
              <w:drawing>
                <wp:inline distT="0" distB="0" distL="0" distR="0" wp14:anchorId="627C9268" wp14:editId="1CE38060">
                  <wp:extent cx="5054509" cy="3313107"/>
                  <wp:effectExtent l="0" t="0" r="0" b="1905"/>
                  <wp:docPr id="13131110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00099" cy="3342990"/>
                          </a:xfrm>
                          <a:prstGeom prst="rect">
                            <a:avLst/>
                          </a:prstGeom>
                          <a:noFill/>
                          <a:ln>
                            <a:noFill/>
                          </a:ln>
                        </pic:spPr>
                      </pic:pic>
                    </a:graphicData>
                  </a:graphic>
                </wp:inline>
              </w:drawing>
            </w:r>
          </w:p>
        </w:tc>
      </w:tr>
    </w:tbl>
    <w:p w14:paraId="6F7E1471" w14:textId="48783225" w:rsidR="00421E52" w:rsidRPr="008F59EC" w:rsidRDefault="00421E52" w:rsidP="0014211F">
      <w:pPr>
        <w:spacing w:line="360" w:lineRule="auto"/>
        <w:jc w:val="both"/>
        <w:rPr>
          <w:rFonts w:ascii="Arial" w:hAnsi="Arial" w:cs="Arial"/>
          <w:i/>
          <w:iCs/>
        </w:rPr>
      </w:pPr>
    </w:p>
    <w:p w14:paraId="019B913C" w14:textId="2055A68A" w:rsidR="00D40CC0" w:rsidRPr="008F59EC" w:rsidRDefault="00D40CC0" w:rsidP="0014211F">
      <w:pPr>
        <w:spacing w:line="360" w:lineRule="auto"/>
        <w:jc w:val="both"/>
        <w:rPr>
          <w:rFonts w:ascii="Arial" w:hAnsi="Arial" w:cs="Arial"/>
          <w:i/>
          <w:iCs/>
        </w:rPr>
      </w:pPr>
      <w:r w:rsidRPr="008F59EC">
        <w:rPr>
          <w:rFonts w:ascii="Arial" w:hAnsi="Arial" w:cs="Arial"/>
          <w:i/>
          <w:iCs/>
        </w:rPr>
        <w:t>Figure 2: Mortgage trends report</w:t>
      </w:r>
    </w:p>
    <w:p w14:paraId="311CEF21" w14:textId="77777777" w:rsidR="00D6232D" w:rsidRPr="008F59EC" w:rsidRDefault="00D6232D" w:rsidP="0014211F">
      <w:pPr>
        <w:spacing w:line="360" w:lineRule="auto"/>
        <w:jc w:val="both"/>
        <w:rPr>
          <w:rFonts w:ascii="Arial" w:hAnsi="Arial" w:cs="Arial"/>
          <w:i/>
          <w:iCs/>
        </w:rPr>
      </w:pPr>
      <w:r w:rsidRPr="008F59EC">
        <w:rPr>
          <w:rFonts w:ascii="Arial" w:hAnsi="Arial" w:cs="Arial"/>
          <w:i/>
          <w:iCs/>
        </w:rPr>
        <w:t>Source: UK Finance (2024). Mortgage Trends Report.</w:t>
      </w:r>
    </w:p>
    <w:p w14:paraId="5E6F61C7" w14:textId="31489C01" w:rsidR="00791168" w:rsidRPr="008F59EC" w:rsidRDefault="005F61F7" w:rsidP="0014211F">
      <w:pPr>
        <w:spacing w:line="360" w:lineRule="auto"/>
        <w:jc w:val="both"/>
        <w:rPr>
          <w:rFonts w:ascii="Arial" w:hAnsi="Arial" w:cs="Arial"/>
        </w:rPr>
      </w:pPr>
      <w:r w:rsidRPr="008F59EC">
        <w:rPr>
          <w:rFonts w:ascii="Arial" w:hAnsi="Arial" w:cs="Arial"/>
        </w:rPr>
        <w:t xml:space="preserve">The mortgage market size illustrated above demonstrates the continued scale and resilience of the UK mortgage sector despite periods of economic uncertainty. Although lending volumes fluctuate in response to interest rate movements and affordability pressures, overall market activity remains substantial. This indicates that demand for mortgage finance is structural rather than cyclical. For advisory firms, such stability reinforces the ongoing need for professional mortgage advice, particularly as regulatory requirements and product complexity increase (MarketLine, 2024; UK Finance, 2024). The scale of the market therefore provides a credible commercial foundation for the entry of </w:t>
      </w:r>
      <w:r w:rsidR="00EC30AA" w:rsidRPr="008F59EC">
        <w:rPr>
          <w:rFonts w:ascii="Arial" w:hAnsi="Arial" w:cs="Arial"/>
        </w:rPr>
        <w:t xml:space="preserve">Sense Mortgage and </w:t>
      </w:r>
      <w:r w:rsidR="00D77E27" w:rsidRPr="008F59EC">
        <w:rPr>
          <w:rFonts w:ascii="Arial" w:hAnsi="Arial" w:cs="Arial"/>
        </w:rPr>
        <w:t>Residential.</w:t>
      </w:r>
    </w:p>
    <w:p w14:paraId="0DF378BC" w14:textId="77777777" w:rsidR="00595C57" w:rsidRPr="008F59EC" w:rsidRDefault="00595C57" w:rsidP="0014211F">
      <w:pPr>
        <w:spacing w:line="360" w:lineRule="auto"/>
        <w:jc w:val="both"/>
        <w:rPr>
          <w:rFonts w:ascii="Arial" w:hAnsi="Arial" w:cs="Arial"/>
        </w:rPr>
      </w:pPr>
    </w:p>
    <w:p w14:paraId="5F6CBA01" w14:textId="77777777" w:rsidR="00595C57" w:rsidRPr="008F59EC" w:rsidRDefault="00595C57" w:rsidP="00293FED">
      <w:pPr>
        <w:pStyle w:val="Heading2"/>
        <w:rPr>
          <w:rFonts w:ascii="Arial" w:hAnsi="Arial" w:cs="Arial"/>
        </w:rPr>
      </w:pPr>
      <w:bookmarkStart w:id="15" w:name="_Toc219926260"/>
      <w:r w:rsidRPr="008F59EC">
        <w:rPr>
          <w:rFonts w:ascii="Arial" w:hAnsi="Arial" w:cs="Arial"/>
        </w:rPr>
        <w:t>3.2 Market Segmentation, Targeting, and Positioning (STP Framework)</w:t>
      </w:r>
      <w:bookmarkEnd w:id="15"/>
    </w:p>
    <w:p w14:paraId="6928AEBF" w14:textId="77777777" w:rsidR="00595C57" w:rsidRPr="008F59EC" w:rsidRDefault="00595C57" w:rsidP="0014211F">
      <w:pPr>
        <w:spacing w:line="360" w:lineRule="auto"/>
        <w:jc w:val="both"/>
        <w:rPr>
          <w:rFonts w:ascii="Arial" w:hAnsi="Arial" w:cs="Arial"/>
        </w:rPr>
      </w:pPr>
    </w:p>
    <w:p w14:paraId="58C4D54A" w14:textId="77777777" w:rsidR="00595C57" w:rsidRPr="008F59EC" w:rsidRDefault="00595C57" w:rsidP="0014211F">
      <w:pPr>
        <w:spacing w:line="360" w:lineRule="auto"/>
        <w:jc w:val="both"/>
        <w:rPr>
          <w:rFonts w:ascii="Arial" w:hAnsi="Arial" w:cs="Arial"/>
        </w:rPr>
      </w:pPr>
      <w:r w:rsidRPr="008F59EC">
        <w:rPr>
          <w:rFonts w:ascii="Arial" w:hAnsi="Arial" w:cs="Arial"/>
        </w:rPr>
        <w:lastRenderedPageBreak/>
        <w:t>The UK mortgage market can be segmented into several distinct customer groups, including first-time buyers, home movers, buy-to-let investors, and remortgaging clients. Each segment demonstrates different motivations, risk profiles, and advice requirements, making segmentation essential for effective targeting and positioning (Kotler and Keller, 2023).</w:t>
      </w:r>
    </w:p>
    <w:p w14:paraId="1237540C" w14:textId="77777777" w:rsidR="00595C57" w:rsidRPr="008F59EC" w:rsidRDefault="00595C57" w:rsidP="0014211F">
      <w:pPr>
        <w:spacing w:line="360" w:lineRule="auto"/>
        <w:jc w:val="both"/>
        <w:rPr>
          <w:rFonts w:ascii="Arial" w:hAnsi="Arial" w:cs="Arial"/>
        </w:rPr>
      </w:pPr>
    </w:p>
    <w:p w14:paraId="6FA013DE" w14:textId="22F888EB" w:rsidR="00595C57" w:rsidRPr="008F59EC" w:rsidRDefault="00595C57" w:rsidP="0014211F">
      <w:pPr>
        <w:spacing w:line="360" w:lineRule="auto"/>
        <w:jc w:val="both"/>
        <w:rPr>
          <w:rFonts w:ascii="Arial" w:hAnsi="Arial" w:cs="Arial"/>
        </w:rPr>
      </w:pPr>
      <w:r w:rsidRPr="008F59EC">
        <w:rPr>
          <w:rFonts w:ascii="Arial" w:hAnsi="Arial" w:cs="Arial"/>
        </w:rPr>
        <w:t xml:space="preserve">First-time buyers represent a significant and growing segment, supported by demographic trends and government-backed affordability </w:t>
      </w:r>
      <w:r w:rsidR="00274FDF" w:rsidRPr="008F59EC">
        <w:rPr>
          <w:rFonts w:ascii="Arial" w:hAnsi="Arial" w:cs="Arial"/>
        </w:rPr>
        <w:t xml:space="preserve">initiatives. </w:t>
      </w:r>
      <w:r w:rsidR="00940BAE" w:rsidRPr="008F59EC">
        <w:rPr>
          <w:rFonts w:ascii="Arial" w:hAnsi="Arial" w:cs="Arial"/>
        </w:rPr>
        <w:t>MarketLine (</w:t>
      </w:r>
      <w:r w:rsidRPr="008F59EC">
        <w:rPr>
          <w:rFonts w:ascii="Arial" w:hAnsi="Arial" w:cs="Arial"/>
        </w:rPr>
        <w:t>2024) highlights continued growth in first-time buyer activity, driven by long-term housing demand despite short-term affordability challenges. This segment typically requires high levels of guidance due to limited prior experience and regulatory complexity.</w:t>
      </w:r>
    </w:p>
    <w:p w14:paraId="6B271EBC" w14:textId="77777777" w:rsidR="00595C57" w:rsidRPr="008F59EC" w:rsidRDefault="00595C57" w:rsidP="0014211F">
      <w:pPr>
        <w:spacing w:line="360" w:lineRule="auto"/>
        <w:jc w:val="both"/>
        <w:rPr>
          <w:rFonts w:ascii="Arial" w:hAnsi="Arial" w:cs="Arial"/>
        </w:rPr>
      </w:pPr>
    </w:p>
    <w:p w14:paraId="56D31280" w14:textId="77777777" w:rsidR="00595C57" w:rsidRPr="008F59EC" w:rsidRDefault="00595C57" w:rsidP="0014211F">
      <w:pPr>
        <w:spacing w:line="360" w:lineRule="auto"/>
        <w:jc w:val="both"/>
        <w:rPr>
          <w:rFonts w:ascii="Arial" w:hAnsi="Arial" w:cs="Arial"/>
        </w:rPr>
      </w:pPr>
      <w:r w:rsidRPr="008F59EC">
        <w:rPr>
          <w:rFonts w:ascii="Arial" w:hAnsi="Arial" w:cs="Arial"/>
        </w:rPr>
        <w:t>Remortgaging clients form another key segment, particularly during periods of interest rate fluctuation. UK Finance (2024) reports that large volumes of borrowers continue to refinance as fixed-rate deals expire, creating sustained demand for advisory services. Buy-to-let investors represent a smaller but more complex segment, requiring specialist advice due to tax, regulatory, and portfolio considerations.</w:t>
      </w:r>
    </w:p>
    <w:p w14:paraId="71C15591" w14:textId="5FDEE33F" w:rsidR="00D04670" w:rsidRPr="008F59EC" w:rsidRDefault="00D04670" w:rsidP="0014211F">
      <w:pPr>
        <w:spacing w:line="360" w:lineRule="auto"/>
        <w:jc w:val="both"/>
        <w:rPr>
          <w:rFonts w:ascii="Arial" w:hAnsi="Arial" w:cs="Arial"/>
        </w:rPr>
      </w:pPr>
      <w:r w:rsidRPr="008F59EC">
        <w:rPr>
          <w:rFonts w:ascii="Arial" w:hAnsi="Arial" w:cs="Arial"/>
        </w:rPr>
        <w:t xml:space="preserve">The UK mortgage market can be segmented into four primary customer groups: first-time buyers, home movers, remortgaging households, and buy-to-let investors. Recent data indicates that market activity is distributed unevenly across these segments. In 2024, approximately 520,000 remortgage transactions were recorded, compared with around 370,000 first-time buyer transactions, 300,000 home mover transactions, and 220,000 buy-to-let transactions (ONS, 2024; UK Finance, 2024). Remortgaging therefore represents the largest proportion of market activity, driven primarily by interest rate fluctuations and the high volume of fixed-rate mortgage expiries. This segment presents a particularly attractive opportunity for advisory firms, as remortgage clients typically re-enter the market every two to five years, creating recurring demand and repeat business potential. These characteristics align closely with the service model of </w:t>
      </w:r>
      <w:r w:rsidR="00EC30AA" w:rsidRPr="008F59EC">
        <w:rPr>
          <w:rFonts w:ascii="Arial" w:hAnsi="Arial" w:cs="Arial"/>
        </w:rPr>
        <w:t xml:space="preserve">Sense Mortgage and </w:t>
      </w:r>
      <w:r w:rsidR="00D77E27" w:rsidRPr="008F59EC">
        <w:rPr>
          <w:rFonts w:ascii="Arial" w:hAnsi="Arial" w:cs="Arial"/>
        </w:rPr>
        <w:t>Residential,</w:t>
      </w:r>
      <w:r w:rsidRPr="008F59EC">
        <w:rPr>
          <w:rFonts w:ascii="Arial" w:hAnsi="Arial" w:cs="Arial"/>
        </w:rPr>
        <w:t xml:space="preserve"> which prioritises long-term client relationships and ongoing advisory support.</w:t>
      </w:r>
    </w:p>
    <w:tbl>
      <w:tblPr>
        <w:tblStyle w:val="GridTable5Dark-Accent4"/>
        <w:tblpPr w:leftFromText="180" w:rightFromText="180" w:vertAnchor="text" w:horzAnchor="margin" w:tblpXSpec="center" w:tblpY="381"/>
        <w:tblW w:w="9265" w:type="dxa"/>
        <w:tblLook w:val="04A0" w:firstRow="1" w:lastRow="0" w:firstColumn="1" w:lastColumn="0" w:noHBand="0" w:noVBand="1"/>
      </w:tblPr>
      <w:tblGrid>
        <w:gridCol w:w="1911"/>
        <w:gridCol w:w="2680"/>
        <w:gridCol w:w="3064"/>
        <w:gridCol w:w="1610"/>
      </w:tblGrid>
      <w:tr w:rsidR="003B4650" w:rsidRPr="008F59EC" w14:paraId="01ED49B3" w14:textId="77777777" w:rsidTr="00AD20EE">
        <w:trPr>
          <w:cnfStyle w:val="100000000000" w:firstRow="1" w:lastRow="0" w:firstColumn="0" w:lastColumn="0" w:oddVBand="0" w:evenVBand="0" w:oddHBand="0"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1911" w:type="dxa"/>
            <w:tcBorders>
              <w:top w:val="single" w:sz="4" w:space="0" w:color="auto"/>
              <w:left w:val="single" w:sz="4" w:space="0" w:color="auto"/>
            </w:tcBorders>
          </w:tcPr>
          <w:p w14:paraId="226DCCD7" w14:textId="77777777" w:rsidR="00D04670" w:rsidRPr="008F59EC" w:rsidRDefault="00D04670" w:rsidP="0014211F">
            <w:pPr>
              <w:spacing w:line="360" w:lineRule="auto"/>
              <w:jc w:val="both"/>
              <w:rPr>
                <w:rFonts w:ascii="Arial" w:hAnsi="Arial" w:cs="Arial"/>
              </w:rPr>
            </w:pPr>
            <w:r w:rsidRPr="008F59EC">
              <w:rPr>
                <w:rFonts w:ascii="Arial" w:hAnsi="Arial" w:cs="Arial"/>
              </w:rPr>
              <w:lastRenderedPageBreak/>
              <w:t>Segment</w:t>
            </w:r>
          </w:p>
        </w:tc>
        <w:tc>
          <w:tcPr>
            <w:tcW w:w="2680" w:type="dxa"/>
            <w:tcBorders>
              <w:top w:val="single" w:sz="4" w:space="0" w:color="auto"/>
            </w:tcBorders>
          </w:tcPr>
          <w:p w14:paraId="69582B18" w14:textId="77777777" w:rsidR="00D04670" w:rsidRPr="008F59EC" w:rsidRDefault="00D04670" w:rsidP="0014211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Characteristics</w:t>
            </w:r>
          </w:p>
        </w:tc>
        <w:tc>
          <w:tcPr>
            <w:tcW w:w="3064" w:type="dxa"/>
            <w:tcBorders>
              <w:top w:val="single" w:sz="4" w:space="0" w:color="auto"/>
            </w:tcBorders>
          </w:tcPr>
          <w:p w14:paraId="767A337F" w14:textId="77777777" w:rsidR="00D04670" w:rsidRPr="008F59EC" w:rsidRDefault="00D04670" w:rsidP="0014211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Needs</w:t>
            </w:r>
          </w:p>
        </w:tc>
        <w:tc>
          <w:tcPr>
            <w:tcW w:w="1610" w:type="dxa"/>
            <w:tcBorders>
              <w:top w:val="single" w:sz="4" w:space="0" w:color="auto"/>
              <w:right w:val="single" w:sz="4" w:space="0" w:color="auto"/>
            </w:tcBorders>
          </w:tcPr>
          <w:p w14:paraId="49169209" w14:textId="77777777" w:rsidR="00D04670" w:rsidRPr="008F59EC" w:rsidRDefault="00D04670" w:rsidP="0014211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Opportunity Level</w:t>
            </w:r>
          </w:p>
        </w:tc>
      </w:tr>
      <w:tr w:rsidR="00D04670" w:rsidRPr="008F59EC" w14:paraId="18A25E4D" w14:textId="77777777" w:rsidTr="00AD20EE">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1911" w:type="dxa"/>
            <w:tcBorders>
              <w:left w:val="single" w:sz="4" w:space="0" w:color="auto"/>
            </w:tcBorders>
          </w:tcPr>
          <w:p w14:paraId="0731171F" w14:textId="77777777" w:rsidR="00D04670" w:rsidRPr="008F59EC" w:rsidRDefault="00D04670" w:rsidP="0014211F">
            <w:pPr>
              <w:spacing w:line="360" w:lineRule="auto"/>
              <w:jc w:val="both"/>
              <w:rPr>
                <w:rFonts w:ascii="Arial" w:hAnsi="Arial" w:cs="Arial"/>
              </w:rPr>
            </w:pPr>
            <w:r w:rsidRPr="008F59EC">
              <w:rPr>
                <w:rFonts w:ascii="Arial" w:hAnsi="Arial" w:cs="Arial"/>
              </w:rPr>
              <w:t>First-Time Buyers</w:t>
            </w:r>
          </w:p>
        </w:tc>
        <w:tc>
          <w:tcPr>
            <w:tcW w:w="2680" w:type="dxa"/>
          </w:tcPr>
          <w:p w14:paraId="0150B17F" w14:textId="77777777" w:rsidR="00D04670" w:rsidRPr="008F59EC" w:rsidRDefault="00D04670"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Early-stage buyers with limited experience</w:t>
            </w:r>
          </w:p>
        </w:tc>
        <w:tc>
          <w:tcPr>
            <w:tcW w:w="3064" w:type="dxa"/>
          </w:tcPr>
          <w:p w14:paraId="0FB60635" w14:textId="77777777" w:rsidR="00D04670" w:rsidRPr="008F59EC" w:rsidRDefault="00D04670"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Guidance, affordability assessment, education</w:t>
            </w:r>
          </w:p>
        </w:tc>
        <w:tc>
          <w:tcPr>
            <w:tcW w:w="1610" w:type="dxa"/>
            <w:tcBorders>
              <w:right w:val="single" w:sz="4" w:space="0" w:color="auto"/>
            </w:tcBorders>
          </w:tcPr>
          <w:p w14:paraId="5518E8DD" w14:textId="77777777" w:rsidR="00D04670" w:rsidRPr="008F59EC" w:rsidRDefault="00D04670"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High</w:t>
            </w:r>
          </w:p>
          <w:p w14:paraId="37AA3AE6" w14:textId="77777777" w:rsidR="00D04670" w:rsidRPr="008F59EC" w:rsidRDefault="00D04670"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04670" w:rsidRPr="008F59EC" w14:paraId="652C5FF2" w14:textId="77777777" w:rsidTr="00AD20EE">
        <w:trPr>
          <w:trHeight w:val="444"/>
        </w:trPr>
        <w:tc>
          <w:tcPr>
            <w:cnfStyle w:val="001000000000" w:firstRow="0" w:lastRow="0" w:firstColumn="1" w:lastColumn="0" w:oddVBand="0" w:evenVBand="0" w:oddHBand="0" w:evenHBand="0" w:firstRowFirstColumn="0" w:firstRowLastColumn="0" w:lastRowFirstColumn="0" w:lastRowLastColumn="0"/>
            <w:tcW w:w="1911" w:type="dxa"/>
            <w:tcBorders>
              <w:left w:val="single" w:sz="4" w:space="0" w:color="auto"/>
            </w:tcBorders>
          </w:tcPr>
          <w:p w14:paraId="28087429" w14:textId="77777777" w:rsidR="00D04670" w:rsidRPr="008F59EC" w:rsidRDefault="00D04670" w:rsidP="0014211F">
            <w:pPr>
              <w:spacing w:line="360" w:lineRule="auto"/>
              <w:jc w:val="both"/>
              <w:rPr>
                <w:rFonts w:ascii="Arial" w:hAnsi="Arial" w:cs="Arial"/>
              </w:rPr>
            </w:pPr>
            <w:r w:rsidRPr="008F59EC">
              <w:rPr>
                <w:rFonts w:ascii="Arial" w:hAnsi="Arial" w:cs="Arial"/>
              </w:rPr>
              <w:t>Remortgage Customers</w:t>
            </w:r>
          </w:p>
        </w:tc>
        <w:tc>
          <w:tcPr>
            <w:tcW w:w="2680" w:type="dxa"/>
          </w:tcPr>
          <w:p w14:paraId="675D079C" w14:textId="77777777" w:rsidR="00D04670" w:rsidRPr="008F59EC" w:rsidRDefault="00D04670"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Existing homeowners seeking better rates</w:t>
            </w:r>
          </w:p>
        </w:tc>
        <w:tc>
          <w:tcPr>
            <w:tcW w:w="3064" w:type="dxa"/>
          </w:tcPr>
          <w:p w14:paraId="76F9C6C8" w14:textId="77777777" w:rsidR="00D04670" w:rsidRPr="008F59EC" w:rsidRDefault="00D04670"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Competitive comparisons, efficient processing</w:t>
            </w:r>
          </w:p>
        </w:tc>
        <w:tc>
          <w:tcPr>
            <w:tcW w:w="1610" w:type="dxa"/>
            <w:tcBorders>
              <w:right w:val="single" w:sz="4" w:space="0" w:color="auto"/>
            </w:tcBorders>
          </w:tcPr>
          <w:p w14:paraId="674BE210" w14:textId="77777777" w:rsidR="00D04670" w:rsidRPr="008F59EC" w:rsidRDefault="00D04670"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High</w:t>
            </w:r>
          </w:p>
        </w:tc>
      </w:tr>
      <w:tr w:rsidR="00D04670" w:rsidRPr="008F59EC" w14:paraId="1F97F6A5" w14:textId="77777777" w:rsidTr="00AD20E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1911" w:type="dxa"/>
            <w:tcBorders>
              <w:left w:val="single" w:sz="4" w:space="0" w:color="auto"/>
            </w:tcBorders>
          </w:tcPr>
          <w:p w14:paraId="7269A279" w14:textId="77777777" w:rsidR="00D04670" w:rsidRPr="008F59EC" w:rsidRDefault="00D04670" w:rsidP="0014211F">
            <w:pPr>
              <w:spacing w:line="360" w:lineRule="auto"/>
              <w:jc w:val="both"/>
              <w:rPr>
                <w:rFonts w:ascii="Arial" w:hAnsi="Arial" w:cs="Arial"/>
              </w:rPr>
            </w:pPr>
            <w:r w:rsidRPr="008F59EC">
              <w:rPr>
                <w:rFonts w:ascii="Arial" w:hAnsi="Arial" w:cs="Arial"/>
              </w:rPr>
              <w:t>Home Movers</w:t>
            </w:r>
          </w:p>
        </w:tc>
        <w:tc>
          <w:tcPr>
            <w:tcW w:w="2680" w:type="dxa"/>
          </w:tcPr>
          <w:p w14:paraId="598AFACF" w14:textId="77777777" w:rsidR="00D04670" w:rsidRPr="008F59EC" w:rsidRDefault="00D04670"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Individuals and families relocating</w:t>
            </w:r>
          </w:p>
        </w:tc>
        <w:tc>
          <w:tcPr>
            <w:tcW w:w="3064" w:type="dxa"/>
          </w:tcPr>
          <w:p w14:paraId="43C4C4F8" w14:textId="77777777" w:rsidR="00D04670" w:rsidRPr="008F59EC" w:rsidRDefault="00D04670"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Timelines, chain coordination, flexibility</w:t>
            </w:r>
          </w:p>
        </w:tc>
        <w:tc>
          <w:tcPr>
            <w:tcW w:w="1610" w:type="dxa"/>
            <w:tcBorders>
              <w:right w:val="single" w:sz="4" w:space="0" w:color="auto"/>
            </w:tcBorders>
          </w:tcPr>
          <w:p w14:paraId="6EC53BE7" w14:textId="77777777" w:rsidR="00D04670" w:rsidRPr="008F59EC" w:rsidRDefault="00D04670"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Medium</w:t>
            </w:r>
          </w:p>
        </w:tc>
      </w:tr>
      <w:tr w:rsidR="00D04670" w:rsidRPr="008F59EC" w14:paraId="3F9F4E24" w14:textId="77777777" w:rsidTr="00AD20EE">
        <w:trPr>
          <w:trHeight w:val="444"/>
        </w:trPr>
        <w:tc>
          <w:tcPr>
            <w:cnfStyle w:val="001000000000" w:firstRow="0" w:lastRow="0" w:firstColumn="1" w:lastColumn="0" w:oddVBand="0" w:evenVBand="0" w:oddHBand="0" w:evenHBand="0" w:firstRowFirstColumn="0" w:firstRowLastColumn="0" w:lastRowFirstColumn="0" w:lastRowLastColumn="0"/>
            <w:tcW w:w="1911" w:type="dxa"/>
            <w:tcBorders>
              <w:left w:val="single" w:sz="4" w:space="0" w:color="auto"/>
            </w:tcBorders>
          </w:tcPr>
          <w:p w14:paraId="23DDD6CF" w14:textId="77777777" w:rsidR="00D04670" w:rsidRPr="008F59EC" w:rsidRDefault="00D04670" w:rsidP="0014211F">
            <w:pPr>
              <w:spacing w:line="360" w:lineRule="auto"/>
              <w:jc w:val="both"/>
              <w:rPr>
                <w:rFonts w:ascii="Arial" w:hAnsi="Arial" w:cs="Arial"/>
              </w:rPr>
            </w:pPr>
            <w:r w:rsidRPr="008F59EC">
              <w:rPr>
                <w:rFonts w:ascii="Arial" w:hAnsi="Arial" w:cs="Arial"/>
              </w:rPr>
              <w:t>Buy-to-Let Investors</w:t>
            </w:r>
          </w:p>
        </w:tc>
        <w:tc>
          <w:tcPr>
            <w:tcW w:w="2680" w:type="dxa"/>
          </w:tcPr>
          <w:p w14:paraId="108685E3" w14:textId="77777777" w:rsidR="00D04670" w:rsidRPr="008F59EC" w:rsidRDefault="00D04670"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Portfolio or individual landlords</w:t>
            </w:r>
          </w:p>
        </w:tc>
        <w:tc>
          <w:tcPr>
            <w:tcW w:w="3064" w:type="dxa"/>
          </w:tcPr>
          <w:p w14:paraId="13CB2245" w14:textId="77777777" w:rsidR="00D04670" w:rsidRPr="008F59EC" w:rsidRDefault="00D04670"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Tax considerations, portfolio structuring</w:t>
            </w:r>
          </w:p>
        </w:tc>
        <w:tc>
          <w:tcPr>
            <w:tcW w:w="1610" w:type="dxa"/>
            <w:tcBorders>
              <w:right w:val="single" w:sz="4" w:space="0" w:color="auto"/>
            </w:tcBorders>
          </w:tcPr>
          <w:p w14:paraId="72EE6B82" w14:textId="77777777" w:rsidR="00D04670" w:rsidRPr="008F59EC" w:rsidRDefault="00D04670"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High</w:t>
            </w:r>
          </w:p>
        </w:tc>
      </w:tr>
      <w:tr w:rsidR="003B4650" w:rsidRPr="008F59EC" w14:paraId="542D6F8D" w14:textId="77777777" w:rsidTr="00AD20EE">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1911" w:type="dxa"/>
            <w:tcBorders>
              <w:left w:val="single" w:sz="4" w:space="0" w:color="auto"/>
              <w:bottom w:val="single" w:sz="4" w:space="0" w:color="auto"/>
            </w:tcBorders>
          </w:tcPr>
          <w:p w14:paraId="5D8594EA" w14:textId="77777777" w:rsidR="00D04670" w:rsidRPr="008F59EC" w:rsidRDefault="00D04670" w:rsidP="0014211F">
            <w:pPr>
              <w:spacing w:line="360" w:lineRule="auto"/>
              <w:jc w:val="both"/>
              <w:rPr>
                <w:rFonts w:ascii="Arial" w:hAnsi="Arial" w:cs="Arial"/>
              </w:rPr>
            </w:pPr>
            <w:r w:rsidRPr="008F59EC">
              <w:rPr>
                <w:rFonts w:ascii="Arial" w:hAnsi="Arial" w:cs="Arial"/>
              </w:rPr>
              <w:t>High-Net-Worth Clients</w:t>
            </w:r>
          </w:p>
        </w:tc>
        <w:tc>
          <w:tcPr>
            <w:tcW w:w="2680" w:type="dxa"/>
            <w:tcBorders>
              <w:bottom w:val="single" w:sz="4" w:space="0" w:color="auto"/>
            </w:tcBorders>
          </w:tcPr>
          <w:p w14:paraId="68AECD0A" w14:textId="77777777" w:rsidR="00D04670" w:rsidRPr="008F59EC" w:rsidRDefault="00D04670"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Multiple income streams, complex finances</w:t>
            </w:r>
          </w:p>
        </w:tc>
        <w:tc>
          <w:tcPr>
            <w:tcW w:w="3064" w:type="dxa"/>
            <w:tcBorders>
              <w:bottom w:val="single" w:sz="4" w:space="0" w:color="auto"/>
            </w:tcBorders>
          </w:tcPr>
          <w:p w14:paraId="14FCF863" w14:textId="77777777" w:rsidR="00D04670" w:rsidRPr="008F59EC" w:rsidRDefault="00D04670"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Bespoke lending solutions</w:t>
            </w:r>
          </w:p>
        </w:tc>
        <w:tc>
          <w:tcPr>
            <w:tcW w:w="1610" w:type="dxa"/>
            <w:tcBorders>
              <w:bottom w:val="single" w:sz="4" w:space="0" w:color="auto"/>
              <w:right w:val="single" w:sz="4" w:space="0" w:color="auto"/>
            </w:tcBorders>
          </w:tcPr>
          <w:p w14:paraId="47D1BC31" w14:textId="77777777" w:rsidR="00D04670" w:rsidRPr="008F59EC" w:rsidRDefault="00D04670"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Medium</w:t>
            </w:r>
          </w:p>
        </w:tc>
      </w:tr>
    </w:tbl>
    <w:p w14:paraId="7A798A3E" w14:textId="65859EAA" w:rsidR="00595C57" w:rsidRPr="008F59EC" w:rsidRDefault="00450153" w:rsidP="0014211F">
      <w:pPr>
        <w:spacing w:line="360" w:lineRule="auto"/>
        <w:jc w:val="both"/>
        <w:rPr>
          <w:rFonts w:ascii="Arial" w:hAnsi="Arial" w:cs="Arial"/>
        </w:rPr>
      </w:pPr>
      <w:r w:rsidRPr="008F59EC">
        <w:rPr>
          <w:rFonts w:ascii="Arial" w:hAnsi="Arial" w:cs="Arial"/>
        </w:rPr>
        <w:t xml:space="preserve">Table 1: Target Market Segmentation for Sense Mortgage and Residential </w:t>
      </w:r>
    </w:p>
    <w:p w14:paraId="016E2391" w14:textId="77777777" w:rsidR="00450153" w:rsidRPr="008F59EC" w:rsidRDefault="00450153" w:rsidP="0014211F">
      <w:pPr>
        <w:spacing w:line="360" w:lineRule="auto"/>
        <w:jc w:val="both"/>
        <w:rPr>
          <w:rFonts w:ascii="Arial" w:hAnsi="Arial" w:cs="Arial"/>
          <w:i/>
          <w:iCs/>
        </w:rPr>
      </w:pPr>
    </w:p>
    <w:p w14:paraId="02D3FEF8" w14:textId="796060CA" w:rsidR="00450153" w:rsidRPr="008F59EC" w:rsidRDefault="00450153" w:rsidP="0014211F">
      <w:pPr>
        <w:spacing w:line="360" w:lineRule="auto"/>
        <w:jc w:val="both"/>
        <w:rPr>
          <w:rFonts w:ascii="Arial" w:hAnsi="Arial" w:cs="Arial"/>
          <w:i/>
          <w:iCs/>
        </w:rPr>
      </w:pPr>
      <w:r w:rsidRPr="008F59EC">
        <w:rPr>
          <w:rFonts w:ascii="Arial" w:hAnsi="Arial" w:cs="Arial"/>
          <w:i/>
          <w:iCs/>
        </w:rPr>
        <w:t>Author illustration (2025), based on industry data from UK Finance, 2024.</w:t>
      </w:r>
    </w:p>
    <w:p w14:paraId="146C6BC6" w14:textId="448A25AC" w:rsidR="000F7AD9" w:rsidRPr="008F59EC" w:rsidRDefault="000F7AD9" w:rsidP="0014211F">
      <w:pPr>
        <w:spacing w:line="360" w:lineRule="auto"/>
        <w:jc w:val="both"/>
        <w:rPr>
          <w:rFonts w:ascii="Arial" w:hAnsi="Arial" w:cs="Arial"/>
        </w:rPr>
      </w:pPr>
      <w:r w:rsidRPr="008F59EC">
        <w:rPr>
          <w:rFonts w:ascii="Arial" w:hAnsi="Arial" w:cs="Arial"/>
        </w:rPr>
        <w:t xml:space="preserve">The distribution of mortgage activity across first-time buyers, home movers, remortgages, and buy-to-let investors illustrates the importance of diversification within an advisory business model. Remortgage transactions represent the largest proportion of market activity, supported by interest rate resets and refinancing cycles </w:t>
      </w:r>
      <w:bookmarkStart w:id="16" w:name="_Hlk219835136"/>
      <w:r w:rsidRPr="008F59EC">
        <w:rPr>
          <w:rFonts w:ascii="Arial" w:hAnsi="Arial" w:cs="Arial"/>
        </w:rPr>
        <w:t xml:space="preserve">(UK Finance, 2024). </w:t>
      </w:r>
      <w:bookmarkEnd w:id="16"/>
      <w:r w:rsidRPr="008F59EC">
        <w:rPr>
          <w:rFonts w:ascii="Arial" w:hAnsi="Arial" w:cs="Arial"/>
        </w:rPr>
        <w:t>This pattern highlights the strategic importance of building long-term client relationships that generate repeat business over time.</w:t>
      </w:r>
    </w:p>
    <w:p w14:paraId="3DBB20A7" w14:textId="2A08B20B" w:rsidR="00595C57" w:rsidRPr="008F59EC" w:rsidRDefault="000F7AD9" w:rsidP="0014211F">
      <w:pPr>
        <w:spacing w:line="360" w:lineRule="auto"/>
        <w:jc w:val="both"/>
        <w:rPr>
          <w:rFonts w:ascii="Arial" w:hAnsi="Arial" w:cs="Arial"/>
        </w:rPr>
      </w:pPr>
      <w:r w:rsidRPr="008F59EC">
        <w:rPr>
          <w:rFonts w:ascii="Arial" w:hAnsi="Arial" w:cs="Arial"/>
        </w:rPr>
        <w:t xml:space="preserve">For </w:t>
      </w:r>
      <w:r w:rsidR="00EC30AA" w:rsidRPr="008F59EC">
        <w:rPr>
          <w:rFonts w:ascii="Arial" w:hAnsi="Arial" w:cs="Arial"/>
        </w:rPr>
        <w:t>Sense Mortgage and Residential</w:t>
      </w:r>
      <w:r w:rsidRPr="008F59EC">
        <w:rPr>
          <w:rFonts w:ascii="Arial" w:hAnsi="Arial" w:cs="Arial"/>
        </w:rPr>
        <w:t xml:space="preserve">, this data supports a model that balances acquisition-focused services for first-time buyers with retention-focused strategies for remortgaging clients. By combining structured aftercare processes with proactive client communication, the business can maximise lifetime customer value while maintaining manageable acquisition costs. This approach is particularly important for small advisory firms seeking sustainable growth without reliance on high marketing expenditure. </w:t>
      </w:r>
      <w:r w:rsidR="00EC30AA" w:rsidRPr="008F59EC">
        <w:rPr>
          <w:rFonts w:ascii="Arial" w:hAnsi="Arial" w:cs="Arial"/>
        </w:rPr>
        <w:t xml:space="preserve">Sense Mortgage and Residential </w:t>
      </w:r>
      <w:r w:rsidR="00595C57" w:rsidRPr="008F59EC">
        <w:rPr>
          <w:rFonts w:ascii="Arial" w:hAnsi="Arial" w:cs="Arial"/>
        </w:rPr>
        <w:t>targets first-time buyers, remortgaging households, and buy-to-let clients, positioning itself as a trusted, adviser-led firm offering clear, compliant, and personalised guidance. This positioning differentiates the business from both digital-only platforms and volume-driven national brokers.</w:t>
      </w:r>
    </w:p>
    <w:p w14:paraId="553D17E5" w14:textId="77777777" w:rsidR="00657757" w:rsidRPr="008F59EC" w:rsidRDefault="00657757" w:rsidP="0014211F">
      <w:pPr>
        <w:spacing w:line="360" w:lineRule="auto"/>
        <w:jc w:val="both"/>
        <w:rPr>
          <w:rFonts w:ascii="Arial" w:hAnsi="Arial" w:cs="Arial"/>
        </w:rPr>
      </w:pPr>
    </w:p>
    <w:p w14:paraId="68F1969F" w14:textId="4DF965E6" w:rsidR="006D4B31" w:rsidRPr="008F59EC" w:rsidRDefault="006D4B31" w:rsidP="0014211F">
      <w:pPr>
        <w:spacing w:line="360" w:lineRule="auto"/>
        <w:jc w:val="both"/>
        <w:rPr>
          <w:rFonts w:ascii="Arial" w:hAnsi="Arial" w:cs="Arial"/>
        </w:rPr>
      </w:pPr>
      <w:r w:rsidRPr="008F59EC">
        <w:rPr>
          <w:rFonts w:ascii="Arial" w:hAnsi="Arial" w:cs="Arial"/>
        </w:rPr>
        <w:t xml:space="preserve">The segmentation strategy adopted by </w:t>
      </w:r>
      <w:r w:rsidR="00EC30AA" w:rsidRPr="008F59EC">
        <w:rPr>
          <w:rFonts w:ascii="Arial" w:hAnsi="Arial" w:cs="Arial"/>
        </w:rPr>
        <w:t xml:space="preserve">Sense Mortgage and Residential </w:t>
      </w:r>
      <w:r w:rsidRPr="008F59EC">
        <w:rPr>
          <w:rFonts w:ascii="Arial" w:hAnsi="Arial" w:cs="Arial"/>
        </w:rPr>
        <w:t>reflects both demand volume and advisory complexity. First-time buyers represent a strategically important segment due to their limited market knowledge and heightened need for professional guidance. According to ONS (2024), first-time buyers account for a substantial proportion of new mortgage lending, particularly in urban and commuter regions. These clients typically require support across affordability assessment, deposit structuring, and lender selection.</w:t>
      </w:r>
    </w:p>
    <w:p w14:paraId="172C44A1" w14:textId="77777777" w:rsidR="006D4B31" w:rsidRPr="008F59EC" w:rsidRDefault="006D4B31" w:rsidP="0014211F">
      <w:pPr>
        <w:spacing w:line="360" w:lineRule="auto"/>
        <w:jc w:val="both"/>
        <w:rPr>
          <w:rFonts w:ascii="Arial" w:hAnsi="Arial" w:cs="Arial"/>
        </w:rPr>
      </w:pPr>
    </w:p>
    <w:p w14:paraId="6A1E120D" w14:textId="18A8C9CD" w:rsidR="006D4B31" w:rsidRPr="008F59EC" w:rsidRDefault="006D4B31" w:rsidP="0014211F">
      <w:pPr>
        <w:spacing w:line="360" w:lineRule="auto"/>
        <w:jc w:val="both"/>
        <w:rPr>
          <w:rFonts w:ascii="Arial" w:hAnsi="Arial" w:cs="Arial"/>
        </w:rPr>
      </w:pPr>
      <w:r w:rsidRPr="008F59EC">
        <w:rPr>
          <w:rFonts w:ascii="Arial" w:hAnsi="Arial" w:cs="Arial"/>
        </w:rPr>
        <w:t xml:space="preserve">Remortgaging clients form a second core segment, offering recurring revenue potential. In 2024, over 1.6 million households reached the end of fixed-rate mortgage deals, creating sustained demand for refinancing advice (Deloitte, 2023). Unlike first-time buyers, remortgage clients often prioritise cost efficiency and speed, making them well suited to Sense’s hybrid service model. Buy-to-let investors, while smaller in number, present higher advisory complexity and therefore higher value per case, aligning with a quality-focused rather than volume-driven </w:t>
      </w:r>
      <w:r w:rsidR="00967D0B" w:rsidRPr="008F59EC">
        <w:rPr>
          <w:rFonts w:ascii="Arial" w:hAnsi="Arial" w:cs="Arial"/>
        </w:rPr>
        <w:t>strategy. This</w:t>
      </w:r>
      <w:r w:rsidRPr="008F59EC">
        <w:rPr>
          <w:rFonts w:ascii="Arial" w:hAnsi="Arial" w:cs="Arial"/>
        </w:rPr>
        <w:t xml:space="preserve"> segmentation enables Sense to allocate resources efficiently while tailoring service delivery to the expectations of each group.</w:t>
      </w:r>
    </w:p>
    <w:p w14:paraId="1FD8886E" w14:textId="21BD1719" w:rsidR="00F05E5F" w:rsidRPr="008F59EC" w:rsidRDefault="003F6E9B" w:rsidP="0014211F">
      <w:pPr>
        <w:spacing w:line="360" w:lineRule="auto"/>
        <w:jc w:val="both"/>
        <w:rPr>
          <w:rFonts w:ascii="Arial" w:hAnsi="Arial" w:cs="Arial"/>
        </w:rPr>
      </w:pPr>
      <w:r w:rsidRPr="008F59EC">
        <w:rPr>
          <w:rFonts w:ascii="Arial" w:hAnsi="Arial" w:cs="Arial"/>
        </w:rPr>
        <w:t>Based on demand potential and alignment with the firm’s strengths, the primary target segments are first-time buyers, remortgage customers, and buy-to-let investors. These groups require extensive advisory support, particularly due to complex affordability criteria, changing interest rate environments, and differing lending policies across financial institutions (Moneyfacts, 2024).</w:t>
      </w:r>
      <w:r w:rsidR="00F05E5F" w:rsidRPr="008F59EC">
        <w:rPr>
          <w:rFonts w:ascii="Arial" w:hAnsi="Arial" w:cs="Arial"/>
        </w:rPr>
        <w:t xml:space="preserve"> Following chart shows more details about Market Segmentation: </w:t>
      </w:r>
    </w:p>
    <w:tbl>
      <w:tblPr>
        <w:tblStyle w:val="TableGrid"/>
        <w:tblW w:w="0" w:type="auto"/>
        <w:tblLook w:val="04A0" w:firstRow="1" w:lastRow="0" w:firstColumn="1" w:lastColumn="0" w:noHBand="0" w:noVBand="1"/>
      </w:tblPr>
      <w:tblGrid>
        <w:gridCol w:w="8046"/>
      </w:tblGrid>
      <w:tr w:rsidR="00AF3C28" w:rsidRPr="008F59EC" w14:paraId="2F1AC1CC" w14:textId="77777777" w:rsidTr="007E01F6">
        <w:trPr>
          <w:trHeight w:val="4381"/>
        </w:trPr>
        <w:tc>
          <w:tcPr>
            <w:tcW w:w="8046" w:type="dxa"/>
          </w:tcPr>
          <w:p w14:paraId="2D158EF9" w14:textId="16CB72A1" w:rsidR="00AF3C28" w:rsidRPr="008F59EC" w:rsidRDefault="00AF3C28" w:rsidP="0014211F">
            <w:pPr>
              <w:spacing w:line="360" w:lineRule="auto"/>
              <w:jc w:val="both"/>
              <w:rPr>
                <w:rFonts w:ascii="Arial" w:hAnsi="Arial" w:cs="Arial"/>
              </w:rPr>
            </w:pPr>
            <w:r w:rsidRPr="008F59EC">
              <w:rPr>
                <w:rFonts w:ascii="Arial" w:hAnsi="Arial" w:cs="Arial"/>
                <w:noProof/>
                <w:bdr w:val="single" w:sz="4" w:space="0" w:color="auto"/>
              </w:rPr>
              <w:lastRenderedPageBreak/>
              <w:drawing>
                <wp:anchor distT="0" distB="0" distL="114300" distR="114300" simplePos="0" relativeHeight="251659264" behindDoc="0" locked="0" layoutInCell="1" allowOverlap="1" wp14:anchorId="15F953FF" wp14:editId="38B332CF">
                  <wp:simplePos x="0" y="0"/>
                  <wp:positionH relativeFrom="column">
                    <wp:posOffset>-5715</wp:posOffset>
                  </wp:positionH>
                  <wp:positionV relativeFrom="paragraph">
                    <wp:posOffset>123190</wp:posOffset>
                  </wp:positionV>
                  <wp:extent cx="4968875" cy="2870200"/>
                  <wp:effectExtent l="0" t="0" r="3175" b="6350"/>
                  <wp:wrapTopAndBottom/>
                  <wp:docPr id="8374440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68875" cy="28702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E8CA29A" w14:textId="77777777" w:rsidR="00450153" w:rsidRPr="008F59EC" w:rsidRDefault="00450153" w:rsidP="0014211F">
      <w:pPr>
        <w:spacing w:line="360" w:lineRule="auto"/>
        <w:jc w:val="both"/>
        <w:rPr>
          <w:rFonts w:ascii="Arial" w:hAnsi="Arial" w:cs="Arial"/>
          <w:i/>
          <w:iCs/>
        </w:rPr>
      </w:pPr>
    </w:p>
    <w:p w14:paraId="5D53F810" w14:textId="795720A7" w:rsidR="00450153" w:rsidRPr="008F59EC" w:rsidRDefault="00450153" w:rsidP="0014211F">
      <w:pPr>
        <w:spacing w:line="360" w:lineRule="auto"/>
        <w:jc w:val="both"/>
        <w:rPr>
          <w:rFonts w:ascii="Arial" w:hAnsi="Arial" w:cs="Arial"/>
          <w:i/>
          <w:iCs/>
        </w:rPr>
      </w:pPr>
      <w:r w:rsidRPr="008F59EC">
        <w:rPr>
          <w:rFonts w:ascii="Arial" w:hAnsi="Arial" w:cs="Arial"/>
          <w:i/>
          <w:iCs/>
        </w:rPr>
        <w:t>Figure 3: Mortgage market segmentation</w:t>
      </w:r>
    </w:p>
    <w:p w14:paraId="79AEB3B2" w14:textId="19188932" w:rsidR="003F6E9B" w:rsidRPr="008F59EC" w:rsidRDefault="007E01F6" w:rsidP="0014211F">
      <w:pPr>
        <w:spacing w:line="360" w:lineRule="auto"/>
        <w:jc w:val="both"/>
        <w:rPr>
          <w:rFonts w:ascii="Arial" w:hAnsi="Arial" w:cs="Arial"/>
          <w:i/>
          <w:iCs/>
        </w:rPr>
      </w:pPr>
      <w:r w:rsidRPr="008F59EC">
        <w:rPr>
          <w:rFonts w:ascii="Arial" w:hAnsi="Arial" w:cs="Arial"/>
          <w:i/>
          <w:iCs/>
        </w:rPr>
        <w:t>Source: ONS (2024) UK Housing Market Release; Moneyfacts (2024) Mortgage Trends</w:t>
      </w:r>
      <w:r w:rsidR="00E2519D" w:rsidRPr="008F59EC">
        <w:rPr>
          <w:rFonts w:ascii="Arial" w:hAnsi="Arial" w:cs="Arial"/>
          <w:i/>
          <w:iCs/>
        </w:rPr>
        <w:t>.</w:t>
      </w:r>
    </w:p>
    <w:p w14:paraId="58B404C2" w14:textId="77777777" w:rsidR="0054787A" w:rsidRPr="008F59EC" w:rsidRDefault="0054787A" w:rsidP="0014211F">
      <w:pPr>
        <w:spacing w:line="360" w:lineRule="auto"/>
        <w:jc w:val="both"/>
        <w:rPr>
          <w:rFonts w:ascii="Arial" w:hAnsi="Arial" w:cs="Arial"/>
          <w:i/>
          <w:iCs/>
        </w:rPr>
      </w:pPr>
    </w:p>
    <w:p w14:paraId="495DDF6B" w14:textId="74AE9F1B" w:rsidR="0054787A" w:rsidRPr="008F59EC" w:rsidRDefault="0054787A" w:rsidP="0007190F">
      <w:pPr>
        <w:pStyle w:val="Heading2"/>
        <w:rPr>
          <w:rFonts w:ascii="Arial" w:hAnsi="Arial" w:cs="Arial"/>
        </w:rPr>
      </w:pPr>
      <w:bookmarkStart w:id="17" w:name="_Toc219926261"/>
      <w:r w:rsidRPr="008F59EC">
        <w:rPr>
          <w:rFonts w:ascii="Arial" w:hAnsi="Arial" w:cs="Arial"/>
        </w:rPr>
        <w:t>3.3 Customer Needs and Demand Patterns</w:t>
      </w:r>
      <w:bookmarkEnd w:id="17"/>
    </w:p>
    <w:p w14:paraId="4A78CC2B" w14:textId="77777777" w:rsidR="000A25A1" w:rsidRPr="008F59EC" w:rsidRDefault="000A25A1" w:rsidP="0014211F">
      <w:pPr>
        <w:pStyle w:val="NormalWeb"/>
        <w:spacing w:line="360" w:lineRule="auto"/>
        <w:jc w:val="both"/>
        <w:rPr>
          <w:rFonts w:ascii="Arial" w:hAnsi="Arial" w:cs="Arial"/>
        </w:rPr>
      </w:pPr>
      <w:r w:rsidRPr="008F59EC">
        <w:rPr>
          <w:rFonts w:ascii="Arial" w:hAnsi="Arial" w:cs="Arial"/>
        </w:rPr>
        <w:t>Customer needs within the mortgage market have evolved significantly in response to regulatory changes and product complexity. Research indicates that borrowers increasingly value clarity, trust, and professional support throughout the mortgage process. MarketLine (2024) observes that regulatory requirements have increased documentation and affordability scrutiny, making mortgage applications more challenging for consumers to navigate independently.</w:t>
      </w:r>
    </w:p>
    <w:p w14:paraId="173D6909" w14:textId="0FCD475A" w:rsidR="000A25A1" w:rsidRPr="008F59EC" w:rsidRDefault="000A25A1" w:rsidP="0014211F">
      <w:pPr>
        <w:pStyle w:val="NormalWeb"/>
        <w:spacing w:line="360" w:lineRule="auto"/>
        <w:jc w:val="both"/>
        <w:rPr>
          <w:rFonts w:ascii="Arial" w:hAnsi="Arial" w:cs="Arial"/>
        </w:rPr>
      </w:pPr>
      <w:r w:rsidRPr="008F59EC">
        <w:rPr>
          <w:rFonts w:ascii="Arial" w:hAnsi="Arial" w:cs="Arial"/>
        </w:rPr>
        <w:t>Studies by McKinsey &amp; Company (2023) suggest that most borrowers prefer a hybrid service model that combines digital convenience with human advice. This is particularly evident among first-time buyers and self-employed applicants, who often require additional explanation and reassurance. Trust and transparency are also critical factors, as financial decisions involve long-term commitments and perceived risk.</w:t>
      </w:r>
    </w:p>
    <w:p w14:paraId="29F348D3" w14:textId="73834173" w:rsidR="000A25A1" w:rsidRPr="008F59EC" w:rsidRDefault="00EC30AA" w:rsidP="0014211F">
      <w:pPr>
        <w:pStyle w:val="NormalWeb"/>
        <w:spacing w:line="360" w:lineRule="auto"/>
        <w:jc w:val="both"/>
        <w:rPr>
          <w:rFonts w:ascii="Arial" w:hAnsi="Arial" w:cs="Arial"/>
        </w:rPr>
      </w:pPr>
      <w:r w:rsidRPr="008F59EC">
        <w:rPr>
          <w:rFonts w:ascii="Arial" w:hAnsi="Arial" w:cs="Arial"/>
        </w:rPr>
        <w:lastRenderedPageBreak/>
        <w:t>Sense Mortgage and Residential</w:t>
      </w:r>
      <w:r w:rsidR="00445B5C" w:rsidRPr="008F59EC">
        <w:rPr>
          <w:rFonts w:ascii="Arial" w:hAnsi="Arial" w:cs="Arial"/>
        </w:rPr>
        <w:t xml:space="preserve"> </w:t>
      </w:r>
      <w:r w:rsidR="000A25A1" w:rsidRPr="008F59EC">
        <w:rPr>
          <w:rFonts w:ascii="Arial" w:hAnsi="Arial" w:cs="Arial"/>
        </w:rPr>
        <w:t>addresses these needs by prioritising adviser accessibility, clear communication, and step-by-step guidance, supported by efficient digital tools that reduce administrative burden without removing the adviser-client relationship.</w:t>
      </w:r>
    </w:p>
    <w:p w14:paraId="600B1423" w14:textId="4E3FA8D6" w:rsidR="00BD0B61" w:rsidRPr="008F59EC" w:rsidRDefault="001E61FA" w:rsidP="0014211F">
      <w:pPr>
        <w:pStyle w:val="NormalWeb"/>
        <w:spacing w:line="360" w:lineRule="auto"/>
        <w:jc w:val="both"/>
        <w:rPr>
          <w:rFonts w:ascii="Arial" w:hAnsi="Arial" w:cs="Arial"/>
        </w:rPr>
      </w:pPr>
      <w:r w:rsidRPr="008F59EC">
        <w:rPr>
          <w:rFonts w:ascii="Arial" w:hAnsi="Arial" w:cs="Arial"/>
        </w:rPr>
        <w:t>Consumers increasingly prioritise clarity, convenience, and trustworthy advice when navigating the mortgage process. Empirical evidence from Deloitte (2023) indicates that 61% of borrowers find mortgage products difficult to understand, while 72% seek clearer explanations of affordability assessments. In addition, 78% of consumers express a preference for hybrid advice models that combine digital access with human adviser support, and 64% report greater trust in regulated mortgage brokers compared to banks or online comparison platforms. These findings highlight a growing expectation for advisory services that balance professional expertise with accessible digital functionality.</w:t>
      </w:r>
    </w:p>
    <w:p w14:paraId="6CA4F5AB" w14:textId="0A45A392" w:rsidR="001E61FA" w:rsidRPr="008F59EC" w:rsidRDefault="001E61FA" w:rsidP="0014211F">
      <w:pPr>
        <w:pStyle w:val="NormalWeb"/>
        <w:spacing w:line="360" w:lineRule="auto"/>
        <w:jc w:val="both"/>
        <w:rPr>
          <w:rFonts w:ascii="Arial" w:hAnsi="Arial" w:cs="Arial"/>
        </w:rPr>
      </w:pPr>
      <w:r w:rsidRPr="008F59EC">
        <w:rPr>
          <w:rFonts w:ascii="Arial" w:hAnsi="Arial" w:cs="Arial"/>
        </w:rPr>
        <w:t xml:space="preserve">This shift in consumer behaviour directly supports the business model of </w:t>
      </w:r>
      <w:r w:rsidR="00EC30AA" w:rsidRPr="008F59EC">
        <w:rPr>
          <w:rFonts w:ascii="Arial" w:hAnsi="Arial" w:cs="Arial"/>
        </w:rPr>
        <w:t xml:space="preserve">Sense Mortgage and </w:t>
      </w:r>
      <w:r w:rsidRPr="008F59EC">
        <w:rPr>
          <w:rFonts w:ascii="Arial" w:hAnsi="Arial" w:cs="Arial"/>
        </w:rPr>
        <w:t xml:space="preserve">Residential, which emphasises transparent communication, step-by-step guidance, and digitally enabled service delivery. Younger and digitally engaged borrowers, in particular, value features such as online document uploads, rapid affordability assessments, and responsive communication channels. By aligning its service offering with these expectations, </w:t>
      </w:r>
      <w:r w:rsidR="00EC30AA" w:rsidRPr="008F59EC">
        <w:rPr>
          <w:rFonts w:ascii="Arial" w:hAnsi="Arial" w:cs="Arial"/>
        </w:rPr>
        <w:t xml:space="preserve">Sense Mortgage and </w:t>
      </w:r>
      <w:r w:rsidRPr="008F59EC">
        <w:rPr>
          <w:rFonts w:ascii="Arial" w:hAnsi="Arial" w:cs="Arial"/>
        </w:rPr>
        <w:t>Residential is well positioned to differentiate itself within a competitive market and to build long-term client relationships based on trust and service quality.</w:t>
      </w:r>
    </w:p>
    <w:p w14:paraId="1B3791E5" w14:textId="2CA0D9FA" w:rsidR="002708C6" w:rsidRPr="008F59EC" w:rsidRDefault="002708C6" w:rsidP="0014211F">
      <w:pPr>
        <w:pStyle w:val="NormalWeb"/>
        <w:spacing w:line="360" w:lineRule="auto"/>
        <w:jc w:val="both"/>
        <w:rPr>
          <w:rFonts w:ascii="Arial" w:hAnsi="Arial" w:cs="Arial"/>
        </w:rPr>
      </w:pPr>
      <w:r w:rsidRPr="008F59EC">
        <w:rPr>
          <w:rFonts w:ascii="Arial" w:hAnsi="Arial" w:cs="Arial"/>
        </w:rPr>
        <w:t xml:space="preserve">These findings also demonstrate that while technology plays an important role in improving efficiency, trust remains central to the advisory relationship. Regulated mortgage brokers are perceived as more trustworthy than banks or comparison websites by most consumers, reinforcing the value of adviser-led services (Deloitte, 2023). For </w:t>
      </w:r>
      <w:r w:rsidR="00EC30AA" w:rsidRPr="008F59EC">
        <w:rPr>
          <w:rFonts w:ascii="Arial" w:hAnsi="Arial" w:cs="Arial"/>
        </w:rPr>
        <w:t xml:space="preserve">Sense Mortgage and </w:t>
      </w:r>
      <w:r w:rsidRPr="008F59EC">
        <w:rPr>
          <w:rFonts w:ascii="Arial" w:hAnsi="Arial" w:cs="Arial"/>
        </w:rPr>
        <w:t>Residential, this aligns directly with the firm’s emphasis on transparent communication, step-by-step guidance, and ethical advice delivery.</w:t>
      </w:r>
    </w:p>
    <w:p w14:paraId="69758D8F" w14:textId="77777777" w:rsidR="00450153" w:rsidRPr="008F59EC" w:rsidRDefault="002708C6" w:rsidP="0014211F">
      <w:pPr>
        <w:pStyle w:val="NormalWeb"/>
        <w:spacing w:line="360" w:lineRule="auto"/>
        <w:jc w:val="both"/>
        <w:rPr>
          <w:rFonts w:ascii="Arial" w:hAnsi="Arial" w:cs="Arial"/>
        </w:rPr>
      </w:pPr>
      <w:r w:rsidRPr="008F59EC">
        <w:rPr>
          <w:rFonts w:ascii="Arial" w:hAnsi="Arial" w:cs="Arial"/>
        </w:rPr>
        <w:t xml:space="preserve">Younger borrowers expect seamless digital interactions, including online document uploads, rapid affordability checks, and real-time communication. By integrating digital </w:t>
      </w:r>
      <w:r w:rsidRPr="008F59EC">
        <w:rPr>
          <w:rFonts w:ascii="Arial" w:hAnsi="Arial" w:cs="Arial"/>
        </w:rPr>
        <w:lastRenderedPageBreak/>
        <w:t>systems with personalised advice, Sense can meet evolving consumer expectations while differentiating itself from both traditional brokers and digital-only platforms.</w:t>
      </w:r>
    </w:p>
    <w:p w14:paraId="16CA7D8A" w14:textId="78E44D47" w:rsidR="0060515B" w:rsidRPr="008F59EC" w:rsidRDefault="0060515B" w:rsidP="0007190F">
      <w:pPr>
        <w:pStyle w:val="Heading2"/>
        <w:rPr>
          <w:rFonts w:ascii="Arial" w:hAnsi="Arial" w:cs="Arial"/>
        </w:rPr>
      </w:pPr>
      <w:bookmarkStart w:id="18" w:name="_Toc219926262"/>
      <w:r w:rsidRPr="008F59EC">
        <w:rPr>
          <w:rFonts w:ascii="Arial" w:hAnsi="Arial" w:cs="Arial"/>
        </w:rPr>
        <w:t>3.4 Competitive Analysis</w:t>
      </w:r>
      <w:bookmarkEnd w:id="18"/>
    </w:p>
    <w:p w14:paraId="12A7608F" w14:textId="77777777" w:rsidR="0060515B" w:rsidRPr="008F59EC" w:rsidRDefault="0060515B" w:rsidP="0014211F">
      <w:pPr>
        <w:pStyle w:val="NormalWeb"/>
        <w:spacing w:line="360" w:lineRule="auto"/>
        <w:jc w:val="both"/>
        <w:rPr>
          <w:rFonts w:ascii="Arial" w:hAnsi="Arial" w:cs="Arial"/>
        </w:rPr>
      </w:pPr>
      <w:r w:rsidRPr="008F59EC">
        <w:rPr>
          <w:rFonts w:ascii="Arial" w:hAnsi="Arial" w:cs="Arial"/>
        </w:rPr>
        <w:t>The UK mortgage advisory market is highly competitive, comprising national brokerage firms, digital-only platforms, and smaller independent advisers. Large national firms benefit from brand recognition and scale, while digital platforms emphasise speed and automation. However, both models may lack the personalised service and flexibility required by complex customer cases.</w:t>
      </w:r>
    </w:p>
    <w:p w14:paraId="3A3016B5" w14:textId="77777777" w:rsidR="0060515B" w:rsidRPr="008F59EC" w:rsidRDefault="0060515B" w:rsidP="0014211F">
      <w:pPr>
        <w:pStyle w:val="NormalWeb"/>
        <w:spacing w:line="360" w:lineRule="auto"/>
        <w:jc w:val="both"/>
        <w:rPr>
          <w:rFonts w:ascii="Arial" w:hAnsi="Arial" w:cs="Arial"/>
        </w:rPr>
      </w:pPr>
    </w:p>
    <w:p w14:paraId="61E3DF8A" w14:textId="77777777" w:rsidR="0060515B" w:rsidRPr="008F59EC" w:rsidRDefault="0060515B" w:rsidP="0014211F">
      <w:pPr>
        <w:pStyle w:val="NormalWeb"/>
        <w:spacing w:line="360" w:lineRule="auto"/>
        <w:jc w:val="both"/>
        <w:rPr>
          <w:rFonts w:ascii="Arial" w:hAnsi="Arial" w:cs="Arial"/>
        </w:rPr>
      </w:pPr>
      <w:r w:rsidRPr="008F59EC">
        <w:rPr>
          <w:rFonts w:ascii="Arial" w:hAnsi="Arial" w:cs="Arial"/>
        </w:rPr>
        <w:t>Independent advisers, while offering personalised service, often face limitations in digital capability or compliance infrastructure. MarketLine (2024) notes that regulatory pressure has increased operational costs for smaller firms, reinforcing the importance of robust compliance support.</w:t>
      </w:r>
    </w:p>
    <w:p w14:paraId="7E039D67" w14:textId="77777777" w:rsidR="0060515B" w:rsidRPr="008F59EC" w:rsidRDefault="0060515B" w:rsidP="0014211F">
      <w:pPr>
        <w:pStyle w:val="NormalWeb"/>
        <w:spacing w:line="360" w:lineRule="auto"/>
        <w:jc w:val="both"/>
        <w:rPr>
          <w:rFonts w:ascii="Arial" w:hAnsi="Arial" w:cs="Arial"/>
        </w:rPr>
      </w:pPr>
    </w:p>
    <w:p w14:paraId="73325E5E" w14:textId="31D71FAB" w:rsidR="001E61FA" w:rsidRPr="008F59EC" w:rsidRDefault="00EC30AA" w:rsidP="0014211F">
      <w:pPr>
        <w:pStyle w:val="NormalWeb"/>
        <w:spacing w:line="360" w:lineRule="auto"/>
        <w:jc w:val="both"/>
        <w:rPr>
          <w:rFonts w:ascii="Arial" w:hAnsi="Arial" w:cs="Arial"/>
        </w:rPr>
      </w:pPr>
      <w:r w:rsidRPr="008F59EC">
        <w:rPr>
          <w:rFonts w:ascii="Arial" w:hAnsi="Arial" w:cs="Arial"/>
        </w:rPr>
        <w:t xml:space="preserve">Sense Mortgage and </w:t>
      </w:r>
      <w:r w:rsidR="0060515B" w:rsidRPr="008F59EC">
        <w:rPr>
          <w:rFonts w:ascii="Arial" w:hAnsi="Arial" w:cs="Arial"/>
        </w:rPr>
        <w:t>Residential positions itself between these models by combining personalised advisory services with digital efficiency and compliance oversight through its principal network. This hybrid positioning enables the firm to compete effectively on service quality rather than price alone.</w:t>
      </w:r>
    </w:p>
    <w:tbl>
      <w:tblPr>
        <w:tblStyle w:val="TableGrid"/>
        <w:tblW w:w="9281" w:type="dxa"/>
        <w:tblLook w:val="04A0" w:firstRow="1" w:lastRow="0" w:firstColumn="1" w:lastColumn="0" w:noHBand="0" w:noVBand="1"/>
      </w:tblPr>
      <w:tblGrid>
        <w:gridCol w:w="9281"/>
      </w:tblGrid>
      <w:tr w:rsidR="00450153" w:rsidRPr="008F59EC" w14:paraId="738C40AE" w14:textId="77777777" w:rsidTr="00764157">
        <w:trPr>
          <w:trHeight w:val="5078"/>
        </w:trPr>
        <w:tc>
          <w:tcPr>
            <w:tcW w:w="9281" w:type="dxa"/>
          </w:tcPr>
          <w:p w14:paraId="4C11BA65" w14:textId="61C85CC1" w:rsidR="00450153" w:rsidRDefault="00764157" w:rsidP="0014211F">
            <w:pPr>
              <w:pStyle w:val="NormalWeb"/>
              <w:spacing w:line="360" w:lineRule="auto"/>
              <w:jc w:val="both"/>
              <w:rPr>
                <w:rFonts w:ascii="Arial" w:hAnsi="Arial" w:cs="Arial"/>
              </w:rPr>
            </w:pPr>
            <w:r w:rsidRPr="008F59EC">
              <w:rPr>
                <w:rFonts w:ascii="Arial" w:hAnsi="Arial" w:cs="Arial"/>
                <w:noProof/>
              </w:rPr>
              <w:lastRenderedPageBreak/>
              <w:drawing>
                <wp:anchor distT="0" distB="0" distL="114300" distR="114300" simplePos="0" relativeHeight="251667456" behindDoc="0" locked="0" layoutInCell="1" allowOverlap="1" wp14:anchorId="5E9B321A" wp14:editId="3ACD1853">
                  <wp:simplePos x="0" y="0"/>
                  <wp:positionH relativeFrom="column">
                    <wp:posOffset>-8692</wp:posOffset>
                  </wp:positionH>
                  <wp:positionV relativeFrom="paragraph">
                    <wp:posOffset>10817</wp:posOffset>
                  </wp:positionV>
                  <wp:extent cx="5412828" cy="2863519"/>
                  <wp:effectExtent l="0" t="0" r="0" b="0"/>
                  <wp:wrapNone/>
                  <wp:docPr id="852063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9668" cy="28724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D57D80" w14:textId="3E51C391" w:rsidR="00764157" w:rsidRPr="00764157" w:rsidRDefault="00764157" w:rsidP="0014211F">
            <w:pPr>
              <w:pStyle w:val="NormalWeb"/>
              <w:spacing w:line="360" w:lineRule="auto"/>
              <w:jc w:val="both"/>
              <w:rPr>
                <w:rFonts w:ascii="Arial" w:hAnsi="Arial" w:cs="Arial"/>
              </w:rPr>
            </w:pPr>
          </w:p>
          <w:p w14:paraId="347E7CF3" w14:textId="356023C3" w:rsidR="00450153" w:rsidRPr="008F59EC" w:rsidRDefault="00450153" w:rsidP="0014211F">
            <w:pPr>
              <w:pStyle w:val="NormalWeb"/>
              <w:spacing w:line="360" w:lineRule="auto"/>
              <w:jc w:val="both"/>
              <w:rPr>
                <w:rFonts w:ascii="Arial" w:hAnsi="Arial" w:cs="Arial"/>
                <w:i/>
                <w:iCs/>
              </w:rPr>
            </w:pPr>
          </w:p>
        </w:tc>
      </w:tr>
    </w:tbl>
    <w:p w14:paraId="6DE58418" w14:textId="03C1C864" w:rsidR="00450153" w:rsidRPr="008F59EC" w:rsidRDefault="00450153" w:rsidP="0014211F">
      <w:pPr>
        <w:pStyle w:val="NormalWeb"/>
        <w:spacing w:line="360" w:lineRule="auto"/>
        <w:jc w:val="both"/>
        <w:rPr>
          <w:rFonts w:ascii="Arial" w:hAnsi="Arial" w:cs="Arial"/>
          <w:i/>
          <w:iCs/>
        </w:rPr>
      </w:pPr>
      <w:r w:rsidRPr="008F59EC">
        <w:rPr>
          <w:rFonts w:ascii="Arial" w:hAnsi="Arial" w:cs="Arial"/>
          <w:i/>
          <w:iCs/>
        </w:rPr>
        <w:t>Figure 4: Competitors comparing Matrix</w:t>
      </w:r>
    </w:p>
    <w:p w14:paraId="252BA46E" w14:textId="3C315CAD" w:rsidR="00863903" w:rsidRPr="008F59EC" w:rsidRDefault="00863903" w:rsidP="0014211F">
      <w:pPr>
        <w:pStyle w:val="NormalWeb"/>
        <w:spacing w:line="360" w:lineRule="auto"/>
        <w:jc w:val="both"/>
        <w:rPr>
          <w:rFonts w:ascii="Arial" w:hAnsi="Arial" w:cs="Arial"/>
        </w:rPr>
      </w:pPr>
      <w:r w:rsidRPr="008F59EC">
        <w:rPr>
          <w:rFonts w:ascii="Arial" w:hAnsi="Arial" w:cs="Arial"/>
          <w:i/>
          <w:iCs/>
        </w:rPr>
        <w:t>Source: Author Illustration (2025)</w:t>
      </w:r>
    </w:p>
    <w:p w14:paraId="0790EA93" w14:textId="77777777" w:rsidR="00AA725E" w:rsidRPr="008F59EC" w:rsidRDefault="00AA725E" w:rsidP="0014211F">
      <w:pPr>
        <w:spacing w:line="360" w:lineRule="auto"/>
        <w:jc w:val="both"/>
        <w:rPr>
          <w:rFonts w:ascii="Arial" w:hAnsi="Arial" w:cs="Arial"/>
        </w:rPr>
      </w:pPr>
      <w:r w:rsidRPr="008F59EC">
        <w:rPr>
          <w:rFonts w:ascii="Arial" w:hAnsi="Arial" w:cs="Arial"/>
        </w:rPr>
        <w:t>The threat of substitutes, such as AI-driven advice systems or fully automated platforms, is increasing but currently limited by the complexity of borrower circumstances and the need for human judgment in affordability assessments. Supplier and primarily lenders hold moderate power, as they frequently adjust criteria and stress-testing parameters; however, intermediaries account for a significant portion of mortgage distribution, giving brokers substantial influence in product placement (UK Finance, 2024). Overall, the environment favours firms that offer strong compliance, personalised service, and digital efficiency.</w:t>
      </w:r>
    </w:p>
    <w:p w14:paraId="5EE06290" w14:textId="24E6A06A" w:rsidR="00D873C6" w:rsidRPr="008F59EC" w:rsidRDefault="00D873C6" w:rsidP="0014211F">
      <w:pPr>
        <w:spacing w:line="360" w:lineRule="auto"/>
        <w:jc w:val="both"/>
        <w:rPr>
          <w:rFonts w:ascii="Arial" w:hAnsi="Arial" w:cs="Arial"/>
        </w:rPr>
      </w:pPr>
      <w:r w:rsidRPr="008F59EC">
        <w:rPr>
          <w:rFonts w:ascii="Arial" w:hAnsi="Arial" w:cs="Arial"/>
        </w:rPr>
        <w:t xml:space="preserve">The combined findings of this market analysis demonstrate that </w:t>
      </w:r>
      <w:r w:rsidR="00EC30AA" w:rsidRPr="008F59EC">
        <w:rPr>
          <w:rFonts w:ascii="Arial" w:hAnsi="Arial" w:cs="Arial"/>
        </w:rPr>
        <w:t xml:space="preserve">Sense Mortgage and </w:t>
      </w:r>
      <w:r w:rsidRPr="008F59EC">
        <w:rPr>
          <w:rFonts w:ascii="Arial" w:hAnsi="Arial" w:cs="Arial"/>
        </w:rPr>
        <w:t>Residential is entering a market characterised by sustained demand, increasing advisory complexity, and evolving consumer expectations. While competition remains intense, the evidence indicates that borrowers continue to value professional guidance, particularly during periods of interest rate volatility and regulatory tightening.</w:t>
      </w:r>
    </w:p>
    <w:p w14:paraId="613224D9" w14:textId="77777777" w:rsidR="00D873C6" w:rsidRPr="008F59EC" w:rsidRDefault="00D873C6" w:rsidP="0014211F">
      <w:pPr>
        <w:spacing w:line="360" w:lineRule="auto"/>
        <w:jc w:val="both"/>
        <w:rPr>
          <w:rFonts w:ascii="Arial" w:hAnsi="Arial" w:cs="Arial"/>
        </w:rPr>
      </w:pPr>
    </w:p>
    <w:p w14:paraId="02F95724" w14:textId="0F91B082" w:rsidR="00093897" w:rsidRPr="008F59EC" w:rsidRDefault="00D873C6" w:rsidP="0014211F">
      <w:pPr>
        <w:spacing w:line="360" w:lineRule="auto"/>
        <w:jc w:val="both"/>
        <w:rPr>
          <w:rFonts w:ascii="Arial" w:hAnsi="Arial" w:cs="Arial"/>
        </w:rPr>
      </w:pPr>
      <w:r w:rsidRPr="008F59EC">
        <w:rPr>
          <w:rFonts w:ascii="Arial" w:hAnsi="Arial" w:cs="Arial"/>
        </w:rPr>
        <w:t xml:space="preserve">By focusing on clearly defined customer segments and aligning its service model with demonstrated consumer preferences, </w:t>
      </w:r>
      <w:r w:rsidR="00EC30AA" w:rsidRPr="008F59EC">
        <w:rPr>
          <w:rFonts w:ascii="Arial" w:hAnsi="Arial" w:cs="Arial"/>
        </w:rPr>
        <w:t xml:space="preserve">Sense Mortgage and Residential </w:t>
      </w:r>
      <w:r w:rsidRPr="008F59EC">
        <w:rPr>
          <w:rFonts w:ascii="Arial" w:hAnsi="Arial" w:cs="Arial"/>
        </w:rPr>
        <w:t xml:space="preserve">is well </w:t>
      </w:r>
      <w:r w:rsidRPr="008F59EC">
        <w:rPr>
          <w:rFonts w:ascii="Arial" w:hAnsi="Arial" w:cs="Arial"/>
        </w:rPr>
        <w:lastRenderedPageBreak/>
        <w:t>positioned to convert market demand into sustainable revenue. The insights generated in this chapter directly inform the firm’s marketing strategy, operational design, and financial assumptions presented in subsequent chapter</w:t>
      </w:r>
    </w:p>
    <w:p w14:paraId="5FBEB02D" w14:textId="77777777" w:rsidR="00672614" w:rsidRPr="008F59EC" w:rsidRDefault="00672614" w:rsidP="0014211F">
      <w:pPr>
        <w:spacing w:line="360" w:lineRule="auto"/>
        <w:jc w:val="both"/>
        <w:rPr>
          <w:rFonts w:ascii="Arial" w:hAnsi="Arial" w:cs="Arial"/>
        </w:rPr>
      </w:pPr>
    </w:p>
    <w:p w14:paraId="1D3E3922" w14:textId="7B31F33F" w:rsidR="000044D7" w:rsidRPr="008F59EC" w:rsidRDefault="000044D7" w:rsidP="0007190F">
      <w:pPr>
        <w:pStyle w:val="Heading2"/>
        <w:rPr>
          <w:rFonts w:ascii="Arial" w:hAnsi="Arial" w:cs="Arial"/>
        </w:rPr>
      </w:pPr>
      <w:bookmarkStart w:id="19" w:name="_Toc219926263"/>
      <w:r w:rsidRPr="008F59EC">
        <w:rPr>
          <w:rFonts w:ascii="Arial" w:hAnsi="Arial" w:cs="Arial"/>
        </w:rPr>
        <w:t>3.5 Market Validation</w:t>
      </w:r>
      <w:bookmarkEnd w:id="19"/>
    </w:p>
    <w:p w14:paraId="772280AD" w14:textId="307DBF27" w:rsidR="000044D7" w:rsidRPr="008F59EC" w:rsidRDefault="000044D7" w:rsidP="0014211F">
      <w:pPr>
        <w:spacing w:line="360" w:lineRule="auto"/>
        <w:jc w:val="both"/>
        <w:rPr>
          <w:rFonts w:ascii="Arial" w:hAnsi="Arial" w:cs="Arial"/>
        </w:rPr>
      </w:pPr>
      <w:r w:rsidRPr="008F59EC">
        <w:rPr>
          <w:rFonts w:ascii="Arial" w:hAnsi="Arial" w:cs="Arial"/>
        </w:rPr>
        <w:t xml:space="preserve">The viability of </w:t>
      </w:r>
      <w:r w:rsidR="00EC30AA" w:rsidRPr="008F59EC">
        <w:rPr>
          <w:rFonts w:ascii="Arial" w:hAnsi="Arial" w:cs="Arial"/>
        </w:rPr>
        <w:t>Sense Mortgage and</w:t>
      </w:r>
      <w:r w:rsidRPr="008F59EC">
        <w:rPr>
          <w:rFonts w:ascii="Arial" w:hAnsi="Arial" w:cs="Arial"/>
        </w:rPr>
        <w:t xml:space="preserve"> Residential is supported by multiple sources of market validation. First, sustained transaction volumes within the UK mortgage market provide confidence in ongoing demand (UK Finance, 2024). Second, regulatory complexity continues to increase reliance on professional advisers, particularly among first-time buyers and remortgaging clients (MarketLine, 2024). Third, consumer preference for adviser-led or hybrid service models further supports the firm’s strategic positioning (McKinsey &amp; Company, 2023).</w:t>
      </w:r>
    </w:p>
    <w:p w14:paraId="01AF56F3" w14:textId="77777777" w:rsidR="000044D7" w:rsidRPr="008F59EC" w:rsidRDefault="000044D7" w:rsidP="0014211F">
      <w:pPr>
        <w:spacing w:line="360" w:lineRule="auto"/>
        <w:jc w:val="both"/>
        <w:rPr>
          <w:rFonts w:ascii="Arial" w:hAnsi="Arial" w:cs="Arial"/>
        </w:rPr>
      </w:pPr>
    </w:p>
    <w:p w14:paraId="634FCCE0" w14:textId="3EA7638C" w:rsidR="0091280E" w:rsidRDefault="000044D7" w:rsidP="0014211F">
      <w:pPr>
        <w:spacing w:line="360" w:lineRule="auto"/>
        <w:jc w:val="both"/>
        <w:rPr>
          <w:rFonts w:ascii="Arial" w:hAnsi="Arial" w:cs="Arial"/>
        </w:rPr>
      </w:pPr>
      <w:r w:rsidRPr="008F59EC">
        <w:rPr>
          <w:rFonts w:ascii="Arial" w:hAnsi="Arial" w:cs="Arial"/>
        </w:rPr>
        <w:t>These factors collectively validate the decision to enter the market with a compliance-led, client-focused advisory model. Rather than relying on speculative growth, the business is grounded in established demand patterns and structural industry trends.</w:t>
      </w:r>
    </w:p>
    <w:p w14:paraId="355E6F95" w14:textId="77777777" w:rsidR="00FD4C5B" w:rsidRPr="008F59EC" w:rsidRDefault="00FD4C5B" w:rsidP="0014211F">
      <w:pPr>
        <w:spacing w:line="360" w:lineRule="auto"/>
        <w:jc w:val="both"/>
        <w:rPr>
          <w:rFonts w:ascii="Arial" w:hAnsi="Arial" w:cs="Arial"/>
        </w:rPr>
      </w:pPr>
    </w:p>
    <w:p w14:paraId="17DE40D3" w14:textId="631B05F2" w:rsidR="00327262" w:rsidRPr="008F59EC" w:rsidRDefault="00327262" w:rsidP="0007190F">
      <w:pPr>
        <w:pStyle w:val="Heading2"/>
        <w:rPr>
          <w:rFonts w:ascii="Arial" w:hAnsi="Arial" w:cs="Arial"/>
        </w:rPr>
      </w:pPr>
      <w:bookmarkStart w:id="20" w:name="_Toc219926264"/>
      <w:r w:rsidRPr="008F59EC">
        <w:rPr>
          <w:rFonts w:ascii="Arial" w:hAnsi="Arial" w:cs="Arial"/>
        </w:rPr>
        <w:t xml:space="preserve">3.6 SWOT Analysis of </w:t>
      </w:r>
      <w:r w:rsidR="00EC30AA" w:rsidRPr="008F59EC">
        <w:rPr>
          <w:rFonts w:ascii="Arial" w:hAnsi="Arial" w:cs="Arial"/>
        </w:rPr>
        <w:t xml:space="preserve">Sense Mortgage and </w:t>
      </w:r>
      <w:r w:rsidRPr="008F59EC">
        <w:rPr>
          <w:rFonts w:ascii="Arial" w:hAnsi="Arial" w:cs="Arial"/>
        </w:rPr>
        <w:t>Residential</w:t>
      </w:r>
      <w:bookmarkEnd w:id="20"/>
    </w:p>
    <w:p w14:paraId="44699AF8" w14:textId="77777777" w:rsidR="00327262" w:rsidRPr="008F59EC" w:rsidRDefault="00327262" w:rsidP="0014211F">
      <w:pPr>
        <w:spacing w:line="360" w:lineRule="auto"/>
        <w:jc w:val="both"/>
        <w:rPr>
          <w:rFonts w:ascii="Arial" w:hAnsi="Arial" w:cs="Arial"/>
        </w:rPr>
      </w:pPr>
      <w:r w:rsidRPr="008F59EC">
        <w:rPr>
          <w:rFonts w:ascii="Arial" w:hAnsi="Arial" w:cs="Arial"/>
        </w:rPr>
        <w:t>A SWOT analysis brings together the key internal and external factors identified in the earlier sections of the market research chapter. It provides a structured assessment of the firm’s strengths, weaknesses, opportunities, and threats, helping clarify its strategic position within the UK mortgage advisory market. Conducting a SWOT analysis is useful for translating market analysis into actionable strategic insight (Kotler &amp; Keller, 2023). The analysis below considers internal capabilities such as compliance culture, service quality, and technology adoption, alongside external market forces such as regulatory changes, consumer trends, and competitive pressures.</w:t>
      </w:r>
    </w:p>
    <w:p w14:paraId="6BD19C95" w14:textId="77777777" w:rsidR="00FD4C5B" w:rsidRDefault="00FD4C5B" w:rsidP="0014211F">
      <w:pPr>
        <w:spacing w:line="360" w:lineRule="auto"/>
        <w:jc w:val="both"/>
        <w:rPr>
          <w:rFonts w:ascii="Arial" w:hAnsi="Arial" w:cs="Arial"/>
        </w:rPr>
      </w:pPr>
    </w:p>
    <w:p w14:paraId="7D6C398F" w14:textId="77777777" w:rsidR="00FD4C5B" w:rsidRDefault="00FD4C5B" w:rsidP="0014211F">
      <w:pPr>
        <w:spacing w:line="360" w:lineRule="auto"/>
        <w:jc w:val="both"/>
        <w:rPr>
          <w:rFonts w:ascii="Arial" w:hAnsi="Arial" w:cs="Arial"/>
        </w:rPr>
      </w:pPr>
    </w:p>
    <w:p w14:paraId="79020BFB" w14:textId="77777777" w:rsidR="00FD4C5B" w:rsidRDefault="00FD4C5B" w:rsidP="0014211F">
      <w:pPr>
        <w:spacing w:line="360" w:lineRule="auto"/>
        <w:jc w:val="both"/>
        <w:rPr>
          <w:rFonts w:ascii="Arial" w:hAnsi="Arial" w:cs="Arial"/>
        </w:rPr>
      </w:pPr>
    </w:p>
    <w:p w14:paraId="368C960F" w14:textId="77777777" w:rsidR="00FD4C5B" w:rsidRDefault="00FD4C5B" w:rsidP="0014211F">
      <w:pPr>
        <w:spacing w:line="360" w:lineRule="auto"/>
        <w:jc w:val="both"/>
        <w:rPr>
          <w:rFonts w:ascii="Arial" w:hAnsi="Arial" w:cs="Arial"/>
        </w:rPr>
      </w:pPr>
    </w:p>
    <w:p w14:paraId="226AFE67" w14:textId="5E928887" w:rsidR="00327262" w:rsidRPr="008F59EC" w:rsidRDefault="00AC29CB" w:rsidP="0014211F">
      <w:pPr>
        <w:spacing w:line="360" w:lineRule="auto"/>
        <w:jc w:val="both"/>
        <w:rPr>
          <w:rFonts w:ascii="Arial" w:hAnsi="Arial" w:cs="Arial"/>
        </w:rPr>
      </w:pPr>
      <w:r w:rsidRPr="008F59EC">
        <w:rPr>
          <w:rFonts w:ascii="Arial" w:hAnsi="Arial" w:cs="Arial"/>
        </w:rPr>
        <w:t xml:space="preserve">Table 2: </w:t>
      </w:r>
      <w:r w:rsidR="00327262" w:rsidRPr="008F59EC">
        <w:rPr>
          <w:rFonts w:ascii="Arial" w:hAnsi="Arial" w:cs="Arial"/>
        </w:rPr>
        <w:t xml:space="preserve">SWOT Analysis of </w:t>
      </w:r>
      <w:r w:rsidR="00EC30AA" w:rsidRPr="008F59EC">
        <w:rPr>
          <w:rFonts w:ascii="Arial" w:hAnsi="Arial" w:cs="Arial"/>
        </w:rPr>
        <w:t xml:space="preserve">Sense Mortgage and </w:t>
      </w:r>
      <w:r w:rsidR="00327262" w:rsidRPr="008F59EC">
        <w:rPr>
          <w:rFonts w:ascii="Arial" w:hAnsi="Arial" w:cs="Arial"/>
        </w:rPr>
        <w:t>Residential</w:t>
      </w:r>
    </w:p>
    <w:tbl>
      <w:tblPr>
        <w:tblStyle w:val="GridTable6Colorful-Accent4"/>
        <w:tblW w:w="9140" w:type="dxa"/>
        <w:tblLook w:val="04A0" w:firstRow="1" w:lastRow="0" w:firstColumn="1" w:lastColumn="0" w:noHBand="0" w:noVBand="1"/>
      </w:tblPr>
      <w:tblGrid>
        <w:gridCol w:w="4570"/>
        <w:gridCol w:w="4570"/>
      </w:tblGrid>
      <w:tr w:rsidR="00327262" w:rsidRPr="008F59EC" w14:paraId="6F132854" w14:textId="77777777" w:rsidTr="002F735A">
        <w:trPr>
          <w:cnfStyle w:val="100000000000" w:firstRow="1" w:lastRow="0" w:firstColumn="0" w:lastColumn="0" w:oddVBand="0" w:evenVBand="0" w:oddHBand="0"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4570" w:type="dxa"/>
          </w:tcPr>
          <w:p w14:paraId="7DAE74E1" w14:textId="77777777" w:rsidR="00327262" w:rsidRPr="008F59EC" w:rsidRDefault="00327262" w:rsidP="0014211F">
            <w:pPr>
              <w:spacing w:line="360" w:lineRule="auto"/>
              <w:jc w:val="both"/>
              <w:rPr>
                <w:rFonts w:ascii="Arial" w:hAnsi="Arial" w:cs="Arial"/>
              </w:rPr>
            </w:pPr>
            <w:r w:rsidRPr="008F59EC">
              <w:rPr>
                <w:rFonts w:ascii="Arial" w:hAnsi="Arial" w:cs="Arial"/>
              </w:rPr>
              <w:t xml:space="preserve">Strengths </w:t>
            </w:r>
          </w:p>
        </w:tc>
        <w:tc>
          <w:tcPr>
            <w:tcW w:w="4570" w:type="dxa"/>
          </w:tcPr>
          <w:p w14:paraId="28C6D62C" w14:textId="77777777" w:rsidR="00327262" w:rsidRPr="008F59EC" w:rsidRDefault="00327262" w:rsidP="0014211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weaknesses</w:t>
            </w:r>
          </w:p>
        </w:tc>
      </w:tr>
      <w:tr w:rsidR="00327262" w:rsidRPr="008F59EC" w14:paraId="1CD23B32" w14:textId="77777777" w:rsidTr="002F735A">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4570" w:type="dxa"/>
          </w:tcPr>
          <w:p w14:paraId="4CFF1042" w14:textId="77777777" w:rsidR="00327262" w:rsidRPr="008F59EC" w:rsidRDefault="00327262" w:rsidP="0014211F">
            <w:pPr>
              <w:pStyle w:val="ListParagraph"/>
              <w:numPr>
                <w:ilvl w:val="0"/>
                <w:numId w:val="1"/>
              </w:numPr>
              <w:spacing w:line="360" w:lineRule="auto"/>
              <w:jc w:val="both"/>
              <w:rPr>
                <w:rFonts w:ascii="Arial" w:hAnsi="Arial" w:cs="Arial"/>
                <w:b w:val="0"/>
                <w:bCs w:val="0"/>
              </w:rPr>
            </w:pPr>
            <w:r w:rsidRPr="008F59EC">
              <w:rPr>
                <w:rFonts w:ascii="Arial" w:hAnsi="Arial" w:cs="Arial"/>
                <w:b w:val="0"/>
                <w:bCs w:val="0"/>
              </w:rPr>
              <w:t>Strong compliance culture supported by Openwork network.</w:t>
            </w:r>
          </w:p>
          <w:p w14:paraId="701F839F" w14:textId="77777777" w:rsidR="00327262" w:rsidRPr="008F59EC" w:rsidRDefault="00327262" w:rsidP="0014211F">
            <w:pPr>
              <w:pStyle w:val="ListParagraph"/>
              <w:numPr>
                <w:ilvl w:val="0"/>
                <w:numId w:val="1"/>
              </w:numPr>
              <w:spacing w:line="360" w:lineRule="auto"/>
              <w:jc w:val="both"/>
              <w:rPr>
                <w:rFonts w:ascii="Arial" w:hAnsi="Arial" w:cs="Arial"/>
                <w:b w:val="0"/>
                <w:bCs w:val="0"/>
              </w:rPr>
            </w:pPr>
            <w:r w:rsidRPr="008F59EC">
              <w:rPr>
                <w:rFonts w:ascii="Arial" w:hAnsi="Arial" w:cs="Arial"/>
                <w:b w:val="0"/>
                <w:bCs w:val="0"/>
              </w:rPr>
              <w:t>Hybrid digital-human advisory model supporting efficiency.</w:t>
            </w:r>
          </w:p>
          <w:p w14:paraId="04096E31" w14:textId="77777777" w:rsidR="00327262" w:rsidRPr="008F59EC" w:rsidRDefault="00327262" w:rsidP="0014211F">
            <w:pPr>
              <w:pStyle w:val="ListParagraph"/>
              <w:numPr>
                <w:ilvl w:val="0"/>
                <w:numId w:val="1"/>
              </w:numPr>
              <w:spacing w:line="360" w:lineRule="auto"/>
              <w:jc w:val="both"/>
              <w:rPr>
                <w:rFonts w:ascii="Arial" w:hAnsi="Arial" w:cs="Arial"/>
                <w:b w:val="0"/>
                <w:bCs w:val="0"/>
              </w:rPr>
            </w:pPr>
            <w:r w:rsidRPr="008F59EC">
              <w:rPr>
                <w:rFonts w:ascii="Arial" w:hAnsi="Arial" w:cs="Arial"/>
                <w:b w:val="0"/>
                <w:bCs w:val="0"/>
              </w:rPr>
              <w:t>Personalised service and transparent communication.</w:t>
            </w:r>
          </w:p>
          <w:p w14:paraId="78D4F1FD" w14:textId="77777777" w:rsidR="00327262" w:rsidRPr="008F59EC" w:rsidRDefault="00327262" w:rsidP="0014211F">
            <w:pPr>
              <w:pStyle w:val="ListParagraph"/>
              <w:numPr>
                <w:ilvl w:val="0"/>
                <w:numId w:val="1"/>
              </w:numPr>
              <w:spacing w:line="360" w:lineRule="auto"/>
              <w:jc w:val="both"/>
              <w:rPr>
                <w:rFonts w:ascii="Arial" w:hAnsi="Arial" w:cs="Arial"/>
              </w:rPr>
            </w:pPr>
            <w:r w:rsidRPr="008F59EC">
              <w:rPr>
                <w:rFonts w:ascii="Arial" w:hAnsi="Arial" w:cs="Arial"/>
                <w:b w:val="0"/>
                <w:bCs w:val="0"/>
              </w:rPr>
              <w:t>Professional brand identity and modern technology stack</w:t>
            </w:r>
            <w:r w:rsidRPr="008F59EC">
              <w:rPr>
                <w:rFonts w:ascii="Arial" w:hAnsi="Arial" w:cs="Arial"/>
              </w:rPr>
              <w:tab/>
            </w:r>
          </w:p>
        </w:tc>
        <w:tc>
          <w:tcPr>
            <w:tcW w:w="4570" w:type="dxa"/>
          </w:tcPr>
          <w:p w14:paraId="1C546CDA" w14:textId="77777777" w:rsidR="00327262" w:rsidRPr="008F59EC" w:rsidRDefault="00327262" w:rsidP="0014211F">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New brand with no established market reputation.</w:t>
            </w:r>
          </w:p>
          <w:p w14:paraId="6DE09712" w14:textId="77777777" w:rsidR="00327262" w:rsidRPr="008F59EC" w:rsidRDefault="00327262" w:rsidP="0014211F">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Limited initial operational capacity (small team).</w:t>
            </w:r>
          </w:p>
          <w:p w14:paraId="5C10905D" w14:textId="77777777" w:rsidR="00327262" w:rsidRPr="008F59EC" w:rsidRDefault="00327262" w:rsidP="0014211F">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Higher workload risk on founder in early phases.</w:t>
            </w:r>
          </w:p>
          <w:p w14:paraId="027F1F53" w14:textId="77777777" w:rsidR="00327262" w:rsidRPr="008F59EC" w:rsidRDefault="00327262" w:rsidP="0014211F">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Dependence on network systems may limit flexibility.</w:t>
            </w:r>
          </w:p>
          <w:p w14:paraId="61E156F7" w14:textId="77777777" w:rsidR="00327262" w:rsidRPr="008F59EC" w:rsidRDefault="00327262"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327262" w:rsidRPr="008F59EC" w14:paraId="4B650774" w14:textId="77777777" w:rsidTr="002F735A">
        <w:trPr>
          <w:trHeight w:val="597"/>
        </w:trPr>
        <w:tc>
          <w:tcPr>
            <w:cnfStyle w:val="001000000000" w:firstRow="0" w:lastRow="0" w:firstColumn="1" w:lastColumn="0" w:oddVBand="0" w:evenVBand="0" w:oddHBand="0" w:evenHBand="0" w:firstRowFirstColumn="0" w:firstRowLastColumn="0" w:lastRowFirstColumn="0" w:lastRowLastColumn="0"/>
            <w:tcW w:w="4570" w:type="dxa"/>
          </w:tcPr>
          <w:p w14:paraId="4835A223" w14:textId="77777777" w:rsidR="00327262" w:rsidRPr="008F59EC" w:rsidRDefault="00327262" w:rsidP="0014211F">
            <w:pPr>
              <w:spacing w:line="360" w:lineRule="auto"/>
              <w:jc w:val="both"/>
              <w:rPr>
                <w:rFonts w:ascii="Arial" w:hAnsi="Arial" w:cs="Arial"/>
              </w:rPr>
            </w:pPr>
            <w:r w:rsidRPr="008F59EC">
              <w:rPr>
                <w:rFonts w:ascii="Arial" w:hAnsi="Arial" w:cs="Arial"/>
              </w:rPr>
              <w:t>Opportunities</w:t>
            </w:r>
          </w:p>
        </w:tc>
        <w:tc>
          <w:tcPr>
            <w:tcW w:w="4570" w:type="dxa"/>
          </w:tcPr>
          <w:p w14:paraId="4C9A02AA" w14:textId="77777777" w:rsidR="00327262" w:rsidRPr="008F59EC" w:rsidRDefault="00327262"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8F59EC">
              <w:rPr>
                <w:rFonts w:ascii="Arial" w:hAnsi="Arial" w:cs="Arial"/>
                <w:b/>
                <w:bCs/>
              </w:rPr>
              <w:t>Threats</w:t>
            </w:r>
          </w:p>
        </w:tc>
      </w:tr>
      <w:tr w:rsidR="00327262" w:rsidRPr="008F59EC" w14:paraId="23149C2C" w14:textId="77777777" w:rsidTr="002F735A">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4570" w:type="dxa"/>
          </w:tcPr>
          <w:p w14:paraId="7DDBC2DB" w14:textId="77777777" w:rsidR="00327262" w:rsidRPr="008F59EC" w:rsidRDefault="00327262" w:rsidP="0014211F">
            <w:pPr>
              <w:pStyle w:val="ListParagraph"/>
              <w:numPr>
                <w:ilvl w:val="0"/>
                <w:numId w:val="2"/>
              </w:numPr>
              <w:spacing w:line="360" w:lineRule="auto"/>
              <w:jc w:val="both"/>
              <w:rPr>
                <w:rFonts w:ascii="Arial" w:hAnsi="Arial" w:cs="Arial"/>
                <w:b w:val="0"/>
                <w:bCs w:val="0"/>
              </w:rPr>
            </w:pPr>
            <w:r w:rsidRPr="008F59EC">
              <w:rPr>
                <w:rFonts w:ascii="Arial" w:hAnsi="Arial" w:cs="Arial"/>
                <w:b w:val="0"/>
                <w:bCs w:val="0"/>
              </w:rPr>
              <w:t>Growing demand for hybrid advisory models.</w:t>
            </w:r>
          </w:p>
          <w:p w14:paraId="72CF43F7" w14:textId="77777777" w:rsidR="00327262" w:rsidRPr="008F59EC" w:rsidRDefault="00327262" w:rsidP="0014211F">
            <w:pPr>
              <w:pStyle w:val="ListParagraph"/>
              <w:numPr>
                <w:ilvl w:val="0"/>
                <w:numId w:val="2"/>
              </w:numPr>
              <w:spacing w:line="360" w:lineRule="auto"/>
              <w:jc w:val="both"/>
              <w:rPr>
                <w:rFonts w:ascii="Arial" w:hAnsi="Arial" w:cs="Arial"/>
                <w:b w:val="0"/>
                <w:bCs w:val="0"/>
              </w:rPr>
            </w:pPr>
            <w:r w:rsidRPr="008F59EC">
              <w:rPr>
                <w:rFonts w:ascii="Arial" w:hAnsi="Arial" w:cs="Arial"/>
                <w:b w:val="0"/>
                <w:bCs w:val="0"/>
              </w:rPr>
              <w:t>Increased remortgage activity due to rate changes.</w:t>
            </w:r>
          </w:p>
          <w:p w14:paraId="146F570A" w14:textId="77777777" w:rsidR="00327262" w:rsidRPr="008F59EC" w:rsidRDefault="00327262" w:rsidP="0014211F">
            <w:pPr>
              <w:pStyle w:val="ListParagraph"/>
              <w:numPr>
                <w:ilvl w:val="0"/>
                <w:numId w:val="2"/>
              </w:numPr>
              <w:spacing w:line="360" w:lineRule="auto"/>
              <w:jc w:val="both"/>
              <w:rPr>
                <w:rFonts w:ascii="Arial" w:hAnsi="Arial" w:cs="Arial"/>
                <w:b w:val="0"/>
                <w:bCs w:val="0"/>
              </w:rPr>
            </w:pPr>
            <w:r w:rsidRPr="008F59EC">
              <w:rPr>
                <w:rFonts w:ascii="Arial" w:hAnsi="Arial" w:cs="Arial"/>
                <w:b w:val="0"/>
                <w:bCs w:val="0"/>
              </w:rPr>
              <w:t>Rising first-time buyer interest in trusted advisers.</w:t>
            </w:r>
          </w:p>
          <w:p w14:paraId="0E6ADB4D" w14:textId="77777777" w:rsidR="00327262" w:rsidRPr="008F59EC" w:rsidRDefault="00327262" w:rsidP="0014211F">
            <w:pPr>
              <w:pStyle w:val="ListParagraph"/>
              <w:numPr>
                <w:ilvl w:val="0"/>
                <w:numId w:val="2"/>
              </w:numPr>
              <w:spacing w:line="360" w:lineRule="auto"/>
              <w:jc w:val="both"/>
              <w:rPr>
                <w:rFonts w:ascii="Arial" w:hAnsi="Arial" w:cs="Arial"/>
                <w:b w:val="0"/>
                <w:bCs w:val="0"/>
              </w:rPr>
            </w:pPr>
            <w:r w:rsidRPr="008F59EC">
              <w:rPr>
                <w:rFonts w:ascii="Arial" w:hAnsi="Arial" w:cs="Arial"/>
                <w:b w:val="0"/>
                <w:bCs w:val="0"/>
              </w:rPr>
              <w:t>Ability to scale cost-effectively through digital systems.</w:t>
            </w:r>
          </w:p>
          <w:p w14:paraId="346BC315" w14:textId="77777777" w:rsidR="00327262" w:rsidRPr="008F59EC" w:rsidRDefault="00327262" w:rsidP="0014211F">
            <w:pPr>
              <w:spacing w:line="360" w:lineRule="auto"/>
              <w:jc w:val="both"/>
              <w:rPr>
                <w:rFonts w:ascii="Arial" w:hAnsi="Arial" w:cs="Arial"/>
              </w:rPr>
            </w:pPr>
          </w:p>
        </w:tc>
        <w:tc>
          <w:tcPr>
            <w:tcW w:w="4570" w:type="dxa"/>
          </w:tcPr>
          <w:p w14:paraId="2527D99E" w14:textId="77777777" w:rsidR="00327262" w:rsidRPr="008F59EC" w:rsidRDefault="00327262" w:rsidP="0014211F">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Strong competition from both large brokers and digital platforms.</w:t>
            </w:r>
          </w:p>
          <w:p w14:paraId="04D445D6" w14:textId="77777777" w:rsidR="00327262" w:rsidRPr="008F59EC" w:rsidRDefault="00327262" w:rsidP="0014211F">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Regulatory tightening increasing administrative workload.</w:t>
            </w:r>
          </w:p>
          <w:p w14:paraId="5E87E880" w14:textId="77777777" w:rsidR="00327262" w:rsidRPr="008F59EC" w:rsidRDefault="00327262" w:rsidP="0014211F">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Economic uncertainty impacting borrowing levels.</w:t>
            </w:r>
          </w:p>
          <w:p w14:paraId="1EEF5476" w14:textId="77777777" w:rsidR="00327262" w:rsidRPr="008F59EC" w:rsidRDefault="00327262" w:rsidP="0014211F">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Market disruption from fully automated mortgage tools.</w:t>
            </w:r>
          </w:p>
          <w:p w14:paraId="5E88042A" w14:textId="77777777" w:rsidR="00327262" w:rsidRPr="008F59EC" w:rsidRDefault="00327262"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08F441FF" w14:textId="77777777" w:rsidR="00AC29CB" w:rsidRPr="008F59EC" w:rsidRDefault="00AC29CB" w:rsidP="0014211F">
      <w:pPr>
        <w:spacing w:line="360" w:lineRule="auto"/>
        <w:jc w:val="both"/>
        <w:rPr>
          <w:rFonts w:ascii="Arial" w:hAnsi="Arial" w:cs="Arial"/>
          <w:i/>
          <w:iCs/>
        </w:rPr>
      </w:pPr>
    </w:p>
    <w:p w14:paraId="68B80073" w14:textId="19E1DD52" w:rsidR="00327262" w:rsidRPr="008F59EC" w:rsidRDefault="00AC29CB" w:rsidP="0014211F">
      <w:pPr>
        <w:spacing w:line="360" w:lineRule="auto"/>
        <w:jc w:val="both"/>
        <w:rPr>
          <w:rFonts w:ascii="Arial" w:hAnsi="Arial" w:cs="Arial"/>
          <w:i/>
          <w:iCs/>
        </w:rPr>
      </w:pPr>
      <w:r w:rsidRPr="008F59EC">
        <w:rPr>
          <w:rFonts w:ascii="Arial" w:hAnsi="Arial" w:cs="Arial"/>
          <w:i/>
          <w:iCs/>
        </w:rPr>
        <w:t>Source: Author illustration (2025)</w:t>
      </w:r>
    </w:p>
    <w:p w14:paraId="75F62C04" w14:textId="77777777" w:rsidR="00327262" w:rsidRPr="008F59EC" w:rsidRDefault="00327262" w:rsidP="0014211F">
      <w:pPr>
        <w:spacing w:line="360" w:lineRule="auto"/>
        <w:jc w:val="both"/>
        <w:rPr>
          <w:rFonts w:ascii="Arial" w:hAnsi="Arial" w:cs="Arial"/>
        </w:rPr>
      </w:pPr>
      <w:r w:rsidRPr="008F59EC">
        <w:rPr>
          <w:rFonts w:ascii="Arial" w:hAnsi="Arial" w:cs="Arial"/>
        </w:rPr>
        <w:t xml:space="preserve">Interpretation of SWOT Findings </w:t>
      </w:r>
    </w:p>
    <w:p w14:paraId="00039968" w14:textId="45CF616C" w:rsidR="00327262" w:rsidRPr="008F59EC" w:rsidRDefault="00327262" w:rsidP="0014211F">
      <w:pPr>
        <w:spacing w:line="360" w:lineRule="auto"/>
        <w:jc w:val="both"/>
        <w:rPr>
          <w:rFonts w:ascii="Arial" w:hAnsi="Arial" w:cs="Arial"/>
        </w:rPr>
      </w:pPr>
      <w:r w:rsidRPr="008F59EC">
        <w:rPr>
          <w:rFonts w:ascii="Arial" w:hAnsi="Arial" w:cs="Arial"/>
        </w:rPr>
        <w:t xml:space="preserve">The SWOT analysis shows that </w:t>
      </w:r>
      <w:r w:rsidR="00EC30AA" w:rsidRPr="008F59EC">
        <w:rPr>
          <w:rFonts w:ascii="Arial" w:hAnsi="Arial" w:cs="Arial"/>
        </w:rPr>
        <w:t xml:space="preserve">Sense Mortgage and </w:t>
      </w:r>
      <w:r w:rsidRPr="008F59EC">
        <w:rPr>
          <w:rFonts w:ascii="Arial" w:hAnsi="Arial" w:cs="Arial"/>
        </w:rPr>
        <w:t>Residential is well positioned to enter the market, with strong advantages such as its compliance-driven model and hybrid digital–personal service approach. These strengths align with growing consumer demand for transparent and efficient mortgage advice (McKinsey, 2023) and are reinforced by the support provided through the Openwork network, which enhances regulatory confidence and operational structure (FCA, 2023).</w:t>
      </w:r>
    </w:p>
    <w:p w14:paraId="2520D950" w14:textId="77777777" w:rsidR="00327262" w:rsidRPr="008F59EC" w:rsidRDefault="00327262" w:rsidP="0014211F">
      <w:pPr>
        <w:spacing w:line="360" w:lineRule="auto"/>
        <w:jc w:val="both"/>
        <w:rPr>
          <w:rFonts w:ascii="Arial" w:hAnsi="Arial" w:cs="Arial"/>
        </w:rPr>
      </w:pPr>
    </w:p>
    <w:p w14:paraId="783DA42F" w14:textId="77777777" w:rsidR="00327262" w:rsidRPr="008F59EC" w:rsidRDefault="00327262" w:rsidP="0014211F">
      <w:pPr>
        <w:spacing w:line="360" w:lineRule="auto"/>
        <w:jc w:val="both"/>
        <w:rPr>
          <w:rFonts w:ascii="Arial" w:hAnsi="Arial" w:cs="Arial"/>
        </w:rPr>
      </w:pPr>
      <w:r w:rsidRPr="008F59EC">
        <w:rPr>
          <w:rFonts w:ascii="Arial" w:hAnsi="Arial" w:cs="Arial"/>
        </w:rPr>
        <w:t>However, the firm’s newness presents challenges, particularly limited brand recognition and a small initial team, which may affect early client acquisition and capacity. These weaknesses can be managed through targeted marketing and gradual recruitment as demand increases.</w:t>
      </w:r>
    </w:p>
    <w:p w14:paraId="6FD089BB" w14:textId="77777777" w:rsidR="00327262" w:rsidRPr="008F59EC" w:rsidRDefault="00327262" w:rsidP="0014211F">
      <w:pPr>
        <w:spacing w:line="360" w:lineRule="auto"/>
        <w:jc w:val="both"/>
        <w:rPr>
          <w:rFonts w:ascii="Arial" w:hAnsi="Arial" w:cs="Arial"/>
        </w:rPr>
      </w:pPr>
      <w:r w:rsidRPr="008F59EC">
        <w:rPr>
          <w:rFonts w:ascii="Arial" w:hAnsi="Arial" w:cs="Arial"/>
        </w:rPr>
        <w:t>Externally, the firm benefits from rising demand among first-time buyers and strong remortgage activity during periods of rate fluctuation (UK Finance, 2024). Digital tools create opportunities for scalable growth without proportionate cost increases. At the same time, threats such as strong competition, potential regulatory tightening, and economic uncertainty must be managed through effective planning and maintaining operational flexibility.</w:t>
      </w:r>
    </w:p>
    <w:p w14:paraId="688E587F" w14:textId="494B44AA" w:rsidR="00AC29CB" w:rsidRPr="008F59EC" w:rsidRDefault="00327262" w:rsidP="003C1D46">
      <w:pPr>
        <w:spacing w:line="360" w:lineRule="auto"/>
        <w:jc w:val="both"/>
        <w:rPr>
          <w:rFonts w:ascii="Arial" w:hAnsi="Arial" w:cs="Arial"/>
        </w:rPr>
      </w:pPr>
      <w:r w:rsidRPr="008F59EC">
        <w:rPr>
          <w:rFonts w:ascii="Arial" w:hAnsi="Arial" w:cs="Arial"/>
        </w:rPr>
        <w:t>Overall, the SWOT analysis indicates that the firm has a strong foundation for growth, provided that early-stage weaknesses and external threats are addressed proactively.</w:t>
      </w:r>
    </w:p>
    <w:p w14:paraId="08B7142F" w14:textId="77777777" w:rsidR="00AC29CB" w:rsidRPr="008F59EC" w:rsidRDefault="00AC29CB" w:rsidP="0014211F">
      <w:pPr>
        <w:pStyle w:val="NormalWeb"/>
        <w:spacing w:line="360" w:lineRule="auto"/>
        <w:jc w:val="both"/>
        <w:rPr>
          <w:rFonts w:ascii="Arial" w:hAnsi="Arial" w:cs="Arial"/>
        </w:rPr>
      </w:pPr>
    </w:p>
    <w:p w14:paraId="3102EF02" w14:textId="37E5DF5F" w:rsidR="00BB38C3" w:rsidRPr="008F59EC" w:rsidRDefault="00BB38C3" w:rsidP="0007190F">
      <w:pPr>
        <w:pStyle w:val="Heading2"/>
        <w:rPr>
          <w:rFonts w:ascii="Arial" w:hAnsi="Arial" w:cs="Arial"/>
        </w:rPr>
      </w:pPr>
      <w:bookmarkStart w:id="21" w:name="_Toc219926265"/>
      <w:r w:rsidRPr="008F59EC">
        <w:rPr>
          <w:rFonts w:ascii="Arial" w:hAnsi="Arial" w:cs="Arial"/>
        </w:rPr>
        <w:t>3.7 Summary</w:t>
      </w:r>
      <w:bookmarkEnd w:id="21"/>
    </w:p>
    <w:p w14:paraId="69A4B8C0" w14:textId="3FD93BE2" w:rsidR="00D809FB" w:rsidRPr="008F59EC" w:rsidRDefault="00D809FB" w:rsidP="0014211F">
      <w:pPr>
        <w:pStyle w:val="NormalWeb"/>
        <w:spacing w:line="360" w:lineRule="auto"/>
        <w:jc w:val="both"/>
        <w:rPr>
          <w:rFonts w:ascii="Arial" w:hAnsi="Arial" w:cs="Arial"/>
        </w:rPr>
      </w:pPr>
      <w:r w:rsidRPr="008F59EC">
        <w:rPr>
          <w:rFonts w:ascii="Arial" w:hAnsi="Arial" w:cs="Arial"/>
        </w:rPr>
        <w:t xml:space="preserve">This chapter has examined the UK mortgage market to assess the commercial viability of </w:t>
      </w:r>
      <w:r w:rsidR="00EC30AA" w:rsidRPr="008F59EC">
        <w:rPr>
          <w:rFonts w:ascii="Arial" w:hAnsi="Arial" w:cs="Arial"/>
        </w:rPr>
        <w:t xml:space="preserve">Sense Mortgage and </w:t>
      </w:r>
      <w:r w:rsidRPr="008F59EC">
        <w:rPr>
          <w:rFonts w:ascii="Arial" w:hAnsi="Arial" w:cs="Arial"/>
        </w:rPr>
        <w:t>Residential. The analysis confirms that while lending volumes fluctuate in response to economic conditions, demand for mortgage advice remains structurally strong due to regulatory complexity, affordability constraints, and recurring refinancing cycles. Market segmentation highlights first-time buyers, remortgaging households, and buy-to-let investors as strategically attractive target groups, each requiring tailored advisory support.</w:t>
      </w:r>
    </w:p>
    <w:p w14:paraId="271E70B8" w14:textId="0BDB2A2A" w:rsidR="00D809FB" w:rsidRPr="008F59EC" w:rsidRDefault="00D809FB" w:rsidP="0014211F">
      <w:pPr>
        <w:pStyle w:val="NormalWeb"/>
        <w:spacing w:line="360" w:lineRule="auto"/>
        <w:jc w:val="both"/>
        <w:rPr>
          <w:rFonts w:ascii="Arial" w:hAnsi="Arial" w:cs="Arial"/>
        </w:rPr>
      </w:pPr>
      <w:r w:rsidRPr="008F59EC">
        <w:rPr>
          <w:rFonts w:ascii="Arial" w:hAnsi="Arial" w:cs="Arial"/>
        </w:rPr>
        <w:t xml:space="preserve">The findings demonstrate that consumer preferences are shifting toward hybrid service models that combine digital efficiency with personalised advice. Market data further indicates that remortgaging activity offers significant opportunities for repeat business and long-term client relationships. Competitive analysis suggests that although rivalry is high, there is a clear opportunity for compliant, client-centred advisory firms that prioritise transparency and guidance over volume-based sales. Overall, this chapter provides strong empirical support for the strategic positioning of </w:t>
      </w:r>
      <w:r w:rsidR="00EC30AA" w:rsidRPr="008F59EC">
        <w:rPr>
          <w:rFonts w:ascii="Arial" w:hAnsi="Arial" w:cs="Arial"/>
        </w:rPr>
        <w:lastRenderedPageBreak/>
        <w:t xml:space="preserve">Sense Mortgage and </w:t>
      </w:r>
      <w:r w:rsidRPr="008F59EC">
        <w:rPr>
          <w:rFonts w:ascii="Arial" w:hAnsi="Arial" w:cs="Arial"/>
        </w:rPr>
        <w:t>Residential and directly informs the marketing, operational, and financial strategies presented in subsequent chapters.</w:t>
      </w:r>
    </w:p>
    <w:p w14:paraId="347AA507" w14:textId="77777777" w:rsidR="00D809FB" w:rsidRPr="008F59EC" w:rsidRDefault="00D809FB" w:rsidP="0014211F">
      <w:pPr>
        <w:pStyle w:val="NormalWeb"/>
        <w:pBdr>
          <w:bottom w:val="single" w:sz="4" w:space="1" w:color="auto"/>
        </w:pBdr>
        <w:spacing w:line="360" w:lineRule="auto"/>
        <w:jc w:val="both"/>
        <w:rPr>
          <w:rFonts w:ascii="Arial" w:hAnsi="Arial" w:cs="Arial"/>
        </w:rPr>
      </w:pPr>
    </w:p>
    <w:p w14:paraId="3EC81880" w14:textId="77777777" w:rsidR="00AC29CB" w:rsidRDefault="00AC29CB" w:rsidP="0014211F">
      <w:pPr>
        <w:pStyle w:val="NormalWeb"/>
        <w:spacing w:line="360" w:lineRule="auto"/>
        <w:jc w:val="both"/>
        <w:rPr>
          <w:rFonts w:ascii="Arial" w:hAnsi="Arial" w:cs="Arial"/>
        </w:rPr>
      </w:pPr>
    </w:p>
    <w:p w14:paraId="04C4C6B1" w14:textId="77777777" w:rsidR="003C1D46" w:rsidRDefault="003C1D46" w:rsidP="0014211F">
      <w:pPr>
        <w:pStyle w:val="NormalWeb"/>
        <w:spacing w:line="360" w:lineRule="auto"/>
        <w:jc w:val="both"/>
        <w:rPr>
          <w:rFonts w:ascii="Arial" w:hAnsi="Arial" w:cs="Arial"/>
        </w:rPr>
      </w:pPr>
    </w:p>
    <w:p w14:paraId="0C20115A" w14:textId="77777777" w:rsidR="003C1D46" w:rsidRDefault="003C1D46" w:rsidP="0014211F">
      <w:pPr>
        <w:pStyle w:val="NormalWeb"/>
        <w:spacing w:line="360" w:lineRule="auto"/>
        <w:jc w:val="both"/>
        <w:rPr>
          <w:rFonts w:ascii="Arial" w:hAnsi="Arial" w:cs="Arial"/>
        </w:rPr>
      </w:pPr>
    </w:p>
    <w:p w14:paraId="3AA5DD41" w14:textId="77777777" w:rsidR="003C1D46" w:rsidRDefault="003C1D46" w:rsidP="0014211F">
      <w:pPr>
        <w:pStyle w:val="NormalWeb"/>
        <w:spacing w:line="360" w:lineRule="auto"/>
        <w:jc w:val="both"/>
        <w:rPr>
          <w:rFonts w:ascii="Arial" w:hAnsi="Arial" w:cs="Arial"/>
        </w:rPr>
      </w:pPr>
    </w:p>
    <w:p w14:paraId="5CBC85FD" w14:textId="77777777" w:rsidR="003C1D46" w:rsidRDefault="003C1D46" w:rsidP="0014211F">
      <w:pPr>
        <w:pStyle w:val="NormalWeb"/>
        <w:spacing w:line="360" w:lineRule="auto"/>
        <w:jc w:val="both"/>
        <w:rPr>
          <w:rFonts w:ascii="Arial" w:hAnsi="Arial" w:cs="Arial"/>
        </w:rPr>
      </w:pPr>
    </w:p>
    <w:p w14:paraId="766F5D01" w14:textId="77777777" w:rsidR="003C1D46" w:rsidRDefault="003C1D46" w:rsidP="0014211F">
      <w:pPr>
        <w:pStyle w:val="NormalWeb"/>
        <w:spacing w:line="360" w:lineRule="auto"/>
        <w:jc w:val="both"/>
        <w:rPr>
          <w:rFonts w:ascii="Arial" w:hAnsi="Arial" w:cs="Arial"/>
        </w:rPr>
      </w:pPr>
    </w:p>
    <w:p w14:paraId="3D382845" w14:textId="77777777" w:rsidR="003C1D46" w:rsidRDefault="003C1D46" w:rsidP="0014211F">
      <w:pPr>
        <w:pStyle w:val="NormalWeb"/>
        <w:spacing w:line="360" w:lineRule="auto"/>
        <w:jc w:val="both"/>
        <w:rPr>
          <w:rFonts w:ascii="Arial" w:hAnsi="Arial" w:cs="Arial"/>
        </w:rPr>
      </w:pPr>
    </w:p>
    <w:p w14:paraId="7FDB32E5" w14:textId="77777777" w:rsidR="003C1D46" w:rsidRDefault="003C1D46" w:rsidP="0014211F">
      <w:pPr>
        <w:pStyle w:val="NormalWeb"/>
        <w:spacing w:line="360" w:lineRule="auto"/>
        <w:jc w:val="both"/>
        <w:rPr>
          <w:rFonts w:ascii="Arial" w:hAnsi="Arial" w:cs="Arial"/>
        </w:rPr>
      </w:pPr>
    </w:p>
    <w:p w14:paraId="14F0C899" w14:textId="77777777" w:rsidR="003C1D46" w:rsidRDefault="003C1D46" w:rsidP="0014211F">
      <w:pPr>
        <w:pStyle w:val="NormalWeb"/>
        <w:spacing w:line="360" w:lineRule="auto"/>
        <w:jc w:val="both"/>
        <w:rPr>
          <w:rFonts w:ascii="Arial" w:hAnsi="Arial" w:cs="Arial"/>
        </w:rPr>
      </w:pPr>
    </w:p>
    <w:p w14:paraId="18365515" w14:textId="77777777" w:rsidR="003C1D46" w:rsidRDefault="003C1D46" w:rsidP="0014211F">
      <w:pPr>
        <w:pStyle w:val="NormalWeb"/>
        <w:spacing w:line="360" w:lineRule="auto"/>
        <w:jc w:val="both"/>
        <w:rPr>
          <w:rFonts w:ascii="Arial" w:hAnsi="Arial" w:cs="Arial"/>
        </w:rPr>
      </w:pPr>
    </w:p>
    <w:p w14:paraId="4AC51B8E" w14:textId="77777777" w:rsidR="003C1D46" w:rsidRDefault="003C1D46" w:rsidP="0014211F">
      <w:pPr>
        <w:pStyle w:val="NormalWeb"/>
        <w:spacing w:line="360" w:lineRule="auto"/>
        <w:jc w:val="both"/>
        <w:rPr>
          <w:rFonts w:ascii="Arial" w:hAnsi="Arial" w:cs="Arial"/>
        </w:rPr>
      </w:pPr>
    </w:p>
    <w:p w14:paraId="23B3C6E2" w14:textId="77777777" w:rsidR="003C1D46" w:rsidRDefault="003C1D46" w:rsidP="0014211F">
      <w:pPr>
        <w:pStyle w:val="NormalWeb"/>
        <w:spacing w:line="360" w:lineRule="auto"/>
        <w:jc w:val="both"/>
        <w:rPr>
          <w:rFonts w:ascii="Arial" w:hAnsi="Arial" w:cs="Arial"/>
        </w:rPr>
      </w:pPr>
    </w:p>
    <w:p w14:paraId="4AFEC8EA" w14:textId="77777777" w:rsidR="003C1D46" w:rsidRDefault="003C1D46" w:rsidP="0014211F">
      <w:pPr>
        <w:pStyle w:val="NormalWeb"/>
        <w:spacing w:line="360" w:lineRule="auto"/>
        <w:jc w:val="both"/>
        <w:rPr>
          <w:rFonts w:ascii="Arial" w:hAnsi="Arial" w:cs="Arial"/>
        </w:rPr>
      </w:pPr>
    </w:p>
    <w:p w14:paraId="62FD5171" w14:textId="77777777" w:rsidR="003C1D46" w:rsidRDefault="003C1D46" w:rsidP="0014211F">
      <w:pPr>
        <w:pStyle w:val="NormalWeb"/>
        <w:spacing w:line="360" w:lineRule="auto"/>
        <w:jc w:val="both"/>
        <w:rPr>
          <w:rFonts w:ascii="Arial" w:hAnsi="Arial" w:cs="Arial"/>
        </w:rPr>
      </w:pPr>
    </w:p>
    <w:p w14:paraId="4AA46174" w14:textId="77777777" w:rsidR="003C1D46" w:rsidRPr="008F59EC" w:rsidRDefault="003C1D46" w:rsidP="0014211F">
      <w:pPr>
        <w:pStyle w:val="NormalWeb"/>
        <w:spacing w:line="360" w:lineRule="auto"/>
        <w:jc w:val="both"/>
        <w:rPr>
          <w:rFonts w:ascii="Arial" w:hAnsi="Arial" w:cs="Arial"/>
        </w:rPr>
      </w:pPr>
    </w:p>
    <w:p w14:paraId="7C88227B" w14:textId="03611750" w:rsidR="00CD5CC3" w:rsidRPr="008F59EC" w:rsidRDefault="00CD5CC3" w:rsidP="0007190F">
      <w:pPr>
        <w:pStyle w:val="Heading1"/>
        <w:rPr>
          <w:rFonts w:ascii="Arial" w:hAnsi="Arial" w:cs="Arial"/>
        </w:rPr>
      </w:pPr>
      <w:bookmarkStart w:id="22" w:name="_Toc219926266"/>
      <w:r w:rsidRPr="008F59EC">
        <w:rPr>
          <w:rFonts w:ascii="Arial" w:hAnsi="Arial" w:cs="Arial"/>
        </w:rPr>
        <w:lastRenderedPageBreak/>
        <w:t>Chapter 4: Marketing and Sales Strategy</w:t>
      </w:r>
      <w:bookmarkEnd w:id="22"/>
    </w:p>
    <w:p w14:paraId="432D1DC4" w14:textId="389D8800" w:rsidR="00CD5CC3" w:rsidRPr="008F59EC" w:rsidRDefault="00CD5CC3" w:rsidP="0007190F">
      <w:pPr>
        <w:pStyle w:val="Heading2"/>
        <w:rPr>
          <w:rFonts w:ascii="Arial" w:hAnsi="Arial" w:cs="Arial"/>
        </w:rPr>
      </w:pPr>
      <w:bookmarkStart w:id="23" w:name="_Toc219926267"/>
      <w:r w:rsidRPr="008F59EC">
        <w:rPr>
          <w:rFonts w:ascii="Arial" w:hAnsi="Arial" w:cs="Arial"/>
        </w:rPr>
        <w:t>4.1 Introduction</w:t>
      </w:r>
      <w:bookmarkEnd w:id="23"/>
    </w:p>
    <w:p w14:paraId="34DBD0A7" w14:textId="71ED57A9" w:rsidR="00CD5CC3" w:rsidRPr="008F59EC" w:rsidRDefault="00CD5CC3" w:rsidP="0014211F">
      <w:pPr>
        <w:pStyle w:val="NormalWeb"/>
        <w:spacing w:line="360" w:lineRule="auto"/>
        <w:jc w:val="both"/>
        <w:rPr>
          <w:rFonts w:ascii="Arial" w:hAnsi="Arial" w:cs="Arial"/>
        </w:rPr>
      </w:pPr>
      <w:r w:rsidRPr="008F59EC">
        <w:rPr>
          <w:rFonts w:ascii="Arial" w:hAnsi="Arial" w:cs="Arial"/>
        </w:rPr>
        <w:t xml:space="preserve">This chapter outlines the marketing and sales strategy for </w:t>
      </w:r>
      <w:r w:rsidR="00EC30AA" w:rsidRPr="008F59EC">
        <w:rPr>
          <w:rFonts w:ascii="Arial" w:hAnsi="Arial" w:cs="Arial"/>
        </w:rPr>
        <w:t xml:space="preserve">Sense Mortgage and </w:t>
      </w:r>
      <w:r w:rsidRPr="008F59EC">
        <w:rPr>
          <w:rFonts w:ascii="Arial" w:hAnsi="Arial" w:cs="Arial"/>
        </w:rPr>
        <w:t>Residential. It explains how the business will attract, convert, and retain clients within a competitive and regulated mortgage advisory market. The chapter focuses on brand positioning, pricing rationale, marketing mix decisions, sales funnel structure, digital marketing strategy, and performance measurement. The approach is designed to support sustainable growth while remaining compliant with regulatory requirements and aligned with consumer expectations.</w:t>
      </w:r>
    </w:p>
    <w:p w14:paraId="2B52DFBE" w14:textId="6566D321" w:rsidR="00494F71" w:rsidRPr="008F59EC" w:rsidRDefault="00494F71" w:rsidP="0007190F">
      <w:pPr>
        <w:pStyle w:val="Heading2"/>
        <w:rPr>
          <w:rFonts w:ascii="Arial" w:hAnsi="Arial" w:cs="Arial"/>
        </w:rPr>
      </w:pPr>
      <w:bookmarkStart w:id="24" w:name="_Toc219926268"/>
      <w:r w:rsidRPr="008F59EC">
        <w:rPr>
          <w:rFonts w:ascii="Arial" w:hAnsi="Arial" w:cs="Arial"/>
        </w:rPr>
        <w:t>4.1.1 Strategic Marketing Rationale</w:t>
      </w:r>
      <w:bookmarkEnd w:id="24"/>
    </w:p>
    <w:p w14:paraId="2D05A87F" w14:textId="3948D665" w:rsidR="00494F71" w:rsidRPr="008F59EC" w:rsidRDefault="00494F71" w:rsidP="0014211F">
      <w:pPr>
        <w:pStyle w:val="NormalWeb"/>
        <w:spacing w:line="360" w:lineRule="auto"/>
        <w:jc w:val="both"/>
        <w:rPr>
          <w:rFonts w:ascii="Arial" w:hAnsi="Arial" w:cs="Arial"/>
        </w:rPr>
      </w:pPr>
      <w:r w:rsidRPr="008F59EC">
        <w:rPr>
          <w:rFonts w:ascii="Arial" w:hAnsi="Arial" w:cs="Arial"/>
        </w:rPr>
        <w:t xml:space="preserve">The primary marketing objective of </w:t>
      </w:r>
      <w:r w:rsidR="00EC30AA" w:rsidRPr="008F59EC">
        <w:rPr>
          <w:rFonts w:ascii="Arial" w:hAnsi="Arial" w:cs="Arial"/>
        </w:rPr>
        <w:t xml:space="preserve">Sense Mortgage and </w:t>
      </w:r>
      <w:r w:rsidRPr="008F59EC">
        <w:rPr>
          <w:rFonts w:ascii="Arial" w:hAnsi="Arial" w:cs="Arial"/>
        </w:rPr>
        <w:t>Residential is not rapid scale but sustainable client acquisition aligned with regulatory and service capacity constraints. Research indicates that professional service firms operating in regulated sectors benefit from trust-led marketing approaches rather than volume-driven promotional activity (McKinsey &amp; Company, 2023). As a new market entrant, the business prioritises credibility, transparency, and clarity over aggressive lead generation, ensuring that marketing activity supports long-term brand development rather than short-term transaction volume.</w:t>
      </w:r>
    </w:p>
    <w:p w14:paraId="1D8BB0AD" w14:textId="3A6E9D57" w:rsidR="00494F71" w:rsidRPr="008F59EC" w:rsidRDefault="00494F71" w:rsidP="0014211F">
      <w:pPr>
        <w:pStyle w:val="NormalWeb"/>
        <w:spacing w:line="360" w:lineRule="auto"/>
        <w:jc w:val="both"/>
        <w:rPr>
          <w:rFonts w:ascii="Arial" w:hAnsi="Arial" w:cs="Arial"/>
        </w:rPr>
      </w:pPr>
      <w:r w:rsidRPr="008F59EC">
        <w:rPr>
          <w:rFonts w:ascii="Arial" w:hAnsi="Arial" w:cs="Arial"/>
        </w:rPr>
        <w:t xml:space="preserve">This approach aligns with Consumer Duty expectations, which require firms to consider customer outcomes across the full client journey, including how products and services are marketed (FCA, 2023). Consequently, marketing success for </w:t>
      </w:r>
      <w:r w:rsidR="00EC30AA" w:rsidRPr="008F59EC">
        <w:rPr>
          <w:rFonts w:ascii="Arial" w:hAnsi="Arial" w:cs="Arial"/>
        </w:rPr>
        <w:t xml:space="preserve">Sense Mortgage and </w:t>
      </w:r>
      <w:r w:rsidR="0007190F" w:rsidRPr="008F59EC">
        <w:rPr>
          <w:rFonts w:ascii="Arial" w:hAnsi="Arial" w:cs="Arial"/>
        </w:rPr>
        <w:t>Residential is</w:t>
      </w:r>
      <w:r w:rsidRPr="008F59EC">
        <w:rPr>
          <w:rFonts w:ascii="Arial" w:hAnsi="Arial" w:cs="Arial"/>
        </w:rPr>
        <w:t xml:space="preserve"> measured not only by enquiry volume but also by lead quality, conversion efficiency, and client satisfaction.</w:t>
      </w:r>
    </w:p>
    <w:p w14:paraId="6FE07872" w14:textId="77777777" w:rsidR="00CD5CC3" w:rsidRPr="008F59EC" w:rsidRDefault="00CD5CC3" w:rsidP="0014211F">
      <w:pPr>
        <w:pStyle w:val="NormalWeb"/>
        <w:spacing w:line="360" w:lineRule="auto"/>
        <w:jc w:val="both"/>
        <w:rPr>
          <w:rFonts w:ascii="Arial" w:hAnsi="Arial" w:cs="Arial"/>
        </w:rPr>
      </w:pPr>
    </w:p>
    <w:p w14:paraId="0442B55C" w14:textId="0608A7BB" w:rsidR="00CD5CC3" w:rsidRPr="008F59EC" w:rsidRDefault="00CD5CC3" w:rsidP="0007190F">
      <w:pPr>
        <w:pStyle w:val="Heading2"/>
        <w:rPr>
          <w:rFonts w:ascii="Arial" w:hAnsi="Arial" w:cs="Arial"/>
        </w:rPr>
      </w:pPr>
      <w:bookmarkStart w:id="25" w:name="_Toc219926269"/>
      <w:r w:rsidRPr="008F59EC">
        <w:rPr>
          <w:rFonts w:ascii="Arial" w:hAnsi="Arial" w:cs="Arial"/>
        </w:rPr>
        <w:t>4.2 Unique Selling Proposition (USP)</w:t>
      </w:r>
      <w:bookmarkEnd w:id="25"/>
    </w:p>
    <w:p w14:paraId="03ADA3F3" w14:textId="3A55BF07" w:rsidR="00CD5CC3" w:rsidRPr="008F59EC" w:rsidRDefault="00CD5CC3" w:rsidP="0014211F">
      <w:pPr>
        <w:pStyle w:val="NormalWeb"/>
        <w:spacing w:line="360" w:lineRule="auto"/>
        <w:jc w:val="both"/>
        <w:rPr>
          <w:rFonts w:ascii="Arial" w:hAnsi="Arial" w:cs="Arial"/>
        </w:rPr>
      </w:pPr>
      <w:r w:rsidRPr="008F59EC">
        <w:rPr>
          <w:rFonts w:ascii="Arial" w:hAnsi="Arial" w:cs="Arial"/>
        </w:rPr>
        <w:t xml:space="preserve">The unique selling proposition of </w:t>
      </w:r>
      <w:r w:rsidR="00EC30AA" w:rsidRPr="008F59EC">
        <w:rPr>
          <w:rFonts w:ascii="Arial" w:hAnsi="Arial" w:cs="Arial"/>
        </w:rPr>
        <w:t xml:space="preserve">Sense Mortgage and </w:t>
      </w:r>
      <w:r w:rsidRPr="008F59EC">
        <w:rPr>
          <w:rFonts w:ascii="Arial" w:hAnsi="Arial" w:cs="Arial"/>
        </w:rPr>
        <w:t xml:space="preserve">Residential is its hybrid advisory model, which combines personalised, adviser-led mortgage advice with digitally enabled processes. Unlike digital-only platforms that prioritise automation, or </w:t>
      </w:r>
      <w:r w:rsidRPr="008F59EC">
        <w:rPr>
          <w:rFonts w:ascii="Arial" w:hAnsi="Arial" w:cs="Arial"/>
        </w:rPr>
        <w:lastRenderedPageBreak/>
        <w:t>large brokerage firms that focus on volume</w:t>
      </w:r>
      <w:r w:rsidR="007F0705" w:rsidRPr="008F59EC">
        <w:rPr>
          <w:rFonts w:ascii="Arial" w:hAnsi="Arial" w:cs="Arial"/>
        </w:rPr>
        <w:t xml:space="preserve">. </w:t>
      </w:r>
      <w:r w:rsidRPr="008F59EC">
        <w:rPr>
          <w:rFonts w:ascii="Arial" w:hAnsi="Arial" w:cs="Arial"/>
        </w:rPr>
        <w:t xml:space="preserve"> Sense </w:t>
      </w:r>
      <w:r w:rsidR="007F0705" w:rsidRPr="008F59EC">
        <w:rPr>
          <w:rFonts w:ascii="Arial" w:hAnsi="Arial" w:cs="Arial"/>
        </w:rPr>
        <w:t xml:space="preserve">as a business </w:t>
      </w:r>
      <w:r w:rsidRPr="008F59EC">
        <w:rPr>
          <w:rFonts w:ascii="Arial" w:hAnsi="Arial" w:cs="Arial"/>
        </w:rPr>
        <w:t>positions itself as a transparent, client-focused advisory service that prioritises suitability, clarity, and long-term relationships.</w:t>
      </w:r>
    </w:p>
    <w:p w14:paraId="37774971" w14:textId="00709747" w:rsidR="00CD5CC3" w:rsidRPr="008F59EC" w:rsidRDefault="00CD5CC3" w:rsidP="0014211F">
      <w:pPr>
        <w:pStyle w:val="NormalWeb"/>
        <w:spacing w:line="360" w:lineRule="auto"/>
        <w:jc w:val="both"/>
        <w:rPr>
          <w:rFonts w:ascii="Arial" w:hAnsi="Arial" w:cs="Arial"/>
        </w:rPr>
      </w:pPr>
      <w:r w:rsidRPr="008F59EC">
        <w:rPr>
          <w:rFonts w:ascii="Arial" w:hAnsi="Arial" w:cs="Arial"/>
        </w:rPr>
        <w:t xml:space="preserve">This proposition is particularly relevant in a market where borrowers increasingly face </w:t>
      </w:r>
      <w:r w:rsidR="007F0705" w:rsidRPr="008F59EC">
        <w:rPr>
          <w:rFonts w:ascii="Arial" w:hAnsi="Arial" w:cs="Arial"/>
        </w:rPr>
        <w:t>difficult situation on</w:t>
      </w:r>
      <w:r w:rsidRPr="008F59EC">
        <w:rPr>
          <w:rFonts w:ascii="Arial" w:hAnsi="Arial" w:cs="Arial"/>
        </w:rPr>
        <w:t xml:space="preserve"> affordability assessments, changing interest rates, and regulatory requirements. Industry research indicates that consumers value advisers who can clearly explain mortgage options while offering the convenience of digital engagement (Deloitte, 2023; McKinsey &amp; Company, 2023). </w:t>
      </w:r>
      <w:r w:rsidR="007F0705" w:rsidRPr="008F59EC">
        <w:rPr>
          <w:rFonts w:ascii="Arial" w:hAnsi="Arial" w:cs="Arial"/>
        </w:rPr>
        <w:t>Understanding</w:t>
      </w:r>
      <w:r w:rsidRPr="008F59EC">
        <w:rPr>
          <w:rFonts w:ascii="Arial" w:hAnsi="Arial" w:cs="Arial"/>
        </w:rPr>
        <w:t xml:space="preserve"> both functional and emotional customer needs, Sense differentiates itself on service quality rather than price competition alone.</w:t>
      </w:r>
    </w:p>
    <w:p w14:paraId="64E32AC1" w14:textId="1BB8FB37" w:rsidR="00976948" w:rsidRPr="008F59EC" w:rsidRDefault="00976948" w:rsidP="0014211F">
      <w:pPr>
        <w:pStyle w:val="NormalWeb"/>
        <w:spacing w:line="360" w:lineRule="auto"/>
        <w:jc w:val="both"/>
        <w:rPr>
          <w:rFonts w:ascii="Arial" w:hAnsi="Arial" w:cs="Arial"/>
        </w:rPr>
      </w:pPr>
      <w:r w:rsidRPr="008F59EC">
        <w:rPr>
          <w:rFonts w:ascii="Arial" w:hAnsi="Arial" w:cs="Arial"/>
        </w:rPr>
        <w:t xml:space="preserve">The unique selling proposition of </w:t>
      </w:r>
      <w:r w:rsidR="00EC30AA" w:rsidRPr="008F59EC">
        <w:rPr>
          <w:rFonts w:ascii="Arial" w:hAnsi="Arial" w:cs="Arial"/>
        </w:rPr>
        <w:t xml:space="preserve">Sense Mortgage </w:t>
      </w:r>
      <w:r w:rsidR="00103A5D" w:rsidRPr="008F59EC">
        <w:rPr>
          <w:rFonts w:ascii="Arial" w:hAnsi="Arial" w:cs="Arial"/>
        </w:rPr>
        <w:t>and Residential</w:t>
      </w:r>
      <w:r w:rsidRPr="008F59EC">
        <w:rPr>
          <w:rFonts w:ascii="Arial" w:hAnsi="Arial" w:cs="Arial"/>
        </w:rPr>
        <w:t xml:space="preserve"> is grounded in the delivery of personalised, adviser-led mortgage advice supported by efficient digital processes. Market research indicates that while digital tools are increasingly valued, consumers continue to prioritise human interaction when making complex financial decisions (Deloitte, 2023). This reinforces the relevance of a hybrid advisory model that combines accessibility with expert guidance.</w:t>
      </w:r>
    </w:p>
    <w:p w14:paraId="7649354F" w14:textId="5770F268" w:rsidR="00CD5CC3" w:rsidRPr="008F59EC" w:rsidRDefault="001F23DB" w:rsidP="0014211F">
      <w:pPr>
        <w:pStyle w:val="NormalWeb"/>
        <w:spacing w:line="360" w:lineRule="auto"/>
        <w:jc w:val="both"/>
        <w:rPr>
          <w:rFonts w:ascii="Arial" w:hAnsi="Arial" w:cs="Arial"/>
        </w:rPr>
      </w:pPr>
      <w:r w:rsidRPr="008F59EC">
        <w:rPr>
          <w:rFonts w:ascii="Arial" w:hAnsi="Arial" w:cs="Arial"/>
        </w:rPr>
        <w:t>D</w:t>
      </w:r>
      <w:r w:rsidR="00976948" w:rsidRPr="008F59EC">
        <w:rPr>
          <w:rFonts w:ascii="Arial" w:hAnsi="Arial" w:cs="Arial"/>
        </w:rPr>
        <w:t>igital-only platforms</w:t>
      </w:r>
      <w:r w:rsidRPr="008F59EC">
        <w:rPr>
          <w:rFonts w:ascii="Arial" w:hAnsi="Arial" w:cs="Arial"/>
        </w:rPr>
        <w:t xml:space="preserve"> which</w:t>
      </w:r>
      <w:r w:rsidR="00976948" w:rsidRPr="008F59EC">
        <w:rPr>
          <w:rFonts w:ascii="Arial" w:hAnsi="Arial" w:cs="Arial"/>
        </w:rPr>
        <w:t xml:space="preserve"> focus primarily on product comparison, </w:t>
      </w:r>
      <w:r w:rsidR="00EC30AA" w:rsidRPr="008F59EC">
        <w:rPr>
          <w:rFonts w:ascii="Arial" w:hAnsi="Arial" w:cs="Arial"/>
        </w:rPr>
        <w:t xml:space="preserve">Sense Mortgage and Residential </w:t>
      </w:r>
      <w:r w:rsidR="00976948" w:rsidRPr="008F59EC">
        <w:rPr>
          <w:rFonts w:ascii="Arial" w:hAnsi="Arial" w:cs="Arial"/>
        </w:rPr>
        <w:t>positions itself as a trusted adviser throughout the full mortgage lifecycle. This includes affordability assessment, lender selection, application support, and post-completion aftercare. By emphasising clarity and step-by-step guidance, the business addresses common consumer concerns regarding mortgage complexity and affordability transparency (ONS, 2024). This positioning supports differentiation in a competitive market where service quality is a key decision factor.</w:t>
      </w:r>
    </w:p>
    <w:p w14:paraId="1AC85CE8" w14:textId="492A16E0" w:rsidR="00CD5CC3" w:rsidRPr="008F59EC" w:rsidRDefault="00CD5CC3" w:rsidP="0007190F">
      <w:pPr>
        <w:pStyle w:val="Heading2"/>
        <w:rPr>
          <w:rFonts w:ascii="Arial" w:hAnsi="Arial" w:cs="Arial"/>
        </w:rPr>
      </w:pPr>
      <w:bookmarkStart w:id="26" w:name="_Toc219926270"/>
      <w:r w:rsidRPr="008F59EC">
        <w:rPr>
          <w:rFonts w:ascii="Arial" w:hAnsi="Arial" w:cs="Arial"/>
        </w:rPr>
        <w:t>4.3 Brand Positioning and Identity</w:t>
      </w:r>
      <w:bookmarkEnd w:id="26"/>
    </w:p>
    <w:p w14:paraId="1D7F6476" w14:textId="46D7A896" w:rsidR="00CD5CC3" w:rsidRPr="008F59EC" w:rsidRDefault="00EC30AA" w:rsidP="0014211F">
      <w:pPr>
        <w:pStyle w:val="NormalWeb"/>
        <w:spacing w:line="360" w:lineRule="auto"/>
        <w:jc w:val="both"/>
        <w:rPr>
          <w:rFonts w:ascii="Arial" w:hAnsi="Arial" w:cs="Arial"/>
        </w:rPr>
      </w:pPr>
      <w:r w:rsidRPr="008F59EC">
        <w:rPr>
          <w:rFonts w:ascii="Arial" w:hAnsi="Arial" w:cs="Arial"/>
        </w:rPr>
        <w:t xml:space="preserve">Sense Mortgage and Residential </w:t>
      </w:r>
      <w:r w:rsidR="00CD5CC3" w:rsidRPr="008F59EC">
        <w:rPr>
          <w:rFonts w:ascii="Arial" w:hAnsi="Arial" w:cs="Arial"/>
        </w:rPr>
        <w:t>is positioned as a trusted, compliant, and approachable mortgage adviser. The brand identity emphasises professionalism, transparency, and accessibility, reflecting the firm’s regulatory obligations and customer-centric philosophy. Trust is a critical factor in financial services, particularly for long-term commitments such as mortgages, where perceived risk is high (Kotler and Keller, 2023).</w:t>
      </w:r>
    </w:p>
    <w:p w14:paraId="4B4B5247" w14:textId="34F5994D" w:rsidR="00E1095A" w:rsidRPr="008F59EC" w:rsidRDefault="00CD5CC3" w:rsidP="0014211F">
      <w:pPr>
        <w:pStyle w:val="NormalWeb"/>
        <w:spacing w:line="360" w:lineRule="auto"/>
        <w:jc w:val="both"/>
        <w:rPr>
          <w:rFonts w:ascii="Arial" w:hAnsi="Arial" w:cs="Arial"/>
        </w:rPr>
      </w:pPr>
      <w:r w:rsidRPr="008F59EC">
        <w:rPr>
          <w:rFonts w:ascii="Arial" w:hAnsi="Arial" w:cs="Arial"/>
        </w:rPr>
        <w:lastRenderedPageBreak/>
        <w:t>The brand positioning aligns closely with Consumer Duty principles, reinforcing the firm’s commitment to delivering fair value, clear communication, and positive customer outcomes (FCA, 2023). Visual branding, tone of voice, and digital presence are designed to convey reassurance and credibility rather than aggressive sales messaging.</w:t>
      </w:r>
    </w:p>
    <w:p w14:paraId="7689127D" w14:textId="77777777" w:rsidR="00070753" w:rsidRPr="008F59EC" w:rsidRDefault="00070753" w:rsidP="0014211F">
      <w:pPr>
        <w:pStyle w:val="NormalWeb"/>
        <w:spacing w:line="360" w:lineRule="auto"/>
        <w:jc w:val="both"/>
        <w:rPr>
          <w:rFonts w:ascii="Arial" w:hAnsi="Arial" w:cs="Arial"/>
        </w:rPr>
      </w:pPr>
    </w:p>
    <w:tbl>
      <w:tblPr>
        <w:tblStyle w:val="TableGrid"/>
        <w:tblW w:w="9241" w:type="dxa"/>
        <w:tblLook w:val="04A0" w:firstRow="1" w:lastRow="0" w:firstColumn="1" w:lastColumn="0" w:noHBand="0" w:noVBand="1"/>
      </w:tblPr>
      <w:tblGrid>
        <w:gridCol w:w="9241"/>
      </w:tblGrid>
      <w:tr w:rsidR="001F23DB" w:rsidRPr="008F59EC" w14:paraId="441DEFAB" w14:textId="77777777" w:rsidTr="003C1D46">
        <w:trPr>
          <w:trHeight w:val="6750"/>
        </w:trPr>
        <w:tc>
          <w:tcPr>
            <w:tcW w:w="9241" w:type="dxa"/>
            <w:tcBorders>
              <w:top w:val="nil"/>
              <w:left w:val="nil"/>
              <w:bottom w:val="nil"/>
              <w:right w:val="nil"/>
            </w:tcBorders>
          </w:tcPr>
          <w:p w14:paraId="64E87002" w14:textId="7E8D91D5" w:rsidR="001F23DB" w:rsidRPr="008F59EC" w:rsidRDefault="001F23DB" w:rsidP="0014211F">
            <w:pPr>
              <w:pStyle w:val="NormalWeb"/>
              <w:spacing w:line="360" w:lineRule="auto"/>
              <w:jc w:val="both"/>
              <w:rPr>
                <w:rFonts w:ascii="Arial" w:hAnsi="Arial" w:cs="Arial"/>
              </w:rPr>
            </w:pPr>
            <w:r w:rsidRPr="008F59EC">
              <w:rPr>
                <w:rFonts w:ascii="Arial" w:hAnsi="Arial" w:cs="Arial"/>
                <w:noProof/>
                <w:bdr w:val="single" w:sz="4" w:space="0" w:color="auto"/>
              </w:rPr>
              <w:drawing>
                <wp:inline distT="0" distB="0" distL="0" distR="0" wp14:anchorId="182085BD" wp14:editId="7FE06A3D">
                  <wp:extent cx="5355590" cy="4011917"/>
                  <wp:effectExtent l="0" t="0" r="0" b="8255"/>
                  <wp:docPr id="16631458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30887" cy="4068323"/>
                          </a:xfrm>
                          <a:prstGeom prst="rect">
                            <a:avLst/>
                          </a:prstGeom>
                          <a:noFill/>
                          <a:ln>
                            <a:noFill/>
                          </a:ln>
                        </pic:spPr>
                      </pic:pic>
                    </a:graphicData>
                  </a:graphic>
                </wp:inline>
              </w:drawing>
            </w:r>
          </w:p>
        </w:tc>
      </w:tr>
    </w:tbl>
    <w:p w14:paraId="7D35337E" w14:textId="7F43C859" w:rsidR="00AC29CB" w:rsidRPr="008F59EC" w:rsidRDefault="00AC29CB" w:rsidP="0014211F">
      <w:pPr>
        <w:spacing w:line="360" w:lineRule="auto"/>
        <w:jc w:val="both"/>
        <w:rPr>
          <w:rFonts w:ascii="Arial" w:hAnsi="Arial" w:cs="Arial"/>
          <w:i/>
          <w:iCs/>
        </w:rPr>
      </w:pPr>
      <w:r w:rsidRPr="008F59EC">
        <w:rPr>
          <w:rFonts w:ascii="Arial" w:hAnsi="Arial" w:cs="Arial"/>
          <w:i/>
          <w:iCs/>
        </w:rPr>
        <w:t xml:space="preserve">Figure 4: Brand Identity Framework </w:t>
      </w:r>
    </w:p>
    <w:p w14:paraId="04E726EB" w14:textId="610B15D8" w:rsidR="0004554E" w:rsidRPr="008F59EC" w:rsidRDefault="0004554E" w:rsidP="0014211F">
      <w:pPr>
        <w:spacing w:line="360" w:lineRule="auto"/>
        <w:jc w:val="both"/>
        <w:rPr>
          <w:rFonts w:ascii="Arial" w:hAnsi="Arial" w:cs="Arial"/>
        </w:rPr>
      </w:pPr>
      <w:r w:rsidRPr="008F59EC">
        <w:rPr>
          <w:rFonts w:ascii="Arial" w:hAnsi="Arial" w:cs="Arial"/>
          <w:i/>
          <w:iCs/>
        </w:rPr>
        <w:t>Source: Author Illustration (2025</w:t>
      </w:r>
      <w:r w:rsidR="008B33B2" w:rsidRPr="008F59EC">
        <w:rPr>
          <w:rFonts w:ascii="Arial" w:hAnsi="Arial" w:cs="Arial"/>
          <w:i/>
          <w:iCs/>
        </w:rPr>
        <w:t>), Canva</w:t>
      </w:r>
      <w:r w:rsidR="00AC29CB" w:rsidRPr="008F59EC">
        <w:rPr>
          <w:rFonts w:ascii="Arial" w:hAnsi="Arial" w:cs="Arial"/>
          <w:i/>
          <w:iCs/>
        </w:rPr>
        <w:t xml:space="preserve"> </w:t>
      </w:r>
    </w:p>
    <w:p w14:paraId="517F0FDF" w14:textId="77777777" w:rsidR="00367E77" w:rsidRPr="008F59EC" w:rsidRDefault="00367E77" w:rsidP="0014211F">
      <w:pPr>
        <w:spacing w:line="360" w:lineRule="auto"/>
        <w:jc w:val="both"/>
        <w:rPr>
          <w:rFonts w:ascii="Arial" w:hAnsi="Arial" w:cs="Arial"/>
        </w:rPr>
      </w:pPr>
      <w:r w:rsidRPr="008F59EC">
        <w:rPr>
          <w:rFonts w:ascii="Arial" w:hAnsi="Arial" w:cs="Arial"/>
        </w:rPr>
        <w:t>Branding will be consistently implemented across all touchpoints, including the firm’s website, digital documents, social media content, stationery, and adviser email signatures. This helps build a professional and cohesive visual identity, supporting a stronger market presence.</w:t>
      </w:r>
    </w:p>
    <w:p w14:paraId="52909C77" w14:textId="77777777" w:rsidR="00AC29CB" w:rsidRPr="008F59EC" w:rsidRDefault="00AC29CB" w:rsidP="0014211F">
      <w:pPr>
        <w:spacing w:line="360" w:lineRule="auto"/>
        <w:jc w:val="both"/>
        <w:rPr>
          <w:rFonts w:ascii="Arial" w:hAnsi="Arial" w:cs="Arial"/>
        </w:rPr>
      </w:pPr>
    </w:p>
    <w:p w14:paraId="7E360F96" w14:textId="77777777" w:rsidR="00AC29CB" w:rsidRPr="008F59EC" w:rsidRDefault="00AC29CB" w:rsidP="0014211F">
      <w:pPr>
        <w:spacing w:line="360" w:lineRule="auto"/>
        <w:jc w:val="both"/>
        <w:rPr>
          <w:rFonts w:ascii="Arial" w:hAnsi="Arial" w:cs="Arial"/>
        </w:rPr>
      </w:pPr>
    </w:p>
    <w:p w14:paraId="6D8ED8B4" w14:textId="77777777" w:rsidR="00AC29CB" w:rsidRPr="008F59EC" w:rsidRDefault="00AC29CB" w:rsidP="0014211F">
      <w:pPr>
        <w:spacing w:line="360" w:lineRule="auto"/>
        <w:jc w:val="both"/>
        <w:rPr>
          <w:rFonts w:ascii="Arial" w:hAnsi="Arial" w:cs="Arial"/>
        </w:rPr>
      </w:pPr>
    </w:p>
    <w:p w14:paraId="0E747EEE" w14:textId="1C1C54AC" w:rsidR="00AB568E" w:rsidRPr="008F59EC" w:rsidRDefault="00AB568E" w:rsidP="0007190F">
      <w:pPr>
        <w:pStyle w:val="Heading2"/>
        <w:rPr>
          <w:rFonts w:ascii="Arial" w:hAnsi="Arial" w:cs="Arial"/>
        </w:rPr>
      </w:pPr>
      <w:bookmarkStart w:id="27" w:name="_Toc219926271"/>
      <w:r w:rsidRPr="008F59EC">
        <w:rPr>
          <w:rFonts w:ascii="Arial" w:hAnsi="Arial" w:cs="Arial"/>
        </w:rPr>
        <w:t>4.4 Marketing Mix (7Ps Framework)</w:t>
      </w:r>
      <w:bookmarkEnd w:id="27"/>
    </w:p>
    <w:p w14:paraId="2636292F" w14:textId="5B0FD867" w:rsidR="00AB568E" w:rsidRPr="008F59EC" w:rsidRDefault="00AB568E" w:rsidP="0014211F">
      <w:pPr>
        <w:spacing w:line="360" w:lineRule="auto"/>
        <w:jc w:val="both"/>
        <w:rPr>
          <w:rFonts w:ascii="Arial" w:hAnsi="Arial" w:cs="Arial"/>
        </w:rPr>
      </w:pPr>
      <w:r w:rsidRPr="008F59EC">
        <w:rPr>
          <w:rFonts w:ascii="Arial" w:hAnsi="Arial" w:cs="Arial"/>
        </w:rPr>
        <w:t xml:space="preserve">The marketing strategy for </w:t>
      </w:r>
      <w:r w:rsidR="00EC30AA" w:rsidRPr="008F59EC">
        <w:rPr>
          <w:rFonts w:ascii="Arial" w:hAnsi="Arial" w:cs="Arial"/>
        </w:rPr>
        <w:t xml:space="preserve">Sense Mortgage and Residential  </w:t>
      </w:r>
      <w:r w:rsidRPr="008F59EC">
        <w:rPr>
          <w:rFonts w:ascii="Arial" w:hAnsi="Arial" w:cs="Arial"/>
        </w:rPr>
        <w:t xml:space="preserve"> is </w:t>
      </w:r>
      <w:r w:rsidR="001575F2" w:rsidRPr="008F59EC">
        <w:rPr>
          <w:rFonts w:ascii="Arial" w:hAnsi="Arial" w:cs="Arial"/>
        </w:rPr>
        <w:t xml:space="preserve">structure </w:t>
      </w:r>
      <w:r w:rsidRPr="008F59EC">
        <w:rPr>
          <w:rFonts w:ascii="Arial" w:hAnsi="Arial" w:cs="Arial"/>
        </w:rPr>
        <w:t>ed around the extended 7Ps marketing mix, which is widely applied in service-based industries (Kotler and Keller, 2023).</w:t>
      </w:r>
    </w:p>
    <w:p w14:paraId="06D6B6CF" w14:textId="77777777" w:rsidR="00AB568E" w:rsidRPr="008F59EC" w:rsidRDefault="00AB568E" w:rsidP="0014211F">
      <w:pPr>
        <w:spacing w:line="360" w:lineRule="auto"/>
        <w:jc w:val="both"/>
        <w:rPr>
          <w:rFonts w:ascii="Arial" w:hAnsi="Arial" w:cs="Arial"/>
        </w:rPr>
      </w:pPr>
    </w:p>
    <w:p w14:paraId="57368169" w14:textId="77777777" w:rsidR="00F4775A" w:rsidRPr="008F59EC" w:rsidRDefault="00AB568E" w:rsidP="0014211F">
      <w:pPr>
        <w:spacing w:line="360" w:lineRule="auto"/>
        <w:jc w:val="both"/>
        <w:rPr>
          <w:rFonts w:ascii="Arial" w:hAnsi="Arial" w:cs="Arial"/>
        </w:rPr>
      </w:pPr>
      <w:r w:rsidRPr="008F59EC">
        <w:rPr>
          <w:rFonts w:ascii="Arial" w:hAnsi="Arial" w:cs="Arial"/>
        </w:rPr>
        <w:t>Product:</w:t>
      </w:r>
    </w:p>
    <w:p w14:paraId="26FD5D7C" w14:textId="5A1E33C5" w:rsidR="00AB568E" w:rsidRPr="008F59EC" w:rsidRDefault="00AB568E" w:rsidP="0014211F">
      <w:pPr>
        <w:spacing w:line="360" w:lineRule="auto"/>
        <w:jc w:val="both"/>
        <w:rPr>
          <w:rFonts w:ascii="Arial" w:hAnsi="Arial" w:cs="Arial"/>
        </w:rPr>
      </w:pPr>
      <w:r w:rsidRPr="008F59EC">
        <w:rPr>
          <w:rFonts w:ascii="Arial" w:hAnsi="Arial" w:cs="Arial"/>
        </w:rPr>
        <w:t>The core service offering includes mortgage advice for first-time buyers, remortgaging clients, and buy-to-let investors. The service is advisory led, regulated, and supported by digital tools that enhance efficiency without removing human involvement.</w:t>
      </w:r>
      <w:r w:rsidR="00F4775A" w:rsidRPr="008F59EC">
        <w:rPr>
          <w:rFonts w:ascii="Arial" w:hAnsi="Arial" w:cs="Arial"/>
        </w:rPr>
        <w:t xml:space="preserve"> Where appropriate, clients may also be offered protection and general insurance solutions as part of a holistic advice process, in line with suitability and regulatory requirements.</w:t>
      </w:r>
    </w:p>
    <w:p w14:paraId="60F8199D" w14:textId="77777777" w:rsidR="00AB568E" w:rsidRPr="008F59EC" w:rsidRDefault="00AB568E" w:rsidP="0014211F">
      <w:pPr>
        <w:spacing w:line="360" w:lineRule="auto"/>
        <w:jc w:val="both"/>
        <w:rPr>
          <w:rFonts w:ascii="Arial" w:hAnsi="Arial" w:cs="Arial"/>
        </w:rPr>
      </w:pPr>
    </w:p>
    <w:p w14:paraId="28FB8563" w14:textId="77777777" w:rsidR="00AB568E" w:rsidRPr="008F59EC" w:rsidRDefault="00AB568E" w:rsidP="0014211F">
      <w:pPr>
        <w:spacing w:line="360" w:lineRule="auto"/>
        <w:jc w:val="both"/>
        <w:rPr>
          <w:rFonts w:ascii="Arial" w:hAnsi="Arial" w:cs="Arial"/>
        </w:rPr>
      </w:pPr>
      <w:r w:rsidRPr="008F59EC">
        <w:rPr>
          <w:rFonts w:ascii="Arial" w:hAnsi="Arial" w:cs="Arial"/>
        </w:rPr>
        <w:t>Price:</w:t>
      </w:r>
    </w:p>
    <w:p w14:paraId="53AC319D" w14:textId="524C29AB" w:rsidR="000D7DEC" w:rsidRPr="008F59EC" w:rsidRDefault="00AB568E" w:rsidP="0014211F">
      <w:pPr>
        <w:spacing w:line="360" w:lineRule="auto"/>
        <w:jc w:val="both"/>
        <w:rPr>
          <w:rFonts w:ascii="Arial" w:hAnsi="Arial" w:cs="Arial"/>
        </w:rPr>
      </w:pPr>
      <w:r w:rsidRPr="008F59EC">
        <w:rPr>
          <w:rFonts w:ascii="Arial" w:hAnsi="Arial" w:cs="Arial"/>
        </w:rPr>
        <w:t>Pricing is based on a combination of lender procuration fees and, where applicable, broker fees. Fee levels are benchmarked against competitor practices to ensure fairness and competitiveness. Industry data suggests that typical broker fees range</w:t>
      </w:r>
      <w:r w:rsidR="000D7DEC" w:rsidRPr="008F59EC">
        <w:rPr>
          <w:rFonts w:ascii="Arial" w:hAnsi="Arial" w:cs="Arial"/>
        </w:rPr>
        <w:t xml:space="preserve">. Pricing within </w:t>
      </w:r>
      <w:r w:rsidR="00EC30AA" w:rsidRPr="008F59EC">
        <w:rPr>
          <w:rFonts w:ascii="Arial" w:hAnsi="Arial" w:cs="Arial"/>
        </w:rPr>
        <w:t xml:space="preserve">Sense Mortgage and Residential </w:t>
      </w:r>
      <w:r w:rsidR="000D7DEC" w:rsidRPr="008F59EC">
        <w:rPr>
          <w:rFonts w:ascii="Arial" w:hAnsi="Arial" w:cs="Arial"/>
        </w:rPr>
        <w:t>reflects both market norms and the value of personalised advisory support. Industry benchmarks suggest that broker fees typically range between £300 and £995 per case, depending on complexity and service scope (Moneyfacts, 2024). Sense adopts a transparent pricing approach aligned with these benchmarks, ensuring that fees are disclosed clearly at an early stage of client engagement.</w:t>
      </w:r>
    </w:p>
    <w:p w14:paraId="0FF829AE" w14:textId="77777777" w:rsidR="000D7DEC" w:rsidRPr="008F59EC" w:rsidRDefault="000D7DEC" w:rsidP="0014211F">
      <w:pPr>
        <w:spacing w:line="360" w:lineRule="auto"/>
        <w:jc w:val="both"/>
        <w:rPr>
          <w:rFonts w:ascii="Arial" w:hAnsi="Arial" w:cs="Arial"/>
        </w:rPr>
      </w:pPr>
      <w:r w:rsidRPr="008F59EC">
        <w:rPr>
          <w:rFonts w:ascii="Arial" w:hAnsi="Arial" w:cs="Arial"/>
        </w:rPr>
        <w:t>This pricing strategy supports Consumer Duty requirements by enabling customers to assess value for money and make informed decisions (FCA, 2023). Rather than competing on price alone, the business positions fees as reflective of adviser expertise, compliance oversight, and end-to-end service delivery. This approach reduces downward pricing pressure and supports sustainable margins without compromising ethical standards.</w:t>
      </w:r>
    </w:p>
    <w:p w14:paraId="5438E947" w14:textId="3E63C34A" w:rsidR="00AB568E" w:rsidRPr="008F59EC" w:rsidRDefault="00AB568E" w:rsidP="0014211F">
      <w:pPr>
        <w:spacing w:line="360" w:lineRule="auto"/>
        <w:jc w:val="both"/>
        <w:rPr>
          <w:rFonts w:ascii="Arial" w:hAnsi="Arial" w:cs="Arial"/>
        </w:rPr>
      </w:pPr>
      <w:r w:rsidRPr="008F59EC">
        <w:rPr>
          <w:rFonts w:ascii="Arial" w:hAnsi="Arial" w:cs="Arial"/>
        </w:rPr>
        <w:t>.</w:t>
      </w:r>
    </w:p>
    <w:p w14:paraId="265A191E" w14:textId="77777777" w:rsidR="00AB568E" w:rsidRPr="008F59EC" w:rsidRDefault="00AB568E" w:rsidP="0014211F">
      <w:pPr>
        <w:spacing w:line="360" w:lineRule="auto"/>
        <w:jc w:val="both"/>
        <w:rPr>
          <w:rFonts w:ascii="Arial" w:hAnsi="Arial" w:cs="Arial"/>
        </w:rPr>
      </w:pPr>
    </w:p>
    <w:p w14:paraId="698262F2" w14:textId="77777777" w:rsidR="00AB568E" w:rsidRPr="008F59EC" w:rsidRDefault="00AB568E" w:rsidP="0014211F">
      <w:pPr>
        <w:spacing w:line="360" w:lineRule="auto"/>
        <w:jc w:val="both"/>
        <w:rPr>
          <w:rFonts w:ascii="Arial" w:hAnsi="Arial" w:cs="Arial"/>
        </w:rPr>
      </w:pPr>
      <w:r w:rsidRPr="008F59EC">
        <w:rPr>
          <w:rFonts w:ascii="Arial" w:hAnsi="Arial" w:cs="Arial"/>
        </w:rPr>
        <w:t>Place:</w:t>
      </w:r>
    </w:p>
    <w:p w14:paraId="4A1ACFF4" w14:textId="77777777" w:rsidR="00AB568E" w:rsidRPr="008F59EC" w:rsidRDefault="00AB568E" w:rsidP="0014211F">
      <w:pPr>
        <w:spacing w:line="360" w:lineRule="auto"/>
        <w:jc w:val="both"/>
        <w:rPr>
          <w:rFonts w:ascii="Arial" w:hAnsi="Arial" w:cs="Arial"/>
        </w:rPr>
      </w:pPr>
      <w:r w:rsidRPr="008F59EC">
        <w:rPr>
          <w:rFonts w:ascii="Arial" w:hAnsi="Arial" w:cs="Arial"/>
        </w:rPr>
        <w:t>Services are delivered through a hybrid model, combining remote digital interaction with personalised adviser engagement. This approach allows the firm to reach a broader geographic market while maintaining accessibility and flexibility.</w:t>
      </w:r>
    </w:p>
    <w:p w14:paraId="01A8AF04" w14:textId="77777777" w:rsidR="00AB568E" w:rsidRPr="008F59EC" w:rsidRDefault="00AB568E" w:rsidP="0014211F">
      <w:pPr>
        <w:spacing w:line="360" w:lineRule="auto"/>
        <w:jc w:val="both"/>
        <w:rPr>
          <w:rFonts w:ascii="Arial" w:hAnsi="Arial" w:cs="Arial"/>
        </w:rPr>
      </w:pPr>
    </w:p>
    <w:p w14:paraId="3F4EEB18" w14:textId="77777777" w:rsidR="00AB568E" w:rsidRPr="008F59EC" w:rsidRDefault="00AB568E" w:rsidP="0014211F">
      <w:pPr>
        <w:spacing w:line="360" w:lineRule="auto"/>
        <w:jc w:val="both"/>
        <w:rPr>
          <w:rFonts w:ascii="Arial" w:hAnsi="Arial" w:cs="Arial"/>
        </w:rPr>
      </w:pPr>
      <w:r w:rsidRPr="008F59EC">
        <w:rPr>
          <w:rFonts w:ascii="Arial" w:hAnsi="Arial" w:cs="Arial"/>
        </w:rPr>
        <w:t>Promotion:</w:t>
      </w:r>
    </w:p>
    <w:p w14:paraId="519DCBDD" w14:textId="77777777" w:rsidR="00AB568E" w:rsidRPr="008F59EC" w:rsidRDefault="00AB568E" w:rsidP="0014211F">
      <w:pPr>
        <w:spacing w:line="360" w:lineRule="auto"/>
        <w:jc w:val="both"/>
        <w:rPr>
          <w:rFonts w:ascii="Arial" w:hAnsi="Arial" w:cs="Arial"/>
        </w:rPr>
      </w:pPr>
      <w:r w:rsidRPr="008F59EC">
        <w:rPr>
          <w:rFonts w:ascii="Arial" w:hAnsi="Arial" w:cs="Arial"/>
        </w:rPr>
        <w:t>Promotional activity focuses on digital channels, referrals, and relationship-based marketing. Content-led engagement, client testimonials, and educational materials are used to build credibility and trust rather than reliance on price-led advertising.</w:t>
      </w:r>
    </w:p>
    <w:p w14:paraId="2DA2C1EA" w14:textId="77777777" w:rsidR="00AB568E" w:rsidRPr="008F59EC" w:rsidRDefault="00AB568E" w:rsidP="0014211F">
      <w:pPr>
        <w:spacing w:line="360" w:lineRule="auto"/>
        <w:jc w:val="both"/>
        <w:rPr>
          <w:rFonts w:ascii="Arial" w:hAnsi="Arial" w:cs="Arial"/>
        </w:rPr>
      </w:pPr>
    </w:p>
    <w:p w14:paraId="57F605AC" w14:textId="77777777" w:rsidR="00AB568E" w:rsidRPr="008F59EC" w:rsidRDefault="00AB568E" w:rsidP="0014211F">
      <w:pPr>
        <w:spacing w:line="360" w:lineRule="auto"/>
        <w:jc w:val="both"/>
        <w:rPr>
          <w:rFonts w:ascii="Arial" w:hAnsi="Arial" w:cs="Arial"/>
        </w:rPr>
      </w:pPr>
      <w:r w:rsidRPr="008F59EC">
        <w:rPr>
          <w:rFonts w:ascii="Arial" w:hAnsi="Arial" w:cs="Arial"/>
        </w:rPr>
        <w:t>People:</w:t>
      </w:r>
    </w:p>
    <w:p w14:paraId="14448542" w14:textId="77777777" w:rsidR="00AB568E" w:rsidRPr="008F59EC" w:rsidRDefault="00AB568E" w:rsidP="0014211F">
      <w:pPr>
        <w:spacing w:line="360" w:lineRule="auto"/>
        <w:jc w:val="both"/>
        <w:rPr>
          <w:rFonts w:ascii="Arial" w:hAnsi="Arial" w:cs="Arial"/>
        </w:rPr>
      </w:pPr>
      <w:r w:rsidRPr="008F59EC">
        <w:rPr>
          <w:rFonts w:ascii="Arial" w:hAnsi="Arial" w:cs="Arial"/>
        </w:rPr>
        <w:t>The adviser-led nature of the business places significant importance on professional competence, ethical conduct, and communication skills. Ongoing training and compliance oversight ensure service consistency.</w:t>
      </w:r>
    </w:p>
    <w:p w14:paraId="23B8EC6D" w14:textId="77777777" w:rsidR="00AB568E" w:rsidRPr="008F59EC" w:rsidRDefault="00AB568E" w:rsidP="0014211F">
      <w:pPr>
        <w:spacing w:line="360" w:lineRule="auto"/>
        <w:jc w:val="both"/>
        <w:rPr>
          <w:rFonts w:ascii="Arial" w:hAnsi="Arial" w:cs="Arial"/>
        </w:rPr>
      </w:pPr>
    </w:p>
    <w:p w14:paraId="0852D4F6" w14:textId="77777777" w:rsidR="00AB568E" w:rsidRPr="008F59EC" w:rsidRDefault="00AB568E" w:rsidP="0014211F">
      <w:pPr>
        <w:spacing w:line="360" w:lineRule="auto"/>
        <w:jc w:val="both"/>
        <w:rPr>
          <w:rFonts w:ascii="Arial" w:hAnsi="Arial" w:cs="Arial"/>
        </w:rPr>
      </w:pPr>
      <w:r w:rsidRPr="008F59EC">
        <w:rPr>
          <w:rFonts w:ascii="Arial" w:hAnsi="Arial" w:cs="Arial"/>
        </w:rPr>
        <w:t>Process:</w:t>
      </w:r>
    </w:p>
    <w:p w14:paraId="6CC0A028" w14:textId="77777777" w:rsidR="00AB568E" w:rsidRPr="008F59EC" w:rsidRDefault="00AB568E" w:rsidP="0014211F">
      <w:pPr>
        <w:spacing w:line="360" w:lineRule="auto"/>
        <w:jc w:val="both"/>
        <w:rPr>
          <w:rFonts w:ascii="Arial" w:hAnsi="Arial" w:cs="Arial"/>
        </w:rPr>
      </w:pPr>
      <w:r w:rsidRPr="008F59EC">
        <w:rPr>
          <w:rFonts w:ascii="Arial" w:hAnsi="Arial" w:cs="Arial"/>
        </w:rPr>
        <w:t>Processes are structured to ensure regulatory compliance, efficient case progression, and clear communication. Digital document uploads, automated reminders, and CRM systems support workflow management and customer updates.</w:t>
      </w:r>
    </w:p>
    <w:p w14:paraId="34CD009D" w14:textId="77777777" w:rsidR="00AB568E" w:rsidRPr="008F59EC" w:rsidRDefault="00AB568E" w:rsidP="0014211F">
      <w:pPr>
        <w:spacing w:line="360" w:lineRule="auto"/>
        <w:jc w:val="both"/>
        <w:rPr>
          <w:rFonts w:ascii="Arial" w:hAnsi="Arial" w:cs="Arial"/>
        </w:rPr>
      </w:pPr>
    </w:p>
    <w:p w14:paraId="379D5809" w14:textId="77777777" w:rsidR="00AB568E" w:rsidRPr="008F59EC" w:rsidRDefault="00AB568E" w:rsidP="0014211F">
      <w:pPr>
        <w:spacing w:line="360" w:lineRule="auto"/>
        <w:jc w:val="both"/>
        <w:rPr>
          <w:rFonts w:ascii="Arial" w:hAnsi="Arial" w:cs="Arial"/>
        </w:rPr>
      </w:pPr>
      <w:r w:rsidRPr="008F59EC">
        <w:rPr>
          <w:rFonts w:ascii="Arial" w:hAnsi="Arial" w:cs="Arial"/>
        </w:rPr>
        <w:t>Physical Evidence:</w:t>
      </w:r>
    </w:p>
    <w:p w14:paraId="7B1E5DDA" w14:textId="2A47124F" w:rsidR="0054787A" w:rsidRPr="008F59EC" w:rsidRDefault="00AB568E" w:rsidP="0014211F">
      <w:pPr>
        <w:spacing w:line="360" w:lineRule="auto"/>
        <w:jc w:val="both"/>
        <w:rPr>
          <w:rFonts w:ascii="Arial" w:hAnsi="Arial" w:cs="Arial"/>
        </w:rPr>
      </w:pPr>
      <w:r w:rsidRPr="008F59EC">
        <w:rPr>
          <w:rFonts w:ascii="Arial" w:hAnsi="Arial" w:cs="Arial"/>
        </w:rPr>
        <w:t>Professional branding, compliant documentation, digital interfaces, and customer communications provide tangible reassurance of service quality and regulatory legitimacy.</w:t>
      </w:r>
    </w:p>
    <w:p w14:paraId="347156DB" w14:textId="77777777" w:rsidR="003F26E8" w:rsidRPr="008F59EC" w:rsidRDefault="003F26E8" w:rsidP="0014211F">
      <w:pPr>
        <w:spacing w:line="360" w:lineRule="auto"/>
        <w:jc w:val="both"/>
        <w:rPr>
          <w:rFonts w:ascii="Arial" w:hAnsi="Arial" w:cs="Arial"/>
        </w:rPr>
      </w:pPr>
    </w:p>
    <w:p w14:paraId="5A462B4A" w14:textId="77777777" w:rsidR="00AC29CB" w:rsidRPr="008F59EC" w:rsidRDefault="00AC29CB" w:rsidP="0014211F">
      <w:pPr>
        <w:spacing w:line="360" w:lineRule="auto"/>
        <w:jc w:val="both"/>
        <w:rPr>
          <w:rFonts w:ascii="Arial" w:hAnsi="Arial" w:cs="Arial"/>
        </w:rPr>
      </w:pPr>
    </w:p>
    <w:p w14:paraId="4908C790" w14:textId="77777777" w:rsidR="00AC29CB" w:rsidRPr="008F59EC" w:rsidRDefault="00AC29CB" w:rsidP="0014211F">
      <w:pPr>
        <w:spacing w:line="360" w:lineRule="auto"/>
        <w:jc w:val="both"/>
        <w:rPr>
          <w:rFonts w:ascii="Arial" w:hAnsi="Arial" w:cs="Arial"/>
        </w:rPr>
      </w:pPr>
    </w:p>
    <w:p w14:paraId="196B3110" w14:textId="50F7AF31" w:rsidR="00BC30D4" w:rsidRPr="008F59EC" w:rsidRDefault="00BC30D4" w:rsidP="0007190F">
      <w:pPr>
        <w:pStyle w:val="Heading2"/>
        <w:rPr>
          <w:rFonts w:ascii="Arial" w:hAnsi="Arial" w:cs="Arial"/>
        </w:rPr>
      </w:pPr>
      <w:bookmarkStart w:id="28" w:name="_Toc219926272"/>
      <w:r w:rsidRPr="008F59EC">
        <w:rPr>
          <w:rFonts w:ascii="Arial" w:hAnsi="Arial" w:cs="Arial"/>
        </w:rPr>
        <w:t>4.5 Sales Strategy and Customer Funnel</w:t>
      </w:r>
      <w:bookmarkEnd w:id="28"/>
    </w:p>
    <w:p w14:paraId="57CB1215" w14:textId="2AF46C55" w:rsidR="00BC30D4" w:rsidRPr="008F59EC" w:rsidRDefault="00BC30D4" w:rsidP="0014211F">
      <w:pPr>
        <w:spacing w:line="360" w:lineRule="auto"/>
        <w:jc w:val="both"/>
        <w:rPr>
          <w:rFonts w:ascii="Arial" w:hAnsi="Arial" w:cs="Arial"/>
        </w:rPr>
      </w:pPr>
      <w:r w:rsidRPr="008F59EC">
        <w:rPr>
          <w:rFonts w:ascii="Arial" w:hAnsi="Arial" w:cs="Arial"/>
        </w:rPr>
        <w:t>The sales strategy follows a structured customer funnel that reflects both consumer decision-making behaviour and regulatory requirements. The funnel progresses through four key stages: lead generation, enquiry, adviser appointment, and mortgage completion.</w:t>
      </w:r>
    </w:p>
    <w:p w14:paraId="1C82E43A" w14:textId="78087492" w:rsidR="00BC30D4" w:rsidRPr="008F59EC" w:rsidRDefault="00BC30D4" w:rsidP="0014211F">
      <w:pPr>
        <w:spacing w:line="360" w:lineRule="auto"/>
        <w:jc w:val="both"/>
        <w:rPr>
          <w:rFonts w:ascii="Arial" w:hAnsi="Arial" w:cs="Arial"/>
        </w:rPr>
      </w:pPr>
      <w:r w:rsidRPr="008F59EC">
        <w:rPr>
          <w:rFonts w:ascii="Arial" w:hAnsi="Arial" w:cs="Arial"/>
        </w:rPr>
        <w:t>Leads are generated primarily through digital marketing, referrals, and repeat clients. Once an enquiry is received, initial engagement focuses on understanding client needs, eligibility, and affordability. Qualified enquiries progress to adviser appointments, where regulated advice is provided in accordance with FCA standards. Successful cases then proceed to application, offer, and completion stages.</w:t>
      </w:r>
    </w:p>
    <w:p w14:paraId="57036B68" w14:textId="647A552B" w:rsidR="0054787A" w:rsidRPr="008F59EC" w:rsidRDefault="00BC30D4" w:rsidP="0014211F">
      <w:pPr>
        <w:spacing w:line="360" w:lineRule="auto"/>
        <w:jc w:val="both"/>
        <w:rPr>
          <w:rFonts w:ascii="Arial" w:hAnsi="Arial" w:cs="Arial"/>
        </w:rPr>
      </w:pPr>
      <w:r w:rsidRPr="008F59EC">
        <w:rPr>
          <w:rFonts w:ascii="Arial" w:hAnsi="Arial" w:cs="Arial"/>
        </w:rPr>
        <w:t>This structured funnel supports compliance by ensuring suitability assessments occur before recommendations are made, while also enabling performance tracking at each stage. The approach reflects best practice in professional services marketing, where trust-building and relationship development are central to conversion (Kotler and Keller, 2023).</w:t>
      </w:r>
    </w:p>
    <w:p w14:paraId="62E09883" w14:textId="4EE778AA" w:rsidR="005C4C72" w:rsidRPr="008F59EC" w:rsidRDefault="005C4C72" w:rsidP="0014211F">
      <w:pPr>
        <w:spacing w:line="360" w:lineRule="auto"/>
        <w:jc w:val="both"/>
        <w:rPr>
          <w:rFonts w:ascii="Arial" w:hAnsi="Arial" w:cs="Arial"/>
        </w:rPr>
      </w:pPr>
      <w:r w:rsidRPr="008F59EC">
        <w:rPr>
          <w:rFonts w:ascii="Arial" w:hAnsi="Arial" w:cs="Arial"/>
        </w:rPr>
        <w:t xml:space="preserve">The customer acquisition funnel for </w:t>
      </w:r>
      <w:r w:rsidR="00EC30AA" w:rsidRPr="008F59EC">
        <w:rPr>
          <w:rFonts w:ascii="Arial" w:hAnsi="Arial" w:cs="Arial"/>
        </w:rPr>
        <w:t xml:space="preserve">Sense Mortgage and </w:t>
      </w:r>
      <w:r w:rsidRPr="008F59EC">
        <w:rPr>
          <w:rFonts w:ascii="Arial" w:hAnsi="Arial" w:cs="Arial"/>
        </w:rPr>
        <w:t>Residential follows a structured progression from initial lead to completed mortgage transaction. Leads are generated through digital marketing channels, referrals, and repeat business, before being filtered through an initial enquiry stage. This screening process ensures that adviser time is focused on suitable and viable cases, improving conversion efficiency.</w:t>
      </w:r>
    </w:p>
    <w:p w14:paraId="5D47C290" w14:textId="77777777" w:rsidR="005C4C72" w:rsidRPr="008F59EC" w:rsidRDefault="005C4C72" w:rsidP="0014211F">
      <w:pPr>
        <w:spacing w:line="360" w:lineRule="auto"/>
        <w:jc w:val="both"/>
        <w:rPr>
          <w:rFonts w:ascii="Arial" w:hAnsi="Arial" w:cs="Arial"/>
        </w:rPr>
      </w:pPr>
      <w:r w:rsidRPr="008F59EC">
        <w:rPr>
          <w:rFonts w:ascii="Arial" w:hAnsi="Arial" w:cs="Arial"/>
        </w:rPr>
        <w:t>Following enquiry, clients progress to adviser appointments where fact-finding, affordability assessment, and recommendation take place. Research suggests that structured advisory processes improve both customer outcomes and conversion rates within financial services firms (PwC, 2023). Post-completion, aftercare processes support retention and future remortgage opportunities, reinforcing lifetime customer value rather than one-off transactions.</w:t>
      </w:r>
    </w:p>
    <w:p w14:paraId="24FFFA83" w14:textId="77777777" w:rsidR="005C4C72" w:rsidRPr="008F59EC" w:rsidRDefault="005C4C72" w:rsidP="0014211F">
      <w:pPr>
        <w:spacing w:line="360" w:lineRule="auto"/>
        <w:jc w:val="both"/>
        <w:rPr>
          <w:rFonts w:ascii="Arial" w:hAnsi="Arial" w:cs="Arial"/>
        </w:rPr>
      </w:pPr>
    </w:p>
    <w:p w14:paraId="29D9CB04" w14:textId="210CDFAF" w:rsidR="00A777FE" w:rsidRPr="008F59EC" w:rsidRDefault="005C4C72" w:rsidP="0014211F">
      <w:pPr>
        <w:spacing w:line="360" w:lineRule="auto"/>
        <w:jc w:val="both"/>
        <w:rPr>
          <w:rFonts w:ascii="Arial" w:hAnsi="Arial" w:cs="Arial"/>
        </w:rPr>
      </w:pPr>
      <w:r w:rsidRPr="008F59EC">
        <w:rPr>
          <w:rFonts w:ascii="Arial" w:hAnsi="Arial" w:cs="Arial"/>
        </w:rPr>
        <w:t xml:space="preserve">This funnel-based approach allows </w:t>
      </w:r>
      <w:r w:rsidR="00EC30AA" w:rsidRPr="008F59EC">
        <w:rPr>
          <w:rFonts w:ascii="Arial" w:hAnsi="Arial" w:cs="Arial"/>
        </w:rPr>
        <w:t xml:space="preserve">Sense Mortgage and </w:t>
      </w:r>
      <w:r w:rsidRPr="008F59EC">
        <w:rPr>
          <w:rFonts w:ascii="Arial" w:hAnsi="Arial" w:cs="Arial"/>
        </w:rPr>
        <w:t>Residential to align marketing expenditure with operational capacity, ensuring that growth remains manageable and compliant.</w:t>
      </w:r>
    </w:p>
    <w:p w14:paraId="686FCB07" w14:textId="77777777" w:rsidR="00661BBC" w:rsidRPr="008F59EC" w:rsidRDefault="00661BBC" w:rsidP="0014211F">
      <w:pPr>
        <w:spacing w:line="360" w:lineRule="auto"/>
        <w:jc w:val="both"/>
        <w:rPr>
          <w:rFonts w:ascii="Arial" w:hAnsi="Arial" w:cs="Arial"/>
        </w:rPr>
      </w:pPr>
    </w:p>
    <w:p w14:paraId="4D30876D" w14:textId="593F320C" w:rsidR="00661BBC" w:rsidRPr="008F59EC" w:rsidRDefault="00661BBC" w:rsidP="0007190F">
      <w:pPr>
        <w:pStyle w:val="Heading2"/>
        <w:rPr>
          <w:rFonts w:ascii="Arial" w:hAnsi="Arial" w:cs="Arial"/>
        </w:rPr>
      </w:pPr>
      <w:bookmarkStart w:id="29" w:name="_Toc219926273"/>
      <w:r w:rsidRPr="008F59EC">
        <w:rPr>
          <w:rFonts w:ascii="Arial" w:hAnsi="Arial" w:cs="Arial"/>
        </w:rPr>
        <w:t>4.6 Digital Marketing Strategy</w:t>
      </w:r>
      <w:bookmarkEnd w:id="29"/>
    </w:p>
    <w:p w14:paraId="59C840E1" w14:textId="05EE12D2" w:rsidR="00661BBC" w:rsidRPr="008F59EC" w:rsidRDefault="00661BBC" w:rsidP="0014211F">
      <w:pPr>
        <w:spacing w:line="360" w:lineRule="auto"/>
        <w:jc w:val="both"/>
        <w:rPr>
          <w:rFonts w:ascii="Arial" w:hAnsi="Arial" w:cs="Arial"/>
        </w:rPr>
      </w:pPr>
      <w:r w:rsidRPr="008F59EC">
        <w:rPr>
          <w:rFonts w:ascii="Arial" w:hAnsi="Arial" w:cs="Arial"/>
        </w:rPr>
        <w:t xml:space="preserve">Digital marketing plays a central role in the growth strategy of </w:t>
      </w:r>
      <w:r w:rsidR="00EC30AA" w:rsidRPr="008F59EC">
        <w:rPr>
          <w:rFonts w:ascii="Arial" w:hAnsi="Arial" w:cs="Arial"/>
        </w:rPr>
        <w:t xml:space="preserve">Sense Mortgage and </w:t>
      </w:r>
      <w:r w:rsidRPr="008F59EC">
        <w:rPr>
          <w:rFonts w:ascii="Arial" w:hAnsi="Arial" w:cs="Arial"/>
        </w:rPr>
        <w:t>Residential. Primary channels include search engine optimisation (SEO), pay-per-click advertising (PPC), social media engagement, and content marketing. These channels are selected due to their measurability, scalability, and alignment with consumer search behaviour in financial services (McKinsey &amp; Company, 2023).</w:t>
      </w:r>
    </w:p>
    <w:p w14:paraId="726DE13C" w14:textId="77777777" w:rsidR="00661BBC" w:rsidRPr="008F59EC" w:rsidRDefault="00661BBC" w:rsidP="0014211F">
      <w:pPr>
        <w:spacing w:line="360" w:lineRule="auto"/>
        <w:jc w:val="both"/>
        <w:rPr>
          <w:rFonts w:ascii="Arial" w:hAnsi="Arial" w:cs="Arial"/>
        </w:rPr>
      </w:pPr>
    </w:p>
    <w:p w14:paraId="29BC0903" w14:textId="7C66B168" w:rsidR="00BC30D4" w:rsidRPr="008F59EC" w:rsidRDefault="00661BBC" w:rsidP="0014211F">
      <w:pPr>
        <w:spacing w:line="360" w:lineRule="auto"/>
        <w:jc w:val="both"/>
        <w:rPr>
          <w:rFonts w:ascii="Arial" w:hAnsi="Arial" w:cs="Arial"/>
        </w:rPr>
      </w:pPr>
      <w:r w:rsidRPr="008F59EC">
        <w:rPr>
          <w:rFonts w:ascii="Arial" w:hAnsi="Arial" w:cs="Arial"/>
        </w:rPr>
        <w:t>Content marketing focuses on educational material, such as guides for first-time buyers and remortgaging checklists, which support both lead generation and trust-building. Digital engagement is designed to complement, rather than replace, adviser interaction, reflecting consumer preference for hybrid service models (Deloitte, 2023).</w:t>
      </w:r>
    </w:p>
    <w:p w14:paraId="7D17F92C" w14:textId="77777777" w:rsidR="001117FA" w:rsidRPr="008F59EC" w:rsidRDefault="001117FA" w:rsidP="0014211F">
      <w:pPr>
        <w:spacing w:line="360" w:lineRule="auto"/>
        <w:jc w:val="both"/>
        <w:rPr>
          <w:rFonts w:ascii="Arial" w:hAnsi="Arial" w:cs="Arial"/>
        </w:rPr>
      </w:pPr>
      <w:r w:rsidRPr="008F59EC">
        <w:rPr>
          <w:rFonts w:ascii="Arial" w:hAnsi="Arial" w:cs="Arial"/>
        </w:rPr>
        <w:t>Digital marketing channels are selected based on cost efficiency, measurability, and relevance to target customer segments. Search engine optimisation (SEO) and paid search advertising are prioritised due to their alignment with high-intent customer behaviour, particularly among first-time buyers and remortgaging clients actively seeking advice (McKinsey &amp; Company, 2023). Social media channels support brand visibility and trust-building rather than direct conversion.</w:t>
      </w:r>
    </w:p>
    <w:p w14:paraId="1BBF0FE3" w14:textId="77777777" w:rsidR="001117FA" w:rsidRPr="008F59EC" w:rsidRDefault="001117FA" w:rsidP="0014211F">
      <w:pPr>
        <w:spacing w:line="360" w:lineRule="auto"/>
        <w:jc w:val="both"/>
        <w:rPr>
          <w:rFonts w:ascii="Arial" w:hAnsi="Arial" w:cs="Arial"/>
        </w:rPr>
      </w:pPr>
    </w:p>
    <w:p w14:paraId="7CDE0E8B" w14:textId="0BD13788" w:rsidR="00F02DB7" w:rsidRPr="008F59EC" w:rsidRDefault="001117FA" w:rsidP="0014211F">
      <w:pPr>
        <w:spacing w:line="360" w:lineRule="auto"/>
        <w:jc w:val="both"/>
        <w:rPr>
          <w:rFonts w:ascii="Arial" w:hAnsi="Arial" w:cs="Arial"/>
        </w:rPr>
      </w:pPr>
      <w:r w:rsidRPr="008F59EC">
        <w:rPr>
          <w:rFonts w:ascii="Arial" w:hAnsi="Arial" w:cs="Arial"/>
        </w:rPr>
        <w:t>Marketing performance is monitored through key performance indicators including cost per lead, enquiry-to-appointment conversion rates, case completion ratios, and customer acquisition cost. These metrics enable continuous optimisation of marketing spend and support evidence-based decision-making. This data-driven approach is particularly important for small advisory firms seeking to maximise return on limited marketing budgets (Deloitte, 2023).</w:t>
      </w:r>
    </w:p>
    <w:p w14:paraId="4877C2DB" w14:textId="0364DCE8" w:rsidR="00BB2F85" w:rsidRPr="008F59EC" w:rsidRDefault="00BB2F85" w:rsidP="0007190F">
      <w:pPr>
        <w:pStyle w:val="Heading2"/>
        <w:rPr>
          <w:rFonts w:ascii="Arial" w:hAnsi="Arial" w:cs="Arial"/>
        </w:rPr>
      </w:pPr>
      <w:bookmarkStart w:id="30" w:name="_Toc219926274"/>
      <w:r w:rsidRPr="008F59EC">
        <w:rPr>
          <w:rFonts w:ascii="Arial" w:hAnsi="Arial" w:cs="Arial"/>
        </w:rPr>
        <w:t>4.7 Marketing Budget and Resource Allocation</w:t>
      </w:r>
      <w:bookmarkEnd w:id="30"/>
    </w:p>
    <w:p w14:paraId="4E512301" w14:textId="123D6E17" w:rsidR="00BB2F85" w:rsidRPr="008F59EC" w:rsidRDefault="00BB2F85" w:rsidP="0014211F">
      <w:pPr>
        <w:spacing w:line="360" w:lineRule="auto"/>
        <w:jc w:val="both"/>
        <w:rPr>
          <w:rFonts w:ascii="Arial" w:hAnsi="Arial" w:cs="Arial"/>
        </w:rPr>
      </w:pPr>
      <w:r w:rsidRPr="008F59EC">
        <w:rPr>
          <w:rFonts w:ascii="Arial" w:hAnsi="Arial" w:cs="Arial"/>
        </w:rPr>
        <w:t xml:space="preserve">Marketing expenditure is allocated conservatively, particularly during the early stages of operation. Budget allocation prioritises digital channels with clear performance metrics, allowing the business to evaluate return on investment and adjust spend </w:t>
      </w:r>
      <w:r w:rsidRPr="008F59EC">
        <w:rPr>
          <w:rFonts w:ascii="Arial" w:hAnsi="Arial" w:cs="Arial"/>
        </w:rPr>
        <w:lastRenderedPageBreak/>
        <w:t>accordingly. This approach reduces financial risk while supporting gradual brand awareness growth.</w:t>
      </w:r>
    </w:p>
    <w:p w14:paraId="2DADE89D" w14:textId="41233D49" w:rsidR="0023131A" w:rsidRPr="008F59EC" w:rsidRDefault="00BB2F85" w:rsidP="0014211F">
      <w:pPr>
        <w:spacing w:line="360" w:lineRule="auto"/>
        <w:jc w:val="both"/>
        <w:rPr>
          <w:rFonts w:ascii="Arial" w:hAnsi="Arial" w:cs="Arial"/>
        </w:rPr>
      </w:pPr>
      <w:r w:rsidRPr="008F59EC">
        <w:rPr>
          <w:rFonts w:ascii="Arial" w:hAnsi="Arial" w:cs="Arial"/>
        </w:rPr>
        <w:t>The marketing budget is aligned with projected case volumes and revenue targets outlined in the financial plan. As the business scales, increased marketing investment can be supported by retained earnings rather than external funding.</w:t>
      </w:r>
      <w:r w:rsidR="006C63F3" w:rsidRPr="008F59EC">
        <w:rPr>
          <w:rFonts w:ascii="Arial" w:hAnsi="Arial" w:cs="Arial"/>
        </w:rPr>
        <w:t xml:space="preserve"> </w:t>
      </w:r>
    </w:p>
    <w:p w14:paraId="5A5437EF" w14:textId="64E540B0" w:rsidR="00AC29CB" w:rsidRPr="008F59EC" w:rsidRDefault="00AC29CB" w:rsidP="0014211F">
      <w:pPr>
        <w:spacing w:line="360" w:lineRule="auto"/>
        <w:jc w:val="both"/>
        <w:rPr>
          <w:rFonts w:ascii="Arial" w:hAnsi="Arial" w:cs="Arial"/>
        </w:rPr>
      </w:pPr>
      <w:r w:rsidRPr="008F59EC">
        <w:rPr>
          <w:rFonts w:ascii="Arial" w:hAnsi="Arial" w:cs="Arial"/>
        </w:rPr>
        <w:t xml:space="preserve">Table 3: Estimated Marketing Budget for Sense </w:t>
      </w:r>
    </w:p>
    <w:tbl>
      <w:tblPr>
        <w:tblStyle w:val="GridTable5Dark-Accent4"/>
        <w:tblW w:w="8140" w:type="dxa"/>
        <w:tblLook w:val="04A0" w:firstRow="1" w:lastRow="0" w:firstColumn="1" w:lastColumn="0" w:noHBand="0" w:noVBand="1"/>
      </w:tblPr>
      <w:tblGrid>
        <w:gridCol w:w="5093"/>
        <w:gridCol w:w="3047"/>
      </w:tblGrid>
      <w:tr w:rsidR="007B1BD6" w:rsidRPr="008F59EC" w14:paraId="39D71E76" w14:textId="77777777" w:rsidTr="007B1BD6">
        <w:trPr>
          <w:cnfStyle w:val="100000000000" w:firstRow="1" w:lastRow="0" w:firstColumn="0" w:lastColumn="0" w:oddVBand="0" w:evenVBand="0" w:oddHBand="0"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5093" w:type="dxa"/>
            <w:tcBorders>
              <w:top w:val="single" w:sz="4" w:space="0" w:color="auto"/>
              <w:left w:val="single" w:sz="4" w:space="0" w:color="auto"/>
            </w:tcBorders>
          </w:tcPr>
          <w:p w14:paraId="075382B3" w14:textId="77777777" w:rsidR="007B1BD6" w:rsidRPr="008F59EC" w:rsidRDefault="007B1BD6" w:rsidP="0014211F">
            <w:pPr>
              <w:spacing w:line="360" w:lineRule="auto"/>
              <w:jc w:val="both"/>
              <w:rPr>
                <w:rFonts w:ascii="Arial" w:hAnsi="Arial" w:cs="Arial"/>
              </w:rPr>
            </w:pPr>
            <w:r w:rsidRPr="008F59EC">
              <w:rPr>
                <w:rFonts w:ascii="Arial" w:hAnsi="Arial" w:cs="Arial"/>
              </w:rPr>
              <w:t>Activity</w:t>
            </w:r>
          </w:p>
        </w:tc>
        <w:tc>
          <w:tcPr>
            <w:tcW w:w="3047" w:type="dxa"/>
            <w:tcBorders>
              <w:top w:val="single" w:sz="4" w:space="0" w:color="auto"/>
              <w:right w:val="single" w:sz="4" w:space="0" w:color="auto"/>
            </w:tcBorders>
          </w:tcPr>
          <w:p w14:paraId="29C9B2A5" w14:textId="77777777" w:rsidR="007B1BD6" w:rsidRPr="008F59EC" w:rsidRDefault="007B1BD6" w:rsidP="0014211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Estimated Cost (£)</w:t>
            </w:r>
          </w:p>
        </w:tc>
      </w:tr>
      <w:tr w:rsidR="007B1BD6" w:rsidRPr="008F59EC" w14:paraId="7D498EBC" w14:textId="77777777" w:rsidTr="007B1BD6">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093" w:type="dxa"/>
            <w:tcBorders>
              <w:left w:val="single" w:sz="4" w:space="0" w:color="auto"/>
            </w:tcBorders>
          </w:tcPr>
          <w:p w14:paraId="0CB86964" w14:textId="77777777" w:rsidR="007B1BD6" w:rsidRPr="008F59EC" w:rsidRDefault="007B1BD6" w:rsidP="0014211F">
            <w:pPr>
              <w:spacing w:line="360" w:lineRule="auto"/>
              <w:jc w:val="both"/>
              <w:rPr>
                <w:rFonts w:ascii="Arial" w:hAnsi="Arial" w:cs="Arial"/>
              </w:rPr>
            </w:pPr>
            <w:r w:rsidRPr="008F59EC">
              <w:rPr>
                <w:rFonts w:ascii="Arial" w:hAnsi="Arial" w:cs="Arial"/>
              </w:rPr>
              <w:t>Website Development</w:t>
            </w:r>
            <w:r w:rsidRPr="008F59EC">
              <w:rPr>
                <w:rFonts w:ascii="Arial" w:hAnsi="Arial" w:cs="Arial"/>
              </w:rPr>
              <w:tab/>
            </w:r>
          </w:p>
        </w:tc>
        <w:tc>
          <w:tcPr>
            <w:tcW w:w="3047" w:type="dxa"/>
            <w:tcBorders>
              <w:right w:val="single" w:sz="4" w:space="0" w:color="auto"/>
            </w:tcBorders>
          </w:tcPr>
          <w:p w14:paraId="19AFD09C" w14:textId="77777777" w:rsidR="007B1BD6" w:rsidRPr="008F59EC" w:rsidRDefault="007B1BD6"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£800 – £1,200</w:t>
            </w:r>
          </w:p>
          <w:p w14:paraId="08E2BBC1" w14:textId="77777777" w:rsidR="007B1BD6" w:rsidRPr="008F59EC" w:rsidRDefault="007B1BD6"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7B1BD6" w:rsidRPr="008F59EC" w14:paraId="61109CF4" w14:textId="77777777" w:rsidTr="007B1BD6">
        <w:trPr>
          <w:trHeight w:val="362"/>
        </w:trPr>
        <w:tc>
          <w:tcPr>
            <w:cnfStyle w:val="001000000000" w:firstRow="0" w:lastRow="0" w:firstColumn="1" w:lastColumn="0" w:oddVBand="0" w:evenVBand="0" w:oddHBand="0" w:evenHBand="0" w:firstRowFirstColumn="0" w:firstRowLastColumn="0" w:lastRowFirstColumn="0" w:lastRowLastColumn="0"/>
            <w:tcW w:w="5093" w:type="dxa"/>
            <w:tcBorders>
              <w:left w:val="single" w:sz="4" w:space="0" w:color="auto"/>
            </w:tcBorders>
          </w:tcPr>
          <w:p w14:paraId="09F5C846" w14:textId="77777777" w:rsidR="007B1BD6" w:rsidRPr="008F59EC" w:rsidRDefault="007B1BD6" w:rsidP="0014211F">
            <w:pPr>
              <w:spacing w:line="360" w:lineRule="auto"/>
              <w:jc w:val="both"/>
              <w:rPr>
                <w:rFonts w:ascii="Arial" w:hAnsi="Arial" w:cs="Arial"/>
              </w:rPr>
            </w:pPr>
            <w:r w:rsidRPr="008F59EC">
              <w:rPr>
                <w:rFonts w:ascii="Arial" w:hAnsi="Arial" w:cs="Arial"/>
              </w:rPr>
              <w:t>Branding &amp; Logo Design</w:t>
            </w:r>
          </w:p>
        </w:tc>
        <w:tc>
          <w:tcPr>
            <w:tcW w:w="3047" w:type="dxa"/>
            <w:tcBorders>
              <w:right w:val="single" w:sz="4" w:space="0" w:color="auto"/>
            </w:tcBorders>
          </w:tcPr>
          <w:p w14:paraId="3510D037" w14:textId="77777777" w:rsidR="007B1BD6" w:rsidRPr="008F59EC" w:rsidRDefault="007B1BD6"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£300 – £500</w:t>
            </w:r>
          </w:p>
        </w:tc>
      </w:tr>
      <w:tr w:rsidR="007B1BD6" w:rsidRPr="008F59EC" w14:paraId="0A79254E" w14:textId="77777777" w:rsidTr="007B1BD6">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5093" w:type="dxa"/>
            <w:tcBorders>
              <w:left w:val="single" w:sz="4" w:space="0" w:color="auto"/>
            </w:tcBorders>
          </w:tcPr>
          <w:p w14:paraId="556227B6" w14:textId="77777777" w:rsidR="007B1BD6" w:rsidRPr="008F59EC" w:rsidRDefault="007B1BD6" w:rsidP="0014211F">
            <w:pPr>
              <w:spacing w:line="360" w:lineRule="auto"/>
              <w:jc w:val="both"/>
              <w:rPr>
                <w:rFonts w:ascii="Arial" w:hAnsi="Arial" w:cs="Arial"/>
              </w:rPr>
            </w:pPr>
            <w:r w:rsidRPr="008F59EC">
              <w:rPr>
                <w:rFonts w:ascii="Arial" w:hAnsi="Arial" w:cs="Arial"/>
              </w:rPr>
              <w:t>CRM &amp; Automation Tools</w:t>
            </w:r>
          </w:p>
        </w:tc>
        <w:tc>
          <w:tcPr>
            <w:tcW w:w="3047" w:type="dxa"/>
            <w:tcBorders>
              <w:right w:val="single" w:sz="4" w:space="0" w:color="auto"/>
            </w:tcBorders>
          </w:tcPr>
          <w:p w14:paraId="319A609D" w14:textId="77777777" w:rsidR="007B1BD6" w:rsidRPr="008F59EC" w:rsidRDefault="007B1BD6"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£600 – £900 annually</w:t>
            </w:r>
          </w:p>
        </w:tc>
      </w:tr>
      <w:tr w:rsidR="007B1BD6" w:rsidRPr="008F59EC" w14:paraId="0027355C" w14:textId="77777777" w:rsidTr="007B1BD6">
        <w:trPr>
          <w:trHeight w:val="362"/>
        </w:trPr>
        <w:tc>
          <w:tcPr>
            <w:cnfStyle w:val="001000000000" w:firstRow="0" w:lastRow="0" w:firstColumn="1" w:lastColumn="0" w:oddVBand="0" w:evenVBand="0" w:oddHBand="0" w:evenHBand="0" w:firstRowFirstColumn="0" w:firstRowLastColumn="0" w:lastRowFirstColumn="0" w:lastRowLastColumn="0"/>
            <w:tcW w:w="5093" w:type="dxa"/>
            <w:tcBorders>
              <w:left w:val="single" w:sz="4" w:space="0" w:color="auto"/>
            </w:tcBorders>
          </w:tcPr>
          <w:p w14:paraId="6498D2A3" w14:textId="77777777" w:rsidR="007B1BD6" w:rsidRPr="008F59EC" w:rsidRDefault="007B1BD6" w:rsidP="0014211F">
            <w:pPr>
              <w:spacing w:line="360" w:lineRule="auto"/>
              <w:jc w:val="both"/>
              <w:rPr>
                <w:rFonts w:ascii="Arial" w:hAnsi="Arial" w:cs="Arial"/>
              </w:rPr>
            </w:pPr>
            <w:r w:rsidRPr="008F59EC">
              <w:rPr>
                <w:rFonts w:ascii="Arial" w:hAnsi="Arial" w:cs="Arial"/>
              </w:rPr>
              <w:t>Google Ads</w:t>
            </w:r>
          </w:p>
        </w:tc>
        <w:tc>
          <w:tcPr>
            <w:tcW w:w="3047" w:type="dxa"/>
            <w:tcBorders>
              <w:right w:val="single" w:sz="4" w:space="0" w:color="auto"/>
            </w:tcBorders>
          </w:tcPr>
          <w:p w14:paraId="55D5A4FC" w14:textId="77777777" w:rsidR="007B1BD6" w:rsidRPr="008F59EC" w:rsidRDefault="007B1BD6"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£150 – £300 per month</w:t>
            </w:r>
          </w:p>
        </w:tc>
      </w:tr>
      <w:tr w:rsidR="007B1BD6" w:rsidRPr="008F59EC" w14:paraId="7CEC33AA" w14:textId="77777777" w:rsidTr="007B1BD6">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5093" w:type="dxa"/>
            <w:tcBorders>
              <w:left w:val="single" w:sz="4" w:space="0" w:color="auto"/>
            </w:tcBorders>
          </w:tcPr>
          <w:p w14:paraId="7B36CDC7" w14:textId="77777777" w:rsidR="007B1BD6" w:rsidRPr="008F59EC" w:rsidRDefault="007B1BD6" w:rsidP="0014211F">
            <w:pPr>
              <w:spacing w:line="360" w:lineRule="auto"/>
              <w:jc w:val="both"/>
              <w:rPr>
                <w:rFonts w:ascii="Arial" w:hAnsi="Arial" w:cs="Arial"/>
              </w:rPr>
            </w:pPr>
            <w:r w:rsidRPr="008F59EC">
              <w:rPr>
                <w:rFonts w:ascii="Arial" w:hAnsi="Arial" w:cs="Arial"/>
              </w:rPr>
              <w:t>Social Media Ads</w:t>
            </w:r>
          </w:p>
        </w:tc>
        <w:tc>
          <w:tcPr>
            <w:tcW w:w="3047" w:type="dxa"/>
            <w:tcBorders>
              <w:right w:val="single" w:sz="4" w:space="0" w:color="auto"/>
            </w:tcBorders>
          </w:tcPr>
          <w:p w14:paraId="008156D1" w14:textId="77777777" w:rsidR="007B1BD6" w:rsidRPr="008F59EC" w:rsidRDefault="007B1BD6"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£100 – £200 per month</w:t>
            </w:r>
          </w:p>
        </w:tc>
      </w:tr>
      <w:tr w:rsidR="007B1BD6" w:rsidRPr="008F59EC" w14:paraId="5B20CE76" w14:textId="77777777" w:rsidTr="007B1BD6">
        <w:trPr>
          <w:trHeight w:val="320"/>
        </w:trPr>
        <w:tc>
          <w:tcPr>
            <w:cnfStyle w:val="001000000000" w:firstRow="0" w:lastRow="0" w:firstColumn="1" w:lastColumn="0" w:oddVBand="0" w:evenVBand="0" w:oddHBand="0" w:evenHBand="0" w:firstRowFirstColumn="0" w:firstRowLastColumn="0" w:lastRowFirstColumn="0" w:lastRowLastColumn="0"/>
            <w:tcW w:w="5093" w:type="dxa"/>
            <w:tcBorders>
              <w:left w:val="single" w:sz="4" w:space="0" w:color="auto"/>
            </w:tcBorders>
          </w:tcPr>
          <w:p w14:paraId="0C86F341" w14:textId="77777777" w:rsidR="007B1BD6" w:rsidRPr="008F59EC" w:rsidRDefault="007B1BD6" w:rsidP="0014211F">
            <w:pPr>
              <w:spacing w:line="360" w:lineRule="auto"/>
              <w:jc w:val="both"/>
              <w:rPr>
                <w:rFonts w:ascii="Arial" w:hAnsi="Arial" w:cs="Arial"/>
              </w:rPr>
            </w:pPr>
            <w:r w:rsidRPr="008F59EC">
              <w:rPr>
                <w:rFonts w:ascii="Arial" w:hAnsi="Arial" w:cs="Arial"/>
              </w:rPr>
              <w:t>Content Creation</w:t>
            </w:r>
            <w:r w:rsidRPr="008F59EC">
              <w:rPr>
                <w:rFonts w:ascii="Arial" w:hAnsi="Arial" w:cs="Arial"/>
              </w:rPr>
              <w:tab/>
            </w:r>
          </w:p>
        </w:tc>
        <w:tc>
          <w:tcPr>
            <w:tcW w:w="3047" w:type="dxa"/>
            <w:tcBorders>
              <w:right w:val="single" w:sz="4" w:space="0" w:color="auto"/>
            </w:tcBorders>
          </w:tcPr>
          <w:p w14:paraId="302EB23F" w14:textId="77777777" w:rsidR="007B1BD6" w:rsidRPr="008F59EC" w:rsidRDefault="007B1BD6"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£300 – £600</w:t>
            </w:r>
          </w:p>
          <w:p w14:paraId="0A78E61E" w14:textId="77777777" w:rsidR="007B1BD6" w:rsidRPr="008F59EC" w:rsidRDefault="007B1BD6"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7B1BD6" w:rsidRPr="008F59EC" w14:paraId="2F46E399" w14:textId="77777777" w:rsidTr="007B1BD6">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5093" w:type="dxa"/>
            <w:tcBorders>
              <w:left w:val="single" w:sz="4" w:space="0" w:color="auto"/>
              <w:bottom w:val="single" w:sz="4" w:space="0" w:color="auto"/>
            </w:tcBorders>
          </w:tcPr>
          <w:p w14:paraId="149D5C3D" w14:textId="77777777" w:rsidR="007B1BD6" w:rsidRPr="008F59EC" w:rsidRDefault="007B1BD6" w:rsidP="0014211F">
            <w:pPr>
              <w:spacing w:line="360" w:lineRule="auto"/>
              <w:jc w:val="both"/>
              <w:rPr>
                <w:rFonts w:ascii="Arial" w:hAnsi="Arial" w:cs="Arial"/>
              </w:rPr>
            </w:pPr>
            <w:r w:rsidRPr="008F59EC">
              <w:rPr>
                <w:rFonts w:ascii="Arial" w:hAnsi="Arial" w:cs="Arial"/>
              </w:rPr>
              <w:t>Total Estimated Budget</w:t>
            </w:r>
          </w:p>
        </w:tc>
        <w:tc>
          <w:tcPr>
            <w:tcW w:w="3047" w:type="dxa"/>
            <w:tcBorders>
              <w:bottom w:val="single" w:sz="4" w:space="0" w:color="auto"/>
              <w:right w:val="single" w:sz="4" w:space="0" w:color="auto"/>
            </w:tcBorders>
          </w:tcPr>
          <w:p w14:paraId="73E83BB1" w14:textId="77777777" w:rsidR="007B1BD6" w:rsidRPr="008F59EC" w:rsidRDefault="007B1BD6"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£3,000 – £5,000</w:t>
            </w:r>
          </w:p>
        </w:tc>
      </w:tr>
    </w:tbl>
    <w:p w14:paraId="08C73D02" w14:textId="77777777" w:rsidR="00AC29CB" w:rsidRPr="008F59EC" w:rsidRDefault="00AC29CB" w:rsidP="0014211F">
      <w:pPr>
        <w:spacing w:line="360" w:lineRule="auto"/>
        <w:jc w:val="both"/>
        <w:rPr>
          <w:rFonts w:ascii="Arial" w:hAnsi="Arial" w:cs="Arial"/>
          <w:i/>
          <w:iCs/>
        </w:rPr>
      </w:pPr>
    </w:p>
    <w:p w14:paraId="26111B33" w14:textId="6669ED73" w:rsidR="006C63F3" w:rsidRPr="008F59EC" w:rsidRDefault="006C63F3" w:rsidP="0014211F">
      <w:pPr>
        <w:spacing w:line="360" w:lineRule="auto"/>
        <w:jc w:val="both"/>
        <w:rPr>
          <w:rFonts w:ascii="Arial" w:hAnsi="Arial" w:cs="Arial"/>
          <w:i/>
          <w:iCs/>
        </w:rPr>
      </w:pPr>
      <w:r w:rsidRPr="008F59EC">
        <w:rPr>
          <w:rFonts w:ascii="Arial" w:hAnsi="Arial" w:cs="Arial"/>
          <w:i/>
          <w:iCs/>
        </w:rPr>
        <w:t>Source: Author Illustration (2025)</w:t>
      </w:r>
    </w:p>
    <w:p w14:paraId="6F804878" w14:textId="76D0DF86" w:rsidR="006A26A6" w:rsidRPr="008F59EC" w:rsidRDefault="006A26A6" w:rsidP="0014211F">
      <w:pPr>
        <w:spacing w:line="360" w:lineRule="auto"/>
        <w:jc w:val="both"/>
        <w:rPr>
          <w:rFonts w:ascii="Arial" w:hAnsi="Arial" w:cs="Arial"/>
        </w:rPr>
      </w:pPr>
      <w:r w:rsidRPr="008F59EC">
        <w:rPr>
          <w:rFonts w:ascii="Arial" w:hAnsi="Arial" w:cs="Arial"/>
        </w:rPr>
        <w:t xml:space="preserve">The marketing and operational budget estimates used in this report are derived from a combination of industry research, competitor benchmarking, and established practices within the UK mortgage advisory sector. Budget allocations reflect typical cost structures observed among independent mortgage brokers, including digital marketing expenditure, software subscriptions, compliance-related costs, and professional services, as reported by industry sources such as UK Finance, Moneyfacts, and Deloitte. Where precise market data is unavailable, conservative assumptions have been applied to avoid overstatement of performance. All financial estimates are therefore grounded in realistic market conditions and aligned with the service model and scale of operations proposed for </w:t>
      </w:r>
      <w:r w:rsidR="00EC30AA" w:rsidRPr="008F59EC">
        <w:rPr>
          <w:rFonts w:ascii="Arial" w:hAnsi="Arial" w:cs="Arial"/>
        </w:rPr>
        <w:t>Sense Mortgage and Residential</w:t>
      </w:r>
      <w:r w:rsidR="00103A5D" w:rsidRPr="008F59EC">
        <w:rPr>
          <w:rFonts w:ascii="Arial" w:hAnsi="Arial" w:cs="Arial"/>
        </w:rPr>
        <w:t>.</w:t>
      </w:r>
    </w:p>
    <w:p w14:paraId="48BE2E44" w14:textId="578C2F38" w:rsidR="000101C1" w:rsidRPr="008F59EC" w:rsidRDefault="000101C1" w:rsidP="0007190F">
      <w:pPr>
        <w:pStyle w:val="Heading2"/>
        <w:rPr>
          <w:rFonts w:ascii="Arial" w:hAnsi="Arial" w:cs="Arial"/>
        </w:rPr>
      </w:pPr>
      <w:bookmarkStart w:id="31" w:name="_Toc219926275"/>
      <w:r w:rsidRPr="008F59EC">
        <w:rPr>
          <w:rFonts w:ascii="Arial" w:hAnsi="Arial" w:cs="Arial"/>
        </w:rPr>
        <w:lastRenderedPageBreak/>
        <w:t>4.8 Performance Measurement and Key Performance Indicators (KPIs)</w:t>
      </w:r>
      <w:bookmarkEnd w:id="31"/>
    </w:p>
    <w:p w14:paraId="4301BA2C" w14:textId="77777777" w:rsidR="000101C1" w:rsidRPr="008F59EC" w:rsidRDefault="000101C1" w:rsidP="0014211F">
      <w:pPr>
        <w:spacing w:line="360" w:lineRule="auto"/>
        <w:jc w:val="both"/>
        <w:rPr>
          <w:rFonts w:ascii="Arial" w:hAnsi="Arial" w:cs="Arial"/>
        </w:rPr>
      </w:pPr>
      <w:r w:rsidRPr="008F59EC">
        <w:rPr>
          <w:rFonts w:ascii="Arial" w:hAnsi="Arial" w:cs="Arial"/>
        </w:rPr>
        <w:t>Marketing and sales performance is monitored using clearly defined key performance indicators. These include lead conversion rates, cost per lead, appointment-to-completion ratios, customer acquisition cost, and client retention rates. Monitoring these indicators enables management to assess the effectiveness of marketing campaigns and identify areas for improvement.</w:t>
      </w:r>
    </w:p>
    <w:p w14:paraId="34501129" w14:textId="77777777" w:rsidR="000101C1" w:rsidRPr="008F59EC" w:rsidRDefault="000101C1" w:rsidP="0014211F">
      <w:pPr>
        <w:spacing w:line="360" w:lineRule="auto"/>
        <w:jc w:val="both"/>
        <w:rPr>
          <w:rFonts w:ascii="Arial" w:hAnsi="Arial" w:cs="Arial"/>
        </w:rPr>
      </w:pPr>
    </w:p>
    <w:p w14:paraId="7EAF304D" w14:textId="77777777" w:rsidR="000101C1" w:rsidRPr="008F59EC" w:rsidRDefault="000101C1" w:rsidP="0014211F">
      <w:pPr>
        <w:spacing w:line="360" w:lineRule="auto"/>
        <w:jc w:val="both"/>
        <w:rPr>
          <w:rFonts w:ascii="Arial" w:hAnsi="Arial" w:cs="Arial"/>
        </w:rPr>
      </w:pPr>
      <w:r w:rsidRPr="008F59EC">
        <w:rPr>
          <w:rFonts w:ascii="Arial" w:hAnsi="Arial" w:cs="Arial"/>
        </w:rPr>
        <w:t>Digital tools and CRM systems provide real-time data to support performance tracking, ensuring that marketing decisions are data-driven and aligned with strategic objectives. The use of KPIs reflects best practice in service marketing and supports accountability and continuous improvement (Kotler and Keller, 2023).</w:t>
      </w:r>
    </w:p>
    <w:p w14:paraId="2C77CCE0" w14:textId="461C01A1" w:rsidR="00C15F7D" w:rsidRPr="008F59EC" w:rsidRDefault="00060119" w:rsidP="0014211F">
      <w:pPr>
        <w:spacing w:line="360" w:lineRule="auto"/>
        <w:jc w:val="both"/>
        <w:rPr>
          <w:rFonts w:ascii="Arial" w:hAnsi="Arial" w:cs="Arial"/>
        </w:rPr>
      </w:pPr>
      <w:r w:rsidRPr="008F59EC">
        <w:rPr>
          <w:rFonts w:ascii="Arial" w:hAnsi="Arial" w:cs="Arial"/>
        </w:rPr>
        <w:t xml:space="preserve">The marketing and sales strategy outlined in this chapter is closely aligned with the operational and financial assumptions presented in subsequent chapters. By prioritising lead quality over volume and adopting a structured conversion funnel, </w:t>
      </w:r>
      <w:r w:rsidR="00EC30AA" w:rsidRPr="008F59EC">
        <w:rPr>
          <w:rFonts w:ascii="Arial" w:hAnsi="Arial" w:cs="Arial"/>
        </w:rPr>
        <w:t xml:space="preserve">Sense Mortgage and </w:t>
      </w:r>
      <w:r w:rsidRPr="008F59EC">
        <w:rPr>
          <w:rFonts w:ascii="Arial" w:hAnsi="Arial" w:cs="Arial"/>
        </w:rPr>
        <w:t>Residential ensures that marketing activity supports service quality and compliance requirements. Conservative budget allocation and performance monitoring further reduce financial risk during early-stage operations, reinforcing the sustainability of the proposed business model.</w:t>
      </w:r>
    </w:p>
    <w:p w14:paraId="21DCF515" w14:textId="77777777" w:rsidR="000101C1" w:rsidRPr="008F59EC" w:rsidRDefault="000101C1" w:rsidP="0014211F">
      <w:pPr>
        <w:spacing w:line="360" w:lineRule="auto"/>
        <w:jc w:val="both"/>
        <w:rPr>
          <w:rFonts w:ascii="Arial" w:hAnsi="Arial" w:cs="Arial"/>
        </w:rPr>
      </w:pPr>
    </w:p>
    <w:p w14:paraId="4EE9F283" w14:textId="44A5F1CA" w:rsidR="000101C1" w:rsidRPr="008F59EC" w:rsidRDefault="000101C1" w:rsidP="0007190F">
      <w:pPr>
        <w:pStyle w:val="Heading2"/>
        <w:rPr>
          <w:rFonts w:ascii="Arial" w:hAnsi="Arial" w:cs="Arial"/>
        </w:rPr>
      </w:pPr>
      <w:bookmarkStart w:id="32" w:name="_Toc219926276"/>
      <w:r w:rsidRPr="008F59EC">
        <w:rPr>
          <w:rFonts w:ascii="Arial" w:hAnsi="Arial" w:cs="Arial"/>
        </w:rPr>
        <w:t>4.9 Summary</w:t>
      </w:r>
      <w:bookmarkEnd w:id="32"/>
    </w:p>
    <w:p w14:paraId="00AE7DD8" w14:textId="3B775155" w:rsidR="00C0672D" w:rsidRPr="008F59EC" w:rsidRDefault="00C0672D" w:rsidP="0014211F">
      <w:pPr>
        <w:spacing w:line="360" w:lineRule="auto"/>
        <w:jc w:val="both"/>
        <w:rPr>
          <w:rFonts w:ascii="Arial" w:hAnsi="Arial" w:cs="Arial"/>
        </w:rPr>
      </w:pPr>
      <w:r w:rsidRPr="008F59EC">
        <w:rPr>
          <w:rFonts w:ascii="Arial" w:hAnsi="Arial" w:cs="Arial"/>
        </w:rPr>
        <w:t xml:space="preserve">This chapter has outlined the marketing and sales strategy for </w:t>
      </w:r>
      <w:r w:rsidR="00EC30AA" w:rsidRPr="008F59EC">
        <w:rPr>
          <w:rFonts w:ascii="Arial" w:hAnsi="Arial" w:cs="Arial"/>
        </w:rPr>
        <w:t xml:space="preserve">Sense Mortgage and </w:t>
      </w:r>
      <w:r w:rsidRPr="008F59EC">
        <w:rPr>
          <w:rFonts w:ascii="Arial" w:hAnsi="Arial" w:cs="Arial"/>
        </w:rPr>
        <w:t>Residential, demonstrating how the business intends to attract, convert, and retain clients within a competitive and highly regulated market. The analysis confirms that a trust-led, adviser-focused marketing approach is more appropriate than volume-driven promotion, particularly for a new entrant operating under Consumer Duty requirements. The firm’s unique selling proposition is clearly positioned around personalised advice supported by efficient digital processes, addressing identified consumer demand for clarity, transparency, and professional guidance.</w:t>
      </w:r>
    </w:p>
    <w:p w14:paraId="411E8A9B" w14:textId="77777777" w:rsidR="00C0672D" w:rsidRPr="008F59EC" w:rsidRDefault="00C0672D" w:rsidP="0014211F">
      <w:pPr>
        <w:spacing w:line="360" w:lineRule="auto"/>
        <w:jc w:val="both"/>
        <w:rPr>
          <w:rFonts w:ascii="Arial" w:hAnsi="Arial" w:cs="Arial"/>
        </w:rPr>
      </w:pPr>
    </w:p>
    <w:p w14:paraId="4BB82C8F" w14:textId="6B780D88" w:rsidR="00C0672D" w:rsidRPr="008F59EC" w:rsidRDefault="00C0672D" w:rsidP="0014211F">
      <w:pPr>
        <w:spacing w:line="360" w:lineRule="auto"/>
        <w:jc w:val="both"/>
        <w:rPr>
          <w:rFonts w:ascii="Arial" w:hAnsi="Arial" w:cs="Arial"/>
        </w:rPr>
      </w:pPr>
      <w:r w:rsidRPr="008F59EC">
        <w:rPr>
          <w:rFonts w:ascii="Arial" w:hAnsi="Arial" w:cs="Arial"/>
        </w:rPr>
        <w:lastRenderedPageBreak/>
        <w:t xml:space="preserve">The application of the marketing mix and customer conversion funnel illustrates how pricing, promotion, and service delivery are aligned with both regulatory expectations and operational capacity. Digital marketing channels are selected based on cost efficiency and measurability, while performance is monitored through defined key performance indicators to ensure responsible use of marketing resources. Overall, this chapter demonstrates that the marketing and sales strategy of </w:t>
      </w:r>
      <w:r w:rsidR="00EC30AA" w:rsidRPr="008F59EC">
        <w:rPr>
          <w:rFonts w:ascii="Arial" w:hAnsi="Arial" w:cs="Arial"/>
        </w:rPr>
        <w:t xml:space="preserve">Sense Mortgage and </w:t>
      </w:r>
      <w:r w:rsidRPr="008F59EC">
        <w:rPr>
          <w:rFonts w:ascii="Arial" w:hAnsi="Arial" w:cs="Arial"/>
        </w:rPr>
        <w:t>Residential is strategically coherent, ethically grounded, and closely integrated with the firm’s operational and financial planning.</w:t>
      </w:r>
    </w:p>
    <w:p w14:paraId="77215D71" w14:textId="77777777" w:rsidR="008C7A21" w:rsidRPr="008F59EC" w:rsidRDefault="008C7A21" w:rsidP="0014211F">
      <w:pPr>
        <w:spacing w:line="360" w:lineRule="auto"/>
        <w:jc w:val="both"/>
        <w:rPr>
          <w:rFonts w:ascii="Arial" w:hAnsi="Arial" w:cs="Arial"/>
        </w:rPr>
      </w:pPr>
    </w:p>
    <w:p w14:paraId="747C4515" w14:textId="77777777" w:rsidR="008C7A21" w:rsidRPr="008F59EC" w:rsidRDefault="008C7A21" w:rsidP="0014211F">
      <w:pPr>
        <w:pBdr>
          <w:bottom w:val="single" w:sz="4" w:space="1" w:color="auto"/>
        </w:pBdr>
        <w:spacing w:line="360" w:lineRule="auto"/>
        <w:jc w:val="both"/>
        <w:rPr>
          <w:rFonts w:ascii="Arial" w:hAnsi="Arial" w:cs="Arial"/>
        </w:rPr>
      </w:pPr>
    </w:p>
    <w:p w14:paraId="05F9F078" w14:textId="77777777" w:rsidR="008C7A21" w:rsidRPr="008F59EC" w:rsidRDefault="008C7A21" w:rsidP="0014211F">
      <w:pPr>
        <w:spacing w:line="360" w:lineRule="auto"/>
        <w:jc w:val="both"/>
        <w:rPr>
          <w:rFonts w:ascii="Arial" w:hAnsi="Arial" w:cs="Arial"/>
        </w:rPr>
      </w:pPr>
    </w:p>
    <w:p w14:paraId="4D1D8A5F" w14:textId="77777777" w:rsidR="008C7A21" w:rsidRPr="008F59EC" w:rsidRDefault="008C7A21" w:rsidP="0014211F">
      <w:pPr>
        <w:spacing w:line="360" w:lineRule="auto"/>
        <w:jc w:val="both"/>
        <w:rPr>
          <w:rFonts w:ascii="Arial" w:hAnsi="Arial" w:cs="Arial"/>
        </w:rPr>
      </w:pPr>
    </w:p>
    <w:p w14:paraId="4A79842B" w14:textId="77777777" w:rsidR="008C7A21" w:rsidRPr="008F59EC" w:rsidRDefault="008C7A21" w:rsidP="0014211F">
      <w:pPr>
        <w:spacing w:line="360" w:lineRule="auto"/>
        <w:jc w:val="both"/>
        <w:rPr>
          <w:rFonts w:ascii="Arial" w:hAnsi="Arial" w:cs="Arial"/>
        </w:rPr>
      </w:pPr>
    </w:p>
    <w:p w14:paraId="2466B878" w14:textId="77777777" w:rsidR="00793836" w:rsidRPr="008F59EC" w:rsidRDefault="00793836" w:rsidP="0014211F">
      <w:pPr>
        <w:spacing w:line="360" w:lineRule="auto"/>
        <w:jc w:val="both"/>
        <w:rPr>
          <w:rFonts w:ascii="Arial" w:hAnsi="Arial" w:cs="Arial"/>
        </w:rPr>
      </w:pPr>
    </w:p>
    <w:p w14:paraId="22AB8335" w14:textId="246ACF10" w:rsidR="00E73F13" w:rsidRPr="008F59EC" w:rsidRDefault="00E73F13" w:rsidP="0014211F">
      <w:pPr>
        <w:spacing w:line="360" w:lineRule="auto"/>
        <w:jc w:val="both"/>
        <w:rPr>
          <w:rFonts w:ascii="Arial" w:hAnsi="Arial" w:cs="Arial"/>
        </w:rPr>
      </w:pPr>
    </w:p>
    <w:p w14:paraId="05DFD949" w14:textId="77777777" w:rsidR="00AC29CB" w:rsidRPr="008F59EC" w:rsidRDefault="00AC29CB" w:rsidP="0014211F">
      <w:pPr>
        <w:spacing w:line="360" w:lineRule="auto"/>
        <w:jc w:val="both"/>
        <w:rPr>
          <w:rFonts w:ascii="Arial" w:hAnsi="Arial" w:cs="Arial"/>
        </w:rPr>
      </w:pPr>
    </w:p>
    <w:p w14:paraId="3A0BD62A" w14:textId="77777777" w:rsidR="00AC29CB" w:rsidRPr="008F59EC" w:rsidRDefault="00AC29CB" w:rsidP="0014211F">
      <w:pPr>
        <w:spacing w:line="360" w:lineRule="auto"/>
        <w:jc w:val="both"/>
        <w:rPr>
          <w:rFonts w:ascii="Arial" w:hAnsi="Arial" w:cs="Arial"/>
        </w:rPr>
      </w:pPr>
    </w:p>
    <w:p w14:paraId="43A0BE2F" w14:textId="77777777" w:rsidR="00AC29CB" w:rsidRPr="008F59EC" w:rsidRDefault="00AC29CB" w:rsidP="0014211F">
      <w:pPr>
        <w:spacing w:line="360" w:lineRule="auto"/>
        <w:jc w:val="both"/>
        <w:rPr>
          <w:rFonts w:ascii="Arial" w:hAnsi="Arial" w:cs="Arial"/>
        </w:rPr>
      </w:pPr>
    </w:p>
    <w:p w14:paraId="6CF66217" w14:textId="77777777" w:rsidR="00AC29CB" w:rsidRPr="008F59EC" w:rsidRDefault="00AC29CB" w:rsidP="0014211F">
      <w:pPr>
        <w:spacing w:line="360" w:lineRule="auto"/>
        <w:jc w:val="both"/>
        <w:rPr>
          <w:rFonts w:ascii="Arial" w:hAnsi="Arial" w:cs="Arial"/>
        </w:rPr>
      </w:pPr>
    </w:p>
    <w:p w14:paraId="71E8E64C" w14:textId="77777777" w:rsidR="00AC29CB" w:rsidRPr="008F59EC" w:rsidRDefault="00AC29CB" w:rsidP="0014211F">
      <w:pPr>
        <w:spacing w:line="360" w:lineRule="auto"/>
        <w:jc w:val="both"/>
        <w:rPr>
          <w:rFonts w:ascii="Arial" w:hAnsi="Arial" w:cs="Arial"/>
        </w:rPr>
      </w:pPr>
    </w:p>
    <w:p w14:paraId="0D44EBA9" w14:textId="77777777" w:rsidR="00AC29CB" w:rsidRPr="008F59EC" w:rsidRDefault="00AC29CB" w:rsidP="0014211F">
      <w:pPr>
        <w:spacing w:line="360" w:lineRule="auto"/>
        <w:jc w:val="both"/>
        <w:rPr>
          <w:rFonts w:ascii="Arial" w:hAnsi="Arial" w:cs="Arial"/>
        </w:rPr>
      </w:pPr>
    </w:p>
    <w:p w14:paraId="3F78026F" w14:textId="77777777" w:rsidR="00AC29CB" w:rsidRPr="008F59EC" w:rsidRDefault="00AC29CB" w:rsidP="0014211F">
      <w:pPr>
        <w:spacing w:line="360" w:lineRule="auto"/>
        <w:jc w:val="both"/>
        <w:rPr>
          <w:rFonts w:ascii="Arial" w:hAnsi="Arial" w:cs="Arial"/>
        </w:rPr>
      </w:pPr>
    </w:p>
    <w:p w14:paraId="3FD6B299" w14:textId="77777777" w:rsidR="00AC29CB" w:rsidRPr="008F59EC" w:rsidRDefault="00AC29CB" w:rsidP="0014211F">
      <w:pPr>
        <w:spacing w:line="360" w:lineRule="auto"/>
        <w:jc w:val="both"/>
        <w:rPr>
          <w:rFonts w:ascii="Arial" w:hAnsi="Arial" w:cs="Arial"/>
        </w:rPr>
      </w:pPr>
    </w:p>
    <w:p w14:paraId="21FB4178" w14:textId="77777777" w:rsidR="00AC29CB" w:rsidRPr="008F59EC" w:rsidRDefault="00AC29CB" w:rsidP="0014211F">
      <w:pPr>
        <w:spacing w:line="360" w:lineRule="auto"/>
        <w:jc w:val="both"/>
        <w:rPr>
          <w:rFonts w:ascii="Arial" w:hAnsi="Arial" w:cs="Arial"/>
        </w:rPr>
      </w:pPr>
    </w:p>
    <w:p w14:paraId="13C4BE32" w14:textId="097D2B85" w:rsidR="00E73F13" w:rsidRPr="008F59EC" w:rsidRDefault="00E73F13" w:rsidP="0007190F">
      <w:pPr>
        <w:pStyle w:val="Heading1"/>
        <w:rPr>
          <w:rFonts w:ascii="Arial" w:hAnsi="Arial" w:cs="Arial"/>
        </w:rPr>
      </w:pPr>
      <w:bookmarkStart w:id="33" w:name="_Toc219926277"/>
      <w:r w:rsidRPr="008F59EC">
        <w:rPr>
          <w:rFonts w:ascii="Arial" w:hAnsi="Arial" w:cs="Arial"/>
        </w:rPr>
        <w:lastRenderedPageBreak/>
        <w:t>Chapter 5: Operational Plan</w:t>
      </w:r>
      <w:bookmarkEnd w:id="33"/>
    </w:p>
    <w:p w14:paraId="77556DB2" w14:textId="49B1B121" w:rsidR="00E73F13" w:rsidRPr="008F59EC" w:rsidRDefault="00E73F13" w:rsidP="0007190F">
      <w:pPr>
        <w:pStyle w:val="Heading2"/>
        <w:rPr>
          <w:rFonts w:ascii="Arial" w:hAnsi="Arial" w:cs="Arial"/>
        </w:rPr>
      </w:pPr>
      <w:bookmarkStart w:id="34" w:name="_Toc219926278"/>
      <w:r w:rsidRPr="008F59EC">
        <w:rPr>
          <w:rFonts w:ascii="Arial" w:hAnsi="Arial" w:cs="Arial"/>
        </w:rPr>
        <w:t>5.1 Introduction</w:t>
      </w:r>
      <w:bookmarkEnd w:id="34"/>
    </w:p>
    <w:p w14:paraId="235E4C2A" w14:textId="176893EF" w:rsidR="00E73F13" w:rsidRPr="008F59EC" w:rsidRDefault="00E73F13" w:rsidP="0014211F">
      <w:pPr>
        <w:spacing w:line="360" w:lineRule="auto"/>
        <w:jc w:val="both"/>
        <w:rPr>
          <w:rFonts w:ascii="Arial" w:hAnsi="Arial" w:cs="Arial"/>
        </w:rPr>
      </w:pPr>
      <w:r w:rsidRPr="008F59EC">
        <w:rPr>
          <w:rFonts w:ascii="Arial" w:hAnsi="Arial" w:cs="Arial"/>
        </w:rPr>
        <w:t xml:space="preserve">This chapter outlines how </w:t>
      </w:r>
      <w:r w:rsidR="00EC30AA" w:rsidRPr="008F59EC">
        <w:rPr>
          <w:rFonts w:ascii="Arial" w:hAnsi="Arial" w:cs="Arial"/>
        </w:rPr>
        <w:t xml:space="preserve">Sense Mortgage and </w:t>
      </w:r>
      <w:r w:rsidRPr="008F59EC">
        <w:rPr>
          <w:rFonts w:ascii="Arial" w:hAnsi="Arial" w:cs="Arial"/>
        </w:rPr>
        <w:t>Residential will operate on a day-to-day basis to deliver compliant, efficient, and client-focused mortgage advisory services. The operational plan explains the end-to-end service process, systems and technology used, compliance integration, quality control measures, and scalability considerations. The objective is to demonstrate that the business can translate its strategic positioning and marketing plans into consistent operational performance.</w:t>
      </w:r>
    </w:p>
    <w:p w14:paraId="739C9C87" w14:textId="77777777" w:rsidR="00E73F13" w:rsidRPr="008F59EC" w:rsidRDefault="00E73F13" w:rsidP="0014211F">
      <w:pPr>
        <w:spacing w:line="360" w:lineRule="auto"/>
        <w:jc w:val="both"/>
        <w:rPr>
          <w:rFonts w:ascii="Arial" w:hAnsi="Arial" w:cs="Arial"/>
        </w:rPr>
      </w:pPr>
    </w:p>
    <w:p w14:paraId="2EE4C403" w14:textId="7B5FFADA" w:rsidR="00E73F13" w:rsidRPr="008F59EC" w:rsidRDefault="00E73F13" w:rsidP="0007190F">
      <w:pPr>
        <w:pStyle w:val="Heading2"/>
        <w:rPr>
          <w:rFonts w:ascii="Arial" w:hAnsi="Arial" w:cs="Arial"/>
        </w:rPr>
      </w:pPr>
      <w:bookmarkStart w:id="35" w:name="_Toc219926279"/>
      <w:r w:rsidRPr="008F59EC">
        <w:rPr>
          <w:rFonts w:ascii="Arial" w:hAnsi="Arial" w:cs="Arial"/>
        </w:rPr>
        <w:t>5.2 Service Delivery Model</w:t>
      </w:r>
      <w:bookmarkEnd w:id="35"/>
    </w:p>
    <w:p w14:paraId="194065E2" w14:textId="21FFEB3A" w:rsidR="00E73F13" w:rsidRPr="008F59EC" w:rsidRDefault="00EC30AA" w:rsidP="0014211F">
      <w:pPr>
        <w:spacing w:line="360" w:lineRule="auto"/>
        <w:jc w:val="both"/>
        <w:rPr>
          <w:rFonts w:ascii="Arial" w:hAnsi="Arial" w:cs="Arial"/>
        </w:rPr>
      </w:pPr>
      <w:r w:rsidRPr="008F59EC">
        <w:rPr>
          <w:rFonts w:ascii="Arial" w:hAnsi="Arial" w:cs="Arial"/>
        </w:rPr>
        <w:t xml:space="preserve">Sense Mortgage and </w:t>
      </w:r>
      <w:r w:rsidR="00E73F13" w:rsidRPr="008F59EC">
        <w:rPr>
          <w:rFonts w:ascii="Arial" w:hAnsi="Arial" w:cs="Arial"/>
        </w:rPr>
        <w:t>Residential operates an adviser-led, hybrid service delivery model. Clients engage with the business through digital channels for initial enquiries, document submission, and communication, while regulated mortgage advice is delivered through structured adviser appointments. This model balances efficiency with personal interaction, reflecting consumer preference for hybrid advisory services identified in the market research.</w:t>
      </w:r>
    </w:p>
    <w:p w14:paraId="56914AD2" w14:textId="77777777" w:rsidR="00E73F13" w:rsidRPr="008F59EC" w:rsidRDefault="00E73F13" w:rsidP="0014211F">
      <w:pPr>
        <w:spacing w:line="360" w:lineRule="auto"/>
        <w:jc w:val="both"/>
        <w:rPr>
          <w:rFonts w:ascii="Arial" w:hAnsi="Arial" w:cs="Arial"/>
        </w:rPr>
      </w:pPr>
    </w:p>
    <w:p w14:paraId="19A02CBE" w14:textId="1EF02B37" w:rsidR="00E73F13" w:rsidRPr="008F59EC" w:rsidRDefault="00E73F13" w:rsidP="0014211F">
      <w:pPr>
        <w:spacing w:line="360" w:lineRule="auto"/>
        <w:jc w:val="both"/>
        <w:rPr>
          <w:rFonts w:ascii="Arial" w:hAnsi="Arial" w:cs="Arial"/>
        </w:rPr>
      </w:pPr>
      <w:r w:rsidRPr="008F59EC">
        <w:rPr>
          <w:rFonts w:ascii="Arial" w:hAnsi="Arial" w:cs="Arial"/>
        </w:rPr>
        <w:t>The service model supports accessibility and flexibility, allowing clients to interact remotely while maintaining a high standard of personalised advice. This approach also enables the business to serve a wider geographic area without the overheads associated with physical branch operations.</w:t>
      </w:r>
    </w:p>
    <w:p w14:paraId="7074C1DB" w14:textId="77777777" w:rsidR="005502DD" w:rsidRPr="008F59EC" w:rsidRDefault="005502DD" w:rsidP="0014211F">
      <w:pPr>
        <w:spacing w:line="360" w:lineRule="auto"/>
        <w:jc w:val="both"/>
        <w:rPr>
          <w:rFonts w:ascii="Arial" w:hAnsi="Arial" w:cs="Arial"/>
        </w:rPr>
      </w:pPr>
    </w:p>
    <w:p w14:paraId="5512C813" w14:textId="63330D75" w:rsidR="005502DD" w:rsidRPr="008F59EC" w:rsidRDefault="005502DD" w:rsidP="0007190F">
      <w:pPr>
        <w:pStyle w:val="Heading2"/>
        <w:rPr>
          <w:rFonts w:ascii="Arial" w:hAnsi="Arial" w:cs="Arial"/>
        </w:rPr>
      </w:pPr>
      <w:bookmarkStart w:id="36" w:name="_Toc219926280"/>
      <w:r w:rsidRPr="008F59EC">
        <w:rPr>
          <w:rFonts w:ascii="Arial" w:hAnsi="Arial" w:cs="Arial"/>
        </w:rPr>
        <w:t>5.3 End-to-End Operational Process</w:t>
      </w:r>
      <w:bookmarkEnd w:id="36"/>
    </w:p>
    <w:p w14:paraId="281FC0A2" w14:textId="39F6B546" w:rsidR="005502DD" w:rsidRPr="008F59EC" w:rsidRDefault="005502DD" w:rsidP="0014211F">
      <w:pPr>
        <w:spacing w:line="360" w:lineRule="auto"/>
        <w:jc w:val="both"/>
        <w:rPr>
          <w:rFonts w:ascii="Arial" w:hAnsi="Arial" w:cs="Arial"/>
        </w:rPr>
      </w:pPr>
      <w:r w:rsidRPr="008F59EC">
        <w:rPr>
          <w:rFonts w:ascii="Arial" w:hAnsi="Arial" w:cs="Arial"/>
        </w:rPr>
        <w:t>The operational workflow follows a structured and compliant process aligned with FCA requirements:</w:t>
      </w:r>
    </w:p>
    <w:p w14:paraId="652DD453" w14:textId="1C520F69" w:rsidR="005502DD" w:rsidRPr="008F59EC" w:rsidRDefault="006443AE" w:rsidP="0014211F">
      <w:pPr>
        <w:spacing w:line="360" w:lineRule="auto"/>
        <w:jc w:val="both"/>
        <w:rPr>
          <w:rFonts w:ascii="Arial" w:hAnsi="Arial" w:cs="Arial"/>
        </w:rPr>
      </w:pPr>
      <w:r w:rsidRPr="008F59EC">
        <w:rPr>
          <w:rFonts w:ascii="Arial" w:hAnsi="Arial" w:cs="Arial"/>
        </w:rPr>
        <w:t>1.</w:t>
      </w:r>
      <w:r w:rsidR="005502DD" w:rsidRPr="008F59EC">
        <w:rPr>
          <w:rFonts w:ascii="Arial" w:hAnsi="Arial" w:cs="Arial"/>
        </w:rPr>
        <w:t>Lead Receipt and Initial Enquiry</w:t>
      </w:r>
    </w:p>
    <w:p w14:paraId="2A376D50" w14:textId="77777777" w:rsidR="005502DD" w:rsidRPr="008F59EC" w:rsidRDefault="005502DD" w:rsidP="0014211F">
      <w:pPr>
        <w:spacing w:line="360" w:lineRule="auto"/>
        <w:jc w:val="both"/>
        <w:rPr>
          <w:rFonts w:ascii="Arial" w:hAnsi="Arial" w:cs="Arial"/>
        </w:rPr>
      </w:pPr>
      <w:r w:rsidRPr="008F59EC">
        <w:rPr>
          <w:rFonts w:ascii="Arial" w:hAnsi="Arial" w:cs="Arial"/>
        </w:rPr>
        <w:t>Enquiries are received via digital marketing channels, referrals, or repeat clients. Initial screening ensures that enquiries fall within the firm’s advice scope.</w:t>
      </w:r>
    </w:p>
    <w:p w14:paraId="2B6964E3" w14:textId="77777777" w:rsidR="005502DD" w:rsidRPr="008F59EC" w:rsidRDefault="005502DD" w:rsidP="0014211F">
      <w:pPr>
        <w:spacing w:line="360" w:lineRule="auto"/>
        <w:jc w:val="both"/>
        <w:rPr>
          <w:rFonts w:ascii="Arial" w:hAnsi="Arial" w:cs="Arial"/>
        </w:rPr>
      </w:pPr>
    </w:p>
    <w:p w14:paraId="0550359B" w14:textId="76A31E58" w:rsidR="005502DD" w:rsidRPr="008F59EC" w:rsidRDefault="006443AE" w:rsidP="0014211F">
      <w:pPr>
        <w:spacing w:line="360" w:lineRule="auto"/>
        <w:jc w:val="both"/>
        <w:rPr>
          <w:rFonts w:ascii="Arial" w:hAnsi="Arial" w:cs="Arial"/>
        </w:rPr>
      </w:pPr>
      <w:r w:rsidRPr="008F59EC">
        <w:rPr>
          <w:rFonts w:ascii="Arial" w:hAnsi="Arial" w:cs="Arial"/>
        </w:rPr>
        <w:lastRenderedPageBreak/>
        <w:t>2.</w:t>
      </w:r>
      <w:r w:rsidR="005502DD" w:rsidRPr="008F59EC">
        <w:rPr>
          <w:rFonts w:ascii="Arial" w:hAnsi="Arial" w:cs="Arial"/>
        </w:rPr>
        <w:t>Fact-Finding and Affordability Assessment</w:t>
      </w:r>
    </w:p>
    <w:p w14:paraId="71252651" w14:textId="77777777" w:rsidR="005502DD" w:rsidRPr="008F59EC" w:rsidRDefault="005502DD" w:rsidP="0014211F">
      <w:pPr>
        <w:spacing w:line="360" w:lineRule="auto"/>
        <w:jc w:val="both"/>
        <w:rPr>
          <w:rFonts w:ascii="Arial" w:hAnsi="Arial" w:cs="Arial"/>
        </w:rPr>
      </w:pPr>
      <w:r w:rsidRPr="008F59EC">
        <w:rPr>
          <w:rFonts w:ascii="Arial" w:hAnsi="Arial" w:cs="Arial"/>
        </w:rPr>
        <w:t>Clients complete a regulated fact find, supported by document collection and affordability analysis. This stage ensures suitability and compliance before any recommendation is made.</w:t>
      </w:r>
    </w:p>
    <w:p w14:paraId="393BD54E" w14:textId="77777777" w:rsidR="005502DD" w:rsidRPr="008F59EC" w:rsidRDefault="005502DD" w:rsidP="0014211F">
      <w:pPr>
        <w:spacing w:line="360" w:lineRule="auto"/>
        <w:jc w:val="both"/>
        <w:rPr>
          <w:rFonts w:ascii="Arial" w:hAnsi="Arial" w:cs="Arial"/>
        </w:rPr>
      </w:pPr>
    </w:p>
    <w:p w14:paraId="4772F01F" w14:textId="4A5CF9D6" w:rsidR="005502DD" w:rsidRPr="008F59EC" w:rsidRDefault="006443AE" w:rsidP="0014211F">
      <w:pPr>
        <w:spacing w:line="360" w:lineRule="auto"/>
        <w:jc w:val="both"/>
        <w:rPr>
          <w:rFonts w:ascii="Arial" w:hAnsi="Arial" w:cs="Arial"/>
        </w:rPr>
      </w:pPr>
      <w:r w:rsidRPr="008F59EC">
        <w:rPr>
          <w:rFonts w:ascii="Arial" w:hAnsi="Arial" w:cs="Arial"/>
        </w:rPr>
        <w:t>3.</w:t>
      </w:r>
      <w:r w:rsidR="005502DD" w:rsidRPr="008F59EC">
        <w:rPr>
          <w:rFonts w:ascii="Arial" w:hAnsi="Arial" w:cs="Arial"/>
        </w:rPr>
        <w:t>Adviser Recommendation and Application</w:t>
      </w:r>
    </w:p>
    <w:p w14:paraId="1F72A67C" w14:textId="77777777" w:rsidR="005502DD" w:rsidRPr="008F59EC" w:rsidRDefault="005502DD" w:rsidP="0014211F">
      <w:pPr>
        <w:spacing w:line="360" w:lineRule="auto"/>
        <w:jc w:val="both"/>
        <w:rPr>
          <w:rFonts w:ascii="Arial" w:hAnsi="Arial" w:cs="Arial"/>
        </w:rPr>
      </w:pPr>
      <w:r w:rsidRPr="008F59EC">
        <w:rPr>
          <w:rFonts w:ascii="Arial" w:hAnsi="Arial" w:cs="Arial"/>
        </w:rPr>
        <w:t>Suitable mortgage options are identified and explained clearly to the client. Applications are submitted to lenders following client consent.</w:t>
      </w:r>
    </w:p>
    <w:p w14:paraId="0C69B8FE" w14:textId="77777777" w:rsidR="005502DD" w:rsidRPr="008F59EC" w:rsidRDefault="005502DD" w:rsidP="0014211F">
      <w:pPr>
        <w:spacing w:line="360" w:lineRule="auto"/>
        <w:jc w:val="both"/>
        <w:rPr>
          <w:rFonts w:ascii="Arial" w:hAnsi="Arial" w:cs="Arial"/>
        </w:rPr>
      </w:pPr>
    </w:p>
    <w:p w14:paraId="4EEAA8DC" w14:textId="746177D5" w:rsidR="005502DD" w:rsidRPr="008F59EC" w:rsidRDefault="006443AE" w:rsidP="0014211F">
      <w:pPr>
        <w:spacing w:line="360" w:lineRule="auto"/>
        <w:jc w:val="both"/>
        <w:rPr>
          <w:rFonts w:ascii="Arial" w:hAnsi="Arial" w:cs="Arial"/>
        </w:rPr>
      </w:pPr>
      <w:r w:rsidRPr="008F59EC">
        <w:rPr>
          <w:rFonts w:ascii="Arial" w:hAnsi="Arial" w:cs="Arial"/>
        </w:rPr>
        <w:t>4.</w:t>
      </w:r>
      <w:r w:rsidR="005502DD" w:rsidRPr="008F59EC">
        <w:rPr>
          <w:rFonts w:ascii="Arial" w:hAnsi="Arial" w:cs="Arial"/>
        </w:rPr>
        <w:t>Offer, Completion, and Aftercare</w:t>
      </w:r>
    </w:p>
    <w:p w14:paraId="1B5CEFCB" w14:textId="77777777" w:rsidR="005502DD" w:rsidRPr="008F59EC" w:rsidRDefault="005502DD" w:rsidP="0014211F">
      <w:pPr>
        <w:spacing w:line="360" w:lineRule="auto"/>
        <w:jc w:val="both"/>
        <w:rPr>
          <w:rFonts w:ascii="Arial" w:hAnsi="Arial" w:cs="Arial"/>
        </w:rPr>
      </w:pPr>
      <w:r w:rsidRPr="008F59EC">
        <w:rPr>
          <w:rFonts w:ascii="Arial" w:hAnsi="Arial" w:cs="Arial"/>
        </w:rPr>
        <w:t>Once a mortgage offer is issued, the adviser supports the client through to completion and provides ongoing aftercare, including future remortgage reminders.</w:t>
      </w:r>
    </w:p>
    <w:p w14:paraId="771E5F18" w14:textId="77777777" w:rsidR="00AC29CB" w:rsidRPr="008F59EC" w:rsidRDefault="00AC29CB" w:rsidP="0014211F">
      <w:pPr>
        <w:spacing w:line="360" w:lineRule="auto"/>
        <w:jc w:val="both"/>
        <w:rPr>
          <w:rFonts w:ascii="Arial" w:hAnsi="Arial" w:cs="Arial"/>
        </w:rPr>
      </w:pPr>
    </w:p>
    <w:p w14:paraId="53B3E964" w14:textId="34060A37" w:rsidR="00AC29CB" w:rsidRPr="008F59EC" w:rsidRDefault="00F8147B" w:rsidP="0014211F">
      <w:pPr>
        <w:spacing w:line="360" w:lineRule="auto"/>
        <w:jc w:val="both"/>
        <w:rPr>
          <w:rFonts w:ascii="Arial" w:hAnsi="Arial" w:cs="Arial"/>
          <w:i/>
          <w:iCs/>
        </w:rPr>
      </w:pPr>
      <w:r w:rsidRPr="008F59EC">
        <w:rPr>
          <w:rFonts w:ascii="Arial" w:hAnsi="Arial" w:cs="Arial"/>
          <w:noProof/>
          <w:bdr w:val="single" w:sz="4" w:space="0" w:color="auto"/>
        </w:rPr>
        <w:drawing>
          <wp:inline distT="0" distB="0" distL="0" distR="0" wp14:anchorId="73EF9672" wp14:editId="3B0BAE25">
            <wp:extent cx="5731510" cy="3533775"/>
            <wp:effectExtent l="0" t="0" r="0" b="0"/>
            <wp:docPr id="154948878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rsidR="00AC29CB" w:rsidRPr="008F59EC">
        <w:rPr>
          <w:rFonts w:ascii="Arial" w:hAnsi="Arial" w:cs="Arial"/>
          <w:i/>
          <w:iCs/>
        </w:rPr>
        <w:t xml:space="preserve">Figure: Operational Process Diagram </w:t>
      </w:r>
    </w:p>
    <w:p w14:paraId="44F22FBD" w14:textId="792BABE6" w:rsidR="00154E0A" w:rsidRPr="008F59EC" w:rsidRDefault="00154E0A" w:rsidP="0014211F">
      <w:pPr>
        <w:spacing w:line="360" w:lineRule="auto"/>
        <w:jc w:val="both"/>
        <w:rPr>
          <w:rFonts w:ascii="Arial" w:hAnsi="Arial" w:cs="Arial"/>
          <w:i/>
          <w:iCs/>
        </w:rPr>
      </w:pPr>
      <w:r w:rsidRPr="008F59EC">
        <w:rPr>
          <w:rFonts w:ascii="Arial" w:hAnsi="Arial" w:cs="Arial"/>
          <w:i/>
          <w:iCs/>
        </w:rPr>
        <w:t xml:space="preserve">Author </w:t>
      </w:r>
      <w:r w:rsidR="008B33B2" w:rsidRPr="008F59EC">
        <w:rPr>
          <w:rFonts w:ascii="Arial" w:hAnsi="Arial" w:cs="Arial"/>
          <w:i/>
          <w:iCs/>
        </w:rPr>
        <w:t xml:space="preserve">Illustration, </w:t>
      </w:r>
      <w:r w:rsidR="00103A5D" w:rsidRPr="008F59EC">
        <w:rPr>
          <w:rFonts w:ascii="Arial" w:hAnsi="Arial" w:cs="Arial"/>
          <w:i/>
          <w:iCs/>
        </w:rPr>
        <w:t>(2025</w:t>
      </w:r>
      <w:r w:rsidR="006744D4" w:rsidRPr="008F59EC">
        <w:rPr>
          <w:rFonts w:ascii="Arial" w:hAnsi="Arial" w:cs="Arial"/>
          <w:i/>
          <w:iCs/>
        </w:rPr>
        <w:t>)</w:t>
      </w:r>
    </w:p>
    <w:p w14:paraId="7C19A461" w14:textId="4ADB19D5" w:rsidR="005502DD" w:rsidRPr="008F59EC" w:rsidRDefault="005502DD" w:rsidP="0014211F">
      <w:pPr>
        <w:spacing w:line="360" w:lineRule="auto"/>
        <w:jc w:val="both"/>
        <w:rPr>
          <w:rFonts w:ascii="Arial" w:hAnsi="Arial" w:cs="Arial"/>
        </w:rPr>
      </w:pPr>
      <w:r w:rsidRPr="008F59EC">
        <w:rPr>
          <w:rFonts w:ascii="Arial" w:hAnsi="Arial" w:cs="Arial"/>
        </w:rPr>
        <w:lastRenderedPageBreak/>
        <w:t>This structured process supports both regulatory compliance and consistent customer experience.</w:t>
      </w:r>
    </w:p>
    <w:p w14:paraId="47CCDCBB" w14:textId="2A8864BB" w:rsidR="007003F7" w:rsidRPr="008F59EC" w:rsidRDefault="007003F7" w:rsidP="0014211F">
      <w:pPr>
        <w:spacing w:line="360" w:lineRule="auto"/>
        <w:jc w:val="both"/>
        <w:rPr>
          <w:rFonts w:ascii="Arial" w:hAnsi="Arial" w:cs="Arial"/>
        </w:rPr>
      </w:pPr>
      <w:r w:rsidRPr="008F59EC">
        <w:rPr>
          <w:rFonts w:ascii="Arial" w:hAnsi="Arial" w:cs="Arial"/>
        </w:rPr>
        <w:t xml:space="preserve">To ensure consistent service delivery and manage client expectations, </w:t>
      </w:r>
      <w:r w:rsidR="00EC30AA" w:rsidRPr="008F59EC">
        <w:rPr>
          <w:rFonts w:ascii="Arial" w:hAnsi="Arial" w:cs="Arial"/>
        </w:rPr>
        <w:t>Sense Mortgage and</w:t>
      </w:r>
      <w:r w:rsidRPr="008F59EC">
        <w:rPr>
          <w:rFonts w:ascii="Arial" w:hAnsi="Arial" w:cs="Arial"/>
        </w:rPr>
        <w:t xml:space="preserve"> Residential adopts structured service timelines aligned with industry best practice. From initial enquiry to mortgage completion, cases are managed through clearly defined stages, each with indicative turnaround targets. Initial client contact and fact-finding are expected to be completed within five working days, subject to client responsiveness. Mortgage recommendations and application submissions typically follow within a further five to seven working days, depending on case complexity and lender requirements.</w:t>
      </w:r>
    </w:p>
    <w:p w14:paraId="193CD597" w14:textId="77777777" w:rsidR="007003F7" w:rsidRPr="008F59EC" w:rsidRDefault="007003F7" w:rsidP="0014211F">
      <w:pPr>
        <w:spacing w:line="360" w:lineRule="auto"/>
        <w:jc w:val="both"/>
        <w:rPr>
          <w:rFonts w:ascii="Arial" w:hAnsi="Arial" w:cs="Arial"/>
        </w:rPr>
      </w:pPr>
    </w:p>
    <w:p w14:paraId="2B394BD7" w14:textId="30D48714" w:rsidR="00744E4D" w:rsidRPr="008F59EC" w:rsidRDefault="007003F7" w:rsidP="0014211F">
      <w:pPr>
        <w:spacing w:line="360" w:lineRule="auto"/>
        <w:jc w:val="both"/>
        <w:rPr>
          <w:rFonts w:ascii="Arial" w:hAnsi="Arial" w:cs="Arial"/>
        </w:rPr>
      </w:pPr>
      <w:r w:rsidRPr="008F59EC">
        <w:rPr>
          <w:rFonts w:ascii="Arial" w:hAnsi="Arial" w:cs="Arial"/>
        </w:rPr>
        <w:t>Establishing clear service standards supports operational efficiency and improves customer satisfaction, particularly in a market where delays and uncertainty are common concerns (FCA, 2023). These timelines also allow for effective workload planning and ensure that adviser capacity remains aligned with case volumes. While external factors such as lender processing times and solicitor actions remain outside the firm’s direct control, proactive communication ensures transparency throughout the process.</w:t>
      </w:r>
    </w:p>
    <w:p w14:paraId="63E21B58" w14:textId="77777777" w:rsidR="00EC3236" w:rsidRPr="008F59EC" w:rsidRDefault="00EC3236" w:rsidP="0007190F">
      <w:pPr>
        <w:pStyle w:val="Heading2"/>
        <w:rPr>
          <w:rFonts w:ascii="Arial" w:hAnsi="Arial" w:cs="Arial"/>
        </w:rPr>
      </w:pPr>
      <w:bookmarkStart w:id="37" w:name="_Toc219926281"/>
      <w:r w:rsidRPr="008F59EC">
        <w:rPr>
          <w:rFonts w:ascii="Arial" w:hAnsi="Arial" w:cs="Arial"/>
        </w:rPr>
        <w:t>5.4 Systems, Technology, and Digital Infrastructure</w:t>
      </w:r>
      <w:bookmarkEnd w:id="37"/>
    </w:p>
    <w:p w14:paraId="743FDC67" w14:textId="17F5861D" w:rsidR="00EC3236" w:rsidRPr="008F59EC" w:rsidRDefault="00EC3236" w:rsidP="0014211F">
      <w:pPr>
        <w:spacing w:line="360" w:lineRule="auto"/>
        <w:jc w:val="both"/>
        <w:rPr>
          <w:rFonts w:ascii="Arial" w:hAnsi="Arial" w:cs="Arial"/>
        </w:rPr>
      </w:pPr>
      <w:r w:rsidRPr="008F59EC">
        <w:rPr>
          <w:rFonts w:ascii="Arial" w:hAnsi="Arial" w:cs="Arial"/>
        </w:rPr>
        <w:t>Operational efficiency is supported using digital systems, including customer relationship management (CRM) software, document upload portals, lender sourcing systems, and secure communication tools. These systems improve case tracking, reduce administrative errors, and ensure accurate record-keeping.</w:t>
      </w:r>
    </w:p>
    <w:p w14:paraId="50F748AA" w14:textId="77777777" w:rsidR="00EC3236" w:rsidRPr="008F59EC" w:rsidRDefault="00EC3236" w:rsidP="0014211F">
      <w:pPr>
        <w:spacing w:line="360" w:lineRule="auto"/>
        <w:jc w:val="both"/>
        <w:rPr>
          <w:rFonts w:ascii="Arial" w:hAnsi="Arial" w:cs="Arial"/>
        </w:rPr>
      </w:pPr>
      <w:r w:rsidRPr="008F59EC">
        <w:rPr>
          <w:rFonts w:ascii="Arial" w:hAnsi="Arial" w:cs="Arial"/>
        </w:rPr>
        <w:t>Digital tools also support compliance by maintaining audit trails and enabling secure storage of client data in accordance with UK GDPR requirements. The adoption of cloud-based systems allows operational scalability as case volumes increase without proportionate increases in overheads.</w:t>
      </w:r>
    </w:p>
    <w:p w14:paraId="025D02C4" w14:textId="77777777" w:rsidR="006744D4" w:rsidRPr="008F59EC" w:rsidRDefault="006744D4" w:rsidP="0014211F">
      <w:pPr>
        <w:spacing w:line="360" w:lineRule="auto"/>
        <w:jc w:val="both"/>
        <w:rPr>
          <w:rFonts w:ascii="Arial" w:hAnsi="Arial" w:cs="Arial"/>
        </w:rPr>
      </w:pPr>
    </w:p>
    <w:p w14:paraId="3C6537D5" w14:textId="77777777" w:rsidR="006744D4" w:rsidRPr="008F59EC" w:rsidRDefault="006744D4" w:rsidP="0014211F">
      <w:pPr>
        <w:spacing w:line="360" w:lineRule="auto"/>
        <w:jc w:val="both"/>
        <w:rPr>
          <w:rFonts w:ascii="Arial" w:hAnsi="Arial" w:cs="Arial"/>
        </w:rPr>
      </w:pPr>
    </w:p>
    <w:p w14:paraId="4E0E917D" w14:textId="77777777" w:rsidR="006744D4" w:rsidRPr="008F59EC" w:rsidRDefault="006744D4" w:rsidP="0014211F">
      <w:pPr>
        <w:spacing w:line="360" w:lineRule="auto"/>
        <w:jc w:val="both"/>
        <w:rPr>
          <w:rFonts w:ascii="Arial" w:hAnsi="Arial" w:cs="Arial"/>
        </w:rPr>
      </w:pPr>
    </w:p>
    <w:p w14:paraId="01CF7807" w14:textId="121BC2D8" w:rsidR="00E12E2C" w:rsidRPr="008F59EC" w:rsidRDefault="00E12E2C" w:rsidP="0014211F">
      <w:pPr>
        <w:spacing w:line="360" w:lineRule="auto"/>
        <w:jc w:val="both"/>
        <w:rPr>
          <w:rFonts w:ascii="Arial" w:hAnsi="Arial" w:cs="Arial"/>
        </w:rPr>
      </w:pPr>
      <w:r w:rsidRPr="008F59EC">
        <w:rPr>
          <w:rFonts w:ascii="Arial" w:hAnsi="Arial" w:cs="Arial"/>
        </w:rPr>
        <w:lastRenderedPageBreak/>
        <w:t>The firm’s infrastructure includes:</w:t>
      </w:r>
    </w:p>
    <w:p w14:paraId="16A41FB5" w14:textId="77777777" w:rsidR="00367B62" w:rsidRPr="008F59EC" w:rsidRDefault="00367B62" w:rsidP="0014211F">
      <w:pPr>
        <w:spacing w:line="360" w:lineRule="auto"/>
        <w:jc w:val="both"/>
        <w:rPr>
          <w:rFonts w:ascii="Arial" w:hAnsi="Arial" w:cs="Arial"/>
        </w:rPr>
      </w:pPr>
      <w:r w:rsidRPr="008F59EC">
        <w:rPr>
          <w:rFonts w:ascii="Arial" w:hAnsi="Arial" w:cs="Arial"/>
          <w:noProof/>
          <w:bdr w:val="single" w:sz="4" w:space="0" w:color="auto"/>
        </w:rPr>
        <w:drawing>
          <wp:inline distT="0" distB="0" distL="0" distR="0" wp14:anchorId="316110B0" wp14:editId="73C9F0AC">
            <wp:extent cx="5471160" cy="2758440"/>
            <wp:effectExtent l="0" t="0" r="15240" b="0"/>
            <wp:docPr id="2036272693"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D9176E2" w14:textId="3CCBA751" w:rsidR="005231C1" w:rsidRPr="008F59EC" w:rsidRDefault="005231C1" w:rsidP="0014211F">
      <w:pPr>
        <w:spacing w:line="360" w:lineRule="auto"/>
        <w:jc w:val="both"/>
        <w:rPr>
          <w:rFonts w:ascii="Arial" w:hAnsi="Arial" w:cs="Arial"/>
        </w:rPr>
      </w:pPr>
      <w:r w:rsidRPr="008F59EC">
        <w:rPr>
          <w:rFonts w:ascii="Arial" w:hAnsi="Arial" w:cs="Arial"/>
        </w:rPr>
        <w:t xml:space="preserve">Accurate record-keeping is a critical operational requirement within regulated financial services. </w:t>
      </w:r>
      <w:r w:rsidR="00EC30AA" w:rsidRPr="008F59EC">
        <w:rPr>
          <w:rFonts w:ascii="Arial" w:hAnsi="Arial" w:cs="Arial"/>
        </w:rPr>
        <w:t xml:space="preserve">Sense Mortgage and Residential </w:t>
      </w:r>
      <w:r w:rsidRPr="008F59EC">
        <w:rPr>
          <w:rFonts w:ascii="Arial" w:hAnsi="Arial" w:cs="Arial"/>
        </w:rPr>
        <w:t>maintains comprehensive digital records for each client, including fact finds, suitability assessments, correspondence, and lender documentation. These records are stored securely using cloud-based systems that support audit readiness and regulatory review.</w:t>
      </w:r>
    </w:p>
    <w:p w14:paraId="008AA9F3" w14:textId="77777777" w:rsidR="005231C1" w:rsidRPr="008F59EC" w:rsidRDefault="005231C1" w:rsidP="0014211F">
      <w:pPr>
        <w:spacing w:line="360" w:lineRule="auto"/>
        <w:jc w:val="both"/>
        <w:rPr>
          <w:rFonts w:ascii="Arial" w:hAnsi="Arial" w:cs="Arial"/>
        </w:rPr>
      </w:pPr>
    </w:p>
    <w:p w14:paraId="23F66C64" w14:textId="62A68DD7" w:rsidR="00D57DDC" w:rsidRPr="008F59EC" w:rsidRDefault="005231C1" w:rsidP="0014211F">
      <w:pPr>
        <w:spacing w:line="360" w:lineRule="auto"/>
        <w:jc w:val="both"/>
        <w:rPr>
          <w:rFonts w:ascii="Arial" w:hAnsi="Arial" w:cs="Arial"/>
        </w:rPr>
      </w:pPr>
      <w:r w:rsidRPr="008F59EC">
        <w:rPr>
          <w:rFonts w:ascii="Arial" w:hAnsi="Arial" w:cs="Arial"/>
        </w:rPr>
        <w:t>Maintaining structured and accessible records supports compliance with FCA requirements and UK GDPR obligations, ensuring that personal data is processed lawfully and securely (ICO, 2023). Audit readiness is further supported through consistent file structuring and version control, enabling efficient internal reviews and network compliance checks. This approach reduces regulatory risk and supports accountability across all stages of the advice process.</w:t>
      </w:r>
    </w:p>
    <w:p w14:paraId="65715A7F" w14:textId="4187D032" w:rsidR="00197E94" w:rsidRPr="008F59EC" w:rsidRDefault="00197E94" w:rsidP="0007190F">
      <w:pPr>
        <w:pStyle w:val="Heading2"/>
        <w:rPr>
          <w:rFonts w:ascii="Arial" w:hAnsi="Arial" w:cs="Arial"/>
        </w:rPr>
      </w:pPr>
      <w:bookmarkStart w:id="38" w:name="_Toc219926282"/>
      <w:r w:rsidRPr="008F59EC">
        <w:rPr>
          <w:rFonts w:ascii="Arial" w:hAnsi="Arial" w:cs="Arial"/>
        </w:rPr>
        <w:t>5.</w:t>
      </w:r>
      <w:r w:rsidR="00A907AF" w:rsidRPr="008F59EC">
        <w:rPr>
          <w:rFonts w:ascii="Arial" w:hAnsi="Arial" w:cs="Arial"/>
        </w:rPr>
        <w:t>5</w:t>
      </w:r>
      <w:r w:rsidRPr="008F59EC">
        <w:rPr>
          <w:rFonts w:ascii="Arial" w:hAnsi="Arial" w:cs="Arial"/>
        </w:rPr>
        <w:t xml:space="preserve"> Operational Capacity and Scalability</w:t>
      </w:r>
      <w:bookmarkEnd w:id="38"/>
    </w:p>
    <w:p w14:paraId="48A9B3BF" w14:textId="77777777" w:rsidR="00197E94" w:rsidRPr="008F59EC" w:rsidRDefault="00197E94" w:rsidP="0014211F">
      <w:pPr>
        <w:spacing w:line="360" w:lineRule="auto"/>
        <w:jc w:val="both"/>
        <w:rPr>
          <w:rFonts w:ascii="Arial" w:hAnsi="Arial" w:cs="Arial"/>
        </w:rPr>
      </w:pPr>
    </w:p>
    <w:p w14:paraId="316178A9" w14:textId="1C200A88" w:rsidR="00197E94" w:rsidRPr="008F59EC" w:rsidRDefault="00197E94" w:rsidP="0014211F">
      <w:pPr>
        <w:spacing w:line="360" w:lineRule="auto"/>
        <w:jc w:val="both"/>
        <w:rPr>
          <w:rFonts w:ascii="Arial" w:hAnsi="Arial" w:cs="Arial"/>
        </w:rPr>
      </w:pPr>
      <w:r w:rsidRPr="008F59EC">
        <w:rPr>
          <w:rFonts w:ascii="Arial" w:hAnsi="Arial" w:cs="Arial"/>
        </w:rPr>
        <w:t xml:space="preserve">The operational capacity of </w:t>
      </w:r>
      <w:r w:rsidR="00EC30AA" w:rsidRPr="008F59EC">
        <w:rPr>
          <w:rFonts w:ascii="Arial" w:hAnsi="Arial" w:cs="Arial"/>
        </w:rPr>
        <w:t xml:space="preserve">Sense Mortgage and </w:t>
      </w:r>
      <w:r w:rsidRPr="008F59EC">
        <w:rPr>
          <w:rFonts w:ascii="Arial" w:hAnsi="Arial" w:cs="Arial"/>
        </w:rPr>
        <w:t xml:space="preserve">Residential is designed to support phased and sustainable growth. During the initial stages of operation, case volumes are intentionally limited to ensure service quality, compliance consistency, and effective workload management. This approach reflects research suggesting that </w:t>
      </w:r>
      <w:r w:rsidRPr="008F59EC">
        <w:rPr>
          <w:rFonts w:ascii="Arial" w:hAnsi="Arial" w:cs="Arial"/>
        </w:rPr>
        <w:lastRenderedPageBreak/>
        <w:t>controlled growth reduces operational risk and enhances service reliability in professional service firms (McKinsey &amp; Company, 2023).</w:t>
      </w:r>
    </w:p>
    <w:p w14:paraId="035EAFCF" w14:textId="77777777" w:rsidR="00197E94" w:rsidRPr="008F59EC" w:rsidRDefault="00197E94" w:rsidP="0014211F">
      <w:pPr>
        <w:spacing w:line="360" w:lineRule="auto"/>
        <w:jc w:val="both"/>
        <w:rPr>
          <w:rFonts w:ascii="Arial" w:hAnsi="Arial" w:cs="Arial"/>
        </w:rPr>
      </w:pPr>
    </w:p>
    <w:p w14:paraId="559CD9D8" w14:textId="77777777" w:rsidR="00351428" w:rsidRPr="008F59EC" w:rsidRDefault="00197E94" w:rsidP="0014211F">
      <w:pPr>
        <w:spacing w:line="360" w:lineRule="auto"/>
        <w:jc w:val="both"/>
        <w:rPr>
          <w:rFonts w:ascii="Arial" w:hAnsi="Arial" w:cs="Arial"/>
        </w:rPr>
      </w:pPr>
      <w:r w:rsidRPr="008F59EC">
        <w:rPr>
          <w:rFonts w:ascii="Arial" w:hAnsi="Arial" w:cs="Arial"/>
        </w:rPr>
        <w:t xml:space="preserve">Scalability is achieved through process standardisation, increased use of digital systems, and selective outsourcing of administrative tasks as demand grows. Cloud-based CRM systems, document management platforms, and automated communications allow the business to manage higher case volumes without proportional increases in fixed costs. </w:t>
      </w:r>
    </w:p>
    <w:p w14:paraId="33F00DFB" w14:textId="5292D4F4" w:rsidR="00452E6E" w:rsidRPr="008F59EC" w:rsidRDefault="00452E6E" w:rsidP="0014211F">
      <w:pPr>
        <w:spacing w:line="360" w:lineRule="auto"/>
        <w:jc w:val="both"/>
        <w:rPr>
          <w:rFonts w:ascii="Arial" w:hAnsi="Arial" w:cs="Arial"/>
        </w:rPr>
      </w:pPr>
      <w:r w:rsidRPr="008F59EC">
        <w:rPr>
          <w:rFonts w:ascii="Arial" w:hAnsi="Arial" w:cs="Arial"/>
        </w:rPr>
        <w:t>The key advantages of integrating a CRM system include improved productivity, enhanced client communication, error reduction, and stronger compliance evidence (PwC, 2023). In addition, tools such as digital fact-finds, automated affordability calculators, client document portals, and email automation significantly reduce administrative workload</w:t>
      </w:r>
      <w:r w:rsidR="006744D4" w:rsidRPr="008F59EC">
        <w:rPr>
          <w:rFonts w:ascii="Arial" w:hAnsi="Arial" w:cs="Arial"/>
        </w:rPr>
        <w:t xml:space="preserve">. </w:t>
      </w:r>
      <w:r w:rsidRPr="008F59EC">
        <w:rPr>
          <w:rFonts w:ascii="Arial" w:hAnsi="Arial" w:cs="Arial"/>
        </w:rPr>
        <w:t xml:space="preserve">A simple table summarises the firm’s technology </w:t>
      </w:r>
      <w:r w:rsidR="00B02297" w:rsidRPr="008F59EC">
        <w:rPr>
          <w:rFonts w:ascii="Arial" w:hAnsi="Arial" w:cs="Arial"/>
        </w:rPr>
        <w:t>stack</w:t>
      </w:r>
      <w:r w:rsidR="006744D4" w:rsidRPr="008F59EC">
        <w:rPr>
          <w:rFonts w:ascii="Arial" w:hAnsi="Arial" w:cs="Arial"/>
        </w:rPr>
        <w:t xml:space="preserve"> below. </w:t>
      </w:r>
    </w:p>
    <w:p w14:paraId="46412E93" w14:textId="660083E8" w:rsidR="006744D4" w:rsidRPr="008F59EC" w:rsidRDefault="006744D4" w:rsidP="0014211F">
      <w:pPr>
        <w:spacing w:line="360" w:lineRule="auto"/>
        <w:jc w:val="both"/>
        <w:rPr>
          <w:rFonts w:ascii="Arial" w:hAnsi="Arial" w:cs="Arial"/>
        </w:rPr>
      </w:pPr>
      <w:r w:rsidRPr="008F59EC">
        <w:rPr>
          <w:rFonts w:ascii="Arial" w:hAnsi="Arial" w:cs="Arial"/>
        </w:rPr>
        <w:t xml:space="preserve">Table 4: Technology Systems Supporting Operations: </w:t>
      </w:r>
    </w:p>
    <w:tbl>
      <w:tblPr>
        <w:tblStyle w:val="GridTable5Dark-Accent4"/>
        <w:tblW w:w="9006" w:type="dxa"/>
        <w:tblLook w:val="04A0" w:firstRow="1" w:lastRow="0" w:firstColumn="1" w:lastColumn="0" w:noHBand="0" w:noVBand="1"/>
      </w:tblPr>
      <w:tblGrid>
        <w:gridCol w:w="2407"/>
        <w:gridCol w:w="3403"/>
        <w:gridCol w:w="3196"/>
      </w:tblGrid>
      <w:tr w:rsidR="00452E6E" w:rsidRPr="008F59EC" w14:paraId="134868A9" w14:textId="77777777" w:rsidTr="00452E6E">
        <w:trPr>
          <w:cnfStyle w:val="100000000000" w:firstRow="1" w:lastRow="0" w:firstColumn="0" w:lastColumn="0" w:oddVBand="0" w:evenVBand="0" w:oddHBand="0"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2407" w:type="dxa"/>
            <w:tcBorders>
              <w:top w:val="single" w:sz="4" w:space="0" w:color="auto"/>
              <w:left w:val="single" w:sz="4" w:space="0" w:color="auto"/>
            </w:tcBorders>
          </w:tcPr>
          <w:p w14:paraId="1B5528FB" w14:textId="77777777" w:rsidR="00452E6E" w:rsidRPr="008F59EC" w:rsidRDefault="00452E6E" w:rsidP="0014211F">
            <w:pPr>
              <w:spacing w:line="360" w:lineRule="auto"/>
              <w:jc w:val="both"/>
              <w:rPr>
                <w:rFonts w:ascii="Arial" w:hAnsi="Arial" w:cs="Arial"/>
              </w:rPr>
            </w:pPr>
            <w:r w:rsidRPr="008F59EC">
              <w:rPr>
                <w:rFonts w:ascii="Arial" w:hAnsi="Arial" w:cs="Arial"/>
              </w:rPr>
              <w:t>System / Tool</w:t>
            </w:r>
          </w:p>
        </w:tc>
        <w:tc>
          <w:tcPr>
            <w:tcW w:w="3403" w:type="dxa"/>
            <w:tcBorders>
              <w:top w:val="single" w:sz="4" w:space="0" w:color="auto"/>
            </w:tcBorders>
          </w:tcPr>
          <w:p w14:paraId="2D11F402" w14:textId="77777777" w:rsidR="00452E6E" w:rsidRPr="008F59EC" w:rsidRDefault="00452E6E" w:rsidP="0014211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Function</w:t>
            </w:r>
          </w:p>
        </w:tc>
        <w:tc>
          <w:tcPr>
            <w:tcW w:w="3196" w:type="dxa"/>
            <w:tcBorders>
              <w:top w:val="single" w:sz="4" w:space="0" w:color="auto"/>
              <w:right w:val="single" w:sz="4" w:space="0" w:color="auto"/>
            </w:tcBorders>
          </w:tcPr>
          <w:p w14:paraId="24CACDDD" w14:textId="77777777" w:rsidR="00452E6E" w:rsidRPr="008F59EC" w:rsidRDefault="00452E6E" w:rsidP="0014211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Source / Type</w:t>
            </w:r>
          </w:p>
        </w:tc>
      </w:tr>
      <w:tr w:rsidR="00452E6E" w:rsidRPr="008F59EC" w14:paraId="4AFD7920" w14:textId="77777777" w:rsidTr="00452E6E">
        <w:trPr>
          <w:cnfStyle w:val="000000100000" w:firstRow="0" w:lastRow="0" w:firstColumn="0" w:lastColumn="0" w:oddVBand="0" w:evenVBand="0" w:oddHBand="1" w:evenHBand="0" w:firstRowFirstColumn="0" w:firstRowLastColumn="0" w:lastRowFirstColumn="0" w:lastRowLastColumn="0"/>
          <w:trHeight w:val="969"/>
        </w:trPr>
        <w:tc>
          <w:tcPr>
            <w:cnfStyle w:val="001000000000" w:firstRow="0" w:lastRow="0" w:firstColumn="1" w:lastColumn="0" w:oddVBand="0" w:evenVBand="0" w:oddHBand="0" w:evenHBand="0" w:firstRowFirstColumn="0" w:firstRowLastColumn="0" w:lastRowFirstColumn="0" w:lastRowLastColumn="0"/>
            <w:tcW w:w="2407" w:type="dxa"/>
            <w:tcBorders>
              <w:left w:val="single" w:sz="4" w:space="0" w:color="auto"/>
            </w:tcBorders>
          </w:tcPr>
          <w:p w14:paraId="5BE3D8E9" w14:textId="77777777" w:rsidR="00452E6E" w:rsidRPr="008F59EC" w:rsidRDefault="00452E6E" w:rsidP="0014211F">
            <w:pPr>
              <w:spacing w:line="360" w:lineRule="auto"/>
              <w:jc w:val="both"/>
              <w:rPr>
                <w:rFonts w:ascii="Arial" w:hAnsi="Arial" w:cs="Arial"/>
              </w:rPr>
            </w:pPr>
            <w:r w:rsidRPr="008F59EC">
              <w:rPr>
                <w:rFonts w:ascii="Arial" w:hAnsi="Arial" w:cs="Arial"/>
              </w:rPr>
              <w:t>CRM Platform</w:t>
            </w:r>
          </w:p>
        </w:tc>
        <w:tc>
          <w:tcPr>
            <w:tcW w:w="3403" w:type="dxa"/>
          </w:tcPr>
          <w:p w14:paraId="4F05415A" w14:textId="77777777" w:rsidR="00452E6E" w:rsidRPr="008F59EC" w:rsidRDefault="00452E6E"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Case management, compliance checks, automation</w:t>
            </w:r>
          </w:p>
        </w:tc>
        <w:tc>
          <w:tcPr>
            <w:tcW w:w="3196" w:type="dxa"/>
            <w:tcBorders>
              <w:right w:val="single" w:sz="4" w:space="0" w:color="auto"/>
            </w:tcBorders>
          </w:tcPr>
          <w:p w14:paraId="17A90A51" w14:textId="77777777" w:rsidR="00452E6E" w:rsidRPr="008F59EC" w:rsidRDefault="00452E6E"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ab/>
              <w:t>Acre / One Key</w:t>
            </w:r>
          </w:p>
        </w:tc>
      </w:tr>
      <w:tr w:rsidR="00452E6E" w:rsidRPr="008F59EC" w14:paraId="212B7A66" w14:textId="77777777" w:rsidTr="00452E6E">
        <w:trPr>
          <w:trHeight w:val="563"/>
        </w:trPr>
        <w:tc>
          <w:tcPr>
            <w:cnfStyle w:val="001000000000" w:firstRow="0" w:lastRow="0" w:firstColumn="1" w:lastColumn="0" w:oddVBand="0" w:evenVBand="0" w:oddHBand="0" w:evenHBand="0" w:firstRowFirstColumn="0" w:firstRowLastColumn="0" w:lastRowFirstColumn="0" w:lastRowLastColumn="0"/>
            <w:tcW w:w="2407" w:type="dxa"/>
            <w:tcBorders>
              <w:left w:val="single" w:sz="4" w:space="0" w:color="auto"/>
            </w:tcBorders>
          </w:tcPr>
          <w:p w14:paraId="791CA733" w14:textId="77777777" w:rsidR="00452E6E" w:rsidRPr="008F59EC" w:rsidRDefault="00452E6E" w:rsidP="0014211F">
            <w:pPr>
              <w:spacing w:line="360" w:lineRule="auto"/>
              <w:jc w:val="both"/>
              <w:rPr>
                <w:rFonts w:ascii="Arial" w:hAnsi="Arial" w:cs="Arial"/>
              </w:rPr>
            </w:pPr>
            <w:r w:rsidRPr="008F59EC">
              <w:rPr>
                <w:rFonts w:ascii="Arial" w:hAnsi="Arial" w:cs="Arial"/>
              </w:rPr>
              <w:t>Digital ID Verification</w:t>
            </w:r>
          </w:p>
        </w:tc>
        <w:tc>
          <w:tcPr>
            <w:tcW w:w="3403" w:type="dxa"/>
          </w:tcPr>
          <w:p w14:paraId="5B4742EA" w14:textId="77777777" w:rsidR="00452E6E" w:rsidRPr="008F59EC" w:rsidRDefault="00452E6E"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AML, KYC compliance</w:t>
            </w:r>
          </w:p>
        </w:tc>
        <w:tc>
          <w:tcPr>
            <w:tcW w:w="3196" w:type="dxa"/>
            <w:tcBorders>
              <w:right w:val="single" w:sz="4" w:space="0" w:color="auto"/>
            </w:tcBorders>
          </w:tcPr>
          <w:p w14:paraId="57DF00B8" w14:textId="77777777" w:rsidR="00452E6E" w:rsidRPr="008F59EC" w:rsidRDefault="00452E6E"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Third-party IDV tools</w:t>
            </w:r>
          </w:p>
        </w:tc>
      </w:tr>
      <w:tr w:rsidR="00452E6E" w:rsidRPr="008F59EC" w14:paraId="3FDC6718" w14:textId="77777777" w:rsidTr="00452E6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2407" w:type="dxa"/>
            <w:tcBorders>
              <w:left w:val="single" w:sz="4" w:space="0" w:color="auto"/>
            </w:tcBorders>
          </w:tcPr>
          <w:p w14:paraId="1C034F95" w14:textId="77777777" w:rsidR="00452E6E" w:rsidRPr="008F59EC" w:rsidRDefault="00452E6E" w:rsidP="0014211F">
            <w:pPr>
              <w:spacing w:line="360" w:lineRule="auto"/>
              <w:jc w:val="both"/>
              <w:rPr>
                <w:rFonts w:ascii="Arial" w:hAnsi="Arial" w:cs="Arial"/>
              </w:rPr>
            </w:pPr>
            <w:r w:rsidRPr="008F59EC">
              <w:rPr>
                <w:rFonts w:ascii="Arial" w:hAnsi="Arial" w:cs="Arial"/>
              </w:rPr>
              <w:t>Sourcing Software</w:t>
            </w:r>
          </w:p>
        </w:tc>
        <w:tc>
          <w:tcPr>
            <w:tcW w:w="3403" w:type="dxa"/>
          </w:tcPr>
          <w:p w14:paraId="4610C744" w14:textId="77777777" w:rsidR="00452E6E" w:rsidRPr="008F59EC" w:rsidRDefault="00452E6E"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Mortgage product research</w:t>
            </w:r>
          </w:p>
        </w:tc>
        <w:tc>
          <w:tcPr>
            <w:tcW w:w="3196" w:type="dxa"/>
            <w:tcBorders>
              <w:right w:val="single" w:sz="4" w:space="0" w:color="auto"/>
            </w:tcBorders>
          </w:tcPr>
          <w:p w14:paraId="0CB96821" w14:textId="77777777" w:rsidR="00452E6E" w:rsidRPr="008F59EC" w:rsidRDefault="00452E6E"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Mortgage Brain / Twenty7Tec</w:t>
            </w:r>
          </w:p>
        </w:tc>
      </w:tr>
      <w:tr w:rsidR="00452E6E" w:rsidRPr="008F59EC" w14:paraId="524D0B7C" w14:textId="77777777" w:rsidTr="00452E6E">
        <w:trPr>
          <w:trHeight w:val="298"/>
        </w:trPr>
        <w:tc>
          <w:tcPr>
            <w:cnfStyle w:val="001000000000" w:firstRow="0" w:lastRow="0" w:firstColumn="1" w:lastColumn="0" w:oddVBand="0" w:evenVBand="0" w:oddHBand="0" w:evenHBand="0" w:firstRowFirstColumn="0" w:firstRowLastColumn="0" w:lastRowFirstColumn="0" w:lastRowLastColumn="0"/>
            <w:tcW w:w="2407" w:type="dxa"/>
            <w:tcBorders>
              <w:left w:val="single" w:sz="4" w:space="0" w:color="auto"/>
            </w:tcBorders>
          </w:tcPr>
          <w:p w14:paraId="056BEAE6" w14:textId="77777777" w:rsidR="00452E6E" w:rsidRPr="008F59EC" w:rsidRDefault="00452E6E" w:rsidP="0014211F">
            <w:pPr>
              <w:spacing w:line="360" w:lineRule="auto"/>
              <w:jc w:val="both"/>
              <w:rPr>
                <w:rFonts w:ascii="Arial" w:hAnsi="Arial" w:cs="Arial"/>
              </w:rPr>
            </w:pPr>
            <w:r w:rsidRPr="008F59EC">
              <w:rPr>
                <w:rFonts w:ascii="Arial" w:hAnsi="Arial" w:cs="Arial"/>
              </w:rPr>
              <w:t>Cloud Storage</w:t>
            </w:r>
          </w:p>
        </w:tc>
        <w:tc>
          <w:tcPr>
            <w:tcW w:w="3403" w:type="dxa"/>
          </w:tcPr>
          <w:p w14:paraId="181F319B" w14:textId="77777777" w:rsidR="00452E6E" w:rsidRPr="008F59EC" w:rsidRDefault="00452E6E"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Secure document storage</w:t>
            </w:r>
          </w:p>
        </w:tc>
        <w:tc>
          <w:tcPr>
            <w:tcW w:w="3196" w:type="dxa"/>
            <w:tcBorders>
              <w:right w:val="single" w:sz="4" w:space="0" w:color="auto"/>
            </w:tcBorders>
          </w:tcPr>
          <w:p w14:paraId="7FBEB5B0" w14:textId="77777777" w:rsidR="00452E6E" w:rsidRPr="008F59EC" w:rsidRDefault="00452E6E" w:rsidP="0014211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F59EC">
              <w:rPr>
                <w:rFonts w:ascii="Arial" w:hAnsi="Arial" w:cs="Arial"/>
              </w:rPr>
              <w:t>Google Workspace / Box</w:t>
            </w:r>
          </w:p>
        </w:tc>
      </w:tr>
      <w:tr w:rsidR="00452E6E" w:rsidRPr="008F59EC" w14:paraId="7B2D1798" w14:textId="77777777" w:rsidTr="00452E6E">
        <w:trPr>
          <w:cnfStyle w:val="000000100000" w:firstRow="0" w:lastRow="0" w:firstColumn="0" w:lastColumn="0" w:oddVBand="0" w:evenVBand="0" w:oddHBand="1" w:evenHBand="0" w:firstRowFirstColumn="0" w:firstRowLastColumn="0" w:lastRowFirstColumn="0" w:lastRowLastColumn="0"/>
          <w:trHeight w:val="598"/>
        </w:trPr>
        <w:tc>
          <w:tcPr>
            <w:cnfStyle w:val="001000000000" w:firstRow="0" w:lastRow="0" w:firstColumn="1" w:lastColumn="0" w:oddVBand="0" w:evenVBand="0" w:oddHBand="0" w:evenHBand="0" w:firstRowFirstColumn="0" w:firstRowLastColumn="0" w:lastRowFirstColumn="0" w:lastRowLastColumn="0"/>
            <w:tcW w:w="2407" w:type="dxa"/>
            <w:tcBorders>
              <w:left w:val="single" w:sz="4" w:space="0" w:color="auto"/>
              <w:bottom w:val="single" w:sz="4" w:space="0" w:color="auto"/>
            </w:tcBorders>
          </w:tcPr>
          <w:p w14:paraId="70BE7946" w14:textId="77777777" w:rsidR="00452E6E" w:rsidRPr="008F59EC" w:rsidRDefault="00452E6E" w:rsidP="0014211F">
            <w:pPr>
              <w:spacing w:line="360" w:lineRule="auto"/>
              <w:jc w:val="both"/>
              <w:rPr>
                <w:rFonts w:ascii="Arial" w:hAnsi="Arial" w:cs="Arial"/>
              </w:rPr>
            </w:pPr>
            <w:r w:rsidRPr="008F59EC">
              <w:rPr>
                <w:rFonts w:ascii="Arial" w:hAnsi="Arial" w:cs="Arial"/>
              </w:rPr>
              <w:t>E-Signature Tools</w:t>
            </w:r>
          </w:p>
        </w:tc>
        <w:tc>
          <w:tcPr>
            <w:tcW w:w="3403" w:type="dxa"/>
            <w:tcBorders>
              <w:bottom w:val="single" w:sz="4" w:space="0" w:color="auto"/>
            </w:tcBorders>
          </w:tcPr>
          <w:p w14:paraId="563F5B7A" w14:textId="77777777" w:rsidR="00452E6E" w:rsidRPr="008F59EC" w:rsidRDefault="00452E6E"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Digital compliance and onboarding</w:t>
            </w:r>
          </w:p>
        </w:tc>
        <w:tc>
          <w:tcPr>
            <w:tcW w:w="3196" w:type="dxa"/>
            <w:tcBorders>
              <w:bottom w:val="single" w:sz="4" w:space="0" w:color="auto"/>
              <w:right w:val="single" w:sz="4" w:space="0" w:color="auto"/>
            </w:tcBorders>
          </w:tcPr>
          <w:p w14:paraId="57A54AA2" w14:textId="77777777" w:rsidR="00452E6E" w:rsidRPr="008F59EC" w:rsidRDefault="00452E6E" w:rsidP="0014211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F59EC">
              <w:rPr>
                <w:rFonts w:ascii="Arial" w:hAnsi="Arial" w:cs="Arial"/>
              </w:rPr>
              <w:t>Docu Sign / Adobe Sign</w:t>
            </w:r>
          </w:p>
        </w:tc>
      </w:tr>
    </w:tbl>
    <w:p w14:paraId="452B672D" w14:textId="77777777" w:rsidR="006744D4" w:rsidRPr="008F59EC" w:rsidRDefault="006744D4" w:rsidP="0014211F">
      <w:pPr>
        <w:spacing w:line="360" w:lineRule="auto"/>
        <w:jc w:val="both"/>
        <w:rPr>
          <w:rFonts w:ascii="Arial" w:hAnsi="Arial" w:cs="Arial"/>
          <w:i/>
          <w:iCs/>
        </w:rPr>
      </w:pPr>
    </w:p>
    <w:p w14:paraId="13F46842" w14:textId="3CD1515E" w:rsidR="00197E94" w:rsidRPr="008F59EC" w:rsidRDefault="00197E94" w:rsidP="0014211F">
      <w:pPr>
        <w:spacing w:line="360" w:lineRule="auto"/>
        <w:jc w:val="both"/>
        <w:rPr>
          <w:rFonts w:ascii="Arial" w:hAnsi="Arial" w:cs="Arial"/>
        </w:rPr>
      </w:pPr>
      <w:r w:rsidRPr="008F59EC">
        <w:rPr>
          <w:rFonts w:ascii="Arial" w:hAnsi="Arial" w:cs="Arial"/>
        </w:rPr>
        <w:t>This scalable operating model supports the financial assumptions outlined in Chapter 7 and ensures that growth does not compromise customer experience or regulatory standards.</w:t>
      </w:r>
    </w:p>
    <w:p w14:paraId="3D1A1D67" w14:textId="65CAC4AA" w:rsidR="00EC69F9" w:rsidRPr="008F59EC" w:rsidRDefault="00EC69F9" w:rsidP="0007190F">
      <w:pPr>
        <w:pStyle w:val="Heading2"/>
        <w:rPr>
          <w:rFonts w:ascii="Arial" w:hAnsi="Arial" w:cs="Arial"/>
        </w:rPr>
      </w:pPr>
      <w:bookmarkStart w:id="39" w:name="_Toc219926283"/>
      <w:r w:rsidRPr="008F59EC">
        <w:rPr>
          <w:rFonts w:ascii="Arial" w:hAnsi="Arial" w:cs="Arial"/>
        </w:rPr>
        <w:lastRenderedPageBreak/>
        <w:t>5.</w:t>
      </w:r>
      <w:r w:rsidR="00B444F0" w:rsidRPr="008F59EC">
        <w:rPr>
          <w:rFonts w:ascii="Arial" w:hAnsi="Arial" w:cs="Arial"/>
        </w:rPr>
        <w:t>6</w:t>
      </w:r>
      <w:r w:rsidRPr="008F59EC">
        <w:rPr>
          <w:rFonts w:ascii="Arial" w:hAnsi="Arial" w:cs="Arial"/>
        </w:rPr>
        <w:t xml:space="preserve"> Complaints Handling and Customer Feedback</w:t>
      </w:r>
      <w:bookmarkEnd w:id="39"/>
    </w:p>
    <w:p w14:paraId="2DE6DDA6" w14:textId="1440BA1B" w:rsidR="00EC69F9" w:rsidRPr="008F59EC" w:rsidRDefault="00EC69F9" w:rsidP="0014211F">
      <w:pPr>
        <w:spacing w:line="360" w:lineRule="auto"/>
        <w:jc w:val="both"/>
        <w:rPr>
          <w:rFonts w:ascii="Arial" w:hAnsi="Arial" w:cs="Arial"/>
        </w:rPr>
      </w:pPr>
      <w:r w:rsidRPr="008F59EC">
        <w:rPr>
          <w:rFonts w:ascii="Arial" w:hAnsi="Arial" w:cs="Arial"/>
        </w:rPr>
        <w:t xml:space="preserve">An effective complaints handling process is an essential component of operational governance within financial services. </w:t>
      </w:r>
      <w:r w:rsidR="00EC30AA" w:rsidRPr="008F59EC">
        <w:rPr>
          <w:rFonts w:ascii="Arial" w:hAnsi="Arial" w:cs="Arial"/>
        </w:rPr>
        <w:t xml:space="preserve">Sense Mortgage and </w:t>
      </w:r>
      <w:r w:rsidRPr="008F59EC">
        <w:rPr>
          <w:rFonts w:ascii="Arial" w:hAnsi="Arial" w:cs="Arial"/>
        </w:rPr>
        <w:t>Residential maintains a formal complaints procedure aligned with FCA dispute resolution (DISP) rules. Clients are informed of their right to raise concerns and the steps involved in resolving complaints in a timely and transparent manner (FCA, 2023).</w:t>
      </w:r>
    </w:p>
    <w:p w14:paraId="0CD1EBFF" w14:textId="77777777" w:rsidR="00EC69F9" w:rsidRPr="008F59EC" w:rsidRDefault="00EC69F9" w:rsidP="0014211F">
      <w:pPr>
        <w:spacing w:line="360" w:lineRule="auto"/>
        <w:jc w:val="both"/>
        <w:rPr>
          <w:rFonts w:ascii="Arial" w:hAnsi="Arial" w:cs="Arial"/>
        </w:rPr>
      </w:pPr>
    </w:p>
    <w:p w14:paraId="6C573C13" w14:textId="77777777" w:rsidR="00EC69F9" w:rsidRPr="008F59EC" w:rsidRDefault="00EC69F9" w:rsidP="0014211F">
      <w:pPr>
        <w:spacing w:line="360" w:lineRule="auto"/>
        <w:jc w:val="both"/>
        <w:rPr>
          <w:rFonts w:ascii="Arial" w:hAnsi="Arial" w:cs="Arial"/>
        </w:rPr>
      </w:pPr>
      <w:r w:rsidRPr="008F59EC">
        <w:rPr>
          <w:rFonts w:ascii="Arial" w:hAnsi="Arial" w:cs="Arial"/>
        </w:rPr>
        <w:t>Complaints are logged, investigated, and resolved within prescribed timeframes, with escalation to the principal network where required. In addition to regulatory compliance, customer feedback is actively encouraged as part of continuous service improvement. Research indicates that structured feedback mechanisms contribute to improved service quality and client retention within professional service firms (PwC, 2023). This feedback loop supports operational refinement and reinforces a client-centred service culture.</w:t>
      </w:r>
    </w:p>
    <w:p w14:paraId="7D7592F4" w14:textId="110721E8" w:rsidR="00A03D74" w:rsidRPr="008F59EC" w:rsidRDefault="00A03D74" w:rsidP="0014211F">
      <w:pPr>
        <w:spacing w:line="360" w:lineRule="auto"/>
        <w:jc w:val="both"/>
        <w:rPr>
          <w:rFonts w:ascii="Arial" w:hAnsi="Arial" w:cs="Arial"/>
        </w:rPr>
      </w:pPr>
    </w:p>
    <w:p w14:paraId="0C00D394" w14:textId="77777777" w:rsidR="00F232D6" w:rsidRPr="008F59EC" w:rsidRDefault="00F232D6" w:rsidP="0014211F">
      <w:pPr>
        <w:spacing w:line="360" w:lineRule="auto"/>
        <w:jc w:val="both"/>
        <w:rPr>
          <w:rFonts w:ascii="Arial" w:hAnsi="Arial" w:cs="Arial"/>
        </w:rPr>
      </w:pPr>
    </w:p>
    <w:p w14:paraId="7FDDDD25" w14:textId="2D2215FF" w:rsidR="00197E94" w:rsidRPr="008F59EC" w:rsidRDefault="00197E94" w:rsidP="0007190F">
      <w:pPr>
        <w:pStyle w:val="Heading2"/>
        <w:rPr>
          <w:rFonts w:ascii="Arial" w:hAnsi="Arial" w:cs="Arial"/>
        </w:rPr>
      </w:pPr>
      <w:bookmarkStart w:id="40" w:name="_Toc219926284"/>
      <w:r w:rsidRPr="008F59EC">
        <w:rPr>
          <w:rFonts w:ascii="Arial" w:hAnsi="Arial" w:cs="Arial"/>
        </w:rPr>
        <w:t>5.</w:t>
      </w:r>
      <w:r w:rsidR="00B444F0" w:rsidRPr="008F59EC">
        <w:rPr>
          <w:rFonts w:ascii="Arial" w:hAnsi="Arial" w:cs="Arial"/>
        </w:rPr>
        <w:t>7</w:t>
      </w:r>
      <w:r w:rsidRPr="008F59EC">
        <w:rPr>
          <w:rFonts w:ascii="Arial" w:hAnsi="Arial" w:cs="Arial"/>
        </w:rPr>
        <w:t xml:space="preserve"> Risk Management and Operational Resilience</w:t>
      </w:r>
      <w:bookmarkEnd w:id="40"/>
    </w:p>
    <w:p w14:paraId="47525EEE" w14:textId="74B844AD" w:rsidR="00197E94" w:rsidRPr="008F59EC" w:rsidRDefault="00197E94" w:rsidP="0014211F">
      <w:pPr>
        <w:spacing w:line="360" w:lineRule="auto"/>
        <w:jc w:val="both"/>
        <w:rPr>
          <w:rFonts w:ascii="Arial" w:hAnsi="Arial" w:cs="Arial"/>
        </w:rPr>
      </w:pPr>
      <w:r w:rsidRPr="008F59EC">
        <w:rPr>
          <w:rFonts w:ascii="Arial" w:hAnsi="Arial" w:cs="Arial"/>
        </w:rPr>
        <w:t xml:space="preserve">Operational risks faced by </w:t>
      </w:r>
      <w:r w:rsidR="00EC30AA" w:rsidRPr="008F59EC">
        <w:rPr>
          <w:rFonts w:ascii="Arial" w:hAnsi="Arial" w:cs="Arial"/>
        </w:rPr>
        <w:t xml:space="preserve">Sense Mortgage and </w:t>
      </w:r>
      <w:r w:rsidRPr="008F59EC">
        <w:rPr>
          <w:rFonts w:ascii="Arial" w:hAnsi="Arial" w:cs="Arial"/>
        </w:rPr>
        <w:t xml:space="preserve">Residential include compliance breaches, data security threats, system downtime, and capacity constraints during periods of increased demand. These risks are mitigated </w:t>
      </w:r>
      <w:r w:rsidR="00BB52F2" w:rsidRPr="008F59EC">
        <w:rPr>
          <w:rFonts w:ascii="Arial" w:hAnsi="Arial" w:cs="Arial"/>
        </w:rPr>
        <w:t>using</w:t>
      </w:r>
      <w:r w:rsidRPr="008F59EC">
        <w:rPr>
          <w:rFonts w:ascii="Arial" w:hAnsi="Arial" w:cs="Arial"/>
        </w:rPr>
        <w:t xml:space="preserve"> secure IT systems, regular software updates, and robust data protection practices in line with UK GDPR requirements (ICO, 2023).</w:t>
      </w:r>
    </w:p>
    <w:p w14:paraId="3E10AF65" w14:textId="77777777" w:rsidR="00197E94" w:rsidRPr="008F59EC" w:rsidRDefault="00197E94" w:rsidP="0014211F">
      <w:pPr>
        <w:spacing w:line="360" w:lineRule="auto"/>
        <w:jc w:val="both"/>
        <w:rPr>
          <w:rFonts w:ascii="Arial" w:hAnsi="Arial" w:cs="Arial"/>
        </w:rPr>
      </w:pPr>
      <w:r w:rsidRPr="008F59EC">
        <w:rPr>
          <w:rFonts w:ascii="Arial" w:hAnsi="Arial" w:cs="Arial"/>
        </w:rPr>
        <w:t>Operational resilience is further supported by remote service delivery and cloud-based infrastructure, which reduce reliance on physical premises and enable business continuity in the event of disruption. Clear procedures for issue escalation, data backup, and system recovery are maintained to minimise service interruption. This approach aligns with regulatory expectations that firms identify and manage operational risks proactively to protect customer outcomes and business stability (FCA, 2023).</w:t>
      </w:r>
    </w:p>
    <w:p w14:paraId="2EAC0396" w14:textId="4787A42D" w:rsidR="001F1C7B" w:rsidRPr="008F59EC" w:rsidRDefault="001F1C7B" w:rsidP="0007190F">
      <w:pPr>
        <w:pStyle w:val="Heading2"/>
        <w:rPr>
          <w:rFonts w:ascii="Arial" w:hAnsi="Arial" w:cs="Arial"/>
        </w:rPr>
      </w:pPr>
      <w:bookmarkStart w:id="41" w:name="_Toc219926285"/>
      <w:r w:rsidRPr="008F59EC">
        <w:rPr>
          <w:rFonts w:ascii="Arial" w:hAnsi="Arial" w:cs="Arial"/>
        </w:rPr>
        <w:lastRenderedPageBreak/>
        <w:t>5.8 Operational Performance Monitoring</w:t>
      </w:r>
      <w:bookmarkEnd w:id="41"/>
    </w:p>
    <w:p w14:paraId="18126856" w14:textId="77777777" w:rsidR="001F1C7B" w:rsidRPr="008F59EC" w:rsidRDefault="001F1C7B" w:rsidP="0014211F">
      <w:pPr>
        <w:spacing w:line="360" w:lineRule="auto"/>
        <w:jc w:val="both"/>
        <w:rPr>
          <w:rFonts w:ascii="Arial" w:hAnsi="Arial" w:cs="Arial"/>
        </w:rPr>
      </w:pPr>
      <w:r w:rsidRPr="008F59EC">
        <w:rPr>
          <w:rFonts w:ascii="Arial" w:hAnsi="Arial" w:cs="Arial"/>
        </w:rPr>
        <w:t>Operational performance is monitored through non-financial key performance indicators that complement financial metrics. These include enquiry-to-appointment conversion rates, case completion times, file accuracy, and client satisfaction indicators. Monitoring these measures enables early identification of bottlenecks and supports data-driven operational decision-making.</w:t>
      </w:r>
    </w:p>
    <w:p w14:paraId="153972BA" w14:textId="77777777" w:rsidR="001F1C7B" w:rsidRPr="008F59EC" w:rsidRDefault="001F1C7B" w:rsidP="0014211F">
      <w:pPr>
        <w:spacing w:line="360" w:lineRule="auto"/>
        <w:jc w:val="both"/>
        <w:rPr>
          <w:rFonts w:ascii="Arial" w:hAnsi="Arial" w:cs="Arial"/>
        </w:rPr>
      </w:pPr>
    </w:p>
    <w:p w14:paraId="57F307FC" w14:textId="5C2F9596" w:rsidR="001F1C7B" w:rsidRPr="008F59EC" w:rsidRDefault="001F1C7B" w:rsidP="0014211F">
      <w:pPr>
        <w:spacing w:line="360" w:lineRule="auto"/>
        <w:jc w:val="both"/>
        <w:rPr>
          <w:rFonts w:ascii="Arial" w:hAnsi="Arial" w:cs="Arial"/>
        </w:rPr>
      </w:pPr>
      <w:r w:rsidRPr="008F59EC">
        <w:rPr>
          <w:rFonts w:ascii="Arial" w:hAnsi="Arial" w:cs="Arial"/>
        </w:rPr>
        <w:t xml:space="preserve">For </w:t>
      </w:r>
      <w:r w:rsidR="00EC30AA" w:rsidRPr="008F59EC">
        <w:rPr>
          <w:rFonts w:ascii="Arial" w:hAnsi="Arial" w:cs="Arial"/>
        </w:rPr>
        <w:t xml:space="preserve">Sense Mortgage and </w:t>
      </w:r>
      <w:r w:rsidRPr="008F59EC">
        <w:rPr>
          <w:rFonts w:ascii="Arial" w:hAnsi="Arial" w:cs="Arial"/>
        </w:rPr>
        <w:t>Residential, performance monitoring ensures that growth remains sustainable and compliant. By prioritising service quality and operational control over transaction volume, the business reduces the risk of service degradation during periods of increased demand. This approach aligns with Consumer Duty expectations, which emphasise ongoing assessment of customer outcomes rather than reliance on retrospective metrics alone (FCA, 2023).</w:t>
      </w:r>
    </w:p>
    <w:p w14:paraId="21863427" w14:textId="77777777" w:rsidR="001F1C7B" w:rsidRPr="008F59EC" w:rsidRDefault="001F1C7B" w:rsidP="0014211F">
      <w:pPr>
        <w:spacing w:line="360" w:lineRule="auto"/>
        <w:jc w:val="both"/>
        <w:rPr>
          <w:rFonts w:ascii="Arial" w:hAnsi="Arial" w:cs="Arial"/>
        </w:rPr>
      </w:pPr>
    </w:p>
    <w:p w14:paraId="348B7B55" w14:textId="288A7555" w:rsidR="001F1C7B" w:rsidRPr="008F59EC" w:rsidRDefault="001F1C7B" w:rsidP="0014211F">
      <w:pPr>
        <w:spacing w:line="360" w:lineRule="auto"/>
        <w:jc w:val="both"/>
        <w:rPr>
          <w:rFonts w:ascii="Arial" w:hAnsi="Arial" w:cs="Arial"/>
        </w:rPr>
      </w:pPr>
      <w:r w:rsidRPr="008F59EC">
        <w:rPr>
          <w:rFonts w:ascii="Arial" w:hAnsi="Arial" w:cs="Arial"/>
        </w:rPr>
        <w:t xml:space="preserve">This chapter has demonstrated how </w:t>
      </w:r>
      <w:r w:rsidR="00EC30AA" w:rsidRPr="008F59EC">
        <w:rPr>
          <w:rFonts w:ascii="Arial" w:hAnsi="Arial" w:cs="Arial"/>
        </w:rPr>
        <w:t xml:space="preserve">Sense Mortgage and </w:t>
      </w:r>
      <w:r w:rsidRPr="008F59EC">
        <w:rPr>
          <w:rFonts w:ascii="Arial" w:hAnsi="Arial" w:cs="Arial"/>
        </w:rPr>
        <w:t>Residential will operate effectively to deliver compliant, efficient, and client-focused mortgage advisory services. By embedding compliance into daily operations, utilising scalable digital systems, and implementing robust risk management practices, the business is structured to maintain high service standards while supporting controlled growth. The operational model aligns with regulatory expectations and industry best practice, providing a strong foundation for the human resource strategy and financial projections presented in subsequent chapters.</w:t>
      </w:r>
    </w:p>
    <w:p w14:paraId="35C13248" w14:textId="66074A70" w:rsidR="00B444F0" w:rsidRPr="008F59EC" w:rsidRDefault="00B444F0" w:rsidP="0014211F">
      <w:pPr>
        <w:spacing w:line="360" w:lineRule="auto"/>
        <w:jc w:val="both"/>
        <w:rPr>
          <w:rFonts w:ascii="Arial" w:hAnsi="Arial" w:cs="Arial"/>
        </w:rPr>
      </w:pPr>
    </w:p>
    <w:p w14:paraId="47F5C003" w14:textId="5D10CD97" w:rsidR="002D5C1F" w:rsidRPr="008F59EC" w:rsidRDefault="002E502E" w:rsidP="0007190F">
      <w:pPr>
        <w:pStyle w:val="Heading2"/>
        <w:rPr>
          <w:rFonts w:ascii="Arial" w:hAnsi="Arial" w:cs="Arial"/>
        </w:rPr>
      </w:pPr>
      <w:bookmarkStart w:id="42" w:name="_Toc219926286"/>
      <w:r w:rsidRPr="008F59EC">
        <w:rPr>
          <w:rFonts w:ascii="Arial" w:hAnsi="Arial" w:cs="Arial"/>
        </w:rPr>
        <w:t>5.</w:t>
      </w:r>
      <w:r w:rsidR="00B444F0" w:rsidRPr="008F59EC">
        <w:rPr>
          <w:rFonts w:ascii="Arial" w:hAnsi="Arial" w:cs="Arial"/>
        </w:rPr>
        <w:t>9</w:t>
      </w:r>
      <w:r w:rsidRPr="008F59EC">
        <w:rPr>
          <w:rFonts w:ascii="Arial" w:hAnsi="Arial" w:cs="Arial"/>
        </w:rPr>
        <w:t xml:space="preserve"> </w:t>
      </w:r>
      <w:r w:rsidR="002D5C1F" w:rsidRPr="008F59EC">
        <w:rPr>
          <w:rFonts w:ascii="Arial" w:hAnsi="Arial" w:cs="Arial"/>
        </w:rPr>
        <w:t>Compliance and Quality Assurance</w:t>
      </w:r>
      <w:bookmarkEnd w:id="42"/>
    </w:p>
    <w:p w14:paraId="39D40F07" w14:textId="77777777" w:rsidR="002D5C1F" w:rsidRPr="008F59EC" w:rsidRDefault="002D5C1F" w:rsidP="0014211F">
      <w:pPr>
        <w:spacing w:line="360" w:lineRule="auto"/>
        <w:jc w:val="both"/>
        <w:rPr>
          <w:rFonts w:ascii="Arial" w:hAnsi="Arial" w:cs="Arial"/>
        </w:rPr>
      </w:pPr>
      <w:r w:rsidRPr="008F59EC">
        <w:rPr>
          <w:rFonts w:ascii="Arial" w:hAnsi="Arial" w:cs="Arial"/>
        </w:rPr>
        <w:t>Compliance is fundamental to the firm’s operational model. As an Appointed Representative under Openwork, the business will receive structured oversight that includes file reviews, training, supervision meetings, and compliance audits. This support is essential to meet FCA requirements and maintain high-quality advice.</w:t>
      </w:r>
    </w:p>
    <w:p w14:paraId="17515484" w14:textId="77777777" w:rsidR="002D5C1F" w:rsidRPr="008F59EC" w:rsidRDefault="002D5C1F" w:rsidP="0014211F">
      <w:pPr>
        <w:spacing w:line="360" w:lineRule="auto"/>
        <w:jc w:val="both"/>
        <w:rPr>
          <w:rFonts w:ascii="Arial" w:hAnsi="Arial" w:cs="Arial"/>
        </w:rPr>
      </w:pPr>
    </w:p>
    <w:p w14:paraId="2623FEAE" w14:textId="77777777" w:rsidR="002D5C1F" w:rsidRPr="008F59EC" w:rsidRDefault="002D5C1F" w:rsidP="0014211F">
      <w:pPr>
        <w:spacing w:line="360" w:lineRule="auto"/>
        <w:jc w:val="both"/>
        <w:rPr>
          <w:rFonts w:ascii="Arial" w:hAnsi="Arial" w:cs="Arial"/>
        </w:rPr>
      </w:pPr>
      <w:r w:rsidRPr="008F59EC">
        <w:rPr>
          <w:rFonts w:ascii="Arial" w:hAnsi="Arial" w:cs="Arial"/>
        </w:rPr>
        <w:lastRenderedPageBreak/>
        <w:t>The compliance strategy includes mandatory AML checks, affordability assessments, suitability report documentation, audit trails, and complaint-handling procedures. Systems will be aligned with the network’s compliance portal, allowing secure uploading of documents and ensuring case approval before submission to lenders. This layered approach ensures that operational risk is minimised, and advisers maintain competent and compliant practice.</w:t>
      </w:r>
    </w:p>
    <w:p w14:paraId="4DEE31ED" w14:textId="77777777" w:rsidR="002D5C1F" w:rsidRPr="008F59EC" w:rsidRDefault="002D5C1F" w:rsidP="0014211F">
      <w:pPr>
        <w:spacing w:line="360" w:lineRule="auto"/>
        <w:jc w:val="both"/>
        <w:rPr>
          <w:rFonts w:ascii="Arial" w:hAnsi="Arial" w:cs="Arial"/>
        </w:rPr>
      </w:pPr>
    </w:p>
    <w:p w14:paraId="431E06B9" w14:textId="12D553AE" w:rsidR="002D5C1F" w:rsidRPr="008F59EC" w:rsidRDefault="002D5C1F" w:rsidP="0014211F">
      <w:pPr>
        <w:spacing w:line="360" w:lineRule="auto"/>
        <w:jc w:val="both"/>
        <w:rPr>
          <w:rFonts w:ascii="Arial" w:hAnsi="Arial" w:cs="Arial"/>
        </w:rPr>
      </w:pPr>
      <w:r w:rsidRPr="008F59EC">
        <w:rPr>
          <w:rFonts w:ascii="Arial" w:hAnsi="Arial" w:cs="Arial"/>
        </w:rPr>
        <w:t>A flow diagram of compliance responsibilities demonstrates clarity:</w:t>
      </w:r>
    </w:p>
    <w:tbl>
      <w:tblPr>
        <w:tblStyle w:val="TableGrid"/>
        <w:tblW w:w="0" w:type="auto"/>
        <w:tblLook w:val="04A0" w:firstRow="1" w:lastRow="0" w:firstColumn="1" w:lastColumn="0" w:noHBand="0" w:noVBand="1"/>
      </w:tblPr>
      <w:tblGrid>
        <w:gridCol w:w="9016"/>
      </w:tblGrid>
      <w:tr w:rsidR="002D5C1F" w:rsidRPr="008F59EC" w14:paraId="530998C6" w14:textId="77777777" w:rsidTr="00AD20EE">
        <w:tc>
          <w:tcPr>
            <w:tcW w:w="9736" w:type="dxa"/>
          </w:tcPr>
          <w:p w14:paraId="71F4AFCF" w14:textId="77777777" w:rsidR="002D5C1F" w:rsidRPr="008F59EC" w:rsidRDefault="002D5C1F" w:rsidP="0014211F">
            <w:pPr>
              <w:spacing w:line="360" w:lineRule="auto"/>
              <w:jc w:val="both"/>
              <w:rPr>
                <w:rFonts w:ascii="Arial" w:hAnsi="Arial" w:cs="Arial"/>
                <w:i/>
                <w:iCs/>
              </w:rPr>
            </w:pPr>
            <w:r w:rsidRPr="008F59EC">
              <w:rPr>
                <w:rFonts w:ascii="Arial" w:hAnsi="Arial" w:cs="Arial"/>
                <w:noProof/>
              </w:rPr>
              <w:drawing>
                <wp:inline distT="0" distB="0" distL="0" distR="0" wp14:anchorId="50FF60B5" wp14:editId="702DDED6">
                  <wp:extent cx="5890260" cy="3566160"/>
                  <wp:effectExtent l="0" t="0" r="0" b="34290"/>
                  <wp:docPr id="60686335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tc>
      </w:tr>
    </w:tbl>
    <w:p w14:paraId="5CD633B4" w14:textId="77777777" w:rsidR="006744D4" w:rsidRPr="008F59EC" w:rsidRDefault="006744D4" w:rsidP="0014211F">
      <w:pPr>
        <w:spacing w:line="360" w:lineRule="auto"/>
        <w:jc w:val="both"/>
        <w:rPr>
          <w:rFonts w:ascii="Arial" w:hAnsi="Arial" w:cs="Arial"/>
          <w:i/>
          <w:iCs/>
        </w:rPr>
      </w:pPr>
    </w:p>
    <w:p w14:paraId="0853A66B" w14:textId="0C2404BB" w:rsidR="006744D4" w:rsidRPr="008F59EC" w:rsidRDefault="006744D4" w:rsidP="0014211F">
      <w:pPr>
        <w:spacing w:line="360" w:lineRule="auto"/>
        <w:jc w:val="both"/>
        <w:rPr>
          <w:rFonts w:ascii="Arial" w:hAnsi="Arial" w:cs="Arial"/>
          <w:i/>
          <w:iCs/>
        </w:rPr>
      </w:pPr>
      <w:r w:rsidRPr="008F59EC">
        <w:rPr>
          <w:rFonts w:ascii="Arial" w:hAnsi="Arial" w:cs="Arial"/>
          <w:i/>
          <w:iCs/>
        </w:rPr>
        <w:t>Figure 6: Compliance Responsibilities Diagram</w:t>
      </w:r>
    </w:p>
    <w:p w14:paraId="3236D872" w14:textId="7BDD0972" w:rsidR="002D5C1F" w:rsidRPr="008F59EC" w:rsidRDefault="002D5C1F" w:rsidP="0014211F">
      <w:pPr>
        <w:spacing w:line="360" w:lineRule="auto"/>
        <w:jc w:val="both"/>
        <w:rPr>
          <w:rFonts w:ascii="Arial" w:hAnsi="Arial" w:cs="Arial"/>
          <w:i/>
          <w:iCs/>
        </w:rPr>
      </w:pPr>
      <w:r w:rsidRPr="008F59EC">
        <w:rPr>
          <w:rFonts w:ascii="Arial" w:hAnsi="Arial" w:cs="Arial"/>
          <w:i/>
          <w:iCs/>
        </w:rPr>
        <w:t>Source: Author Compilation (2025)</w:t>
      </w:r>
      <w:r w:rsidR="00D2154E" w:rsidRPr="008F59EC">
        <w:rPr>
          <w:rFonts w:ascii="Arial" w:hAnsi="Arial" w:cs="Arial"/>
          <w:i/>
          <w:iCs/>
        </w:rPr>
        <w:t xml:space="preserve"> </w:t>
      </w:r>
      <w:r w:rsidR="006744D4" w:rsidRPr="008F59EC">
        <w:rPr>
          <w:rFonts w:ascii="Arial" w:hAnsi="Arial" w:cs="Arial"/>
          <w:i/>
          <w:iCs/>
        </w:rPr>
        <w:t>based on research from FCA,2023</w:t>
      </w:r>
    </w:p>
    <w:p w14:paraId="7D1A5232" w14:textId="77777777" w:rsidR="002D5C1F" w:rsidRPr="008F59EC" w:rsidRDefault="002D5C1F" w:rsidP="0014211F">
      <w:pPr>
        <w:spacing w:line="360" w:lineRule="auto"/>
        <w:jc w:val="both"/>
        <w:rPr>
          <w:rFonts w:ascii="Arial" w:hAnsi="Arial" w:cs="Arial"/>
        </w:rPr>
      </w:pPr>
      <w:r w:rsidRPr="008F59EC">
        <w:rPr>
          <w:rFonts w:ascii="Arial" w:hAnsi="Arial" w:cs="Arial"/>
        </w:rPr>
        <w:t>This model ensures that compliance is embedded into every stage of operations rather than treated as an administrative afterthought.</w:t>
      </w:r>
    </w:p>
    <w:p w14:paraId="212594DA" w14:textId="768C0A39" w:rsidR="00197E94" w:rsidRPr="008F59EC" w:rsidRDefault="00197E94" w:rsidP="0014211F">
      <w:pPr>
        <w:spacing w:line="360" w:lineRule="auto"/>
        <w:jc w:val="both"/>
        <w:rPr>
          <w:rFonts w:ascii="Arial" w:hAnsi="Arial" w:cs="Arial"/>
        </w:rPr>
      </w:pPr>
    </w:p>
    <w:p w14:paraId="6B4904E4" w14:textId="670279D9" w:rsidR="00197E94" w:rsidRPr="008F59EC" w:rsidRDefault="00197E94" w:rsidP="0007190F">
      <w:pPr>
        <w:pStyle w:val="Heading2"/>
        <w:rPr>
          <w:rFonts w:ascii="Arial" w:hAnsi="Arial" w:cs="Arial"/>
        </w:rPr>
      </w:pPr>
      <w:bookmarkStart w:id="43" w:name="_Toc219926287"/>
      <w:r w:rsidRPr="008F59EC">
        <w:rPr>
          <w:rFonts w:ascii="Arial" w:hAnsi="Arial" w:cs="Arial"/>
        </w:rPr>
        <w:lastRenderedPageBreak/>
        <w:t>5.</w:t>
      </w:r>
      <w:r w:rsidR="00B444F0" w:rsidRPr="008F59EC">
        <w:rPr>
          <w:rFonts w:ascii="Arial" w:hAnsi="Arial" w:cs="Arial"/>
        </w:rPr>
        <w:t>10</w:t>
      </w:r>
      <w:r w:rsidRPr="008F59EC">
        <w:rPr>
          <w:rFonts w:ascii="Arial" w:hAnsi="Arial" w:cs="Arial"/>
        </w:rPr>
        <w:t xml:space="preserve"> Summary</w:t>
      </w:r>
      <w:bookmarkEnd w:id="43"/>
    </w:p>
    <w:p w14:paraId="001885CA" w14:textId="62C40F8D" w:rsidR="00F17B96" w:rsidRPr="008F59EC" w:rsidRDefault="004F1AA1" w:rsidP="0014211F">
      <w:pPr>
        <w:spacing w:line="360" w:lineRule="auto"/>
        <w:jc w:val="both"/>
        <w:rPr>
          <w:rFonts w:ascii="Arial" w:hAnsi="Arial" w:cs="Arial"/>
        </w:rPr>
      </w:pPr>
      <w:r w:rsidRPr="008F59EC">
        <w:rPr>
          <w:rFonts w:ascii="Arial" w:hAnsi="Arial" w:cs="Arial"/>
        </w:rPr>
        <w:t xml:space="preserve">This chapter has demonstrated how </w:t>
      </w:r>
      <w:r w:rsidR="00EC30AA" w:rsidRPr="008F59EC">
        <w:rPr>
          <w:rFonts w:ascii="Arial" w:hAnsi="Arial" w:cs="Arial"/>
        </w:rPr>
        <w:t xml:space="preserve">Sense Mortgage and </w:t>
      </w:r>
      <w:r w:rsidRPr="008F59EC">
        <w:rPr>
          <w:rFonts w:ascii="Arial" w:hAnsi="Arial" w:cs="Arial"/>
        </w:rPr>
        <w:t>Residential will operate effectively to deliver compliant, efficient, and client-focused mortgage advisory services. By embedding compliance into daily operations, utilising scalable digital systems, and implementing robust risk management practices, the business is structured to maintain high service standards while supporting controlled growth. The operational model aligns with regulatory expectations and industry best practice, providing a strong foundation for the human resource strategy and financial projections presented in subsequent chapters.</w:t>
      </w:r>
    </w:p>
    <w:p w14:paraId="155DFA2F" w14:textId="77777777" w:rsidR="00D2154E" w:rsidRPr="008F59EC" w:rsidRDefault="00D2154E" w:rsidP="0014211F">
      <w:pPr>
        <w:pBdr>
          <w:bottom w:val="single" w:sz="4" w:space="1" w:color="auto"/>
        </w:pBdr>
        <w:spacing w:line="360" w:lineRule="auto"/>
        <w:jc w:val="both"/>
        <w:rPr>
          <w:rFonts w:ascii="Arial" w:hAnsi="Arial" w:cs="Arial"/>
        </w:rPr>
      </w:pPr>
    </w:p>
    <w:p w14:paraId="31253A07" w14:textId="77777777" w:rsidR="003C1D46" w:rsidRDefault="003C1D46" w:rsidP="0007190F">
      <w:pPr>
        <w:pStyle w:val="Heading1"/>
        <w:rPr>
          <w:rFonts w:ascii="Arial" w:hAnsi="Arial" w:cs="Arial"/>
        </w:rPr>
      </w:pPr>
      <w:bookmarkStart w:id="44" w:name="_Toc219926288"/>
    </w:p>
    <w:p w14:paraId="33B20356" w14:textId="77777777" w:rsidR="00FB7681" w:rsidRDefault="00FB7681" w:rsidP="0007190F">
      <w:pPr>
        <w:pStyle w:val="Heading1"/>
        <w:rPr>
          <w:rFonts w:ascii="Arial" w:hAnsi="Arial" w:cs="Arial"/>
        </w:rPr>
      </w:pPr>
    </w:p>
    <w:p w14:paraId="4753C97E" w14:textId="77777777" w:rsidR="00FB7681" w:rsidRDefault="00FB7681" w:rsidP="00FB7681"/>
    <w:p w14:paraId="0180B758" w14:textId="77777777" w:rsidR="00FB7681" w:rsidRDefault="00FB7681" w:rsidP="00FB7681"/>
    <w:p w14:paraId="0AF47AFC" w14:textId="77777777" w:rsidR="00FB7681" w:rsidRDefault="00FB7681" w:rsidP="00FB7681"/>
    <w:p w14:paraId="197FCC6E" w14:textId="77777777" w:rsidR="00FB7681" w:rsidRDefault="00FB7681" w:rsidP="00FB7681"/>
    <w:p w14:paraId="5EA1A278" w14:textId="77777777" w:rsidR="00FB7681" w:rsidRDefault="00FB7681" w:rsidP="00FB7681"/>
    <w:p w14:paraId="084BA8AE" w14:textId="77777777" w:rsidR="00FB7681" w:rsidRDefault="00FB7681" w:rsidP="00FB7681"/>
    <w:p w14:paraId="72492E00" w14:textId="77777777" w:rsidR="00FB7681" w:rsidRDefault="00FB7681" w:rsidP="00FB7681"/>
    <w:p w14:paraId="6F9ACD42" w14:textId="77777777" w:rsidR="00FB7681" w:rsidRDefault="00FB7681" w:rsidP="00FB7681"/>
    <w:p w14:paraId="330F9741" w14:textId="77777777" w:rsidR="00FB7681" w:rsidRDefault="00FB7681" w:rsidP="00FB7681"/>
    <w:p w14:paraId="0F16C215" w14:textId="77777777" w:rsidR="00FB7681" w:rsidRDefault="00FB7681" w:rsidP="00FB7681"/>
    <w:p w14:paraId="3134A10C" w14:textId="77777777" w:rsidR="00FB7681" w:rsidRDefault="00FB7681" w:rsidP="00FB7681"/>
    <w:p w14:paraId="35AACAB0" w14:textId="77777777" w:rsidR="00FB7681" w:rsidRDefault="00FB7681" w:rsidP="00FB7681"/>
    <w:p w14:paraId="381E555E" w14:textId="77777777" w:rsidR="00FB7681" w:rsidRPr="00FB7681" w:rsidRDefault="00FB7681" w:rsidP="00FB7681"/>
    <w:p w14:paraId="1A21E443" w14:textId="4F36D847" w:rsidR="001D1271" w:rsidRPr="008F59EC" w:rsidRDefault="001D1271" w:rsidP="0007190F">
      <w:pPr>
        <w:pStyle w:val="Heading1"/>
        <w:rPr>
          <w:rFonts w:ascii="Arial" w:hAnsi="Arial" w:cs="Arial"/>
        </w:rPr>
      </w:pPr>
      <w:r w:rsidRPr="008F59EC">
        <w:rPr>
          <w:rFonts w:ascii="Arial" w:hAnsi="Arial" w:cs="Arial"/>
        </w:rPr>
        <w:lastRenderedPageBreak/>
        <w:t>Chapter 6: Human Resource Plan</w:t>
      </w:r>
      <w:bookmarkEnd w:id="44"/>
    </w:p>
    <w:p w14:paraId="213E9CFB" w14:textId="77777777" w:rsidR="001D1271" w:rsidRPr="008F59EC" w:rsidRDefault="001D1271" w:rsidP="0007190F">
      <w:pPr>
        <w:pStyle w:val="Heading2"/>
        <w:rPr>
          <w:rFonts w:ascii="Arial" w:hAnsi="Arial" w:cs="Arial"/>
        </w:rPr>
      </w:pPr>
      <w:bookmarkStart w:id="45" w:name="_Toc219926289"/>
      <w:r w:rsidRPr="008F59EC">
        <w:rPr>
          <w:rFonts w:ascii="Arial" w:hAnsi="Arial" w:cs="Arial"/>
        </w:rPr>
        <w:t>6.1 Introduction</w:t>
      </w:r>
      <w:bookmarkEnd w:id="45"/>
    </w:p>
    <w:p w14:paraId="7A191D53" w14:textId="77777777" w:rsidR="001D1271" w:rsidRPr="008F59EC" w:rsidRDefault="001D1271" w:rsidP="0014211F">
      <w:pPr>
        <w:spacing w:line="360" w:lineRule="auto"/>
        <w:jc w:val="both"/>
        <w:rPr>
          <w:rFonts w:ascii="Arial" w:hAnsi="Arial" w:cs="Arial"/>
        </w:rPr>
      </w:pPr>
    </w:p>
    <w:p w14:paraId="3086F8AE" w14:textId="16956D9D" w:rsidR="001D1271" w:rsidRPr="008F59EC" w:rsidRDefault="001D1271" w:rsidP="0014211F">
      <w:pPr>
        <w:spacing w:line="360" w:lineRule="auto"/>
        <w:jc w:val="both"/>
        <w:rPr>
          <w:rFonts w:ascii="Arial" w:hAnsi="Arial" w:cs="Arial"/>
        </w:rPr>
      </w:pPr>
      <w:r w:rsidRPr="008F59EC">
        <w:rPr>
          <w:rFonts w:ascii="Arial" w:hAnsi="Arial" w:cs="Arial"/>
        </w:rPr>
        <w:t xml:space="preserve">This chapter outlines the human resource strategy for </w:t>
      </w:r>
      <w:r w:rsidR="00EC30AA" w:rsidRPr="008F59EC">
        <w:rPr>
          <w:rFonts w:ascii="Arial" w:hAnsi="Arial" w:cs="Arial"/>
        </w:rPr>
        <w:t xml:space="preserve">Sense Mortgage and </w:t>
      </w:r>
      <w:r w:rsidRPr="008F59EC">
        <w:rPr>
          <w:rFonts w:ascii="Arial" w:hAnsi="Arial" w:cs="Arial"/>
        </w:rPr>
        <w:t>Residential and explains how staffing, recruitment, training, and performance management will support the delivery of compliant and high-quality mortgage advisory services. Given the regulatory nature of the industry, the HR plan focuses not only on workforce capacity but also on adviser competence, ethical conduct, and ongoing professional development. The objective is to ensure that human resources are aligned with the firm’s operational needs, growth strategy, and regulatory obligations.</w:t>
      </w:r>
    </w:p>
    <w:p w14:paraId="44FF0B0B" w14:textId="77777777" w:rsidR="001D1271" w:rsidRPr="008F59EC" w:rsidRDefault="001D1271" w:rsidP="0014211F">
      <w:pPr>
        <w:spacing w:line="360" w:lineRule="auto"/>
        <w:jc w:val="both"/>
        <w:rPr>
          <w:rFonts w:ascii="Arial" w:hAnsi="Arial" w:cs="Arial"/>
        </w:rPr>
      </w:pPr>
    </w:p>
    <w:p w14:paraId="07578B0D" w14:textId="77777777" w:rsidR="001D1271" w:rsidRPr="008F59EC" w:rsidRDefault="001D1271" w:rsidP="0007190F">
      <w:pPr>
        <w:pStyle w:val="Heading2"/>
        <w:rPr>
          <w:rFonts w:ascii="Arial" w:hAnsi="Arial" w:cs="Arial"/>
        </w:rPr>
      </w:pPr>
      <w:bookmarkStart w:id="46" w:name="_Toc219926290"/>
      <w:r w:rsidRPr="008F59EC">
        <w:rPr>
          <w:rFonts w:ascii="Arial" w:hAnsi="Arial" w:cs="Arial"/>
        </w:rPr>
        <w:t>6.2 Organisational Structure</w:t>
      </w:r>
      <w:bookmarkEnd w:id="46"/>
    </w:p>
    <w:p w14:paraId="447E3455" w14:textId="77777777" w:rsidR="001D1271" w:rsidRPr="008F59EC" w:rsidRDefault="001D1271" w:rsidP="0014211F">
      <w:pPr>
        <w:spacing w:line="360" w:lineRule="auto"/>
        <w:jc w:val="both"/>
        <w:rPr>
          <w:rFonts w:ascii="Arial" w:hAnsi="Arial" w:cs="Arial"/>
        </w:rPr>
      </w:pPr>
    </w:p>
    <w:p w14:paraId="38AA8D13" w14:textId="3C0555F3" w:rsidR="001D1271" w:rsidRPr="008F59EC" w:rsidRDefault="00EC30AA" w:rsidP="0014211F">
      <w:pPr>
        <w:spacing w:line="360" w:lineRule="auto"/>
        <w:jc w:val="both"/>
        <w:rPr>
          <w:rFonts w:ascii="Arial" w:hAnsi="Arial" w:cs="Arial"/>
        </w:rPr>
      </w:pPr>
      <w:r w:rsidRPr="008F59EC">
        <w:rPr>
          <w:rFonts w:ascii="Arial" w:hAnsi="Arial" w:cs="Arial"/>
        </w:rPr>
        <w:t xml:space="preserve">Sense Mortgage and </w:t>
      </w:r>
      <w:r w:rsidR="001D1271" w:rsidRPr="008F59EC">
        <w:rPr>
          <w:rFonts w:ascii="Arial" w:hAnsi="Arial" w:cs="Arial"/>
        </w:rPr>
        <w:t>Residential adopts a lean organisational structure during its initial stage of operation. The business is adviser-led, with the founder acting as the primary mortgage adviser and business manager. Administrative and compliance support is initially provided through a combination of network resources and part-time or outsourced roles.</w:t>
      </w:r>
    </w:p>
    <w:p w14:paraId="01F2F6D6" w14:textId="77777777" w:rsidR="001D1271" w:rsidRPr="008F59EC" w:rsidRDefault="001D1271" w:rsidP="0014211F">
      <w:pPr>
        <w:spacing w:line="360" w:lineRule="auto"/>
        <w:jc w:val="both"/>
        <w:rPr>
          <w:rFonts w:ascii="Arial" w:hAnsi="Arial" w:cs="Arial"/>
        </w:rPr>
      </w:pPr>
    </w:p>
    <w:p w14:paraId="60F4168E" w14:textId="77777777" w:rsidR="001D1271" w:rsidRPr="008F59EC" w:rsidRDefault="001D1271" w:rsidP="0014211F">
      <w:pPr>
        <w:spacing w:line="360" w:lineRule="auto"/>
        <w:jc w:val="both"/>
        <w:rPr>
          <w:rFonts w:ascii="Arial" w:hAnsi="Arial" w:cs="Arial"/>
        </w:rPr>
      </w:pPr>
      <w:r w:rsidRPr="008F59EC">
        <w:rPr>
          <w:rFonts w:ascii="Arial" w:hAnsi="Arial" w:cs="Arial"/>
        </w:rPr>
        <w:t>This streamlined structure reduces fixed staffing costs while allowing the business to maintain flexibility as demand evolves. Research suggests that small professional service firms benefit from lean staffing models in early stages, as they allow closer management oversight and reduce operational risk (Armstrong and Taylor, 2023). As case volumes increase, additional roles can be introduced gradually to support service delivery and compliance requirements.</w:t>
      </w:r>
    </w:p>
    <w:p w14:paraId="0F1222E1" w14:textId="77777777" w:rsidR="001D1271" w:rsidRPr="008F59EC" w:rsidRDefault="001D1271" w:rsidP="0014211F">
      <w:pPr>
        <w:spacing w:line="360" w:lineRule="auto"/>
        <w:jc w:val="both"/>
        <w:rPr>
          <w:rFonts w:ascii="Arial" w:hAnsi="Arial" w:cs="Arial"/>
        </w:rPr>
      </w:pPr>
    </w:p>
    <w:p w14:paraId="45D0BB53" w14:textId="77777777" w:rsidR="001D1271" w:rsidRPr="008F59EC" w:rsidRDefault="001D1271" w:rsidP="0007190F">
      <w:pPr>
        <w:pStyle w:val="Heading2"/>
        <w:rPr>
          <w:rFonts w:ascii="Arial" w:hAnsi="Arial" w:cs="Arial"/>
        </w:rPr>
      </w:pPr>
      <w:bookmarkStart w:id="47" w:name="_Toc219926291"/>
      <w:r w:rsidRPr="008F59EC">
        <w:rPr>
          <w:rFonts w:ascii="Arial" w:hAnsi="Arial" w:cs="Arial"/>
        </w:rPr>
        <w:t>6.3 Staffing Requirements and Role Definition</w:t>
      </w:r>
      <w:bookmarkEnd w:id="47"/>
    </w:p>
    <w:p w14:paraId="73AF31B8" w14:textId="77777777" w:rsidR="001D1271" w:rsidRPr="008F59EC" w:rsidRDefault="001D1271" w:rsidP="0014211F">
      <w:pPr>
        <w:spacing w:line="360" w:lineRule="auto"/>
        <w:jc w:val="both"/>
        <w:rPr>
          <w:rFonts w:ascii="Arial" w:hAnsi="Arial" w:cs="Arial"/>
        </w:rPr>
      </w:pPr>
    </w:p>
    <w:p w14:paraId="2313667E" w14:textId="77777777" w:rsidR="001D1271" w:rsidRPr="008F59EC" w:rsidRDefault="001D1271" w:rsidP="0014211F">
      <w:pPr>
        <w:spacing w:line="360" w:lineRule="auto"/>
        <w:jc w:val="both"/>
        <w:rPr>
          <w:rFonts w:ascii="Arial" w:hAnsi="Arial" w:cs="Arial"/>
        </w:rPr>
      </w:pPr>
      <w:r w:rsidRPr="008F59EC">
        <w:rPr>
          <w:rFonts w:ascii="Arial" w:hAnsi="Arial" w:cs="Arial"/>
        </w:rPr>
        <w:lastRenderedPageBreak/>
        <w:t>At launch, staffing requirements are limited to essential functions required for regulated service delivery. The key roles include a qualified mortgage adviser, responsible for client advice and relationship management, and administrative support for case processing, documentation, and liaison with lenders and solicitors.</w:t>
      </w:r>
    </w:p>
    <w:p w14:paraId="3A4FB2FC" w14:textId="77777777" w:rsidR="001D1271" w:rsidRPr="008F59EC" w:rsidRDefault="001D1271" w:rsidP="0014211F">
      <w:pPr>
        <w:spacing w:line="360" w:lineRule="auto"/>
        <w:jc w:val="both"/>
        <w:rPr>
          <w:rFonts w:ascii="Arial" w:hAnsi="Arial" w:cs="Arial"/>
        </w:rPr>
      </w:pPr>
    </w:p>
    <w:p w14:paraId="1E9244C4" w14:textId="77777777" w:rsidR="001D1271" w:rsidRPr="008F59EC" w:rsidRDefault="001D1271" w:rsidP="0014211F">
      <w:pPr>
        <w:spacing w:line="360" w:lineRule="auto"/>
        <w:jc w:val="both"/>
        <w:rPr>
          <w:rFonts w:ascii="Arial" w:hAnsi="Arial" w:cs="Arial"/>
        </w:rPr>
      </w:pPr>
      <w:r w:rsidRPr="008F59EC">
        <w:rPr>
          <w:rFonts w:ascii="Arial" w:hAnsi="Arial" w:cs="Arial"/>
        </w:rPr>
        <w:t>Administrative tasks may initially be outsourced or handled on a part-time basis to maintain cost efficiency. This approach reflects industry practice among small advisory firms, where non-core activities are often delegated to maintain adviser focus on revenue-generating activity (PwC, 2023). As the business grows, the introduction of dedicated paraplanning or administrative staff will be considered to support increased case volumes and maintain service quality.</w:t>
      </w:r>
    </w:p>
    <w:p w14:paraId="6C64D729" w14:textId="77777777" w:rsidR="001D1271" w:rsidRPr="008F59EC" w:rsidRDefault="001D1271" w:rsidP="0014211F">
      <w:pPr>
        <w:spacing w:line="360" w:lineRule="auto"/>
        <w:jc w:val="both"/>
        <w:rPr>
          <w:rFonts w:ascii="Arial" w:hAnsi="Arial" w:cs="Arial"/>
        </w:rPr>
      </w:pPr>
    </w:p>
    <w:p w14:paraId="40926AD0" w14:textId="77777777" w:rsidR="00962623" w:rsidRPr="008F59EC" w:rsidRDefault="001D1271" w:rsidP="0007190F">
      <w:pPr>
        <w:pStyle w:val="Heading2"/>
        <w:rPr>
          <w:rFonts w:ascii="Arial" w:hAnsi="Arial" w:cs="Arial"/>
        </w:rPr>
      </w:pPr>
      <w:bookmarkStart w:id="48" w:name="_Toc219926292"/>
      <w:r w:rsidRPr="008F59EC">
        <w:rPr>
          <w:rFonts w:ascii="Arial" w:hAnsi="Arial" w:cs="Arial"/>
        </w:rPr>
        <w:t>6.4</w:t>
      </w:r>
      <w:r w:rsidR="002820E5" w:rsidRPr="008F59EC">
        <w:rPr>
          <w:rFonts w:ascii="Arial" w:hAnsi="Arial" w:cs="Arial"/>
        </w:rPr>
        <w:t xml:space="preserve"> </w:t>
      </w:r>
      <w:r w:rsidR="00962623" w:rsidRPr="008F59EC">
        <w:rPr>
          <w:rFonts w:ascii="Arial" w:hAnsi="Arial" w:cs="Arial"/>
        </w:rPr>
        <w:t>Competency Framework and Skills Requirements</w:t>
      </w:r>
      <w:bookmarkEnd w:id="48"/>
    </w:p>
    <w:p w14:paraId="4C189497" w14:textId="77777777" w:rsidR="00962623" w:rsidRPr="008F59EC" w:rsidRDefault="00962623" w:rsidP="0014211F">
      <w:pPr>
        <w:spacing w:line="360" w:lineRule="auto"/>
        <w:jc w:val="both"/>
        <w:rPr>
          <w:rFonts w:ascii="Arial" w:hAnsi="Arial" w:cs="Arial"/>
        </w:rPr>
      </w:pPr>
    </w:p>
    <w:p w14:paraId="66094C54" w14:textId="33BF0FCD" w:rsidR="00962623" w:rsidRPr="008F59EC" w:rsidRDefault="00962623" w:rsidP="0014211F">
      <w:pPr>
        <w:spacing w:line="360" w:lineRule="auto"/>
        <w:jc w:val="both"/>
        <w:rPr>
          <w:rFonts w:ascii="Arial" w:hAnsi="Arial" w:cs="Arial"/>
        </w:rPr>
      </w:pPr>
      <w:r w:rsidRPr="008F59EC">
        <w:rPr>
          <w:rFonts w:ascii="Arial" w:hAnsi="Arial" w:cs="Arial"/>
        </w:rPr>
        <w:t xml:space="preserve">Given the regulatory complexity of mortgage advice, competence within </w:t>
      </w:r>
      <w:r w:rsidR="00EC30AA" w:rsidRPr="008F59EC">
        <w:rPr>
          <w:rFonts w:ascii="Arial" w:hAnsi="Arial" w:cs="Arial"/>
        </w:rPr>
        <w:t xml:space="preserve">Sense Mortgage and </w:t>
      </w:r>
      <w:r w:rsidRPr="008F59EC">
        <w:rPr>
          <w:rFonts w:ascii="Arial" w:hAnsi="Arial" w:cs="Arial"/>
        </w:rPr>
        <w:t>Residential extends beyond formal qualifications. Advisers are required to demonstrate technical knowledge, ethical judgement, communication skills, and the ability to assess suitability in line with individual client circumstances. The Financial Conduct Authority emphasises that competence should be viewed as an ongoing capability rather than a one-time qualification requirement (FCA, 2023).</w:t>
      </w:r>
    </w:p>
    <w:p w14:paraId="0DC22CCD" w14:textId="77777777" w:rsidR="00962623" w:rsidRPr="008F59EC" w:rsidRDefault="00962623" w:rsidP="0014211F">
      <w:pPr>
        <w:spacing w:line="360" w:lineRule="auto"/>
        <w:jc w:val="both"/>
        <w:rPr>
          <w:rFonts w:ascii="Arial" w:hAnsi="Arial" w:cs="Arial"/>
        </w:rPr>
      </w:pPr>
    </w:p>
    <w:p w14:paraId="65BC17AB" w14:textId="01B4906E" w:rsidR="00962623" w:rsidRPr="008F59EC" w:rsidRDefault="00962623" w:rsidP="0014211F">
      <w:pPr>
        <w:spacing w:line="360" w:lineRule="auto"/>
        <w:jc w:val="both"/>
        <w:rPr>
          <w:rFonts w:ascii="Arial" w:hAnsi="Arial" w:cs="Arial"/>
        </w:rPr>
      </w:pPr>
      <w:r w:rsidRPr="008F59EC">
        <w:rPr>
          <w:rFonts w:ascii="Arial" w:hAnsi="Arial" w:cs="Arial"/>
        </w:rPr>
        <w:t xml:space="preserve">In addition to meeting minimum qualification standards, advisers must be capable of interpreting lender criteria, explaining complex mortgage features clearly, and identifying potential consumer vulnerabilities. Research by the Chartered Institute of Personnel and Development (CIPD, 2023) highlights that competency-based role design improves service consistency and reduces operational risk in regulated professional environments. For </w:t>
      </w:r>
      <w:r w:rsidR="00EC30AA" w:rsidRPr="008F59EC">
        <w:rPr>
          <w:rFonts w:ascii="Arial" w:hAnsi="Arial" w:cs="Arial"/>
        </w:rPr>
        <w:t xml:space="preserve">Sense Mortgage and </w:t>
      </w:r>
      <w:r w:rsidRPr="008F59EC">
        <w:rPr>
          <w:rFonts w:ascii="Arial" w:hAnsi="Arial" w:cs="Arial"/>
        </w:rPr>
        <w:t>Residential, a structured competency framework ensures that service quality is maintained as the business grows.</w:t>
      </w:r>
    </w:p>
    <w:p w14:paraId="3C525652" w14:textId="77777777" w:rsidR="00962623" w:rsidRPr="008F59EC" w:rsidRDefault="00962623" w:rsidP="0014211F">
      <w:pPr>
        <w:spacing w:line="360" w:lineRule="auto"/>
        <w:jc w:val="both"/>
        <w:rPr>
          <w:rFonts w:ascii="Arial" w:hAnsi="Arial" w:cs="Arial"/>
        </w:rPr>
      </w:pPr>
    </w:p>
    <w:p w14:paraId="739F366E" w14:textId="46C03894" w:rsidR="001D1271" w:rsidRPr="008F59EC" w:rsidRDefault="00471AFF" w:rsidP="0007190F">
      <w:pPr>
        <w:pStyle w:val="Heading2"/>
        <w:rPr>
          <w:rFonts w:ascii="Arial" w:hAnsi="Arial" w:cs="Arial"/>
        </w:rPr>
      </w:pPr>
      <w:bookmarkStart w:id="49" w:name="_Toc219926293"/>
      <w:r w:rsidRPr="008F59EC">
        <w:rPr>
          <w:rFonts w:ascii="Arial" w:hAnsi="Arial" w:cs="Arial"/>
        </w:rPr>
        <w:lastRenderedPageBreak/>
        <w:t>6.5</w:t>
      </w:r>
      <w:r w:rsidR="001D1271" w:rsidRPr="008F59EC">
        <w:rPr>
          <w:rFonts w:ascii="Arial" w:hAnsi="Arial" w:cs="Arial"/>
        </w:rPr>
        <w:t xml:space="preserve"> Recruitment Strategy</w:t>
      </w:r>
      <w:bookmarkEnd w:id="49"/>
    </w:p>
    <w:p w14:paraId="3DF80196" w14:textId="77777777" w:rsidR="001D1271" w:rsidRPr="008F59EC" w:rsidRDefault="001D1271" w:rsidP="0014211F">
      <w:pPr>
        <w:spacing w:line="360" w:lineRule="auto"/>
        <w:jc w:val="both"/>
        <w:rPr>
          <w:rFonts w:ascii="Arial" w:hAnsi="Arial" w:cs="Arial"/>
        </w:rPr>
      </w:pPr>
    </w:p>
    <w:p w14:paraId="6E61B96C" w14:textId="07157181" w:rsidR="001D1271" w:rsidRPr="008F59EC" w:rsidRDefault="001D1271" w:rsidP="0014211F">
      <w:pPr>
        <w:spacing w:line="360" w:lineRule="auto"/>
        <w:jc w:val="both"/>
        <w:rPr>
          <w:rFonts w:ascii="Arial" w:hAnsi="Arial" w:cs="Arial"/>
        </w:rPr>
      </w:pPr>
      <w:r w:rsidRPr="008F59EC">
        <w:rPr>
          <w:rFonts w:ascii="Arial" w:hAnsi="Arial" w:cs="Arial"/>
        </w:rPr>
        <w:t xml:space="preserve">Recruitment at </w:t>
      </w:r>
      <w:r w:rsidR="00EC30AA" w:rsidRPr="008F59EC">
        <w:rPr>
          <w:rFonts w:ascii="Arial" w:hAnsi="Arial" w:cs="Arial"/>
        </w:rPr>
        <w:t xml:space="preserve">Sense Mortgage and </w:t>
      </w:r>
      <w:r w:rsidRPr="008F59EC">
        <w:rPr>
          <w:rFonts w:ascii="Arial" w:hAnsi="Arial" w:cs="Arial"/>
        </w:rPr>
        <w:t>Residential will follow a phased and needs-based approach. During the early stages, recruitment will focus on roles that directly support compliance and customer outcomes. Selection criteria will prioritise technical competence, ethical standards, communication skills, and cultural alignment with the firm’s values.</w:t>
      </w:r>
    </w:p>
    <w:p w14:paraId="36134D96" w14:textId="77777777" w:rsidR="001D1271" w:rsidRPr="008F59EC" w:rsidRDefault="001D1271" w:rsidP="0014211F">
      <w:pPr>
        <w:spacing w:line="360" w:lineRule="auto"/>
        <w:jc w:val="both"/>
        <w:rPr>
          <w:rFonts w:ascii="Arial" w:hAnsi="Arial" w:cs="Arial"/>
        </w:rPr>
      </w:pPr>
    </w:p>
    <w:p w14:paraId="1D2FE528" w14:textId="5CB0156A" w:rsidR="009B39CA" w:rsidRPr="008F59EC" w:rsidRDefault="001D1271" w:rsidP="0014211F">
      <w:pPr>
        <w:spacing w:line="360" w:lineRule="auto"/>
        <w:jc w:val="both"/>
        <w:rPr>
          <w:rFonts w:ascii="Arial" w:hAnsi="Arial" w:cs="Arial"/>
        </w:rPr>
      </w:pPr>
      <w:r w:rsidRPr="008F59EC">
        <w:rPr>
          <w:rFonts w:ascii="Arial" w:hAnsi="Arial" w:cs="Arial"/>
        </w:rPr>
        <w:t>The recruitment process will be designed to ensure regulatory suitability, including background checks, qualification verification, and assessment of competence in line with FCA expectations (FCA, 2023).</w:t>
      </w:r>
      <w:r w:rsidR="009B39CA" w:rsidRPr="008F59EC">
        <w:rPr>
          <w:rFonts w:ascii="Arial" w:hAnsi="Arial" w:cs="Arial"/>
        </w:rPr>
        <w:t xml:space="preserve"> </w:t>
      </w:r>
      <w:r w:rsidR="00EC30AA" w:rsidRPr="008F59EC">
        <w:rPr>
          <w:rFonts w:ascii="Arial" w:hAnsi="Arial" w:cs="Arial"/>
        </w:rPr>
        <w:t xml:space="preserve">Sense Mortgage and </w:t>
      </w:r>
      <w:r w:rsidR="009B39CA" w:rsidRPr="008F59EC">
        <w:rPr>
          <w:rFonts w:ascii="Arial" w:hAnsi="Arial" w:cs="Arial"/>
        </w:rPr>
        <w:t>Residential will operate with one lead adviser and one part-time administrator or paraplanner. As case volume increases, the business will expand its team, supported by Openwork’s onboarding and training pathways.</w:t>
      </w:r>
    </w:p>
    <w:p w14:paraId="6E926737" w14:textId="73735501" w:rsidR="009B39CA" w:rsidRPr="008F59EC" w:rsidRDefault="009B39CA" w:rsidP="0014211F">
      <w:pPr>
        <w:spacing w:line="360" w:lineRule="auto"/>
        <w:jc w:val="both"/>
        <w:rPr>
          <w:rFonts w:ascii="Arial" w:hAnsi="Arial" w:cs="Arial"/>
        </w:rPr>
      </w:pPr>
      <w:r w:rsidRPr="008F59EC">
        <w:rPr>
          <w:rFonts w:ascii="Arial" w:hAnsi="Arial" w:cs="Arial"/>
        </w:rPr>
        <w:t>A projected growth table supports operational planning:</w:t>
      </w:r>
    </w:p>
    <w:p w14:paraId="018EA3DE" w14:textId="2CDCF9BB" w:rsidR="009B39CA" w:rsidRPr="008F59EC" w:rsidRDefault="00D2154E" w:rsidP="0014211F">
      <w:pPr>
        <w:spacing w:line="360" w:lineRule="auto"/>
        <w:jc w:val="both"/>
        <w:rPr>
          <w:rFonts w:ascii="Arial" w:hAnsi="Arial" w:cs="Arial"/>
        </w:rPr>
      </w:pPr>
      <w:r w:rsidRPr="008F59EC">
        <w:rPr>
          <w:rFonts w:ascii="Arial" w:hAnsi="Arial" w:cs="Arial"/>
        </w:rPr>
        <w:t xml:space="preserve">Table 5: </w:t>
      </w:r>
      <w:r w:rsidR="009B39CA" w:rsidRPr="008F59EC">
        <w:rPr>
          <w:rFonts w:ascii="Arial" w:hAnsi="Arial" w:cs="Arial"/>
        </w:rPr>
        <w:t>Capacity Planning and Staff Growth (Years 1–3)</w:t>
      </w:r>
    </w:p>
    <w:p w14:paraId="58312AED" w14:textId="77777777" w:rsidR="009B39CA" w:rsidRPr="008F59EC" w:rsidRDefault="009B39CA" w:rsidP="0014211F">
      <w:pPr>
        <w:pBdr>
          <w:top w:val="single" w:sz="4" w:space="1" w:color="auto"/>
          <w:left w:val="single" w:sz="4" w:space="4" w:color="auto"/>
          <w:bottom w:val="single" w:sz="4" w:space="1" w:color="auto"/>
          <w:right w:val="single" w:sz="4" w:space="0" w:color="auto"/>
          <w:between w:val="single" w:sz="4" w:space="1" w:color="auto"/>
          <w:bar w:val="single" w:sz="4" w:color="auto"/>
        </w:pBdr>
        <w:spacing w:line="360" w:lineRule="auto"/>
        <w:jc w:val="both"/>
        <w:rPr>
          <w:rFonts w:ascii="Arial" w:hAnsi="Arial" w:cs="Arial"/>
        </w:rPr>
      </w:pPr>
      <w:r w:rsidRPr="008F59EC">
        <w:rPr>
          <w:rFonts w:ascii="Arial" w:hAnsi="Arial" w:cs="Arial"/>
        </w:rPr>
        <w:t xml:space="preserve">Year           </w:t>
      </w:r>
      <w:r w:rsidRPr="008F59EC">
        <w:rPr>
          <w:rFonts w:ascii="Arial" w:hAnsi="Arial" w:cs="Arial"/>
        </w:rPr>
        <w:tab/>
        <w:t>Advisers</w:t>
      </w:r>
      <w:r w:rsidRPr="008F59EC">
        <w:rPr>
          <w:rFonts w:ascii="Arial" w:hAnsi="Arial" w:cs="Arial"/>
        </w:rPr>
        <w:tab/>
        <w:t xml:space="preserve">       Admin Staff</w:t>
      </w:r>
      <w:r w:rsidRPr="008F59EC">
        <w:rPr>
          <w:rFonts w:ascii="Arial" w:hAnsi="Arial" w:cs="Arial"/>
        </w:rPr>
        <w:tab/>
        <w:t xml:space="preserve">                  Estimated Case Capacity</w:t>
      </w:r>
    </w:p>
    <w:p w14:paraId="7148B78A" w14:textId="77777777" w:rsidR="009B39CA" w:rsidRPr="008F59EC" w:rsidRDefault="009B39CA" w:rsidP="0014211F">
      <w:pPr>
        <w:pBdr>
          <w:top w:val="single" w:sz="4" w:space="1" w:color="auto"/>
          <w:left w:val="single" w:sz="4" w:space="4" w:color="auto"/>
          <w:bottom w:val="single" w:sz="4" w:space="1" w:color="auto"/>
          <w:right w:val="single" w:sz="4" w:space="0" w:color="auto"/>
          <w:between w:val="single" w:sz="4" w:space="1" w:color="auto"/>
          <w:bar w:val="single" w:sz="4" w:color="auto"/>
        </w:pBdr>
        <w:spacing w:line="360" w:lineRule="auto"/>
        <w:jc w:val="both"/>
        <w:rPr>
          <w:rFonts w:ascii="Arial" w:hAnsi="Arial" w:cs="Arial"/>
        </w:rPr>
      </w:pPr>
      <w:r w:rsidRPr="008F59EC">
        <w:rPr>
          <w:rFonts w:ascii="Arial" w:hAnsi="Arial" w:cs="Arial"/>
        </w:rPr>
        <w:t xml:space="preserve">Year 1 </w:t>
      </w:r>
      <w:r w:rsidRPr="008F59EC">
        <w:rPr>
          <w:rFonts w:ascii="Arial" w:hAnsi="Arial" w:cs="Arial"/>
        </w:rPr>
        <w:tab/>
        <w:t>1</w:t>
      </w:r>
      <w:r w:rsidRPr="008F59EC">
        <w:rPr>
          <w:rFonts w:ascii="Arial" w:hAnsi="Arial" w:cs="Arial"/>
        </w:rPr>
        <w:tab/>
        <w:t xml:space="preserve">                  1 (PT)</w:t>
      </w:r>
      <w:r w:rsidRPr="008F59EC">
        <w:rPr>
          <w:rFonts w:ascii="Arial" w:hAnsi="Arial" w:cs="Arial"/>
        </w:rPr>
        <w:tab/>
        <w:t xml:space="preserve">                             15–20 cases/month</w:t>
      </w:r>
    </w:p>
    <w:p w14:paraId="0DB60E97" w14:textId="77777777" w:rsidR="009B39CA" w:rsidRPr="008F59EC" w:rsidRDefault="009B39CA" w:rsidP="0014211F">
      <w:pPr>
        <w:pBdr>
          <w:top w:val="single" w:sz="4" w:space="1" w:color="auto"/>
          <w:left w:val="single" w:sz="4" w:space="4" w:color="auto"/>
          <w:bottom w:val="single" w:sz="4" w:space="1" w:color="auto"/>
          <w:right w:val="single" w:sz="4" w:space="0" w:color="auto"/>
          <w:between w:val="single" w:sz="4" w:space="1" w:color="auto"/>
          <w:bar w:val="single" w:sz="4" w:color="auto"/>
        </w:pBdr>
        <w:spacing w:line="360" w:lineRule="auto"/>
        <w:jc w:val="both"/>
        <w:rPr>
          <w:rFonts w:ascii="Arial" w:hAnsi="Arial" w:cs="Arial"/>
        </w:rPr>
      </w:pPr>
      <w:r w:rsidRPr="008F59EC">
        <w:rPr>
          <w:rFonts w:ascii="Arial" w:hAnsi="Arial" w:cs="Arial"/>
        </w:rPr>
        <w:t xml:space="preserve">Year 2 </w:t>
      </w:r>
      <w:r w:rsidRPr="008F59EC">
        <w:rPr>
          <w:rFonts w:ascii="Arial" w:hAnsi="Arial" w:cs="Arial"/>
        </w:rPr>
        <w:tab/>
        <w:t>2</w:t>
      </w:r>
      <w:r w:rsidRPr="008F59EC">
        <w:rPr>
          <w:rFonts w:ascii="Arial" w:hAnsi="Arial" w:cs="Arial"/>
        </w:rPr>
        <w:tab/>
        <w:t xml:space="preserve">                  1 (FT)</w:t>
      </w:r>
      <w:r w:rsidRPr="008F59EC">
        <w:rPr>
          <w:rFonts w:ascii="Arial" w:hAnsi="Arial" w:cs="Arial"/>
        </w:rPr>
        <w:tab/>
        <w:t xml:space="preserve">                              30–40 cases/month</w:t>
      </w:r>
    </w:p>
    <w:p w14:paraId="1C5A683C" w14:textId="77777777" w:rsidR="009B39CA" w:rsidRPr="008F59EC" w:rsidRDefault="009B39CA" w:rsidP="0014211F">
      <w:pPr>
        <w:pBdr>
          <w:top w:val="single" w:sz="4" w:space="1" w:color="auto"/>
          <w:left w:val="single" w:sz="4" w:space="4" w:color="auto"/>
          <w:bottom w:val="single" w:sz="4" w:space="1" w:color="auto"/>
          <w:right w:val="single" w:sz="4" w:space="0" w:color="auto"/>
          <w:between w:val="single" w:sz="4" w:space="1" w:color="auto"/>
          <w:bar w:val="single" w:sz="4" w:color="auto"/>
        </w:pBdr>
        <w:spacing w:line="360" w:lineRule="auto"/>
        <w:jc w:val="both"/>
        <w:rPr>
          <w:rFonts w:ascii="Arial" w:hAnsi="Arial" w:cs="Arial"/>
        </w:rPr>
      </w:pPr>
      <w:r w:rsidRPr="008F59EC">
        <w:rPr>
          <w:rFonts w:ascii="Arial" w:hAnsi="Arial" w:cs="Arial"/>
        </w:rPr>
        <w:t>Year 3</w:t>
      </w:r>
      <w:r w:rsidRPr="008F59EC">
        <w:rPr>
          <w:rFonts w:ascii="Arial" w:hAnsi="Arial" w:cs="Arial"/>
        </w:rPr>
        <w:tab/>
        <w:t xml:space="preserve">          3–4</w:t>
      </w:r>
      <w:r w:rsidRPr="008F59EC">
        <w:rPr>
          <w:rFonts w:ascii="Arial" w:hAnsi="Arial" w:cs="Arial"/>
        </w:rPr>
        <w:tab/>
        <w:t xml:space="preserve">                  2 (FT)</w:t>
      </w:r>
      <w:r w:rsidRPr="008F59EC">
        <w:rPr>
          <w:rFonts w:ascii="Arial" w:hAnsi="Arial" w:cs="Arial"/>
        </w:rPr>
        <w:tab/>
        <w:t xml:space="preserve">                               50+ cases/month</w:t>
      </w:r>
    </w:p>
    <w:p w14:paraId="2B3BE697" w14:textId="77777777" w:rsidR="00D2154E" w:rsidRPr="008F59EC" w:rsidRDefault="00D2154E" w:rsidP="0014211F">
      <w:pPr>
        <w:spacing w:line="360" w:lineRule="auto"/>
        <w:jc w:val="both"/>
        <w:rPr>
          <w:rFonts w:ascii="Arial" w:hAnsi="Arial" w:cs="Arial"/>
          <w:i/>
          <w:iCs/>
        </w:rPr>
      </w:pPr>
    </w:p>
    <w:p w14:paraId="480A35AC" w14:textId="34653F58" w:rsidR="009B39CA" w:rsidRPr="008F59EC" w:rsidRDefault="009B39CA" w:rsidP="0014211F">
      <w:pPr>
        <w:spacing w:line="360" w:lineRule="auto"/>
        <w:jc w:val="both"/>
        <w:rPr>
          <w:rFonts w:ascii="Arial" w:hAnsi="Arial" w:cs="Arial"/>
          <w:i/>
          <w:iCs/>
        </w:rPr>
      </w:pPr>
      <w:r w:rsidRPr="008F59EC">
        <w:rPr>
          <w:rFonts w:ascii="Arial" w:hAnsi="Arial" w:cs="Arial"/>
          <w:i/>
          <w:iCs/>
        </w:rPr>
        <w:t>Source: Author Projection (2025)</w:t>
      </w:r>
    </w:p>
    <w:p w14:paraId="1D9435F5" w14:textId="07C4556E" w:rsidR="001D1271" w:rsidRPr="008F59EC" w:rsidRDefault="009B39CA" w:rsidP="0014211F">
      <w:pPr>
        <w:spacing w:line="360" w:lineRule="auto"/>
        <w:jc w:val="both"/>
        <w:rPr>
          <w:rFonts w:ascii="Arial" w:hAnsi="Arial" w:cs="Arial"/>
        </w:rPr>
      </w:pPr>
      <w:r w:rsidRPr="008F59EC">
        <w:rPr>
          <w:rFonts w:ascii="Arial" w:hAnsi="Arial" w:cs="Arial"/>
        </w:rPr>
        <w:t xml:space="preserve">This structured expansion ensures operations remain manageable, compliant, and financially </w:t>
      </w:r>
      <w:r w:rsidR="009B3A29" w:rsidRPr="008F59EC">
        <w:rPr>
          <w:rFonts w:ascii="Arial" w:hAnsi="Arial" w:cs="Arial"/>
        </w:rPr>
        <w:t>sustainable. By</w:t>
      </w:r>
      <w:r w:rsidR="001D1271" w:rsidRPr="008F59EC">
        <w:rPr>
          <w:rFonts w:ascii="Arial" w:hAnsi="Arial" w:cs="Arial"/>
        </w:rPr>
        <w:t xml:space="preserve"> recruiting gradually and selectively, the firm reduces the risk of overstaffing while maintaining control over service standards.</w:t>
      </w:r>
    </w:p>
    <w:p w14:paraId="43C17E1E" w14:textId="6A327324" w:rsidR="000246EB" w:rsidRPr="008F59EC" w:rsidRDefault="000246EB" w:rsidP="0014211F">
      <w:pPr>
        <w:spacing w:line="360" w:lineRule="auto"/>
        <w:jc w:val="both"/>
        <w:rPr>
          <w:rFonts w:ascii="Arial" w:hAnsi="Arial" w:cs="Arial"/>
        </w:rPr>
      </w:pPr>
      <w:r w:rsidRPr="008F59EC">
        <w:rPr>
          <w:rFonts w:ascii="Arial" w:hAnsi="Arial" w:cs="Arial"/>
        </w:rPr>
        <w:t xml:space="preserve">As a small, adviser-led firm, </w:t>
      </w:r>
      <w:r w:rsidR="00EC30AA" w:rsidRPr="008F59EC">
        <w:rPr>
          <w:rFonts w:ascii="Arial" w:hAnsi="Arial" w:cs="Arial"/>
        </w:rPr>
        <w:t xml:space="preserve">Sense Mortgage and </w:t>
      </w:r>
      <w:r w:rsidRPr="008F59EC">
        <w:rPr>
          <w:rFonts w:ascii="Arial" w:hAnsi="Arial" w:cs="Arial"/>
        </w:rPr>
        <w:t xml:space="preserve">Residential faces potential key-person risk, particularly during early-stage operations. Succession planning is therefore incorporated into the human resource strategy to ensure continuity of service </w:t>
      </w:r>
      <w:r w:rsidRPr="008F59EC">
        <w:rPr>
          <w:rFonts w:ascii="Arial" w:hAnsi="Arial" w:cs="Arial"/>
        </w:rPr>
        <w:lastRenderedPageBreak/>
        <w:t>and regulatory compliance. This includes documenting processes, maintaining comprehensive case records, and ensuring that administrative support functions are transferable.</w:t>
      </w:r>
    </w:p>
    <w:p w14:paraId="59E6AFE6" w14:textId="260DAE56" w:rsidR="001D1271" w:rsidRPr="008F59EC" w:rsidRDefault="000246EB" w:rsidP="0014211F">
      <w:pPr>
        <w:spacing w:line="360" w:lineRule="auto"/>
        <w:jc w:val="both"/>
        <w:rPr>
          <w:rFonts w:ascii="Arial" w:hAnsi="Arial" w:cs="Arial"/>
        </w:rPr>
      </w:pPr>
      <w:r w:rsidRPr="008F59EC">
        <w:rPr>
          <w:rFonts w:ascii="Arial" w:hAnsi="Arial" w:cs="Arial"/>
        </w:rPr>
        <w:t xml:space="preserve">Succession planning also supports long-term scalability by enabling the gradual introduction of additional advisers or support staff without disruption to existing operations. Armstrong and Taylor (2023) argue that early-stage succession planning enhances organisational resilience and reduces dependency on individual roles. For </w:t>
      </w:r>
      <w:r w:rsidR="00EC30AA" w:rsidRPr="008F59EC">
        <w:rPr>
          <w:rFonts w:ascii="Arial" w:hAnsi="Arial" w:cs="Arial"/>
        </w:rPr>
        <w:t xml:space="preserve">Sense Mortgage and </w:t>
      </w:r>
      <w:r w:rsidRPr="008F59EC">
        <w:rPr>
          <w:rFonts w:ascii="Arial" w:hAnsi="Arial" w:cs="Arial"/>
        </w:rPr>
        <w:t>Residential, this approach ensures that growth does not compromise customer outcomes or regulatory standards.</w:t>
      </w:r>
    </w:p>
    <w:p w14:paraId="01F6F7BB" w14:textId="05E725C2" w:rsidR="001D1271" w:rsidRPr="008F59EC" w:rsidRDefault="001D1271" w:rsidP="0007190F">
      <w:pPr>
        <w:pStyle w:val="Heading2"/>
        <w:rPr>
          <w:rFonts w:ascii="Arial" w:hAnsi="Arial" w:cs="Arial"/>
        </w:rPr>
      </w:pPr>
      <w:bookmarkStart w:id="50" w:name="_Toc219926294"/>
      <w:r w:rsidRPr="008F59EC">
        <w:rPr>
          <w:rFonts w:ascii="Arial" w:hAnsi="Arial" w:cs="Arial"/>
        </w:rPr>
        <w:t>6.</w:t>
      </w:r>
      <w:r w:rsidR="00235A16" w:rsidRPr="008F59EC">
        <w:rPr>
          <w:rFonts w:ascii="Arial" w:hAnsi="Arial" w:cs="Arial"/>
        </w:rPr>
        <w:t>6</w:t>
      </w:r>
      <w:r w:rsidRPr="008F59EC">
        <w:rPr>
          <w:rFonts w:ascii="Arial" w:hAnsi="Arial" w:cs="Arial"/>
        </w:rPr>
        <w:t xml:space="preserve"> Training, Competence, and Professional Development</w:t>
      </w:r>
      <w:bookmarkEnd w:id="50"/>
    </w:p>
    <w:p w14:paraId="7A8A66FE" w14:textId="77777777" w:rsidR="001D1271" w:rsidRPr="008F59EC" w:rsidRDefault="001D1271" w:rsidP="0014211F">
      <w:pPr>
        <w:spacing w:line="360" w:lineRule="auto"/>
        <w:jc w:val="both"/>
        <w:rPr>
          <w:rFonts w:ascii="Arial" w:hAnsi="Arial" w:cs="Arial"/>
        </w:rPr>
      </w:pPr>
    </w:p>
    <w:p w14:paraId="28FED5FE" w14:textId="75E5ECDC" w:rsidR="003A5F36" w:rsidRPr="008F59EC" w:rsidRDefault="001D1271" w:rsidP="0014211F">
      <w:pPr>
        <w:spacing w:line="360" w:lineRule="auto"/>
        <w:jc w:val="both"/>
        <w:rPr>
          <w:rFonts w:ascii="Arial" w:hAnsi="Arial" w:cs="Arial"/>
        </w:rPr>
      </w:pPr>
      <w:r w:rsidRPr="008F59EC">
        <w:rPr>
          <w:rFonts w:ascii="Arial" w:hAnsi="Arial" w:cs="Arial"/>
        </w:rPr>
        <w:t xml:space="preserve">Training and competence are critical within regulated mortgage advice. All advisers are required to meet minimum qualification standards and engage in continuous professional development (CPD) to maintain competence. </w:t>
      </w:r>
      <w:r w:rsidR="00EC30AA" w:rsidRPr="008F59EC">
        <w:rPr>
          <w:rFonts w:ascii="Arial" w:hAnsi="Arial" w:cs="Arial"/>
        </w:rPr>
        <w:t xml:space="preserve">Sense Mortgage and </w:t>
      </w:r>
      <w:r w:rsidRPr="008F59EC">
        <w:rPr>
          <w:rFonts w:ascii="Arial" w:hAnsi="Arial" w:cs="Arial"/>
        </w:rPr>
        <w:t>Residential will ensure that advisers complete mandatory CPD requirements and remain up to date with regulatory changes, lender criteria, and market developments.</w:t>
      </w:r>
    </w:p>
    <w:p w14:paraId="109684E5" w14:textId="77777777" w:rsidR="001D1271" w:rsidRPr="008F59EC" w:rsidRDefault="001D1271" w:rsidP="0014211F">
      <w:pPr>
        <w:spacing w:line="360" w:lineRule="auto"/>
        <w:jc w:val="both"/>
        <w:rPr>
          <w:rFonts w:ascii="Arial" w:hAnsi="Arial" w:cs="Arial"/>
        </w:rPr>
      </w:pPr>
    </w:p>
    <w:p w14:paraId="40D39AFA" w14:textId="77777777" w:rsidR="00635424" w:rsidRPr="008F59EC" w:rsidRDefault="001D1271" w:rsidP="0014211F">
      <w:pPr>
        <w:spacing w:line="360" w:lineRule="auto"/>
        <w:jc w:val="both"/>
        <w:rPr>
          <w:rFonts w:ascii="Arial" w:hAnsi="Arial" w:cs="Arial"/>
        </w:rPr>
      </w:pPr>
      <w:r w:rsidRPr="008F59EC">
        <w:rPr>
          <w:rFonts w:ascii="Arial" w:hAnsi="Arial" w:cs="Arial"/>
        </w:rPr>
        <w:t>Ongoing training is supported through the principal network, which provides compliance updates, technical workshops, and regulatory guidance. Research highlights that continuous learning is essential in financial services to mitigate compliance risk and improve customer outcomes (FCA, 2023; CIPD, 2023). Internal knowledge sharing and reflective practice further support professional development and service consistency.</w:t>
      </w:r>
      <w:r w:rsidR="00635424" w:rsidRPr="008F59EC">
        <w:rPr>
          <w:rFonts w:ascii="Arial" w:hAnsi="Arial" w:cs="Arial"/>
        </w:rPr>
        <w:t xml:space="preserve"> Training programmes will include:</w:t>
      </w:r>
    </w:p>
    <w:p w14:paraId="7974EDA6" w14:textId="10ED2DD5" w:rsidR="001D1271" w:rsidRPr="008F59EC" w:rsidRDefault="001D1271" w:rsidP="0014211F">
      <w:pPr>
        <w:spacing w:line="360" w:lineRule="auto"/>
        <w:jc w:val="both"/>
        <w:rPr>
          <w:rFonts w:ascii="Arial" w:hAnsi="Arial" w:cs="Arial"/>
        </w:rPr>
      </w:pPr>
    </w:p>
    <w:p w14:paraId="5A43B325" w14:textId="77777777" w:rsidR="00D2154E" w:rsidRPr="008F59EC" w:rsidRDefault="00FD5DC5" w:rsidP="0014211F">
      <w:pPr>
        <w:spacing w:line="360" w:lineRule="auto"/>
        <w:jc w:val="both"/>
        <w:rPr>
          <w:rFonts w:ascii="Arial" w:hAnsi="Arial" w:cs="Arial"/>
          <w:i/>
          <w:iCs/>
        </w:rPr>
      </w:pPr>
      <w:r w:rsidRPr="008F59EC">
        <w:rPr>
          <w:rFonts w:ascii="Arial" w:hAnsi="Arial" w:cs="Arial"/>
          <w:noProof/>
          <w:bdr w:val="single" w:sz="4" w:space="0" w:color="auto"/>
        </w:rPr>
        <w:lastRenderedPageBreak/>
        <w:drawing>
          <wp:inline distT="0" distB="0" distL="0" distR="0" wp14:anchorId="6A2F66B8" wp14:editId="6818C0A4">
            <wp:extent cx="5731510" cy="2995004"/>
            <wp:effectExtent l="0" t="0" r="2540" b="0"/>
            <wp:docPr id="89230001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5CA9491A" w14:textId="7593F149" w:rsidR="00E044E4" w:rsidRPr="008F59EC" w:rsidRDefault="008B33B2" w:rsidP="0014211F">
      <w:pPr>
        <w:spacing w:line="360" w:lineRule="auto"/>
        <w:jc w:val="center"/>
        <w:rPr>
          <w:rFonts w:ascii="Arial" w:hAnsi="Arial" w:cs="Arial"/>
          <w:i/>
          <w:iCs/>
        </w:rPr>
      </w:pPr>
      <w:r w:rsidRPr="008F59EC">
        <w:rPr>
          <w:rFonts w:ascii="Arial" w:hAnsi="Arial" w:cs="Arial"/>
          <w:i/>
          <w:iCs/>
        </w:rPr>
        <w:t>Figure 7</w:t>
      </w:r>
      <w:r w:rsidR="00D2154E" w:rsidRPr="008F59EC">
        <w:rPr>
          <w:rFonts w:ascii="Arial" w:hAnsi="Arial" w:cs="Arial"/>
          <w:i/>
          <w:iCs/>
        </w:rPr>
        <w:t>: Training Programme Package</w:t>
      </w:r>
    </w:p>
    <w:p w14:paraId="5EF5023E" w14:textId="77777777" w:rsidR="00913606" w:rsidRPr="008F59EC" w:rsidRDefault="00913606" w:rsidP="0014211F">
      <w:pPr>
        <w:spacing w:line="360" w:lineRule="auto"/>
        <w:jc w:val="center"/>
        <w:rPr>
          <w:rFonts w:ascii="Arial" w:hAnsi="Arial" w:cs="Arial"/>
          <w:i/>
          <w:iCs/>
        </w:rPr>
      </w:pPr>
      <w:r w:rsidRPr="008F59EC">
        <w:rPr>
          <w:rFonts w:ascii="Arial" w:hAnsi="Arial" w:cs="Arial"/>
          <w:i/>
          <w:iCs/>
        </w:rPr>
        <w:t>Source: Author Projection (2025)</w:t>
      </w:r>
    </w:p>
    <w:p w14:paraId="3910A832" w14:textId="77777777" w:rsidR="00E96822" w:rsidRPr="008F59EC" w:rsidRDefault="00E96822" w:rsidP="0014211F">
      <w:pPr>
        <w:spacing w:line="360" w:lineRule="auto"/>
        <w:jc w:val="center"/>
        <w:rPr>
          <w:rFonts w:ascii="Arial" w:hAnsi="Arial" w:cs="Arial"/>
          <w:i/>
          <w:iCs/>
        </w:rPr>
      </w:pPr>
    </w:p>
    <w:p w14:paraId="7DD995FD" w14:textId="00A6D2F6" w:rsidR="0099308D" w:rsidRPr="008F59EC" w:rsidRDefault="00E96822" w:rsidP="0014211F">
      <w:pPr>
        <w:spacing w:line="360" w:lineRule="auto"/>
        <w:rPr>
          <w:rFonts w:ascii="Arial" w:hAnsi="Arial" w:cs="Arial"/>
          <w:u w:val="single"/>
        </w:rPr>
      </w:pPr>
      <w:r w:rsidRPr="008F59EC">
        <w:rPr>
          <w:rFonts w:ascii="Arial" w:hAnsi="Arial" w:cs="Arial"/>
          <w:u w:val="single"/>
        </w:rPr>
        <w:t>Evidence of professional development is provided in Appendix A.</w:t>
      </w:r>
    </w:p>
    <w:p w14:paraId="14AB0577" w14:textId="77777777" w:rsidR="00D2154E" w:rsidRPr="008F59EC" w:rsidRDefault="00D2154E" w:rsidP="0014211F">
      <w:pPr>
        <w:spacing w:line="360" w:lineRule="auto"/>
        <w:jc w:val="both"/>
        <w:rPr>
          <w:rFonts w:ascii="Arial" w:hAnsi="Arial" w:cs="Arial"/>
          <w:i/>
          <w:iCs/>
        </w:rPr>
      </w:pPr>
    </w:p>
    <w:p w14:paraId="21E6EC1C" w14:textId="58AAFBFF" w:rsidR="00A45D4B" w:rsidRPr="008F59EC" w:rsidRDefault="00A45D4B" w:rsidP="0007190F">
      <w:pPr>
        <w:pStyle w:val="Heading2"/>
        <w:rPr>
          <w:rFonts w:ascii="Arial" w:hAnsi="Arial" w:cs="Arial"/>
        </w:rPr>
      </w:pPr>
      <w:bookmarkStart w:id="51" w:name="_Toc219926295"/>
      <w:r w:rsidRPr="008F59EC">
        <w:rPr>
          <w:rFonts w:ascii="Arial" w:hAnsi="Arial" w:cs="Arial"/>
        </w:rPr>
        <w:t>6.6.1 Ethical Culture and Consumer Duty Alignment</w:t>
      </w:r>
      <w:bookmarkEnd w:id="51"/>
    </w:p>
    <w:p w14:paraId="32FCAA0A" w14:textId="08A2F4F3" w:rsidR="00A45D4B" w:rsidRPr="008F59EC" w:rsidRDefault="00A45D4B" w:rsidP="0014211F">
      <w:pPr>
        <w:spacing w:line="360" w:lineRule="auto"/>
        <w:jc w:val="both"/>
        <w:rPr>
          <w:rFonts w:ascii="Arial" w:hAnsi="Arial" w:cs="Arial"/>
        </w:rPr>
      </w:pPr>
      <w:r w:rsidRPr="008F59EC">
        <w:rPr>
          <w:rFonts w:ascii="Arial" w:hAnsi="Arial" w:cs="Arial"/>
        </w:rPr>
        <w:t xml:space="preserve">Beyond technical competence, </w:t>
      </w:r>
      <w:r w:rsidR="00EC30AA" w:rsidRPr="008F59EC">
        <w:rPr>
          <w:rFonts w:ascii="Arial" w:hAnsi="Arial" w:cs="Arial"/>
        </w:rPr>
        <w:t xml:space="preserve">Sense Mortgage and </w:t>
      </w:r>
      <w:r w:rsidRPr="008F59EC">
        <w:rPr>
          <w:rFonts w:ascii="Arial" w:hAnsi="Arial" w:cs="Arial"/>
        </w:rPr>
        <w:t>Residential places strong emphasis on ethical conduct and customer-focused culture. The introduction of the Consumer Duty framework reinforces the requirement for firms to act in good faith, avoid foreseeable harm, and support customers in achieving their financial objectives (FCA, 2023). These principles are embedded within training programmes and performance expectations.</w:t>
      </w:r>
    </w:p>
    <w:p w14:paraId="2214207F" w14:textId="77777777" w:rsidR="00A45D4B" w:rsidRPr="008F59EC" w:rsidRDefault="00A45D4B" w:rsidP="0014211F">
      <w:pPr>
        <w:spacing w:line="360" w:lineRule="auto"/>
        <w:jc w:val="both"/>
        <w:rPr>
          <w:rFonts w:ascii="Arial" w:hAnsi="Arial" w:cs="Arial"/>
        </w:rPr>
      </w:pPr>
    </w:p>
    <w:p w14:paraId="792F59F6" w14:textId="32925847" w:rsidR="00A45D4B" w:rsidRPr="008F59EC" w:rsidRDefault="00A45D4B" w:rsidP="0014211F">
      <w:pPr>
        <w:spacing w:line="360" w:lineRule="auto"/>
        <w:jc w:val="both"/>
        <w:rPr>
          <w:rFonts w:ascii="Arial" w:hAnsi="Arial" w:cs="Arial"/>
        </w:rPr>
      </w:pPr>
      <w:r w:rsidRPr="008F59EC">
        <w:rPr>
          <w:rFonts w:ascii="Arial" w:hAnsi="Arial" w:cs="Arial"/>
        </w:rPr>
        <w:t xml:space="preserve">Promoting an ethical culture reduces the risk of mis-selling and enhances long-term trust. According to CIPD (2023), organisations that align performance management with ethical values experience improved staff engagement and lower regulatory risk. </w:t>
      </w:r>
      <w:r w:rsidRPr="008F59EC">
        <w:rPr>
          <w:rFonts w:ascii="Arial" w:hAnsi="Arial" w:cs="Arial"/>
        </w:rPr>
        <w:lastRenderedPageBreak/>
        <w:t xml:space="preserve">By integrating Consumer Duty principles into daily advisory practices, </w:t>
      </w:r>
      <w:r w:rsidR="00EC30AA" w:rsidRPr="008F59EC">
        <w:rPr>
          <w:rFonts w:ascii="Arial" w:hAnsi="Arial" w:cs="Arial"/>
        </w:rPr>
        <w:t xml:space="preserve">Sense Mortgage and </w:t>
      </w:r>
      <w:r w:rsidRPr="008F59EC">
        <w:rPr>
          <w:rFonts w:ascii="Arial" w:hAnsi="Arial" w:cs="Arial"/>
        </w:rPr>
        <w:t>Residential ensures that ethical considerations remain central to decision-making.</w:t>
      </w:r>
    </w:p>
    <w:p w14:paraId="39A015CD" w14:textId="77777777" w:rsidR="00D2154E" w:rsidRPr="008F59EC" w:rsidRDefault="00D2154E" w:rsidP="0014211F">
      <w:pPr>
        <w:spacing w:line="360" w:lineRule="auto"/>
        <w:jc w:val="both"/>
        <w:rPr>
          <w:rFonts w:ascii="Arial" w:hAnsi="Arial" w:cs="Arial"/>
        </w:rPr>
      </w:pPr>
    </w:p>
    <w:p w14:paraId="1A683C49" w14:textId="7FFD75E0" w:rsidR="001D1271" w:rsidRPr="008F59EC" w:rsidRDefault="001D1271" w:rsidP="0007190F">
      <w:pPr>
        <w:pStyle w:val="Heading2"/>
        <w:rPr>
          <w:rFonts w:ascii="Arial" w:hAnsi="Arial" w:cs="Arial"/>
        </w:rPr>
      </w:pPr>
      <w:bookmarkStart w:id="52" w:name="_Toc219926296"/>
      <w:r w:rsidRPr="008F59EC">
        <w:rPr>
          <w:rFonts w:ascii="Arial" w:hAnsi="Arial" w:cs="Arial"/>
        </w:rPr>
        <w:t>6.</w:t>
      </w:r>
      <w:r w:rsidR="0063015C" w:rsidRPr="008F59EC">
        <w:rPr>
          <w:rFonts w:ascii="Arial" w:hAnsi="Arial" w:cs="Arial"/>
        </w:rPr>
        <w:t>7</w:t>
      </w:r>
      <w:r w:rsidRPr="008F59EC">
        <w:rPr>
          <w:rFonts w:ascii="Arial" w:hAnsi="Arial" w:cs="Arial"/>
        </w:rPr>
        <w:t xml:space="preserve"> Performance Management and Incentives</w:t>
      </w:r>
      <w:bookmarkEnd w:id="52"/>
    </w:p>
    <w:p w14:paraId="2BDD8101" w14:textId="77777777" w:rsidR="001D1271" w:rsidRPr="008F59EC" w:rsidRDefault="001D1271" w:rsidP="0014211F">
      <w:pPr>
        <w:spacing w:line="360" w:lineRule="auto"/>
        <w:jc w:val="both"/>
        <w:rPr>
          <w:rFonts w:ascii="Arial" w:hAnsi="Arial" w:cs="Arial"/>
        </w:rPr>
      </w:pPr>
    </w:p>
    <w:p w14:paraId="6BAADDF3" w14:textId="33517230" w:rsidR="001D1271" w:rsidRPr="008F59EC" w:rsidRDefault="001D1271" w:rsidP="0014211F">
      <w:pPr>
        <w:spacing w:line="360" w:lineRule="auto"/>
        <w:jc w:val="both"/>
        <w:rPr>
          <w:rFonts w:ascii="Arial" w:hAnsi="Arial" w:cs="Arial"/>
        </w:rPr>
      </w:pPr>
      <w:r w:rsidRPr="008F59EC">
        <w:rPr>
          <w:rFonts w:ascii="Arial" w:hAnsi="Arial" w:cs="Arial"/>
        </w:rPr>
        <w:t xml:space="preserve">Performance management at </w:t>
      </w:r>
      <w:r w:rsidR="00EC30AA" w:rsidRPr="008F59EC">
        <w:rPr>
          <w:rFonts w:ascii="Arial" w:hAnsi="Arial" w:cs="Arial"/>
        </w:rPr>
        <w:t xml:space="preserve">Sense Mortgage and </w:t>
      </w:r>
      <w:r w:rsidRPr="008F59EC">
        <w:rPr>
          <w:rFonts w:ascii="Arial" w:hAnsi="Arial" w:cs="Arial"/>
        </w:rPr>
        <w:t>Residential focuses on quality, compliance, and customer outcomes rather than volume alone. Key performance indicators include advice quality, file accuracy, customer satisfaction, and case completion efficiency. This approach aligns with Consumer Duty principles, which emphasise fair value and positive outcomes over sales-driven targets (FCA, 2023).</w:t>
      </w:r>
    </w:p>
    <w:p w14:paraId="1511A446" w14:textId="77777777" w:rsidR="001D1271" w:rsidRPr="008F59EC" w:rsidRDefault="001D1271" w:rsidP="0014211F">
      <w:pPr>
        <w:spacing w:line="360" w:lineRule="auto"/>
        <w:jc w:val="both"/>
        <w:rPr>
          <w:rFonts w:ascii="Arial" w:hAnsi="Arial" w:cs="Arial"/>
        </w:rPr>
      </w:pPr>
    </w:p>
    <w:p w14:paraId="60D7C19B" w14:textId="77777777" w:rsidR="001D1271" w:rsidRPr="008F59EC" w:rsidRDefault="001D1271" w:rsidP="0014211F">
      <w:pPr>
        <w:spacing w:line="360" w:lineRule="auto"/>
        <w:jc w:val="both"/>
        <w:rPr>
          <w:rFonts w:ascii="Arial" w:hAnsi="Arial" w:cs="Arial"/>
        </w:rPr>
      </w:pPr>
      <w:r w:rsidRPr="008F59EC">
        <w:rPr>
          <w:rFonts w:ascii="Arial" w:hAnsi="Arial" w:cs="Arial"/>
        </w:rPr>
        <w:t>Incentives, where applied, will be structured to reward compliant behaviour and service quality rather than aggressive sales performance. This reduces the risk of mis-selling and supports a culture of ethical advice delivery. Evidence suggests that balanced performance frameworks contribute to improved staff engagement and reduced regulatory risk in financial services organisations (CIPD, 2023).</w:t>
      </w:r>
    </w:p>
    <w:p w14:paraId="45ED5C5C" w14:textId="087FF01F" w:rsidR="006E3992" w:rsidRPr="008F59EC" w:rsidRDefault="00F66BCB" w:rsidP="0014211F">
      <w:pPr>
        <w:spacing w:line="360" w:lineRule="auto"/>
        <w:jc w:val="both"/>
        <w:rPr>
          <w:rFonts w:ascii="Arial" w:hAnsi="Arial" w:cs="Arial"/>
        </w:rPr>
      </w:pPr>
      <w:r w:rsidRPr="008F59EC">
        <w:rPr>
          <w:rFonts w:ascii="Arial" w:hAnsi="Arial" w:cs="Arial"/>
        </w:rPr>
        <w:t xml:space="preserve">Key performance indicators will </w:t>
      </w:r>
      <w:r w:rsidR="00D2154E" w:rsidRPr="008F59EC">
        <w:rPr>
          <w:rFonts w:ascii="Arial" w:hAnsi="Arial" w:cs="Arial"/>
        </w:rPr>
        <w:t>include</w:t>
      </w:r>
      <w:r w:rsidRPr="008F59EC">
        <w:rPr>
          <w:rFonts w:ascii="Arial" w:hAnsi="Arial" w:cs="Arial"/>
        </w:rPr>
        <w:t xml:space="preserve">: </w:t>
      </w:r>
    </w:p>
    <w:p w14:paraId="48F21A40" w14:textId="10B54479" w:rsidR="00732B6E" w:rsidRPr="008F59EC" w:rsidRDefault="006E3992" w:rsidP="0014211F">
      <w:pPr>
        <w:spacing w:line="360" w:lineRule="auto"/>
        <w:jc w:val="both"/>
        <w:rPr>
          <w:rFonts w:ascii="Arial" w:hAnsi="Arial" w:cs="Arial"/>
        </w:rPr>
      </w:pPr>
      <w:r w:rsidRPr="008F59EC">
        <w:rPr>
          <w:rFonts w:ascii="Arial" w:hAnsi="Arial" w:cs="Arial"/>
          <w:noProof/>
          <w:color w:val="FF0000"/>
          <w:bdr w:val="single" w:sz="4" w:space="0" w:color="auto"/>
        </w:rPr>
        <w:drawing>
          <wp:inline distT="0" distB="0" distL="0" distR="0" wp14:anchorId="1510914E" wp14:editId="37A30B6B">
            <wp:extent cx="5715000" cy="3048000"/>
            <wp:effectExtent l="0" t="19050" r="0" b="19050"/>
            <wp:docPr id="108605461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5D4108A0" w14:textId="5650BB46" w:rsidR="00D2154E" w:rsidRPr="008F59EC" w:rsidRDefault="00913606" w:rsidP="0014211F">
      <w:pPr>
        <w:spacing w:line="360" w:lineRule="auto"/>
        <w:jc w:val="both"/>
        <w:rPr>
          <w:rFonts w:ascii="Arial" w:hAnsi="Arial" w:cs="Arial"/>
          <w:i/>
          <w:iCs/>
        </w:rPr>
      </w:pPr>
      <w:r w:rsidRPr="008F59EC">
        <w:rPr>
          <w:rFonts w:ascii="Arial" w:hAnsi="Arial" w:cs="Arial"/>
          <w:i/>
          <w:iCs/>
        </w:rPr>
        <w:t>Figure 8</w:t>
      </w:r>
      <w:r w:rsidR="00D2154E" w:rsidRPr="008F59EC">
        <w:rPr>
          <w:rFonts w:ascii="Arial" w:hAnsi="Arial" w:cs="Arial"/>
          <w:i/>
          <w:iCs/>
        </w:rPr>
        <w:t>: Staff engagement validation list</w:t>
      </w:r>
    </w:p>
    <w:p w14:paraId="532DCA91" w14:textId="77777777" w:rsidR="00913606" w:rsidRPr="008F59EC" w:rsidRDefault="00913606" w:rsidP="0014211F">
      <w:pPr>
        <w:spacing w:line="360" w:lineRule="auto"/>
        <w:jc w:val="both"/>
        <w:rPr>
          <w:rFonts w:ascii="Arial" w:hAnsi="Arial" w:cs="Arial"/>
          <w:i/>
          <w:iCs/>
        </w:rPr>
      </w:pPr>
      <w:r w:rsidRPr="008F59EC">
        <w:rPr>
          <w:rFonts w:ascii="Arial" w:hAnsi="Arial" w:cs="Arial"/>
          <w:i/>
          <w:iCs/>
        </w:rPr>
        <w:lastRenderedPageBreak/>
        <w:t>Source: Author Projection (2025)</w:t>
      </w:r>
    </w:p>
    <w:p w14:paraId="0CB33CBD" w14:textId="77777777" w:rsidR="00913606" w:rsidRPr="008F59EC" w:rsidRDefault="00913606" w:rsidP="0014211F">
      <w:pPr>
        <w:spacing w:line="360" w:lineRule="auto"/>
        <w:jc w:val="both"/>
        <w:rPr>
          <w:rFonts w:ascii="Arial" w:hAnsi="Arial" w:cs="Arial"/>
          <w:i/>
          <w:iCs/>
        </w:rPr>
      </w:pPr>
    </w:p>
    <w:p w14:paraId="722213AC" w14:textId="56965F79" w:rsidR="00B00495" w:rsidRPr="008F59EC" w:rsidRDefault="00B00495" w:rsidP="0014211F">
      <w:pPr>
        <w:spacing w:line="360" w:lineRule="auto"/>
        <w:jc w:val="both"/>
        <w:rPr>
          <w:rFonts w:ascii="Arial" w:hAnsi="Arial" w:cs="Arial"/>
        </w:rPr>
      </w:pPr>
      <w:r w:rsidRPr="008F59EC">
        <w:rPr>
          <w:rFonts w:ascii="Arial" w:hAnsi="Arial" w:cs="Arial"/>
        </w:rPr>
        <w:t xml:space="preserve">The mortgage advisory sector is subject to frequent changes in lender criteria, regulatory guidance, and market conditions. Effective knowledge management is therefore essential to maintaining adviser competence and service accuracy. </w:t>
      </w:r>
      <w:r w:rsidR="00EC30AA" w:rsidRPr="008F59EC">
        <w:rPr>
          <w:rFonts w:ascii="Arial" w:hAnsi="Arial" w:cs="Arial"/>
        </w:rPr>
        <w:t xml:space="preserve">Sense Mortgage and </w:t>
      </w:r>
      <w:r w:rsidRPr="008F59EC">
        <w:rPr>
          <w:rFonts w:ascii="Arial" w:hAnsi="Arial" w:cs="Arial"/>
        </w:rPr>
        <w:t>Residential supports continuous improvement through regular internal updates, access to network-led training resources, and structured knowledge sharing.</w:t>
      </w:r>
    </w:p>
    <w:p w14:paraId="2059AA9E" w14:textId="77777777" w:rsidR="00B00495" w:rsidRPr="008F59EC" w:rsidRDefault="00B00495" w:rsidP="0014211F">
      <w:pPr>
        <w:spacing w:line="360" w:lineRule="auto"/>
        <w:jc w:val="both"/>
        <w:rPr>
          <w:rFonts w:ascii="Arial" w:hAnsi="Arial" w:cs="Arial"/>
        </w:rPr>
      </w:pPr>
    </w:p>
    <w:p w14:paraId="3AAE1BC1" w14:textId="61D97C19" w:rsidR="00851138" w:rsidRPr="008F59EC" w:rsidRDefault="00B00495" w:rsidP="0014211F">
      <w:pPr>
        <w:spacing w:line="360" w:lineRule="auto"/>
        <w:jc w:val="both"/>
        <w:rPr>
          <w:rFonts w:ascii="Arial" w:hAnsi="Arial" w:cs="Arial"/>
        </w:rPr>
      </w:pPr>
      <w:r w:rsidRPr="008F59EC">
        <w:rPr>
          <w:rFonts w:ascii="Arial" w:hAnsi="Arial" w:cs="Arial"/>
        </w:rPr>
        <w:t xml:space="preserve">Maintaining up-to-date knowledge reduces operational errors and supports consistent customer outcomes. PwC (2023) notes that continuous learning frameworks are particularly important in financial services environments where regulatory change is ongoing. By embedding knowledge management into its HR strategy, </w:t>
      </w:r>
      <w:r w:rsidR="00EC30AA" w:rsidRPr="008F59EC">
        <w:rPr>
          <w:rFonts w:ascii="Arial" w:hAnsi="Arial" w:cs="Arial"/>
        </w:rPr>
        <w:t xml:space="preserve">Sense Mortgage and </w:t>
      </w:r>
      <w:r w:rsidRPr="008F59EC">
        <w:rPr>
          <w:rFonts w:ascii="Arial" w:hAnsi="Arial" w:cs="Arial"/>
        </w:rPr>
        <w:t>Residential strengthens both compliance and service delivery.</w:t>
      </w:r>
    </w:p>
    <w:p w14:paraId="289B3BD8" w14:textId="6DCE0B5B" w:rsidR="001D1271" w:rsidRPr="008F59EC" w:rsidRDefault="001D1271" w:rsidP="0007190F">
      <w:pPr>
        <w:pStyle w:val="Heading2"/>
        <w:rPr>
          <w:rFonts w:ascii="Arial" w:hAnsi="Arial" w:cs="Arial"/>
        </w:rPr>
      </w:pPr>
      <w:bookmarkStart w:id="53" w:name="_Toc219926297"/>
      <w:r w:rsidRPr="008F59EC">
        <w:rPr>
          <w:rFonts w:ascii="Arial" w:hAnsi="Arial" w:cs="Arial"/>
        </w:rPr>
        <w:t>6.</w:t>
      </w:r>
      <w:r w:rsidR="00851138" w:rsidRPr="008F59EC">
        <w:rPr>
          <w:rFonts w:ascii="Arial" w:hAnsi="Arial" w:cs="Arial"/>
        </w:rPr>
        <w:t>8</w:t>
      </w:r>
      <w:r w:rsidRPr="008F59EC">
        <w:rPr>
          <w:rFonts w:ascii="Arial" w:hAnsi="Arial" w:cs="Arial"/>
        </w:rPr>
        <w:t xml:space="preserve"> Employee Wellbeing and Retention</w:t>
      </w:r>
      <w:bookmarkEnd w:id="53"/>
    </w:p>
    <w:p w14:paraId="66538B35" w14:textId="77777777" w:rsidR="001D1271" w:rsidRPr="008F59EC" w:rsidRDefault="001D1271" w:rsidP="0014211F">
      <w:pPr>
        <w:spacing w:line="360" w:lineRule="auto"/>
        <w:jc w:val="both"/>
        <w:rPr>
          <w:rFonts w:ascii="Arial" w:hAnsi="Arial" w:cs="Arial"/>
        </w:rPr>
      </w:pPr>
    </w:p>
    <w:p w14:paraId="2E1063DF" w14:textId="6F7AAE6F" w:rsidR="001D1271" w:rsidRPr="008F59EC" w:rsidRDefault="001D1271" w:rsidP="0014211F">
      <w:pPr>
        <w:spacing w:line="360" w:lineRule="auto"/>
        <w:jc w:val="both"/>
        <w:rPr>
          <w:rFonts w:ascii="Arial" w:hAnsi="Arial" w:cs="Arial"/>
        </w:rPr>
      </w:pPr>
      <w:r w:rsidRPr="008F59EC">
        <w:rPr>
          <w:rFonts w:ascii="Arial" w:hAnsi="Arial" w:cs="Arial"/>
        </w:rPr>
        <w:t xml:space="preserve">Employee wellbeing is recognised as an important factor in maintaining performance and reducing turnover. </w:t>
      </w:r>
      <w:r w:rsidR="00EC30AA" w:rsidRPr="008F59EC">
        <w:rPr>
          <w:rFonts w:ascii="Arial" w:hAnsi="Arial" w:cs="Arial"/>
        </w:rPr>
        <w:t xml:space="preserve">Sense Mortgage and </w:t>
      </w:r>
      <w:r w:rsidRPr="008F59EC">
        <w:rPr>
          <w:rFonts w:ascii="Arial" w:hAnsi="Arial" w:cs="Arial"/>
        </w:rPr>
        <w:t>Residential promotes flexible working arrangements, manageable workloads, and a supportive working environment. These practices are particularly relevant in advisory roles, where cognitive load and regulatory pressure can be high.</w:t>
      </w:r>
    </w:p>
    <w:p w14:paraId="45D41FE7" w14:textId="77777777" w:rsidR="001D1271" w:rsidRPr="008F59EC" w:rsidRDefault="001D1271" w:rsidP="0014211F">
      <w:pPr>
        <w:spacing w:line="360" w:lineRule="auto"/>
        <w:jc w:val="both"/>
        <w:rPr>
          <w:rFonts w:ascii="Arial" w:hAnsi="Arial" w:cs="Arial"/>
        </w:rPr>
      </w:pPr>
    </w:p>
    <w:p w14:paraId="75D8BC1A" w14:textId="77777777" w:rsidR="001D1271" w:rsidRPr="008F59EC" w:rsidRDefault="001D1271" w:rsidP="0014211F">
      <w:pPr>
        <w:spacing w:line="360" w:lineRule="auto"/>
        <w:jc w:val="both"/>
        <w:rPr>
          <w:rFonts w:ascii="Arial" w:hAnsi="Arial" w:cs="Arial"/>
        </w:rPr>
      </w:pPr>
      <w:r w:rsidRPr="008F59EC">
        <w:rPr>
          <w:rFonts w:ascii="Arial" w:hAnsi="Arial" w:cs="Arial"/>
        </w:rPr>
        <w:t>Retention is supported through opportunities for professional development, clear communication, and alignment between individual and organisational values. Studies indicate that investment in employee wellbeing contributes to higher productivity, improved service quality, and long-term organisational sustainability (CIPD, 2023).</w:t>
      </w:r>
    </w:p>
    <w:p w14:paraId="5BEC4A7E" w14:textId="77777777" w:rsidR="008A79C6" w:rsidRPr="008F59EC" w:rsidRDefault="008A79C6" w:rsidP="0014211F">
      <w:pPr>
        <w:spacing w:line="360" w:lineRule="auto"/>
        <w:jc w:val="both"/>
        <w:rPr>
          <w:rFonts w:ascii="Arial" w:hAnsi="Arial" w:cs="Arial"/>
        </w:rPr>
      </w:pPr>
    </w:p>
    <w:p w14:paraId="5C71D532" w14:textId="526C0C3F" w:rsidR="008A79C6" w:rsidRPr="008F59EC" w:rsidRDefault="00D53FDB" w:rsidP="0007190F">
      <w:pPr>
        <w:pStyle w:val="Heading2"/>
        <w:rPr>
          <w:rFonts w:ascii="Arial" w:hAnsi="Arial" w:cs="Arial"/>
        </w:rPr>
      </w:pPr>
      <w:bookmarkStart w:id="54" w:name="_Toc219926298"/>
      <w:r w:rsidRPr="008F59EC">
        <w:rPr>
          <w:rFonts w:ascii="Arial" w:hAnsi="Arial" w:cs="Arial"/>
        </w:rPr>
        <w:lastRenderedPageBreak/>
        <w:t>6.</w:t>
      </w:r>
      <w:r w:rsidR="00B00495" w:rsidRPr="008F59EC">
        <w:rPr>
          <w:rFonts w:ascii="Arial" w:hAnsi="Arial" w:cs="Arial"/>
        </w:rPr>
        <w:t>9</w:t>
      </w:r>
      <w:r w:rsidR="009A479E" w:rsidRPr="008F59EC">
        <w:rPr>
          <w:rFonts w:ascii="Arial" w:hAnsi="Arial" w:cs="Arial"/>
        </w:rPr>
        <w:t xml:space="preserve"> </w:t>
      </w:r>
      <w:r w:rsidR="008A79C6" w:rsidRPr="008F59EC">
        <w:rPr>
          <w:rFonts w:ascii="Arial" w:hAnsi="Arial" w:cs="Arial"/>
        </w:rPr>
        <w:t>HR Risk Management</w:t>
      </w:r>
      <w:bookmarkEnd w:id="54"/>
    </w:p>
    <w:p w14:paraId="160CCC30" w14:textId="77777777" w:rsidR="008A79C6" w:rsidRPr="008F59EC" w:rsidRDefault="008A79C6" w:rsidP="0014211F">
      <w:pPr>
        <w:spacing w:line="360" w:lineRule="auto"/>
        <w:jc w:val="both"/>
        <w:rPr>
          <w:rFonts w:ascii="Arial" w:hAnsi="Arial" w:cs="Arial"/>
        </w:rPr>
      </w:pPr>
      <w:r w:rsidRPr="008F59EC">
        <w:rPr>
          <w:rFonts w:ascii="Arial" w:hAnsi="Arial" w:cs="Arial"/>
        </w:rPr>
        <w:t>Common HR risks include turnover of skilled advisers, compliance failures due to inadequate training, workload imbalance, and recruitment challenges. To reduce these risks, the firm will:</w:t>
      </w:r>
    </w:p>
    <w:tbl>
      <w:tblPr>
        <w:tblStyle w:val="TableGrid"/>
        <w:tblW w:w="0" w:type="auto"/>
        <w:tblLook w:val="04A0" w:firstRow="1" w:lastRow="0" w:firstColumn="1" w:lastColumn="0" w:noHBand="0" w:noVBand="1"/>
      </w:tblPr>
      <w:tblGrid>
        <w:gridCol w:w="9016"/>
      </w:tblGrid>
      <w:tr w:rsidR="008A79C6" w:rsidRPr="008F59EC" w14:paraId="5D906FAB" w14:textId="77777777" w:rsidTr="00D2154E">
        <w:trPr>
          <w:trHeight w:val="4389"/>
        </w:trPr>
        <w:tc>
          <w:tcPr>
            <w:tcW w:w="8882" w:type="dxa"/>
          </w:tcPr>
          <w:p w14:paraId="04020BEF" w14:textId="77777777" w:rsidR="008A79C6" w:rsidRPr="008F59EC" w:rsidRDefault="008A79C6" w:rsidP="0014211F">
            <w:pPr>
              <w:spacing w:line="360" w:lineRule="auto"/>
              <w:jc w:val="both"/>
              <w:rPr>
                <w:rFonts w:ascii="Arial" w:hAnsi="Arial" w:cs="Arial"/>
              </w:rPr>
            </w:pPr>
            <w:r w:rsidRPr="008F59EC">
              <w:rPr>
                <w:rFonts w:ascii="Arial" w:hAnsi="Arial" w:cs="Arial"/>
                <w:noProof/>
              </w:rPr>
              <w:drawing>
                <wp:inline distT="0" distB="0" distL="0" distR="0" wp14:anchorId="4F3F95CD" wp14:editId="5562C24C">
                  <wp:extent cx="6381750" cy="3057525"/>
                  <wp:effectExtent l="0" t="0" r="19050" b="0"/>
                  <wp:docPr id="176284055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tc>
      </w:tr>
    </w:tbl>
    <w:p w14:paraId="35CF72D0" w14:textId="77777777" w:rsidR="00D2154E" w:rsidRPr="008F59EC" w:rsidRDefault="00D2154E" w:rsidP="0014211F">
      <w:pPr>
        <w:spacing w:line="360" w:lineRule="auto"/>
        <w:jc w:val="both"/>
        <w:rPr>
          <w:rFonts w:ascii="Arial" w:hAnsi="Arial" w:cs="Arial"/>
          <w:i/>
          <w:iCs/>
        </w:rPr>
      </w:pPr>
    </w:p>
    <w:p w14:paraId="33E1003D" w14:textId="13C79073" w:rsidR="00D2154E" w:rsidRPr="008F59EC" w:rsidRDefault="00913606" w:rsidP="0014211F">
      <w:pPr>
        <w:spacing w:line="360" w:lineRule="auto"/>
        <w:jc w:val="both"/>
        <w:rPr>
          <w:rFonts w:ascii="Arial" w:hAnsi="Arial" w:cs="Arial"/>
          <w:i/>
          <w:iCs/>
        </w:rPr>
      </w:pPr>
      <w:r w:rsidRPr="008F59EC">
        <w:rPr>
          <w:rFonts w:ascii="Arial" w:hAnsi="Arial" w:cs="Arial"/>
          <w:i/>
          <w:iCs/>
        </w:rPr>
        <w:t>Figure 9</w:t>
      </w:r>
      <w:r w:rsidR="00D2154E" w:rsidRPr="008F59EC">
        <w:rPr>
          <w:rFonts w:ascii="Arial" w:hAnsi="Arial" w:cs="Arial"/>
          <w:i/>
          <w:iCs/>
        </w:rPr>
        <w:t>: Risk Management Validation List</w:t>
      </w:r>
    </w:p>
    <w:p w14:paraId="189E1DFB" w14:textId="72745819" w:rsidR="008A79C6" w:rsidRPr="008F59EC" w:rsidRDefault="008A79C6" w:rsidP="0014211F">
      <w:pPr>
        <w:spacing w:line="360" w:lineRule="auto"/>
        <w:jc w:val="both"/>
        <w:rPr>
          <w:rFonts w:ascii="Arial" w:hAnsi="Arial" w:cs="Arial"/>
          <w:i/>
          <w:iCs/>
        </w:rPr>
      </w:pPr>
      <w:r w:rsidRPr="008F59EC">
        <w:rPr>
          <w:rFonts w:ascii="Arial" w:hAnsi="Arial" w:cs="Arial"/>
          <w:i/>
          <w:iCs/>
        </w:rPr>
        <w:t>(Author illustration 2025)</w:t>
      </w:r>
    </w:p>
    <w:p w14:paraId="04F0DEFC" w14:textId="77777777" w:rsidR="008A79C6" w:rsidRPr="008F59EC" w:rsidRDefault="008A79C6" w:rsidP="0014211F">
      <w:pPr>
        <w:spacing w:line="360" w:lineRule="auto"/>
        <w:jc w:val="both"/>
        <w:rPr>
          <w:rFonts w:ascii="Arial" w:hAnsi="Arial" w:cs="Arial"/>
        </w:rPr>
      </w:pPr>
      <w:r w:rsidRPr="008F59EC">
        <w:rPr>
          <w:rFonts w:ascii="Arial" w:hAnsi="Arial" w:cs="Arial"/>
        </w:rPr>
        <w:t>The combination of structured supervision from Openwork and internal HR policies provides a strong safeguard against compliance breaches or operational disruption.</w:t>
      </w:r>
    </w:p>
    <w:p w14:paraId="16B533D3" w14:textId="27A710E3" w:rsidR="001D1271" w:rsidRPr="008F59EC" w:rsidRDefault="001D1271" w:rsidP="0014211F">
      <w:pPr>
        <w:spacing w:line="360" w:lineRule="auto"/>
        <w:jc w:val="both"/>
        <w:rPr>
          <w:rFonts w:ascii="Arial" w:hAnsi="Arial" w:cs="Arial"/>
        </w:rPr>
      </w:pPr>
    </w:p>
    <w:p w14:paraId="3694150A" w14:textId="1F9C6ED2" w:rsidR="001D1271" w:rsidRPr="008F59EC" w:rsidRDefault="001D1271" w:rsidP="0007190F">
      <w:pPr>
        <w:pStyle w:val="Heading2"/>
        <w:rPr>
          <w:rFonts w:ascii="Arial" w:hAnsi="Arial" w:cs="Arial"/>
        </w:rPr>
      </w:pPr>
      <w:bookmarkStart w:id="55" w:name="_Toc219926299"/>
      <w:r w:rsidRPr="008F59EC">
        <w:rPr>
          <w:rFonts w:ascii="Arial" w:hAnsi="Arial" w:cs="Arial"/>
        </w:rPr>
        <w:t>6.</w:t>
      </w:r>
      <w:r w:rsidR="00793836" w:rsidRPr="008F59EC">
        <w:rPr>
          <w:rFonts w:ascii="Arial" w:hAnsi="Arial" w:cs="Arial"/>
        </w:rPr>
        <w:t>10</w:t>
      </w:r>
      <w:r w:rsidRPr="008F59EC">
        <w:rPr>
          <w:rFonts w:ascii="Arial" w:hAnsi="Arial" w:cs="Arial"/>
        </w:rPr>
        <w:t xml:space="preserve"> Summary</w:t>
      </w:r>
      <w:bookmarkEnd w:id="55"/>
    </w:p>
    <w:p w14:paraId="0EA2C4A0" w14:textId="5C2ED2BE" w:rsidR="008A79C6" w:rsidRPr="008F59EC" w:rsidRDefault="002E3653" w:rsidP="0014211F">
      <w:pPr>
        <w:spacing w:line="360" w:lineRule="auto"/>
        <w:jc w:val="both"/>
        <w:rPr>
          <w:rFonts w:ascii="Arial" w:hAnsi="Arial" w:cs="Arial"/>
        </w:rPr>
      </w:pPr>
      <w:r w:rsidRPr="008F59EC">
        <w:rPr>
          <w:rFonts w:ascii="Arial" w:hAnsi="Arial" w:cs="Arial"/>
        </w:rPr>
        <w:t xml:space="preserve">This chapter has outlined the human resource strategy underpinning the delivery of compliant and high-quality mortgage advisory services at </w:t>
      </w:r>
      <w:r w:rsidR="00EC30AA" w:rsidRPr="008F59EC">
        <w:rPr>
          <w:rFonts w:ascii="Arial" w:hAnsi="Arial" w:cs="Arial"/>
        </w:rPr>
        <w:t xml:space="preserve">Sense Mortgage and </w:t>
      </w:r>
      <w:r w:rsidRPr="008F59EC">
        <w:rPr>
          <w:rFonts w:ascii="Arial" w:hAnsi="Arial" w:cs="Arial"/>
        </w:rPr>
        <w:t xml:space="preserve">Residential. The analysis demonstrates that staffing, recruitment, training, and performance management are closely aligned with regulatory requirements and the firm’s phased growth strategy. Emphasis on adviser competence, ethical culture, and continuous professional development ensures that customer outcomes remain central to service </w:t>
      </w:r>
      <w:r w:rsidR="00D2154E" w:rsidRPr="008F59EC">
        <w:rPr>
          <w:rFonts w:ascii="Arial" w:hAnsi="Arial" w:cs="Arial"/>
        </w:rPr>
        <w:t>delivery. By</w:t>
      </w:r>
      <w:r w:rsidRPr="008F59EC">
        <w:rPr>
          <w:rFonts w:ascii="Arial" w:hAnsi="Arial" w:cs="Arial"/>
        </w:rPr>
        <w:t xml:space="preserve"> adopting a structured competency framework, succession planning, and knowledge management processes, </w:t>
      </w:r>
      <w:r w:rsidR="00EC30AA" w:rsidRPr="008F59EC">
        <w:rPr>
          <w:rFonts w:ascii="Arial" w:hAnsi="Arial" w:cs="Arial"/>
        </w:rPr>
        <w:t xml:space="preserve">Sense Mortgage and </w:t>
      </w:r>
      <w:r w:rsidR="00D25C1D" w:rsidRPr="008F59EC">
        <w:rPr>
          <w:rFonts w:ascii="Arial" w:hAnsi="Arial" w:cs="Arial"/>
        </w:rPr>
        <w:t xml:space="preserve">Residential </w:t>
      </w:r>
      <w:r w:rsidR="00D25C1D" w:rsidRPr="008F59EC">
        <w:rPr>
          <w:rFonts w:ascii="Arial" w:hAnsi="Arial" w:cs="Arial"/>
        </w:rPr>
        <w:lastRenderedPageBreak/>
        <w:t>reduces</w:t>
      </w:r>
      <w:r w:rsidRPr="008F59EC">
        <w:rPr>
          <w:rFonts w:ascii="Arial" w:hAnsi="Arial" w:cs="Arial"/>
        </w:rPr>
        <w:t xml:space="preserve"> key-person risk and supports long-term operational resilience. Overall, the HR plan provides a strong foundation for sustainable growth while maintaining regulatory compliance and service quality.</w:t>
      </w:r>
    </w:p>
    <w:p w14:paraId="3C3D8F8B" w14:textId="77777777" w:rsidR="00D25C1D" w:rsidRPr="008F59EC" w:rsidRDefault="00D25C1D" w:rsidP="0014211F">
      <w:pPr>
        <w:spacing w:line="360" w:lineRule="auto"/>
        <w:jc w:val="both"/>
        <w:rPr>
          <w:rFonts w:ascii="Arial" w:hAnsi="Arial" w:cs="Arial"/>
        </w:rPr>
      </w:pPr>
    </w:p>
    <w:p w14:paraId="38F1245D" w14:textId="77777777" w:rsidR="00206F71" w:rsidRPr="008F59EC" w:rsidRDefault="00206F71" w:rsidP="0014211F">
      <w:pPr>
        <w:pBdr>
          <w:bottom w:val="single" w:sz="4" w:space="1" w:color="auto"/>
        </w:pBdr>
        <w:spacing w:line="360" w:lineRule="auto"/>
        <w:jc w:val="both"/>
        <w:rPr>
          <w:rFonts w:ascii="Arial" w:hAnsi="Arial" w:cs="Arial"/>
        </w:rPr>
      </w:pPr>
    </w:p>
    <w:p w14:paraId="3622B0DB" w14:textId="77777777" w:rsidR="00206F71" w:rsidRDefault="00206F71" w:rsidP="0007190F">
      <w:pPr>
        <w:pStyle w:val="Heading1"/>
        <w:rPr>
          <w:rFonts w:ascii="Arial" w:hAnsi="Arial" w:cs="Arial"/>
        </w:rPr>
      </w:pPr>
      <w:bookmarkStart w:id="56" w:name="_Toc219926300"/>
    </w:p>
    <w:p w14:paraId="039F6551" w14:textId="77777777" w:rsidR="001E653C" w:rsidRDefault="001E653C">
      <w:pPr>
        <w:rPr>
          <w:rFonts w:ascii="Arial" w:eastAsiaTheme="majorEastAsia" w:hAnsi="Arial" w:cs="Arial"/>
          <w:color w:val="0F4761" w:themeColor="accent1" w:themeShade="BF"/>
          <w:sz w:val="40"/>
          <w:szCs w:val="40"/>
        </w:rPr>
      </w:pPr>
      <w:r>
        <w:rPr>
          <w:rFonts w:ascii="Arial" w:hAnsi="Arial" w:cs="Arial"/>
        </w:rPr>
        <w:br w:type="page"/>
      </w:r>
    </w:p>
    <w:p w14:paraId="4D2B0E52" w14:textId="21C0FC65" w:rsidR="00722F48" w:rsidRPr="008F59EC" w:rsidRDefault="00722F48" w:rsidP="0007190F">
      <w:pPr>
        <w:pStyle w:val="Heading1"/>
        <w:rPr>
          <w:rFonts w:ascii="Arial" w:hAnsi="Arial" w:cs="Arial"/>
        </w:rPr>
      </w:pPr>
      <w:r w:rsidRPr="008F59EC">
        <w:rPr>
          <w:rFonts w:ascii="Arial" w:hAnsi="Arial" w:cs="Arial"/>
        </w:rPr>
        <w:lastRenderedPageBreak/>
        <w:t>Chapter 7: Financial Plan</w:t>
      </w:r>
      <w:bookmarkEnd w:id="56"/>
    </w:p>
    <w:p w14:paraId="07D1318A" w14:textId="77777777" w:rsidR="00722F48" w:rsidRPr="008F59EC" w:rsidRDefault="00722F48" w:rsidP="0007190F">
      <w:pPr>
        <w:pStyle w:val="Heading2"/>
        <w:rPr>
          <w:rFonts w:ascii="Arial" w:hAnsi="Arial" w:cs="Arial"/>
        </w:rPr>
      </w:pPr>
      <w:bookmarkStart w:id="57" w:name="_Toc219926301"/>
      <w:r w:rsidRPr="008F59EC">
        <w:rPr>
          <w:rFonts w:ascii="Arial" w:hAnsi="Arial" w:cs="Arial"/>
        </w:rPr>
        <w:t>7.1 Purpose of the Financial Plan</w:t>
      </w:r>
      <w:bookmarkEnd w:id="57"/>
    </w:p>
    <w:p w14:paraId="7F663520" w14:textId="7ECE3F20" w:rsidR="00722F48" w:rsidRPr="008F59EC" w:rsidRDefault="00722F48" w:rsidP="0014211F">
      <w:pPr>
        <w:spacing w:line="360" w:lineRule="auto"/>
        <w:jc w:val="both"/>
        <w:rPr>
          <w:rFonts w:ascii="Arial" w:hAnsi="Arial" w:cs="Arial"/>
        </w:rPr>
      </w:pPr>
      <w:r w:rsidRPr="008F59EC">
        <w:rPr>
          <w:rFonts w:ascii="Arial" w:hAnsi="Arial" w:cs="Arial"/>
        </w:rPr>
        <w:t xml:space="preserve">The financial plan outlines how </w:t>
      </w:r>
      <w:r w:rsidR="00EC30AA" w:rsidRPr="008F59EC">
        <w:rPr>
          <w:rFonts w:ascii="Arial" w:hAnsi="Arial" w:cs="Arial"/>
        </w:rPr>
        <w:t xml:space="preserve">Sense Mortgage and </w:t>
      </w:r>
      <w:r w:rsidRPr="008F59EC">
        <w:rPr>
          <w:rFonts w:ascii="Arial" w:hAnsi="Arial" w:cs="Arial"/>
        </w:rPr>
        <w:t>Residential will achieve financial sustainability while maintaining compliance, operational efficiency, and responsible growth. As a new mortgage advisory business, strong financial planning is essential to manage early-stage costs, forecast revenue, and ensure the business can operate confidently under changing economic and regulatory conditions.</w:t>
      </w:r>
    </w:p>
    <w:p w14:paraId="0F10FD18" w14:textId="77777777" w:rsidR="00722F48" w:rsidRPr="008F59EC" w:rsidRDefault="00722F48" w:rsidP="0014211F">
      <w:pPr>
        <w:spacing w:line="360" w:lineRule="auto"/>
        <w:jc w:val="both"/>
        <w:rPr>
          <w:rFonts w:ascii="Arial" w:hAnsi="Arial" w:cs="Arial"/>
        </w:rPr>
      </w:pPr>
      <w:r w:rsidRPr="008F59EC">
        <w:rPr>
          <w:rFonts w:ascii="Arial" w:hAnsi="Arial" w:cs="Arial"/>
        </w:rPr>
        <w:t xml:space="preserve"> All financial assumptions are informed by industry research, competitor benchmarking, and prevailing cost structures within the UK mortgage advisory sector. Where precise market data is unavailable, conservative estimates have been applied to avoid overstatement of performance. </w:t>
      </w:r>
    </w:p>
    <w:p w14:paraId="19CA4DEC" w14:textId="77777777" w:rsidR="00722F48" w:rsidRPr="008F59EC" w:rsidRDefault="00722F48" w:rsidP="0014211F">
      <w:pPr>
        <w:spacing w:line="360" w:lineRule="auto"/>
        <w:jc w:val="both"/>
        <w:rPr>
          <w:rFonts w:ascii="Arial" w:hAnsi="Arial" w:cs="Arial"/>
        </w:rPr>
      </w:pPr>
      <w:r w:rsidRPr="008F59EC">
        <w:rPr>
          <w:rFonts w:ascii="Arial" w:hAnsi="Arial" w:cs="Arial"/>
        </w:rPr>
        <w:t xml:space="preserve">According to Kotler and Keller (2023), financial planning in service-based firms is a critical component of strategic decision-making because it aligns operational capacity with market opportunity. This chapter presents a structured financial model comprising revenue assumptions, start-up costs, operating expenses, financial projections, and risk considerations. </w:t>
      </w:r>
    </w:p>
    <w:p w14:paraId="011C262A" w14:textId="4958A037" w:rsidR="00722F48" w:rsidRPr="008F59EC" w:rsidRDefault="00722F48" w:rsidP="0014211F">
      <w:pPr>
        <w:spacing w:line="360" w:lineRule="auto"/>
        <w:jc w:val="both"/>
        <w:rPr>
          <w:rFonts w:ascii="Arial" w:hAnsi="Arial" w:cs="Arial"/>
        </w:rPr>
      </w:pPr>
      <w:r w:rsidRPr="008F59EC">
        <w:rPr>
          <w:rFonts w:ascii="Arial" w:hAnsi="Arial" w:cs="Arial"/>
        </w:rPr>
        <w:t xml:space="preserve">The financial plan also evaluates the financial viability and sustainability of </w:t>
      </w:r>
      <w:r w:rsidR="00EC30AA" w:rsidRPr="008F59EC">
        <w:rPr>
          <w:rFonts w:ascii="Arial" w:hAnsi="Arial" w:cs="Arial"/>
        </w:rPr>
        <w:t xml:space="preserve">Sense Mortgage and </w:t>
      </w:r>
      <w:r w:rsidRPr="008F59EC">
        <w:rPr>
          <w:rFonts w:ascii="Arial" w:hAnsi="Arial" w:cs="Arial"/>
        </w:rPr>
        <w:t>Residential during its initial years of operation. The analysis is based on conservative, product-level assumptions and is supported by a detailed monthly cash flow model prepared in Excel. The financial projections demonstrate how the business generates revenue, manages costs, achieves break-even, and maintains positive cash flow under realistic operating conditions.</w:t>
      </w:r>
    </w:p>
    <w:p w14:paraId="06000265" w14:textId="4440800C" w:rsidR="00DE1CB5" w:rsidRPr="008F59EC" w:rsidRDefault="00DE1CB5" w:rsidP="0007190F">
      <w:pPr>
        <w:pStyle w:val="Heading2"/>
        <w:rPr>
          <w:rFonts w:ascii="Arial" w:hAnsi="Arial" w:cs="Arial"/>
        </w:rPr>
      </w:pPr>
      <w:bookmarkStart w:id="58" w:name="_Toc219926302"/>
      <w:r w:rsidRPr="008F59EC">
        <w:rPr>
          <w:rFonts w:ascii="Arial" w:hAnsi="Arial" w:cs="Arial"/>
        </w:rPr>
        <w:t>7.</w:t>
      </w:r>
      <w:r w:rsidR="00EF6CDF" w:rsidRPr="008F59EC">
        <w:rPr>
          <w:rFonts w:ascii="Arial" w:hAnsi="Arial" w:cs="Arial"/>
        </w:rPr>
        <w:t>2</w:t>
      </w:r>
      <w:r w:rsidRPr="008F59EC">
        <w:rPr>
          <w:rFonts w:ascii="Arial" w:hAnsi="Arial" w:cs="Arial"/>
        </w:rPr>
        <w:t xml:space="preserve"> Justification of Revenue Assumptions</w:t>
      </w:r>
      <w:bookmarkEnd w:id="58"/>
    </w:p>
    <w:p w14:paraId="4968877A" w14:textId="77777777" w:rsidR="00DE1CB5" w:rsidRPr="008F59EC" w:rsidRDefault="00DE1CB5" w:rsidP="0014211F">
      <w:pPr>
        <w:spacing w:line="360" w:lineRule="auto"/>
        <w:jc w:val="both"/>
        <w:rPr>
          <w:rFonts w:ascii="Arial" w:hAnsi="Arial" w:cs="Arial"/>
        </w:rPr>
      </w:pPr>
      <w:r w:rsidRPr="008F59EC">
        <w:rPr>
          <w:rFonts w:ascii="Arial" w:hAnsi="Arial" w:cs="Arial"/>
        </w:rPr>
        <w:t>The revenue assumptions used in this financial plan are intentionally conservative and reflect prevailing practices within the UK mortgage intermediary market. Revenue is generated primarily through lender procuration fees, supplemented by broker fees where applicable, and limited ancillary income from protection products offered on a suitability-led basis. This diversified revenue structure reduces reliance on a single income stream and supports financial resilience during periods of market volatility (UK Finance, 2024).</w:t>
      </w:r>
    </w:p>
    <w:p w14:paraId="4A22224B" w14:textId="77777777" w:rsidR="00DE1CB5" w:rsidRPr="008F59EC" w:rsidRDefault="00DE1CB5" w:rsidP="0014211F">
      <w:pPr>
        <w:spacing w:line="360" w:lineRule="auto"/>
        <w:jc w:val="both"/>
        <w:rPr>
          <w:rFonts w:ascii="Arial" w:hAnsi="Arial" w:cs="Arial"/>
        </w:rPr>
      </w:pPr>
    </w:p>
    <w:p w14:paraId="2F4826E2" w14:textId="680745E7" w:rsidR="00172F51" w:rsidRPr="008F59EC" w:rsidRDefault="00DE1CB5" w:rsidP="0014211F">
      <w:pPr>
        <w:spacing w:line="360" w:lineRule="auto"/>
        <w:jc w:val="both"/>
        <w:rPr>
          <w:rFonts w:ascii="Arial" w:hAnsi="Arial" w:cs="Arial"/>
        </w:rPr>
      </w:pPr>
      <w:r w:rsidRPr="008F59EC">
        <w:rPr>
          <w:rFonts w:ascii="Arial" w:hAnsi="Arial" w:cs="Arial"/>
        </w:rPr>
        <w:t xml:space="preserve">Projected case volumes align with the operational capacity outlined in Chapter 5 and reflect realistic conversion expectations for a newly established advisory firm. Research indicates that early-stage professional service businesses benefit from conservative forecasting, as it reduces the risk of liquidity pressure and overextension during initial growth phases (McKinsey &amp; Company, 2023). By avoiding aggressive volume assumptions, </w:t>
      </w:r>
      <w:r w:rsidR="00EC30AA" w:rsidRPr="008F59EC">
        <w:rPr>
          <w:rFonts w:ascii="Arial" w:hAnsi="Arial" w:cs="Arial"/>
        </w:rPr>
        <w:t xml:space="preserve">Sense Mortgage and </w:t>
      </w:r>
      <w:r w:rsidRPr="008F59EC">
        <w:rPr>
          <w:rFonts w:ascii="Arial" w:hAnsi="Arial" w:cs="Arial"/>
        </w:rPr>
        <w:t>Residential ensures that service quality and regulatory compliance remain prioritised over short-term revenue maximisation.</w:t>
      </w:r>
    </w:p>
    <w:p w14:paraId="4144B87E" w14:textId="77777777" w:rsidR="00722F48" w:rsidRPr="008F59EC" w:rsidRDefault="00722F48" w:rsidP="0014211F">
      <w:pPr>
        <w:spacing w:line="360" w:lineRule="auto"/>
        <w:jc w:val="both"/>
        <w:rPr>
          <w:rFonts w:ascii="Arial" w:hAnsi="Arial" w:cs="Arial"/>
        </w:rPr>
      </w:pPr>
    </w:p>
    <w:p w14:paraId="046685CB" w14:textId="53E40508" w:rsidR="00722F48" w:rsidRPr="008F59EC" w:rsidRDefault="00722F48" w:rsidP="0007190F">
      <w:pPr>
        <w:pStyle w:val="Heading2"/>
        <w:rPr>
          <w:rFonts w:ascii="Arial" w:hAnsi="Arial" w:cs="Arial"/>
        </w:rPr>
      </w:pPr>
      <w:bookmarkStart w:id="59" w:name="_Toc219926303"/>
      <w:r w:rsidRPr="008F59EC">
        <w:rPr>
          <w:rFonts w:ascii="Arial" w:hAnsi="Arial" w:cs="Arial"/>
        </w:rPr>
        <w:t>7.</w:t>
      </w:r>
      <w:r w:rsidR="00EF6CDF" w:rsidRPr="008F59EC">
        <w:rPr>
          <w:rFonts w:ascii="Arial" w:hAnsi="Arial" w:cs="Arial"/>
        </w:rPr>
        <w:t>3</w:t>
      </w:r>
      <w:r w:rsidRPr="008F59EC">
        <w:rPr>
          <w:rFonts w:ascii="Arial" w:hAnsi="Arial" w:cs="Arial"/>
        </w:rPr>
        <w:t xml:space="preserve"> Revenue Model and Income Streams</w:t>
      </w:r>
      <w:bookmarkEnd w:id="59"/>
    </w:p>
    <w:p w14:paraId="6C27679A" w14:textId="13192E34" w:rsidR="00722F48" w:rsidRPr="008F59EC" w:rsidRDefault="00EC30AA" w:rsidP="0014211F">
      <w:pPr>
        <w:spacing w:line="360" w:lineRule="auto"/>
        <w:jc w:val="both"/>
        <w:rPr>
          <w:rFonts w:ascii="Arial" w:hAnsi="Arial" w:cs="Arial"/>
        </w:rPr>
      </w:pPr>
      <w:r w:rsidRPr="008F59EC">
        <w:rPr>
          <w:rFonts w:ascii="Arial" w:hAnsi="Arial" w:cs="Arial"/>
        </w:rPr>
        <w:t xml:space="preserve">Sense Mortgage and </w:t>
      </w:r>
      <w:r w:rsidR="00722F48" w:rsidRPr="008F59EC">
        <w:rPr>
          <w:rFonts w:ascii="Arial" w:hAnsi="Arial" w:cs="Arial"/>
        </w:rPr>
        <w:t xml:space="preserve">Residential generates income through mortgage advisory services across three core product categories: first-time buyer mortgages, buy-to-let mortgages, and remortgage transactions. Revenue is earned primarily through lender procuration fees and, where applicable, broker fees charged to clients. Revenue generated by </w:t>
      </w:r>
      <w:r w:rsidRPr="008F59EC">
        <w:rPr>
          <w:rFonts w:ascii="Arial" w:hAnsi="Arial" w:cs="Arial"/>
        </w:rPr>
        <w:t xml:space="preserve">Sense Mortgage and </w:t>
      </w:r>
      <w:r w:rsidR="00722F48" w:rsidRPr="008F59EC">
        <w:rPr>
          <w:rFonts w:ascii="Arial" w:hAnsi="Arial" w:cs="Arial"/>
        </w:rPr>
        <w:t>Residential is derived from a combination of lender procuration fees and, where applicable, broker fees charged to clients and therefore varies by product type depending on case complexity and lending characteristics.</w:t>
      </w:r>
    </w:p>
    <w:p w14:paraId="3EBE7B40" w14:textId="77777777" w:rsidR="00722F48" w:rsidRPr="008F59EC" w:rsidRDefault="00722F48" w:rsidP="0014211F">
      <w:pPr>
        <w:spacing w:line="360" w:lineRule="auto"/>
        <w:jc w:val="both"/>
        <w:rPr>
          <w:rFonts w:ascii="Arial" w:hAnsi="Arial" w:cs="Arial"/>
        </w:rPr>
      </w:pPr>
    </w:p>
    <w:p w14:paraId="2C8B2D47" w14:textId="1525D1BF" w:rsidR="00722F48" w:rsidRPr="008F59EC" w:rsidRDefault="00722F48" w:rsidP="0014211F">
      <w:pPr>
        <w:spacing w:line="360" w:lineRule="auto"/>
        <w:jc w:val="both"/>
        <w:rPr>
          <w:rFonts w:ascii="Arial" w:hAnsi="Arial" w:cs="Arial"/>
        </w:rPr>
      </w:pPr>
      <w:r w:rsidRPr="008F59EC">
        <w:rPr>
          <w:rFonts w:ascii="Arial" w:hAnsi="Arial" w:cs="Arial"/>
        </w:rPr>
        <w:t xml:space="preserve">Revenue assumptions are calculated on a per-case basis, reflecting realistic income levels within the UK mortgage intermediary market. </w:t>
      </w:r>
      <w:r w:rsidR="004A5A28" w:rsidRPr="008F59EC">
        <w:rPr>
          <w:rFonts w:ascii="Arial" w:hAnsi="Arial" w:cs="Arial"/>
        </w:rPr>
        <w:t>*</w:t>
      </w:r>
      <w:r w:rsidR="00056F03" w:rsidRPr="008F59EC">
        <w:rPr>
          <w:rFonts w:ascii="Arial" w:hAnsi="Arial" w:cs="Arial"/>
        </w:rPr>
        <w:t>In addition to mortgage advice, the business anticipates limited ancillary income from protection and general insurance products, which are offered only where suitable and in line with regulatory requirements, and are therefore treated as a supplementary revenue stream rather than a core service.</w:t>
      </w:r>
    </w:p>
    <w:p w14:paraId="7254CD43" w14:textId="77777777" w:rsidR="00722F48" w:rsidRPr="008F59EC" w:rsidRDefault="00722F48" w:rsidP="0014211F">
      <w:pPr>
        <w:spacing w:line="360" w:lineRule="auto"/>
        <w:jc w:val="both"/>
        <w:rPr>
          <w:rFonts w:ascii="Arial" w:hAnsi="Arial" w:cs="Arial"/>
        </w:rPr>
      </w:pPr>
    </w:p>
    <w:p w14:paraId="29FD114D" w14:textId="77777777" w:rsidR="00D2154E" w:rsidRPr="008F59EC" w:rsidRDefault="00D2154E" w:rsidP="0014211F">
      <w:pPr>
        <w:spacing w:line="360" w:lineRule="auto"/>
        <w:jc w:val="both"/>
        <w:rPr>
          <w:rFonts w:ascii="Arial" w:hAnsi="Arial" w:cs="Arial"/>
        </w:rPr>
      </w:pPr>
    </w:p>
    <w:p w14:paraId="0D49F520" w14:textId="77777777" w:rsidR="00D2154E" w:rsidRPr="008F59EC" w:rsidRDefault="00D2154E" w:rsidP="0014211F">
      <w:pPr>
        <w:spacing w:line="360" w:lineRule="auto"/>
        <w:jc w:val="both"/>
        <w:rPr>
          <w:rFonts w:ascii="Arial" w:hAnsi="Arial" w:cs="Arial"/>
        </w:rPr>
      </w:pPr>
    </w:p>
    <w:p w14:paraId="6057532A" w14:textId="77777777" w:rsidR="00D2154E" w:rsidRPr="008F59EC" w:rsidRDefault="00D2154E" w:rsidP="0014211F">
      <w:pPr>
        <w:spacing w:line="360" w:lineRule="auto"/>
        <w:jc w:val="both"/>
        <w:rPr>
          <w:rFonts w:ascii="Arial" w:hAnsi="Arial" w:cs="Arial"/>
        </w:rPr>
      </w:pPr>
    </w:p>
    <w:p w14:paraId="3A5386B1" w14:textId="7718FBBC" w:rsidR="00722F48" w:rsidRPr="008F59EC" w:rsidRDefault="00722F48" w:rsidP="0014211F">
      <w:pPr>
        <w:spacing w:line="360" w:lineRule="auto"/>
        <w:jc w:val="both"/>
        <w:rPr>
          <w:rFonts w:ascii="Arial" w:hAnsi="Arial" w:cs="Arial"/>
        </w:rPr>
      </w:pPr>
      <w:r w:rsidRPr="008F59EC">
        <w:rPr>
          <w:rFonts w:ascii="Arial" w:hAnsi="Arial" w:cs="Arial"/>
        </w:rPr>
        <w:lastRenderedPageBreak/>
        <w:t xml:space="preserve">Here is the </w:t>
      </w:r>
      <w:r w:rsidR="00B74F6A" w:rsidRPr="008F59EC">
        <w:rPr>
          <w:rFonts w:ascii="Arial" w:hAnsi="Arial" w:cs="Arial"/>
        </w:rPr>
        <w:t>estimated</w:t>
      </w:r>
      <w:r w:rsidRPr="008F59EC">
        <w:rPr>
          <w:rFonts w:ascii="Arial" w:hAnsi="Arial" w:cs="Arial"/>
        </w:rPr>
        <w:t xml:space="preserve"> revenue forecast for next 3 years of </w:t>
      </w:r>
      <w:r w:rsidR="00EC30AA" w:rsidRPr="008F59EC">
        <w:rPr>
          <w:rFonts w:ascii="Arial" w:hAnsi="Arial" w:cs="Arial"/>
        </w:rPr>
        <w:t>Sense Mortgage and Residential</w:t>
      </w:r>
      <w:r w:rsidR="00B74F6A" w:rsidRPr="008F59EC">
        <w:rPr>
          <w:rFonts w:ascii="Arial" w:hAnsi="Arial" w:cs="Arial"/>
        </w:rPr>
        <w:t>:</w:t>
      </w:r>
    </w:p>
    <w:p w14:paraId="5312247A" w14:textId="0522B0B9" w:rsidR="00D2154E" w:rsidRPr="008F59EC" w:rsidRDefault="007F4295" w:rsidP="0014211F">
      <w:pPr>
        <w:spacing w:line="360" w:lineRule="auto"/>
        <w:jc w:val="both"/>
        <w:rPr>
          <w:rFonts w:ascii="Arial" w:hAnsi="Arial" w:cs="Arial"/>
        </w:rPr>
      </w:pPr>
      <w:r w:rsidRPr="008F59EC">
        <w:rPr>
          <w:rFonts w:ascii="Arial" w:hAnsi="Arial" w:cs="Arial"/>
        </w:rPr>
        <w:t xml:space="preserve">Table 6: Revenue Forecast for Sense </w:t>
      </w:r>
    </w:p>
    <w:tbl>
      <w:tblPr>
        <w:tblW w:w="9000" w:type="dxa"/>
        <w:tblLook w:val="04A0" w:firstRow="1" w:lastRow="0" w:firstColumn="1" w:lastColumn="0" w:noHBand="0" w:noVBand="1"/>
      </w:tblPr>
      <w:tblGrid>
        <w:gridCol w:w="1505"/>
        <w:gridCol w:w="1569"/>
        <w:gridCol w:w="1671"/>
        <w:gridCol w:w="1280"/>
        <w:gridCol w:w="1618"/>
        <w:gridCol w:w="1373"/>
      </w:tblGrid>
      <w:tr w:rsidR="00722F48" w:rsidRPr="008F59EC" w14:paraId="4C28A221" w14:textId="77777777" w:rsidTr="00AD20EE">
        <w:trPr>
          <w:trHeight w:val="375"/>
        </w:trPr>
        <w:tc>
          <w:tcPr>
            <w:tcW w:w="4760" w:type="dxa"/>
            <w:gridSpan w:val="3"/>
            <w:tcBorders>
              <w:top w:val="single" w:sz="8" w:space="0" w:color="auto"/>
              <w:left w:val="single" w:sz="8" w:space="0" w:color="auto"/>
              <w:bottom w:val="single" w:sz="8" w:space="0" w:color="auto"/>
              <w:right w:val="single" w:sz="8" w:space="0" w:color="000000"/>
            </w:tcBorders>
            <w:noWrap/>
            <w:vAlign w:val="bottom"/>
            <w:hideMark/>
          </w:tcPr>
          <w:p w14:paraId="3162F7D0" w14:textId="77777777" w:rsidR="00722F48" w:rsidRPr="008F59EC" w:rsidRDefault="00722F48" w:rsidP="0014211F">
            <w:pPr>
              <w:spacing w:after="0" w:line="360" w:lineRule="auto"/>
              <w:jc w:val="both"/>
              <w:rPr>
                <w:rFonts w:ascii="Arial" w:eastAsia="Times New Roman" w:hAnsi="Arial" w:cs="Arial"/>
                <w:b/>
                <w:bCs/>
                <w:color w:val="0B3040"/>
                <w:kern w:val="0"/>
                <w:lang w:eastAsia="en-GB"/>
                <w14:ligatures w14:val="none"/>
              </w:rPr>
            </w:pPr>
            <w:r w:rsidRPr="008F59EC">
              <w:rPr>
                <w:rFonts w:ascii="Arial" w:eastAsia="Times New Roman" w:hAnsi="Arial" w:cs="Arial"/>
                <w:b/>
                <w:bCs/>
                <w:color w:val="0B3040"/>
                <w:kern w:val="0"/>
                <w:lang w:eastAsia="en-GB"/>
                <w14:ligatures w14:val="none"/>
              </w:rPr>
              <w:t>Revenue Forecast (Year 1–3)</w:t>
            </w:r>
          </w:p>
        </w:tc>
        <w:tc>
          <w:tcPr>
            <w:tcW w:w="1360" w:type="dxa"/>
            <w:tcBorders>
              <w:top w:val="nil"/>
              <w:left w:val="nil"/>
              <w:bottom w:val="nil"/>
              <w:right w:val="nil"/>
            </w:tcBorders>
            <w:noWrap/>
            <w:vAlign w:val="bottom"/>
            <w:hideMark/>
          </w:tcPr>
          <w:p w14:paraId="3CC9B34A" w14:textId="77777777" w:rsidR="00722F48" w:rsidRPr="008F59EC" w:rsidRDefault="00722F48" w:rsidP="0014211F">
            <w:pPr>
              <w:spacing w:after="0" w:line="360" w:lineRule="auto"/>
              <w:jc w:val="both"/>
              <w:rPr>
                <w:rFonts w:ascii="Arial" w:eastAsia="Times New Roman" w:hAnsi="Arial" w:cs="Arial"/>
                <w:b/>
                <w:bCs/>
                <w:color w:val="0B3040"/>
                <w:kern w:val="0"/>
                <w:lang w:eastAsia="en-GB"/>
                <w14:ligatures w14:val="none"/>
              </w:rPr>
            </w:pPr>
          </w:p>
        </w:tc>
        <w:tc>
          <w:tcPr>
            <w:tcW w:w="1420" w:type="dxa"/>
            <w:tcBorders>
              <w:top w:val="nil"/>
              <w:left w:val="nil"/>
              <w:bottom w:val="nil"/>
              <w:right w:val="nil"/>
            </w:tcBorders>
            <w:noWrap/>
            <w:vAlign w:val="bottom"/>
            <w:hideMark/>
          </w:tcPr>
          <w:p w14:paraId="20EFF7B9"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p>
        </w:tc>
        <w:tc>
          <w:tcPr>
            <w:tcW w:w="1460" w:type="dxa"/>
            <w:tcBorders>
              <w:top w:val="nil"/>
              <w:left w:val="nil"/>
              <w:bottom w:val="nil"/>
              <w:right w:val="nil"/>
            </w:tcBorders>
            <w:noWrap/>
            <w:vAlign w:val="bottom"/>
            <w:hideMark/>
          </w:tcPr>
          <w:p w14:paraId="30FF45E1"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p>
        </w:tc>
      </w:tr>
      <w:tr w:rsidR="00722F48" w:rsidRPr="008F59EC" w14:paraId="4D5C6BC5" w14:textId="77777777" w:rsidTr="00AD20EE">
        <w:trPr>
          <w:trHeight w:val="285"/>
        </w:trPr>
        <w:tc>
          <w:tcPr>
            <w:tcW w:w="1600" w:type="dxa"/>
            <w:tcBorders>
              <w:top w:val="nil"/>
              <w:left w:val="nil"/>
              <w:bottom w:val="nil"/>
              <w:right w:val="nil"/>
            </w:tcBorders>
            <w:noWrap/>
            <w:vAlign w:val="bottom"/>
            <w:hideMark/>
          </w:tcPr>
          <w:p w14:paraId="4DE09A37"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p>
        </w:tc>
        <w:tc>
          <w:tcPr>
            <w:tcW w:w="1380" w:type="dxa"/>
            <w:tcBorders>
              <w:top w:val="nil"/>
              <w:left w:val="nil"/>
              <w:bottom w:val="nil"/>
              <w:right w:val="nil"/>
            </w:tcBorders>
            <w:noWrap/>
            <w:vAlign w:val="bottom"/>
            <w:hideMark/>
          </w:tcPr>
          <w:p w14:paraId="3C88FBBC"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p>
        </w:tc>
        <w:tc>
          <w:tcPr>
            <w:tcW w:w="1780" w:type="dxa"/>
            <w:tcBorders>
              <w:top w:val="nil"/>
              <w:left w:val="nil"/>
              <w:bottom w:val="nil"/>
              <w:right w:val="nil"/>
            </w:tcBorders>
            <w:noWrap/>
            <w:vAlign w:val="bottom"/>
            <w:hideMark/>
          </w:tcPr>
          <w:p w14:paraId="6E2E2746"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p>
        </w:tc>
        <w:tc>
          <w:tcPr>
            <w:tcW w:w="1360" w:type="dxa"/>
            <w:tcBorders>
              <w:top w:val="nil"/>
              <w:left w:val="nil"/>
              <w:bottom w:val="nil"/>
              <w:right w:val="nil"/>
            </w:tcBorders>
            <w:noWrap/>
            <w:vAlign w:val="bottom"/>
            <w:hideMark/>
          </w:tcPr>
          <w:p w14:paraId="7BA5894F"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p>
        </w:tc>
        <w:tc>
          <w:tcPr>
            <w:tcW w:w="1420" w:type="dxa"/>
            <w:tcBorders>
              <w:top w:val="nil"/>
              <w:left w:val="nil"/>
              <w:bottom w:val="nil"/>
              <w:right w:val="nil"/>
            </w:tcBorders>
            <w:noWrap/>
            <w:vAlign w:val="bottom"/>
            <w:hideMark/>
          </w:tcPr>
          <w:p w14:paraId="189196A9"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p>
        </w:tc>
        <w:tc>
          <w:tcPr>
            <w:tcW w:w="1460" w:type="dxa"/>
            <w:tcBorders>
              <w:top w:val="nil"/>
              <w:left w:val="nil"/>
              <w:bottom w:val="nil"/>
              <w:right w:val="nil"/>
            </w:tcBorders>
            <w:noWrap/>
            <w:vAlign w:val="bottom"/>
            <w:hideMark/>
          </w:tcPr>
          <w:p w14:paraId="244D87B8"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p>
        </w:tc>
      </w:tr>
      <w:tr w:rsidR="00722F48" w:rsidRPr="008F59EC" w14:paraId="087A47BB" w14:textId="77777777" w:rsidTr="00AD20EE">
        <w:trPr>
          <w:trHeight w:val="600"/>
        </w:trPr>
        <w:tc>
          <w:tcPr>
            <w:tcW w:w="1600"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6D9F3ACE"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Year</w:t>
            </w:r>
          </w:p>
        </w:tc>
        <w:tc>
          <w:tcPr>
            <w:tcW w:w="1380" w:type="dxa"/>
            <w:tcBorders>
              <w:top w:val="single" w:sz="4" w:space="0" w:color="auto"/>
              <w:left w:val="nil"/>
              <w:bottom w:val="single" w:sz="4" w:space="0" w:color="auto"/>
              <w:right w:val="single" w:sz="4" w:space="0" w:color="auto"/>
            </w:tcBorders>
            <w:shd w:val="clear" w:color="000000" w:fill="DAE9F8"/>
            <w:vAlign w:val="center"/>
            <w:hideMark/>
          </w:tcPr>
          <w:p w14:paraId="109FF3AA"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Mortgage Completions</w:t>
            </w:r>
          </w:p>
        </w:tc>
        <w:tc>
          <w:tcPr>
            <w:tcW w:w="1780" w:type="dxa"/>
            <w:tcBorders>
              <w:top w:val="single" w:sz="4" w:space="0" w:color="auto"/>
              <w:left w:val="nil"/>
              <w:bottom w:val="single" w:sz="4" w:space="0" w:color="auto"/>
              <w:right w:val="single" w:sz="4" w:space="0" w:color="auto"/>
            </w:tcBorders>
            <w:shd w:val="clear" w:color="000000" w:fill="DAE9F8"/>
            <w:vAlign w:val="center"/>
            <w:hideMark/>
          </w:tcPr>
          <w:p w14:paraId="635379ED"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Revenue from Mortgages (£)</w:t>
            </w:r>
          </w:p>
        </w:tc>
        <w:tc>
          <w:tcPr>
            <w:tcW w:w="1360" w:type="dxa"/>
            <w:tcBorders>
              <w:top w:val="single" w:sz="4" w:space="0" w:color="auto"/>
              <w:left w:val="nil"/>
              <w:bottom w:val="single" w:sz="4" w:space="0" w:color="auto"/>
              <w:right w:val="single" w:sz="4" w:space="0" w:color="auto"/>
            </w:tcBorders>
            <w:shd w:val="clear" w:color="000000" w:fill="DAE9F8"/>
            <w:vAlign w:val="center"/>
            <w:hideMark/>
          </w:tcPr>
          <w:p w14:paraId="147969A5"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Broker Fees (£)</w:t>
            </w:r>
          </w:p>
        </w:tc>
        <w:tc>
          <w:tcPr>
            <w:tcW w:w="1420" w:type="dxa"/>
            <w:tcBorders>
              <w:top w:val="single" w:sz="4" w:space="0" w:color="auto"/>
              <w:left w:val="nil"/>
              <w:bottom w:val="single" w:sz="4" w:space="0" w:color="auto"/>
              <w:right w:val="single" w:sz="4" w:space="0" w:color="auto"/>
            </w:tcBorders>
            <w:shd w:val="clear" w:color="000000" w:fill="DAE9F8"/>
            <w:vAlign w:val="center"/>
            <w:hideMark/>
          </w:tcPr>
          <w:p w14:paraId="10D68BAD"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Protection/GI (£)</w:t>
            </w:r>
          </w:p>
        </w:tc>
        <w:tc>
          <w:tcPr>
            <w:tcW w:w="1460" w:type="dxa"/>
            <w:tcBorders>
              <w:top w:val="single" w:sz="4" w:space="0" w:color="auto"/>
              <w:left w:val="nil"/>
              <w:bottom w:val="single" w:sz="4" w:space="0" w:color="auto"/>
              <w:right w:val="single" w:sz="4" w:space="0" w:color="auto"/>
            </w:tcBorders>
            <w:shd w:val="clear" w:color="000000" w:fill="DAE9F8"/>
            <w:vAlign w:val="center"/>
            <w:hideMark/>
          </w:tcPr>
          <w:p w14:paraId="11B9302F"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Total Revenue (£)</w:t>
            </w:r>
          </w:p>
        </w:tc>
      </w:tr>
      <w:tr w:rsidR="00722F48" w:rsidRPr="008F59EC" w14:paraId="20667823" w14:textId="77777777" w:rsidTr="00AD20EE">
        <w:trPr>
          <w:trHeight w:val="570"/>
        </w:trPr>
        <w:tc>
          <w:tcPr>
            <w:tcW w:w="1600" w:type="dxa"/>
            <w:tcBorders>
              <w:top w:val="nil"/>
              <w:left w:val="single" w:sz="4" w:space="0" w:color="auto"/>
              <w:bottom w:val="single" w:sz="4" w:space="0" w:color="auto"/>
              <w:right w:val="single" w:sz="4" w:space="0" w:color="auto"/>
            </w:tcBorders>
            <w:shd w:val="clear" w:color="000000" w:fill="DAE9F8"/>
            <w:vAlign w:val="center"/>
            <w:hideMark/>
          </w:tcPr>
          <w:p w14:paraId="561E7D7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Year 1</w:t>
            </w:r>
          </w:p>
        </w:tc>
        <w:tc>
          <w:tcPr>
            <w:tcW w:w="1380" w:type="dxa"/>
            <w:tcBorders>
              <w:top w:val="nil"/>
              <w:left w:val="nil"/>
              <w:bottom w:val="single" w:sz="4" w:space="0" w:color="auto"/>
              <w:right w:val="single" w:sz="4" w:space="0" w:color="auto"/>
            </w:tcBorders>
            <w:shd w:val="clear" w:color="000000" w:fill="DAE9F8"/>
            <w:vAlign w:val="center"/>
            <w:hideMark/>
          </w:tcPr>
          <w:p w14:paraId="6ABF2DD7" w14:textId="224CFAA3"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w:t>
            </w:r>
            <w:r w:rsidR="00FA4DF5" w:rsidRPr="008F59EC">
              <w:rPr>
                <w:rFonts w:ascii="Arial" w:eastAsia="Times New Roman" w:hAnsi="Arial" w:cs="Arial"/>
                <w:color w:val="000000"/>
                <w:kern w:val="0"/>
                <w:lang w:eastAsia="en-GB"/>
                <w14:ligatures w14:val="none"/>
              </w:rPr>
              <w:t>20</w:t>
            </w:r>
          </w:p>
        </w:tc>
        <w:tc>
          <w:tcPr>
            <w:tcW w:w="1780" w:type="dxa"/>
            <w:tcBorders>
              <w:top w:val="nil"/>
              <w:left w:val="nil"/>
              <w:bottom w:val="single" w:sz="4" w:space="0" w:color="auto"/>
              <w:right w:val="single" w:sz="4" w:space="0" w:color="auto"/>
            </w:tcBorders>
            <w:shd w:val="clear" w:color="000000" w:fill="DAE9F8"/>
            <w:vAlign w:val="center"/>
            <w:hideMark/>
          </w:tcPr>
          <w:p w14:paraId="434E907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108,000</w:t>
            </w:r>
          </w:p>
        </w:tc>
        <w:tc>
          <w:tcPr>
            <w:tcW w:w="1360" w:type="dxa"/>
            <w:tcBorders>
              <w:top w:val="nil"/>
              <w:left w:val="nil"/>
              <w:bottom w:val="single" w:sz="4" w:space="0" w:color="auto"/>
              <w:right w:val="single" w:sz="4" w:space="0" w:color="auto"/>
            </w:tcBorders>
            <w:shd w:val="clear" w:color="000000" w:fill="DAE9F8"/>
            <w:vAlign w:val="center"/>
            <w:hideMark/>
          </w:tcPr>
          <w:p w14:paraId="3809B6CB"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18,000</w:t>
            </w:r>
          </w:p>
        </w:tc>
        <w:tc>
          <w:tcPr>
            <w:tcW w:w="1420" w:type="dxa"/>
            <w:tcBorders>
              <w:top w:val="nil"/>
              <w:left w:val="nil"/>
              <w:bottom w:val="single" w:sz="4" w:space="0" w:color="auto"/>
              <w:right w:val="single" w:sz="4" w:space="0" w:color="auto"/>
            </w:tcBorders>
            <w:shd w:val="clear" w:color="000000" w:fill="DAE9F8"/>
            <w:vAlign w:val="center"/>
            <w:hideMark/>
          </w:tcPr>
          <w:p w14:paraId="67B66A1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12,000</w:t>
            </w:r>
          </w:p>
        </w:tc>
        <w:tc>
          <w:tcPr>
            <w:tcW w:w="1460" w:type="dxa"/>
            <w:tcBorders>
              <w:top w:val="nil"/>
              <w:left w:val="nil"/>
              <w:bottom w:val="single" w:sz="4" w:space="0" w:color="auto"/>
              <w:right w:val="single" w:sz="4" w:space="0" w:color="auto"/>
            </w:tcBorders>
            <w:shd w:val="clear" w:color="000000" w:fill="DAE9F8"/>
            <w:vAlign w:val="center"/>
            <w:hideMark/>
          </w:tcPr>
          <w:p w14:paraId="5C1157E9"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138,150</w:t>
            </w:r>
          </w:p>
        </w:tc>
      </w:tr>
      <w:tr w:rsidR="00722F48" w:rsidRPr="008F59EC" w14:paraId="2AF2826E" w14:textId="77777777" w:rsidTr="00AD20EE">
        <w:trPr>
          <w:trHeight w:val="570"/>
        </w:trPr>
        <w:tc>
          <w:tcPr>
            <w:tcW w:w="1600" w:type="dxa"/>
            <w:tcBorders>
              <w:top w:val="nil"/>
              <w:left w:val="single" w:sz="4" w:space="0" w:color="auto"/>
              <w:bottom w:val="single" w:sz="4" w:space="0" w:color="auto"/>
              <w:right w:val="single" w:sz="4" w:space="0" w:color="auto"/>
            </w:tcBorders>
            <w:shd w:val="clear" w:color="000000" w:fill="DAE9F8"/>
            <w:vAlign w:val="center"/>
            <w:hideMark/>
          </w:tcPr>
          <w:p w14:paraId="161B9F2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Year 2</w:t>
            </w:r>
          </w:p>
        </w:tc>
        <w:tc>
          <w:tcPr>
            <w:tcW w:w="1380" w:type="dxa"/>
            <w:tcBorders>
              <w:top w:val="nil"/>
              <w:left w:val="nil"/>
              <w:bottom w:val="single" w:sz="4" w:space="0" w:color="auto"/>
              <w:right w:val="single" w:sz="4" w:space="0" w:color="auto"/>
            </w:tcBorders>
            <w:shd w:val="clear" w:color="000000" w:fill="DAE9F8"/>
            <w:vAlign w:val="center"/>
            <w:hideMark/>
          </w:tcPr>
          <w:p w14:paraId="3CB6274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150</w:t>
            </w:r>
          </w:p>
        </w:tc>
        <w:tc>
          <w:tcPr>
            <w:tcW w:w="1780" w:type="dxa"/>
            <w:tcBorders>
              <w:top w:val="nil"/>
              <w:left w:val="nil"/>
              <w:bottom w:val="single" w:sz="4" w:space="0" w:color="auto"/>
              <w:right w:val="single" w:sz="4" w:space="0" w:color="auto"/>
            </w:tcBorders>
            <w:shd w:val="clear" w:color="000000" w:fill="DAE9F8"/>
            <w:vAlign w:val="center"/>
            <w:hideMark/>
          </w:tcPr>
          <w:p w14:paraId="330D0BB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135,000</w:t>
            </w:r>
          </w:p>
        </w:tc>
        <w:tc>
          <w:tcPr>
            <w:tcW w:w="1360" w:type="dxa"/>
            <w:tcBorders>
              <w:top w:val="nil"/>
              <w:left w:val="nil"/>
              <w:bottom w:val="single" w:sz="4" w:space="0" w:color="auto"/>
              <w:right w:val="single" w:sz="4" w:space="0" w:color="auto"/>
            </w:tcBorders>
            <w:shd w:val="clear" w:color="000000" w:fill="DAE9F8"/>
            <w:vAlign w:val="center"/>
            <w:hideMark/>
          </w:tcPr>
          <w:p w14:paraId="1687EF5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26,250</w:t>
            </w:r>
          </w:p>
        </w:tc>
        <w:tc>
          <w:tcPr>
            <w:tcW w:w="1420" w:type="dxa"/>
            <w:tcBorders>
              <w:top w:val="nil"/>
              <w:left w:val="nil"/>
              <w:bottom w:val="single" w:sz="4" w:space="0" w:color="auto"/>
              <w:right w:val="single" w:sz="4" w:space="0" w:color="auto"/>
            </w:tcBorders>
            <w:shd w:val="clear" w:color="000000" w:fill="DAE9F8"/>
            <w:vAlign w:val="center"/>
            <w:hideMark/>
          </w:tcPr>
          <w:p w14:paraId="77F56704"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18,750</w:t>
            </w:r>
          </w:p>
        </w:tc>
        <w:tc>
          <w:tcPr>
            <w:tcW w:w="1460" w:type="dxa"/>
            <w:tcBorders>
              <w:top w:val="nil"/>
              <w:left w:val="nil"/>
              <w:bottom w:val="single" w:sz="4" w:space="0" w:color="auto"/>
              <w:right w:val="single" w:sz="4" w:space="0" w:color="auto"/>
            </w:tcBorders>
            <w:shd w:val="clear" w:color="000000" w:fill="DAE9F8"/>
            <w:vAlign w:val="center"/>
            <w:hideMark/>
          </w:tcPr>
          <w:p w14:paraId="1C7E0E2D"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180,150</w:t>
            </w:r>
          </w:p>
        </w:tc>
      </w:tr>
      <w:tr w:rsidR="00722F48" w:rsidRPr="008F59EC" w14:paraId="4FD6CC40" w14:textId="77777777" w:rsidTr="00AD20EE">
        <w:trPr>
          <w:trHeight w:val="300"/>
        </w:trPr>
        <w:tc>
          <w:tcPr>
            <w:tcW w:w="1600" w:type="dxa"/>
            <w:tcBorders>
              <w:top w:val="nil"/>
              <w:left w:val="single" w:sz="4" w:space="0" w:color="auto"/>
              <w:bottom w:val="single" w:sz="4" w:space="0" w:color="auto"/>
              <w:right w:val="single" w:sz="4" w:space="0" w:color="auto"/>
            </w:tcBorders>
            <w:shd w:val="clear" w:color="000000" w:fill="DAE9F8"/>
            <w:vAlign w:val="center"/>
            <w:hideMark/>
          </w:tcPr>
          <w:p w14:paraId="348284A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Year 3</w:t>
            </w:r>
          </w:p>
        </w:tc>
        <w:tc>
          <w:tcPr>
            <w:tcW w:w="1380" w:type="dxa"/>
            <w:tcBorders>
              <w:top w:val="nil"/>
              <w:left w:val="nil"/>
              <w:bottom w:val="single" w:sz="4" w:space="0" w:color="auto"/>
              <w:right w:val="single" w:sz="4" w:space="0" w:color="auto"/>
            </w:tcBorders>
            <w:shd w:val="clear" w:color="000000" w:fill="DAE9F8"/>
            <w:vAlign w:val="center"/>
            <w:hideMark/>
          </w:tcPr>
          <w:p w14:paraId="0E27306B"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180</w:t>
            </w:r>
          </w:p>
        </w:tc>
        <w:tc>
          <w:tcPr>
            <w:tcW w:w="1780" w:type="dxa"/>
            <w:tcBorders>
              <w:top w:val="nil"/>
              <w:left w:val="nil"/>
              <w:bottom w:val="single" w:sz="4" w:space="0" w:color="auto"/>
              <w:right w:val="single" w:sz="4" w:space="0" w:color="auto"/>
            </w:tcBorders>
            <w:shd w:val="clear" w:color="000000" w:fill="DAE9F8"/>
            <w:vAlign w:val="center"/>
            <w:hideMark/>
          </w:tcPr>
          <w:p w14:paraId="10792C2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162,000</w:t>
            </w:r>
          </w:p>
        </w:tc>
        <w:tc>
          <w:tcPr>
            <w:tcW w:w="1360" w:type="dxa"/>
            <w:tcBorders>
              <w:top w:val="nil"/>
              <w:left w:val="nil"/>
              <w:bottom w:val="single" w:sz="4" w:space="0" w:color="auto"/>
              <w:right w:val="single" w:sz="4" w:space="0" w:color="auto"/>
            </w:tcBorders>
            <w:shd w:val="clear" w:color="000000" w:fill="DAE9F8"/>
            <w:vAlign w:val="center"/>
            <w:hideMark/>
          </w:tcPr>
          <w:p w14:paraId="139E846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31,500</w:t>
            </w:r>
          </w:p>
        </w:tc>
        <w:tc>
          <w:tcPr>
            <w:tcW w:w="1420" w:type="dxa"/>
            <w:tcBorders>
              <w:top w:val="nil"/>
              <w:left w:val="nil"/>
              <w:bottom w:val="single" w:sz="4" w:space="0" w:color="auto"/>
              <w:right w:val="single" w:sz="4" w:space="0" w:color="auto"/>
            </w:tcBorders>
            <w:shd w:val="clear" w:color="000000" w:fill="DAE9F8"/>
            <w:vAlign w:val="center"/>
            <w:hideMark/>
          </w:tcPr>
          <w:p w14:paraId="4349D61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25,000</w:t>
            </w:r>
          </w:p>
        </w:tc>
        <w:tc>
          <w:tcPr>
            <w:tcW w:w="1460" w:type="dxa"/>
            <w:tcBorders>
              <w:top w:val="nil"/>
              <w:left w:val="nil"/>
              <w:bottom w:val="single" w:sz="4" w:space="0" w:color="auto"/>
              <w:right w:val="single" w:sz="4" w:space="0" w:color="auto"/>
            </w:tcBorders>
            <w:shd w:val="clear" w:color="000000" w:fill="DAE9F8"/>
            <w:vAlign w:val="center"/>
            <w:hideMark/>
          </w:tcPr>
          <w:p w14:paraId="02A6B0BC"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218,680</w:t>
            </w:r>
          </w:p>
        </w:tc>
      </w:tr>
    </w:tbl>
    <w:p w14:paraId="7E6696AE" w14:textId="77777777" w:rsidR="00722F48" w:rsidRPr="008F59EC" w:rsidRDefault="00722F48" w:rsidP="0014211F">
      <w:pPr>
        <w:spacing w:line="360" w:lineRule="auto"/>
        <w:jc w:val="both"/>
        <w:rPr>
          <w:rFonts w:ascii="Arial" w:hAnsi="Arial" w:cs="Arial"/>
        </w:rPr>
      </w:pPr>
    </w:p>
    <w:p w14:paraId="6D74D275" w14:textId="4FD1C771" w:rsidR="007F4295" w:rsidRPr="008F59EC" w:rsidRDefault="007F4295" w:rsidP="0014211F">
      <w:pPr>
        <w:spacing w:line="360" w:lineRule="auto"/>
        <w:jc w:val="both"/>
        <w:rPr>
          <w:rFonts w:ascii="Arial" w:hAnsi="Arial" w:cs="Arial"/>
          <w:i/>
          <w:iCs/>
        </w:rPr>
      </w:pPr>
      <w:r w:rsidRPr="008F59EC">
        <w:rPr>
          <w:rFonts w:ascii="Arial" w:hAnsi="Arial" w:cs="Arial"/>
          <w:i/>
          <w:iCs/>
        </w:rPr>
        <w:t>Source: Author’s illustration (2026), based on internal financial projections</w:t>
      </w:r>
    </w:p>
    <w:p w14:paraId="40AF837A" w14:textId="77777777" w:rsidR="00722F48" w:rsidRPr="008F59EC" w:rsidRDefault="00722F48" w:rsidP="0014211F">
      <w:pPr>
        <w:spacing w:line="360" w:lineRule="auto"/>
        <w:jc w:val="both"/>
        <w:rPr>
          <w:rFonts w:ascii="Arial" w:hAnsi="Arial" w:cs="Arial"/>
        </w:rPr>
      </w:pPr>
      <w:r w:rsidRPr="008F59EC">
        <w:rPr>
          <w:rFonts w:ascii="Arial" w:hAnsi="Arial" w:cs="Arial"/>
        </w:rPr>
        <w:t>Average revenue per completed case differs by product type, with buy-to-let cases generating higher income due to increased complexity, while remortgage cases generate slightly lower income but occur at higher volumes. First-time buyer cases provide stable and predictable revenue during early business growth.</w:t>
      </w:r>
    </w:p>
    <w:p w14:paraId="2853B950" w14:textId="77777777" w:rsidR="00722F48" w:rsidRPr="008F59EC" w:rsidRDefault="00722F48" w:rsidP="0014211F">
      <w:pPr>
        <w:spacing w:line="360" w:lineRule="auto"/>
        <w:jc w:val="both"/>
        <w:rPr>
          <w:rFonts w:ascii="Arial" w:hAnsi="Arial" w:cs="Arial"/>
        </w:rPr>
      </w:pPr>
      <w:r w:rsidRPr="008F59EC">
        <w:rPr>
          <w:rFonts w:ascii="Arial" w:hAnsi="Arial" w:cs="Arial"/>
        </w:rPr>
        <w:t>Following chart demonstrate the initial start-up costs include legal setup, branding, technology subscriptions, equipment, and early-stage marketing. Table 8 summarises projected start-up expenditure.</w:t>
      </w:r>
    </w:p>
    <w:p w14:paraId="2EF8EB4F" w14:textId="77777777" w:rsidR="00722F48" w:rsidRPr="008F59EC" w:rsidRDefault="00722F48" w:rsidP="0014211F">
      <w:pPr>
        <w:spacing w:line="360" w:lineRule="auto"/>
        <w:jc w:val="both"/>
        <w:rPr>
          <w:rFonts w:ascii="Arial" w:hAnsi="Arial" w:cs="Arial"/>
        </w:rPr>
      </w:pPr>
    </w:p>
    <w:p w14:paraId="1E6806D9" w14:textId="6B650FCD" w:rsidR="00722F48" w:rsidRPr="008F59EC" w:rsidRDefault="007F4295" w:rsidP="0014211F">
      <w:pPr>
        <w:spacing w:line="360" w:lineRule="auto"/>
        <w:jc w:val="both"/>
        <w:rPr>
          <w:rFonts w:ascii="Arial" w:hAnsi="Arial" w:cs="Arial"/>
        </w:rPr>
      </w:pPr>
      <w:r w:rsidRPr="008F59EC">
        <w:rPr>
          <w:rFonts w:ascii="Arial" w:hAnsi="Arial" w:cs="Arial"/>
        </w:rPr>
        <w:t xml:space="preserve">Table 7: </w:t>
      </w:r>
      <w:r w:rsidR="00722F48" w:rsidRPr="008F59EC">
        <w:rPr>
          <w:rFonts w:ascii="Arial" w:hAnsi="Arial" w:cs="Arial"/>
        </w:rPr>
        <w:t>Estimated Start-Up Costs (Year 0 – Pre-Launch)</w:t>
      </w:r>
      <w:r w:rsidRPr="008F59EC">
        <w:rPr>
          <w:rFonts w:ascii="Arial" w:hAnsi="Arial" w:cs="Arial"/>
        </w:rPr>
        <w:t xml:space="preserve"> for sense</w:t>
      </w: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8"/>
        <w:gridCol w:w="5306"/>
      </w:tblGrid>
      <w:tr w:rsidR="00722F48" w:rsidRPr="008F59EC" w14:paraId="028301C7" w14:textId="77777777" w:rsidTr="003F53A7">
        <w:trPr>
          <w:trHeight w:val="883"/>
        </w:trPr>
        <w:tc>
          <w:tcPr>
            <w:tcW w:w="3908" w:type="dxa"/>
            <w:shd w:val="clear" w:color="000000" w:fill="DAE9F8"/>
            <w:vAlign w:val="center"/>
            <w:hideMark/>
          </w:tcPr>
          <w:p w14:paraId="17DB81CF"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Cost Category</w:t>
            </w:r>
          </w:p>
        </w:tc>
        <w:tc>
          <w:tcPr>
            <w:tcW w:w="5306" w:type="dxa"/>
            <w:shd w:val="clear" w:color="000000" w:fill="DAE9F8"/>
            <w:vAlign w:val="center"/>
            <w:hideMark/>
          </w:tcPr>
          <w:p w14:paraId="5B0FA6E8"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Estimated Cost (£)</w:t>
            </w:r>
          </w:p>
        </w:tc>
      </w:tr>
      <w:tr w:rsidR="00722F48" w:rsidRPr="008F59EC" w14:paraId="75E7B1E1" w14:textId="77777777" w:rsidTr="003F53A7">
        <w:trPr>
          <w:trHeight w:val="559"/>
        </w:trPr>
        <w:tc>
          <w:tcPr>
            <w:tcW w:w="3908" w:type="dxa"/>
            <w:shd w:val="clear" w:color="000000" w:fill="DAE9F8"/>
            <w:vAlign w:val="center"/>
            <w:hideMark/>
          </w:tcPr>
          <w:p w14:paraId="76E7ED8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Company formation &amp; FCA-related fees</w:t>
            </w:r>
          </w:p>
        </w:tc>
        <w:tc>
          <w:tcPr>
            <w:tcW w:w="5306" w:type="dxa"/>
            <w:shd w:val="clear" w:color="000000" w:fill="DAE9F8"/>
            <w:vAlign w:val="center"/>
            <w:hideMark/>
          </w:tcPr>
          <w:p w14:paraId="3A915E9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£250</w:t>
            </w:r>
          </w:p>
        </w:tc>
      </w:tr>
      <w:tr w:rsidR="00722F48" w:rsidRPr="008F59EC" w14:paraId="14CDB25E" w14:textId="77777777" w:rsidTr="003F53A7">
        <w:trPr>
          <w:trHeight w:val="559"/>
        </w:trPr>
        <w:tc>
          <w:tcPr>
            <w:tcW w:w="3908" w:type="dxa"/>
            <w:shd w:val="clear" w:color="000000" w:fill="DAE9F8"/>
            <w:vAlign w:val="center"/>
            <w:hideMark/>
          </w:tcPr>
          <w:p w14:paraId="54A006D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Branding &amp; Logo Development</w:t>
            </w:r>
          </w:p>
        </w:tc>
        <w:tc>
          <w:tcPr>
            <w:tcW w:w="5306" w:type="dxa"/>
            <w:shd w:val="clear" w:color="000000" w:fill="DAE9F8"/>
            <w:vAlign w:val="center"/>
            <w:hideMark/>
          </w:tcPr>
          <w:p w14:paraId="1A323FF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£400</w:t>
            </w:r>
          </w:p>
        </w:tc>
      </w:tr>
      <w:tr w:rsidR="00722F48" w:rsidRPr="008F59EC" w14:paraId="57EC0CC7" w14:textId="77777777" w:rsidTr="003F53A7">
        <w:trPr>
          <w:trHeight w:val="294"/>
        </w:trPr>
        <w:tc>
          <w:tcPr>
            <w:tcW w:w="3908" w:type="dxa"/>
            <w:shd w:val="clear" w:color="000000" w:fill="DAE9F8"/>
            <w:vAlign w:val="center"/>
            <w:hideMark/>
          </w:tcPr>
          <w:p w14:paraId="3240716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Website Development</w:t>
            </w:r>
          </w:p>
        </w:tc>
        <w:tc>
          <w:tcPr>
            <w:tcW w:w="5306" w:type="dxa"/>
            <w:shd w:val="clear" w:color="000000" w:fill="DAE9F8"/>
            <w:vAlign w:val="center"/>
            <w:hideMark/>
          </w:tcPr>
          <w:p w14:paraId="6D4A56A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£1,000</w:t>
            </w:r>
          </w:p>
        </w:tc>
      </w:tr>
      <w:tr w:rsidR="00722F48" w:rsidRPr="008F59EC" w14:paraId="60FB12D3" w14:textId="77777777" w:rsidTr="003F53A7">
        <w:trPr>
          <w:trHeight w:val="559"/>
        </w:trPr>
        <w:tc>
          <w:tcPr>
            <w:tcW w:w="3908" w:type="dxa"/>
            <w:shd w:val="clear" w:color="000000" w:fill="DAE9F8"/>
            <w:vAlign w:val="center"/>
            <w:hideMark/>
          </w:tcPr>
          <w:p w14:paraId="15B317B8"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lastRenderedPageBreak/>
              <w:t>CRM Setup &amp; Licensing</w:t>
            </w:r>
          </w:p>
        </w:tc>
        <w:tc>
          <w:tcPr>
            <w:tcW w:w="5306" w:type="dxa"/>
            <w:shd w:val="clear" w:color="000000" w:fill="DAE9F8"/>
            <w:vAlign w:val="center"/>
            <w:hideMark/>
          </w:tcPr>
          <w:p w14:paraId="12A1B72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£350</w:t>
            </w:r>
          </w:p>
        </w:tc>
      </w:tr>
      <w:tr w:rsidR="00722F48" w:rsidRPr="008F59EC" w14:paraId="6A45D105" w14:textId="77777777" w:rsidTr="003F53A7">
        <w:trPr>
          <w:trHeight w:val="559"/>
        </w:trPr>
        <w:tc>
          <w:tcPr>
            <w:tcW w:w="3908" w:type="dxa"/>
            <w:shd w:val="clear" w:color="000000" w:fill="DAE9F8"/>
            <w:vAlign w:val="center"/>
            <w:hideMark/>
          </w:tcPr>
          <w:p w14:paraId="1B0E1E7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Laptop &amp; Office Equipment</w:t>
            </w:r>
          </w:p>
        </w:tc>
        <w:tc>
          <w:tcPr>
            <w:tcW w:w="5306" w:type="dxa"/>
            <w:shd w:val="clear" w:color="000000" w:fill="DAE9F8"/>
            <w:vAlign w:val="center"/>
            <w:hideMark/>
          </w:tcPr>
          <w:p w14:paraId="07B29D3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£1,200</w:t>
            </w:r>
          </w:p>
        </w:tc>
      </w:tr>
      <w:tr w:rsidR="00722F48" w:rsidRPr="008F59EC" w14:paraId="5FCC47C1" w14:textId="77777777" w:rsidTr="003F53A7">
        <w:trPr>
          <w:trHeight w:val="559"/>
        </w:trPr>
        <w:tc>
          <w:tcPr>
            <w:tcW w:w="3908" w:type="dxa"/>
            <w:shd w:val="clear" w:color="000000" w:fill="DAE9F8"/>
            <w:vAlign w:val="center"/>
            <w:hideMark/>
          </w:tcPr>
          <w:p w14:paraId="137093B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Professional Indemnity Insurance</w:t>
            </w:r>
          </w:p>
        </w:tc>
        <w:tc>
          <w:tcPr>
            <w:tcW w:w="5306" w:type="dxa"/>
            <w:shd w:val="clear" w:color="000000" w:fill="DAE9F8"/>
            <w:vAlign w:val="center"/>
            <w:hideMark/>
          </w:tcPr>
          <w:p w14:paraId="60DED63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£600</w:t>
            </w:r>
          </w:p>
        </w:tc>
      </w:tr>
      <w:tr w:rsidR="00722F48" w:rsidRPr="008F59EC" w14:paraId="631D7841" w14:textId="77777777" w:rsidTr="003F53A7">
        <w:trPr>
          <w:trHeight w:val="279"/>
        </w:trPr>
        <w:tc>
          <w:tcPr>
            <w:tcW w:w="3908" w:type="dxa"/>
            <w:shd w:val="clear" w:color="000000" w:fill="DAE9F8"/>
            <w:vAlign w:val="center"/>
            <w:hideMark/>
          </w:tcPr>
          <w:p w14:paraId="3AE9A02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Initial Marketing</w:t>
            </w:r>
          </w:p>
        </w:tc>
        <w:tc>
          <w:tcPr>
            <w:tcW w:w="5306" w:type="dxa"/>
            <w:shd w:val="clear" w:color="000000" w:fill="DAE9F8"/>
            <w:vAlign w:val="center"/>
            <w:hideMark/>
          </w:tcPr>
          <w:p w14:paraId="2FB2381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£800</w:t>
            </w:r>
          </w:p>
        </w:tc>
      </w:tr>
      <w:tr w:rsidR="00722F48" w:rsidRPr="008F59EC" w14:paraId="50F9650D" w14:textId="77777777" w:rsidTr="003F53A7">
        <w:trPr>
          <w:trHeight w:val="589"/>
        </w:trPr>
        <w:tc>
          <w:tcPr>
            <w:tcW w:w="3908" w:type="dxa"/>
            <w:shd w:val="clear" w:color="000000" w:fill="DAE9F8"/>
            <w:vAlign w:val="center"/>
            <w:hideMark/>
          </w:tcPr>
          <w:p w14:paraId="7C9B4986"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Total Estimated Start-Up Cost</w:t>
            </w:r>
          </w:p>
        </w:tc>
        <w:tc>
          <w:tcPr>
            <w:tcW w:w="5306" w:type="dxa"/>
            <w:shd w:val="clear" w:color="000000" w:fill="DAE9F8"/>
            <w:vAlign w:val="center"/>
            <w:hideMark/>
          </w:tcPr>
          <w:p w14:paraId="6C6099CE"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£4,600</w:t>
            </w:r>
          </w:p>
        </w:tc>
      </w:tr>
    </w:tbl>
    <w:p w14:paraId="0AA68F40" w14:textId="77777777" w:rsidR="00722F48" w:rsidRPr="008F59EC" w:rsidRDefault="00722F48" w:rsidP="0014211F">
      <w:pPr>
        <w:spacing w:line="360" w:lineRule="auto"/>
        <w:jc w:val="both"/>
        <w:rPr>
          <w:rFonts w:ascii="Arial" w:hAnsi="Arial" w:cs="Arial"/>
        </w:rPr>
      </w:pPr>
    </w:p>
    <w:p w14:paraId="32D23077" w14:textId="20E513DF" w:rsidR="00722F48" w:rsidRPr="008F59EC" w:rsidRDefault="007F4295" w:rsidP="0014211F">
      <w:pPr>
        <w:spacing w:line="360" w:lineRule="auto"/>
        <w:jc w:val="both"/>
        <w:rPr>
          <w:rFonts w:ascii="Arial" w:hAnsi="Arial" w:cs="Arial"/>
          <w:i/>
          <w:iCs/>
        </w:rPr>
      </w:pPr>
      <w:r w:rsidRPr="008F59EC">
        <w:rPr>
          <w:rFonts w:ascii="Arial" w:hAnsi="Arial" w:cs="Arial"/>
          <w:i/>
          <w:iCs/>
        </w:rPr>
        <w:t>Source: Author’s illustration (2026), based on internal financial projections</w:t>
      </w:r>
    </w:p>
    <w:p w14:paraId="449A1122" w14:textId="10429A62" w:rsidR="00722F48" w:rsidRPr="008F59EC" w:rsidRDefault="00EC30AA" w:rsidP="0014211F">
      <w:pPr>
        <w:spacing w:line="360" w:lineRule="auto"/>
        <w:jc w:val="both"/>
        <w:rPr>
          <w:rFonts w:ascii="Arial" w:hAnsi="Arial" w:cs="Arial"/>
        </w:rPr>
      </w:pPr>
      <w:r w:rsidRPr="008F59EC">
        <w:rPr>
          <w:rFonts w:ascii="Arial" w:hAnsi="Arial" w:cs="Arial"/>
        </w:rPr>
        <w:t xml:space="preserve">Sense Mortgage and Residential </w:t>
      </w:r>
      <w:r w:rsidR="00722F48" w:rsidRPr="008F59EC">
        <w:rPr>
          <w:rFonts w:ascii="Arial" w:hAnsi="Arial" w:cs="Arial"/>
        </w:rPr>
        <w:t>planning to operate from March 2026 and targeting at least 5 cases initially. Revenue per month will increase based on the volume of the cases. Predicted case number in each service area are as follows:</w:t>
      </w:r>
    </w:p>
    <w:p w14:paraId="7504B953" w14:textId="475ABBD2" w:rsidR="007F4295" w:rsidRPr="008F59EC" w:rsidRDefault="007F4295" w:rsidP="0014211F">
      <w:pPr>
        <w:spacing w:line="360" w:lineRule="auto"/>
        <w:jc w:val="both"/>
        <w:rPr>
          <w:rFonts w:ascii="Arial" w:hAnsi="Arial" w:cs="Arial"/>
        </w:rPr>
      </w:pPr>
      <w:r w:rsidRPr="008F59EC">
        <w:rPr>
          <w:rFonts w:ascii="Arial" w:hAnsi="Arial" w:cs="Arial"/>
        </w:rPr>
        <w:t xml:space="preserve">Table 8: Monthly predicted revenue figure </w:t>
      </w:r>
    </w:p>
    <w:tbl>
      <w:tblPr>
        <w:tblStyle w:val="TableGrid"/>
        <w:tblW w:w="0" w:type="auto"/>
        <w:tblLook w:val="04A0" w:firstRow="1" w:lastRow="0" w:firstColumn="1" w:lastColumn="0" w:noHBand="0" w:noVBand="1"/>
      </w:tblPr>
      <w:tblGrid>
        <w:gridCol w:w="9016"/>
      </w:tblGrid>
      <w:tr w:rsidR="00722F48" w:rsidRPr="008F59EC" w14:paraId="705B6F85" w14:textId="77777777" w:rsidTr="00AD20EE">
        <w:tc>
          <w:tcPr>
            <w:tcW w:w="9736" w:type="dxa"/>
          </w:tcPr>
          <w:tbl>
            <w:tblPr>
              <w:tblW w:w="12440" w:type="dxa"/>
              <w:tblLook w:val="04A0" w:firstRow="1" w:lastRow="0" w:firstColumn="1" w:lastColumn="0" w:noHBand="0" w:noVBand="1"/>
            </w:tblPr>
            <w:tblGrid>
              <w:gridCol w:w="1672"/>
              <w:gridCol w:w="1227"/>
              <w:gridCol w:w="1483"/>
              <w:gridCol w:w="1308"/>
              <w:gridCol w:w="1671"/>
              <w:gridCol w:w="1429"/>
            </w:tblGrid>
            <w:tr w:rsidR="00722F48" w:rsidRPr="008F59EC" w14:paraId="6BC7A42F" w14:textId="77777777" w:rsidTr="00AD20EE">
              <w:trPr>
                <w:trHeight w:val="300"/>
              </w:trPr>
              <w:tc>
                <w:tcPr>
                  <w:tcW w:w="2380" w:type="dxa"/>
                  <w:tcBorders>
                    <w:top w:val="single" w:sz="4" w:space="0" w:color="auto"/>
                    <w:left w:val="single" w:sz="4" w:space="0" w:color="auto"/>
                    <w:bottom w:val="single" w:sz="4" w:space="0" w:color="auto"/>
                    <w:right w:val="single" w:sz="4" w:space="0" w:color="auto"/>
                  </w:tcBorders>
                  <w:noWrap/>
                  <w:vAlign w:val="bottom"/>
                  <w:hideMark/>
                </w:tcPr>
                <w:p w14:paraId="65901F4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Month</w:t>
                  </w:r>
                </w:p>
              </w:tc>
              <w:tc>
                <w:tcPr>
                  <w:tcW w:w="1720" w:type="dxa"/>
                  <w:tcBorders>
                    <w:top w:val="single" w:sz="4" w:space="0" w:color="auto"/>
                    <w:left w:val="nil"/>
                    <w:bottom w:val="single" w:sz="4" w:space="0" w:color="auto"/>
                    <w:right w:val="single" w:sz="4" w:space="0" w:color="auto"/>
                  </w:tcBorders>
                  <w:noWrap/>
                  <w:vAlign w:val="bottom"/>
                  <w:hideMark/>
                </w:tcPr>
                <w:p w14:paraId="650C4C5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FTB Cases</w:t>
                  </w:r>
                </w:p>
              </w:tc>
              <w:tc>
                <w:tcPr>
                  <w:tcW w:w="2100" w:type="dxa"/>
                  <w:tcBorders>
                    <w:top w:val="single" w:sz="4" w:space="0" w:color="auto"/>
                    <w:left w:val="nil"/>
                    <w:bottom w:val="single" w:sz="4" w:space="0" w:color="auto"/>
                    <w:right w:val="single" w:sz="4" w:space="0" w:color="auto"/>
                  </w:tcBorders>
                  <w:noWrap/>
                  <w:vAlign w:val="bottom"/>
                  <w:hideMark/>
                </w:tcPr>
                <w:p w14:paraId="23D9A13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BTL Cases</w:t>
                  </w:r>
                </w:p>
              </w:tc>
              <w:tc>
                <w:tcPr>
                  <w:tcW w:w="1840" w:type="dxa"/>
                  <w:tcBorders>
                    <w:top w:val="single" w:sz="4" w:space="0" w:color="auto"/>
                    <w:left w:val="nil"/>
                    <w:bottom w:val="single" w:sz="4" w:space="0" w:color="auto"/>
                    <w:right w:val="single" w:sz="4" w:space="0" w:color="auto"/>
                  </w:tcBorders>
                  <w:noWrap/>
                  <w:vAlign w:val="bottom"/>
                  <w:hideMark/>
                </w:tcPr>
                <w:p w14:paraId="6F0B6FC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Remortgage Cases</w:t>
                  </w:r>
                </w:p>
              </w:tc>
              <w:tc>
                <w:tcPr>
                  <w:tcW w:w="2380" w:type="dxa"/>
                  <w:tcBorders>
                    <w:top w:val="single" w:sz="4" w:space="0" w:color="auto"/>
                    <w:left w:val="nil"/>
                    <w:bottom w:val="single" w:sz="4" w:space="0" w:color="auto"/>
                    <w:right w:val="single" w:sz="4" w:space="0" w:color="auto"/>
                  </w:tcBorders>
                  <w:noWrap/>
                  <w:vAlign w:val="bottom"/>
                  <w:hideMark/>
                </w:tcPr>
                <w:p w14:paraId="24CB541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Total Cases</w:t>
                  </w:r>
                </w:p>
              </w:tc>
              <w:tc>
                <w:tcPr>
                  <w:tcW w:w="2020" w:type="dxa"/>
                  <w:tcBorders>
                    <w:top w:val="single" w:sz="4" w:space="0" w:color="auto"/>
                    <w:left w:val="nil"/>
                    <w:bottom w:val="single" w:sz="4" w:space="0" w:color="auto"/>
                    <w:right w:val="single" w:sz="4" w:space="0" w:color="auto"/>
                  </w:tcBorders>
                  <w:noWrap/>
                  <w:vAlign w:val="bottom"/>
                  <w:hideMark/>
                </w:tcPr>
                <w:p w14:paraId="2765144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Revenue (£)</w:t>
                  </w:r>
                </w:p>
              </w:tc>
            </w:tr>
            <w:tr w:rsidR="00722F48" w:rsidRPr="008F59EC" w14:paraId="266F99A4"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64F28859"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Mar-26</w:t>
                  </w:r>
                </w:p>
              </w:tc>
              <w:tc>
                <w:tcPr>
                  <w:tcW w:w="1720" w:type="dxa"/>
                  <w:tcBorders>
                    <w:top w:val="nil"/>
                    <w:left w:val="nil"/>
                    <w:bottom w:val="single" w:sz="4" w:space="0" w:color="auto"/>
                    <w:right w:val="single" w:sz="4" w:space="0" w:color="auto"/>
                  </w:tcBorders>
                  <w:noWrap/>
                  <w:vAlign w:val="bottom"/>
                  <w:hideMark/>
                </w:tcPr>
                <w:p w14:paraId="4765A01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w:t>
                  </w:r>
                </w:p>
              </w:tc>
              <w:tc>
                <w:tcPr>
                  <w:tcW w:w="2100" w:type="dxa"/>
                  <w:tcBorders>
                    <w:top w:val="nil"/>
                    <w:left w:val="nil"/>
                    <w:bottom w:val="single" w:sz="4" w:space="0" w:color="auto"/>
                    <w:right w:val="single" w:sz="4" w:space="0" w:color="auto"/>
                  </w:tcBorders>
                  <w:noWrap/>
                  <w:vAlign w:val="bottom"/>
                  <w:hideMark/>
                </w:tcPr>
                <w:p w14:paraId="20BC53F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w:t>
                  </w:r>
                </w:p>
              </w:tc>
              <w:tc>
                <w:tcPr>
                  <w:tcW w:w="1840" w:type="dxa"/>
                  <w:tcBorders>
                    <w:top w:val="nil"/>
                    <w:left w:val="nil"/>
                    <w:bottom w:val="single" w:sz="4" w:space="0" w:color="auto"/>
                    <w:right w:val="single" w:sz="4" w:space="0" w:color="auto"/>
                  </w:tcBorders>
                  <w:noWrap/>
                  <w:vAlign w:val="bottom"/>
                  <w:hideMark/>
                </w:tcPr>
                <w:p w14:paraId="73ED5BD4"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w:t>
                  </w:r>
                </w:p>
              </w:tc>
              <w:tc>
                <w:tcPr>
                  <w:tcW w:w="2380" w:type="dxa"/>
                  <w:tcBorders>
                    <w:top w:val="nil"/>
                    <w:left w:val="nil"/>
                    <w:bottom w:val="single" w:sz="4" w:space="0" w:color="auto"/>
                    <w:right w:val="single" w:sz="4" w:space="0" w:color="auto"/>
                  </w:tcBorders>
                  <w:noWrap/>
                  <w:vAlign w:val="bottom"/>
                  <w:hideMark/>
                </w:tcPr>
                <w:p w14:paraId="73E8C9F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w:t>
                  </w:r>
                </w:p>
              </w:tc>
              <w:tc>
                <w:tcPr>
                  <w:tcW w:w="2020" w:type="dxa"/>
                  <w:tcBorders>
                    <w:top w:val="nil"/>
                    <w:left w:val="nil"/>
                    <w:bottom w:val="single" w:sz="4" w:space="0" w:color="auto"/>
                    <w:right w:val="single" w:sz="4" w:space="0" w:color="auto"/>
                  </w:tcBorders>
                  <w:noWrap/>
                  <w:vAlign w:val="bottom"/>
                  <w:hideMark/>
                </w:tcPr>
                <w:p w14:paraId="44986BE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£4,500</w:t>
                  </w:r>
                </w:p>
              </w:tc>
            </w:tr>
            <w:tr w:rsidR="00722F48" w:rsidRPr="008F59EC" w14:paraId="7EA6A94B"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2265E89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Apr-26</w:t>
                  </w:r>
                </w:p>
              </w:tc>
              <w:tc>
                <w:tcPr>
                  <w:tcW w:w="1720" w:type="dxa"/>
                  <w:tcBorders>
                    <w:top w:val="nil"/>
                    <w:left w:val="nil"/>
                    <w:bottom w:val="single" w:sz="4" w:space="0" w:color="auto"/>
                    <w:right w:val="single" w:sz="4" w:space="0" w:color="auto"/>
                  </w:tcBorders>
                  <w:noWrap/>
                  <w:vAlign w:val="bottom"/>
                  <w:hideMark/>
                </w:tcPr>
                <w:p w14:paraId="3A97E129"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w:t>
                  </w:r>
                </w:p>
              </w:tc>
              <w:tc>
                <w:tcPr>
                  <w:tcW w:w="2100" w:type="dxa"/>
                  <w:tcBorders>
                    <w:top w:val="nil"/>
                    <w:left w:val="nil"/>
                    <w:bottom w:val="single" w:sz="4" w:space="0" w:color="auto"/>
                    <w:right w:val="single" w:sz="4" w:space="0" w:color="auto"/>
                  </w:tcBorders>
                  <w:noWrap/>
                  <w:vAlign w:val="bottom"/>
                  <w:hideMark/>
                </w:tcPr>
                <w:p w14:paraId="6FA5BD9B"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w:t>
                  </w:r>
                </w:p>
              </w:tc>
              <w:tc>
                <w:tcPr>
                  <w:tcW w:w="1840" w:type="dxa"/>
                  <w:tcBorders>
                    <w:top w:val="nil"/>
                    <w:left w:val="nil"/>
                    <w:bottom w:val="single" w:sz="4" w:space="0" w:color="auto"/>
                    <w:right w:val="single" w:sz="4" w:space="0" w:color="auto"/>
                  </w:tcBorders>
                  <w:noWrap/>
                  <w:vAlign w:val="bottom"/>
                  <w:hideMark/>
                </w:tcPr>
                <w:p w14:paraId="4467C9B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w:t>
                  </w:r>
                </w:p>
              </w:tc>
              <w:tc>
                <w:tcPr>
                  <w:tcW w:w="2380" w:type="dxa"/>
                  <w:tcBorders>
                    <w:top w:val="nil"/>
                    <w:left w:val="nil"/>
                    <w:bottom w:val="single" w:sz="4" w:space="0" w:color="auto"/>
                    <w:right w:val="single" w:sz="4" w:space="0" w:color="auto"/>
                  </w:tcBorders>
                  <w:noWrap/>
                  <w:vAlign w:val="bottom"/>
                  <w:hideMark/>
                </w:tcPr>
                <w:p w14:paraId="5CB316D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6</w:t>
                  </w:r>
                </w:p>
              </w:tc>
              <w:tc>
                <w:tcPr>
                  <w:tcW w:w="2020" w:type="dxa"/>
                  <w:tcBorders>
                    <w:top w:val="nil"/>
                    <w:left w:val="nil"/>
                    <w:bottom w:val="single" w:sz="4" w:space="0" w:color="auto"/>
                    <w:right w:val="single" w:sz="4" w:space="0" w:color="auto"/>
                  </w:tcBorders>
                  <w:noWrap/>
                  <w:vAlign w:val="bottom"/>
                  <w:hideMark/>
                </w:tcPr>
                <w:p w14:paraId="5D7F7B3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£5,400</w:t>
                  </w:r>
                </w:p>
              </w:tc>
            </w:tr>
            <w:tr w:rsidR="00722F48" w:rsidRPr="008F59EC" w14:paraId="39D926EE" w14:textId="77777777" w:rsidTr="00AD20EE">
              <w:trPr>
                <w:trHeight w:val="360"/>
              </w:trPr>
              <w:tc>
                <w:tcPr>
                  <w:tcW w:w="2380" w:type="dxa"/>
                  <w:tcBorders>
                    <w:top w:val="nil"/>
                    <w:left w:val="single" w:sz="4" w:space="0" w:color="auto"/>
                    <w:bottom w:val="single" w:sz="4" w:space="0" w:color="auto"/>
                    <w:right w:val="single" w:sz="4" w:space="0" w:color="auto"/>
                  </w:tcBorders>
                  <w:vAlign w:val="bottom"/>
                  <w:hideMark/>
                </w:tcPr>
                <w:p w14:paraId="5AB9AAE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May-26</w:t>
                  </w:r>
                </w:p>
              </w:tc>
              <w:tc>
                <w:tcPr>
                  <w:tcW w:w="1720" w:type="dxa"/>
                  <w:tcBorders>
                    <w:top w:val="nil"/>
                    <w:left w:val="nil"/>
                    <w:bottom w:val="single" w:sz="4" w:space="0" w:color="auto"/>
                    <w:right w:val="single" w:sz="4" w:space="0" w:color="auto"/>
                  </w:tcBorders>
                  <w:noWrap/>
                  <w:vAlign w:val="bottom"/>
                  <w:hideMark/>
                </w:tcPr>
                <w:p w14:paraId="1FDEB8D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w:t>
                  </w:r>
                </w:p>
              </w:tc>
              <w:tc>
                <w:tcPr>
                  <w:tcW w:w="2100" w:type="dxa"/>
                  <w:tcBorders>
                    <w:top w:val="nil"/>
                    <w:left w:val="nil"/>
                    <w:bottom w:val="single" w:sz="4" w:space="0" w:color="auto"/>
                    <w:right w:val="single" w:sz="4" w:space="0" w:color="auto"/>
                  </w:tcBorders>
                  <w:noWrap/>
                  <w:vAlign w:val="bottom"/>
                  <w:hideMark/>
                </w:tcPr>
                <w:p w14:paraId="3E65BDD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w:t>
                  </w:r>
                </w:p>
              </w:tc>
              <w:tc>
                <w:tcPr>
                  <w:tcW w:w="1840" w:type="dxa"/>
                  <w:tcBorders>
                    <w:top w:val="nil"/>
                    <w:left w:val="nil"/>
                    <w:bottom w:val="single" w:sz="4" w:space="0" w:color="auto"/>
                    <w:right w:val="single" w:sz="4" w:space="0" w:color="auto"/>
                  </w:tcBorders>
                  <w:noWrap/>
                  <w:vAlign w:val="bottom"/>
                  <w:hideMark/>
                </w:tcPr>
                <w:p w14:paraId="602FA6C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w:t>
                  </w:r>
                </w:p>
              </w:tc>
              <w:tc>
                <w:tcPr>
                  <w:tcW w:w="2380" w:type="dxa"/>
                  <w:tcBorders>
                    <w:top w:val="nil"/>
                    <w:left w:val="nil"/>
                    <w:bottom w:val="single" w:sz="4" w:space="0" w:color="auto"/>
                    <w:right w:val="single" w:sz="4" w:space="0" w:color="auto"/>
                  </w:tcBorders>
                  <w:noWrap/>
                  <w:vAlign w:val="bottom"/>
                  <w:hideMark/>
                </w:tcPr>
                <w:p w14:paraId="1F1D4449"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8</w:t>
                  </w:r>
                </w:p>
              </w:tc>
              <w:tc>
                <w:tcPr>
                  <w:tcW w:w="2020" w:type="dxa"/>
                  <w:tcBorders>
                    <w:top w:val="nil"/>
                    <w:left w:val="nil"/>
                    <w:bottom w:val="single" w:sz="4" w:space="0" w:color="auto"/>
                    <w:right w:val="single" w:sz="4" w:space="0" w:color="auto"/>
                  </w:tcBorders>
                  <w:noWrap/>
                  <w:vAlign w:val="bottom"/>
                  <w:hideMark/>
                </w:tcPr>
                <w:p w14:paraId="40D155E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£7,300</w:t>
                  </w:r>
                </w:p>
              </w:tc>
            </w:tr>
            <w:tr w:rsidR="00722F48" w:rsidRPr="008F59EC" w14:paraId="7EFCF53C"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5AB7522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Jun-26</w:t>
                  </w:r>
                </w:p>
              </w:tc>
              <w:tc>
                <w:tcPr>
                  <w:tcW w:w="1720" w:type="dxa"/>
                  <w:tcBorders>
                    <w:top w:val="nil"/>
                    <w:left w:val="nil"/>
                    <w:bottom w:val="single" w:sz="4" w:space="0" w:color="auto"/>
                    <w:right w:val="single" w:sz="4" w:space="0" w:color="auto"/>
                  </w:tcBorders>
                  <w:noWrap/>
                  <w:vAlign w:val="bottom"/>
                  <w:hideMark/>
                </w:tcPr>
                <w:p w14:paraId="45D765E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w:t>
                  </w:r>
                </w:p>
              </w:tc>
              <w:tc>
                <w:tcPr>
                  <w:tcW w:w="2100" w:type="dxa"/>
                  <w:tcBorders>
                    <w:top w:val="nil"/>
                    <w:left w:val="nil"/>
                    <w:bottom w:val="single" w:sz="4" w:space="0" w:color="auto"/>
                    <w:right w:val="single" w:sz="4" w:space="0" w:color="auto"/>
                  </w:tcBorders>
                  <w:noWrap/>
                  <w:vAlign w:val="bottom"/>
                  <w:hideMark/>
                </w:tcPr>
                <w:p w14:paraId="736D308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w:t>
                  </w:r>
                </w:p>
              </w:tc>
              <w:tc>
                <w:tcPr>
                  <w:tcW w:w="1840" w:type="dxa"/>
                  <w:tcBorders>
                    <w:top w:val="nil"/>
                    <w:left w:val="nil"/>
                    <w:bottom w:val="single" w:sz="4" w:space="0" w:color="auto"/>
                    <w:right w:val="single" w:sz="4" w:space="0" w:color="auto"/>
                  </w:tcBorders>
                  <w:noWrap/>
                  <w:vAlign w:val="bottom"/>
                  <w:hideMark/>
                </w:tcPr>
                <w:p w14:paraId="3EEC5EB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w:t>
                  </w:r>
                </w:p>
              </w:tc>
              <w:tc>
                <w:tcPr>
                  <w:tcW w:w="2380" w:type="dxa"/>
                  <w:tcBorders>
                    <w:top w:val="nil"/>
                    <w:left w:val="nil"/>
                    <w:bottom w:val="single" w:sz="4" w:space="0" w:color="auto"/>
                    <w:right w:val="single" w:sz="4" w:space="0" w:color="auto"/>
                  </w:tcBorders>
                  <w:noWrap/>
                  <w:vAlign w:val="bottom"/>
                  <w:hideMark/>
                </w:tcPr>
                <w:p w14:paraId="0CF9CBF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10</w:t>
                  </w:r>
                </w:p>
              </w:tc>
              <w:tc>
                <w:tcPr>
                  <w:tcW w:w="2020" w:type="dxa"/>
                  <w:tcBorders>
                    <w:top w:val="nil"/>
                    <w:left w:val="nil"/>
                    <w:bottom w:val="single" w:sz="4" w:space="0" w:color="auto"/>
                    <w:right w:val="single" w:sz="4" w:space="0" w:color="auto"/>
                  </w:tcBorders>
                  <w:noWrap/>
                  <w:vAlign w:val="bottom"/>
                  <w:hideMark/>
                </w:tcPr>
                <w:p w14:paraId="6612EC3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£9,000</w:t>
                  </w:r>
                </w:p>
              </w:tc>
            </w:tr>
            <w:tr w:rsidR="00722F48" w:rsidRPr="008F59EC" w14:paraId="20F33FBF"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4958F748"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Jul-26</w:t>
                  </w:r>
                </w:p>
              </w:tc>
              <w:tc>
                <w:tcPr>
                  <w:tcW w:w="1720" w:type="dxa"/>
                  <w:tcBorders>
                    <w:top w:val="nil"/>
                    <w:left w:val="nil"/>
                    <w:bottom w:val="single" w:sz="4" w:space="0" w:color="auto"/>
                    <w:right w:val="single" w:sz="4" w:space="0" w:color="auto"/>
                  </w:tcBorders>
                  <w:noWrap/>
                  <w:vAlign w:val="bottom"/>
                  <w:hideMark/>
                </w:tcPr>
                <w:p w14:paraId="751361F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w:t>
                  </w:r>
                </w:p>
              </w:tc>
              <w:tc>
                <w:tcPr>
                  <w:tcW w:w="2100" w:type="dxa"/>
                  <w:tcBorders>
                    <w:top w:val="nil"/>
                    <w:left w:val="nil"/>
                    <w:bottom w:val="single" w:sz="4" w:space="0" w:color="auto"/>
                    <w:right w:val="single" w:sz="4" w:space="0" w:color="auto"/>
                  </w:tcBorders>
                  <w:noWrap/>
                  <w:vAlign w:val="bottom"/>
                  <w:hideMark/>
                </w:tcPr>
                <w:p w14:paraId="03A32924"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w:t>
                  </w:r>
                </w:p>
              </w:tc>
              <w:tc>
                <w:tcPr>
                  <w:tcW w:w="1840" w:type="dxa"/>
                  <w:tcBorders>
                    <w:top w:val="nil"/>
                    <w:left w:val="nil"/>
                    <w:bottom w:val="single" w:sz="4" w:space="0" w:color="auto"/>
                    <w:right w:val="single" w:sz="4" w:space="0" w:color="auto"/>
                  </w:tcBorders>
                  <w:noWrap/>
                  <w:vAlign w:val="bottom"/>
                  <w:hideMark/>
                </w:tcPr>
                <w:p w14:paraId="256DF1D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w:t>
                  </w:r>
                </w:p>
              </w:tc>
              <w:tc>
                <w:tcPr>
                  <w:tcW w:w="2380" w:type="dxa"/>
                  <w:tcBorders>
                    <w:top w:val="nil"/>
                    <w:left w:val="nil"/>
                    <w:bottom w:val="single" w:sz="4" w:space="0" w:color="auto"/>
                    <w:right w:val="single" w:sz="4" w:space="0" w:color="auto"/>
                  </w:tcBorders>
                  <w:noWrap/>
                  <w:vAlign w:val="bottom"/>
                  <w:hideMark/>
                </w:tcPr>
                <w:p w14:paraId="05E4967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11</w:t>
                  </w:r>
                </w:p>
              </w:tc>
              <w:tc>
                <w:tcPr>
                  <w:tcW w:w="2020" w:type="dxa"/>
                  <w:tcBorders>
                    <w:top w:val="nil"/>
                    <w:left w:val="nil"/>
                    <w:bottom w:val="single" w:sz="4" w:space="0" w:color="auto"/>
                    <w:right w:val="single" w:sz="4" w:space="0" w:color="auto"/>
                  </w:tcBorders>
                  <w:noWrap/>
                  <w:vAlign w:val="bottom"/>
                  <w:hideMark/>
                </w:tcPr>
                <w:p w14:paraId="2D6BF06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£9,900</w:t>
                  </w:r>
                </w:p>
              </w:tc>
            </w:tr>
            <w:tr w:rsidR="00722F48" w:rsidRPr="008F59EC" w14:paraId="4973D71F"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2EE1341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Aug-26</w:t>
                  </w:r>
                </w:p>
              </w:tc>
              <w:tc>
                <w:tcPr>
                  <w:tcW w:w="1720" w:type="dxa"/>
                  <w:tcBorders>
                    <w:top w:val="nil"/>
                    <w:left w:val="nil"/>
                    <w:bottom w:val="single" w:sz="4" w:space="0" w:color="auto"/>
                    <w:right w:val="single" w:sz="4" w:space="0" w:color="auto"/>
                  </w:tcBorders>
                  <w:noWrap/>
                  <w:vAlign w:val="bottom"/>
                  <w:hideMark/>
                </w:tcPr>
                <w:p w14:paraId="1097341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w:t>
                  </w:r>
                </w:p>
              </w:tc>
              <w:tc>
                <w:tcPr>
                  <w:tcW w:w="2100" w:type="dxa"/>
                  <w:tcBorders>
                    <w:top w:val="nil"/>
                    <w:left w:val="nil"/>
                    <w:bottom w:val="single" w:sz="4" w:space="0" w:color="auto"/>
                    <w:right w:val="single" w:sz="4" w:space="0" w:color="auto"/>
                  </w:tcBorders>
                  <w:noWrap/>
                  <w:vAlign w:val="bottom"/>
                  <w:hideMark/>
                </w:tcPr>
                <w:p w14:paraId="13B5130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w:t>
                  </w:r>
                </w:p>
              </w:tc>
              <w:tc>
                <w:tcPr>
                  <w:tcW w:w="1840" w:type="dxa"/>
                  <w:tcBorders>
                    <w:top w:val="nil"/>
                    <w:left w:val="nil"/>
                    <w:bottom w:val="single" w:sz="4" w:space="0" w:color="auto"/>
                    <w:right w:val="single" w:sz="4" w:space="0" w:color="auto"/>
                  </w:tcBorders>
                  <w:noWrap/>
                  <w:vAlign w:val="bottom"/>
                  <w:hideMark/>
                </w:tcPr>
                <w:p w14:paraId="24A76C0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w:t>
                  </w:r>
                </w:p>
              </w:tc>
              <w:tc>
                <w:tcPr>
                  <w:tcW w:w="2380" w:type="dxa"/>
                  <w:tcBorders>
                    <w:top w:val="nil"/>
                    <w:left w:val="nil"/>
                    <w:bottom w:val="single" w:sz="4" w:space="0" w:color="auto"/>
                    <w:right w:val="single" w:sz="4" w:space="0" w:color="auto"/>
                  </w:tcBorders>
                  <w:noWrap/>
                  <w:vAlign w:val="bottom"/>
                  <w:hideMark/>
                </w:tcPr>
                <w:p w14:paraId="45E9024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12</w:t>
                  </w:r>
                </w:p>
              </w:tc>
              <w:tc>
                <w:tcPr>
                  <w:tcW w:w="2020" w:type="dxa"/>
                  <w:tcBorders>
                    <w:top w:val="nil"/>
                    <w:left w:val="nil"/>
                    <w:bottom w:val="single" w:sz="4" w:space="0" w:color="auto"/>
                    <w:right w:val="single" w:sz="4" w:space="0" w:color="auto"/>
                  </w:tcBorders>
                  <w:noWrap/>
                  <w:vAlign w:val="bottom"/>
                  <w:hideMark/>
                </w:tcPr>
                <w:p w14:paraId="1708D8D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£11,000</w:t>
                  </w:r>
                </w:p>
              </w:tc>
            </w:tr>
            <w:tr w:rsidR="00722F48" w:rsidRPr="008F59EC" w14:paraId="4AAEC26C"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7C10956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Sep-26</w:t>
                  </w:r>
                </w:p>
              </w:tc>
              <w:tc>
                <w:tcPr>
                  <w:tcW w:w="1720" w:type="dxa"/>
                  <w:tcBorders>
                    <w:top w:val="nil"/>
                    <w:left w:val="nil"/>
                    <w:bottom w:val="single" w:sz="4" w:space="0" w:color="auto"/>
                    <w:right w:val="single" w:sz="4" w:space="0" w:color="auto"/>
                  </w:tcBorders>
                  <w:noWrap/>
                  <w:vAlign w:val="bottom"/>
                  <w:hideMark/>
                </w:tcPr>
                <w:p w14:paraId="233F9144"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6</w:t>
                  </w:r>
                </w:p>
              </w:tc>
              <w:tc>
                <w:tcPr>
                  <w:tcW w:w="2100" w:type="dxa"/>
                  <w:tcBorders>
                    <w:top w:val="nil"/>
                    <w:left w:val="nil"/>
                    <w:bottom w:val="single" w:sz="4" w:space="0" w:color="auto"/>
                    <w:right w:val="single" w:sz="4" w:space="0" w:color="auto"/>
                  </w:tcBorders>
                  <w:noWrap/>
                  <w:vAlign w:val="bottom"/>
                  <w:hideMark/>
                </w:tcPr>
                <w:p w14:paraId="58B4AE4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w:t>
                  </w:r>
                </w:p>
              </w:tc>
              <w:tc>
                <w:tcPr>
                  <w:tcW w:w="1840" w:type="dxa"/>
                  <w:tcBorders>
                    <w:top w:val="nil"/>
                    <w:left w:val="nil"/>
                    <w:bottom w:val="single" w:sz="4" w:space="0" w:color="auto"/>
                    <w:right w:val="single" w:sz="4" w:space="0" w:color="auto"/>
                  </w:tcBorders>
                  <w:noWrap/>
                  <w:vAlign w:val="bottom"/>
                  <w:hideMark/>
                </w:tcPr>
                <w:p w14:paraId="268DB13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w:t>
                  </w:r>
                </w:p>
              </w:tc>
              <w:tc>
                <w:tcPr>
                  <w:tcW w:w="2380" w:type="dxa"/>
                  <w:tcBorders>
                    <w:top w:val="nil"/>
                    <w:left w:val="nil"/>
                    <w:bottom w:val="single" w:sz="4" w:space="0" w:color="auto"/>
                    <w:right w:val="single" w:sz="4" w:space="0" w:color="auto"/>
                  </w:tcBorders>
                  <w:noWrap/>
                  <w:vAlign w:val="bottom"/>
                  <w:hideMark/>
                </w:tcPr>
                <w:p w14:paraId="24D3FD9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14</w:t>
                  </w:r>
                </w:p>
              </w:tc>
              <w:tc>
                <w:tcPr>
                  <w:tcW w:w="2020" w:type="dxa"/>
                  <w:tcBorders>
                    <w:top w:val="nil"/>
                    <w:left w:val="nil"/>
                    <w:bottom w:val="single" w:sz="4" w:space="0" w:color="auto"/>
                    <w:right w:val="single" w:sz="4" w:space="0" w:color="auto"/>
                  </w:tcBorders>
                  <w:noWrap/>
                  <w:vAlign w:val="bottom"/>
                  <w:hideMark/>
                </w:tcPr>
                <w:p w14:paraId="73B3902B"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£12,700</w:t>
                  </w:r>
                </w:p>
              </w:tc>
            </w:tr>
            <w:tr w:rsidR="00722F48" w:rsidRPr="008F59EC" w14:paraId="71E19470"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2D658C5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Oct-26</w:t>
                  </w:r>
                </w:p>
              </w:tc>
              <w:tc>
                <w:tcPr>
                  <w:tcW w:w="1720" w:type="dxa"/>
                  <w:tcBorders>
                    <w:top w:val="nil"/>
                    <w:left w:val="nil"/>
                    <w:bottom w:val="single" w:sz="4" w:space="0" w:color="auto"/>
                    <w:right w:val="single" w:sz="4" w:space="0" w:color="auto"/>
                  </w:tcBorders>
                  <w:noWrap/>
                  <w:vAlign w:val="bottom"/>
                  <w:hideMark/>
                </w:tcPr>
                <w:p w14:paraId="2BC6B18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6</w:t>
                  </w:r>
                </w:p>
              </w:tc>
              <w:tc>
                <w:tcPr>
                  <w:tcW w:w="2100" w:type="dxa"/>
                  <w:tcBorders>
                    <w:top w:val="nil"/>
                    <w:left w:val="nil"/>
                    <w:bottom w:val="single" w:sz="4" w:space="0" w:color="auto"/>
                    <w:right w:val="single" w:sz="4" w:space="0" w:color="auto"/>
                  </w:tcBorders>
                  <w:noWrap/>
                  <w:vAlign w:val="bottom"/>
                  <w:hideMark/>
                </w:tcPr>
                <w:p w14:paraId="0095C83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w:t>
                  </w:r>
                </w:p>
              </w:tc>
              <w:tc>
                <w:tcPr>
                  <w:tcW w:w="1840" w:type="dxa"/>
                  <w:tcBorders>
                    <w:top w:val="nil"/>
                    <w:left w:val="nil"/>
                    <w:bottom w:val="single" w:sz="4" w:space="0" w:color="auto"/>
                    <w:right w:val="single" w:sz="4" w:space="0" w:color="auto"/>
                  </w:tcBorders>
                  <w:noWrap/>
                  <w:vAlign w:val="bottom"/>
                  <w:hideMark/>
                </w:tcPr>
                <w:p w14:paraId="0D2F7C1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w:t>
                  </w:r>
                </w:p>
              </w:tc>
              <w:tc>
                <w:tcPr>
                  <w:tcW w:w="2380" w:type="dxa"/>
                  <w:tcBorders>
                    <w:top w:val="nil"/>
                    <w:left w:val="nil"/>
                    <w:bottom w:val="single" w:sz="4" w:space="0" w:color="auto"/>
                    <w:right w:val="single" w:sz="4" w:space="0" w:color="auto"/>
                  </w:tcBorders>
                  <w:noWrap/>
                  <w:vAlign w:val="bottom"/>
                  <w:hideMark/>
                </w:tcPr>
                <w:p w14:paraId="71B947F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14</w:t>
                  </w:r>
                </w:p>
              </w:tc>
              <w:tc>
                <w:tcPr>
                  <w:tcW w:w="2020" w:type="dxa"/>
                  <w:tcBorders>
                    <w:top w:val="nil"/>
                    <w:left w:val="nil"/>
                    <w:bottom w:val="single" w:sz="4" w:space="0" w:color="auto"/>
                    <w:right w:val="single" w:sz="4" w:space="0" w:color="auto"/>
                  </w:tcBorders>
                  <w:noWrap/>
                  <w:vAlign w:val="bottom"/>
                  <w:hideMark/>
                </w:tcPr>
                <w:p w14:paraId="6C0AB57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£12,700</w:t>
                  </w:r>
                </w:p>
              </w:tc>
            </w:tr>
            <w:tr w:rsidR="00722F48" w:rsidRPr="008F59EC" w14:paraId="41F88143"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76087BA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Nov-26</w:t>
                  </w:r>
                </w:p>
              </w:tc>
              <w:tc>
                <w:tcPr>
                  <w:tcW w:w="1720" w:type="dxa"/>
                  <w:tcBorders>
                    <w:top w:val="nil"/>
                    <w:left w:val="nil"/>
                    <w:bottom w:val="single" w:sz="4" w:space="0" w:color="auto"/>
                    <w:right w:val="single" w:sz="4" w:space="0" w:color="auto"/>
                  </w:tcBorders>
                  <w:noWrap/>
                  <w:vAlign w:val="bottom"/>
                  <w:hideMark/>
                </w:tcPr>
                <w:p w14:paraId="3E7CB65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w:t>
                  </w:r>
                </w:p>
              </w:tc>
              <w:tc>
                <w:tcPr>
                  <w:tcW w:w="2100" w:type="dxa"/>
                  <w:tcBorders>
                    <w:top w:val="nil"/>
                    <w:left w:val="nil"/>
                    <w:bottom w:val="single" w:sz="4" w:space="0" w:color="auto"/>
                    <w:right w:val="single" w:sz="4" w:space="0" w:color="auto"/>
                  </w:tcBorders>
                  <w:noWrap/>
                  <w:vAlign w:val="bottom"/>
                  <w:hideMark/>
                </w:tcPr>
                <w:p w14:paraId="516B3CFB"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w:t>
                  </w:r>
                </w:p>
              </w:tc>
              <w:tc>
                <w:tcPr>
                  <w:tcW w:w="1840" w:type="dxa"/>
                  <w:tcBorders>
                    <w:top w:val="nil"/>
                    <w:left w:val="nil"/>
                    <w:bottom w:val="single" w:sz="4" w:space="0" w:color="auto"/>
                    <w:right w:val="single" w:sz="4" w:space="0" w:color="auto"/>
                  </w:tcBorders>
                  <w:noWrap/>
                  <w:vAlign w:val="bottom"/>
                  <w:hideMark/>
                </w:tcPr>
                <w:p w14:paraId="1A0F572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6</w:t>
                  </w:r>
                </w:p>
              </w:tc>
              <w:tc>
                <w:tcPr>
                  <w:tcW w:w="2380" w:type="dxa"/>
                  <w:tcBorders>
                    <w:top w:val="nil"/>
                    <w:left w:val="nil"/>
                    <w:bottom w:val="single" w:sz="4" w:space="0" w:color="auto"/>
                    <w:right w:val="single" w:sz="4" w:space="0" w:color="auto"/>
                  </w:tcBorders>
                  <w:noWrap/>
                  <w:vAlign w:val="bottom"/>
                  <w:hideMark/>
                </w:tcPr>
                <w:p w14:paraId="59904C1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16</w:t>
                  </w:r>
                </w:p>
              </w:tc>
              <w:tc>
                <w:tcPr>
                  <w:tcW w:w="2020" w:type="dxa"/>
                  <w:tcBorders>
                    <w:top w:val="nil"/>
                    <w:left w:val="nil"/>
                    <w:bottom w:val="single" w:sz="4" w:space="0" w:color="auto"/>
                    <w:right w:val="single" w:sz="4" w:space="0" w:color="auto"/>
                  </w:tcBorders>
                  <w:noWrap/>
                  <w:vAlign w:val="bottom"/>
                  <w:hideMark/>
                </w:tcPr>
                <w:p w14:paraId="0FC2DF2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£14,400</w:t>
                  </w:r>
                </w:p>
              </w:tc>
            </w:tr>
            <w:tr w:rsidR="00722F48" w:rsidRPr="008F59EC" w14:paraId="56A9D851"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7583BED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Dec-26</w:t>
                  </w:r>
                </w:p>
              </w:tc>
              <w:tc>
                <w:tcPr>
                  <w:tcW w:w="1720" w:type="dxa"/>
                  <w:tcBorders>
                    <w:top w:val="nil"/>
                    <w:left w:val="nil"/>
                    <w:bottom w:val="single" w:sz="4" w:space="0" w:color="auto"/>
                    <w:right w:val="single" w:sz="4" w:space="0" w:color="auto"/>
                  </w:tcBorders>
                  <w:noWrap/>
                  <w:vAlign w:val="bottom"/>
                  <w:hideMark/>
                </w:tcPr>
                <w:p w14:paraId="5A3DB764"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w:t>
                  </w:r>
                </w:p>
              </w:tc>
              <w:tc>
                <w:tcPr>
                  <w:tcW w:w="2100" w:type="dxa"/>
                  <w:tcBorders>
                    <w:top w:val="nil"/>
                    <w:left w:val="nil"/>
                    <w:bottom w:val="single" w:sz="4" w:space="0" w:color="auto"/>
                    <w:right w:val="single" w:sz="4" w:space="0" w:color="auto"/>
                  </w:tcBorders>
                  <w:noWrap/>
                  <w:vAlign w:val="bottom"/>
                  <w:hideMark/>
                </w:tcPr>
                <w:p w14:paraId="0CB15D7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w:t>
                  </w:r>
                </w:p>
              </w:tc>
              <w:tc>
                <w:tcPr>
                  <w:tcW w:w="1840" w:type="dxa"/>
                  <w:tcBorders>
                    <w:top w:val="nil"/>
                    <w:left w:val="nil"/>
                    <w:bottom w:val="single" w:sz="4" w:space="0" w:color="auto"/>
                    <w:right w:val="single" w:sz="4" w:space="0" w:color="auto"/>
                  </w:tcBorders>
                  <w:noWrap/>
                  <w:vAlign w:val="bottom"/>
                  <w:hideMark/>
                </w:tcPr>
                <w:p w14:paraId="0B5B1B1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6</w:t>
                  </w:r>
                </w:p>
              </w:tc>
              <w:tc>
                <w:tcPr>
                  <w:tcW w:w="2380" w:type="dxa"/>
                  <w:tcBorders>
                    <w:top w:val="nil"/>
                    <w:left w:val="nil"/>
                    <w:bottom w:val="single" w:sz="4" w:space="0" w:color="auto"/>
                    <w:right w:val="single" w:sz="4" w:space="0" w:color="auto"/>
                  </w:tcBorders>
                  <w:noWrap/>
                  <w:vAlign w:val="bottom"/>
                  <w:hideMark/>
                </w:tcPr>
                <w:p w14:paraId="412ADCB4"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17</w:t>
                  </w:r>
                </w:p>
              </w:tc>
              <w:tc>
                <w:tcPr>
                  <w:tcW w:w="2020" w:type="dxa"/>
                  <w:tcBorders>
                    <w:top w:val="nil"/>
                    <w:left w:val="nil"/>
                    <w:bottom w:val="single" w:sz="4" w:space="0" w:color="auto"/>
                    <w:right w:val="single" w:sz="4" w:space="0" w:color="auto"/>
                  </w:tcBorders>
                  <w:noWrap/>
                  <w:vAlign w:val="bottom"/>
                  <w:hideMark/>
                </w:tcPr>
                <w:p w14:paraId="2461CAB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£15,500</w:t>
                  </w:r>
                </w:p>
              </w:tc>
            </w:tr>
            <w:tr w:rsidR="00722F48" w:rsidRPr="008F59EC" w14:paraId="78E62798" w14:textId="77777777" w:rsidTr="00AD20EE">
              <w:trPr>
                <w:trHeight w:val="300"/>
              </w:trPr>
              <w:tc>
                <w:tcPr>
                  <w:tcW w:w="2380" w:type="dxa"/>
                  <w:tcBorders>
                    <w:top w:val="nil"/>
                    <w:left w:val="single" w:sz="4" w:space="0" w:color="auto"/>
                    <w:bottom w:val="nil"/>
                    <w:right w:val="single" w:sz="4" w:space="0" w:color="auto"/>
                  </w:tcBorders>
                  <w:noWrap/>
                  <w:vAlign w:val="bottom"/>
                  <w:hideMark/>
                </w:tcPr>
                <w:p w14:paraId="4CDC8A78"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Jan-27</w:t>
                  </w:r>
                </w:p>
              </w:tc>
              <w:tc>
                <w:tcPr>
                  <w:tcW w:w="1720" w:type="dxa"/>
                  <w:tcBorders>
                    <w:top w:val="nil"/>
                    <w:left w:val="nil"/>
                    <w:bottom w:val="nil"/>
                    <w:right w:val="single" w:sz="4" w:space="0" w:color="auto"/>
                  </w:tcBorders>
                  <w:noWrap/>
                  <w:vAlign w:val="bottom"/>
                  <w:hideMark/>
                </w:tcPr>
                <w:p w14:paraId="43B8FEC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8</w:t>
                  </w:r>
                </w:p>
              </w:tc>
              <w:tc>
                <w:tcPr>
                  <w:tcW w:w="2100" w:type="dxa"/>
                  <w:tcBorders>
                    <w:top w:val="nil"/>
                    <w:left w:val="nil"/>
                    <w:bottom w:val="nil"/>
                    <w:right w:val="single" w:sz="4" w:space="0" w:color="auto"/>
                  </w:tcBorders>
                  <w:noWrap/>
                  <w:vAlign w:val="bottom"/>
                  <w:hideMark/>
                </w:tcPr>
                <w:p w14:paraId="2B12E25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w:t>
                  </w:r>
                </w:p>
              </w:tc>
              <w:tc>
                <w:tcPr>
                  <w:tcW w:w="1840" w:type="dxa"/>
                  <w:tcBorders>
                    <w:top w:val="nil"/>
                    <w:left w:val="nil"/>
                    <w:bottom w:val="single" w:sz="4" w:space="0" w:color="auto"/>
                    <w:right w:val="single" w:sz="4" w:space="0" w:color="auto"/>
                  </w:tcBorders>
                  <w:noWrap/>
                  <w:vAlign w:val="bottom"/>
                  <w:hideMark/>
                </w:tcPr>
                <w:p w14:paraId="0E814F5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w:t>
                  </w:r>
                </w:p>
              </w:tc>
              <w:tc>
                <w:tcPr>
                  <w:tcW w:w="2380" w:type="dxa"/>
                  <w:tcBorders>
                    <w:top w:val="nil"/>
                    <w:left w:val="nil"/>
                    <w:bottom w:val="single" w:sz="4" w:space="0" w:color="auto"/>
                    <w:right w:val="single" w:sz="4" w:space="0" w:color="auto"/>
                  </w:tcBorders>
                  <w:noWrap/>
                  <w:vAlign w:val="bottom"/>
                  <w:hideMark/>
                </w:tcPr>
                <w:p w14:paraId="11CC7CA4"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19</w:t>
                  </w:r>
                </w:p>
              </w:tc>
              <w:tc>
                <w:tcPr>
                  <w:tcW w:w="2020" w:type="dxa"/>
                  <w:tcBorders>
                    <w:top w:val="nil"/>
                    <w:left w:val="nil"/>
                    <w:bottom w:val="single" w:sz="4" w:space="0" w:color="auto"/>
                    <w:right w:val="single" w:sz="4" w:space="0" w:color="auto"/>
                  </w:tcBorders>
                  <w:noWrap/>
                  <w:vAlign w:val="bottom"/>
                  <w:hideMark/>
                </w:tcPr>
                <w:p w14:paraId="6CD66B7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£17,200</w:t>
                  </w:r>
                </w:p>
              </w:tc>
            </w:tr>
            <w:tr w:rsidR="00722F48" w:rsidRPr="008F59EC" w14:paraId="1779B54E" w14:textId="77777777" w:rsidTr="00AD20EE">
              <w:trPr>
                <w:trHeight w:val="300"/>
              </w:trPr>
              <w:tc>
                <w:tcPr>
                  <w:tcW w:w="2380" w:type="dxa"/>
                  <w:tcBorders>
                    <w:top w:val="single" w:sz="4" w:space="0" w:color="auto"/>
                    <w:left w:val="single" w:sz="4" w:space="0" w:color="auto"/>
                    <w:bottom w:val="single" w:sz="4" w:space="0" w:color="auto"/>
                    <w:right w:val="single" w:sz="4" w:space="0" w:color="auto"/>
                  </w:tcBorders>
                  <w:noWrap/>
                  <w:vAlign w:val="bottom"/>
                  <w:hideMark/>
                </w:tcPr>
                <w:p w14:paraId="3089F139"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Feb-27</w:t>
                  </w:r>
                </w:p>
              </w:tc>
              <w:tc>
                <w:tcPr>
                  <w:tcW w:w="1720" w:type="dxa"/>
                  <w:tcBorders>
                    <w:top w:val="single" w:sz="4" w:space="0" w:color="auto"/>
                    <w:left w:val="nil"/>
                    <w:bottom w:val="single" w:sz="4" w:space="0" w:color="auto"/>
                    <w:right w:val="single" w:sz="4" w:space="0" w:color="auto"/>
                  </w:tcBorders>
                  <w:noWrap/>
                  <w:vAlign w:val="bottom"/>
                  <w:hideMark/>
                </w:tcPr>
                <w:p w14:paraId="36F7ED0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8</w:t>
                  </w:r>
                </w:p>
              </w:tc>
              <w:tc>
                <w:tcPr>
                  <w:tcW w:w="2100" w:type="dxa"/>
                  <w:tcBorders>
                    <w:top w:val="single" w:sz="4" w:space="0" w:color="auto"/>
                    <w:left w:val="nil"/>
                    <w:bottom w:val="single" w:sz="4" w:space="0" w:color="auto"/>
                    <w:right w:val="single" w:sz="4" w:space="0" w:color="auto"/>
                  </w:tcBorders>
                  <w:noWrap/>
                  <w:vAlign w:val="bottom"/>
                  <w:hideMark/>
                </w:tcPr>
                <w:p w14:paraId="604DE14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w:t>
                  </w:r>
                </w:p>
              </w:tc>
              <w:tc>
                <w:tcPr>
                  <w:tcW w:w="1840" w:type="dxa"/>
                  <w:tcBorders>
                    <w:top w:val="nil"/>
                    <w:left w:val="nil"/>
                    <w:bottom w:val="single" w:sz="4" w:space="0" w:color="auto"/>
                    <w:right w:val="single" w:sz="4" w:space="0" w:color="auto"/>
                  </w:tcBorders>
                  <w:noWrap/>
                  <w:vAlign w:val="bottom"/>
                  <w:hideMark/>
                </w:tcPr>
                <w:p w14:paraId="26C8BE5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w:t>
                  </w:r>
                </w:p>
              </w:tc>
              <w:tc>
                <w:tcPr>
                  <w:tcW w:w="2380" w:type="dxa"/>
                  <w:tcBorders>
                    <w:top w:val="nil"/>
                    <w:left w:val="nil"/>
                    <w:bottom w:val="single" w:sz="4" w:space="0" w:color="auto"/>
                    <w:right w:val="single" w:sz="4" w:space="0" w:color="auto"/>
                  </w:tcBorders>
                  <w:noWrap/>
                  <w:vAlign w:val="bottom"/>
                  <w:hideMark/>
                </w:tcPr>
                <w:p w14:paraId="7E3B872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19</w:t>
                  </w:r>
                </w:p>
              </w:tc>
              <w:tc>
                <w:tcPr>
                  <w:tcW w:w="2020" w:type="dxa"/>
                  <w:tcBorders>
                    <w:top w:val="nil"/>
                    <w:left w:val="nil"/>
                    <w:bottom w:val="single" w:sz="4" w:space="0" w:color="auto"/>
                    <w:right w:val="single" w:sz="4" w:space="0" w:color="auto"/>
                  </w:tcBorders>
                  <w:noWrap/>
                  <w:vAlign w:val="bottom"/>
                  <w:hideMark/>
                </w:tcPr>
                <w:p w14:paraId="4CBD5BDB"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£17,200</w:t>
                  </w:r>
                </w:p>
              </w:tc>
            </w:tr>
            <w:tr w:rsidR="00722F48" w:rsidRPr="008F59EC" w14:paraId="5E8E6CE4"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332D358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Total</w:t>
                  </w:r>
                </w:p>
              </w:tc>
              <w:tc>
                <w:tcPr>
                  <w:tcW w:w="1720" w:type="dxa"/>
                  <w:tcBorders>
                    <w:top w:val="nil"/>
                    <w:left w:val="nil"/>
                    <w:bottom w:val="single" w:sz="4" w:space="0" w:color="auto"/>
                    <w:right w:val="single" w:sz="4" w:space="0" w:color="auto"/>
                  </w:tcBorders>
                  <w:noWrap/>
                  <w:vAlign w:val="bottom"/>
                  <w:hideMark/>
                </w:tcPr>
                <w:p w14:paraId="686B1464"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64</w:t>
                  </w:r>
                </w:p>
              </w:tc>
              <w:tc>
                <w:tcPr>
                  <w:tcW w:w="2100" w:type="dxa"/>
                  <w:tcBorders>
                    <w:top w:val="nil"/>
                    <w:left w:val="nil"/>
                    <w:bottom w:val="single" w:sz="4" w:space="0" w:color="auto"/>
                    <w:right w:val="single" w:sz="4" w:space="0" w:color="auto"/>
                  </w:tcBorders>
                  <w:noWrap/>
                  <w:vAlign w:val="bottom"/>
                  <w:hideMark/>
                </w:tcPr>
                <w:p w14:paraId="6EFA41C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32</w:t>
                  </w:r>
                </w:p>
              </w:tc>
              <w:tc>
                <w:tcPr>
                  <w:tcW w:w="1840" w:type="dxa"/>
                  <w:tcBorders>
                    <w:top w:val="nil"/>
                    <w:left w:val="nil"/>
                    <w:bottom w:val="single" w:sz="4" w:space="0" w:color="auto"/>
                    <w:right w:val="single" w:sz="4" w:space="0" w:color="auto"/>
                  </w:tcBorders>
                  <w:noWrap/>
                  <w:vAlign w:val="bottom"/>
                  <w:hideMark/>
                </w:tcPr>
                <w:p w14:paraId="11BB50E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55</w:t>
                  </w:r>
                </w:p>
              </w:tc>
              <w:tc>
                <w:tcPr>
                  <w:tcW w:w="2380" w:type="dxa"/>
                  <w:tcBorders>
                    <w:top w:val="nil"/>
                    <w:left w:val="nil"/>
                    <w:bottom w:val="single" w:sz="4" w:space="0" w:color="auto"/>
                    <w:right w:val="single" w:sz="4" w:space="0" w:color="auto"/>
                  </w:tcBorders>
                  <w:noWrap/>
                  <w:vAlign w:val="bottom"/>
                  <w:hideMark/>
                </w:tcPr>
                <w:p w14:paraId="5A1AA7DF"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151</w:t>
                  </w:r>
                </w:p>
              </w:tc>
              <w:tc>
                <w:tcPr>
                  <w:tcW w:w="2020" w:type="dxa"/>
                  <w:tcBorders>
                    <w:top w:val="nil"/>
                    <w:left w:val="nil"/>
                    <w:bottom w:val="single" w:sz="4" w:space="0" w:color="auto"/>
                    <w:right w:val="single" w:sz="4" w:space="0" w:color="auto"/>
                  </w:tcBorders>
                  <w:noWrap/>
                  <w:vAlign w:val="bottom"/>
                  <w:hideMark/>
                </w:tcPr>
                <w:p w14:paraId="4BA6F19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136800</w:t>
                  </w:r>
                </w:p>
              </w:tc>
            </w:tr>
          </w:tbl>
          <w:p w14:paraId="18F45487" w14:textId="77777777" w:rsidR="00722F48" w:rsidRPr="008F59EC" w:rsidRDefault="00722F48" w:rsidP="0014211F">
            <w:pPr>
              <w:spacing w:line="360" w:lineRule="auto"/>
              <w:jc w:val="both"/>
              <w:rPr>
                <w:rFonts w:ascii="Arial" w:hAnsi="Arial" w:cs="Arial"/>
              </w:rPr>
            </w:pPr>
          </w:p>
        </w:tc>
      </w:tr>
    </w:tbl>
    <w:p w14:paraId="7ED22F28" w14:textId="77777777" w:rsidR="00722F48" w:rsidRPr="008F59EC" w:rsidRDefault="00722F48" w:rsidP="0014211F">
      <w:pPr>
        <w:spacing w:line="360" w:lineRule="auto"/>
        <w:jc w:val="both"/>
        <w:rPr>
          <w:rFonts w:ascii="Arial" w:hAnsi="Arial" w:cs="Arial"/>
        </w:rPr>
      </w:pPr>
    </w:p>
    <w:p w14:paraId="23E15879" w14:textId="77777777" w:rsidR="007F4295" w:rsidRPr="008F59EC" w:rsidRDefault="007F4295" w:rsidP="0014211F">
      <w:pPr>
        <w:spacing w:line="360" w:lineRule="auto"/>
        <w:jc w:val="both"/>
        <w:rPr>
          <w:rFonts w:ascii="Arial" w:hAnsi="Arial" w:cs="Arial"/>
          <w:i/>
          <w:iCs/>
        </w:rPr>
      </w:pPr>
      <w:r w:rsidRPr="008F59EC">
        <w:rPr>
          <w:rFonts w:ascii="Arial" w:hAnsi="Arial" w:cs="Arial"/>
          <w:i/>
          <w:iCs/>
        </w:rPr>
        <w:t>Source: Author’s illustration (2026), based on internal financial projections</w:t>
      </w:r>
    </w:p>
    <w:p w14:paraId="16B47461" w14:textId="77777777" w:rsidR="007F4295" w:rsidRPr="008F59EC" w:rsidRDefault="007F4295" w:rsidP="0014211F">
      <w:pPr>
        <w:spacing w:line="360" w:lineRule="auto"/>
        <w:jc w:val="both"/>
        <w:rPr>
          <w:rFonts w:ascii="Arial" w:hAnsi="Arial" w:cs="Arial"/>
        </w:rPr>
      </w:pPr>
    </w:p>
    <w:p w14:paraId="60681CD2" w14:textId="77777777" w:rsidR="00722F48" w:rsidRPr="008F59EC" w:rsidRDefault="00722F48" w:rsidP="0014211F">
      <w:pPr>
        <w:spacing w:line="360" w:lineRule="auto"/>
        <w:jc w:val="both"/>
        <w:rPr>
          <w:rFonts w:ascii="Arial" w:hAnsi="Arial" w:cs="Arial"/>
        </w:rPr>
      </w:pPr>
      <w:r w:rsidRPr="008F59EC">
        <w:rPr>
          <w:rFonts w:ascii="Arial" w:hAnsi="Arial" w:cs="Arial"/>
        </w:rPr>
        <w:lastRenderedPageBreak/>
        <w:t>Above the monthly revenue projections are derived by multiplying the number of completed cases per product by the corresponding revenue per case. These calculations are shown in the supporting Excel model, which details revenue generation from March 2026 to February 2027. This approach ensures transparency and avoids reliance on generic averages.</w:t>
      </w:r>
    </w:p>
    <w:p w14:paraId="152697E8" w14:textId="77777777" w:rsidR="00722F48" w:rsidRPr="008F59EC" w:rsidRDefault="00722F48" w:rsidP="0014211F">
      <w:pPr>
        <w:spacing w:line="360" w:lineRule="auto"/>
        <w:jc w:val="both"/>
        <w:rPr>
          <w:rFonts w:ascii="Arial" w:hAnsi="Arial" w:cs="Arial"/>
        </w:rPr>
      </w:pPr>
    </w:p>
    <w:p w14:paraId="049E5D2D" w14:textId="765A3355" w:rsidR="00722F48" w:rsidRPr="008F59EC" w:rsidRDefault="00722F48" w:rsidP="0007190F">
      <w:pPr>
        <w:pStyle w:val="Heading2"/>
        <w:rPr>
          <w:rFonts w:ascii="Arial" w:hAnsi="Arial" w:cs="Arial"/>
        </w:rPr>
      </w:pPr>
      <w:bookmarkStart w:id="60" w:name="_Toc219926304"/>
      <w:r w:rsidRPr="008F59EC">
        <w:rPr>
          <w:rFonts w:ascii="Arial" w:hAnsi="Arial" w:cs="Arial"/>
        </w:rPr>
        <w:t>7.</w:t>
      </w:r>
      <w:r w:rsidR="00EF6CDF" w:rsidRPr="008F59EC">
        <w:rPr>
          <w:rFonts w:ascii="Arial" w:hAnsi="Arial" w:cs="Arial"/>
        </w:rPr>
        <w:t>4</w:t>
      </w:r>
      <w:r w:rsidRPr="008F59EC">
        <w:rPr>
          <w:rFonts w:ascii="Arial" w:hAnsi="Arial" w:cs="Arial"/>
        </w:rPr>
        <w:t xml:space="preserve"> Cost Structure and Variable Costs</w:t>
      </w:r>
      <w:bookmarkEnd w:id="60"/>
    </w:p>
    <w:p w14:paraId="4A693C2C" w14:textId="77777777" w:rsidR="00722F48" w:rsidRPr="008F59EC" w:rsidRDefault="00722F48" w:rsidP="0014211F">
      <w:pPr>
        <w:spacing w:line="360" w:lineRule="auto"/>
        <w:jc w:val="both"/>
        <w:rPr>
          <w:rFonts w:ascii="Arial" w:hAnsi="Arial" w:cs="Arial"/>
        </w:rPr>
      </w:pPr>
      <w:r w:rsidRPr="008F59EC">
        <w:rPr>
          <w:rFonts w:ascii="Arial" w:hAnsi="Arial" w:cs="Arial"/>
        </w:rPr>
        <w:t>The business operates with a relatively low-cost structure, typical of professional service firms. Costs are divided into variable (direct) costs and fixed operating costs.</w:t>
      </w:r>
    </w:p>
    <w:p w14:paraId="39044A57" w14:textId="5838B67C" w:rsidR="00722F48" w:rsidRPr="008F59EC" w:rsidRDefault="00722F48" w:rsidP="0014211F">
      <w:pPr>
        <w:spacing w:line="360" w:lineRule="auto"/>
        <w:jc w:val="both"/>
        <w:rPr>
          <w:rFonts w:ascii="Arial" w:hAnsi="Arial" w:cs="Arial"/>
        </w:rPr>
      </w:pPr>
      <w:r w:rsidRPr="008F59EC">
        <w:rPr>
          <w:rFonts w:ascii="Arial" w:hAnsi="Arial" w:cs="Arial"/>
        </w:rPr>
        <w:t xml:space="preserve">Variable costs are incurred only when a case is completed and include network revenue share, compliance processing, CRM usage, and administrative support. These costs are applied consistently on a per-case basis across all product types and are calculated monthly in the Excel model. Applying variable costs per completed case ensures that the cost structure remains flexible and scalable as business volumes change. An estimated variable cost of £250 are selected for each case for </w:t>
      </w:r>
      <w:r w:rsidR="00EC30AA" w:rsidRPr="008F59EC">
        <w:rPr>
          <w:rFonts w:ascii="Arial" w:hAnsi="Arial" w:cs="Arial"/>
        </w:rPr>
        <w:t>Sense Mortgage and Residential</w:t>
      </w:r>
      <w:r w:rsidR="00B74F6A" w:rsidRPr="008F59EC">
        <w:rPr>
          <w:rFonts w:ascii="Arial" w:hAnsi="Arial" w:cs="Arial"/>
        </w:rPr>
        <w:t>.</w:t>
      </w:r>
    </w:p>
    <w:p w14:paraId="3641F593" w14:textId="7EDB2AC2" w:rsidR="00722F48" w:rsidRPr="008F59EC" w:rsidRDefault="00722F48" w:rsidP="0014211F">
      <w:pPr>
        <w:spacing w:line="360" w:lineRule="auto"/>
        <w:jc w:val="both"/>
        <w:rPr>
          <w:rFonts w:ascii="Arial" w:hAnsi="Arial" w:cs="Arial"/>
        </w:rPr>
      </w:pPr>
      <w:r w:rsidRPr="008F59EC">
        <w:rPr>
          <w:rFonts w:ascii="Arial" w:hAnsi="Arial" w:cs="Arial"/>
        </w:rPr>
        <w:t>Following chart shows detail information of cost of sale each month for a financial year. Calculation is accompanying Excel cash flow model (Appendix)</w:t>
      </w:r>
    </w:p>
    <w:p w14:paraId="3F781796" w14:textId="538C16E8" w:rsidR="007F4295" w:rsidRPr="008F59EC" w:rsidRDefault="007F4295" w:rsidP="0014211F">
      <w:pPr>
        <w:spacing w:line="360" w:lineRule="auto"/>
        <w:jc w:val="both"/>
        <w:rPr>
          <w:rFonts w:ascii="Arial" w:hAnsi="Arial" w:cs="Arial"/>
        </w:rPr>
      </w:pPr>
      <w:r w:rsidRPr="008F59EC">
        <w:rPr>
          <w:rFonts w:ascii="Arial" w:hAnsi="Arial" w:cs="Arial"/>
        </w:rPr>
        <w:t xml:space="preserve">Table 9: Monthly cost of sale for Sense </w:t>
      </w:r>
    </w:p>
    <w:tbl>
      <w:tblPr>
        <w:tblStyle w:val="TableGrid"/>
        <w:tblW w:w="0" w:type="auto"/>
        <w:tblLook w:val="04A0" w:firstRow="1" w:lastRow="0" w:firstColumn="1" w:lastColumn="0" w:noHBand="0" w:noVBand="1"/>
      </w:tblPr>
      <w:tblGrid>
        <w:gridCol w:w="9016"/>
      </w:tblGrid>
      <w:tr w:rsidR="00722F48" w:rsidRPr="008F59EC" w14:paraId="4BFA7900" w14:textId="77777777" w:rsidTr="00AD20EE">
        <w:tc>
          <w:tcPr>
            <w:tcW w:w="9736" w:type="dxa"/>
          </w:tcPr>
          <w:tbl>
            <w:tblPr>
              <w:tblW w:w="12440" w:type="dxa"/>
              <w:tblLook w:val="04A0" w:firstRow="1" w:lastRow="0" w:firstColumn="1" w:lastColumn="0" w:noHBand="0" w:noVBand="1"/>
            </w:tblPr>
            <w:tblGrid>
              <w:gridCol w:w="1672"/>
              <w:gridCol w:w="1227"/>
              <w:gridCol w:w="1483"/>
              <w:gridCol w:w="1308"/>
              <w:gridCol w:w="1671"/>
              <w:gridCol w:w="1429"/>
            </w:tblGrid>
            <w:tr w:rsidR="00722F48" w:rsidRPr="008F59EC" w14:paraId="2432B643" w14:textId="77777777" w:rsidTr="00AD20EE">
              <w:trPr>
                <w:trHeight w:val="900"/>
              </w:trPr>
              <w:tc>
                <w:tcPr>
                  <w:tcW w:w="2380" w:type="dxa"/>
                  <w:tcBorders>
                    <w:top w:val="single" w:sz="4" w:space="0" w:color="auto"/>
                    <w:left w:val="single" w:sz="4" w:space="0" w:color="auto"/>
                    <w:bottom w:val="single" w:sz="4" w:space="0" w:color="auto"/>
                    <w:right w:val="single" w:sz="4" w:space="0" w:color="auto"/>
                  </w:tcBorders>
                  <w:noWrap/>
                  <w:vAlign w:val="bottom"/>
                  <w:hideMark/>
                </w:tcPr>
                <w:p w14:paraId="1B76DD6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Month</w:t>
                  </w:r>
                </w:p>
              </w:tc>
              <w:tc>
                <w:tcPr>
                  <w:tcW w:w="1720" w:type="dxa"/>
                  <w:tcBorders>
                    <w:top w:val="single" w:sz="4" w:space="0" w:color="auto"/>
                    <w:left w:val="nil"/>
                    <w:bottom w:val="single" w:sz="4" w:space="0" w:color="auto"/>
                    <w:right w:val="single" w:sz="4" w:space="0" w:color="auto"/>
                  </w:tcBorders>
                  <w:noWrap/>
                  <w:vAlign w:val="bottom"/>
                  <w:hideMark/>
                </w:tcPr>
                <w:p w14:paraId="3A175E9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FTB Cases</w:t>
                  </w:r>
                </w:p>
              </w:tc>
              <w:tc>
                <w:tcPr>
                  <w:tcW w:w="2100" w:type="dxa"/>
                  <w:tcBorders>
                    <w:top w:val="single" w:sz="4" w:space="0" w:color="auto"/>
                    <w:left w:val="nil"/>
                    <w:bottom w:val="single" w:sz="4" w:space="0" w:color="auto"/>
                    <w:right w:val="single" w:sz="4" w:space="0" w:color="auto"/>
                  </w:tcBorders>
                  <w:noWrap/>
                  <w:vAlign w:val="bottom"/>
                  <w:hideMark/>
                </w:tcPr>
                <w:p w14:paraId="2D9512A9"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BTL Cases</w:t>
                  </w:r>
                </w:p>
              </w:tc>
              <w:tc>
                <w:tcPr>
                  <w:tcW w:w="1840" w:type="dxa"/>
                  <w:tcBorders>
                    <w:top w:val="single" w:sz="4" w:space="0" w:color="auto"/>
                    <w:left w:val="nil"/>
                    <w:bottom w:val="single" w:sz="4" w:space="0" w:color="auto"/>
                    <w:right w:val="single" w:sz="4" w:space="0" w:color="auto"/>
                  </w:tcBorders>
                  <w:noWrap/>
                  <w:vAlign w:val="bottom"/>
                  <w:hideMark/>
                </w:tcPr>
                <w:p w14:paraId="4AF9B9A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Remortgage Cases</w:t>
                  </w:r>
                </w:p>
              </w:tc>
              <w:tc>
                <w:tcPr>
                  <w:tcW w:w="2380" w:type="dxa"/>
                  <w:tcBorders>
                    <w:top w:val="single" w:sz="4" w:space="0" w:color="auto"/>
                    <w:left w:val="nil"/>
                    <w:bottom w:val="single" w:sz="4" w:space="0" w:color="auto"/>
                    <w:right w:val="single" w:sz="4" w:space="0" w:color="auto"/>
                  </w:tcBorders>
                  <w:vAlign w:val="bottom"/>
                  <w:hideMark/>
                </w:tcPr>
                <w:p w14:paraId="69534654"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Total cost of sales (£)</w:t>
                  </w:r>
                  <w:r w:rsidRPr="008F59EC">
                    <w:rPr>
                      <w:rFonts w:ascii="Arial" w:eastAsia="Times New Roman" w:hAnsi="Arial" w:cs="Arial"/>
                      <w:color w:val="000000"/>
                      <w:kern w:val="0"/>
                      <w:lang w:eastAsia="en-GB"/>
                      <w14:ligatures w14:val="none"/>
                    </w:rPr>
                    <w:br/>
                    <w:t>per month</w:t>
                  </w:r>
                </w:p>
              </w:tc>
              <w:tc>
                <w:tcPr>
                  <w:tcW w:w="2020" w:type="dxa"/>
                  <w:tcBorders>
                    <w:top w:val="single" w:sz="4" w:space="0" w:color="auto"/>
                    <w:left w:val="nil"/>
                    <w:bottom w:val="single" w:sz="4" w:space="0" w:color="auto"/>
                    <w:right w:val="single" w:sz="4" w:space="0" w:color="auto"/>
                  </w:tcBorders>
                  <w:vAlign w:val="bottom"/>
                  <w:hideMark/>
                </w:tcPr>
                <w:p w14:paraId="3ABDF37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Average cost of sales</w:t>
                  </w:r>
                  <w:r w:rsidRPr="008F59EC">
                    <w:rPr>
                      <w:rFonts w:ascii="Arial" w:eastAsia="Times New Roman" w:hAnsi="Arial" w:cs="Arial"/>
                      <w:color w:val="000000"/>
                      <w:kern w:val="0"/>
                      <w:lang w:eastAsia="en-GB"/>
                      <w14:ligatures w14:val="none"/>
                    </w:rPr>
                    <w:br/>
                    <w:t>per day*</w:t>
                  </w:r>
                </w:p>
              </w:tc>
            </w:tr>
            <w:tr w:rsidR="00722F48" w:rsidRPr="008F59EC" w14:paraId="3F54D6D8"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4886F67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Mar-26</w:t>
                  </w:r>
                </w:p>
              </w:tc>
              <w:tc>
                <w:tcPr>
                  <w:tcW w:w="1720" w:type="dxa"/>
                  <w:tcBorders>
                    <w:top w:val="nil"/>
                    <w:left w:val="nil"/>
                    <w:bottom w:val="single" w:sz="4" w:space="0" w:color="auto"/>
                    <w:right w:val="single" w:sz="4" w:space="0" w:color="auto"/>
                  </w:tcBorders>
                  <w:noWrap/>
                  <w:vAlign w:val="bottom"/>
                  <w:hideMark/>
                </w:tcPr>
                <w:p w14:paraId="7CAB048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£500</w:t>
                  </w:r>
                </w:p>
              </w:tc>
              <w:tc>
                <w:tcPr>
                  <w:tcW w:w="2100" w:type="dxa"/>
                  <w:tcBorders>
                    <w:top w:val="nil"/>
                    <w:left w:val="nil"/>
                    <w:bottom w:val="single" w:sz="4" w:space="0" w:color="auto"/>
                    <w:right w:val="single" w:sz="4" w:space="0" w:color="auto"/>
                  </w:tcBorders>
                  <w:noWrap/>
                  <w:vAlign w:val="bottom"/>
                  <w:hideMark/>
                </w:tcPr>
                <w:p w14:paraId="47DAB20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£250</w:t>
                  </w:r>
                </w:p>
              </w:tc>
              <w:tc>
                <w:tcPr>
                  <w:tcW w:w="1840" w:type="dxa"/>
                  <w:tcBorders>
                    <w:top w:val="nil"/>
                    <w:left w:val="nil"/>
                    <w:bottom w:val="single" w:sz="4" w:space="0" w:color="auto"/>
                    <w:right w:val="single" w:sz="4" w:space="0" w:color="auto"/>
                  </w:tcBorders>
                  <w:noWrap/>
                  <w:vAlign w:val="bottom"/>
                  <w:hideMark/>
                </w:tcPr>
                <w:p w14:paraId="2BED56F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£500</w:t>
                  </w:r>
                </w:p>
              </w:tc>
              <w:tc>
                <w:tcPr>
                  <w:tcW w:w="2380" w:type="dxa"/>
                  <w:tcBorders>
                    <w:top w:val="nil"/>
                    <w:left w:val="nil"/>
                    <w:bottom w:val="single" w:sz="4" w:space="0" w:color="auto"/>
                    <w:right w:val="single" w:sz="4" w:space="0" w:color="auto"/>
                  </w:tcBorders>
                  <w:noWrap/>
                  <w:vAlign w:val="bottom"/>
                  <w:hideMark/>
                </w:tcPr>
                <w:p w14:paraId="4B2D3A8F"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£1,250</w:t>
                  </w:r>
                </w:p>
              </w:tc>
              <w:tc>
                <w:tcPr>
                  <w:tcW w:w="2020" w:type="dxa"/>
                  <w:tcBorders>
                    <w:top w:val="nil"/>
                    <w:left w:val="nil"/>
                    <w:bottom w:val="single" w:sz="4" w:space="0" w:color="auto"/>
                    <w:right w:val="single" w:sz="4" w:space="0" w:color="auto"/>
                  </w:tcBorders>
                  <w:noWrap/>
                  <w:vAlign w:val="bottom"/>
                  <w:hideMark/>
                </w:tcPr>
                <w:p w14:paraId="212C6614"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£41.67</w:t>
                  </w:r>
                </w:p>
              </w:tc>
            </w:tr>
            <w:tr w:rsidR="00722F48" w:rsidRPr="008F59EC" w14:paraId="7F6EE34E"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34C3048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Apr-26</w:t>
                  </w:r>
                </w:p>
              </w:tc>
              <w:tc>
                <w:tcPr>
                  <w:tcW w:w="1720" w:type="dxa"/>
                  <w:tcBorders>
                    <w:top w:val="nil"/>
                    <w:left w:val="nil"/>
                    <w:bottom w:val="single" w:sz="4" w:space="0" w:color="auto"/>
                    <w:right w:val="single" w:sz="4" w:space="0" w:color="auto"/>
                  </w:tcBorders>
                  <w:noWrap/>
                  <w:vAlign w:val="bottom"/>
                  <w:hideMark/>
                </w:tcPr>
                <w:p w14:paraId="38922DC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£750</w:t>
                  </w:r>
                </w:p>
              </w:tc>
              <w:tc>
                <w:tcPr>
                  <w:tcW w:w="2100" w:type="dxa"/>
                  <w:tcBorders>
                    <w:top w:val="nil"/>
                    <w:left w:val="nil"/>
                    <w:bottom w:val="single" w:sz="4" w:space="0" w:color="auto"/>
                    <w:right w:val="single" w:sz="4" w:space="0" w:color="auto"/>
                  </w:tcBorders>
                  <w:noWrap/>
                  <w:vAlign w:val="bottom"/>
                  <w:hideMark/>
                </w:tcPr>
                <w:p w14:paraId="5AF3DB2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£250</w:t>
                  </w:r>
                </w:p>
              </w:tc>
              <w:tc>
                <w:tcPr>
                  <w:tcW w:w="1840" w:type="dxa"/>
                  <w:tcBorders>
                    <w:top w:val="nil"/>
                    <w:left w:val="nil"/>
                    <w:bottom w:val="single" w:sz="4" w:space="0" w:color="auto"/>
                    <w:right w:val="single" w:sz="4" w:space="0" w:color="auto"/>
                  </w:tcBorders>
                  <w:noWrap/>
                  <w:vAlign w:val="bottom"/>
                  <w:hideMark/>
                </w:tcPr>
                <w:p w14:paraId="582A49AB"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£500</w:t>
                  </w:r>
                </w:p>
              </w:tc>
              <w:tc>
                <w:tcPr>
                  <w:tcW w:w="2380" w:type="dxa"/>
                  <w:tcBorders>
                    <w:top w:val="nil"/>
                    <w:left w:val="nil"/>
                    <w:bottom w:val="single" w:sz="4" w:space="0" w:color="auto"/>
                    <w:right w:val="single" w:sz="4" w:space="0" w:color="auto"/>
                  </w:tcBorders>
                  <w:noWrap/>
                  <w:vAlign w:val="bottom"/>
                  <w:hideMark/>
                </w:tcPr>
                <w:p w14:paraId="6959064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£1,500</w:t>
                  </w:r>
                </w:p>
              </w:tc>
              <w:tc>
                <w:tcPr>
                  <w:tcW w:w="2020" w:type="dxa"/>
                  <w:tcBorders>
                    <w:top w:val="nil"/>
                    <w:left w:val="nil"/>
                    <w:bottom w:val="single" w:sz="4" w:space="0" w:color="auto"/>
                    <w:right w:val="single" w:sz="4" w:space="0" w:color="auto"/>
                  </w:tcBorders>
                  <w:noWrap/>
                  <w:vAlign w:val="bottom"/>
                  <w:hideMark/>
                </w:tcPr>
                <w:p w14:paraId="1753A85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£50.00</w:t>
                  </w:r>
                </w:p>
              </w:tc>
            </w:tr>
            <w:tr w:rsidR="00722F48" w:rsidRPr="008F59EC" w14:paraId="33F7AF32" w14:textId="77777777" w:rsidTr="00AD20EE">
              <w:trPr>
                <w:trHeight w:val="300"/>
              </w:trPr>
              <w:tc>
                <w:tcPr>
                  <w:tcW w:w="2380" w:type="dxa"/>
                  <w:tcBorders>
                    <w:top w:val="nil"/>
                    <w:left w:val="single" w:sz="4" w:space="0" w:color="auto"/>
                    <w:bottom w:val="single" w:sz="4" w:space="0" w:color="auto"/>
                    <w:right w:val="single" w:sz="4" w:space="0" w:color="auto"/>
                  </w:tcBorders>
                  <w:vAlign w:val="bottom"/>
                  <w:hideMark/>
                </w:tcPr>
                <w:p w14:paraId="5C131A4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May-26</w:t>
                  </w:r>
                </w:p>
              </w:tc>
              <w:tc>
                <w:tcPr>
                  <w:tcW w:w="1720" w:type="dxa"/>
                  <w:tcBorders>
                    <w:top w:val="nil"/>
                    <w:left w:val="nil"/>
                    <w:bottom w:val="single" w:sz="4" w:space="0" w:color="auto"/>
                    <w:right w:val="single" w:sz="4" w:space="0" w:color="auto"/>
                  </w:tcBorders>
                  <w:noWrap/>
                  <w:vAlign w:val="bottom"/>
                  <w:hideMark/>
                </w:tcPr>
                <w:p w14:paraId="63E3E1D8"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£750</w:t>
                  </w:r>
                </w:p>
              </w:tc>
              <w:tc>
                <w:tcPr>
                  <w:tcW w:w="2100" w:type="dxa"/>
                  <w:tcBorders>
                    <w:top w:val="nil"/>
                    <w:left w:val="nil"/>
                    <w:bottom w:val="single" w:sz="4" w:space="0" w:color="auto"/>
                    <w:right w:val="single" w:sz="4" w:space="0" w:color="auto"/>
                  </w:tcBorders>
                  <w:noWrap/>
                  <w:vAlign w:val="bottom"/>
                  <w:hideMark/>
                </w:tcPr>
                <w:p w14:paraId="385C035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£500</w:t>
                  </w:r>
                </w:p>
              </w:tc>
              <w:tc>
                <w:tcPr>
                  <w:tcW w:w="1840" w:type="dxa"/>
                  <w:tcBorders>
                    <w:top w:val="nil"/>
                    <w:left w:val="nil"/>
                    <w:bottom w:val="single" w:sz="4" w:space="0" w:color="auto"/>
                    <w:right w:val="single" w:sz="4" w:space="0" w:color="auto"/>
                  </w:tcBorders>
                  <w:noWrap/>
                  <w:vAlign w:val="bottom"/>
                  <w:hideMark/>
                </w:tcPr>
                <w:p w14:paraId="3CF8313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£750</w:t>
                  </w:r>
                </w:p>
              </w:tc>
              <w:tc>
                <w:tcPr>
                  <w:tcW w:w="2380" w:type="dxa"/>
                  <w:tcBorders>
                    <w:top w:val="nil"/>
                    <w:left w:val="nil"/>
                    <w:bottom w:val="single" w:sz="4" w:space="0" w:color="auto"/>
                    <w:right w:val="single" w:sz="4" w:space="0" w:color="auto"/>
                  </w:tcBorders>
                  <w:noWrap/>
                  <w:vAlign w:val="bottom"/>
                  <w:hideMark/>
                </w:tcPr>
                <w:p w14:paraId="1883D47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£2,000</w:t>
                  </w:r>
                </w:p>
              </w:tc>
              <w:tc>
                <w:tcPr>
                  <w:tcW w:w="2020" w:type="dxa"/>
                  <w:tcBorders>
                    <w:top w:val="nil"/>
                    <w:left w:val="nil"/>
                    <w:bottom w:val="single" w:sz="4" w:space="0" w:color="auto"/>
                    <w:right w:val="single" w:sz="4" w:space="0" w:color="auto"/>
                  </w:tcBorders>
                  <w:noWrap/>
                  <w:vAlign w:val="bottom"/>
                  <w:hideMark/>
                </w:tcPr>
                <w:p w14:paraId="147A541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£66.67</w:t>
                  </w:r>
                </w:p>
              </w:tc>
            </w:tr>
            <w:tr w:rsidR="00722F48" w:rsidRPr="008F59EC" w14:paraId="75F92EE0"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4008F2A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Jun-26</w:t>
                  </w:r>
                </w:p>
              </w:tc>
              <w:tc>
                <w:tcPr>
                  <w:tcW w:w="1720" w:type="dxa"/>
                  <w:tcBorders>
                    <w:top w:val="nil"/>
                    <w:left w:val="nil"/>
                    <w:bottom w:val="single" w:sz="4" w:space="0" w:color="auto"/>
                    <w:right w:val="single" w:sz="4" w:space="0" w:color="auto"/>
                  </w:tcBorders>
                  <w:noWrap/>
                  <w:vAlign w:val="bottom"/>
                  <w:hideMark/>
                </w:tcPr>
                <w:p w14:paraId="325189D8"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£1,000</w:t>
                  </w:r>
                </w:p>
              </w:tc>
              <w:tc>
                <w:tcPr>
                  <w:tcW w:w="2100" w:type="dxa"/>
                  <w:tcBorders>
                    <w:top w:val="nil"/>
                    <w:left w:val="nil"/>
                    <w:bottom w:val="single" w:sz="4" w:space="0" w:color="auto"/>
                    <w:right w:val="single" w:sz="4" w:space="0" w:color="auto"/>
                  </w:tcBorders>
                  <w:noWrap/>
                  <w:vAlign w:val="bottom"/>
                  <w:hideMark/>
                </w:tcPr>
                <w:p w14:paraId="7D21FE8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£500</w:t>
                  </w:r>
                </w:p>
              </w:tc>
              <w:tc>
                <w:tcPr>
                  <w:tcW w:w="1840" w:type="dxa"/>
                  <w:tcBorders>
                    <w:top w:val="nil"/>
                    <w:left w:val="nil"/>
                    <w:bottom w:val="single" w:sz="4" w:space="0" w:color="auto"/>
                    <w:right w:val="single" w:sz="4" w:space="0" w:color="auto"/>
                  </w:tcBorders>
                  <w:noWrap/>
                  <w:vAlign w:val="bottom"/>
                  <w:hideMark/>
                </w:tcPr>
                <w:p w14:paraId="1C2D8F4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£1,000</w:t>
                  </w:r>
                </w:p>
              </w:tc>
              <w:tc>
                <w:tcPr>
                  <w:tcW w:w="2380" w:type="dxa"/>
                  <w:tcBorders>
                    <w:top w:val="nil"/>
                    <w:left w:val="nil"/>
                    <w:bottom w:val="single" w:sz="4" w:space="0" w:color="auto"/>
                    <w:right w:val="single" w:sz="4" w:space="0" w:color="auto"/>
                  </w:tcBorders>
                  <w:noWrap/>
                  <w:vAlign w:val="bottom"/>
                  <w:hideMark/>
                </w:tcPr>
                <w:p w14:paraId="1ADF614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£2,500</w:t>
                  </w:r>
                </w:p>
              </w:tc>
              <w:tc>
                <w:tcPr>
                  <w:tcW w:w="2020" w:type="dxa"/>
                  <w:tcBorders>
                    <w:top w:val="nil"/>
                    <w:left w:val="nil"/>
                    <w:bottom w:val="single" w:sz="4" w:space="0" w:color="auto"/>
                    <w:right w:val="single" w:sz="4" w:space="0" w:color="auto"/>
                  </w:tcBorders>
                  <w:noWrap/>
                  <w:vAlign w:val="bottom"/>
                  <w:hideMark/>
                </w:tcPr>
                <w:p w14:paraId="06A4A92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£83.33</w:t>
                  </w:r>
                </w:p>
              </w:tc>
            </w:tr>
            <w:tr w:rsidR="00722F48" w:rsidRPr="008F59EC" w14:paraId="327EC209"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73884A0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Jul-26</w:t>
                  </w:r>
                </w:p>
              </w:tc>
              <w:tc>
                <w:tcPr>
                  <w:tcW w:w="1720" w:type="dxa"/>
                  <w:tcBorders>
                    <w:top w:val="nil"/>
                    <w:left w:val="nil"/>
                    <w:bottom w:val="single" w:sz="4" w:space="0" w:color="auto"/>
                    <w:right w:val="single" w:sz="4" w:space="0" w:color="auto"/>
                  </w:tcBorders>
                  <w:noWrap/>
                  <w:vAlign w:val="bottom"/>
                  <w:hideMark/>
                </w:tcPr>
                <w:p w14:paraId="4E8DA62B"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£1,250</w:t>
                  </w:r>
                </w:p>
              </w:tc>
              <w:tc>
                <w:tcPr>
                  <w:tcW w:w="2100" w:type="dxa"/>
                  <w:tcBorders>
                    <w:top w:val="nil"/>
                    <w:left w:val="nil"/>
                    <w:bottom w:val="single" w:sz="4" w:space="0" w:color="auto"/>
                    <w:right w:val="single" w:sz="4" w:space="0" w:color="auto"/>
                  </w:tcBorders>
                  <w:noWrap/>
                  <w:vAlign w:val="bottom"/>
                  <w:hideMark/>
                </w:tcPr>
                <w:p w14:paraId="2B2CAA8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£500</w:t>
                  </w:r>
                </w:p>
              </w:tc>
              <w:tc>
                <w:tcPr>
                  <w:tcW w:w="1840" w:type="dxa"/>
                  <w:tcBorders>
                    <w:top w:val="nil"/>
                    <w:left w:val="nil"/>
                    <w:bottom w:val="single" w:sz="4" w:space="0" w:color="auto"/>
                    <w:right w:val="single" w:sz="4" w:space="0" w:color="auto"/>
                  </w:tcBorders>
                  <w:noWrap/>
                  <w:vAlign w:val="bottom"/>
                  <w:hideMark/>
                </w:tcPr>
                <w:p w14:paraId="6B97780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£1,000</w:t>
                  </w:r>
                </w:p>
              </w:tc>
              <w:tc>
                <w:tcPr>
                  <w:tcW w:w="2380" w:type="dxa"/>
                  <w:tcBorders>
                    <w:top w:val="nil"/>
                    <w:left w:val="nil"/>
                    <w:bottom w:val="single" w:sz="4" w:space="0" w:color="auto"/>
                    <w:right w:val="single" w:sz="4" w:space="0" w:color="auto"/>
                  </w:tcBorders>
                  <w:noWrap/>
                  <w:vAlign w:val="bottom"/>
                  <w:hideMark/>
                </w:tcPr>
                <w:p w14:paraId="2CE57798"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£2,750</w:t>
                  </w:r>
                </w:p>
              </w:tc>
              <w:tc>
                <w:tcPr>
                  <w:tcW w:w="2020" w:type="dxa"/>
                  <w:tcBorders>
                    <w:top w:val="nil"/>
                    <w:left w:val="nil"/>
                    <w:bottom w:val="single" w:sz="4" w:space="0" w:color="auto"/>
                    <w:right w:val="single" w:sz="4" w:space="0" w:color="auto"/>
                  </w:tcBorders>
                  <w:noWrap/>
                  <w:vAlign w:val="bottom"/>
                  <w:hideMark/>
                </w:tcPr>
                <w:p w14:paraId="7A29D93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£91.67</w:t>
                  </w:r>
                </w:p>
              </w:tc>
            </w:tr>
            <w:tr w:rsidR="00722F48" w:rsidRPr="008F59EC" w14:paraId="4877B58A"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43E6AFC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Aug-26</w:t>
                  </w:r>
                </w:p>
              </w:tc>
              <w:tc>
                <w:tcPr>
                  <w:tcW w:w="1720" w:type="dxa"/>
                  <w:tcBorders>
                    <w:top w:val="nil"/>
                    <w:left w:val="nil"/>
                    <w:bottom w:val="single" w:sz="4" w:space="0" w:color="auto"/>
                    <w:right w:val="single" w:sz="4" w:space="0" w:color="auto"/>
                  </w:tcBorders>
                  <w:noWrap/>
                  <w:vAlign w:val="bottom"/>
                  <w:hideMark/>
                </w:tcPr>
                <w:p w14:paraId="03F3583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£1,250</w:t>
                  </w:r>
                </w:p>
              </w:tc>
              <w:tc>
                <w:tcPr>
                  <w:tcW w:w="2100" w:type="dxa"/>
                  <w:tcBorders>
                    <w:top w:val="nil"/>
                    <w:left w:val="nil"/>
                    <w:bottom w:val="single" w:sz="4" w:space="0" w:color="auto"/>
                    <w:right w:val="single" w:sz="4" w:space="0" w:color="auto"/>
                  </w:tcBorders>
                  <w:noWrap/>
                  <w:vAlign w:val="bottom"/>
                  <w:hideMark/>
                </w:tcPr>
                <w:p w14:paraId="298B07E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£750</w:t>
                  </w:r>
                </w:p>
              </w:tc>
              <w:tc>
                <w:tcPr>
                  <w:tcW w:w="1840" w:type="dxa"/>
                  <w:tcBorders>
                    <w:top w:val="nil"/>
                    <w:left w:val="nil"/>
                    <w:bottom w:val="single" w:sz="4" w:space="0" w:color="auto"/>
                    <w:right w:val="single" w:sz="4" w:space="0" w:color="auto"/>
                  </w:tcBorders>
                  <w:noWrap/>
                  <w:vAlign w:val="bottom"/>
                  <w:hideMark/>
                </w:tcPr>
                <w:p w14:paraId="55BBC47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£1,000</w:t>
                  </w:r>
                </w:p>
              </w:tc>
              <w:tc>
                <w:tcPr>
                  <w:tcW w:w="2380" w:type="dxa"/>
                  <w:tcBorders>
                    <w:top w:val="nil"/>
                    <w:left w:val="nil"/>
                    <w:bottom w:val="single" w:sz="4" w:space="0" w:color="auto"/>
                    <w:right w:val="single" w:sz="4" w:space="0" w:color="auto"/>
                  </w:tcBorders>
                  <w:noWrap/>
                  <w:vAlign w:val="bottom"/>
                  <w:hideMark/>
                </w:tcPr>
                <w:p w14:paraId="1F6C2FD8"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£3,000</w:t>
                  </w:r>
                </w:p>
              </w:tc>
              <w:tc>
                <w:tcPr>
                  <w:tcW w:w="2020" w:type="dxa"/>
                  <w:tcBorders>
                    <w:top w:val="nil"/>
                    <w:left w:val="nil"/>
                    <w:bottom w:val="single" w:sz="4" w:space="0" w:color="auto"/>
                    <w:right w:val="single" w:sz="4" w:space="0" w:color="auto"/>
                  </w:tcBorders>
                  <w:noWrap/>
                  <w:vAlign w:val="bottom"/>
                  <w:hideMark/>
                </w:tcPr>
                <w:p w14:paraId="1474309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£100.00</w:t>
                  </w:r>
                </w:p>
              </w:tc>
            </w:tr>
            <w:tr w:rsidR="00722F48" w:rsidRPr="008F59EC" w14:paraId="30A35349"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337C55EF"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Sep-26</w:t>
                  </w:r>
                </w:p>
              </w:tc>
              <w:tc>
                <w:tcPr>
                  <w:tcW w:w="1720" w:type="dxa"/>
                  <w:tcBorders>
                    <w:top w:val="nil"/>
                    <w:left w:val="nil"/>
                    <w:bottom w:val="single" w:sz="4" w:space="0" w:color="auto"/>
                    <w:right w:val="single" w:sz="4" w:space="0" w:color="auto"/>
                  </w:tcBorders>
                  <w:noWrap/>
                  <w:vAlign w:val="bottom"/>
                  <w:hideMark/>
                </w:tcPr>
                <w:p w14:paraId="43F993C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£1,500</w:t>
                  </w:r>
                </w:p>
              </w:tc>
              <w:tc>
                <w:tcPr>
                  <w:tcW w:w="2100" w:type="dxa"/>
                  <w:tcBorders>
                    <w:top w:val="nil"/>
                    <w:left w:val="nil"/>
                    <w:bottom w:val="single" w:sz="4" w:space="0" w:color="auto"/>
                    <w:right w:val="single" w:sz="4" w:space="0" w:color="auto"/>
                  </w:tcBorders>
                  <w:noWrap/>
                  <w:vAlign w:val="bottom"/>
                  <w:hideMark/>
                </w:tcPr>
                <w:p w14:paraId="58A63C7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£750</w:t>
                  </w:r>
                </w:p>
              </w:tc>
              <w:tc>
                <w:tcPr>
                  <w:tcW w:w="1840" w:type="dxa"/>
                  <w:tcBorders>
                    <w:top w:val="nil"/>
                    <w:left w:val="nil"/>
                    <w:bottom w:val="single" w:sz="4" w:space="0" w:color="auto"/>
                    <w:right w:val="single" w:sz="4" w:space="0" w:color="auto"/>
                  </w:tcBorders>
                  <w:noWrap/>
                  <w:vAlign w:val="bottom"/>
                  <w:hideMark/>
                </w:tcPr>
                <w:p w14:paraId="7C6A638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£1,250</w:t>
                  </w:r>
                </w:p>
              </w:tc>
              <w:tc>
                <w:tcPr>
                  <w:tcW w:w="2380" w:type="dxa"/>
                  <w:tcBorders>
                    <w:top w:val="nil"/>
                    <w:left w:val="nil"/>
                    <w:bottom w:val="single" w:sz="4" w:space="0" w:color="auto"/>
                    <w:right w:val="single" w:sz="4" w:space="0" w:color="auto"/>
                  </w:tcBorders>
                  <w:noWrap/>
                  <w:vAlign w:val="bottom"/>
                  <w:hideMark/>
                </w:tcPr>
                <w:p w14:paraId="18799BD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£3,500</w:t>
                  </w:r>
                </w:p>
              </w:tc>
              <w:tc>
                <w:tcPr>
                  <w:tcW w:w="2020" w:type="dxa"/>
                  <w:tcBorders>
                    <w:top w:val="nil"/>
                    <w:left w:val="nil"/>
                    <w:bottom w:val="single" w:sz="4" w:space="0" w:color="auto"/>
                    <w:right w:val="single" w:sz="4" w:space="0" w:color="auto"/>
                  </w:tcBorders>
                  <w:noWrap/>
                  <w:vAlign w:val="bottom"/>
                  <w:hideMark/>
                </w:tcPr>
                <w:p w14:paraId="0C5B9658"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£116.67</w:t>
                  </w:r>
                </w:p>
              </w:tc>
            </w:tr>
            <w:tr w:rsidR="00722F48" w:rsidRPr="008F59EC" w14:paraId="52D6AF4A"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04BEDC88"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lastRenderedPageBreak/>
                    <w:t>Oct-26</w:t>
                  </w:r>
                </w:p>
              </w:tc>
              <w:tc>
                <w:tcPr>
                  <w:tcW w:w="1720" w:type="dxa"/>
                  <w:tcBorders>
                    <w:top w:val="nil"/>
                    <w:left w:val="nil"/>
                    <w:bottom w:val="single" w:sz="4" w:space="0" w:color="auto"/>
                    <w:right w:val="single" w:sz="4" w:space="0" w:color="auto"/>
                  </w:tcBorders>
                  <w:noWrap/>
                  <w:vAlign w:val="bottom"/>
                  <w:hideMark/>
                </w:tcPr>
                <w:p w14:paraId="291F0C0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£1,500</w:t>
                  </w:r>
                </w:p>
              </w:tc>
              <w:tc>
                <w:tcPr>
                  <w:tcW w:w="2100" w:type="dxa"/>
                  <w:tcBorders>
                    <w:top w:val="nil"/>
                    <w:left w:val="nil"/>
                    <w:bottom w:val="single" w:sz="4" w:space="0" w:color="auto"/>
                    <w:right w:val="single" w:sz="4" w:space="0" w:color="auto"/>
                  </w:tcBorders>
                  <w:noWrap/>
                  <w:vAlign w:val="bottom"/>
                  <w:hideMark/>
                </w:tcPr>
                <w:p w14:paraId="271DFC8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£750</w:t>
                  </w:r>
                </w:p>
              </w:tc>
              <w:tc>
                <w:tcPr>
                  <w:tcW w:w="1840" w:type="dxa"/>
                  <w:tcBorders>
                    <w:top w:val="nil"/>
                    <w:left w:val="nil"/>
                    <w:bottom w:val="single" w:sz="4" w:space="0" w:color="auto"/>
                    <w:right w:val="single" w:sz="4" w:space="0" w:color="auto"/>
                  </w:tcBorders>
                  <w:noWrap/>
                  <w:vAlign w:val="bottom"/>
                  <w:hideMark/>
                </w:tcPr>
                <w:p w14:paraId="446CBA0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£1,250</w:t>
                  </w:r>
                </w:p>
              </w:tc>
              <w:tc>
                <w:tcPr>
                  <w:tcW w:w="2380" w:type="dxa"/>
                  <w:tcBorders>
                    <w:top w:val="nil"/>
                    <w:left w:val="nil"/>
                    <w:bottom w:val="single" w:sz="4" w:space="0" w:color="auto"/>
                    <w:right w:val="single" w:sz="4" w:space="0" w:color="auto"/>
                  </w:tcBorders>
                  <w:noWrap/>
                  <w:vAlign w:val="bottom"/>
                  <w:hideMark/>
                </w:tcPr>
                <w:p w14:paraId="1A297E3B"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£3,500</w:t>
                  </w:r>
                </w:p>
              </w:tc>
              <w:tc>
                <w:tcPr>
                  <w:tcW w:w="2020" w:type="dxa"/>
                  <w:tcBorders>
                    <w:top w:val="nil"/>
                    <w:left w:val="nil"/>
                    <w:bottom w:val="single" w:sz="4" w:space="0" w:color="auto"/>
                    <w:right w:val="single" w:sz="4" w:space="0" w:color="auto"/>
                  </w:tcBorders>
                  <w:noWrap/>
                  <w:vAlign w:val="bottom"/>
                  <w:hideMark/>
                </w:tcPr>
                <w:p w14:paraId="44DC4F3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£116.67</w:t>
                  </w:r>
                </w:p>
              </w:tc>
            </w:tr>
            <w:tr w:rsidR="00722F48" w:rsidRPr="008F59EC" w14:paraId="4886999C" w14:textId="77777777" w:rsidTr="00AD20EE">
              <w:trPr>
                <w:trHeight w:val="300"/>
              </w:trPr>
              <w:tc>
                <w:tcPr>
                  <w:tcW w:w="2380" w:type="dxa"/>
                  <w:tcBorders>
                    <w:top w:val="nil"/>
                    <w:left w:val="single" w:sz="4" w:space="0" w:color="auto"/>
                    <w:bottom w:val="single" w:sz="4" w:space="0" w:color="auto"/>
                    <w:right w:val="single" w:sz="4" w:space="0" w:color="auto"/>
                  </w:tcBorders>
                  <w:noWrap/>
                  <w:vAlign w:val="bottom"/>
                  <w:hideMark/>
                </w:tcPr>
                <w:p w14:paraId="110F955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Nov-26</w:t>
                  </w:r>
                </w:p>
              </w:tc>
              <w:tc>
                <w:tcPr>
                  <w:tcW w:w="1720" w:type="dxa"/>
                  <w:tcBorders>
                    <w:top w:val="nil"/>
                    <w:left w:val="nil"/>
                    <w:bottom w:val="single" w:sz="4" w:space="0" w:color="auto"/>
                    <w:right w:val="single" w:sz="4" w:space="0" w:color="auto"/>
                  </w:tcBorders>
                  <w:noWrap/>
                  <w:vAlign w:val="bottom"/>
                  <w:hideMark/>
                </w:tcPr>
                <w:p w14:paraId="1DE0A37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£1,750</w:t>
                  </w:r>
                </w:p>
              </w:tc>
              <w:tc>
                <w:tcPr>
                  <w:tcW w:w="2100" w:type="dxa"/>
                  <w:tcBorders>
                    <w:top w:val="nil"/>
                    <w:left w:val="nil"/>
                    <w:bottom w:val="single" w:sz="4" w:space="0" w:color="auto"/>
                    <w:right w:val="single" w:sz="4" w:space="0" w:color="auto"/>
                  </w:tcBorders>
                  <w:noWrap/>
                  <w:vAlign w:val="bottom"/>
                  <w:hideMark/>
                </w:tcPr>
                <w:p w14:paraId="4DECC26F"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£750</w:t>
                  </w:r>
                </w:p>
              </w:tc>
              <w:tc>
                <w:tcPr>
                  <w:tcW w:w="1840" w:type="dxa"/>
                  <w:tcBorders>
                    <w:top w:val="nil"/>
                    <w:left w:val="nil"/>
                    <w:bottom w:val="single" w:sz="4" w:space="0" w:color="auto"/>
                    <w:right w:val="single" w:sz="4" w:space="0" w:color="auto"/>
                  </w:tcBorders>
                  <w:noWrap/>
                  <w:vAlign w:val="bottom"/>
                  <w:hideMark/>
                </w:tcPr>
                <w:p w14:paraId="0EEBF5D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£1,500</w:t>
                  </w:r>
                </w:p>
              </w:tc>
              <w:tc>
                <w:tcPr>
                  <w:tcW w:w="2380" w:type="dxa"/>
                  <w:tcBorders>
                    <w:top w:val="nil"/>
                    <w:left w:val="nil"/>
                    <w:bottom w:val="single" w:sz="4" w:space="0" w:color="auto"/>
                    <w:right w:val="single" w:sz="4" w:space="0" w:color="auto"/>
                  </w:tcBorders>
                  <w:noWrap/>
                  <w:vAlign w:val="bottom"/>
                  <w:hideMark/>
                </w:tcPr>
                <w:p w14:paraId="0D43FB7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£4,000</w:t>
                  </w:r>
                </w:p>
              </w:tc>
              <w:tc>
                <w:tcPr>
                  <w:tcW w:w="2020" w:type="dxa"/>
                  <w:tcBorders>
                    <w:top w:val="nil"/>
                    <w:left w:val="nil"/>
                    <w:bottom w:val="single" w:sz="4" w:space="0" w:color="auto"/>
                    <w:right w:val="single" w:sz="4" w:space="0" w:color="auto"/>
                  </w:tcBorders>
                  <w:noWrap/>
                  <w:vAlign w:val="bottom"/>
                  <w:hideMark/>
                </w:tcPr>
                <w:p w14:paraId="04122E4B"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£133.33</w:t>
                  </w:r>
                </w:p>
              </w:tc>
            </w:tr>
            <w:tr w:rsidR="00722F48" w:rsidRPr="008F59EC" w14:paraId="15796AC8" w14:textId="77777777" w:rsidTr="00AD20EE">
              <w:trPr>
                <w:trHeight w:val="390"/>
              </w:trPr>
              <w:tc>
                <w:tcPr>
                  <w:tcW w:w="2380" w:type="dxa"/>
                  <w:tcBorders>
                    <w:top w:val="nil"/>
                    <w:left w:val="single" w:sz="4" w:space="0" w:color="auto"/>
                    <w:bottom w:val="single" w:sz="4" w:space="0" w:color="auto"/>
                    <w:right w:val="single" w:sz="4" w:space="0" w:color="auto"/>
                  </w:tcBorders>
                  <w:noWrap/>
                  <w:vAlign w:val="bottom"/>
                  <w:hideMark/>
                </w:tcPr>
                <w:p w14:paraId="6EBFCF8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Dec-26</w:t>
                  </w:r>
                </w:p>
              </w:tc>
              <w:tc>
                <w:tcPr>
                  <w:tcW w:w="1720" w:type="dxa"/>
                  <w:tcBorders>
                    <w:top w:val="nil"/>
                    <w:left w:val="nil"/>
                    <w:bottom w:val="single" w:sz="4" w:space="0" w:color="auto"/>
                    <w:right w:val="single" w:sz="4" w:space="0" w:color="auto"/>
                  </w:tcBorders>
                  <w:noWrap/>
                  <w:vAlign w:val="bottom"/>
                  <w:hideMark/>
                </w:tcPr>
                <w:p w14:paraId="4F88A64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£1,750</w:t>
                  </w:r>
                </w:p>
              </w:tc>
              <w:tc>
                <w:tcPr>
                  <w:tcW w:w="2100" w:type="dxa"/>
                  <w:tcBorders>
                    <w:top w:val="nil"/>
                    <w:left w:val="nil"/>
                    <w:bottom w:val="single" w:sz="4" w:space="0" w:color="auto"/>
                    <w:right w:val="single" w:sz="4" w:space="0" w:color="auto"/>
                  </w:tcBorders>
                  <w:noWrap/>
                  <w:vAlign w:val="bottom"/>
                  <w:hideMark/>
                </w:tcPr>
                <w:p w14:paraId="485F31E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£1,000</w:t>
                  </w:r>
                </w:p>
              </w:tc>
              <w:tc>
                <w:tcPr>
                  <w:tcW w:w="1840" w:type="dxa"/>
                  <w:tcBorders>
                    <w:top w:val="nil"/>
                    <w:left w:val="nil"/>
                    <w:bottom w:val="single" w:sz="4" w:space="0" w:color="auto"/>
                    <w:right w:val="single" w:sz="4" w:space="0" w:color="auto"/>
                  </w:tcBorders>
                  <w:noWrap/>
                  <w:vAlign w:val="bottom"/>
                  <w:hideMark/>
                </w:tcPr>
                <w:p w14:paraId="070960E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£1,500</w:t>
                  </w:r>
                </w:p>
              </w:tc>
              <w:tc>
                <w:tcPr>
                  <w:tcW w:w="2380" w:type="dxa"/>
                  <w:tcBorders>
                    <w:top w:val="nil"/>
                    <w:left w:val="nil"/>
                    <w:bottom w:val="single" w:sz="4" w:space="0" w:color="auto"/>
                    <w:right w:val="single" w:sz="4" w:space="0" w:color="auto"/>
                  </w:tcBorders>
                  <w:noWrap/>
                  <w:vAlign w:val="bottom"/>
                  <w:hideMark/>
                </w:tcPr>
                <w:p w14:paraId="0DD7416F"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£4,250</w:t>
                  </w:r>
                </w:p>
              </w:tc>
              <w:tc>
                <w:tcPr>
                  <w:tcW w:w="2020" w:type="dxa"/>
                  <w:tcBorders>
                    <w:top w:val="nil"/>
                    <w:left w:val="nil"/>
                    <w:bottom w:val="single" w:sz="4" w:space="0" w:color="auto"/>
                    <w:right w:val="single" w:sz="4" w:space="0" w:color="auto"/>
                  </w:tcBorders>
                  <w:noWrap/>
                  <w:vAlign w:val="bottom"/>
                  <w:hideMark/>
                </w:tcPr>
                <w:p w14:paraId="15F5E5B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£141.67</w:t>
                  </w:r>
                </w:p>
              </w:tc>
            </w:tr>
            <w:tr w:rsidR="00722F48" w:rsidRPr="008F59EC" w14:paraId="5DFA303F" w14:textId="77777777" w:rsidTr="00AD20EE">
              <w:trPr>
                <w:trHeight w:val="300"/>
              </w:trPr>
              <w:tc>
                <w:tcPr>
                  <w:tcW w:w="2380" w:type="dxa"/>
                  <w:tcBorders>
                    <w:top w:val="nil"/>
                    <w:left w:val="single" w:sz="4" w:space="0" w:color="auto"/>
                    <w:bottom w:val="nil"/>
                    <w:right w:val="single" w:sz="4" w:space="0" w:color="auto"/>
                  </w:tcBorders>
                  <w:noWrap/>
                  <w:vAlign w:val="bottom"/>
                  <w:hideMark/>
                </w:tcPr>
                <w:p w14:paraId="6E0225F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Jan-27</w:t>
                  </w:r>
                </w:p>
              </w:tc>
              <w:tc>
                <w:tcPr>
                  <w:tcW w:w="1720" w:type="dxa"/>
                  <w:tcBorders>
                    <w:top w:val="nil"/>
                    <w:left w:val="nil"/>
                    <w:bottom w:val="single" w:sz="4" w:space="0" w:color="auto"/>
                    <w:right w:val="single" w:sz="4" w:space="0" w:color="auto"/>
                  </w:tcBorders>
                  <w:noWrap/>
                  <w:vAlign w:val="bottom"/>
                  <w:hideMark/>
                </w:tcPr>
                <w:p w14:paraId="63774E1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£2,000</w:t>
                  </w:r>
                </w:p>
              </w:tc>
              <w:tc>
                <w:tcPr>
                  <w:tcW w:w="2100" w:type="dxa"/>
                  <w:tcBorders>
                    <w:top w:val="nil"/>
                    <w:left w:val="nil"/>
                    <w:bottom w:val="single" w:sz="4" w:space="0" w:color="auto"/>
                    <w:right w:val="single" w:sz="4" w:space="0" w:color="auto"/>
                  </w:tcBorders>
                  <w:noWrap/>
                  <w:vAlign w:val="bottom"/>
                  <w:hideMark/>
                </w:tcPr>
                <w:p w14:paraId="72FCC98F"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£1,000</w:t>
                  </w:r>
                </w:p>
              </w:tc>
              <w:tc>
                <w:tcPr>
                  <w:tcW w:w="1840" w:type="dxa"/>
                  <w:tcBorders>
                    <w:top w:val="nil"/>
                    <w:left w:val="nil"/>
                    <w:bottom w:val="single" w:sz="4" w:space="0" w:color="auto"/>
                    <w:right w:val="single" w:sz="4" w:space="0" w:color="auto"/>
                  </w:tcBorders>
                  <w:noWrap/>
                  <w:vAlign w:val="bottom"/>
                  <w:hideMark/>
                </w:tcPr>
                <w:p w14:paraId="66CD6C08"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£1,750</w:t>
                  </w:r>
                </w:p>
              </w:tc>
              <w:tc>
                <w:tcPr>
                  <w:tcW w:w="2380" w:type="dxa"/>
                  <w:tcBorders>
                    <w:top w:val="nil"/>
                    <w:left w:val="nil"/>
                    <w:bottom w:val="single" w:sz="4" w:space="0" w:color="auto"/>
                    <w:right w:val="single" w:sz="4" w:space="0" w:color="auto"/>
                  </w:tcBorders>
                  <w:noWrap/>
                  <w:vAlign w:val="bottom"/>
                  <w:hideMark/>
                </w:tcPr>
                <w:p w14:paraId="71B65D2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£4,750</w:t>
                  </w:r>
                </w:p>
              </w:tc>
              <w:tc>
                <w:tcPr>
                  <w:tcW w:w="2020" w:type="dxa"/>
                  <w:tcBorders>
                    <w:top w:val="nil"/>
                    <w:left w:val="nil"/>
                    <w:bottom w:val="single" w:sz="4" w:space="0" w:color="auto"/>
                    <w:right w:val="single" w:sz="4" w:space="0" w:color="auto"/>
                  </w:tcBorders>
                  <w:noWrap/>
                  <w:vAlign w:val="bottom"/>
                  <w:hideMark/>
                </w:tcPr>
                <w:p w14:paraId="7C1F75E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£158.33</w:t>
                  </w:r>
                </w:p>
              </w:tc>
            </w:tr>
            <w:tr w:rsidR="00722F48" w:rsidRPr="008F59EC" w14:paraId="50839D40" w14:textId="77777777" w:rsidTr="00AD20EE">
              <w:trPr>
                <w:trHeight w:val="300"/>
              </w:trPr>
              <w:tc>
                <w:tcPr>
                  <w:tcW w:w="2380" w:type="dxa"/>
                  <w:tcBorders>
                    <w:top w:val="single" w:sz="4" w:space="0" w:color="auto"/>
                    <w:left w:val="single" w:sz="4" w:space="0" w:color="auto"/>
                    <w:bottom w:val="single" w:sz="4" w:space="0" w:color="auto"/>
                    <w:right w:val="single" w:sz="4" w:space="0" w:color="auto"/>
                  </w:tcBorders>
                  <w:noWrap/>
                  <w:vAlign w:val="bottom"/>
                  <w:hideMark/>
                </w:tcPr>
                <w:p w14:paraId="6219D64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Feb-27</w:t>
                  </w:r>
                </w:p>
              </w:tc>
              <w:tc>
                <w:tcPr>
                  <w:tcW w:w="1720" w:type="dxa"/>
                  <w:tcBorders>
                    <w:top w:val="nil"/>
                    <w:left w:val="nil"/>
                    <w:bottom w:val="single" w:sz="4" w:space="0" w:color="auto"/>
                    <w:right w:val="single" w:sz="4" w:space="0" w:color="auto"/>
                  </w:tcBorders>
                  <w:noWrap/>
                  <w:vAlign w:val="bottom"/>
                  <w:hideMark/>
                </w:tcPr>
                <w:p w14:paraId="143F13A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£2,000</w:t>
                  </w:r>
                </w:p>
              </w:tc>
              <w:tc>
                <w:tcPr>
                  <w:tcW w:w="2100" w:type="dxa"/>
                  <w:tcBorders>
                    <w:top w:val="nil"/>
                    <w:left w:val="nil"/>
                    <w:bottom w:val="single" w:sz="4" w:space="0" w:color="auto"/>
                    <w:right w:val="single" w:sz="4" w:space="0" w:color="auto"/>
                  </w:tcBorders>
                  <w:noWrap/>
                  <w:vAlign w:val="bottom"/>
                  <w:hideMark/>
                </w:tcPr>
                <w:p w14:paraId="52E1B2A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£1,000</w:t>
                  </w:r>
                </w:p>
              </w:tc>
              <w:tc>
                <w:tcPr>
                  <w:tcW w:w="1840" w:type="dxa"/>
                  <w:tcBorders>
                    <w:top w:val="nil"/>
                    <w:left w:val="nil"/>
                    <w:bottom w:val="single" w:sz="4" w:space="0" w:color="auto"/>
                    <w:right w:val="single" w:sz="4" w:space="0" w:color="auto"/>
                  </w:tcBorders>
                  <w:noWrap/>
                  <w:vAlign w:val="bottom"/>
                  <w:hideMark/>
                </w:tcPr>
                <w:p w14:paraId="37907BD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£1,750</w:t>
                  </w:r>
                </w:p>
              </w:tc>
              <w:tc>
                <w:tcPr>
                  <w:tcW w:w="2380" w:type="dxa"/>
                  <w:tcBorders>
                    <w:top w:val="nil"/>
                    <w:left w:val="nil"/>
                    <w:bottom w:val="single" w:sz="4" w:space="0" w:color="auto"/>
                    <w:right w:val="single" w:sz="4" w:space="0" w:color="auto"/>
                  </w:tcBorders>
                  <w:noWrap/>
                  <w:vAlign w:val="bottom"/>
                  <w:hideMark/>
                </w:tcPr>
                <w:p w14:paraId="3CEC2E5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£4,750</w:t>
                  </w:r>
                </w:p>
              </w:tc>
              <w:tc>
                <w:tcPr>
                  <w:tcW w:w="2020" w:type="dxa"/>
                  <w:tcBorders>
                    <w:top w:val="nil"/>
                    <w:left w:val="nil"/>
                    <w:bottom w:val="single" w:sz="4" w:space="0" w:color="auto"/>
                    <w:right w:val="single" w:sz="4" w:space="0" w:color="auto"/>
                  </w:tcBorders>
                  <w:noWrap/>
                  <w:vAlign w:val="bottom"/>
                  <w:hideMark/>
                </w:tcPr>
                <w:p w14:paraId="4BBA98C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£158.33</w:t>
                  </w:r>
                </w:p>
              </w:tc>
            </w:tr>
          </w:tbl>
          <w:p w14:paraId="6434785D" w14:textId="77777777" w:rsidR="00722F48" w:rsidRPr="008F59EC" w:rsidRDefault="00722F48" w:rsidP="0014211F">
            <w:pPr>
              <w:spacing w:line="360" w:lineRule="auto"/>
              <w:jc w:val="both"/>
              <w:rPr>
                <w:rFonts w:ascii="Arial" w:hAnsi="Arial" w:cs="Arial"/>
              </w:rPr>
            </w:pPr>
          </w:p>
        </w:tc>
      </w:tr>
    </w:tbl>
    <w:p w14:paraId="6300E072" w14:textId="77777777" w:rsidR="00722F48" w:rsidRPr="008F59EC" w:rsidRDefault="00722F48" w:rsidP="0014211F">
      <w:pPr>
        <w:spacing w:line="360" w:lineRule="auto"/>
        <w:jc w:val="both"/>
        <w:rPr>
          <w:rFonts w:ascii="Arial" w:hAnsi="Arial" w:cs="Arial"/>
        </w:rPr>
      </w:pPr>
    </w:p>
    <w:p w14:paraId="5F5BEC33" w14:textId="77777777" w:rsidR="007F4295" w:rsidRPr="008F59EC" w:rsidRDefault="007F4295" w:rsidP="0014211F">
      <w:pPr>
        <w:spacing w:line="360" w:lineRule="auto"/>
        <w:jc w:val="both"/>
        <w:rPr>
          <w:rFonts w:ascii="Arial" w:hAnsi="Arial" w:cs="Arial"/>
          <w:i/>
          <w:iCs/>
        </w:rPr>
      </w:pPr>
      <w:r w:rsidRPr="008F59EC">
        <w:rPr>
          <w:rFonts w:ascii="Arial" w:hAnsi="Arial" w:cs="Arial"/>
          <w:i/>
          <w:iCs/>
        </w:rPr>
        <w:t>Source: Author’s illustration (2026), based on internal financial projections</w:t>
      </w:r>
    </w:p>
    <w:p w14:paraId="7CE7B01B" w14:textId="77777777" w:rsidR="007F4295" w:rsidRPr="008F59EC" w:rsidRDefault="007F4295" w:rsidP="0014211F">
      <w:pPr>
        <w:spacing w:line="360" w:lineRule="auto"/>
        <w:jc w:val="both"/>
        <w:rPr>
          <w:rFonts w:ascii="Arial" w:hAnsi="Arial" w:cs="Arial"/>
        </w:rPr>
      </w:pPr>
    </w:p>
    <w:p w14:paraId="6A37E2FC" w14:textId="1CD4B86A" w:rsidR="00722F48" w:rsidRPr="008F59EC" w:rsidRDefault="00722F48" w:rsidP="0014211F">
      <w:pPr>
        <w:spacing w:line="360" w:lineRule="auto"/>
        <w:jc w:val="both"/>
        <w:rPr>
          <w:rFonts w:ascii="Arial" w:hAnsi="Arial" w:cs="Arial"/>
        </w:rPr>
      </w:pPr>
      <w:r w:rsidRPr="008F59EC">
        <w:rPr>
          <w:rFonts w:ascii="Arial" w:hAnsi="Arial" w:cs="Arial"/>
        </w:rPr>
        <w:t xml:space="preserve">Fixed costs, including software subscriptions, professional indemnity insurance, regulatory fees, and marketing overheads, are treated separately and do not form part of cost of sales. This distinction ensures that gross profit calculations reflect standard financial practice for service-based businesses. </w:t>
      </w:r>
      <w:r w:rsidR="00C61869" w:rsidRPr="008F59EC">
        <w:rPr>
          <w:rFonts w:ascii="Arial" w:hAnsi="Arial" w:cs="Arial"/>
        </w:rPr>
        <w:t>Breakdown</w:t>
      </w:r>
      <w:r w:rsidRPr="008F59EC">
        <w:rPr>
          <w:rFonts w:ascii="Arial" w:hAnsi="Arial" w:cs="Arial"/>
        </w:rPr>
        <w:t xml:space="preserve"> of Fixed cost are allocated in following section at operating expenses. </w:t>
      </w:r>
    </w:p>
    <w:p w14:paraId="5BB8CA30" w14:textId="77777777" w:rsidR="00582B0D" w:rsidRPr="008F59EC" w:rsidRDefault="00582B0D" w:rsidP="0014211F">
      <w:pPr>
        <w:spacing w:line="360" w:lineRule="auto"/>
        <w:jc w:val="both"/>
        <w:rPr>
          <w:rFonts w:ascii="Arial" w:hAnsi="Arial" w:cs="Arial"/>
        </w:rPr>
      </w:pPr>
      <w:r w:rsidRPr="008F59EC">
        <w:rPr>
          <w:rFonts w:ascii="Arial" w:hAnsi="Arial" w:cs="Arial"/>
        </w:rPr>
        <w:t>Monthly cash flow forecasting plays a critical role in managing financial risk during the early stages of operation. Unlike annual projections, monthly forecasts allow for closer monitoring of liquidity, particularly in periods where income timing may be affected by lender processing delays or seasonal demand fluctuations. This is especially relevant for mortgage advisory firms, where revenue is typically received upon case completion rather than at the point of enquiry.</w:t>
      </w:r>
    </w:p>
    <w:p w14:paraId="5B316FE6" w14:textId="77777777" w:rsidR="00582B0D" w:rsidRPr="008F59EC" w:rsidRDefault="00582B0D" w:rsidP="0014211F">
      <w:pPr>
        <w:spacing w:line="360" w:lineRule="auto"/>
        <w:jc w:val="both"/>
        <w:rPr>
          <w:rFonts w:ascii="Arial" w:hAnsi="Arial" w:cs="Arial"/>
        </w:rPr>
      </w:pPr>
      <w:r w:rsidRPr="008F59EC">
        <w:rPr>
          <w:rFonts w:ascii="Arial" w:hAnsi="Arial" w:cs="Arial"/>
        </w:rPr>
        <w:t>Effective cash flow management supports timely payment of operational expenses and reduces reliance on external financing. According to Deloitte (2023), small financial services firms that adopt detailed cash flow monitoring are better equipped to manage short-term volatility and maintain business continuity. The monthly cash flow model used in this report therefore enhances transparency and strengthens the credibility of the financial plan.</w:t>
      </w:r>
    </w:p>
    <w:p w14:paraId="243FF07A" w14:textId="77777777" w:rsidR="00582B0D" w:rsidRPr="008F59EC" w:rsidRDefault="00582B0D" w:rsidP="0014211F">
      <w:pPr>
        <w:spacing w:line="360" w:lineRule="auto"/>
        <w:jc w:val="both"/>
        <w:rPr>
          <w:rFonts w:ascii="Arial" w:hAnsi="Arial" w:cs="Arial"/>
        </w:rPr>
      </w:pPr>
    </w:p>
    <w:p w14:paraId="7D0BDD72" w14:textId="5386D2B1" w:rsidR="00722F48" w:rsidRPr="008F59EC" w:rsidRDefault="00722F48" w:rsidP="0007190F">
      <w:pPr>
        <w:pStyle w:val="Heading2"/>
        <w:rPr>
          <w:rFonts w:ascii="Arial" w:hAnsi="Arial" w:cs="Arial"/>
        </w:rPr>
      </w:pPr>
      <w:bookmarkStart w:id="61" w:name="_Toc219926305"/>
      <w:r w:rsidRPr="008F59EC">
        <w:rPr>
          <w:rFonts w:ascii="Arial" w:hAnsi="Arial" w:cs="Arial"/>
        </w:rPr>
        <w:t>7.</w:t>
      </w:r>
      <w:r w:rsidR="00EF6CDF" w:rsidRPr="008F59EC">
        <w:rPr>
          <w:rFonts w:ascii="Arial" w:hAnsi="Arial" w:cs="Arial"/>
        </w:rPr>
        <w:t>5</w:t>
      </w:r>
      <w:r w:rsidRPr="008F59EC">
        <w:rPr>
          <w:rFonts w:ascii="Arial" w:hAnsi="Arial" w:cs="Arial"/>
        </w:rPr>
        <w:t xml:space="preserve"> Operating Expenses</w:t>
      </w:r>
      <w:bookmarkEnd w:id="61"/>
      <w:r w:rsidRPr="008F59EC">
        <w:rPr>
          <w:rFonts w:ascii="Arial" w:hAnsi="Arial" w:cs="Arial"/>
        </w:rPr>
        <w:t xml:space="preserve"> </w:t>
      </w:r>
    </w:p>
    <w:p w14:paraId="4B3B60F0" w14:textId="77777777" w:rsidR="00722F48" w:rsidRPr="008F59EC" w:rsidRDefault="00722F48" w:rsidP="0014211F">
      <w:pPr>
        <w:spacing w:line="360" w:lineRule="auto"/>
        <w:jc w:val="both"/>
        <w:rPr>
          <w:rFonts w:ascii="Arial" w:hAnsi="Arial" w:cs="Arial"/>
        </w:rPr>
      </w:pPr>
      <w:r w:rsidRPr="008F59EC">
        <w:rPr>
          <w:rFonts w:ascii="Arial" w:hAnsi="Arial" w:cs="Arial"/>
        </w:rPr>
        <w:t>Operating expenses reflect ongoing monthly and annual costs required to run the business.</w:t>
      </w:r>
    </w:p>
    <w:p w14:paraId="53E5A4C0" w14:textId="77777777" w:rsidR="007F4295" w:rsidRPr="008F59EC" w:rsidRDefault="007F4295" w:rsidP="0014211F">
      <w:pPr>
        <w:spacing w:line="360" w:lineRule="auto"/>
        <w:jc w:val="both"/>
        <w:rPr>
          <w:rFonts w:ascii="Arial" w:hAnsi="Arial" w:cs="Arial"/>
        </w:rPr>
      </w:pPr>
    </w:p>
    <w:p w14:paraId="4002C136" w14:textId="62D6B661" w:rsidR="00722F48" w:rsidRPr="008F59EC" w:rsidRDefault="007F4295" w:rsidP="0014211F">
      <w:pPr>
        <w:spacing w:line="360" w:lineRule="auto"/>
        <w:jc w:val="both"/>
        <w:rPr>
          <w:rFonts w:ascii="Arial" w:hAnsi="Arial" w:cs="Arial"/>
        </w:rPr>
      </w:pPr>
      <w:r w:rsidRPr="008F59EC">
        <w:rPr>
          <w:rFonts w:ascii="Arial" w:hAnsi="Arial" w:cs="Arial"/>
        </w:rPr>
        <w:lastRenderedPageBreak/>
        <w:t xml:space="preserve">Table 10: </w:t>
      </w:r>
      <w:r w:rsidR="00722F48" w:rsidRPr="008F59EC">
        <w:rPr>
          <w:rFonts w:ascii="Arial" w:hAnsi="Arial" w:cs="Arial"/>
        </w:rPr>
        <w:t>Operating Expense Forecast (Annual)</w:t>
      </w:r>
    </w:p>
    <w:tbl>
      <w:tblPr>
        <w:tblW w:w="8837" w:type="dxa"/>
        <w:tblInd w:w="-5" w:type="dxa"/>
        <w:tblLook w:val="04A0" w:firstRow="1" w:lastRow="0" w:firstColumn="1" w:lastColumn="0" w:noHBand="0" w:noVBand="1"/>
      </w:tblPr>
      <w:tblGrid>
        <w:gridCol w:w="5511"/>
        <w:gridCol w:w="3326"/>
      </w:tblGrid>
      <w:tr w:rsidR="00722F48" w:rsidRPr="008F59EC" w14:paraId="35B0D489" w14:textId="77777777" w:rsidTr="00722F48">
        <w:trPr>
          <w:trHeight w:val="845"/>
        </w:trPr>
        <w:tc>
          <w:tcPr>
            <w:tcW w:w="5511"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44BB0F48"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Expense Type</w:t>
            </w:r>
          </w:p>
        </w:tc>
        <w:tc>
          <w:tcPr>
            <w:tcW w:w="3326" w:type="dxa"/>
            <w:tcBorders>
              <w:top w:val="single" w:sz="4" w:space="0" w:color="auto"/>
              <w:left w:val="nil"/>
              <w:bottom w:val="single" w:sz="4" w:space="0" w:color="auto"/>
              <w:right w:val="single" w:sz="4" w:space="0" w:color="auto"/>
            </w:tcBorders>
            <w:shd w:val="clear" w:color="000000" w:fill="DAE9F8"/>
            <w:vAlign w:val="center"/>
            <w:hideMark/>
          </w:tcPr>
          <w:p w14:paraId="57460EC1"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Annual Cost (£)</w:t>
            </w:r>
          </w:p>
        </w:tc>
      </w:tr>
      <w:tr w:rsidR="00722F48" w:rsidRPr="008F59EC" w14:paraId="0211234C" w14:textId="77777777" w:rsidTr="00722F48">
        <w:trPr>
          <w:trHeight w:val="535"/>
        </w:trPr>
        <w:tc>
          <w:tcPr>
            <w:tcW w:w="5511" w:type="dxa"/>
            <w:tcBorders>
              <w:top w:val="nil"/>
              <w:left w:val="single" w:sz="4" w:space="0" w:color="auto"/>
              <w:bottom w:val="single" w:sz="4" w:space="0" w:color="auto"/>
              <w:right w:val="single" w:sz="4" w:space="0" w:color="auto"/>
            </w:tcBorders>
            <w:shd w:val="clear" w:color="000000" w:fill="DAE9F8"/>
            <w:vAlign w:val="center"/>
            <w:hideMark/>
          </w:tcPr>
          <w:p w14:paraId="5BD65E1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CRM Subscription</w:t>
            </w:r>
          </w:p>
        </w:tc>
        <w:tc>
          <w:tcPr>
            <w:tcW w:w="3326" w:type="dxa"/>
            <w:tcBorders>
              <w:top w:val="nil"/>
              <w:left w:val="nil"/>
              <w:bottom w:val="single" w:sz="4" w:space="0" w:color="auto"/>
              <w:right w:val="single" w:sz="4" w:space="0" w:color="auto"/>
            </w:tcBorders>
            <w:shd w:val="clear" w:color="000000" w:fill="DAE9F8"/>
            <w:vAlign w:val="center"/>
            <w:hideMark/>
          </w:tcPr>
          <w:p w14:paraId="49E5704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£720</w:t>
            </w:r>
          </w:p>
        </w:tc>
      </w:tr>
      <w:tr w:rsidR="00722F48" w:rsidRPr="008F59EC" w14:paraId="398C8AC9" w14:textId="77777777" w:rsidTr="00722F48">
        <w:trPr>
          <w:trHeight w:val="535"/>
        </w:trPr>
        <w:tc>
          <w:tcPr>
            <w:tcW w:w="5511" w:type="dxa"/>
            <w:tcBorders>
              <w:top w:val="nil"/>
              <w:left w:val="single" w:sz="4" w:space="0" w:color="auto"/>
              <w:bottom w:val="single" w:sz="4" w:space="0" w:color="auto"/>
              <w:right w:val="single" w:sz="4" w:space="0" w:color="auto"/>
            </w:tcBorders>
            <w:shd w:val="clear" w:color="000000" w:fill="DAE9F8"/>
            <w:vAlign w:val="center"/>
            <w:hideMark/>
          </w:tcPr>
          <w:p w14:paraId="6683C35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Cloud Storage &amp; Software</w:t>
            </w:r>
          </w:p>
        </w:tc>
        <w:tc>
          <w:tcPr>
            <w:tcW w:w="3326" w:type="dxa"/>
            <w:tcBorders>
              <w:top w:val="nil"/>
              <w:left w:val="nil"/>
              <w:bottom w:val="single" w:sz="4" w:space="0" w:color="auto"/>
              <w:right w:val="single" w:sz="4" w:space="0" w:color="auto"/>
            </w:tcBorders>
            <w:shd w:val="clear" w:color="000000" w:fill="DAE9F8"/>
            <w:vAlign w:val="center"/>
            <w:hideMark/>
          </w:tcPr>
          <w:p w14:paraId="67EAE628"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£360</w:t>
            </w:r>
          </w:p>
        </w:tc>
      </w:tr>
      <w:tr w:rsidR="00722F48" w:rsidRPr="008F59EC" w14:paraId="3D12B600" w14:textId="77777777" w:rsidTr="00722F48">
        <w:trPr>
          <w:trHeight w:val="281"/>
        </w:trPr>
        <w:tc>
          <w:tcPr>
            <w:tcW w:w="5511" w:type="dxa"/>
            <w:tcBorders>
              <w:top w:val="nil"/>
              <w:left w:val="single" w:sz="4" w:space="0" w:color="auto"/>
              <w:bottom w:val="single" w:sz="4" w:space="0" w:color="auto"/>
              <w:right w:val="single" w:sz="4" w:space="0" w:color="auto"/>
            </w:tcBorders>
            <w:shd w:val="clear" w:color="000000" w:fill="DAE9F8"/>
            <w:vAlign w:val="center"/>
            <w:hideMark/>
          </w:tcPr>
          <w:p w14:paraId="5FB51D54"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Network Fees (Openwork)</w:t>
            </w:r>
          </w:p>
        </w:tc>
        <w:tc>
          <w:tcPr>
            <w:tcW w:w="3326" w:type="dxa"/>
            <w:tcBorders>
              <w:top w:val="nil"/>
              <w:left w:val="nil"/>
              <w:bottom w:val="single" w:sz="4" w:space="0" w:color="auto"/>
              <w:right w:val="single" w:sz="4" w:space="0" w:color="auto"/>
            </w:tcBorders>
            <w:shd w:val="clear" w:color="000000" w:fill="DAE9F8"/>
            <w:vAlign w:val="center"/>
            <w:hideMark/>
          </w:tcPr>
          <w:p w14:paraId="4233175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£2,400</w:t>
            </w:r>
          </w:p>
        </w:tc>
      </w:tr>
      <w:tr w:rsidR="00722F48" w:rsidRPr="008F59EC" w14:paraId="6A760296" w14:textId="77777777" w:rsidTr="00722F48">
        <w:trPr>
          <w:trHeight w:val="535"/>
        </w:trPr>
        <w:tc>
          <w:tcPr>
            <w:tcW w:w="5511" w:type="dxa"/>
            <w:tcBorders>
              <w:top w:val="nil"/>
              <w:left w:val="single" w:sz="4" w:space="0" w:color="auto"/>
              <w:bottom w:val="single" w:sz="4" w:space="0" w:color="auto"/>
              <w:right w:val="single" w:sz="4" w:space="0" w:color="auto"/>
            </w:tcBorders>
            <w:shd w:val="clear" w:color="000000" w:fill="DAE9F8"/>
            <w:vAlign w:val="center"/>
            <w:hideMark/>
          </w:tcPr>
          <w:p w14:paraId="11DCF89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Professional Indemnity Insurance</w:t>
            </w:r>
          </w:p>
        </w:tc>
        <w:tc>
          <w:tcPr>
            <w:tcW w:w="3326" w:type="dxa"/>
            <w:tcBorders>
              <w:top w:val="nil"/>
              <w:left w:val="nil"/>
              <w:bottom w:val="single" w:sz="4" w:space="0" w:color="auto"/>
              <w:right w:val="single" w:sz="4" w:space="0" w:color="auto"/>
            </w:tcBorders>
            <w:shd w:val="clear" w:color="000000" w:fill="DAE9F8"/>
            <w:vAlign w:val="center"/>
            <w:hideMark/>
          </w:tcPr>
          <w:p w14:paraId="6539837B"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£600</w:t>
            </w:r>
          </w:p>
        </w:tc>
      </w:tr>
      <w:tr w:rsidR="00722F48" w:rsidRPr="008F59EC" w14:paraId="0C0FE81E" w14:textId="77777777" w:rsidTr="00722F48">
        <w:trPr>
          <w:trHeight w:val="535"/>
        </w:trPr>
        <w:tc>
          <w:tcPr>
            <w:tcW w:w="5511" w:type="dxa"/>
            <w:tcBorders>
              <w:top w:val="nil"/>
              <w:left w:val="single" w:sz="4" w:space="0" w:color="auto"/>
              <w:bottom w:val="single" w:sz="4" w:space="0" w:color="auto"/>
              <w:right w:val="single" w:sz="4" w:space="0" w:color="auto"/>
            </w:tcBorders>
            <w:shd w:val="clear" w:color="000000" w:fill="DAE9F8"/>
            <w:vAlign w:val="center"/>
            <w:hideMark/>
          </w:tcPr>
          <w:p w14:paraId="4C4E2CD4"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Marketing &amp; Advertising</w:t>
            </w:r>
          </w:p>
        </w:tc>
        <w:tc>
          <w:tcPr>
            <w:tcW w:w="3326" w:type="dxa"/>
            <w:tcBorders>
              <w:top w:val="nil"/>
              <w:left w:val="nil"/>
              <w:bottom w:val="single" w:sz="4" w:space="0" w:color="auto"/>
              <w:right w:val="single" w:sz="4" w:space="0" w:color="auto"/>
            </w:tcBorders>
            <w:shd w:val="clear" w:color="000000" w:fill="DAE9F8"/>
            <w:vAlign w:val="center"/>
            <w:hideMark/>
          </w:tcPr>
          <w:p w14:paraId="6E1A8FE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£3,000</w:t>
            </w:r>
          </w:p>
        </w:tc>
      </w:tr>
      <w:tr w:rsidR="00722F48" w:rsidRPr="008F59EC" w14:paraId="4180049E" w14:textId="77777777" w:rsidTr="00722F48">
        <w:trPr>
          <w:trHeight w:val="535"/>
        </w:trPr>
        <w:tc>
          <w:tcPr>
            <w:tcW w:w="5511" w:type="dxa"/>
            <w:tcBorders>
              <w:top w:val="nil"/>
              <w:left w:val="single" w:sz="4" w:space="0" w:color="auto"/>
              <w:bottom w:val="single" w:sz="4" w:space="0" w:color="auto"/>
              <w:right w:val="single" w:sz="4" w:space="0" w:color="auto"/>
            </w:tcBorders>
            <w:shd w:val="clear" w:color="000000" w:fill="DAE9F8"/>
            <w:vAlign w:val="center"/>
            <w:hideMark/>
          </w:tcPr>
          <w:p w14:paraId="59486DC9"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Office/Remote Work Costs</w:t>
            </w:r>
          </w:p>
        </w:tc>
        <w:tc>
          <w:tcPr>
            <w:tcW w:w="3326" w:type="dxa"/>
            <w:tcBorders>
              <w:top w:val="nil"/>
              <w:left w:val="nil"/>
              <w:bottom w:val="single" w:sz="4" w:space="0" w:color="auto"/>
              <w:right w:val="single" w:sz="4" w:space="0" w:color="auto"/>
            </w:tcBorders>
            <w:shd w:val="clear" w:color="000000" w:fill="DAE9F8"/>
            <w:vAlign w:val="center"/>
            <w:hideMark/>
          </w:tcPr>
          <w:p w14:paraId="4AA89C4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£1,200</w:t>
            </w:r>
          </w:p>
        </w:tc>
      </w:tr>
      <w:tr w:rsidR="00722F48" w:rsidRPr="008F59EC" w14:paraId="4977D799" w14:textId="77777777" w:rsidTr="00722F48">
        <w:trPr>
          <w:trHeight w:val="266"/>
        </w:trPr>
        <w:tc>
          <w:tcPr>
            <w:tcW w:w="5511" w:type="dxa"/>
            <w:tcBorders>
              <w:top w:val="nil"/>
              <w:left w:val="single" w:sz="4" w:space="0" w:color="auto"/>
              <w:bottom w:val="single" w:sz="4" w:space="0" w:color="auto"/>
              <w:right w:val="single" w:sz="4" w:space="0" w:color="auto"/>
            </w:tcBorders>
            <w:shd w:val="clear" w:color="000000" w:fill="DAE9F8"/>
            <w:vAlign w:val="center"/>
            <w:hideMark/>
          </w:tcPr>
          <w:p w14:paraId="673DFD69"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Phone &amp; Communications</w:t>
            </w:r>
          </w:p>
        </w:tc>
        <w:tc>
          <w:tcPr>
            <w:tcW w:w="3326" w:type="dxa"/>
            <w:tcBorders>
              <w:top w:val="nil"/>
              <w:left w:val="nil"/>
              <w:bottom w:val="single" w:sz="4" w:space="0" w:color="auto"/>
              <w:right w:val="single" w:sz="4" w:space="0" w:color="auto"/>
            </w:tcBorders>
            <w:shd w:val="clear" w:color="000000" w:fill="DAE9F8"/>
            <w:vAlign w:val="center"/>
            <w:hideMark/>
          </w:tcPr>
          <w:p w14:paraId="502F811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£360</w:t>
            </w:r>
          </w:p>
        </w:tc>
      </w:tr>
      <w:tr w:rsidR="00722F48" w:rsidRPr="008F59EC" w14:paraId="6A49ECC3" w14:textId="77777777" w:rsidTr="00722F48">
        <w:trPr>
          <w:trHeight w:val="563"/>
        </w:trPr>
        <w:tc>
          <w:tcPr>
            <w:tcW w:w="5511" w:type="dxa"/>
            <w:tcBorders>
              <w:top w:val="nil"/>
              <w:left w:val="single" w:sz="4" w:space="0" w:color="auto"/>
              <w:bottom w:val="single" w:sz="4" w:space="0" w:color="auto"/>
              <w:right w:val="single" w:sz="4" w:space="0" w:color="auto"/>
            </w:tcBorders>
            <w:shd w:val="clear" w:color="000000" w:fill="DAE9F8"/>
            <w:vAlign w:val="center"/>
            <w:hideMark/>
          </w:tcPr>
          <w:p w14:paraId="1596E1A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Miscellaneous</w:t>
            </w:r>
          </w:p>
        </w:tc>
        <w:tc>
          <w:tcPr>
            <w:tcW w:w="3326" w:type="dxa"/>
            <w:tcBorders>
              <w:top w:val="nil"/>
              <w:left w:val="nil"/>
              <w:bottom w:val="single" w:sz="4" w:space="0" w:color="auto"/>
              <w:right w:val="single" w:sz="4" w:space="0" w:color="auto"/>
            </w:tcBorders>
            <w:shd w:val="clear" w:color="000000" w:fill="DAE9F8"/>
            <w:vAlign w:val="center"/>
            <w:hideMark/>
          </w:tcPr>
          <w:p w14:paraId="585C5C33"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£600</w:t>
            </w:r>
          </w:p>
        </w:tc>
      </w:tr>
      <w:tr w:rsidR="00722F48" w:rsidRPr="008F59EC" w14:paraId="25BC45ED" w14:textId="77777777" w:rsidTr="00722F48">
        <w:trPr>
          <w:trHeight w:val="281"/>
        </w:trPr>
        <w:tc>
          <w:tcPr>
            <w:tcW w:w="5511" w:type="dxa"/>
            <w:tcBorders>
              <w:top w:val="nil"/>
              <w:left w:val="single" w:sz="4" w:space="0" w:color="auto"/>
              <w:bottom w:val="single" w:sz="4" w:space="0" w:color="auto"/>
              <w:right w:val="single" w:sz="4" w:space="0" w:color="auto"/>
            </w:tcBorders>
            <w:shd w:val="clear" w:color="000000" w:fill="DAE9F8"/>
            <w:vAlign w:val="center"/>
            <w:hideMark/>
          </w:tcPr>
          <w:p w14:paraId="310CE5AF"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Total Annual OPEX</w:t>
            </w:r>
          </w:p>
        </w:tc>
        <w:tc>
          <w:tcPr>
            <w:tcW w:w="3326" w:type="dxa"/>
            <w:tcBorders>
              <w:top w:val="nil"/>
              <w:left w:val="nil"/>
              <w:bottom w:val="single" w:sz="4" w:space="0" w:color="auto"/>
              <w:right w:val="single" w:sz="4" w:space="0" w:color="auto"/>
            </w:tcBorders>
            <w:shd w:val="clear" w:color="000000" w:fill="DAE9F8"/>
            <w:vAlign w:val="center"/>
            <w:hideMark/>
          </w:tcPr>
          <w:p w14:paraId="56D4332E"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£9,240</w:t>
            </w:r>
          </w:p>
        </w:tc>
      </w:tr>
    </w:tbl>
    <w:p w14:paraId="59A9E44F" w14:textId="77777777" w:rsidR="003C6633" w:rsidRPr="008F59EC" w:rsidRDefault="003C6633" w:rsidP="0014211F">
      <w:pPr>
        <w:spacing w:line="360" w:lineRule="auto"/>
        <w:jc w:val="both"/>
        <w:rPr>
          <w:rFonts w:ascii="Arial" w:hAnsi="Arial" w:cs="Arial"/>
          <w:i/>
          <w:iCs/>
        </w:rPr>
      </w:pPr>
    </w:p>
    <w:p w14:paraId="2A8F41C1" w14:textId="77777777" w:rsidR="008175EB" w:rsidRPr="008F59EC" w:rsidRDefault="008175EB" w:rsidP="0014211F">
      <w:pPr>
        <w:spacing w:line="360" w:lineRule="auto"/>
        <w:jc w:val="both"/>
        <w:rPr>
          <w:rFonts w:ascii="Arial" w:hAnsi="Arial" w:cs="Arial"/>
        </w:rPr>
      </w:pPr>
      <w:r w:rsidRPr="008F59EC">
        <w:rPr>
          <w:rFonts w:ascii="Arial" w:hAnsi="Arial" w:cs="Arial"/>
        </w:rPr>
        <w:t>Source: Author’s illustration (2026), based on internal projections.</w:t>
      </w:r>
    </w:p>
    <w:p w14:paraId="42D3633F" w14:textId="77777777" w:rsidR="00722F48" w:rsidRPr="008F59EC" w:rsidRDefault="00722F48" w:rsidP="0014211F">
      <w:pPr>
        <w:spacing w:line="360" w:lineRule="auto"/>
        <w:jc w:val="both"/>
        <w:rPr>
          <w:rFonts w:ascii="Arial" w:hAnsi="Arial" w:cs="Arial"/>
        </w:rPr>
      </w:pPr>
    </w:p>
    <w:p w14:paraId="731ADC04" w14:textId="11FC6563" w:rsidR="00722F48" w:rsidRPr="008F59EC" w:rsidRDefault="00722F48" w:rsidP="0014211F">
      <w:pPr>
        <w:spacing w:line="360" w:lineRule="auto"/>
        <w:jc w:val="both"/>
        <w:rPr>
          <w:rFonts w:ascii="Arial" w:hAnsi="Arial" w:cs="Arial"/>
        </w:rPr>
      </w:pPr>
      <w:r w:rsidRPr="008F59EC">
        <w:rPr>
          <w:rFonts w:ascii="Arial" w:hAnsi="Arial" w:cs="Arial"/>
        </w:rPr>
        <w:t>This pricing approach is competitive in the UK advisory market and complies with FCA transparency requirements (FCA, 2023).</w:t>
      </w:r>
    </w:p>
    <w:p w14:paraId="4DDEDEB4" w14:textId="1B880422" w:rsidR="00263FE4" w:rsidRPr="008F59EC" w:rsidRDefault="00722F48" w:rsidP="0007190F">
      <w:pPr>
        <w:pStyle w:val="Heading2"/>
        <w:rPr>
          <w:rFonts w:ascii="Arial" w:hAnsi="Arial" w:cs="Arial"/>
        </w:rPr>
      </w:pPr>
      <w:bookmarkStart w:id="62" w:name="_Toc219926306"/>
      <w:r w:rsidRPr="008F59EC">
        <w:rPr>
          <w:rFonts w:ascii="Arial" w:hAnsi="Arial" w:cs="Arial"/>
        </w:rPr>
        <w:t>7.</w:t>
      </w:r>
      <w:r w:rsidR="00EF6CDF" w:rsidRPr="008F59EC">
        <w:rPr>
          <w:rFonts w:ascii="Arial" w:hAnsi="Arial" w:cs="Arial"/>
        </w:rPr>
        <w:t>6</w:t>
      </w:r>
      <w:r w:rsidRPr="008F59EC">
        <w:rPr>
          <w:rFonts w:ascii="Arial" w:hAnsi="Arial" w:cs="Arial"/>
        </w:rPr>
        <w:t xml:space="preserve"> Revenue Forecast</w:t>
      </w:r>
      <w:bookmarkEnd w:id="62"/>
      <w:r w:rsidRPr="008F59EC">
        <w:rPr>
          <w:rFonts w:ascii="Arial" w:hAnsi="Arial" w:cs="Arial"/>
        </w:rPr>
        <w:t xml:space="preserve"> </w:t>
      </w:r>
    </w:p>
    <w:p w14:paraId="7A128584" w14:textId="0CB8D34E" w:rsidR="00263FE4" w:rsidRPr="008F59EC" w:rsidRDefault="00263FE4" w:rsidP="0014211F">
      <w:pPr>
        <w:spacing w:line="360" w:lineRule="auto"/>
        <w:jc w:val="both"/>
        <w:rPr>
          <w:rFonts w:ascii="Arial" w:hAnsi="Arial" w:cs="Arial"/>
        </w:rPr>
      </w:pPr>
      <w:r w:rsidRPr="008F59EC">
        <w:rPr>
          <w:rFonts w:ascii="Arial" w:hAnsi="Arial" w:cs="Arial"/>
        </w:rPr>
        <w:t xml:space="preserve">The revenue forecast for </w:t>
      </w:r>
      <w:r w:rsidR="00EC30AA" w:rsidRPr="008F59EC">
        <w:rPr>
          <w:rFonts w:ascii="Arial" w:hAnsi="Arial" w:cs="Arial"/>
        </w:rPr>
        <w:t xml:space="preserve">Sense Mortgage and Residential </w:t>
      </w:r>
      <w:r w:rsidRPr="008F59EC">
        <w:rPr>
          <w:rFonts w:ascii="Arial" w:hAnsi="Arial" w:cs="Arial"/>
        </w:rPr>
        <w:t>is based on projected mortgage completion volumes across a three-year period, reflecting a phased growth strategy consistent with the firm’s market positioning and operational capacity. In Year 1, the business is forecast to complete 120 mortgage cases, generating total revenue of £138,120. This initial level reflects a cautious market entry, allowing the firm to establish brand presence, build referral networks, and ensure service quality. Revenue is primarily derived from lender procuration fees, supplemented by broker fees where applicable and additional income from protection and general insurance (GI) products. As the business gains traction, mortgage completions are projected to increase to 150 in Year 2 and 180 in Year 3, driven by repeat clients, remortgaging cycles, and improved conversion rates.</w:t>
      </w:r>
    </w:p>
    <w:p w14:paraId="687774B8" w14:textId="74E5C272" w:rsidR="00722F48" w:rsidRPr="008F59EC" w:rsidRDefault="003C6633" w:rsidP="0014211F">
      <w:pPr>
        <w:spacing w:line="360" w:lineRule="auto"/>
        <w:jc w:val="both"/>
        <w:rPr>
          <w:rFonts w:ascii="Arial" w:hAnsi="Arial" w:cs="Arial"/>
        </w:rPr>
      </w:pPr>
      <w:r w:rsidRPr="008F59EC">
        <w:rPr>
          <w:rFonts w:ascii="Arial" w:hAnsi="Arial" w:cs="Arial"/>
        </w:rPr>
        <w:lastRenderedPageBreak/>
        <w:t xml:space="preserve">Table 11: </w:t>
      </w:r>
      <w:r w:rsidR="00263FE4" w:rsidRPr="008F59EC">
        <w:rPr>
          <w:rFonts w:ascii="Arial" w:hAnsi="Arial" w:cs="Arial"/>
        </w:rPr>
        <w:t xml:space="preserve"> </w:t>
      </w:r>
      <w:r w:rsidRPr="008F59EC">
        <w:rPr>
          <w:rFonts w:ascii="Arial" w:hAnsi="Arial" w:cs="Arial"/>
        </w:rPr>
        <w:t>F</w:t>
      </w:r>
      <w:r w:rsidR="00263FE4" w:rsidRPr="008F59EC">
        <w:rPr>
          <w:rFonts w:ascii="Arial" w:hAnsi="Arial" w:cs="Arial"/>
        </w:rPr>
        <w:t>orecast</w:t>
      </w:r>
      <w:r w:rsidRPr="008F59EC">
        <w:rPr>
          <w:rFonts w:ascii="Arial" w:hAnsi="Arial" w:cs="Arial"/>
        </w:rPr>
        <w:t>ed revenue</w:t>
      </w:r>
      <w:r w:rsidR="00263FE4" w:rsidRPr="008F59EC">
        <w:rPr>
          <w:rFonts w:ascii="Arial" w:hAnsi="Arial" w:cs="Arial"/>
        </w:rPr>
        <w:t xml:space="preserve"> for </w:t>
      </w:r>
      <w:r w:rsidR="00EC30AA" w:rsidRPr="008F59EC">
        <w:rPr>
          <w:rFonts w:ascii="Arial" w:hAnsi="Arial" w:cs="Arial"/>
        </w:rPr>
        <w:t>Sense Mortgage and</w:t>
      </w:r>
      <w:r w:rsidR="00A57270" w:rsidRPr="008F59EC">
        <w:rPr>
          <w:rFonts w:ascii="Arial" w:hAnsi="Arial" w:cs="Arial"/>
        </w:rPr>
        <w:t xml:space="preserve"> Residential</w:t>
      </w:r>
      <w:r w:rsidR="00EC30AA" w:rsidRPr="008F59EC">
        <w:rPr>
          <w:rFonts w:ascii="Arial" w:hAnsi="Arial" w:cs="Arial"/>
        </w:rPr>
        <w:t xml:space="preserve"> </w:t>
      </w:r>
      <w:r w:rsidR="007A7E06" w:rsidRPr="008F59EC">
        <w:rPr>
          <w:rFonts w:ascii="Arial" w:hAnsi="Arial" w:cs="Arial"/>
        </w:rPr>
        <w:t>(</w:t>
      </w:r>
      <w:r w:rsidR="00722F48" w:rsidRPr="008F59EC">
        <w:rPr>
          <w:rFonts w:ascii="Arial" w:hAnsi="Arial" w:cs="Arial"/>
        </w:rPr>
        <w:t>Years 1–3)</w:t>
      </w:r>
    </w:p>
    <w:tbl>
      <w:tblPr>
        <w:tblW w:w="8902" w:type="dxa"/>
        <w:tblLook w:val="04A0" w:firstRow="1" w:lastRow="0" w:firstColumn="1" w:lastColumn="0" w:noHBand="0" w:noVBand="1"/>
      </w:tblPr>
      <w:tblGrid>
        <w:gridCol w:w="1412"/>
        <w:gridCol w:w="1670"/>
        <w:gridCol w:w="1430"/>
        <w:gridCol w:w="1268"/>
        <w:gridCol w:w="1775"/>
        <w:gridCol w:w="1347"/>
      </w:tblGrid>
      <w:tr w:rsidR="00722F48" w:rsidRPr="008F59EC" w14:paraId="413DF3AB" w14:textId="77777777" w:rsidTr="00722F48">
        <w:trPr>
          <w:trHeight w:val="852"/>
        </w:trPr>
        <w:tc>
          <w:tcPr>
            <w:tcW w:w="1675"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49C5AD01"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Year</w:t>
            </w:r>
          </w:p>
        </w:tc>
        <w:tc>
          <w:tcPr>
            <w:tcW w:w="1317" w:type="dxa"/>
            <w:tcBorders>
              <w:top w:val="single" w:sz="4" w:space="0" w:color="auto"/>
              <w:left w:val="nil"/>
              <w:bottom w:val="single" w:sz="4" w:space="0" w:color="auto"/>
              <w:right w:val="single" w:sz="4" w:space="0" w:color="auto"/>
            </w:tcBorders>
            <w:shd w:val="clear" w:color="000000" w:fill="DAE9F8"/>
            <w:vAlign w:val="center"/>
            <w:hideMark/>
          </w:tcPr>
          <w:p w14:paraId="3F8AEA5C"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Mortgage Completions</w:t>
            </w:r>
          </w:p>
        </w:tc>
        <w:tc>
          <w:tcPr>
            <w:tcW w:w="1342" w:type="dxa"/>
            <w:tcBorders>
              <w:top w:val="single" w:sz="4" w:space="0" w:color="auto"/>
              <w:left w:val="nil"/>
              <w:bottom w:val="single" w:sz="4" w:space="0" w:color="auto"/>
              <w:right w:val="single" w:sz="4" w:space="0" w:color="auto"/>
            </w:tcBorders>
            <w:shd w:val="clear" w:color="000000" w:fill="DAE9F8"/>
            <w:vAlign w:val="center"/>
            <w:hideMark/>
          </w:tcPr>
          <w:p w14:paraId="4F4DB3F2"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Revenue from Mortgages (£)</w:t>
            </w:r>
          </w:p>
        </w:tc>
        <w:tc>
          <w:tcPr>
            <w:tcW w:w="1376" w:type="dxa"/>
            <w:tcBorders>
              <w:top w:val="single" w:sz="4" w:space="0" w:color="auto"/>
              <w:left w:val="nil"/>
              <w:bottom w:val="single" w:sz="4" w:space="0" w:color="auto"/>
              <w:right w:val="single" w:sz="4" w:space="0" w:color="auto"/>
            </w:tcBorders>
            <w:shd w:val="clear" w:color="000000" w:fill="DAE9F8"/>
            <w:vAlign w:val="center"/>
            <w:hideMark/>
          </w:tcPr>
          <w:p w14:paraId="72FD33A9"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Broker Fees (£)</w:t>
            </w:r>
          </w:p>
        </w:tc>
        <w:tc>
          <w:tcPr>
            <w:tcW w:w="1795" w:type="dxa"/>
            <w:tcBorders>
              <w:top w:val="single" w:sz="4" w:space="0" w:color="auto"/>
              <w:left w:val="nil"/>
              <w:bottom w:val="single" w:sz="4" w:space="0" w:color="auto"/>
              <w:right w:val="single" w:sz="4" w:space="0" w:color="auto"/>
            </w:tcBorders>
            <w:shd w:val="clear" w:color="000000" w:fill="DAE9F8"/>
            <w:vAlign w:val="center"/>
            <w:hideMark/>
          </w:tcPr>
          <w:p w14:paraId="76B3D80C"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Protection/GI (£)</w:t>
            </w:r>
          </w:p>
        </w:tc>
        <w:tc>
          <w:tcPr>
            <w:tcW w:w="1397" w:type="dxa"/>
            <w:tcBorders>
              <w:top w:val="single" w:sz="4" w:space="0" w:color="auto"/>
              <w:left w:val="nil"/>
              <w:bottom w:val="single" w:sz="4" w:space="0" w:color="auto"/>
              <w:right w:val="single" w:sz="4" w:space="0" w:color="auto"/>
            </w:tcBorders>
            <w:shd w:val="clear" w:color="000000" w:fill="DAE9F8"/>
            <w:vAlign w:val="center"/>
            <w:hideMark/>
          </w:tcPr>
          <w:p w14:paraId="6C7435B9"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Total Revenue (£)</w:t>
            </w:r>
          </w:p>
        </w:tc>
      </w:tr>
      <w:tr w:rsidR="00722F48" w:rsidRPr="008F59EC" w14:paraId="7092A385" w14:textId="77777777" w:rsidTr="00722F48">
        <w:trPr>
          <w:trHeight w:val="539"/>
        </w:trPr>
        <w:tc>
          <w:tcPr>
            <w:tcW w:w="1675" w:type="dxa"/>
            <w:tcBorders>
              <w:top w:val="nil"/>
              <w:left w:val="single" w:sz="4" w:space="0" w:color="auto"/>
              <w:bottom w:val="single" w:sz="4" w:space="0" w:color="auto"/>
              <w:right w:val="single" w:sz="4" w:space="0" w:color="auto"/>
            </w:tcBorders>
            <w:shd w:val="clear" w:color="000000" w:fill="DAE9F8"/>
            <w:vAlign w:val="center"/>
            <w:hideMark/>
          </w:tcPr>
          <w:p w14:paraId="00B9AB89"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Year 1</w:t>
            </w:r>
          </w:p>
        </w:tc>
        <w:tc>
          <w:tcPr>
            <w:tcW w:w="1317" w:type="dxa"/>
            <w:tcBorders>
              <w:top w:val="nil"/>
              <w:left w:val="nil"/>
              <w:bottom w:val="single" w:sz="4" w:space="0" w:color="auto"/>
              <w:right w:val="single" w:sz="4" w:space="0" w:color="auto"/>
            </w:tcBorders>
            <w:shd w:val="clear" w:color="000000" w:fill="DAE9F8"/>
            <w:vAlign w:val="center"/>
            <w:hideMark/>
          </w:tcPr>
          <w:p w14:paraId="6DF6540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120</w:t>
            </w:r>
          </w:p>
        </w:tc>
        <w:tc>
          <w:tcPr>
            <w:tcW w:w="1342" w:type="dxa"/>
            <w:tcBorders>
              <w:top w:val="nil"/>
              <w:left w:val="nil"/>
              <w:bottom w:val="single" w:sz="4" w:space="0" w:color="auto"/>
              <w:right w:val="single" w:sz="4" w:space="0" w:color="auto"/>
            </w:tcBorders>
            <w:shd w:val="clear" w:color="000000" w:fill="DAE9F8"/>
            <w:vAlign w:val="center"/>
            <w:hideMark/>
          </w:tcPr>
          <w:p w14:paraId="1E025F4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108,000</w:t>
            </w:r>
          </w:p>
        </w:tc>
        <w:tc>
          <w:tcPr>
            <w:tcW w:w="1376" w:type="dxa"/>
            <w:tcBorders>
              <w:top w:val="nil"/>
              <w:left w:val="nil"/>
              <w:bottom w:val="single" w:sz="4" w:space="0" w:color="auto"/>
              <w:right w:val="single" w:sz="4" w:space="0" w:color="auto"/>
            </w:tcBorders>
            <w:shd w:val="clear" w:color="000000" w:fill="DAE9F8"/>
            <w:vAlign w:val="center"/>
            <w:hideMark/>
          </w:tcPr>
          <w:p w14:paraId="5C0EA20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18,000</w:t>
            </w:r>
          </w:p>
        </w:tc>
        <w:tc>
          <w:tcPr>
            <w:tcW w:w="1795" w:type="dxa"/>
            <w:tcBorders>
              <w:top w:val="nil"/>
              <w:left w:val="nil"/>
              <w:bottom w:val="single" w:sz="4" w:space="0" w:color="auto"/>
              <w:right w:val="single" w:sz="4" w:space="0" w:color="auto"/>
            </w:tcBorders>
            <w:shd w:val="clear" w:color="000000" w:fill="DAE9F8"/>
            <w:vAlign w:val="center"/>
            <w:hideMark/>
          </w:tcPr>
          <w:p w14:paraId="386AC1F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12,000</w:t>
            </w:r>
          </w:p>
        </w:tc>
        <w:tc>
          <w:tcPr>
            <w:tcW w:w="1397" w:type="dxa"/>
            <w:tcBorders>
              <w:top w:val="nil"/>
              <w:left w:val="nil"/>
              <w:bottom w:val="single" w:sz="4" w:space="0" w:color="auto"/>
              <w:right w:val="single" w:sz="4" w:space="0" w:color="auto"/>
            </w:tcBorders>
            <w:shd w:val="clear" w:color="000000" w:fill="DAE9F8"/>
            <w:vAlign w:val="center"/>
            <w:hideMark/>
          </w:tcPr>
          <w:p w14:paraId="729F9E8E"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138,120</w:t>
            </w:r>
          </w:p>
        </w:tc>
      </w:tr>
      <w:tr w:rsidR="00722F48" w:rsidRPr="008F59EC" w14:paraId="1A0C7E9D" w14:textId="77777777" w:rsidTr="00722F48">
        <w:trPr>
          <w:trHeight w:val="539"/>
        </w:trPr>
        <w:tc>
          <w:tcPr>
            <w:tcW w:w="1675" w:type="dxa"/>
            <w:tcBorders>
              <w:top w:val="nil"/>
              <w:left w:val="single" w:sz="4" w:space="0" w:color="auto"/>
              <w:bottom w:val="single" w:sz="4" w:space="0" w:color="auto"/>
              <w:right w:val="single" w:sz="4" w:space="0" w:color="auto"/>
            </w:tcBorders>
            <w:shd w:val="clear" w:color="000000" w:fill="DAE9F8"/>
            <w:vAlign w:val="center"/>
            <w:hideMark/>
          </w:tcPr>
          <w:p w14:paraId="449821E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Year 2</w:t>
            </w:r>
          </w:p>
        </w:tc>
        <w:tc>
          <w:tcPr>
            <w:tcW w:w="1317" w:type="dxa"/>
            <w:tcBorders>
              <w:top w:val="nil"/>
              <w:left w:val="nil"/>
              <w:bottom w:val="single" w:sz="4" w:space="0" w:color="auto"/>
              <w:right w:val="single" w:sz="4" w:space="0" w:color="auto"/>
            </w:tcBorders>
            <w:shd w:val="clear" w:color="000000" w:fill="DAE9F8"/>
            <w:vAlign w:val="center"/>
            <w:hideMark/>
          </w:tcPr>
          <w:p w14:paraId="1B5A374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150</w:t>
            </w:r>
          </w:p>
        </w:tc>
        <w:tc>
          <w:tcPr>
            <w:tcW w:w="1342" w:type="dxa"/>
            <w:tcBorders>
              <w:top w:val="nil"/>
              <w:left w:val="nil"/>
              <w:bottom w:val="single" w:sz="4" w:space="0" w:color="auto"/>
              <w:right w:val="single" w:sz="4" w:space="0" w:color="auto"/>
            </w:tcBorders>
            <w:shd w:val="clear" w:color="000000" w:fill="DAE9F8"/>
            <w:vAlign w:val="center"/>
            <w:hideMark/>
          </w:tcPr>
          <w:p w14:paraId="6F07386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135,000</w:t>
            </w:r>
          </w:p>
        </w:tc>
        <w:tc>
          <w:tcPr>
            <w:tcW w:w="1376" w:type="dxa"/>
            <w:tcBorders>
              <w:top w:val="nil"/>
              <w:left w:val="nil"/>
              <w:bottom w:val="single" w:sz="4" w:space="0" w:color="auto"/>
              <w:right w:val="single" w:sz="4" w:space="0" w:color="auto"/>
            </w:tcBorders>
            <w:shd w:val="clear" w:color="000000" w:fill="DAE9F8"/>
            <w:vAlign w:val="center"/>
            <w:hideMark/>
          </w:tcPr>
          <w:p w14:paraId="030C3F5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26,250</w:t>
            </w:r>
          </w:p>
        </w:tc>
        <w:tc>
          <w:tcPr>
            <w:tcW w:w="1795" w:type="dxa"/>
            <w:tcBorders>
              <w:top w:val="nil"/>
              <w:left w:val="nil"/>
              <w:bottom w:val="single" w:sz="4" w:space="0" w:color="auto"/>
              <w:right w:val="single" w:sz="4" w:space="0" w:color="auto"/>
            </w:tcBorders>
            <w:shd w:val="clear" w:color="000000" w:fill="DAE9F8"/>
            <w:vAlign w:val="center"/>
            <w:hideMark/>
          </w:tcPr>
          <w:p w14:paraId="07E761D9"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18,750</w:t>
            </w:r>
          </w:p>
        </w:tc>
        <w:tc>
          <w:tcPr>
            <w:tcW w:w="1397" w:type="dxa"/>
            <w:tcBorders>
              <w:top w:val="nil"/>
              <w:left w:val="nil"/>
              <w:bottom w:val="single" w:sz="4" w:space="0" w:color="auto"/>
              <w:right w:val="single" w:sz="4" w:space="0" w:color="auto"/>
            </w:tcBorders>
            <w:shd w:val="clear" w:color="000000" w:fill="DAE9F8"/>
            <w:vAlign w:val="center"/>
            <w:hideMark/>
          </w:tcPr>
          <w:p w14:paraId="52A188DE"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180,150</w:t>
            </w:r>
          </w:p>
        </w:tc>
      </w:tr>
      <w:tr w:rsidR="00722F48" w:rsidRPr="008F59EC" w14:paraId="7072965B" w14:textId="77777777" w:rsidTr="00722F48">
        <w:trPr>
          <w:trHeight w:val="284"/>
        </w:trPr>
        <w:tc>
          <w:tcPr>
            <w:tcW w:w="1675" w:type="dxa"/>
            <w:tcBorders>
              <w:top w:val="nil"/>
              <w:left w:val="single" w:sz="4" w:space="0" w:color="auto"/>
              <w:bottom w:val="single" w:sz="4" w:space="0" w:color="auto"/>
              <w:right w:val="single" w:sz="4" w:space="0" w:color="auto"/>
            </w:tcBorders>
            <w:shd w:val="clear" w:color="000000" w:fill="DAE9F8"/>
            <w:vAlign w:val="center"/>
            <w:hideMark/>
          </w:tcPr>
          <w:p w14:paraId="6C620CA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Year 3</w:t>
            </w:r>
          </w:p>
        </w:tc>
        <w:tc>
          <w:tcPr>
            <w:tcW w:w="1317" w:type="dxa"/>
            <w:tcBorders>
              <w:top w:val="nil"/>
              <w:left w:val="nil"/>
              <w:bottom w:val="single" w:sz="4" w:space="0" w:color="auto"/>
              <w:right w:val="single" w:sz="4" w:space="0" w:color="auto"/>
            </w:tcBorders>
            <w:shd w:val="clear" w:color="000000" w:fill="DAE9F8"/>
            <w:vAlign w:val="center"/>
            <w:hideMark/>
          </w:tcPr>
          <w:p w14:paraId="088C1E5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180</w:t>
            </w:r>
          </w:p>
        </w:tc>
        <w:tc>
          <w:tcPr>
            <w:tcW w:w="1342" w:type="dxa"/>
            <w:tcBorders>
              <w:top w:val="nil"/>
              <w:left w:val="nil"/>
              <w:bottom w:val="single" w:sz="4" w:space="0" w:color="auto"/>
              <w:right w:val="single" w:sz="4" w:space="0" w:color="auto"/>
            </w:tcBorders>
            <w:shd w:val="clear" w:color="000000" w:fill="DAE9F8"/>
            <w:vAlign w:val="center"/>
            <w:hideMark/>
          </w:tcPr>
          <w:p w14:paraId="0273AD0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162,000</w:t>
            </w:r>
          </w:p>
        </w:tc>
        <w:tc>
          <w:tcPr>
            <w:tcW w:w="1376" w:type="dxa"/>
            <w:tcBorders>
              <w:top w:val="nil"/>
              <w:left w:val="nil"/>
              <w:bottom w:val="single" w:sz="4" w:space="0" w:color="auto"/>
              <w:right w:val="single" w:sz="4" w:space="0" w:color="auto"/>
            </w:tcBorders>
            <w:shd w:val="clear" w:color="000000" w:fill="DAE9F8"/>
            <w:vAlign w:val="center"/>
            <w:hideMark/>
          </w:tcPr>
          <w:p w14:paraId="2AC15702"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31,500</w:t>
            </w:r>
          </w:p>
        </w:tc>
        <w:tc>
          <w:tcPr>
            <w:tcW w:w="1795" w:type="dxa"/>
            <w:tcBorders>
              <w:top w:val="nil"/>
              <w:left w:val="nil"/>
              <w:bottom w:val="single" w:sz="4" w:space="0" w:color="auto"/>
              <w:right w:val="single" w:sz="4" w:space="0" w:color="auto"/>
            </w:tcBorders>
            <w:shd w:val="clear" w:color="000000" w:fill="DAE9F8"/>
            <w:vAlign w:val="center"/>
            <w:hideMark/>
          </w:tcPr>
          <w:p w14:paraId="5633B86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25,000</w:t>
            </w:r>
          </w:p>
        </w:tc>
        <w:tc>
          <w:tcPr>
            <w:tcW w:w="1397" w:type="dxa"/>
            <w:tcBorders>
              <w:top w:val="nil"/>
              <w:left w:val="nil"/>
              <w:bottom w:val="single" w:sz="4" w:space="0" w:color="auto"/>
              <w:right w:val="single" w:sz="4" w:space="0" w:color="auto"/>
            </w:tcBorders>
            <w:shd w:val="clear" w:color="000000" w:fill="DAE9F8"/>
            <w:vAlign w:val="center"/>
            <w:hideMark/>
          </w:tcPr>
          <w:p w14:paraId="19371022" w14:textId="77777777" w:rsidR="00722F48" w:rsidRPr="008F59EC" w:rsidRDefault="00722F48" w:rsidP="0014211F">
            <w:pPr>
              <w:spacing w:after="0" w:line="360" w:lineRule="auto"/>
              <w:jc w:val="both"/>
              <w:rPr>
                <w:rFonts w:ascii="Arial" w:eastAsia="Times New Roman" w:hAnsi="Arial" w:cs="Arial"/>
                <w:b/>
                <w:bCs/>
                <w:color w:val="000000"/>
                <w:kern w:val="0"/>
                <w:lang w:eastAsia="en-GB"/>
                <w14:ligatures w14:val="none"/>
              </w:rPr>
            </w:pPr>
            <w:r w:rsidRPr="008F59EC">
              <w:rPr>
                <w:rFonts w:ascii="Arial" w:eastAsia="Times New Roman" w:hAnsi="Arial" w:cs="Arial"/>
                <w:b/>
                <w:bCs/>
                <w:color w:val="000000"/>
                <w:kern w:val="0"/>
                <w:lang w:eastAsia="en-GB"/>
                <w14:ligatures w14:val="none"/>
              </w:rPr>
              <w:t>218,680</w:t>
            </w:r>
          </w:p>
        </w:tc>
      </w:tr>
    </w:tbl>
    <w:p w14:paraId="54049CC4" w14:textId="77777777" w:rsidR="003C6633" w:rsidRPr="008F59EC" w:rsidRDefault="003C6633" w:rsidP="0014211F">
      <w:pPr>
        <w:spacing w:line="360" w:lineRule="auto"/>
        <w:jc w:val="both"/>
        <w:rPr>
          <w:rFonts w:ascii="Arial" w:hAnsi="Arial" w:cs="Arial"/>
        </w:rPr>
      </w:pPr>
    </w:p>
    <w:p w14:paraId="74CBBA58" w14:textId="77777777" w:rsidR="008175EB" w:rsidRPr="008F59EC" w:rsidRDefault="008175EB" w:rsidP="0014211F">
      <w:pPr>
        <w:spacing w:line="360" w:lineRule="auto"/>
        <w:jc w:val="both"/>
        <w:rPr>
          <w:rFonts w:ascii="Arial" w:hAnsi="Arial" w:cs="Arial"/>
          <w:i/>
          <w:iCs/>
        </w:rPr>
      </w:pPr>
      <w:r w:rsidRPr="008F59EC">
        <w:rPr>
          <w:rFonts w:ascii="Arial" w:hAnsi="Arial" w:cs="Arial"/>
          <w:i/>
          <w:iCs/>
        </w:rPr>
        <w:t>Source: Author’s illustration (2026), based on internal projections.</w:t>
      </w:r>
    </w:p>
    <w:p w14:paraId="582CA5E2" w14:textId="12A733F5" w:rsidR="00C369C9" w:rsidRPr="008F59EC" w:rsidRDefault="00C369C9" w:rsidP="0014211F">
      <w:pPr>
        <w:spacing w:line="360" w:lineRule="auto"/>
        <w:jc w:val="both"/>
        <w:rPr>
          <w:rFonts w:ascii="Arial" w:hAnsi="Arial" w:cs="Arial"/>
        </w:rPr>
      </w:pPr>
      <w:r w:rsidRPr="008F59EC">
        <w:rPr>
          <w:rFonts w:ascii="Arial" w:hAnsi="Arial" w:cs="Arial"/>
        </w:rPr>
        <w:t xml:space="preserve">Growth in total revenue from £138,120 in Year 1 to £180,150 in Year 2 and £218,680 in Year 3 reflects both increased case volumes and a gradual uplift in ancillary income streams. While mortgage advice remains the core revenue driver, broker fees and protection/GI income contribute an increasing proportion of total revenue over time. This diversification reduces reliance on a single income source and enhances financial resilience. The projected revenue growth aligns with market trends identified in earlier chapters, particularly sustained remortgaging activity and continued demand for professional advice. Overall, the revenue forecast demonstrates that </w:t>
      </w:r>
      <w:r w:rsidR="00EC30AA" w:rsidRPr="008F59EC">
        <w:rPr>
          <w:rFonts w:ascii="Arial" w:hAnsi="Arial" w:cs="Arial"/>
        </w:rPr>
        <w:t xml:space="preserve">Sense Mortgage and Residential </w:t>
      </w:r>
      <w:r w:rsidRPr="008F59EC">
        <w:rPr>
          <w:rFonts w:ascii="Arial" w:hAnsi="Arial" w:cs="Arial"/>
        </w:rPr>
        <w:t>can achieve steady, sustainable growth without reliance on aggressive volume targets or optimistic assumptions.</w:t>
      </w:r>
    </w:p>
    <w:p w14:paraId="0123E7E3" w14:textId="77777777" w:rsidR="00722F48" w:rsidRPr="008F59EC" w:rsidRDefault="00722F48" w:rsidP="0014211F">
      <w:pPr>
        <w:spacing w:line="360" w:lineRule="auto"/>
        <w:jc w:val="both"/>
        <w:rPr>
          <w:rFonts w:ascii="Arial" w:hAnsi="Arial" w:cs="Arial"/>
          <w:color w:val="77206D" w:themeColor="accent5" w:themeShade="BF"/>
        </w:rPr>
      </w:pPr>
    </w:p>
    <w:p w14:paraId="069B431D" w14:textId="1C13DC34" w:rsidR="00754B0F" w:rsidRPr="008F59EC" w:rsidRDefault="005944C2" w:rsidP="0007190F">
      <w:pPr>
        <w:pStyle w:val="Heading2"/>
        <w:rPr>
          <w:rFonts w:ascii="Arial" w:hAnsi="Arial" w:cs="Arial"/>
        </w:rPr>
      </w:pPr>
      <w:bookmarkStart w:id="63" w:name="_Toc219926307"/>
      <w:r w:rsidRPr="008F59EC">
        <w:rPr>
          <w:rFonts w:ascii="Arial" w:hAnsi="Arial" w:cs="Arial"/>
        </w:rPr>
        <w:t>7.</w:t>
      </w:r>
      <w:r w:rsidR="00EF6CDF" w:rsidRPr="008F59EC">
        <w:rPr>
          <w:rFonts w:ascii="Arial" w:hAnsi="Arial" w:cs="Arial"/>
        </w:rPr>
        <w:t>7</w:t>
      </w:r>
      <w:r w:rsidRPr="008F59EC">
        <w:rPr>
          <w:rFonts w:ascii="Arial" w:hAnsi="Arial" w:cs="Arial"/>
        </w:rPr>
        <w:t xml:space="preserve"> </w:t>
      </w:r>
      <w:r w:rsidR="00754B0F" w:rsidRPr="008F59EC">
        <w:rPr>
          <w:rFonts w:ascii="Arial" w:hAnsi="Arial" w:cs="Arial"/>
        </w:rPr>
        <w:t>Gross profit</w:t>
      </w:r>
      <w:r w:rsidR="002C310F" w:rsidRPr="008F59EC">
        <w:rPr>
          <w:rFonts w:ascii="Arial" w:hAnsi="Arial" w:cs="Arial"/>
        </w:rPr>
        <w:t>/margin</w:t>
      </w:r>
      <w:r w:rsidR="00754B0F" w:rsidRPr="008F59EC">
        <w:rPr>
          <w:rFonts w:ascii="Arial" w:hAnsi="Arial" w:cs="Arial"/>
        </w:rPr>
        <w:t xml:space="preserve"> analysis:</w:t>
      </w:r>
      <w:bookmarkEnd w:id="63"/>
      <w:r w:rsidR="00754B0F" w:rsidRPr="008F59EC">
        <w:rPr>
          <w:rFonts w:ascii="Arial" w:hAnsi="Arial" w:cs="Arial"/>
        </w:rPr>
        <w:t xml:space="preserve"> </w:t>
      </w:r>
    </w:p>
    <w:p w14:paraId="2C678E32" w14:textId="33810B55" w:rsidR="00722F48" w:rsidRPr="008F59EC" w:rsidRDefault="00722F48" w:rsidP="0014211F">
      <w:pPr>
        <w:spacing w:line="360" w:lineRule="auto"/>
        <w:jc w:val="both"/>
        <w:rPr>
          <w:rFonts w:ascii="Arial" w:hAnsi="Arial" w:cs="Arial"/>
        </w:rPr>
      </w:pPr>
      <w:r w:rsidRPr="008F59EC">
        <w:rPr>
          <w:rFonts w:ascii="Arial" w:hAnsi="Arial" w:cs="Arial"/>
        </w:rPr>
        <w:t xml:space="preserve">Gross profit is calculated as total revenue less total variable costs. Using product-level revenue and cost assumptions, </w:t>
      </w:r>
      <w:r w:rsidR="00EC30AA" w:rsidRPr="008F59EC">
        <w:rPr>
          <w:rFonts w:ascii="Arial" w:hAnsi="Arial" w:cs="Arial"/>
        </w:rPr>
        <w:t xml:space="preserve">Sense Mortgage and </w:t>
      </w:r>
      <w:r w:rsidRPr="008F59EC">
        <w:rPr>
          <w:rFonts w:ascii="Arial" w:hAnsi="Arial" w:cs="Arial"/>
        </w:rPr>
        <w:t>Residential achieves strong gross profit per case across all three product categories. Gross margins vary by product type but remain consistently high, reflecting the advisory nature of the business where direct delivery costs are relatively low.</w:t>
      </w:r>
    </w:p>
    <w:p w14:paraId="1BC6E7B6" w14:textId="77777777" w:rsidR="00722F48" w:rsidRPr="008F59EC" w:rsidRDefault="00722F48" w:rsidP="0014211F">
      <w:pPr>
        <w:spacing w:line="360" w:lineRule="auto"/>
        <w:jc w:val="both"/>
        <w:rPr>
          <w:rFonts w:ascii="Arial" w:hAnsi="Arial" w:cs="Arial"/>
        </w:rPr>
      </w:pPr>
      <w:r w:rsidRPr="008F59EC">
        <w:rPr>
          <w:rFonts w:ascii="Arial" w:hAnsi="Arial" w:cs="Arial"/>
        </w:rPr>
        <w:t>Gross margin is calculated using the following method:</w:t>
      </w:r>
    </w:p>
    <w:p w14:paraId="38B3F8E6" w14:textId="77777777" w:rsidR="00722F48" w:rsidRPr="008F59EC" w:rsidRDefault="00722F48" w:rsidP="0014211F">
      <w:pPr>
        <w:spacing w:line="360" w:lineRule="auto"/>
        <w:jc w:val="both"/>
        <w:rPr>
          <w:rFonts w:ascii="Arial" w:hAnsi="Arial" w:cs="Arial"/>
        </w:rPr>
      </w:pPr>
      <w:r w:rsidRPr="008F59EC">
        <w:rPr>
          <w:rFonts w:ascii="Arial" w:hAnsi="Arial" w:cs="Arial"/>
        </w:rPr>
        <w:t>Gross Margin (%) = (Revenue − Variable Costs) ÷ Revenue</w:t>
      </w:r>
    </w:p>
    <w:p w14:paraId="0583DB36" w14:textId="2282ED24" w:rsidR="003C6633" w:rsidRPr="008F59EC" w:rsidRDefault="003C6633" w:rsidP="0014211F">
      <w:pPr>
        <w:spacing w:line="360" w:lineRule="auto"/>
        <w:jc w:val="both"/>
        <w:rPr>
          <w:rFonts w:ascii="Arial" w:hAnsi="Arial" w:cs="Arial"/>
        </w:rPr>
      </w:pPr>
      <w:r w:rsidRPr="008F59EC">
        <w:rPr>
          <w:rFonts w:ascii="Arial" w:hAnsi="Arial" w:cs="Arial"/>
        </w:rPr>
        <w:t xml:space="preserve">Table 12: Gross Profit analysis for Sense </w:t>
      </w:r>
      <w:r w:rsidR="00A63113" w:rsidRPr="008F59EC">
        <w:rPr>
          <w:rFonts w:ascii="Arial" w:hAnsi="Arial" w:cs="Arial"/>
        </w:rPr>
        <w:t>Mortgage and Residential :</w:t>
      </w:r>
    </w:p>
    <w:tbl>
      <w:tblPr>
        <w:tblW w:w="9026" w:type="dxa"/>
        <w:tblLook w:val="04A0" w:firstRow="1" w:lastRow="0" w:firstColumn="1" w:lastColumn="0" w:noHBand="0" w:noVBand="1"/>
      </w:tblPr>
      <w:tblGrid>
        <w:gridCol w:w="2672"/>
        <w:gridCol w:w="1931"/>
        <w:gridCol w:w="2358"/>
        <w:gridCol w:w="2065"/>
      </w:tblGrid>
      <w:tr w:rsidR="00722F48" w:rsidRPr="008F59EC" w14:paraId="1359E93E" w14:textId="77777777" w:rsidTr="00722F48">
        <w:trPr>
          <w:trHeight w:val="622"/>
        </w:trPr>
        <w:tc>
          <w:tcPr>
            <w:tcW w:w="2672" w:type="dxa"/>
            <w:tcBorders>
              <w:top w:val="single" w:sz="4" w:space="0" w:color="auto"/>
              <w:left w:val="single" w:sz="4" w:space="0" w:color="auto"/>
              <w:bottom w:val="single" w:sz="4" w:space="0" w:color="auto"/>
              <w:right w:val="single" w:sz="4" w:space="0" w:color="auto"/>
            </w:tcBorders>
            <w:noWrap/>
            <w:vAlign w:val="bottom"/>
            <w:hideMark/>
          </w:tcPr>
          <w:p w14:paraId="6B6069D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lastRenderedPageBreak/>
              <w:t>Product / Service name</w:t>
            </w:r>
          </w:p>
        </w:tc>
        <w:tc>
          <w:tcPr>
            <w:tcW w:w="1931" w:type="dxa"/>
            <w:tcBorders>
              <w:top w:val="single" w:sz="4" w:space="0" w:color="auto"/>
              <w:left w:val="nil"/>
              <w:bottom w:val="single" w:sz="4" w:space="0" w:color="auto"/>
              <w:right w:val="single" w:sz="4" w:space="0" w:color="auto"/>
            </w:tcBorders>
            <w:noWrap/>
            <w:vAlign w:val="bottom"/>
            <w:hideMark/>
          </w:tcPr>
          <w:p w14:paraId="6CC9589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FTB Cases</w:t>
            </w:r>
          </w:p>
        </w:tc>
        <w:tc>
          <w:tcPr>
            <w:tcW w:w="2358" w:type="dxa"/>
            <w:tcBorders>
              <w:top w:val="single" w:sz="4" w:space="0" w:color="auto"/>
              <w:left w:val="nil"/>
              <w:bottom w:val="single" w:sz="4" w:space="0" w:color="auto"/>
              <w:right w:val="single" w:sz="4" w:space="0" w:color="auto"/>
            </w:tcBorders>
            <w:noWrap/>
            <w:vAlign w:val="bottom"/>
            <w:hideMark/>
          </w:tcPr>
          <w:p w14:paraId="0358598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BTL Cases</w:t>
            </w:r>
          </w:p>
        </w:tc>
        <w:tc>
          <w:tcPr>
            <w:tcW w:w="2065" w:type="dxa"/>
            <w:tcBorders>
              <w:top w:val="single" w:sz="4" w:space="0" w:color="auto"/>
              <w:left w:val="nil"/>
              <w:bottom w:val="single" w:sz="4" w:space="0" w:color="auto"/>
              <w:right w:val="single" w:sz="4" w:space="0" w:color="auto"/>
            </w:tcBorders>
            <w:noWrap/>
            <w:vAlign w:val="bottom"/>
            <w:hideMark/>
          </w:tcPr>
          <w:p w14:paraId="6F6F13D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 xml:space="preserve">Remortgage </w:t>
            </w:r>
          </w:p>
        </w:tc>
      </w:tr>
      <w:tr w:rsidR="00722F48" w:rsidRPr="008F59EC" w14:paraId="26E6D0AC" w14:textId="77777777" w:rsidTr="00722F48">
        <w:trPr>
          <w:trHeight w:val="366"/>
        </w:trPr>
        <w:tc>
          <w:tcPr>
            <w:tcW w:w="2672" w:type="dxa"/>
            <w:tcBorders>
              <w:top w:val="nil"/>
              <w:left w:val="single" w:sz="4" w:space="0" w:color="auto"/>
              <w:bottom w:val="single" w:sz="4" w:space="0" w:color="auto"/>
              <w:right w:val="single" w:sz="4" w:space="0" w:color="auto"/>
            </w:tcBorders>
            <w:noWrap/>
            <w:vAlign w:val="bottom"/>
            <w:hideMark/>
          </w:tcPr>
          <w:p w14:paraId="7B55AEFC"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 </w:t>
            </w:r>
          </w:p>
        </w:tc>
        <w:tc>
          <w:tcPr>
            <w:tcW w:w="1931" w:type="dxa"/>
            <w:tcBorders>
              <w:top w:val="nil"/>
              <w:left w:val="nil"/>
              <w:bottom w:val="single" w:sz="4" w:space="0" w:color="auto"/>
              <w:right w:val="single" w:sz="4" w:space="0" w:color="auto"/>
            </w:tcBorders>
            <w:noWrap/>
            <w:vAlign w:val="bottom"/>
            <w:hideMark/>
          </w:tcPr>
          <w:p w14:paraId="2126F3FB"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 </w:t>
            </w:r>
          </w:p>
        </w:tc>
        <w:tc>
          <w:tcPr>
            <w:tcW w:w="2358" w:type="dxa"/>
            <w:tcBorders>
              <w:top w:val="nil"/>
              <w:left w:val="nil"/>
              <w:bottom w:val="single" w:sz="4" w:space="0" w:color="auto"/>
              <w:right w:val="single" w:sz="4" w:space="0" w:color="auto"/>
            </w:tcBorders>
            <w:noWrap/>
            <w:vAlign w:val="bottom"/>
            <w:hideMark/>
          </w:tcPr>
          <w:p w14:paraId="6E6AB68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 </w:t>
            </w:r>
          </w:p>
        </w:tc>
        <w:tc>
          <w:tcPr>
            <w:tcW w:w="2065" w:type="dxa"/>
            <w:tcBorders>
              <w:top w:val="nil"/>
              <w:left w:val="nil"/>
              <w:bottom w:val="single" w:sz="4" w:space="0" w:color="auto"/>
              <w:right w:val="single" w:sz="4" w:space="0" w:color="auto"/>
            </w:tcBorders>
            <w:noWrap/>
            <w:vAlign w:val="bottom"/>
            <w:hideMark/>
          </w:tcPr>
          <w:p w14:paraId="0EE94AC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 </w:t>
            </w:r>
          </w:p>
        </w:tc>
      </w:tr>
      <w:tr w:rsidR="00722F48" w:rsidRPr="008F59EC" w14:paraId="7F49014A" w14:textId="77777777" w:rsidTr="00722F48">
        <w:trPr>
          <w:trHeight w:val="319"/>
        </w:trPr>
        <w:tc>
          <w:tcPr>
            <w:tcW w:w="2672" w:type="dxa"/>
            <w:tcBorders>
              <w:top w:val="nil"/>
              <w:left w:val="single" w:sz="4" w:space="0" w:color="auto"/>
              <w:bottom w:val="single" w:sz="4" w:space="0" w:color="auto"/>
              <w:right w:val="single" w:sz="4" w:space="0" w:color="auto"/>
            </w:tcBorders>
            <w:shd w:val="clear" w:color="000000" w:fill="FFFF00"/>
            <w:noWrap/>
            <w:vAlign w:val="bottom"/>
            <w:hideMark/>
          </w:tcPr>
          <w:p w14:paraId="7FE00D2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Sale price (per case)</w:t>
            </w:r>
          </w:p>
        </w:tc>
        <w:tc>
          <w:tcPr>
            <w:tcW w:w="1931" w:type="dxa"/>
            <w:tcBorders>
              <w:top w:val="nil"/>
              <w:left w:val="nil"/>
              <w:bottom w:val="single" w:sz="4" w:space="0" w:color="auto"/>
              <w:right w:val="single" w:sz="4" w:space="0" w:color="auto"/>
            </w:tcBorders>
            <w:shd w:val="clear" w:color="000000" w:fill="FFFF00"/>
            <w:noWrap/>
            <w:vAlign w:val="bottom"/>
            <w:hideMark/>
          </w:tcPr>
          <w:p w14:paraId="51668E7A"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£900.00</w:t>
            </w:r>
          </w:p>
        </w:tc>
        <w:tc>
          <w:tcPr>
            <w:tcW w:w="2358" w:type="dxa"/>
            <w:tcBorders>
              <w:top w:val="nil"/>
              <w:left w:val="nil"/>
              <w:bottom w:val="single" w:sz="4" w:space="0" w:color="auto"/>
              <w:right w:val="single" w:sz="4" w:space="0" w:color="auto"/>
            </w:tcBorders>
            <w:shd w:val="clear" w:color="000000" w:fill="FFFF00"/>
            <w:noWrap/>
            <w:vAlign w:val="bottom"/>
            <w:hideMark/>
          </w:tcPr>
          <w:p w14:paraId="6674C665"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£1,100.00</w:t>
            </w:r>
          </w:p>
        </w:tc>
        <w:tc>
          <w:tcPr>
            <w:tcW w:w="2065" w:type="dxa"/>
            <w:tcBorders>
              <w:top w:val="nil"/>
              <w:left w:val="nil"/>
              <w:bottom w:val="single" w:sz="4" w:space="0" w:color="auto"/>
              <w:right w:val="single" w:sz="4" w:space="0" w:color="auto"/>
            </w:tcBorders>
            <w:shd w:val="clear" w:color="000000" w:fill="FFFF00"/>
            <w:noWrap/>
            <w:vAlign w:val="bottom"/>
            <w:hideMark/>
          </w:tcPr>
          <w:p w14:paraId="28EBF5FF"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£800</w:t>
            </w:r>
          </w:p>
        </w:tc>
      </w:tr>
      <w:tr w:rsidR="00722F48" w:rsidRPr="008F59EC" w14:paraId="2812E791" w14:textId="77777777" w:rsidTr="00722F48">
        <w:trPr>
          <w:trHeight w:val="398"/>
        </w:trPr>
        <w:tc>
          <w:tcPr>
            <w:tcW w:w="2672" w:type="dxa"/>
            <w:tcBorders>
              <w:top w:val="nil"/>
              <w:left w:val="single" w:sz="4" w:space="0" w:color="auto"/>
              <w:bottom w:val="single" w:sz="4" w:space="0" w:color="auto"/>
              <w:right w:val="single" w:sz="4" w:space="0" w:color="auto"/>
            </w:tcBorders>
            <w:shd w:val="clear" w:color="000000" w:fill="FFFF00"/>
            <w:noWrap/>
            <w:vAlign w:val="bottom"/>
            <w:hideMark/>
          </w:tcPr>
          <w:p w14:paraId="2EC362EE"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Cost price (per case)</w:t>
            </w:r>
          </w:p>
        </w:tc>
        <w:tc>
          <w:tcPr>
            <w:tcW w:w="1931" w:type="dxa"/>
            <w:tcBorders>
              <w:top w:val="nil"/>
              <w:left w:val="nil"/>
              <w:bottom w:val="single" w:sz="4" w:space="0" w:color="auto"/>
              <w:right w:val="single" w:sz="4" w:space="0" w:color="auto"/>
            </w:tcBorders>
            <w:shd w:val="clear" w:color="000000" w:fill="FFFF00"/>
            <w:noWrap/>
            <w:vAlign w:val="bottom"/>
            <w:hideMark/>
          </w:tcPr>
          <w:p w14:paraId="18B6FF6F"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£250.00</w:t>
            </w:r>
          </w:p>
        </w:tc>
        <w:tc>
          <w:tcPr>
            <w:tcW w:w="2358" w:type="dxa"/>
            <w:tcBorders>
              <w:top w:val="nil"/>
              <w:left w:val="nil"/>
              <w:bottom w:val="single" w:sz="4" w:space="0" w:color="auto"/>
              <w:right w:val="single" w:sz="4" w:space="0" w:color="auto"/>
            </w:tcBorders>
            <w:shd w:val="clear" w:color="000000" w:fill="FFFF00"/>
            <w:noWrap/>
            <w:vAlign w:val="bottom"/>
            <w:hideMark/>
          </w:tcPr>
          <w:p w14:paraId="3F71F6ED"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£250.00</w:t>
            </w:r>
          </w:p>
        </w:tc>
        <w:tc>
          <w:tcPr>
            <w:tcW w:w="2065" w:type="dxa"/>
            <w:tcBorders>
              <w:top w:val="nil"/>
              <w:left w:val="nil"/>
              <w:bottom w:val="single" w:sz="4" w:space="0" w:color="auto"/>
              <w:right w:val="single" w:sz="4" w:space="0" w:color="auto"/>
            </w:tcBorders>
            <w:shd w:val="clear" w:color="000000" w:fill="FFFF00"/>
            <w:noWrap/>
            <w:vAlign w:val="bottom"/>
            <w:hideMark/>
          </w:tcPr>
          <w:p w14:paraId="121AC561"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£250</w:t>
            </w:r>
          </w:p>
        </w:tc>
      </w:tr>
      <w:tr w:rsidR="00722F48" w:rsidRPr="008F59EC" w14:paraId="7D95C9EC" w14:textId="77777777" w:rsidTr="00722F48">
        <w:trPr>
          <w:trHeight w:val="398"/>
        </w:trPr>
        <w:tc>
          <w:tcPr>
            <w:tcW w:w="2672" w:type="dxa"/>
            <w:tcBorders>
              <w:top w:val="nil"/>
              <w:left w:val="single" w:sz="4" w:space="0" w:color="auto"/>
              <w:bottom w:val="single" w:sz="4" w:space="0" w:color="auto"/>
              <w:right w:val="single" w:sz="4" w:space="0" w:color="auto"/>
            </w:tcBorders>
            <w:shd w:val="clear" w:color="000000" w:fill="FFFF00"/>
            <w:noWrap/>
            <w:vAlign w:val="bottom"/>
            <w:hideMark/>
          </w:tcPr>
          <w:p w14:paraId="784A6A88"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Gross Profit (per case)</w:t>
            </w:r>
          </w:p>
        </w:tc>
        <w:tc>
          <w:tcPr>
            <w:tcW w:w="1931" w:type="dxa"/>
            <w:tcBorders>
              <w:top w:val="nil"/>
              <w:left w:val="nil"/>
              <w:bottom w:val="single" w:sz="4" w:space="0" w:color="auto"/>
              <w:right w:val="single" w:sz="4" w:space="0" w:color="auto"/>
            </w:tcBorders>
            <w:shd w:val="clear" w:color="000000" w:fill="FFFF00"/>
            <w:noWrap/>
            <w:vAlign w:val="bottom"/>
            <w:hideMark/>
          </w:tcPr>
          <w:p w14:paraId="59E5E0D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£650.00</w:t>
            </w:r>
          </w:p>
        </w:tc>
        <w:tc>
          <w:tcPr>
            <w:tcW w:w="2358" w:type="dxa"/>
            <w:tcBorders>
              <w:top w:val="nil"/>
              <w:left w:val="nil"/>
              <w:bottom w:val="single" w:sz="4" w:space="0" w:color="auto"/>
              <w:right w:val="single" w:sz="4" w:space="0" w:color="auto"/>
            </w:tcBorders>
            <w:shd w:val="clear" w:color="000000" w:fill="FFFF00"/>
            <w:noWrap/>
            <w:vAlign w:val="bottom"/>
            <w:hideMark/>
          </w:tcPr>
          <w:p w14:paraId="62EF4E47"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£850.00</w:t>
            </w:r>
          </w:p>
        </w:tc>
        <w:tc>
          <w:tcPr>
            <w:tcW w:w="2065" w:type="dxa"/>
            <w:tcBorders>
              <w:top w:val="nil"/>
              <w:left w:val="nil"/>
              <w:bottom w:val="single" w:sz="4" w:space="0" w:color="auto"/>
              <w:right w:val="single" w:sz="4" w:space="0" w:color="auto"/>
            </w:tcBorders>
            <w:shd w:val="clear" w:color="000000" w:fill="FFFF00"/>
            <w:noWrap/>
            <w:vAlign w:val="bottom"/>
            <w:hideMark/>
          </w:tcPr>
          <w:p w14:paraId="119AE026"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£550</w:t>
            </w:r>
          </w:p>
        </w:tc>
      </w:tr>
      <w:tr w:rsidR="00722F48" w:rsidRPr="008F59EC" w14:paraId="73DF16BF" w14:textId="77777777" w:rsidTr="00722F48">
        <w:trPr>
          <w:trHeight w:val="319"/>
        </w:trPr>
        <w:tc>
          <w:tcPr>
            <w:tcW w:w="2672" w:type="dxa"/>
            <w:tcBorders>
              <w:top w:val="nil"/>
              <w:left w:val="single" w:sz="4" w:space="0" w:color="auto"/>
              <w:bottom w:val="single" w:sz="4" w:space="0" w:color="auto"/>
              <w:right w:val="single" w:sz="4" w:space="0" w:color="auto"/>
            </w:tcBorders>
            <w:shd w:val="clear" w:color="000000" w:fill="FFFF00"/>
            <w:noWrap/>
            <w:vAlign w:val="bottom"/>
            <w:hideMark/>
          </w:tcPr>
          <w:p w14:paraId="767064CF"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Gross Margin (per case)</w:t>
            </w:r>
          </w:p>
        </w:tc>
        <w:tc>
          <w:tcPr>
            <w:tcW w:w="1931" w:type="dxa"/>
            <w:tcBorders>
              <w:top w:val="nil"/>
              <w:left w:val="nil"/>
              <w:bottom w:val="single" w:sz="4" w:space="0" w:color="auto"/>
              <w:right w:val="single" w:sz="4" w:space="0" w:color="auto"/>
            </w:tcBorders>
            <w:shd w:val="clear" w:color="000000" w:fill="FFFF00"/>
            <w:noWrap/>
            <w:vAlign w:val="bottom"/>
            <w:hideMark/>
          </w:tcPr>
          <w:p w14:paraId="50D83FA0"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72%</w:t>
            </w:r>
          </w:p>
        </w:tc>
        <w:tc>
          <w:tcPr>
            <w:tcW w:w="2358" w:type="dxa"/>
            <w:tcBorders>
              <w:top w:val="nil"/>
              <w:left w:val="nil"/>
              <w:bottom w:val="single" w:sz="4" w:space="0" w:color="auto"/>
              <w:right w:val="single" w:sz="4" w:space="0" w:color="auto"/>
            </w:tcBorders>
            <w:shd w:val="clear" w:color="000000" w:fill="FFFF00"/>
            <w:noWrap/>
            <w:vAlign w:val="bottom"/>
            <w:hideMark/>
          </w:tcPr>
          <w:p w14:paraId="130DC2A8"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77%</w:t>
            </w:r>
          </w:p>
        </w:tc>
        <w:tc>
          <w:tcPr>
            <w:tcW w:w="2065" w:type="dxa"/>
            <w:tcBorders>
              <w:top w:val="nil"/>
              <w:left w:val="nil"/>
              <w:bottom w:val="single" w:sz="4" w:space="0" w:color="auto"/>
              <w:right w:val="single" w:sz="4" w:space="0" w:color="auto"/>
            </w:tcBorders>
            <w:shd w:val="clear" w:color="000000" w:fill="FFFF00"/>
            <w:noWrap/>
            <w:vAlign w:val="bottom"/>
            <w:hideMark/>
          </w:tcPr>
          <w:p w14:paraId="11F15F3B" w14:textId="77777777" w:rsidR="00722F48" w:rsidRPr="008F59EC" w:rsidRDefault="00722F48" w:rsidP="0014211F">
            <w:pPr>
              <w:spacing w:after="0" w:line="360" w:lineRule="auto"/>
              <w:jc w:val="both"/>
              <w:rPr>
                <w:rFonts w:ascii="Arial" w:eastAsia="Times New Roman" w:hAnsi="Arial" w:cs="Arial"/>
                <w:color w:val="000000"/>
                <w:kern w:val="0"/>
                <w:lang w:eastAsia="en-GB"/>
                <w14:ligatures w14:val="none"/>
              </w:rPr>
            </w:pPr>
            <w:r w:rsidRPr="008F59EC">
              <w:rPr>
                <w:rFonts w:ascii="Arial" w:eastAsia="Times New Roman" w:hAnsi="Arial" w:cs="Arial"/>
                <w:color w:val="000000"/>
                <w:kern w:val="0"/>
                <w:lang w:eastAsia="en-GB"/>
                <w14:ligatures w14:val="none"/>
              </w:rPr>
              <w:t>69%</w:t>
            </w:r>
          </w:p>
        </w:tc>
      </w:tr>
    </w:tbl>
    <w:p w14:paraId="5078A60E" w14:textId="77777777" w:rsidR="00722F48" w:rsidRPr="008F59EC" w:rsidRDefault="00722F48" w:rsidP="0014211F">
      <w:pPr>
        <w:spacing w:line="360" w:lineRule="auto"/>
        <w:jc w:val="both"/>
        <w:rPr>
          <w:rFonts w:ascii="Arial" w:hAnsi="Arial" w:cs="Arial"/>
        </w:rPr>
      </w:pPr>
    </w:p>
    <w:p w14:paraId="3F874CEA" w14:textId="77777777" w:rsidR="00722F48" w:rsidRPr="008F59EC" w:rsidRDefault="00722F48" w:rsidP="0014211F">
      <w:pPr>
        <w:spacing w:line="360" w:lineRule="auto"/>
        <w:jc w:val="both"/>
        <w:rPr>
          <w:rFonts w:ascii="Arial" w:hAnsi="Arial" w:cs="Arial"/>
        </w:rPr>
      </w:pPr>
      <w:r w:rsidRPr="008F59EC">
        <w:rPr>
          <w:rFonts w:ascii="Arial" w:hAnsi="Arial" w:cs="Arial"/>
        </w:rPr>
        <w:t>This calculation is applied consistently across monthly and annual projections within the Excel model. The resulting gross margins indicate that the business retains a substantial proportion of revenue to cover fixed costs and generate operating profit. These margins are in line with industry expectations for mortgage advisory firms and support the commercial viability of the business.</w:t>
      </w:r>
    </w:p>
    <w:p w14:paraId="449E8114" w14:textId="77777777" w:rsidR="00722F48" w:rsidRPr="008F59EC" w:rsidRDefault="00722F48" w:rsidP="0014211F">
      <w:pPr>
        <w:spacing w:line="360" w:lineRule="auto"/>
        <w:jc w:val="both"/>
        <w:rPr>
          <w:rFonts w:ascii="Arial" w:hAnsi="Arial" w:cs="Arial"/>
        </w:rPr>
      </w:pPr>
    </w:p>
    <w:p w14:paraId="6D93C8AB" w14:textId="4DA4F9F5" w:rsidR="00722F48" w:rsidRPr="008F59EC" w:rsidRDefault="00722F48" w:rsidP="0014211F">
      <w:pPr>
        <w:spacing w:line="360" w:lineRule="auto"/>
        <w:jc w:val="both"/>
        <w:rPr>
          <w:rFonts w:ascii="Arial" w:hAnsi="Arial" w:cs="Arial"/>
        </w:rPr>
      </w:pPr>
      <w:r w:rsidRPr="008F59EC">
        <w:rPr>
          <w:rFonts w:ascii="Arial" w:hAnsi="Arial" w:cs="Arial"/>
        </w:rPr>
        <w:t xml:space="preserve"> </w:t>
      </w:r>
      <w:r w:rsidR="003C6633" w:rsidRPr="008F59EC">
        <w:rPr>
          <w:rFonts w:ascii="Arial" w:hAnsi="Arial" w:cs="Arial"/>
        </w:rPr>
        <w:t xml:space="preserve">Quarterly </w:t>
      </w:r>
      <w:r w:rsidRPr="008F59EC">
        <w:rPr>
          <w:rFonts w:ascii="Arial" w:hAnsi="Arial" w:cs="Arial"/>
        </w:rPr>
        <w:t>Cash Flow Forecast (Year 1)</w:t>
      </w:r>
    </w:p>
    <w:p w14:paraId="59864639" w14:textId="77777777" w:rsidR="00722F48" w:rsidRPr="008F59EC" w:rsidRDefault="00722F48" w:rsidP="0014211F">
      <w:pPr>
        <w:spacing w:line="360" w:lineRule="auto"/>
        <w:jc w:val="both"/>
        <w:rPr>
          <w:rFonts w:ascii="Arial" w:hAnsi="Arial" w:cs="Arial"/>
        </w:rPr>
      </w:pPr>
      <w:r w:rsidRPr="008F59EC">
        <w:rPr>
          <w:rFonts w:ascii="Arial" w:hAnsi="Arial" w:cs="Arial"/>
        </w:rPr>
        <w:t>A detailed 12-month monthly cash flow forecast has been prepared, covering the period from March 2026 to February 2027. The forecast reflects a phased market entry, with gradual increases in completed cases as brand awareness, referral activity, and operational efficiency improve over time.</w:t>
      </w:r>
    </w:p>
    <w:p w14:paraId="61669B94" w14:textId="176E25ED" w:rsidR="003C6633" w:rsidRPr="008F59EC" w:rsidRDefault="003C6633" w:rsidP="0014211F">
      <w:pPr>
        <w:spacing w:line="360" w:lineRule="auto"/>
        <w:jc w:val="both"/>
        <w:rPr>
          <w:rFonts w:ascii="Arial" w:hAnsi="Arial" w:cs="Arial"/>
        </w:rPr>
      </w:pPr>
      <w:r w:rsidRPr="008F59EC">
        <w:rPr>
          <w:rFonts w:ascii="Arial" w:hAnsi="Arial" w:cs="Arial"/>
        </w:rPr>
        <w:t xml:space="preserve">Table 13: Quarterly cash flow forecast </w:t>
      </w:r>
    </w:p>
    <w:tbl>
      <w:tblPr>
        <w:tblW w:w="9005" w:type="dxa"/>
        <w:tblLook w:val="04A0" w:firstRow="1" w:lastRow="0" w:firstColumn="1" w:lastColumn="0" w:noHBand="0" w:noVBand="1"/>
      </w:tblPr>
      <w:tblGrid>
        <w:gridCol w:w="2089"/>
        <w:gridCol w:w="2839"/>
        <w:gridCol w:w="1460"/>
        <w:gridCol w:w="2617"/>
      </w:tblGrid>
      <w:tr w:rsidR="00722F48" w:rsidRPr="008F59EC" w14:paraId="03A38156" w14:textId="77777777" w:rsidTr="00722F48">
        <w:trPr>
          <w:trHeight w:val="389"/>
        </w:trPr>
        <w:tc>
          <w:tcPr>
            <w:tcW w:w="4928" w:type="dxa"/>
            <w:gridSpan w:val="2"/>
            <w:tcBorders>
              <w:top w:val="single" w:sz="8" w:space="0" w:color="auto"/>
              <w:left w:val="single" w:sz="8" w:space="0" w:color="auto"/>
              <w:bottom w:val="single" w:sz="8" w:space="0" w:color="auto"/>
              <w:right w:val="single" w:sz="8" w:space="0" w:color="000000"/>
            </w:tcBorders>
            <w:noWrap/>
            <w:vAlign w:val="bottom"/>
            <w:hideMark/>
          </w:tcPr>
          <w:p w14:paraId="0F40ED86" w14:textId="77777777" w:rsidR="00722F48" w:rsidRPr="008F59EC" w:rsidRDefault="00722F48" w:rsidP="0014211F">
            <w:pPr>
              <w:spacing w:after="0" w:line="360" w:lineRule="auto"/>
              <w:jc w:val="both"/>
              <w:rPr>
                <w:rFonts w:ascii="Arial" w:eastAsia="Times New Roman" w:hAnsi="Arial" w:cs="Arial"/>
                <w:b/>
                <w:bCs/>
                <w:kern w:val="0"/>
                <w:lang w:eastAsia="en-GB"/>
                <w14:ligatures w14:val="none"/>
              </w:rPr>
            </w:pPr>
            <w:r w:rsidRPr="008F59EC">
              <w:rPr>
                <w:rFonts w:ascii="Arial" w:eastAsia="Times New Roman" w:hAnsi="Arial" w:cs="Arial"/>
                <w:b/>
                <w:bCs/>
                <w:kern w:val="0"/>
                <w:lang w:eastAsia="en-GB"/>
                <w14:ligatures w14:val="none"/>
              </w:rPr>
              <w:t>Simplified Year 1 Cash Flow Forecast</w:t>
            </w:r>
          </w:p>
        </w:tc>
        <w:tc>
          <w:tcPr>
            <w:tcW w:w="1460" w:type="dxa"/>
            <w:tcBorders>
              <w:top w:val="nil"/>
              <w:left w:val="nil"/>
              <w:bottom w:val="nil"/>
              <w:right w:val="nil"/>
            </w:tcBorders>
            <w:noWrap/>
            <w:vAlign w:val="bottom"/>
            <w:hideMark/>
          </w:tcPr>
          <w:p w14:paraId="48E4E7F9" w14:textId="77777777" w:rsidR="00722F48" w:rsidRPr="008F59EC" w:rsidRDefault="00722F48" w:rsidP="0014211F">
            <w:pPr>
              <w:spacing w:after="0" w:line="360" w:lineRule="auto"/>
              <w:jc w:val="both"/>
              <w:rPr>
                <w:rFonts w:ascii="Arial" w:eastAsia="Times New Roman" w:hAnsi="Arial" w:cs="Arial"/>
                <w:b/>
                <w:bCs/>
                <w:kern w:val="0"/>
                <w:lang w:eastAsia="en-GB"/>
                <w14:ligatures w14:val="none"/>
              </w:rPr>
            </w:pPr>
          </w:p>
        </w:tc>
        <w:tc>
          <w:tcPr>
            <w:tcW w:w="2617" w:type="dxa"/>
            <w:tcBorders>
              <w:top w:val="nil"/>
              <w:left w:val="nil"/>
              <w:bottom w:val="nil"/>
              <w:right w:val="nil"/>
            </w:tcBorders>
            <w:noWrap/>
            <w:vAlign w:val="bottom"/>
            <w:hideMark/>
          </w:tcPr>
          <w:p w14:paraId="10A42170"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p>
        </w:tc>
      </w:tr>
      <w:tr w:rsidR="00722F48" w:rsidRPr="008F59EC" w14:paraId="20C475B1" w14:textId="77777777" w:rsidTr="00722F48">
        <w:trPr>
          <w:trHeight w:val="294"/>
        </w:trPr>
        <w:tc>
          <w:tcPr>
            <w:tcW w:w="2089" w:type="dxa"/>
            <w:tcBorders>
              <w:top w:val="nil"/>
              <w:left w:val="nil"/>
              <w:bottom w:val="nil"/>
              <w:right w:val="nil"/>
            </w:tcBorders>
            <w:noWrap/>
            <w:vAlign w:val="bottom"/>
            <w:hideMark/>
          </w:tcPr>
          <w:p w14:paraId="32A563D6"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p>
        </w:tc>
        <w:tc>
          <w:tcPr>
            <w:tcW w:w="2838" w:type="dxa"/>
            <w:tcBorders>
              <w:top w:val="nil"/>
              <w:left w:val="nil"/>
              <w:bottom w:val="nil"/>
              <w:right w:val="nil"/>
            </w:tcBorders>
            <w:noWrap/>
            <w:vAlign w:val="bottom"/>
            <w:hideMark/>
          </w:tcPr>
          <w:p w14:paraId="0DF3C6F0"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p>
        </w:tc>
        <w:tc>
          <w:tcPr>
            <w:tcW w:w="1460" w:type="dxa"/>
            <w:tcBorders>
              <w:top w:val="nil"/>
              <w:left w:val="nil"/>
              <w:bottom w:val="nil"/>
              <w:right w:val="nil"/>
            </w:tcBorders>
            <w:noWrap/>
            <w:vAlign w:val="bottom"/>
            <w:hideMark/>
          </w:tcPr>
          <w:p w14:paraId="5C238F85"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p>
        </w:tc>
        <w:tc>
          <w:tcPr>
            <w:tcW w:w="2617" w:type="dxa"/>
            <w:tcBorders>
              <w:top w:val="nil"/>
              <w:left w:val="nil"/>
              <w:bottom w:val="nil"/>
              <w:right w:val="nil"/>
            </w:tcBorders>
            <w:noWrap/>
            <w:vAlign w:val="bottom"/>
            <w:hideMark/>
          </w:tcPr>
          <w:p w14:paraId="5B45D335"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p>
        </w:tc>
      </w:tr>
      <w:tr w:rsidR="00722F48" w:rsidRPr="008F59EC" w14:paraId="2E7FC0BC" w14:textId="77777777" w:rsidTr="00722F48">
        <w:trPr>
          <w:trHeight w:val="311"/>
        </w:trPr>
        <w:tc>
          <w:tcPr>
            <w:tcW w:w="2089" w:type="dxa"/>
            <w:tcBorders>
              <w:top w:val="single" w:sz="4" w:space="0" w:color="auto"/>
              <w:left w:val="single" w:sz="4" w:space="0" w:color="auto"/>
              <w:bottom w:val="single" w:sz="4" w:space="0" w:color="auto"/>
              <w:right w:val="single" w:sz="4" w:space="0" w:color="auto"/>
            </w:tcBorders>
            <w:shd w:val="clear" w:color="000000" w:fill="F7C7AC"/>
            <w:vAlign w:val="center"/>
            <w:hideMark/>
          </w:tcPr>
          <w:p w14:paraId="2BE3CE2F" w14:textId="77777777" w:rsidR="00722F48" w:rsidRPr="008F59EC" w:rsidRDefault="00722F48" w:rsidP="0014211F">
            <w:pPr>
              <w:spacing w:after="0" w:line="360" w:lineRule="auto"/>
              <w:jc w:val="both"/>
              <w:rPr>
                <w:rFonts w:ascii="Arial" w:eastAsia="Times New Roman" w:hAnsi="Arial" w:cs="Arial"/>
                <w:b/>
                <w:bCs/>
                <w:kern w:val="0"/>
                <w:lang w:eastAsia="en-GB"/>
                <w14:ligatures w14:val="none"/>
              </w:rPr>
            </w:pPr>
            <w:r w:rsidRPr="008F59EC">
              <w:rPr>
                <w:rFonts w:ascii="Arial" w:eastAsia="Times New Roman" w:hAnsi="Arial" w:cs="Arial"/>
                <w:b/>
                <w:bCs/>
                <w:kern w:val="0"/>
                <w:lang w:eastAsia="en-GB"/>
                <w14:ligatures w14:val="none"/>
              </w:rPr>
              <w:t>Month</w:t>
            </w:r>
          </w:p>
        </w:tc>
        <w:tc>
          <w:tcPr>
            <w:tcW w:w="2838" w:type="dxa"/>
            <w:tcBorders>
              <w:top w:val="single" w:sz="4" w:space="0" w:color="auto"/>
              <w:left w:val="nil"/>
              <w:bottom w:val="single" w:sz="4" w:space="0" w:color="auto"/>
              <w:right w:val="single" w:sz="4" w:space="0" w:color="auto"/>
            </w:tcBorders>
            <w:shd w:val="clear" w:color="000000" w:fill="F7C7AC"/>
            <w:vAlign w:val="center"/>
            <w:hideMark/>
          </w:tcPr>
          <w:p w14:paraId="5D69B478" w14:textId="77777777" w:rsidR="00722F48" w:rsidRPr="008F59EC" w:rsidRDefault="00722F48" w:rsidP="0014211F">
            <w:pPr>
              <w:spacing w:after="0" w:line="360" w:lineRule="auto"/>
              <w:jc w:val="both"/>
              <w:rPr>
                <w:rFonts w:ascii="Arial" w:eastAsia="Times New Roman" w:hAnsi="Arial" w:cs="Arial"/>
                <w:b/>
                <w:bCs/>
                <w:kern w:val="0"/>
                <w:lang w:eastAsia="en-GB"/>
                <w14:ligatures w14:val="none"/>
              </w:rPr>
            </w:pPr>
            <w:r w:rsidRPr="008F59EC">
              <w:rPr>
                <w:rFonts w:ascii="Arial" w:eastAsia="Times New Roman" w:hAnsi="Arial" w:cs="Arial"/>
                <w:b/>
                <w:bCs/>
                <w:kern w:val="0"/>
                <w:lang w:eastAsia="en-GB"/>
                <w14:ligatures w14:val="none"/>
              </w:rPr>
              <w:t>Revenue (£)</w:t>
            </w:r>
          </w:p>
        </w:tc>
        <w:tc>
          <w:tcPr>
            <w:tcW w:w="1460" w:type="dxa"/>
            <w:tcBorders>
              <w:top w:val="single" w:sz="4" w:space="0" w:color="auto"/>
              <w:left w:val="nil"/>
              <w:bottom w:val="single" w:sz="4" w:space="0" w:color="auto"/>
              <w:right w:val="single" w:sz="4" w:space="0" w:color="auto"/>
            </w:tcBorders>
            <w:shd w:val="clear" w:color="000000" w:fill="F7C7AC"/>
            <w:vAlign w:val="center"/>
            <w:hideMark/>
          </w:tcPr>
          <w:p w14:paraId="3B3D3FCD" w14:textId="77777777" w:rsidR="00722F48" w:rsidRPr="008F59EC" w:rsidRDefault="00722F48" w:rsidP="0014211F">
            <w:pPr>
              <w:spacing w:after="0" w:line="360" w:lineRule="auto"/>
              <w:jc w:val="both"/>
              <w:rPr>
                <w:rFonts w:ascii="Arial" w:eastAsia="Times New Roman" w:hAnsi="Arial" w:cs="Arial"/>
                <w:b/>
                <w:bCs/>
                <w:kern w:val="0"/>
                <w:lang w:eastAsia="en-GB"/>
                <w14:ligatures w14:val="none"/>
              </w:rPr>
            </w:pPr>
            <w:r w:rsidRPr="008F59EC">
              <w:rPr>
                <w:rFonts w:ascii="Arial" w:eastAsia="Times New Roman" w:hAnsi="Arial" w:cs="Arial"/>
                <w:b/>
                <w:bCs/>
                <w:kern w:val="0"/>
                <w:lang w:eastAsia="en-GB"/>
                <w14:ligatures w14:val="none"/>
              </w:rPr>
              <w:t>Expenses (£)</w:t>
            </w:r>
          </w:p>
        </w:tc>
        <w:tc>
          <w:tcPr>
            <w:tcW w:w="2617" w:type="dxa"/>
            <w:tcBorders>
              <w:top w:val="single" w:sz="4" w:space="0" w:color="auto"/>
              <w:left w:val="nil"/>
              <w:bottom w:val="single" w:sz="4" w:space="0" w:color="auto"/>
              <w:right w:val="single" w:sz="4" w:space="0" w:color="auto"/>
            </w:tcBorders>
            <w:shd w:val="clear" w:color="000000" w:fill="F7C7AC"/>
            <w:vAlign w:val="center"/>
            <w:hideMark/>
          </w:tcPr>
          <w:p w14:paraId="37C57E01" w14:textId="77777777" w:rsidR="00722F48" w:rsidRPr="008F59EC" w:rsidRDefault="00722F48" w:rsidP="0014211F">
            <w:pPr>
              <w:spacing w:after="0" w:line="360" w:lineRule="auto"/>
              <w:jc w:val="both"/>
              <w:rPr>
                <w:rFonts w:ascii="Arial" w:eastAsia="Times New Roman" w:hAnsi="Arial" w:cs="Arial"/>
                <w:b/>
                <w:bCs/>
                <w:kern w:val="0"/>
                <w:lang w:eastAsia="en-GB"/>
                <w14:ligatures w14:val="none"/>
              </w:rPr>
            </w:pPr>
            <w:r w:rsidRPr="008F59EC">
              <w:rPr>
                <w:rFonts w:ascii="Arial" w:eastAsia="Times New Roman" w:hAnsi="Arial" w:cs="Arial"/>
                <w:b/>
                <w:bCs/>
                <w:kern w:val="0"/>
                <w:lang w:eastAsia="en-GB"/>
                <w14:ligatures w14:val="none"/>
              </w:rPr>
              <w:t>Net Cash Flow (£)</w:t>
            </w:r>
          </w:p>
        </w:tc>
      </w:tr>
      <w:tr w:rsidR="00722F48" w:rsidRPr="008F59EC" w14:paraId="05638F21" w14:textId="77777777" w:rsidTr="00722F48">
        <w:trPr>
          <w:trHeight w:val="311"/>
        </w:trPr>
        <w:tc>
          <w:tcPr>
            <w:tcW w:w="2089" w:type="dxa"/>
            <w:tcBorders>
              <w:top w:val="nil"/>
              <w:left w:val="single" w:sz="4" w:space="0" w:color="auto"/>
              <w:bottom w:val="single" w:sz="4" w:space="0" w:color="auto"/>
              <w:right w:val="single" w:sz="4" w:space="0" w:color="auto"/>
            </w:tcBorders>
            <w:shd w:val="clear" w:color="000000" w:fill="F7C7AC"/>
            <w:vAlign w:val="center"/>
            <w:hideMark/>
          </w:tcPr>
          <w:p w14:paraId="7611B400"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Q1</w:t>
            </w:r>
          </w:p>
        </w:tc>
        <w:tc>
          <w:tcPr>
            <w:tcW w:w="2838" w:type="dxa"/>
            <w:tcBorders>
              <w:top w:val="nil"/>
              <w:left w:val="nil"/>
              <w:bottom w:val="single" w:sz="4" w:space="0" w:color="auto"/>
              <w:right w:val="single" w:sz="4" w:space="0" w:color="auto"/>
            </w:tcBorders>
            <w:shd w:val="clear" w:color="000000" w:fill="F7C7AC"/>
            <w:vAlign w:val="center"/>
            <w:hideMark/>
          </w:tcPr>
          <w:p w14:paraId="20335DB0"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6,000</w:t>
            </w:r>
          </w:p>
        </w:tc>
        <w:tc>
          <w:tcPr>
            <w:tcW w:w="1460" w:type="dxa"/>
            <w:tcBorders>
              <w:top w:val="nil"/>
              <w:left w:val="nil"/>
              <w:bottom w:val="single" w:sz="4" w:space="0" w:color="auto"/>
              <w:right w:val="single" w:sz="4" w:space="0" w:color="auto"/>
            </w:tcBorders>
            <w:shd w:val="clear" w:color="000000" w:fill="F7C7AC"/>
            <w:vAlign w:val="center"/>
            <w:hideMark/>
          </w:tcPr>
          <w:p w14:paraId="6D9DDBD0"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2,310</w:t>
            </w:r>
          </w:p>
        </w:tc>
        <w:tc>
          <w:tcPr>
            <w:tcW w:w="2617" w:type="dxa"/>
            <w:tcBorders>
              <w:top w:val="nil"/>
              <w:left w:val="nil"/>
              <w:bottom w:val="single" w:sz="4" w:space="0" w:color="auto"/>
              <w:right w:val="single" w:sz="4" w:space="0" w:color="auto"/>
            </w:tcBorders>
            <w:shd w:val="clear" w:color="000000" w:fill="F7C7AC"/>
            <w:vAlign w:val="center"/>
            <w:hideMark/>
          </w:tcPr>
          <w:p w14:paraId="5C06A136"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3,690</w:t>
            </w:r>
          </w:p>
        </w:tc>
      </w:tr>
      <w:tr w:rsidR="00722F48" w:rsidRPr="008F59EC" w14:paraId="76371687" w14:textId="77777777" w:rsidTr="00722F48">
        <w:trPr>
          <w:trHeight w:val="311"/>
        </w:trPr>
        <w:tc>
          <w:tcPr>
            <w:tcW w:w="2089" w:type="dxa"/>
            <w:tcBorders>
              <w:top w:val="nil"/>
              <w:left w:val="single" w:sz="4" w:space="0" w:color="auto"/>
              <w:bottom w:val="single" w:sz="4" w:space="0" w:color="auto"/>
              <w:right w:val="single" w:sz="4" w:space="0" w:color="auto"/>
            </w:tcBorders>
            <w:shd w:val="clear" w:color="000000" w:fill="F7C7AC"/>
            <w:vAlign w:val="center"/>
            <w:hideMark/>
          </w:tcPr>
          <w:p w14:paraId="577697CA"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Q2</w:t>
            </w:r>
          </w:p>
        </w:tc>
        <w:tc>
          <w:tcPr>
            <w:tcW w:w="2838" w:type="dxa"/>
            <w:tcBorders>
              <w:top w:val="nil"/>
              <w:left w:val="nil"/>
              <w:bottom w:val="single" w:sz="4" w:space="0" w:color="auto"/>
              <w:right w:val="single" w:sz="4" w:space="0" w:color="auto"/>
            </w:tcBorders>
            <w:shd w:val="clear" w:color="000000" w:fill="F7C7AC"/>
            <w:vAlign w:val="center"/>
            <w:hideMark/>
          </w:tcPr>
          <w:p w14:paraId="7BAA0010"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12,000</w:t>
            </w:r>
          </w:p>
        </w:tc>
        <w:tc>
          <w:tcPr>
            <w:tcW w:w="1460" w:type="dxa"/>
            <w:tcBorders>
              <w:top w:val="nil"/>
              <w:left w:val="nil"/>
              <w:bottom w:val="single" w:sz="4" w:space="0" w:color="auto"/>
              <w:right w:val="single" w:sz="4" w:space="0" w:color="auto"/>
            </w:tcBorders>
            <w:shd w:val="clear" w:color="000000" w:fill="F7C7AC"/>
            <w:vAlign w:val="center"/>
            <w:hideMark/>
          </w:tcPr>
          <w:p w14:paraId="43D1644B"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2,310</w:t>
            </w:r>
          </w:p>
        </w:tc>
        <w:tc>
          <w:tcPr>
            <w:tcW w:w="2617" w:type="dxa"/>
            <w:tcBorders>
              <w:top w:val="nil"/>
              <w:left w:val="nil"/>
              <w:bottom w:val="single" w:sz="4" w:space="0" w:color="auto"/>
              <w:right w:val="single" w:sz="4" w:space="0" w:color="auto"/>
            </w:tcBorders>
            <w:shd w:val="clear" w:color="000000" w:fill="F7C7AC"/>
            <w:vAlign w:val="center"/>
            <w:hideMark/>
          </w:tcPr>
          <w:p w14:paraId="53015C19"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9,690</w:t>
            </w:r>
          </w:p>
        </w:tc>
      </w:tr>
      <w:tr w:rsidR="00722F48" w:rsidRPr="008F59EC" w14:paraId="737C8EB4" w14:textId="77777777" w:rsidTr="00722F48">
        <w:trPr>
          <w:trHeight w:val="311"/>
        </w:trPr>
        <w:tc>
          <w:tcPr>
            <w:tcW w:w="2089" w:type="dxa"/>
            <w:tcBorders>
              <w:top w:val="nil"/>
              <w:left w:val="single" w:sz="4" w:space="0" w:color="auto"/>
              <w:bottom w:val="single" w:sz="4" w:space="0" w:color="auto"/>
              <w:right w:val="single" w:sz="4" w:space="0" w:color="auto"/>
            </w:tcBorders>
            <w:shd w:val="clear" w:color="000000" w:fill="F7C7AC"/>
            <w:vAlign w:val="center"/>
            <w:hideMark/>
          </w:tcPr>
          <w:p w14:paraId="3A682504"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Q3</w:t>
            </w:r>
          </w:p>
        </w:tc>
        <w:tc>
          <w:tcPr>
            <w:tcW w:w="2838" w:type="dxa"/>
            <w:tcBorders>
              <w:top w:val="nil"/>
              <w:left w:val="nil"/>
              <w:bottom w:val="single" w:sz="4" w:space="0" w:color="auto"/>
              <w:right w:val="single" w:sz="4" w:space="0" w:color="auto"/>
            </w:tcBorders>
            <w:shd w:val="clear" w:color="000000" w:fill="F7C7AC"/>
            <w:vAlign w:val="center"/>
            <w:hideMark/>
          </w:tcPr>
          <w:p w14:paraId="4860DA8D"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18,000</w:t>
            </w:r>
          </w:p>
        </w:tc>
        <w:tc>
          <w:tcPr>
            <w:tcW w:w="1460" w:type="dxa"/>
            <w:tcBorders>
              <w:top w:val="nil"/>
              <w:left w:val="nil"/>
              <w:bottom w:val="single" w:sz="4" w:space="0" w:color="auto"/>
              <w:right w:val="single" w:sz="4" w:space="0" w:color="auto"/>
            </w:tcBorders>
            <w:shd w:val="clear" w:color="000000" w:fill="F7C7AC"/>
            <w:vAlign w:val="center"/>
            <w:hideMark/>
          </w:tcPr>
          <w:p w14:paraId="46AD33BB"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2,310</w:t>
            </w:r>
          </w:p>
        </w:tc>
        <w:tc>
          <w:tcPr>
            <w:tcW w:w="2617" w:type="dxa"/>
            <w:tcBorders>
              <w:top w:val="nil"/>
              <w:left w:val="nil"/>
              <w:bottom w:val="single" w:sz="4" w:space="0" w:color="auto"/>
              <w:right w:val="single" w:sz="4" w:space="0" w:color="auto"/>
            </w:tcBorders>
            <w:shd w:val="clear" w:color="000000" w:fill="F7C7AC"/>
            <w:vAlign w:val="center"/>
            <w:hideMark/>
          </w:tcPr>
          <w:p w14:paraId="7DA664F9"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15,690</w:t>
            </w:r>
          </w:p>
        </w:tc>
      </w:tr>
      <w:tr w:rsidR="00722F48" w:rsidRPr="008F59EC" w14:paraId="5813AC8E" w14:textId="77777777" w:rsidTr="00722F48">
        <w:trPr>
          <w:trHeight w:val="311"/>
        </w:trPr>
        <w:tc>
          <w:tcPr>
            <w:tcW w:w="2089" w:type="dxa"/>
            <w:tcBorders>
              <w:top w:val="nil"/>
              <w:left w:val="single" w:sz="4" w:space="0" w:color="auto"/>
              <w:bottom w:val="single" w:sz="4" w:space="0" w:color="auto"/>
              <w:right w:val="single" w:sz="4" w:space="0" w:color="auto"/>
            </w:tcBorders>
            <w:shd w:val="clear" w:color="000000" w:fill="F7C7AC"/>
            <w:vAlign w:val="center"/>
            <w:hideMark/>
          </w:tcPr>
          <w:p w14:paraId="0C7B7F1D"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Q4</w:t>
            </w:r>
          </w:p>
        </w:tc>
        <w:tc>
          <w:tcPr>
            <w:tcW w:w="2838" w:type="dxa"/>
            <w:tcBorders>
              <w:top w:val="nil"/>
              <w:left w:val="nil"/>
              <w:bottom w:val="single" w:sz="4" w:space="0" w:color="auto"/>
              <w:right w:val="single" w:sz="4" w:space="0" w:color="auto"/>
            </w:tcBorders>
            <w:shd w:val="clear" w:color="000000" w:fill="F7C7AC"/>
            <w:vAlign w:val="center"/>
            <w:hideMark/>
          </w:tcPr>
          <w:p w14:paraId="78C8286A"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36,000</w:t>
            </w:r>
          </w:p>
        </w:tc>
        <w:tc>
          <w:tcPr>
            <w:tcW w:w="1460" w:type="dxa"/>
            <w:tcBorders>
              <w:top w:val="nil"/>
              <w:left w:val="nil"/>
              <w:bottom w:val="single" w:sz="4" w:space="0" w:color="auto"/>
              <w:right w:val="single" w:sz="4" w:space="0" w:color="auto"/>
            </w:tcBorders>
            <w:shd w:val="clear" w:color="000000" w:fill="F7C7AC"/>
            <w:vAlign w:val="center"/>
            <w:hideMark/>
          </w:tcPr>
          <w:p w14:paraId="31C36325"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2,310</w:t>
            </w:r>
          </w:p>
        </w:tc>
        <w:tc>
          <w:tcPr>
            <w:tcW w:w="2617" w:type="dxa"/>
            <w:tcBorders>
              <w:top w:val="nil"/>
              <w:left w:val="nil"/>
              <w:bottom w:val="single" w:sz="4" w:space="0" w:color="auto"/>
              <w:right w:val="single" w:sz="4" w:space="0" w:color="auto"/>
            </w:tcBorders>
            <w:shd w:val="clear" w:color="000000" w:fill="F7C7AC"/>
            <w:vAlign w:val="center"/>
            <w:hideMark/>
          </w:tcPr>
          <w:p w14:paraId="2FBF4701" w14:textId="77777777" w:rsidR="00722F48" w:rsidRPr="008F59EC" w:rsidRDefault="00722F48" w:rsidP="0014211F">
            <w:pPr>
              <w:spacing w:after="0"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33,690</w:t>
            </w:r>
          </w:p>
        </w:tc>
      </w:tr>
      <w:tr w:rsidR="00722F48" w:rsidRPr="008F59EC" w14:paraId="16E05F6A" w14:textId="77777777" w:rsidTr="00722F48">
        <w:trPr>
          <w:trHeight w:val="311"/>
        </w:trPr>
        <w:tc>
          <w:tcPr>
            <w:tcW w:w="2089" w:type="dxa"/>
            <w:tcBorders>
              <w:top w:val="nil"/>
              <w:left w:val="single" w:sz="4" w:space="0" w:color="auto"/>
              <w:bottom w:val="single" w:sz="4" w:space="0" w:color="auto"/>
              <w:right w:val="single" w:sz="4" w:space="0" w:color="auto"/>
            </w:tcBorders>
            <w:shd w:val="clear" w:color="000000" w:fill="F7C7AC"/>
            <w:vAlign w:val="center"/>
            <w:hideMark/>
          </w:tcPr>
          <w:p w14:paraId="05CFB076" w14:textId="77777777" w:rsidR="00722F48" w:rsidRPr="008F59EC" w:rsidRDefault="00722F48" w:rsidP="0014211F">
            <w:pPr>
              <w:spacing w:after="0" w:line="360" w:lineRule="auto"/>
              <w:jc w:val="both"/>
              <w:rPr>
                <w:rFonts w:ascii="Arial" w:eastAsia="Times New Roman" w:hAnsi="Arial" w:cs="Arial"/>
                <w:b/>
                <w:bCs/>
                <w:kern w:val="0"/>
                <w:lang w:eastAsia="en-GB"/>
                <w14:ligatures w14:val="none"/>
              </w:rPr>
            </w:pPr>
            <w:r w:rsidRPr="008F59EC">
              <w:rPr>
                <w:rFonts w:ascii="Arial" w:eastAsia="Times New Roman" w:hAnsi="Arial" w:cs="Arial"/>
                <w:b/>
                <w:bCs/>
                <w:kern w:val="0"/>
                <w:lang w:eastAsia="en-GB"/>
                <w14:ligatures w14:val="none"/>
              </w:rPr>
              <w:t>Year 1 Total</w:t>
            </w:r>
          </w:p>
        </w:tc>
        <w:tc>
          <w:tcPr>
            <w:tcW w:w="2838" w:type="dxa"/>
            <w:tcBorders>
              <w:top w:val="nil"/>
              <w:left w:val="nil"/>
              <w:bottom w:val="single" w:sz="4" w:space="0" w:color="auto"/>
              <w:right w:val="single" w:sz="4" w:space="0" w:color="auto"/>
            </w:tcBorders>
            <w:shd w:val="clear" w:color="000000" w:fill="F7C7AC"/>
            <w:vAlign w:val="center"/>
            <w:hideMark/>
          </w:tcPr>
          <w:p w14:paraId="0BB14F6D" w14:textId="77777777" w:rsidR="00722F48" w:rsidRPr="008F59EC" w:rsidRDefault="00722F48" w:rsidP="0014211F">
            <w:pPr>
              <w:spacing w:after="0" w:line="360" w:lineRule="auto"/>
              <w:jc w:val="both"/>
              <w:rPr>
                <w:rFonts w:ascii="Arial" w:eastAsia="Times New Roman" w:hAnsi="Arial" w:cs="Arial"/>
                <w:b/>
                <w:bCs/>
                <w:kern w:val="0"/>
                <w:lang w:eastAsia="en-GB"/>
                <w14:ligatures w14:val="none"/>
              </w:rPr>
            </w:pPr>
            <w:r w:rsidRPr="008F59EC">
              <w:rPr>
                <w:rFonts w:ascii="Arial" w:eastAsia="Times New Roman" w:hAnsi="Arial" w:cs="Arial"/>
                <w:b/>
                <w:bCs/>
                <w:kern w:val="0"/>
                <w:lang w:eastAsia="en-GB"/>
                <w14:ligatures w14:val="none"/>
              </w:rPr>
              <w:t>72,000</w:t>
            </w:r>
          </w:p>
        </w:tc>
        <w:tc>
          <w:tcPr>
            <w:tcW w:w="1460" w:type="dxa"/>
            <w:tcBorders>
              <w:top w:val="nil"/>
              <w:left w:val="nil"/>
              <w:bottom w:val="single" w:sz="4" w:space="0" w:color="auto"/>
              <w:right w:val="single" w:sz="4" w:space="0" w:color="auto"/>
            </w:tcBorders>
            <w:shd w:val="clear" w:color="000000" w:fill="F7C7AC"/>
            <w:vAlign w:val="center"/>
            <w:hideMark/>
          </w:tcPr>
          <w:p w14:paraId="2C40B0B0" w14:textId="77777777" w:rsidR="00722F48" w:rsidRPr="008F59EC" w:rsidRDefault="00722F48" w:rsidP="0014211F">
            <w:pPr>
              <w:spacing w:after="0" w:line="360" w:lineRule="auto"/>
              <w:jc w:val="both"/>
              <w:rPr>
                <w:rFonts w:ascii="Arial" w:eastAsia="Times New Roman" w:hAnsi="Arial" w:cs="Arial"/>
                <w:b/>
                <w:bCs/>
                <w:kern w:val="0"/>
                <w:lang w:eastAsia="en-GB"/>
                <w14:ligatures w14:val="none"/>
              </w:rPr>
            </w:pPr>
            <w:r w:rsidRPr="008F59EC">
              <w:rPr>
                <w:rFonts w:ascii="Arial" w:eastAsia="Times New Roman" w:hAnsi="Arial" w:cs="Arial"/>
                <w:b/>
                <w:bCs/>
                <w:kern w:val="0"/>
                <w:lang w:eastAsia="en-GB"/>
                <w14:ligatures w14:val="none"/>
              </w:rPr>
              <w:t>9,240</w:t>
            </w:r>
          </w:p>
        </w:tc>
        <w:tc>
          <w:tcPr>
            <w:tcW w:w="2617" w:type="dxa"/>
            <w:tcBorders>
              <w:top w:val="nil"/>
              <w:left w:val="nil"/>
              <w:bottom w:val="single" w:sz="4" w:space="0" w:color="auto"/>
              <w:right w:val="single" w:sz="4" w:space="0" w:color="auto"/>
            </w:tcBorders>
            <w:shd w:val="clear" w:color="000000" w:fill="F7C7AC"/>
            <w:vAlign w:val="center"/>
            <w:hideMark/>
          </w:tcPr>
          <w:p w14:paraId="48C70A3B" w14:textId="77777777" w:rsidR="00722F48" w:rsidRPr="008F59EC" w:rsidRDefault="00722F48" w:rsidP="0014211F">
            <w:pPr>
              <w:spacing w:after="0" w:line="360" w:lineRule="auto"/>
              <w:jc w:val="both"/>
              <w:rPr>
                <w:rFonts w:ascii="Arial" w:eastAsia="Times New Roman" w:hAnsi="Arial" w:cs="Arial"/>
                <w:b/>
                <w:bCs/>
                <w:kern w:val="0"/>
                <w:lang w:eastAsia="en-GB"/>
                <w14:ligatures w14:val="none"/>
              </w:rPr>
            </w:pPr>
            <w:r w:rsidRPr="008F59EC">
              <w:rPr>
                <w:rFonts w:ascii="Arial" w:eastAsia="Times New Roman" w:hAnsi="Arial" w:cs="Arial"/>
                <w:b/>
                <w:bCs/>
                <w:kern w:val="0"/>
                <w:lang w:eastAsia="en-GB"/>
                <w14:ligatures w14:val="none"/>
              </w:rPr>
              <w:t>62,760</w:t>
            </w:r>
          </w:p>
        </w:tc>
      </w:tr>
    </w:tbl>
    <w:p w14:paraId="31399F20" w14:textId="77777777" w:rsidR="00722F48" w:rsidRPr="008F59EC" w:rsidRDefault="00722F48" w:rsidP="0014211F">
      <w:pPr>
        <w:spacing w:line="360" w:lineRule="auto"/>
        <w:jc w:val="both"/>
        <w:rPr>
          <w:rFonts w:ascii="Arial" w:hAnsi="Arial" w:cs="Arial"/>
        </w:rPr>
      </w:pPr>
      <w:r w:rsidRPr="008F59EC">
        <w:rPr>
          <w:rFonts w:ascii="Arial" w:hAnsi="Arial" w:cs="Arial"/>
        </w:rPr>
        <w:t xml:space="preserve">Monthly cash inflows are calculated based on completed cases by product type, while monthly cash outflows include variable costs and fixed operating expenses. This </w:t>
      </w:r>
      <w:r w:rsidRPr="008F59EC">
        <w:rPr>
          <w:rFonts w:ascii="Arial" w:hAnsi="Arial" w:cs="Arial"/>
        </w:rPr>
        <w:lastRenderedPageBreak/>
        <w:t>structure allows for clear visibility of cash performance on a month-by-month basis. The forecast demonstrates that, despite modest initial volumes, the business generates positive operating cash flow as case numbers increase.</w:t>
      </w:r>
    </w:p>
    <w:p w14:paraId="5C81BE9F" w14:textId="40F37D66" w:rsidR="00722F48" w:rsidRPr="008F59EC" w:rsidRDefault="00722F48" w:rsidP="0014211F">
      <w:pPr>
        <w:spacing w:line="360" w:lineRule="auto"/>
        <w:jc w:val="both"/>
        <w:rPr>
          <w:rFonts w:ascii="Arial" w:hAnsi="Arial" w:cs="Arial"/>
        </w:rPr>
      </w:pPr>
      <w:r w:rsidRPr="008F59EC">
        <w:rPr>
          <w:rFonts w:ascii="Arial" w:hAnsi="Arial" w:cs="Arial"/>
        </w:rPr>
        <w:t>The use of a monthly model provides a more accurate reflection of early-stage financial performance than quarterly projections and aligns with the lecturer’s requirement for detailed cash flow analysis.</w:t>
      </w:r>
    </w:p>
    <w:p w14:paraId="787ACBA6" w14:textId="267986E9" w:rsidR="00722F48" w:rsidRPr="008F59EC" w:rsidRDefault="00722F48" w:rsidP="0007190F">
      <w:pPr>
        <w:pStyle w:val="Heading2"/>
        <w:rPr>
          <w:rFonts w:ascii="Arial" w:hAnsi="Arial" w:cs="Arial"/>
        </w:rPr>
      </w:pPr>
      <w:bookmarkStart w:id="64" w:name="_Toc219926308"/>
      <w:r w:rsidRPr="008F59EC">
        <w:rPr>
          <w:rFonts w:ascii="Arial" w:hAnsi="Arial" w:cs="Arial"/>
        </w:rPr>
        <w:t>7.</w:t>
      </w:r>
      <w:r w:rsidR="00EF6CDF" w:rsidRPr="008F59EC">
        <w:rPr>
          <w:rFonts w:ascii="Arial" w:hAnsi="Arial" w:cs="Arial"/>
        </w:rPr>
        <w:t>8</w:t>
      </w:r>
      <w:r w:rsidRPr="008F59EC">
        <w:rPr>
          <w:rFonts w:ascii="Arial" w:hAnsi="Arial" w:cs="Arial"/>
        </w:rPr>
        <w:t xml:space="preserve"> Break-Even Analysis</w:t>
      </w:r>
      <w:bookmarkEnd w:id="64"/>
    </w:p>
    <w:p w14:paraId="19E3A31B" w14:textId="7EB4C3D9" w:rsidR="00722F48" w:rsidRPr="008F59EC" w:rsidRDefault="00722F48" w:rsidP="0014211F">
      <w:pPr>
        <w:spacing w:line="360" w:lineRule="auto"/>
        <w:jc w:val="both"/>
        <w:rPr>
          <w:rFonts w:ascii="Arial" w:hAnsi="Arial" w:cs="Arial"/>
        </w:rPr>
      </w:pPr>
      <w:r w:rsidRPr="008F59EC">
        <w:rPr>
          <w:rFonts w:ascii="Arial" w:hAnsi="Arial" w:cs="Arial"/>
        </w:rPr>
        <w:t xml:space="preserve">Break-even analysis assesses the level of activity required for </w:t>
      </w:r>
      <w:r w:rsidR="00EC30AA" w:rsidRPr="008F59EC">
        <w:rPr>
          <w:rFonts w:ascii="Arial" w:hAnsi="Arial" w:cs="Arial"/>
        </w:rPr>
        <w:t xml:space="preserve">Sense Mortgage and Residential </w:t>
      </w:r>
      <w:r w:rsidRPr="008F59EC">
        <w:rPr>
          <w:rFonts w:ascii="Arial" w:hAnsi="Arial" w:cs="Arial"/>
        </w:rPr>
        <w:t>to cover its fixed operating costs. Based on the contribution generated per completed case and the annual fixed cost base, the business reaches break-even at approximately 10–11 completed cases per year.</w:t>
      </w:r>
    </w:p>
    <w:p w14:paraId="4CF509C4" w14:textId="77777777" w:rsidR="00722F48" w:rsidRPr="008F59EC" w:rsidRDefault="00722F48" w:rsidP="0014211F">
      <w:pPr>
        <w:spacing w:line="360" w:lineRule="auto"/>
        <w:jc w:val="both"/>
        <w:rPr>
          <w:rFonts w:ascii="Arial" w:hAnsi="Arial" w:cs="Arial"/>
        </w:rPr>
      </w:pPr>
      <w:r w:rsidRPr="008F59EC">
        <w:rPr>
          <w:rFonts w:ascii="Arial" w:hAnsi="Arial" w:cs="Arial"/>
        </w:rPr>
        <w:t>This calculation is supported by a break-even chart and detailed workings in the Excel model. The analysis confirms that the business requires a relatively low level of activity to become financially viable, reducing overall financial risk during the start-up phase.</w:t>
      </w:r>
    </w:p>
    <w:p w14:paraId="6F847E90" w14:textId="77777777" w:rsidR="00722F48" w:rsidRPr="008F59EC" w:rsidRDefault="00722F48" w:rsidP="0014211F">
      <w:pPr>
        <w:spacing w:line="360" w:lineRule="auto"/>
        <w:jc w:val="both"/>
        <w:rPr>
          <w:rFonts w:ascii="Arial" w:hAnsi="Arial" w:cs="Arial"/>
        </w:rPr>
      </w:pPr>
      <w:r w:rsidRPr="008F59EC">
        <w:rPr>
          <w:rFonts w:ascii="Arial" w:hAnsi="Arial" w:cs="Arial"/>
        </w:rPr>
        <w:t>Break-even analysis helps determine when revenue will cover total expenses.</w:t>
      </w:r>
    </w:p>
    <w:p w14:paraId="48F85CC3" w14:textId="77777777" w:rsidR="00722F48" w:rsidRPr="008F59EC" w:rsidRDefault="00722F48" w:rsidP="0014211F">
      <w:pPr>
        <w:spacing w:line="360" w:lineRule="auto"/>
        <w:jc w:val="both"/>
        <w:rPr>
          <w:rFonts w:ascii="Arial" w:hAnsi="Arial" w:cs="Arial"/>
        </w:rPr>
      </w:pPr>
      <w:r w:rsidRPr="008F59EC">
        <w:rPr>
          <w:rFonts w:ascii="Arial" w:hAnsi="Arial" w:cs="Arial"/>
        </w:rPr>
        <w:t>Break-Even Formula:</w:t>
      </w:r>
    </w:p>
    <w:p w14:paraId="7B0B87D1" w14:textId="77777777" w:rsidR="00722F48" w:rsidRPr="008F59EC" w:rsidRDefault="00722F48" w:rsidP="0014211F">
      <w:pPr>
        <w:spacing w:line="360" w:lineRule="auto"/>
        <w:jc w:val="both"/>
        <w:rPr>
          <w:rFonts w:ascii="Arial" w:hAnsi="Arial" w:cs="Arial"/>
        </w:rPr>
      </w:pPr>
      <w:r w:rsidRPr="008F59EC">
        <w:rPr>
          <w:rFonts w:ascii="Arial" w:hAnsi="Arial" w:cs="Arial"/>
        </w:rPr>
        <w:t>Break-even point = Fixed Costs / (Average Revenue per Case – Variable Cost per Case)</w:t>
      </w:r>
    </w:p>
    <w:p w14:paraId="04665B1C" w14:textId="77777777" w:rsidR="00722F48" w:rsidRPr="008F59EC" w:rsidRDefault="00722F48" w:rsidP="0014211F">
      <w:pPr>
        <w:spacing w:line="360" w:lineRule="auto"/>
        <w:jc w:val="both"/>
        <w:rPr>
          <w:rFonts w:ascii="Arial" w:hAnsi="Arial" w:cs="Arial"/>
        </w:rPr>
      </w:pPr>
    </w:p>
    <w:p w14:paraId="65C1F026" w14:textId="77777777" w:rsidR="00722F48" w:rsidRPr="008F59EC" w:rsidRDefault="00722F48" w:rsidP="0014211F">
      <w:pPr>
        <w:spacing w:line="360" w:lineRule="auto"/>
        <w:jc w:val="both"/>
        <w:rPr>
          <w:rFonts w:ascii="Arial" w:hAnsi="Arial" w:cs="Arial"/>
        </w:rPr>
      </w:pPr>
      <w:r w:rsidRPr="008F59EC">
        <w:rPr>
          <w:rFonts w:ascii="Arial" w:hAnsi="Arial" w:cs="Arial"/>
        </w:rPr>
        <w:t>Assumptions &amp; calculations</w:t>
      </w:r>
    </w:p>
    <w:p w14:paraId="5C26DDBC" w14:textId="77777777" w:rsidR="00722F48" w:rsidRPr="008F59EC" w:rsidRDefault="00722F48" w:rsidP="0014211F">
      <w:pPr>
        <w:spacing w:line="360" w:lineRule="auto"/>
        <w:jc w:val="both"/>
        <w:rPr>
          <w:rFonts w:ascii="Arial" w:hAnsi="Arial" w:cs="Arial"/>
        </w:rPr>
      </w:pPr>
      <w:r w:rsidRPr="008F59EC">
        <w:rPr>
          <w:rFonts w:ascii="Arial" w:hAnsi="Arial" w:cs="Arial"/>
        </w:rPr>
        <w:t>Average total revenue per case: £1,150</w:t>
      </w:r>
    </w:p>
    <w:p w14:paraId="5A155FC5" w14:textId="77777777" w:rsidR="00722F48" w:rsidRPr="008F59EC" w:rsidRDefault="00722F48" w:rsidP="0014211F">
      <w:pPr>
        <w:spacing w:line="360" w:lineRule="auto"/>
        <w:jc w:val="both"/>
        <w:rPr>
          <w:rFonts w:ascii="Arial" w:hAnsi="Arial" w:cs="Arial"/>
        </w:rPr>
      </w:pPr>
      <w:r w:rsidRPr="008F59EC">
        <w:rPr>
          <w:rFonts w:ascii="Arial" w:hAnsi="Arial" w:cs="Arial"/>
        </w:rPr>
        <w:t>Variable cost per case (admin, network fees share): £250</w:t>
      </w:r>
    </w:p>
    <w:p w14:paraId="0107E6AE" w14:textId="77777777" w:rsidR="00722F48" w:rsidRPr="008F59EC" w:rsidRDefault="00722F48" w:rsidP="0014211F">
      <w:pPr>
        <w:spacing w:line="360" w:lineRule="auto"/>
        <w:jc w:val="both"/>
        <w:rPr>
          <w:rFonts w:ascii="Arial" w:hAnsi="Arial" w:cs="Arial"/>
        </w:rPr>
      </w:pPr>
      <w:r w:rsidRPr="008F59EC">
        <w:rPr>
          <w:rFonts w:ascii="Arial" w:hAnsi="Arial" w:cs="Arial"/>
        </w:rPr>
        <w:t>Annual fixed cost: £9,240</w:t>
      </w:r>
    </w:p>
    <w:p w14:paraId="27295A15" w14:textId="77777777" w:rsidR="00722F48" w:rsidRPr="008F59EC" w:rsidRDefault="00722F48" w:rsidP="0014211F">
      <w:pPr>
        <w:spacing w:line="360" w:lineRule="auto"/>
        <w:jc w:val="both"/>
        <w:rPr>
          <w:rFonts w:ascii="Arial" w:hAnsi="Arial" w:cs="Arial"/>
        </w:rPr>
      </w:pPr>
      <w:r w:rsidRPr="008F59EC">
        <w:rPr>
          <w:rFonts w:ascii="Arial" w:hAnsi="Arial" w:cs="Arial"/>
        </w:rPr>
        <w:t>Contribution per case = £1,150 – £250 = £900</w:t>
      </w:r>
    </w:p>
    <w:p w14:paraId="7871AC4C" w14:textId="77777777" w:rsidR="00722F48" w:rsidRPr="008F59EC" w:rsidRDefault="00722F48" w:rsidP="0014211F">
      <w:pPr>
        <w:spacing w:line="360" w:lineRule="auto"/>
        <w:jc w:val="both"/>
        <w:rPr>
          <w:rFonts w:ascii="Arial" w:hAnsi="Arial" w:cs="Arial"/>
        </w:rPr>
      </w:pPr>
      <w:r w:rsidRPr="008F59EC">
        <w:rPr>
          <w:rFonts w:ascii="Arial" w:hAnsi="Arial" w:cs="Arial"/>
        </w:rPr>
        <w:t>Break-even = £9,240 / £900 ≈ 10.2 cases</w:t>
      </w:r>
    </w:p>
    <w:p w14:paraId="3BEBCEB1" w14:textId="77777777" w:rsidR="00722F48" w:rsidRPr="008F59EC" w:rsidRDefault="00722F48" w:rsidP="0014211F">
      <w:pPr>
        <w:spacing w:line="360" w:lineRule="auto"/>
        <w:jc w:val="both"/>
        <w:rPr>
          <w:rFonts w:ascii="Arial" w:hAnsi="Arial" w:cs="Arial"/>
        </w:rPr>
      </w:pPr>
      <w:r w:rsidRPr="008F59EC">
        <w:rPr>
          <w:rFonts w:ascii="Segoe UI Symbol" w:hAnsi="Segoe UI Symbol" w:cs="Segoe UI Symbol"/>
        </w:rPr>
        <w:t>✔</w:t>
      </w:r>
      <w:r w:rsidRPr="008F59EC">
        <w:rPr>
          <w:rFonts w:ascii="Arial" w:hAnsi="Arial" w:cs="Arial"/>
        </w:rPr>
        <w:t xml:space="preserve"> Break-even point: 10–11 completed cases per year</w:t>
      </w:r>
    </w:p>
    <w:p w14:paraId="60652DE5" w14:textId="5EB9398E" w:rsidR="00722F48" w:rsidRPr="008F59EC" w:rsidRDefault="00722F48" w:rsidP="0014211F">
      <w:pPr>
        <w:spacing w:line="360" w:lineRule="auto"/>
        <w:jc w:val="both"/>
        <w:rPr>
          <w:rFonts w:ascii="Arial" w:hAnsi="Arial" w:cs="Arial"/>
        </w:rPr>
      </w:pPr>
      <w:r w:rsidRPr="008F59EC">
        <w:rPr>
          <w:rFonts w:ascii="Arial" w:hAnsi="Arial" w:cs="Arial"/>
        </w:rPr>
        <w:lastRenderedPageBreak/>
        <w:t>This is easily achievable within the first few months of operation.</w:t>
      </w:r>
      <w:r w:rsidR="008308B6" w:rsidRPr="008F59EC">
        <w:rPr>
          <w:rFonts w:ascii="Arial" w:hAnsi="Arial" w:cs="Arial"/>
        </w:rPr>
        <w:t xml:space="preserve"> The following section provides further detail on the break-even calculation for </w:t>
      </w:r>
      <w:r w:rsidR="00EC30AA" w:rsidRPr="008F59EC">
        <w:rPr>
          <w:rFonts w:ascii="Arial" w:hAnsi="Arial" w:cs="Arial"/>
        </w:rPr>
        <w:t xml:space="preserve">Sense Mortgage and </w:t>
      </w:r>
      <w:r w:rsidR="008308B6" w:rsidRPr="008F59EC">
        <w:rPr>
          <w:rFonts w:ascii="Arial" w:hAnsi="Arial" w:cs="Arial"/>
        </w:rPr>
        <w:t>Residential.</w:t>
      </w:r>
      <w:r w:rsidRPr="008F59EC">
        <w:rPr>
          <w:rFonts w:ascii="Arial" w:hAnsi="Arial" w:cs="Arial"/>
        </w:rPr>
        <w:t xml:space="preserve"> </w:t>
      </w:r>
    </w:p>
    <w:p w14:paraId="249EA2FA" w14:textId="7535340B" w:rsidR="00722F48" w:rsidRPr="008F59EC" w:rsidRDefault="00722F48" w:rsidP="0014211F">
      <w:pPr>
        <w:spacing w:line="360" w:lineRule="auto"/>
        <w:jc w:val="both"/>
        <w:rPr>
          <w:rFonts w:ascii="Arial" w:hAnsi="Arial" w:cs="Arial"/>
        </w:rPr>
      </w:pPr>
      <w:r w:rsidRPr="008F59EC">
        <w:rPr>
          <w:rFonts w:ascii="Arial" w:hAnsi="Arial" w:cs="Arial"/>
          <w:noProof/>
        </w:rPr>
        <mc:AlternateContent>
          <mc:Choice Requires="wpi">
            <w:drawing>
              <wp:anchor distT="0" distB="0" distL="114300" distR="114300" simplePos="0" relativeHeight="251664384" behindDoc="0" locked="0" layoutInCell="1" allowOverlap="1" wp14:anchorId="252B67E6" wp14:editId="0F0F4225">
                <wp:simplePos x="0" y="0"/>
                <wp:positionH relativeFrom="column">
                  <wp:posOffset>2827020</wp:posOffset>
                </wp:positionH>
                <wp:positionV relativeFrom="paragraph">
                  <wp:posOffset>1610360</wp:posOffset>
                </wp:positionV>
                <wp:extent cx="238125" cy="245110"/>
                <wp:effectExtent l="38100" t="38100" r="9525" b="40640"/>
                <wp:wrapNone/>
                <wp:docPr id="1715277484" name="Ink 6"/>
                <wp:cNvGraphicFramePr/>
                <a:graphic xmlns:a="http://schemas.openxmlformats.org/drawingml/2006/main">
                  <a:graphicData uri="http://schemas.microsoft.com/office/word/2010/wordprocessingInk">
                    <w14:contentPart bwMode="auto" r:id="rId46">
                      <w14:nvContentPartPr>
                        <w14:cNvContentPartPr/>
                      </w14:nvContentPartPr>
                      <w14:xfrm>
                        <a:off x="0" y="0"/>
                        <a:ext cx="238125" cy="245110"/>
                      </w14:xfrm>
                    </w14:contentPart>
                  </a:graphicData>
                </a:graphic>
                <wp14:sizeRelH relativeFrom="margin">
                  <wp14:pctWidth>0</wp14:pctWidth>
                </wp14:sizeRelH>
                <wp14:sizeRelV relativeFrom="margin">
                  <wp14:pctHeight>0</wp14:pctHeight>
                </wp14:sizeRelV>
              </wp:anchor>
            </w:drawing>
          </mc:Choice>
          <mc:Fallback>
            <w:pict>
              <v:shapetype w14:anchorId="6FB468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222.1pt;margin-top:126.3pt;width:19.7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">
                <v:imagedata r:id="rId47" o:title=""/>
              </v:shape>
            </w:pict>
          </mc:Fallback>
        </mc:AlternateContent>
      </w:r>
      <w:r w:rsidRPr="008F59EC">
        <w:rPr>
          <w:rFonts w:ascii="Arial" w:hAnsi="Arial" w:cs="Arial"/>
          <w:noProof/>
        </w:rPr>
        <w:drawing>
          <wp:inline distT="0" distB="0" distL="0" distR="0" wp14:anchorId="127A3700" wp14:editId="375D725E">
            <wp:extent cx="5686425" cy="3076575"/>
            <wp:effectExtent l="0" t="0" r="9525" b="9525"/>
            <wp:docPr id="1684820401" name="Chart 1">
              <a:extLst xmlns:a="http://schemas.openxmlformats.org/drawingml/2006/main">
                <a:ext uri="{FF2B5EF4-FFF2-40B4-BE49-F238E27FC236}">
                  <a16:creationId xmlns:a16="http://schemas.microsoft.com/office/drawing/2014/main" id="{B57130C8-48DF-44CF-AFFA-3750DB9A0B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r w:rsidRPr="008F59EC">
        <w:rPr>
          <w:rFonts w:ascii="Arial" w:hAnsi="Arial" w:cs="Arial"/>
          <w:noProof/>
        </w:rPr>
        <mc:AlternateContent>
          <mc:Choice Requires="wps">
            <w:drawing>
              <wp:anchor distT="0" distB="0" distL="114300" distR="114300" simplePos="0" relativeHeight="251663360" behindDoc="1" locked="0" layoutInCell="1" allowOverlap="1" wp14:anchorId="15A4FE17" wp14:editId="75B486A7">
                <wp:simplePos x="0" y="0"/>
                <wp:positionH relativeFrom="column">
                  <wp:posOffset>2438400</wp:posOffset>
                </wp:positionH>
                <wp:positionV relativeFrom="paragraph">
                  <wp:posOffset>1724025</wp:posOffset>
                </wp:positionV>
                <wp:extent cx="284400" cy="255600"/>
                <wp:effectExtent l="0" t="0" r="20955" b="11430"/>
                <wp:wrapNone/>
                <wp:docPr id="506426687" name="Oval 4"/>
                <wp:cNvGraphicFramePr/>
                <a:graphic xmlns:a="http://schemas.openxmlformats.org/drawingml/2006/main">
                  <a:graphicData uri="http://schemas.microsoft.com/office/word/2010/wordprocessingShape">
                    <wps:wsp>
                      <wps:cNvSpPr/>
                      <wps:spPr>
                        <a:xfrm>
                          <a:off x="0" y="0"/>
                          <a:ext cx="284400" cy="2556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5A65FA" id="Oval 4" o:spid="_x0000_s1026" style="position:absolute;margin-left:192pt;margin-top:135.75pt;width:22.4pt;height:20.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" fillcolor="white [3201]" strokecolor="#4ea72e [3209]" strokeweight="1pt">
                <v:stroke joinstyle="miter"/>
              </v:oval>
            </w:pict>
          </mc:Fallback>
        </mc:AlternateContent>
      </w:r>
    </w:p>
    <w:p w14:paraId="2EE829B8" w14:textId="793BA133" w:rsidR="003C6633" w:rsidRPr="008F59EC" w:rsidRDefault="003C6633" w:rsidP="0014211F">
      <w:pPr>
        <w:spacing w:line="360" w:lineRule="auto"/>
        <w:jc w:val="both"/>
        <w:rPr>
          <w:rFonts w:ascii="Arial" w:hAnsi="Arial" w:cs="Arial"/>
          <w:i/>
          <w:iCs/>
        </w:rPr>
      </w:pPr>
      <w:r w:rsidRPr="008F59EC">
        <w:rPr>
          <w:rFonts w:ascii="Arial" w:hAnsi="Arial" w:cs="Arial"/>
          <w:i/>
          <w:iCs/>
        </w:rPr>
        <w:t xml:space="preserve">Figure </w:t>
      </w:r>
      <w:r w:rsidR="00913606" w:rsidRPr="008F59EC">
        <w:rPr>
          <w:rFonts w:ascii="Arial" w:hAnsi="Arial" w:cs="Arial"/>
          <w:i/>
          <w:iCs/>
        </w:rPr>
        <w:t>10</w:t>
      </w:r>
      <w:r w:rsidRPr="008F59EC">
        <w:rPr>
          <w:rFonts w:ascii="Arial" w:hAnsi="Arial" w:cs="Arial"/>
          <w:i/>
          <w:iCs/>
        </w:rPr>
        <w:t>: Break event analysis</w:t>
      </w:r>
    </w:p>
    <w:p w14:paraId="57730BE3" w14:textId="77777777" w:rsidR="008175EB" w:rsidRPr="008F59EC" w:rsidRDefault="008175EB" w:rsidP="0014211F">
      <w:pPr>
        <w:spacing w:line="360" w:lineRule="auto"/>
        <w:jc w:val="both"/>
        <w:rPr>
          <w:rFonts w:ascii="Arial" w:hAnsi="Arial" w:cs="Arial"/>
        </w:rPr>
      </w:pPr>
      <w:r w:rsidRPr="008F59EC">
        <w:rPr>
          <w:rFonts w:ascii="Arial" w:hAnsi="Arial" w:cs="Arial"/>
          <w:i/>
          <w:iCs/>
        </w:rPr>
        <w:t>Source: Author’s illustration (2026), based on internal projections</w:t>
      </w:r>
      <w:r w:rsidRPr="008F59EC">
        <w:rPr>
          <w:rFonts w:ascii="Arial" w:hAnsi="Arial" w:cs="Arial"/>
        </w:rPr>
        <w:t>.</w:t>
      </w:r>
    </w:p>
    <w:p w14:paraId="3934B5C3" w14:textId="1CA2EEAA" w:rsidR="00892A71" w:rsidRPr="008F59EC" w:rsidRDefault="00722F48" w:rsidP="0014211F">
      <w:pPr>
        <w:spacing w:line="360" w:lineRule="auto"/>
        <w:jc w:val="both"/>
        <w:rPr>
          <w:rFonts w:ascii="Arial" w:hAnsi="Arial" w:cs="Arial"/>
        </w:rPr>
      </w:pPr>
      <w:r w:rsidRPr="008F59EC">
        <w:rPr>
          <w:rFonts w:ascii="Arial" w:hAnsi="Arial" w:cs="Arial"/>
        </w:rPr>
        <w:t xml:space="preserve">This chart illustrates the break-even analysis for </w:t>
      </w:r>
      <w:r w:rsidR="00EC30AA" w:rsidRPr="008F59EC">
        <w:rPr>
          <w:rFonts w:ascii="Arial" w:hAnsi="Arial" w:cs="Arial"/>
        </w:rPr>
        <w:t xml:space="preserve">Sense Mortgage and </w:t>
      </w:r>
      <w:r w:rsidRPr="008F59EC">
        <w:rPr>
          <w:rFonts w:ascii="Arial" w:hAnsi="Arial" w:cs="Arial"/>
        </w:rPr>
        <w:t>Residential. The chart shows that the business reaches break-even at approximately 10–11 completed mortgage cases per year, where total revenue equals total costs. This aligns with the financial assumptions presented in this chapter and confirms the viability of the business model.</w:t>
      </w:r>
      <w:r w:rsidR="006A302A" w:rsidRPr="008F59EC">
        <w:rPr>
          <w:rFonts w:ascii="Arial" w:hAnsi="Arial" w:cs="Arial"/>
        </w:rPr>
        <w:t xml:space="preserve"> </w:t>
      </w:r>
    </w:p>
    <w:p w14:paraId="373B220B" w14:textId="752FA729" w:rsidR="00722F48" w:rsidRPr="008F59EC" w:rsidRDefault="00722F48" w:rsidP="0007190F">
      <w:pPr>
        <w:pStyle w:val="Heading2"/>
        <w:rPr>
          <w:rFonts w:ascii="Arial" w:hAnsi="Arial" w:cs="Arial"/>
        </w:rPr>
      </w:pPr>
      <w:bookmarkStart w:id="65" w:name="_Toc219926309"/>
      <w:r w:rsidRPr="008F59EC">
        <w:rPr>
          <w:rFonts w:ascii="Arial" w:hAnsi="Arial" w:cs="Arial"/>
        </w:rPr>
        <w:t>7.</w:t>
      </w:r>
      <w:r w:rsidR="00EF6CDF" w:rsidRPr="008F59EC">
        <w:rPr>
          <w:rFonts w:ascii="Arial" w:hAnsi="Arial" w:cs="Arial"/>
        </w:rPr>
        <w:t>9</w:t>
      </w:r>
      <w:r w:rsidRPr="008F59EC">
        <w:rPr>
          <w:rFonts w:ascii="Arial" w:hAnsi="Arial" w:cs="Arial"/>
        </w:rPr>
        <w:t xml:space="preserve"> Financial Risks</w:t>
      </w:r>
      <w:bookmarkEnd w:id="65"/>
    </w:p>
    <w:p w14:paraId="7803ED3B" w14:textId="3E8F50D2" w:rsidR="00722F48" w:rsidRPr="008F59EC" w:rsidRDefault="00722F48" w:rsidP="0014211F">
      <w:pPr>
        <w:spacing w:line="360" w:lineRule="auto"/>
        <w:jc w:val="both"/>
        <w:rPr>
          <w:rFonts w:ascii="Arial" w:hAnsi="Arial" w:cs="Arial"/>
        </w:rPr>
      </w:pPr>
      <w:r w:rsidRPr="008F59EC">
        <w:rPr>
          <w:rFonts w:ascii="Arial" w:hAnsi="Arial" w:cs="Arial"/>
        </w:rPr>
        <w:t>The financial plan must consider threats that could impact revenue or increase operational costs:</w:t>
      </w:r>
    </w:p>
    <w:p w14:paraId="49B0FB93" w14:textId="77777777" w:rsidR="00722F48" w:rsidRPr="008F59EC" w:rsidRDefault="00722F48" w:rsidP="0014211F">
      <w:pPr>
        <w:spacing w:line="360" w:lineRule="auto"/>
        <w:jc w:val="both"/>
        <w:rPr>
          <w:rFonts w:ascii="Arial" w:hAnsi="Arial" w:cs="Arial"/>
        </w:rPr>
      </w:pPr>
      <w:r w:rsidRPr="008F59EC">
        <w:rPr>
          <w:rFonts w:ascii="Arial" w:hAnsi="Arial" w:cs="Arial"/>
        </w:rPr>
        <w:t>1. Market volatility</w:t>
      </w:r>
    </w:p>
    <w:p w14:paraId="25B01C15" w14:textId="77777777" w:rsidR="00722F48" w:rsidRPr="008F59EC" w:rsidRDefault="00722F48" w:rsidP="0014211F">
      <w:pPr>
        <w:spacing w:line="360" w:lineRule="auto"/>
        <w:jc w:val="both"/>
        <w:rPr>
          <w:rFonts w:ascii="Arial" w:hAnsi="Arial" w:cs="Arial"/>
        </w:rPr>
      </w:pPr>
      <w:r w:rsidRPr="008F59EC">
        <w:rPr>
          <w:rFonts w:ascii="Arial" w:hAnsi="Arial" w:cs="Arial"/>
        </w:rPr>
        <w:t>Changes in interest rates may reduce borrower demand (UK Finance, 2024).</w:t>
      </w:r>
    </w:p>
    <w:p w14:paraId="703217C2" w14:textId="77777777" w:rsidR="00722F48" w:rsidRPr="008F59EC" w:rsidRDefault="00722F48" w:rsidP="0014211F">
      <w:pPr>
        <w:spacing w:line="360" w:lineRule="auto"/>
        <w:jc w:val="both"/>
        <w:rPr>
          <w:rFonts w:ascii="Arial" w:hAnsi="Arial" w:cs="Arial"/>
        </w:rPr>
      </w:pPr>
      <w:r w:rsidRPr="008F59EC">
        <w:rPr>
          <w:rFonts w:ascii="Arial" w:hAnsi="Arial" w:cs="Arial"/>
        </w:rPr>
        <w:t>2. Regulatory changes</w:t>
      </w:r>
    </w:p>
    <w:p w14:paraId="4CC66E47" w14:textId="77777777" w:rsidR="00722F48" w:rsidRPr="008F59EC" w:rsidRDefault="00722F48" w:rsidP="0014211F">
      <w:pPr>
        <w:spacing w:line="360" w:lineRule="auto"/>
        <w:jc w:val="both"/>
        <w:rPr>
          <w:rFonts w:ascii="Arial" w:hAnsi="Arial" w:cs="Arial"/>
        </w:rPr>
      </w:pPr>
      <w:r w:rsidRPr="008F59EC">
        <w:rPr>
          <w:rFonts w:ascii="Arial" w:hAnsi="Arial" w:cs="Arial"/>
        </w:rPr>
        <w:t>New FCA rules may lead to higher compliance costs (FCA, 2023).</w:t>
      </w:r>
    </w:p>
    <w:p w14:paraId="73817CEC" w14:textId="77777777" w:rsidR="00722F48" w:rsidRPr="008F59EC" w:rsidRDefault="00722F48" w:rsidP="0014211F">
      <w:pPr>
        <w:spacing w:line="360" w:lineRule="auto"/>
        <w:jc w:val="both"/>
        <w:rPr>
          <w:rFonts w:ascii="Arial" w:hAnsi="Arial" w:cs="Arial"/>
        </w:rPr>
      </w:pPr>
      <w:r w:rsidRPr="008F59EC">
        <w:rPr>
          <w:rFonts w:ascii="Arial" w:hAnsi="Arial" w:cs="Arial"/>
        </w:rPr>
        <w:lastRenderedPageBreak/>
        <w:t>3. Time lag in payments</w:t>
      </w:r>
    </w:p>
    <w:p w14:paraId="49A24F7D" w14:textId="77777777" w:rsidR="00722F48" w:rsidRPr="008F59EC" w:rsidRDefault="00722F48" w:rsidP="0014211F">
      <w:pPr>
        <w:spacing w:line="360" w:lineRule="auto"/>
        <w:jc w:val="both"/>
        <w:rPr>
          <w:rFonts w:ascii="Arial" w:hAnsi="Arial" w:cs="Arial"/>
        </w:rPr>
      </w:pPr>
      <w:r w:rsidRPr="008F59EC">
        <w:rPr>
          <w:rFonts w:ascii="Arial" w:hAnsi="Arial" w:cs="Arial"/>
        </w:rPr>
        <w:t>Income delays between application and completion may create short-term cash pressure.</w:t>
      </w:r>
    </w:p>
    <w:p w14:paraId="72D03BA9" w14:textId="77777777" w:rsidR="00722F48" w:rsidRPr="008F59EC" w:rsidRDefault="00722F48" w:rsidP="0014211F">
      <w:pPr>
        <w:spacing w:line="360" w:lineRule="auto"/>
        <w:jc w:val="both"/>
        <w:rPr>
          <w:rFonts w:ascii="Arial" w:hAnsi="Arial" w:cs="Arial"/>
        </w:rPr>
      </w:pPr>
      <w:r w:rsidRPr="008F59EC">
        <w:rPr>
          <w:rFonts w:ascii="Arial" w:hAnsi="Arial" w:cs="Arial"/>
        </w:rPr>
        <w:t>4. Economic conditions</w:t>
      </w:r>
    </w:p>
    <w:p w14:paraId="398DA6A6" w14:textId="77777777" w:rsidR="00722F48" w:rsidRPr="008F59EC" w:rsidRDefault="00722F48" w:rsidP="0014211F">
      <w:pPr>
        <w:spacing w:line="360" w:lineRule="auto"/>
        <w:jc w:val="both"/>
        <w:rPr>
          <w:rFonts w:ascii="Arial" w:hAnsi="Arial" w:cs="Arial"/>
        </w:rPr>
      </w:pPr>
      <w:r w:rsidRPr="008F59EC">
        <w:rPr>
          <w:rFonts w:ascii="Arial" w:hAnsi="Arial" w:cs="Arial"/>
        </w:rPr>
        <w:t>Recessions or housing market slowdowns may reduce case volumes.</w:t>
      </w:r>
    </w:p>
    <w:p w14:paraId="0A3F09A5" w14:textId="77777777" w:rsidR="00722F48" w:rsidRPr="008F59EC" w:rsidRDefault="00722F48" w:rsidP="0014211F">
      <w:pPr>
        <w:spacing w:line="360" w:lineRule="auto"/>
        <w:jc w:val="both"/>
        <w:rPr>
          <w:rFonts w:ascii="Arial" w:hAnsi="Arial" w:cs="Arial"/>
        </w:rPr>
      </w:pPr>
    </w:p>
    <w:p w14:paraId="2F61C287" w14:textId="77777777" w:rsidR="00722F48" w:rsidRPr="008F59EC" w:rsidRDefault="00722F48" w:rsidP="0014211F">
      <w:pPr>
        <w:spacing w:line="360" w:lineRule="auto"/>
        <w:jc w:val="both"/>
        <w:rPr>
          <w:rFonts w:ascii="Arial" w:hAnsi="Arial" w:cs="Arial"/>
        </w:rPr>
      </w:pPr>
      <w:r w:rsidRPr="008F59EC">
        <w:rPr>
          <w:rFonts w:ascii="Arial" w:hAnsi="Arial" w:cs="Arial"/>
        </w:rPr>
        <w:t>Mitigation strategies include maintaining a cash buffer, diversifying income streams through protection sales, and targeting remortgage markets, which remain stable even during economic downturns.</w:t>
      </w:r>
    </w:p>
    <w:p w14:paraId="7C3A9060" w14:textId="6BDA1EFB" w:rsidR="00722F48" w:rsidRPr="008F59EC" w:rsidRDefault="00722F48" w:rsidP="0014211F">
      <w:pPr>
        <w:spacing w:line="360" w:lineRule="auto"/>
        <w:jc w:val="both"/>
        <w:rPr>
          <w:rFonts w:ascii="Arial" w:hAnsi="Arial" w:cs="Arial"/>
        </w:rPr>
      </w:pPr>
      <w:r w:rsidRPr="008F59EC">
        <w:rPr>
          <w:rFonts w:ascii="Arial" w:hAnsi="Arial" w:cs="Arial"/>
        </w:rPr>
        <w:t xml:space="preserve"> </w:t>
      </w:r>
    </w:p>
    <w:p w14:paraId="6DC1AB48" w14:textId="2531131E" w:rsidR="00722F48" w:rsidRPr="008F59EC" w:rsidRDefault="00722F48" w:rsidP="0014211F">
      <w:pPr>
        <w:spacing w:line="360" w:lineRule="auto"/>
        <w:jc w:val="both"/>
        <w:rPr>
          <w:rFonts w:ascii="Arial" w:hAnsi="Arial" w:cs="Arial"/>
        </w:rPr>
      </w:pPr>
      <w:r w:rsidRPr="008F59EC">
        <w:rPr>
          <w:rFonts w:ascii="Arial" w:hAnsi="Arial" w:cs="Arial"/>
        </w:rPr>
        <w:t>The financial projections indicate</w:t>
      </w:r>
      <w:r w:rsidR="00EF6CDF" w:rsidRPr="008F59EC">
        <w:rPr>
          <w:rFonts w:ascii="Arial" w:hAnsi="Arial" w:cs="Arial"/>
        </w:rPr>
        <w:t xml:space="preserve"> financial sustainability and growth capacity of the </w:t>
      </w:r>
      <w:r w:rsidR="00D40CC0" w:rsidRPr="008F59EC">
        <w:rPr>
          <w:rFonts w:ascii="Arial" w:hAnsi="Arial" w:cs="Arial"/>
        </w:rPr>
        <w:t xml:space="preserve">company. </w:t>
      </w:r>
      <w:r w:rsidR="00EC30AA" w:rsidRPr="008F59EC">
        <w:rPr>
          <w:rFonts w:ascii="Arial" w:hAnsi="Arial" w:cs="Arial"/>
        </w:rPr>
        <w:t xml:space="preserve">Sense Mortgage and Residential </w:t>
      </w:r>
      <w:r w:rsidR="009C3E29" w:rsidRPr="008F59EC">
        <w:rPr>
          <w:rFonts w:ascii="Arial" w:hAnsi="Arial" w:cs="Arial"/>
        </w:rPr>
        <w:t>can operate</w:t>
      </w:r>
      <w:r w:rsidRPr="008F59EC">
        <w:rPr>
          <w:rFonts w:ascii="Arial" w:hAnsi="Arial" w:cs="Arial"/>
        </w:rPr>
        <w:t xml:space="preserve"> sustainably without external funding. The combination of strong gross margins, controlled fixed costs, and scalable variable costs enables the business to adapt to changes in demand while maintaining positive cash flow.</w:t>
      </w:r>
    </w:p>
    <w:p w14:paraId="39D4E577" w14:textId="77777777" w:rsidR="00722F48" w:rsidRPr="008F59EC" w:rsidRDefault="00722F48" w:rsidP="0014211F">
      <w:pPr>
        <w:spacing w:line="360" w:lineRule="auto"/>
        <w:jc w:val="both"/>
        <w:rPr>
          <w:rFonts w:ascii="Arial" w:hAnsi="Arial" w:cs="Arial"/>
        </w:rPr>
      </w:pPr>
      <w:r w:rsidRPr="008F59EC">
        <w:rPr>
          <w:rFonts w:ascii="Arial" w:hAnsi="Arial" w:cs="Arial"/>
        </w:rPr>
        <w:t>As monthly case volumes increase, additional surplus cash can be reinvested into marketing, technology, and staffing, supporting gradual expansion. The flexible cost structure ensures that growth does not disproportionately increase financial risk.</w:t>
      </w:r>
    </w:p>
    <w:p w14:paraId="47F2089D" w14:textId="4492334C" w:rsidR="00546764" w:rsidRPr="008F59EC" w:rsidRDefault="00722F48" w:rsidP="0014211F">
      <w:pPr>
        <w:spacing w:line="360" w:lineRule="auto"/>
        <w:jc w:val="both"/>
        <w:rPr>
          <w:rFonts w:ascii="Arial" w:hAnsi="Arial" w:cs="Arial"/>
        </w:rPr>
      </w:pPr>
      <w:r w:rsidRPr="008F59EC">
        <w:rPr>
          <w:rFonts w:ascii="Arial" w:hAnsi="Arial" w:cs="Arial"/>
        </w:rPr>
        <w:t>This strategy aligns with industry insights showing that firms with diversified revenue sources and strong digital infrastructure achieve higher resilience and long-term profitability (PwC, 2023).</w:t>
      </w:r>
    </w:p>
    <w:p w14:paraId="6000BAB9" w14:textId="77777777" w:rsidR="00D40CC0" w:rsidRPr="008F59EC" w:rsidRDefault="00D40CC0" w:rsidP="0014211F">
      <w:pPr>
        <w:spacing w:line="360" w:lineRule="auto"/>
        <w:jc w:val="both"/>
        <w:rPr>
          <w:rFonts w:ascii="Arial" w:hAnsi="Arial" w:cs="Arial"/>
        </w:rPr>
      </w:pPr>
    </w:p>
    <w:p w14:paraId="6FA20FA9" w14:textId="2F5E1901" w:rsidR="00722F48" w:rsidRPr="008F59EC" w:rsidRDefault="00722F48" w:rsidP="0007190F">
      <w:pPr>
        <w:pStyle w:val="Heading2"/>
        <w:rPr>
          <w:rFonts w:ascii="Arial" w:hAnsi="Arial" w:cs="Arial"/>
        </w:rPr>
      </w:pPr>
      <w:bookmarkStart w:id="66" w:name="_Toc219926310"/>
      <w:r w:rsidRPr="008F59EC">
        <w:rPr>
          <w:rFonts w:ascii="Arial" w:hAnsi="Arial" w:cs="Arial"/>
        </w:rPr>
        <w:t>7.10 Summary</w:t>
      </w:r>
      <w:bookmarkEnd w:id="66"/>
    </w:p>
    <w:p w14:paraId="3A11AAA1" w14:textId="66B73E63" w:rsidR="00152E87" w:rsidRPr="008F59EC" w:rsidRDefault="00152E87" w:rsidP="0014211F">
      <w:pPr>
        <w:pStyle w:val="NormalWeb"/>
        <w:spacing w:line="360" w:lineRule="auto"/>
        <w:jc w:val="both"/>
        <w:rPr>
          <w:rFonts w:ascii="Arial" w:hAnsi="Arial" w:cs="Arial"/>
        </w:rPr>
      </w:pPr>
      <w:r w:rsidRPr="008F59EC">
        <w:rPr>
          <w:rFonts w:ascii="Arial" w:hAnsi="Arial" w:cs="Arial"/>
        </w:rPr>
        <w:t xml:space="preserve">This chapter has presented a detailed financial plan for </w:t>
      </w:r>
      <w:r w:rsidR="00EC30AA" w:rsidRPr="008F59EC">
        <w:rPr>
          <w:rFonts w:ascii="Arial" w:hAnsi="Arial" w:cs="Arial"/>
        </w:rPr>
        <w:t xml:space="preserve">Sense Mortgage and </w:t>
      </w:r>
      <w:r w:rsidRPr="008F59EC">
        <w:rPr>
          <w:rFonts w:ascii="Arial" w:hAnsi="Arial" w:cs="Arial"/>
        </w:rPr>
        <w:t>Residential, incorporating revenue forecasts, cost structures, monthly cash flow projections, and break-even analysis. The financial model is based on conservative assumptions aligned with market research, operational capacity, and industry benchmarks. Strong gross margins and a low break-even threshold indicate that the business can achieve financial sustainability at modest case volumes.</w:t>
      </w:r>
    </w:p>
    <w:p w14:paraId="638E4890" w14:textId="1EE149AA" w:rsidR="008F4070" w:rsidRPr="008F59EC" w:rsidRDefault="00152E87" w:rsidP="0014211F">
      <w:pPr>
        <w:pStyle w:val="NormalWeb"/>
        <w:spacing w:line="360" w:lineRule="auto"/>
        <w:jc w:val="both"/>
        <w:rPr>
          <w:rFonts w:ascii="Arial" w:hAnsi="Arial" w:cs="Arial"/>
        </w:rPr>
      </w:pPr>
      <w:r w:rsidRPr="008F59EC">
        <w:rPr>
          <w:rFonts w:ascii="Arial" w:hAnsi="Arial" w:cs="Arial"/>
        </w:rPr>
        <w:lastRenderedPageBreak/>
        <w:t xml:space="preserve">The use of a monthly cash flow model enhances financial control and supports proactive management of liquidity risk. Overall, the financial analysis confirms that </w:t>
      </w:r>
      <w:r w:rsidR="00EC30AA" w:rsidRPr="008F59EC">
        <w:rPr>
          <w:rFonts w:ascii="Arial" w:hAnsi="Arial" w:cs="Arial"/>
        </w:rPr>
        <w:t xml:space="preserve">Sense Mortgage and </w:t>
      </w:r>
      <w:r w:rsidRPr="008F59EC">
        <w:rPr>
          <w:rFonts w:ascii="Arial" w:hAnsi="Arial" w:cs="Arial"/>
        </w:rPr>
        <w:t>Residential is financially viable and well positioned to support sustainable growth within a regulated and competitive market environment.</w:t>
      </w:r>
    </w:p>
    <w:p w14:paraId="4B16784B" w14:textId="1D3F210B" w:rsidR="00A13661" w:rsidRPr="008F59EC" w:rsidRDefault="00E16F9C" w:rsidP="0014211F">
      <w:pPr>
        <w:pStyle w:val="NormalWeb"/>
        <w:spacing w:line="360" w:lineRule="auto"/>
        <w:jc w:val="both"/>
        <w:rPr>
          <w:rFonts w:ascii="Arial" w:hAnsi="Arial" w:cs="Arial"/>
          <w:u w:val="single"/>
        </w:rPr>
      </w:pPr>
      <w:r w:rsidRPr="008F59EC">
        <w:rPr>
          <w:rFonts w:ascii="Arial" w:hAnsi="Arial" w:cs="Arial"/>
          <w:u w:val="single"/>
        </w:rPr>
        <w:t>Detailed financial calculations are provided in Appendix B.</w:t>
      </w:r>
    </w:p>
    <w:p w14:paraId="575AC790" w14:textId="77777777" w:rsidR="003C6633" w:rsidRPr="008F59EC" w:rsidRDefault="003C6633" w:rsidP="0014211F">
      <w:pPr>
        <w:pStyle w:val="NormalWeb"/>
        <w:pBdr>
          <w:bottom w:val="single" w:sz="4" w:space="1" w:color="auto"/>
        </w:pBdr>
        <w:spacing w:line="360" w:lineRule="auto"/>
        <w:jc w:val="both"/>
        <w:rPr>
          <w:rFonts w:ascii="Arial" w:hAnsi="Arial" w:cs="Arial"/>
        </w:rPr>
      </w:pPr>
    </w:p>
    <w:p w14:paraId="299FECAA" w14:textId="77777777" w:rsidR="003F53A7" w:rsidRDefault="003F53A7">
      <w:pPr>
        <w:rPr>
          <w:rFonts w:ascii="Arial" w:eastAsiaTheme="majorEastAsia" w:hAnsi="Arial" w:cs="Arial"/>
          <w:color w:val="0F4761" w:themeColor="accent1" w:themeShade="BF"/>
          <w:sz w:val="40"/>
          <w:szCs w:val="40"/>
        </w:rPr>
      </w:pPr>
      <w:bookmarkStart w:id="67" w:name="_Toc219926311"/>
      <w:r>
        <w:rPr>
          <w:rFonts w:ascii="Arial" w:hAnsi="Arial" w:cs="Arial"/>
        </w:rPr>
        <w:br w:type="page"/>
      </w:r>
    </w:p>
    <w:p w14:paraId="3096D7F1" w14:textId="1B1C5970" w:rsidR="008F4070" w:rsidRPr="008F59EC" w:rsidRDefault="008F4070" w:rsidP="0007190F">
      <w:pPr>
        <w:pStyle w:val="Heading1"/>
        <w:rPr>
          <w:rFonts w:ascii="Arial" w:hAnsi="Arial" w:cs="Arial"/>
        </w:rPr>
      </w:pPr>
      <w:r w:rsidRPr="008F59EC">
        <w:rPr>
          <w:rFonts w:ascii="Arial" w:hAnsi="Arial" w:cs="Arial"/>
        </w:rPr>
        <w:lastRenderedPageBreak/>
        <w:t>Chapter 8: Risk Analysis and Mitigation</w:t>
      </w:r>
      <w:bookmarkEnd w:id="67"/>
    </w:p>
    <w:p w14:paraId="25E7177D" w14:textId="77777777" w:rsidR="008F4070" w:rsidRPr="008F59EC" w:rsidRDefault="008F4070" w:rsidP="0007190F">
      <w:pPr>
        <w:pStyle w:val="Heading2"/>
        <w:rPr>
          <w:rFonts w:ascii="Arial" w:hAnsi="Arial" w:cs="Arial"/>
        </w:rPr>
      </w:pPr>
      <w:bookmarkStart w:id="68" w:name="_Toc219926312"/>
      <w:r w:rsidRPr="008F59EC">
        <w:rPr>
          <w:rFonts w:ascii="Arial" w:hAnsi="Arial" w:cs="Arial"/>
        </w:rPr>
        <w:t>8.1 Introduction</w:t>
      </w:r>
      <w:bookmarkEnd w:id="68"/>
    </w:p>
    <w:p w14:paraId="2D7CCF35" w14:textId="77777777" w:rsidR="008F4070" w:rsidRPr="008F59EC" w:rsidRDefault="008F4070" w:rsidP="0014211F">
      <w:pPr>
        <w:spacing w:line="360" w:lineRule="auto"/>
        <w:jc w:val="both"/>
        <w:rPr>
          <w:rFonts w:ascii="Arial" w:hAnsi="Arial" w:cs="Arial"/>
        </w:rPr>
      </w:pPr>
    </w:p>
    <w:p w14:paraId="2825F1F5" w14:textId="43D3AF3D" w:rsidR="008F4070" w:rsidRPr="008F59EC" w:rsidRDefault="008F4070" w:rsidP="0014211F">
      <w:pPr>
        <w:spacing w:line="360" w:lineRule="auto"/>
        <w:jc w:val="both"/>
        <w:rPr>
          <w:rFonts w:ascii="Arial" w:hAnsi="Arial" w:cs="Arial"/>
        </w:rPr>
      </w:pPr>
      <w:r w:rsidRPr="008F59EC">
        <w:rPr>
          <w:rFonts w:ascii="Arial" w:hAnsi="Arial" w:cs="Arial"/>
        </w:rPr>
        <w:t xml:space="preserve">This chapter identifies and evaluates the key risks facing </w:t>
      </w:r>
      <w:r w:rsidR="00EC30AA" w:rsidRPr="008F59EC">
        <w:rPr>
          <w:rFonts w:ascii="Arial" w:hAnsi="Arial" w:cs="Arial"/>
        </w:rPr>
        <w:t xml:space="preserve">Sense Mortgage and </w:t>
      </w:r>
      <w:r w:rsidRPr="008F59EC">
        <w:rPr>
          <w:rFonts w:ascii="Arial" w:hAnsi="Arial" w:cs="Arial"/>
        </w:rPr>
        <w:t>Residential and outlines mitigation strategies to manage potential operational, financial, regulatory, and strategic challenges. Given the highly regulated nature of the UK mortgage advisory sector, effective risk management is essential to ensure business continuity, regulatory compliance, and sustainable growth. The analysis demonstrates that identified risks are manageable and proportionate to the scale of the proposed business.</w:t>
      </w:r>
    </w:p>
    <w:p w14:paraId="52C00557" w14:textId="77777777" w:rsidR="008F4070" w:rsidRPr="008F59EC" w:rsidRDefault="008F4070" w:rsidP="0014211F">
      <w:pPr>
        <w:spacing w:line="360" w:lineRule="auto"/>
        <w:jc w:val="both"/>
        <w:rPr>
          <w:rFonts w:ascii="Arial" w:hAnsi="Arial" w:cs="Arial"/>
        </w:rPr>
      </w:pPr>
    </w:p>
    <w:p w14:paraId="2B99C36F" w14:textId="77777777" w:rsidR="008F4070" w:rsidRPr="008F59EC" w:rsidRDefault="008F4070" w:rsidP="0007190F">
      <w:pPr>
        <w:pStyle w:val="Heading2"/>
        <w:rPr>
          <w:rFonts w:ascii="Arial" w:hAnsi="Arial" w:cs="Arial"/>
        </w:rPr>
      </w:pPr>
      <w:bookmarkStart w:id="69" w:name="_Toc219926313"/>
      <w:r w:rsidRPr="008F59EC">
        <w:rPr>
          <w:rFonts w:ascii="Arial" w:hAnsi="Arial" w:cs="Arial"/>
        </w:rPr>
        <w:t>8.2 Regulatory and Compliance Risk</w:t>
      </w:r>
      <w:bookmarkEnd w:id="69"/>
    </w:p>
    <w:p w14:paraId="44EB3139" w14:textId="77777777" w:rsidR="008F4070" w:rsidRPr="008F59EC" w:rsidRDefault="008F4070" w:rsidP="0014211F">
      <w:pPr>
        <w:spacing w:line="360" w:lineRule="auto"/>
        <w:jc w:val="both"/>
        <w:rPr>
          <w:rFonts w:ascii="Arial" w:hAnsi="Arial" w:cs="Arial"/>
        </w:rPr>
      </w:pPr>
    </w:p>
    <w:p w14:paraId="0DCC1E85" w14:textId="2AF67EA5" w:rsidR="008F4070" w:rsidRPr="008F59EC" w:rsidRDefault="008F4070" w:rsidP="0014211F">
      <w:pPr>
        <w:spacing w:line="360" w:lineRule="auto"/>
        <w:jc w:val="both"/>
        <w:rPr>
          <w:rFonts w:ascii="Arial" w:hAnsi="Arial" w:cs="Arial"/>
        </w:rPr>
      </w:pPr>
      <w:r w:rsidRPr="008F59EC">
        <w:rPr>
          <w:rFonts w:ascii="Arial" w:hAnsi="Arial" w:cs="Arial"/>
        </w:rPr>
        <w:t xml:space="preserve">Regulatory risk represents one of the most significant challenges for mortgage advisory firms. </w:t>
      </w:r>
      <w:r w:rsidR="00EC30AA" w:rsidRPr="008F59EC">
        <w:rPr>
          <w:rFonts w:ascii="Arial" w:hAnsi="Arial" w:cs="Arial"/>
        </w:rPr>
        <w:t xml:space="preserve">Sense Mortgage and </w:t>
      </w:r>
      <w:r w:rsidRPr="008F59EC">
        <w:rPr>
          <w:rFonts w:ascii="Arial" w:hAnsi="Arial" w:cs="Arial"/>
        </w:rPr>
        <w:t>Residential operates within a framework governed by the Financial Conduct Authority (FCA), including the Mortgage Conduct of Business (MCOB) rules, Consumer Duty, and data protection legislation. Failure to comply with regulatory standards could result in financial penalties, reputational damage, or restrictions on business activity (FCA, 2023).</w:t>
      </w:r>
    </w:p>
    <w:p w14:paraId="6ABB7A61" w14:textId="77777777" w:rsidR="008F4070" w:rsidRPr="008F59EC" w:rsidRDefault="008F4070" w:rsidP="0014211F">
      <w:pPr>
        <w:spacing w:line="360" w:lineRule="auto"/>
        <w:jc w:val="both"/>
        <w:rPr>
          <w:rFonts w:ascii="Arial" w:hAnsi="Arial" w:cs="Arial"/>
        </w:rPr>
      </w:pPr>
    </w:p>
    <w:p w14:paraId="3552BF91" w14:textId="77777777" w:rsidR="008F4070" w:rsidRPr="008F59EC" w:rsidRDefault="008F4070" w:rsidP="0014211F">
      <w:pPr>
        <w:spacing w:line="360" w:lineRule="auto"/>
        <w:jc w:val="both"/>
        <w:rPr>
          <w:rFonts w:ascii="Arial" w:hAnsi="Arial" w:cs="Arial"/>
        </w:rPr>
      </w:pPr>
      <w:r w:rsidRPr="008F59EC">
        <w:rPr>
          <w:rFonts w:ascii="Arial" w:hAnsi="Arial" w:cs="Arial"/>
        </w:rPr>
        <w:t>This risk is mitigated through the firm’s Appointed Representative (AR) relationship with its principal network, which provides compliance oversight, regulatory guidance, and structured monitoring. Internal controls, adviser competence requirements, and ongoing training further reduce the likelihood of non-compliance. By embedding compliance into daily operations, the business ensures that regulatory risk remains controlled and proportionate.</w:t>
      </w:r>
    </w:p>
    <w:p w14:paraId="428BFFD5" w14:textId="77777777" w:rsidR="008F4070" w:rsidRDefault="008F4070" w:rsidP="0014211F">
      <w:pPr>
        <w:spacing w:line="360" w:lineRule="auto"/>
        <w:jc w:val="both"/>
        <w:rPr>
          <w:rFonts w:ascii="Arial" w:hAnsi="Arial" w:cs="Arial"/>
        </w:rPr>
      </w:pPr>
    </w:p>
    <w:p w14:paraId="790396B8" w14:textId="77777777" w:rsidR="003F53A7" w:rsidRPr="008F59EC" w:rsidRDefault="003F53A7" w:rsidP="0014211F">
      <w:pPr>
        <w:spacing w:line="360" w:lineRule="auto"/>
        <w:jc w:val="both"/>
        <w:rPr>
          <w:rFonts w:ascii="Arial" w:hAnsi="Arial" w:cs="Arial"/>
        </w:rPr>
      </w:pPr>
    </w:p>
    <w:p w14:paraId="0FE26646" w14:textId="77777777" w:rsidR="008F4070" w:rsidRPr="008F59EC" w:rsidRDefault="008F4070" w:rsidP="0007190F">
      <w:pPr>
        <w:pStyle w:val="Heading2"/>
        <w:rPr>
          <w:rFonts w:ascii="Arial" w:hAnsi="Arial" w:cs="Arial"/>
        </w:rPr>
      </w:pPr>
      <w:bookmarkStart w:id="70" w:name="_Toc219926314"/>
      <w:r w:rsidRPr="008F59EC">
        <w:rPr>
          <w:rFonts w:ascii="Arial" w:hAnsi="Arial" w:cs="Arial"/>
        </w:rPr>
        <w:lastRenderedPageBreak/>
        <w:t>8.3 Market and Competitive Risk</w:t>
      </w:r>
      <w:bookmarkEnd w:id="70"/>
    </w:p>
    <w:p w14:paraId="7B7A4160" w14:textId="77777777" w:rsidR="008F4070" w:rsidRPr="008F59EC" w:rsidRDefault="008F4070" w:rsidP="0014211F">
      <w:pPr>
        <w:spacing w:line="360" w:lineRule="auto"/>
        <w:jc w:val="both"/>
        <w:rPr>
          <w:rFonts w:ascii="Arial" w:hAnsi="Arial" w:cs="Arial"/>
        </w:rPr>
      </w:pPr>
    </w:p>
    <w:p w14:paraId="1C2AF7B0" w14:textId="77777777" w:rsidR="008F4070" w:rsidRPr="008F59EC" w:rsidRDefault="008F4070" w:rsidP="0014211F">
      <w:pPr>
        <w:spacing w:line="360" w:lineRule="auto"/>
        <w:jc w:val="both"/>
        <w:rPr>
          <w:rFonts w:ascii="Arial" w:hAnsi="Arial" w:cs="Arial"/>
        </w:rPr>
      </w:pPr>
      <w:r w:rsidRPr="008F59EC">
        <w:rPr>
          <w:rFonts w:ascii="Arial" w:hAnsi="Arial" w:cs="Arial"/>
        </w:rPr>
        <w:t>The UK mortgage market is highly competitive, with pressure from national brokerage firms, digital-only platforms, and comparison websites. Increased competition may limit customer acquisition or exert downward pressure on fees (UK Finance, 2024). Economic uncertainty and fluctuations in interest rates may also reduce transaction volumes, particularly during periods of reduced consumer confidence.</w:t>
      </w:r>
    </w:p>
    <w:p w14:paraId="376CDF7F" w14:textId="77777777" w:rsidR="008F4070" w:rsidRPr="008F59EC" w:rsidRDefault="008F4070" w:rsidP="0014211F">
      <w:pPr>
        <w:spacing w:line="360" w:lineRule="auto"/>
        <w:jc w:val="both"/>
        <w:rPr>
          <w:rFonts w:ascii="Arial" w:hAnsi="Arial" w:cs="Arial"/>
        </w:rPr>
      </w:pPr>
    </w:p>
    <w:p w14:paraId="66C6ECB1" w14:textId="74AB61DD" w:rsidR="008F4070" w:rsidRPr="008F59EC" w:rsidRDefault="00EC30AA" w:rsidP="0014211F">
      <w:pPr>
        <w:spacing w:line="360" w:lineRule="auto"/>
        <w:jc w:val="both"/>
        <w:rPr>
          <w:rFonts w:ascii="Arial" w:hAnsi="Arial" w:cs="Arial"/>
        </w:rPr>
      </w:pPr>
      <w:r w:rsidRPr="008F59EC">
        <w:rPr>
          <w:rFonts w:ascii="Arial" w:hAnsi="Arial" w:cs="Arial"/>
        </w:rPr>
        <w:t xml:space="preserve">Sense Mortgage and </w:t>
      </w:r>
      <w:r w:rsidR="008F4070" w:rsidRPr="008F59EC">
        <w:rPr>
          <w:rFonts w:ascii="Arial" w:hAnsi="Arial" w:cs="Arial"/>
        </w:rPr>
        <w:t>Residential mitigates these risks through its hybrid advisory model, which differentiates the business on service quality rather than price alone. By targeting first-time buyers, remortgaging clients, and buy-to-let investors who value personalised advice, the firm reduces direct competition with volume-driven platforms. Market research conducted in Chapter 3 indicates sustained demand for adviser-led services despite market volatility, supporting the resilience of the proposed model.</w:t>
      </w:r>
    </w:p>
    <w:p w14:paraId="78732F2B" w14:textId="77777777" w:rsidR="008F4070" w:rsidRPr="008F59EC" w:rsidRDefault="008F4070" w:rsidP="0014211F">
      <w:pPr>
        <w:spacing w:line="360" w:lineRule="auto"/>
        <w:jc w:val="both"/>
        <w:rPr>
          <w:rFonts w:ascii="Arial" w:hAnsi="Arial" w:cs="Arial"/>
        </w:rPr>
      </w:pPr>
    </w:p>
    <w:p w14:paraId="75E581E6" w14:textId="77777777" w:rsidR="008F4070" w:rsidRPr="008F59EC" w:rsidRDefault="008F4070" w:rsidP="0007190F">
      <w:pPr>
        <w:pStyle w:val="Heading2"/>
        <w:rPr>
          <w:rFonts w:ascii="Arial" w:hAnsi="Arial" w:cs="Arial"/>
        </w:rPr>
      </w:pPr>
      <w:bookmarkStart w:id="71" w:name="_Toc219926315"/>
      <w:r w:rsidRPr="008F59EC">
        <w:rPr>
          <w:rFonts w:ascii="Arial" w:hAnsi="Arial" w:cs="Arial"/>
        </w:rPr>
        <w:t>8.4 Operational Risk</w:t>
      </w:r>
      <w:bookmarkEnd w:id="71"/>
    </w:p>
    <w:p w14:paraId="00B5495F" w14:textId="77777777" w:rsidR="008F4070" w:rsidRPr="008F59EC" w:rsidRDefault="008F4070" w:rsidP="0014211F">
      <w:pPr>
        <w:spacing w:line="360" w:lineRule="auto"/>
        <w:jc w:val="both"/>
        <w:rPr>
          <w:rFonts w:ascii="Arial" w:hAnsi="Arial" w:cs="Arial"/>
        </w:rPr>
      </w:pPr>
    </w:p>
    <w:p w14:paraId="45CC7BE1" w14:textId="6DD64E13" w:rsidR="008F4070" w:rsidRPr="008F59EC" w:rsidRDefault="008F4070" w:rsidP="0014211F">
      <w:pPr>
        <w:spacing w:line="360" w:lineRule="auto"/>
        <w:jc w:val="both"/>
        <w:rPr>
          <w:rFonts w:ascii="Arial" w:hAnsi="Arial" w:cs="Arial"/>
        </w:rPr>
      </w:pPr>
      <w:r w:rsidRPr="008F59EC">
        <w:rPr>
          <w:rFonts w:ascii="Arial" w:hAnsi="Arial" w:cs="Arial"/>
        </w:rPr>
        <w:t xml:space="preserve">Operational risks include system failures, data breaches, workflow inefficiencies, and service delays caused by capacity constraints. As a digitally enabled business, </w:t>
      </w:r>
      <w:r w:rsidR="00EC30AA" w:rsidRPr="008F59EC">
        <w:rPr>
          <w:rFonts w:ascii="Arial" w:hAnsi="Arial" w:cs="Arial"/>
        </w:rPr>
        <w:t xml:space="preserve">Sense Mortgage and </w:t>
      </w:r>
      <w:r w:rsidRPr="008F59EC">
        <w:rPr>
          <w:rFonts w:ascii="Arial" w:hAnsi="Arial" w:cs="Arial"/>
        </w:rPr>
        <w:t>Residential relies on technology for case management, communication, and record-keeping. Any disruption to these systems could impact service delivery and customer satisfaction.</w:t>
      </w:r>
    </w:p>
    <w:p w14:paraId="50B953AF" w14:textId="77777777" w:rsidR="008F4070" w:rsidRPr="008F59EC" w:rsidRDefault="008F4070" w:rsidP="0014211F">
      <w:pPr>
        <w:spacing w:line="360" w:lineRule="auto"/>
        <w:jc w:val="both"/>
        <w:rPr>
          <w:rFonts w:ascii="Arial" w:hAnsi="Arial" w:cs="Arial"/>
        </w:rPr>
      </w:pPr>
    </w:p>
    <w:p w14:paraId="70CC49EC" w14:textId="77777777" w:rsidR="008F4070" w:rsidRPr="008F59EC" w:rsidRDefault="008F4070" w:rsidP="0014211F">
      <w:pPr>
        <w:spacing w:line="360" w:lineRule="auto"/>
        <w:jc w:val="both"/>
        <w:rPr>
          <w:rFonts w:ascii="Arial" w:hAnsi="Arial" w:cs="Arial"/>
        </w:rPr>
      </w:pPr>
      <w:r w:rsidRPr="008F59EC">
        <w:rPr>
          <w:rFonts w:ascii="Arial" w:hAnsi="Arial" w:cs="Arial"/>
        </w:rPr>
        <w:t>Mitigation measures include the use of secure cloud-based systems, regular data backups, and adherence to UK GDPR requirements for data protection (ICO, 2023). Standardised workflows and clearly defined processes reduce the likelihood of operational errors, while scalability planning ensures that operational capacity remains aligned with demand. These measures support business continuity and service reliability.</w:t>
      </w:r>
    </w:p>
    <w:p w14:paraId="683CCB68" w14:textId="77777777" w:rsidR="008F4070" w:rsidRPr="008F59EC" w:rsidRDefault="008F4070" w:rsidP="0014211F">
      <w:pPr>
        <w:spacing w:line="360" w:lineRule="auto"/>
        <w:jc w:val="both"/>
        <w:rPr>
          <w:rFonts w:ascii="Arial" w:hAnsi="Arial" w:cs="Arial"/>
        </w:rPr>
      </w:pPr>
    </w:p>
    <w:p w14:paraId="7F544B8A" w14:textId="77777777" w:rsidR="008F4070" w:rsidRPr="008F59EC" w:rsidRDefault="008F4070" w:rsidP="0007190F">
      <w:pPr>
        <w:pStyle w:val="Heading2"/>
        <w:rPr>
          <w:rFonts w:ascii="Arial" w:hAnsi="Arial" w:cs="Arial"/>
        </w:rPr>
      </w:pPr>
      <w:bookmarkStart w:id="72" w:name="_Toc219926316"/>
      <w:r w:rsidRPr="008F59EC">
        <w:rPr>
          <w:rFonts w:ascii="Arial" w:hAnsi="Arial" w:cs="Arial"/>
        </w:rPr>
        <w:lastRenderedPageBreak/>
        <w:t>8.5 Financial Risk</w:t>
      </w:r>
      <w:bookmarkEnd w:id="72"/>
    </w:p>
    <w:p w14:paraId="5FE2E983" w14:textId="77777777" w:rsidR="008F4070" w:rsidRPr="008F59EC" w:rsidRDefault="008F4070" w:rsidP="0014211F">
      <w:pPr>
        <w:spacing w:line="360" w:lineRule="auto"/>
        <w:jc w:val="both"/>
        <w:rPr>
          <w:rFonts w:ascii="Arial" w:hAnsi="Arial" w:cs="Arial"/>
        </w:rPr>
      </w:pPr>
    </w:p>
    <w:p w14:paraId="1F253483" w14:textId="77777777" w:rsidR="008F4070" w:rsidRPr="008F59EC" w:rsidRDefault="008F4070" w:rsidP="0014211F">
      <w:pPr>
        <w:spacing w:line="360" w:lineRule="auto"/>
        <w:jc w:val="both"/>
        <w:rPr>
          <w:rFonts w:ascii="Arial" w:hAnsi="Arial" w:cs="Arial"/>
        </w:rPr>
      </w:pPr>
      <w:r w:rsidRPr="008F59EC">
        <w:rPr>
          <w:rFonts w:ascii="Arial" w:hAnsi="Arial" w:cs="Arial"/>
        </w:rPr>
        <w:t>Financial risks include lower-than-expected revenue, cost overruns, and cash flow pressures during early-stage operations. These risks are particularly relevant for new businesses entering competitive markets. Increases in marketing costs or delays in case completion could impact short-term liquidity.</w:t>
      </w:r>
    </w:p>
    <w:p w14:paraId="715C4AF9" w14:textId="77777777" w:rsidR="008F4070" w:rsidRPr="008F59EC" w:rsidRDefault="008F4070" w:rsidP="0014211F">
      <w:pPr>
        <w:spacing w:line="360" w:lineRule="auto"/>
        <w:jc w:val="both"/>
        <w:rPr>
          <w:rFonts w:ascii="Arial" w:hAnsi="Arial" w:cs="Arial"/>
        </w:rPr>
      </w:pPr>
    </w:p>
    <w:p w14:paraId="7CB513EF" w14:textId="77777777" w:rsidR="008F4070" w:rsidRPr="008F59EC" w:rsidRDefault="008F4070" w:rsidP="0014211F">
      <w:pPr>
        <w:spacing w:line="360" w:lineRule="auto"/>
        <w:jc w:val="both"/>
        <w:rPr>
          <w:rFonts w:ascii="Arial" w:hAnsi="Arial" w:cs="Arial"/>
        </w:rPr>
      </w:pPr>
      <w:r w:rsidRPr="008F59EC">
        <w:rPr>
          <w:rFonts w:ascii="Arial" w:hAnsi="Arial" w:cs="Arial"/>
        </w:rPr>
        <w:t>Financial risk is mitigated through conservative revenue assumptions, low fixed-cost structures, and a gradual growth strategy, as outlined in Chapter 7. The break-even analysis demonstrates that the business can achieve sustainability with relatively modest case volumes. Diversification of income streams, including ancillary protection income offered on a suitability-led basis, further enhances financial resilience.</w:t>
      </w:r>
    </w:p>
    <w:p w14:paraId="49CAC42A" w14:textId="77777777" w:rsidR="008F4070" w:rsidRPr="008F59EC" w:rsidRDefault="008F4070" w:rsidP="0014211F">
      <w:pPr>
        <w:spacing w:line="360" w:lineRule="auto"/>
        <w:jc w:val="both"/>
        <w:rPr>
          <w:rFonts w:ascii="Arial" w:hAnsi="Arial" w:cs="Arial"/>
        </w:rPr>
      </w:pPr>
    </w:p>
    <w:p w14:paraId="02D46158" w14:textId="77777777" w:rsidR="008F4070" w:rsidRPr="008F59EC" w:rsidRDefault="008F4070" w:rsidP="0007190F">
      <w:pPr>
        <w:pStyle w:val="Heading2"/>
        <w:rPr>
          <w:rFonts w:ascii="Arial" w:hAnsi="Arial" w:cs="Arial"/>
        </w:rPr>
      </w:pPr>
      <w:bookmarkStart w:id="73" w:name="_Toc219926317"/>
      <w:r w:rsidRPr="008F59EC">
        <w:rPr>
          <w:rFonts w:ascii="Arial" w:hAnsi="Arial" w:cs="Arial"/>
        </w:rPr>
        <w:t>8.6 Human Resource Risk</w:t>
      </w:r>
      <w:bookmarkEnd w:id="73"/>
    </w:p>
    <w:p w14:paraId="28A71788" w14:textId="77777777" w:rsidR="008F4070" w:rsidRPr="008F59EC" w:rsidRDefault="008F4070" w:rsidP="0014211F">
      <w:pPr>
        <w:spacing w:line="360" w:lineRule="auto"/>
        <w:jc w:val="both"/>
        <w:rPr>
          <w:rFonts w:ascii="Arial" w:hAnsi="Arial" w:cs="Arial"/>
        </w:rPr>
      </w:pPr>
    </w:p>
    <w:p w14:paraId="2D3E767B" w14:textId="77777777" w:rsidR="008F4070" w:rsidRPr="008F59EC" w:rsidRDefault="008F4070" w:rsidP="0014211F">
      <w:pPr>
        <w:spacing w:line="360" w:lineRule="auto"/>
        <w:jc w:val="both"/>
        <w:rPr>
          <w:rFonts w:ascii="Arial" w:hAnsi="Arial" w:cs="Arial"/>
        </w:rPr>
      </w:pPr>
      <w:r w:rsidRPr="008F59EC">
        <w:rPr>
          <w:rFonts w:ascii="Arial" w:hAnsi="Arial" w:cs="Arial"/>
        </w:rPr>
        <w:t>Human resource risks include adviser capacity constraints, skills shortages, and reliance on key individuals during the early stages of operation. Over-reliance on a small team may increase vulnerability to workload pressures or absence-related disruption.</w:t>
      </w:r>
    </w:p>
    <w:p w14:paraId="50540E65" w14:textId="77777777" w:rsidR="008F4070" w:rsidRPr="008F59EC" w:rsidRDefault="008F4070" w:rsidP="0014211F">
      <w:pPr>
        <w:spacing w:line="360" w:lineRule="auto"/>
        <w:jc w:val="both"/>
        <w:rPr>
          <w:rFonts w:ascii="Arial" w:hAnsi="Arial" w:cs="Arial"/>
        </w:rPr>
      </w:pPr>
    </w:p>
    <w:p w14:paraId="43B91DFF" w14:textId="77777777" w:rsidR="008F4070" w:rsidRPr="008F59EC" w:rsidRDefault="008F4070" w:rsidP="0014211F">
      <w:pPr>
        <w:spacing w:line="360" w:lineRule="auto"/>
        <w:jc w:val="both"/>
        <w:rPr>
          <w:rFonts w:ascii="Arial" w:hAnsi="Arial" w:cs="Arial"/>
        </w:rPr>
      </w:pPr>
      <w:r w:rsidRPr="008F59EC">
        <w:rPr>
          <w:rFonts w:ascii="Arial" w:hAnsi="Arial" w:cs="Arial"/>
        </w:rPr>
        <w:t>These risks are mitigated through phased recruitment, access to network support resources, and the use of outsourced administrative functions where appropriate. Ongoing training and competence frameworks ensure that staff remain qualified and adaptable to regulatory and market changes. Flexible working practices further support workforce sustainability and retention (CIPD, 2023).</w:t>
      </w:r>
    </w:p>
    <w:p w14:paraId="2FC0894B" w14:textId="77777777" w:rsidR="008F4070" w:rsidRDefault="008F4070" w:rsidP="0014211F">
      <w:pPr>
        <w:spacing w:line="360" w:lineRule="auto"/>
        <w:jc w:val="both"/>
        <w:rPr>
          <w:rFonts w:ascii="Arial" w:hAnsi="Arial" w:cs="Arial"/>
        </w:rPr>
      </w:pPr>
    </w:p>
    <w:p w14:paraId="13CAB87C" w14:textId="77777777" w:rsidR="003F53A7" w:rsidRDefault="003F53A7" w:rsidP="0014211F">
      <w:pPr>
        <w:spacing w:line="360" w:lineRule="auto"/>
        <w:jc w:val="both"/>
        <w:rPr>
          <w:rFonts w:ascii="Arial" w:hAnsi="Arial" w:cs="Arial"/>
        </w:rPr>
      </w:pPr>
    </w:p>
    <w:p w14:paraId="2C9BB1CB" w14:textId="77777777" w:rsidR="003F53A7" w:rsidRPr="008F59EC" w:rsidRDefault="003F53A7" w:rsidP="0014211F">
      <w:pPr>
        <w:spacing w:line="360" w:lineRule="auto"/>
        <w:jc w:val="both"/>
        <w:rPr>
          <w:rFonts w:ascii="Arial" w:hAnsi="Arial" w:cs="Arial"/>
        </w:rPr>
      </w:pPr>
    </w:p>
    <w:p w14:paraId="085FCAEE" w14:textId="77777777" w:rsidR="008F4070" w:rsidRPr="008F59EC" w:rsidRDefault="008F4070" w:rsidP="0007190F">
      <w:pPr>
        <w:pStyle w:val="Heading2"/>
        <w:rPr>
          <w:rFonts w:ascii="Arial" w:hAnsi="Arial" w:cs="Arial"/>
        </w:rPr>
      </w:pPr>
      <w:bookmarkStart w:id="74" w:name="_Toc219926318"/>
      <w:r w:rsidRPr="008F59EC">
        <w:rPr>
          <w:rFonts w:ascii="Arial" w:hAnsi="Arial" w:cs="Arial"/>
        </w:rPr>
        <w:lastRenderedPageBreak/>
        <w:t>8.7 Strategic and Reputational Risk</w:t>
      </w:r>
      <w:bookmarkEnd w:id="74"/>
    </w:p>
    <w:p w14:paraId="5DF8C747" w14:textId="77777777" w:rsidR="008F4070" w:rsidRPr="008F59EC" w:rsidRDefault="008F4070" w:rsidP="0014211F">
      <w:pPr>
        <w:spacing w:line="360" w:lineRule="auto"/>
        <w:jc w:val="both"/>
        <w:rPr>
          <w:rFonts w:ascii="Arial" w:hAnsi="Arial" w:cs="Arial"/>
        </w:rPr>
      </w:pPr>
    </w:p>
    <w:p w14:paraId="2C01DF30" w14:textId="77777777" w:rsidR="008F4070" w:rsidRPr="008F59EC" w:rsidRDefault="008F4070" w:rsidP="0014211F">
      <w:pPr>
        <w:spacing w:line="360" w:lineRule="auto"/>
        <w:jc w:val="both"/>
        <w:rPr>
          <w:rFonts w:ascii="Arial" w:hAnsi="Arial" w:cs="Arial"/>
        </w:rPr>
      </w:pPr>
      <w:r w:rsidRPr="008F59EC">
        <w:rPr>
          <w:rFonts w:ascii="Arial" w:hAnsi="Arial" w:cs="Arial"/>
        </w:rPr>
        <w:t>Reputational risk is particularly significant in financial services, where trust is a critical factor in customer decision-making. Poor service delivery, mis-selling, or failure to meet customer expectations could negatively affect brand perception and referral activity.</w:t>
      </w:r>
    </w:p>
    <w:p w14:paraId="5EDBF998" w14:textId="77777777" w:rsidR="008F4070" w:rsidRPr="008F59EC" w:rsidRDefault="008F4070" w:rsidP="0014211F">
      <w:pPr>
        <w:spacing w:line="360" w:lineRule="auto"/>
        <w:jc w:val="both"/>
        <w:rPr>
          <w:rFonts w:ascii="Arial" w:hAnsi="Arial" w:cs="Arial"/>
        </w:rPr>
      </w:pPr>
    </w:p>
    <w:p w14:paraId="38032F29" w14:textId="517E133B" w:rsidR="008F4070" w:rsidRPr="008F59EC" w:rsidRDefault="00EC30AA" w:rsidP="0014211F">
      <w:pPr>
        <w:spacing w:line="360" w:lineRule="auto"/>
        <w:jc w:val="both"/>
        <w:rPr>
          <w:rFonts w:ascii="Arial" w:hAnsi="Arial" w:cs="Arial"/>
        </w:rPr>
      </w:pPr>
      <w:r w:rsidRPr="008F59EC">
        <w:rPr>
          <w:rFonts w:ascii="Arial" w:hAnsi="Arial" w:cs="Arial"/>
        </w:rPr>
        <w:t xml:space="preserve">Sense Mortgage and </w:t>
      </w:r>
      <w:r w:rsidR="008F4070" w:rsidRPr="008F59EC">
        <w:rPr>
          <w:rFonts w:ascii="Arial" w:hAnsi="Arial" w:cs="Arial"/>
        </w:rPr>
        <w:t>Residential mitigates reputational risk by prioritising ethical conduct, transparent communication, and customer outcomes in line with Consumer Duty principles (FCA, 2023). Consistent service standards, quality assurance processes, and client feedback mechanisms support early identification and resolution of issues. Building long-term relationships rather than short-term sales further strengthens reputational resilience.</w:t>
      </w:r>
    </w:p>
    <w:p w14:paraId="6D3503CB" w14:textId="77777777" w:rsidR="008F4070" w:rsidRPr="008F59EC" w:rsidRDefault="008F4070" w:rsidP="0014211F">
      <w:pPr>
        <w:spacing w:line="360" w:lineRule="auto"/>
        <w:jc w:val="both"/>
        <w:rPr>
          <w:rFonts w:ascii="Arial" w:hAnsi="Arial" w:cs="Arial"/>
        </w:rPr>
      </w:pPr>
    </w:p>
    <w:p w14:paraId="0AB255D3" w14:textId="1567F1E9" w:rsidR="008F4070" w:rsidRPr="008F59EC" w:rsidRDefault="008F4070" w:rsidP="0007190F">
      <w:pPr>
        <w:pStyle w:val="Heading2"/>
        <w:rPr>
          <w:rFonts w:ascii="Arial" w:hAnsi="Arial" w:cs="Arial"/>
        </w:rPr>
      </w:pPr>
      <w:bookmarkStart w:id="75" w:name="_Toc219926319"/>
      <w:r w:rsidRPr="008F59EC">
        <w:rPr>
          <w:rFonts w:ascii="Arial" w:hAnsi="Arial" w:cs="Arial"/>
        </w:rPr>
        <w:t>8.8 Summary</w:t>
      </w:r>
      <w:bookmarkEnd w:id="75"/>
    </w:p>
    <w:p w14:paraId="6499DA4E" w14:textId="2A0756B3" w:rsidR="003C6633" w:rsidRPr="008F59EC" w:rsidRDefault="008F4070" w:rsidP="0014211F">
      <w:pPr>
        <w:spacing w:line="360" w:lineRule="auto"/>
        <w:jc w:val="both"/>
        <w:rPr>
          <w:rFonts w:ascii="Arial" w:hAnsi="Arial" w:cs="Arial"/>
        </w:rPr>
      </w:pPr>
      <w:r w:rsidRPr="008F59EC">
        <w:rPr>
          <w:rFonts w:ascii="Arial" w:hAnsi="Arial" w:cs="Arial"/>
        </w:rPr>
        <w:t xml:space="preserve">This chapter has identified the principal risks associated with establishing and operating </w:t>
      </w:r>
      <w:r w:rsidR="00EC30AA" w:rsidRPr="008F59EC">
        <w:rPr>
          <w:rFonts w:ascii="Arial" w:hAnsi="Arial" w:cs="Arial"/>
        </w:rPr>
        <w:t xml:space="preserve">Sense Mortgage and </w:t>
      </w:r>
      <w:r w:rsidRPr="008F59EC">
        <w:rPr>
          <w:rFonts w:ascii="Arial" w:hAnsi="Arial" w:cs="Arial"/>
        </w:rPr>
        <w:t xml:space="preserve">Residential and has demonstrated that these risks are manageable through appropriate mitigation strategies. Regulatory, market, operational, financial, and human resource risks are addressed through conservative planning, strong compliance integration, and a scalable operating model. Overall, the risk analysis confirms that </w:t>
      </w:r>
      <w:r w:rsidR="00EC30AA" w:rsidRPr="008F59EC">
        <w:rPr>
          <w:rFonts w:ascii="Arial" w:hAnsi="Arial" w:cs="Arial"/>
        </w:rPr>
        <w:t xml:space="preserve">Sense Mortgage and </w:t>
      </w:r>
      <w:r w:rsidRPr="008F59EC">
        <w:rPr>
          <w:rFonts w:ascii="Arial" w:hAnsi="Arial" w:cs="Arial"/>
        </w:rPr>
        <w:t>Residential is well positioned to manage uncertainty and operate sustainably within the UK mortgage advisory market.</w:t>
      </w:r>
    </w:p>
    <w:p w14:paraId="7CE00616" w14:textId="77777777" w:rsidR="00E23AA5" w:rsidRPr="008F59EC" w:rsidRDefault="00E23AA5" w:rsidP="0014211F">
      <w:pPr>
        <w:pBdr>
          <w:bottom w:val="single" w:sz="4" w:space="1" w:color="auto"/>
        </w:pBdr>
        <w:spacing w:line="360" w:lineRule="auto"/>
        <w:jc w:val="both"/>
        <w:rPr>
          <w:rFonts w:ascii="Arial" w:hAnsi="Arial" w:cs="Arial"/>
        </w:rPr>
      </w:pPr>
    </w:p>
    <w:p w14:paraId="6404ECF7" w14:textId="77777777" w:rsidR="00976BF2" w:rsidRPr="008F59EC" w:rsidRDefault="00976BF2" w:rsidP="0014211F">
      <w:pPr>
        <w:spacing w:before="100" w:beforeAutospacing="1" w:after="100" w:afterAutospacing="1" w:line="360" w:lineRule="auto"/>
        <w:jc w:val="both"/>
        <w:outlineLvl w:val="0"/>
        <w:rPr>
          <w:rFonts w:ascii="Arial" w:eastAsia="Times New Roman" w:hAnsi="Arial" w:cs="Arial"/>
          <w:b/>
          <w:bCs/>
          <w:kern w:val="36"/>
          <w:sz w:val="48"/>
          <w:szCs w:val="48"/>
          <w:lang w:eastAsia="en-GB"/>
          <w14:ligatures w14:val="none"/>
        </w:rPr>
      </w:pPr>
    </w:p>
    <w:p w14:paraId="74CA3380" w14:textId="77777777" w:rsidR="003F53A7" w:rsidRDefault="003F53A7">
      <w:pPr>
        <w:rPr>
          <w:rFonts w:ascii="Arial" w:eastAsia="Times New Roman" w:hAnsi="Arial" w:cs="Arial"/>
          <w:color w:val="0F4761" w:themeColor="accent1" w:themeShade="BF"/>
          <w:sz w:val="40"/>
          <w:szCs w:val="40"/>
          <w:lang w:eastAsia="en-GB"/>
        </w:rPr>
      </w:pPr>
      <w:bookmarkStart w:id="76" w:name="_Toc219926320"/>
      <w:r>
        <w:rPr>
          <w:rFonts w:ascii="Arial" w:eastAsia="Times New Roman" w:hAnsi="Arial" w:cs="Arial"/>
          <w:lang w:eastAsia="en-GB"/>
        </w:rPr>
        <w:br w:type="page"/>
      </w:r>
    </w:p>
    <w:p w14:paraId="7A3C5C88" w14:textId="1663268A" w:rsidR="0083076A" w:rsidRPr="008F59EC" w:rsidRDefault="0083076A" w:rsidP="0007190F">
      <w:pPr>
        <w:pStyle w:val="Heading1"/>
        <w:rPr>
          <w:rFonts w:ascii="Arial" w:eastAsia="Times New Roman" w:hAnsi="Arial" w:cs="Arial"/>
          <w:lang w:eastAsia="en-GB"/>
        </w:rPr>
      </w:pPr>
      <w:r w:rsidRPr="008F59EC">
        <w:rPr>
          <w:rFonts w:ascii="Arial" w:eastAsia="Times New Roman" w:hAnsi="Arial" w:cs="Arial"/>
          <w:lang w:eastAsia="en-GB"/>
        </w:rPr>
        <w:lastRenderedPageBreak/>
        <w:t>References</w:t>
      </w:r>
      <w:bookmarkEnd w:id="76"/>
    </w:p>
    <w:p w14:paraId="78B6BA80" w14:textId="77777777" w:rsidR="0083076A" w:rsidRPr="008F59EC" w:rsidRDefault="0083076A" w:rsidP="0014211F">
      <w:pPr>
        <w:spacing w:line="360" w:lineRule="auto"/>
        <w:jc w:val="both"/>
        <w:rPr>
          <w:rFonts w:ascii="Arial" w:hAnsi="Arial" w:cs="Arial"/>
          <w:lang w:eastAsia="en-GB"/>
        </w:rPr>
      </w:pPr>
      <w:r w:rsidRPr="008F59EC">
        <w:rPr>
          <w:rFonts w:ascii="Arial" w:hAnsi="Arial" w:cs="Arial"/>
          <w:lang w:eastAsia="en-GB"/>
        </w:rPr>
        <w:t>Armstrong, M. and Taylor, S. (2023) Armstrong’s Handbook of Human Resource Management Practice. 16th edn. London: Kogan Page.</w:t>
      </w:r>
    </w:p>
    <w:p w14:paraId="151DAC53" w14:textId="0D24757A" w:rsidR="0083076A" w:rsidRPr="008F59EC" w:rsidRDefault="0083076A" w:rsidP="0014211F">
      <w:pPr>
        <w:spacing w:line="360" w:lineRule="auto"/>
        <w:jc w:val="both"/>
        <w:rPr>
          <w:rFonts w:ascii="Arial" w:hAnsi="Arial" w:cs="Arial"/>
          <w:lang w:eastAsia="en-GB"/>
        </w:rPr>
      </w:pPr>
      <w:r w:rsidRPr="008F59EC">
        <w:rPr>
          <w:rFonts w:ascii="Arial" w:hAnsi="Arial" w:cs="Arial"/>
          <w:lang w:eastAsia="en-GB"/>
        </w:rPr>
        <w:t xml:space="preserve">Chartered Institute of Personnel and Development (CIPD) (2023) Good Work Index 2023. London: CIPD. Available at: </w:t>
      </w:r>
      <w:hyperlink r:id="rId49" w:tgtFrame="_new" w:history="1">
        <w:r w:rsidRPr="008F59EC">
          <w:rPr>
            <w:rFonts w:ascii="Arial" w:hAnsi="Arial" w:cs="Arial"/>
            <w:color w:val="0000FF"/>
            <w:u w:val="single"/>
            <w:lang w:eastAsia="en-GB"/>
          </w:rPr>
          <w:t>https://www.cipd.org</w:t>
        </w:r>
      </w:hyperlink>
      <w:r w:rsidRPr="008F59EC">
        <w:rPr>
          <w:rFonts w:ascii="Arial" w:hAnsi="Arial" w:cs="Arial"/>
          <w:lang w:eastAsia="en-GB"/>
        </w:rPr>
        <w:t xml:space="preserve"> (Accessed:</w:t>
      </w:r>
      <w:r w:rsidR="00A43ED2" w:rsidRPr="008F59EC">
        <w:rPr>
          <w:rFonts w:ascii="Arial" w:eastAsia="Times New Roman" w:hAnsi="Arial" w:cs="Arial"/>
          <w:kern w:val="0"/>
          <w:lang w:eastAsia="en-GB"/>
          <w14:ligatures w14:val="none"/>
        </w:rPr>
        <w:t xml:space="preserve"> 20/0/2026</w:t>
      </w:r>
      <w:r w:rsidRPr="008F59EC">
        <w:rPr>
          <w:rFonts w:ascii="Arial" w:hAnsi="Arial" w:cs="Arial"/>
          <w:lang w:eastAsia="en-GB"/>
        </w:rPr>
        <w:t>).</w:t>
      </w:r>
    </w:p>
    <w:p w14:paraId="2E68AE51" w14:textId="5FD676C7" w:rsidR="0083076A" w:rsidRPr="008F59EC" w:rsidRDefault="0083076A" w:rsidP="0014211F">
      <w:pPr>
        <w:spacing w:line="360" w:lineRule="auto"/>
        <w:jc w:val="both"/>
        <w:rPr>
          <w:rFonts w:ascii="Arial" w:hAnsi="Arial" w:cs="Arial"/>
          <w:lang w:eastAsia="en-GB"/>
        </w:rPr>
      </w:pPr>
      <w:r w:rsidRPr="008F59EC">
        <w:rPr>
          <w:rFonts w:ascii="Arial" w:hAnsi="Arial" w:cs="Arial"/>
          <w:lang w:eastAsia="en-GB"/>
        </w:rPr>
        <w:t xml:space="preserve">Deloitte (2023) UK Mortgage Market Outlook. London: Deloitte. Available at: </w:t>
      </w:r>
      <w:hyperlink r:id="rId50" w:tgtFrame="_new" w:history="1">
        <w:r w:rsidRPr="008F59EC">
          <w:rPr>
            <w:rFonts w:ascii="Arial" w:hAnsi="Arial" w:cs="Arial"/>
            <w:color w:val="0000FF"/>
            <w:u w:val="single"/>
            <w:lang w:eastAsia="en-GB"/>
          </w:rPr>
          <w:t>https://www.deloitte.co.uk</w:t>
        </w:r>
      </w:hyperlink>
      <w:r w:rsidRPr="008F59EC">
        <w:rPr>
          <w:rFonts w:ascii="Arial" w:hAnsi="Arial" w:cs="Arial"/>
          <w:lang w:eastAsia="en-GB"/>
        </w:rPr>
        <w:t xml:space="preserve"> (Accessed: </w:t>
      </w:r>
      <w:r w:rsidR="00A43ED2" w:rsidRPr="008F59EC">
        <w:rPr>
          <w:rFonts w:ascii="Arial" w:eastAsia="Times New Roman" w:hAnsi="Arial" w:cs="Arial"/>
          <w:kern w:val="0"/>
          <w:lang w:eastAsia="en-GB"/>
          <w14:ligatures w14:val="none"/>
        </w:rPr>
        <w:t>20/0/2026</w:t>
      </w:r>
      <w:r w:rsidRPr="008F59EC">
        <w:rPr>
          <w:rFonts w:ascii="Arial" w:hAnsi="Arial" w:cs="Arial"/>
          <w:lang w:eastAsia="en-GB"/>
        </w:rPr>
        <w:t>).</w:t>
      </w:r>
    </w:p>
    <w:p w14:paraId="00F41BD1" w14:textId="26E39258" w:rsidR="0083076A" w:rsidRPr="008F59EC" w:rsidRDefault="0083076A" w:rsidP="0014211F">
      <w:pPr>
        <w:spacing w:line="360" w:lineRule="auto"/>
        <w:jc w:val="both"/>
        <w:rPr>
          <w:rFonts w:ascii="Arial" w:hAnsi="Arial" w:cs="Arial"/>
          <w:lang w:eastAsia="en-GB"/>
        </w:rPr>
      </w:pPr>
      <w:r w:rsidRPr="008F59EC">
        <w:rPr>
          <w:rFonts w:ascii="Arial" w:hAnsi="Arial" w:cs="Arial"/>
          <w:lang w:eastAsia="en-GB"/>
        </w:rPr>
        <w:t xml:space="preserve">Financial Conduct Authority (FCA) (2023) Consumer Duty: Policy Statement PS22/9. London: FCA. Available at: </w:t>
      </w:r>
      <w:hyperlink r:id="rId51" w:tgtFrame="_new" w:history="1">
        <w:r w:rsidRPr="008F59EC">
          <w:rPr>
            <w:rFonts w:ascii="Arial" w:hAnsi="Arial" w:cs="Arial"/>
            <w:color w:val="0000FF"/>
            <w:u w:val="single"/>
            <w:lang w:eastAsia="en-GB"/>
          </w:rPr>
          <w:t>https://www.fca.org.uk</w:t>
        </w:r>
      </w:hyperlink>
      <w:r w:rsidRPr="008F59EC">
        <w:rPr>
          <w:rFonts w:ascii="Arial" w:hAnsi="Arial" w:cs="Arial"/>
          <w:lang w:eastAsia="en-GB"/>
        </w:rPr>
        <w:t xml:space="preserve"> (Accessed:</w:t>
      </w:r>
      <w:r w:rsidR="000B65E0" w:rsidRPr="008F59EC">
        <w:rPr>
          <w:rFonts w:ascii="Arial" w:eastAsia="Times New Roman" w:hAnsi="Arial" w:cs="Arial"/>
          <w:kern w:val="0"/>
          <w:lang w:eastAsia="en-GB"/>
          <w14:ligatures w14:val="none"/>
        </w:rPr>
        <w:t xml:space="preserve"> 20/0/2026</w:t>
      </w:r>
      <w:r w:rsidRPr="008F59EC">
        <w:rPr>
          <w:rFonts w:ascii="Arial" w:hAnsi="Arial" w:cs="Arial"/>
          <w:lang w:eastAsia="en-GB"/>
        </w:rPr>
        <w:t>).</w:t>
      </w:r>
    </w:p>
    <w:p w14:paraId="2FDBD1DB" w14:textId="69FE85A3" w:rsidR="0083076A" w:rsidRPr="008F59EC" w:rsidRDefault="0083076A" w:rsidP="0014211F">
      <w:pPr>
        <w:spacing w:line="360" w:lineRule="auto"/>
        <w:jc w:val="both"/>
        <w:rPr>
          <w:rFonts w:ascii="Arial" w:hAnsi="Arial" w:cs="Arial"/>
          <w:lang w:eastAsia="en-GB"/>
        </w:rPr>
      </w:pPr>
      <w:r w:rsidRPr="008F59EC">
        <w:rPr>
          <w:rFonts w:ascii="Arial" w:hAnsi="Arial" w:cs="Arial"/>
          <w:lang w:eastAsia="en-GB"/>
        </w:rPr>
        <w:t xml:space="preserve">Information Commissioner’s Office (ICO) (2023) Guide to the UK General Data Protection Regulation (UK GDPR). Wilmslow: ICO. Available at: </w:t>
      </w:r>
      <w:hyperlink r:id="rId52" w:tgtFrame="_new" w:history="1">
        <w:r w:rsidRPr="008F59EC">
          <w:rPr>
            <w:rFonts w:ascii="Arial" w:hAnsi="Arial" w:cs="Arial"/>
            <w:color w:val="0000FF"/>
            <w:u w:val="single"/>
            <w:lang w:eastAsia="en-GB"/>
          </w:rPr>
          <w:t>https://ico.org.uk</w:t>
        </w:r>
      </w:hyperlink>
      <w:r w:rsidRPr="008F59EC">
        <w:rPr>
          <w:rFonts w:ascii="Arial" w:hAnsi="Arial" w:cs="Arial"/>
          <w:lang w:eastAsia="en-GB"/>
        </w:rPr>
        <w:t xml:space="preserve"> (Accessed: </w:t>
      </w:r>
      <w:r w:rsidR="000B65E0" w:rsidRPr="008F59EC">
        <w:rPr>
          <w:rFonts w:ascii="Arial" w:eastAsia="Times New Roman" w:hAnsi="Arial" w:cs="Arial"/>
          <w:kern w:val="0"/>
          <w:lang w:eastAsia="en-GB"/>
          <w14:ligatures w14:val="none"/>
        </w:rPr>
        <w:t>20/0/2026</w:t>
      </w:r>
      <w:r w:rsidRPr="008F59EC">
        <w:rPr>
          <w:rFonts w:ascii="Arial" w:hAnsi="Arial" w:cs="Arial"/>
          <w:lang w:eastAsia="en-GB"/>
        </w:rPr>
        <w:t>).</w:t>
      </w:r>
    </w:p>
    <w:p w14:paraId="67B081D3" w14:textId="3FB752C5" w:rsidR="004E10E0" w:rsidRPr="008F59EC" w:rsidRDefault="004E10E0" w:rsidP="0014211F">
      <w:pPr>
        <w:spacing w:line="360" w:lineRule="auto"/>
        <w:jc w:val="both"/>
        <w:rPr>
          <w:rFonts w:ascii="Arial" w:hAnsi="Arial" w:cs="Arial"/>
          <w:lang w:eastAsia="en-GB"/>
        </w:rPr>
      </w:pPr>
      <w:r w:rsidRPr="008F59EC">
        <w:rPr>
          <w:rFonts w:ascii="Arial" w:hAnsi="Arial" w:cs="Arial"/>
          <w:lang w:eastAsia="en-GB"/>
        </w:rPr>
        <w:t xml:space="preserve">Kotler, P. and Keller, K.L. (2023) </w:t>
      </w:r>
      <w:r w:rsidRPr="008F59EC">
        <w:rPr>
          <w:rFonts w:ascii="Arial" w:hAnsi="Arial" w:cs="Arial"/>
          <w:i/>
          <w:iCs/>
          <w:lang w:eastAsia="en-GB"/>
        </w:rPr>
        <w:t>Marketing Management</w:t>
      </w:r>
      <w:r w:rsidRPr="008F59EC">
        <w:rPr>
          <w:rFonts w:ascii="Arial" w:hAnsi="Arial" w:cs="Arial"/>
          <w:lang w:eastAsia="en-GB"/>
        </w:rPr>
        <w:t>. 16th edn. Harlow: Pearson Education.</w:t>
      </w:r>
    </w:p>
    <w:p w14:paraId="1F0E897E" w14:textId="10022BB7" w:rsidR="0083076A" w:rsidRPr="008F59EC" w:rsidRDefault="0083076A" w:rsidP="0014211F">
      <w:pPr>
        <w:spacing w:line="360" w:lineRule="auto"/>
        <w:jc w:val="both"/>
        <w:rPr>
          <w:rFonts w:ascii="Arial" w:hAnsi="Arial" w:cs="Arial"/>
          <w:lang w:eastAsia="en-GB"/>
        </w:rPr>
      </w:pPr>
      <w:r w:rsidRPr="008F59EC">
        <w:rPr>
          <w:rFonts w:ascii="Arial" w:hAnsi="Arial" w:cs="Arial"/>
          <w:lang w:eastAsia="en-GB"/>
        </w:rPr>
        <w:t>MarketLine (2024) UK Mortgage Market Analysis. London: MarketLine. Available via: MarketLine Advantage database (Accessed:</w:t>
      </w:r>
      <w:r w:rsidR="000B65E0" w:rsidRPr="008F59EC">
        <w:rPr>
          <w:rFonts w:ascii="Arial" w:eastAsia="Times New Roman" w:hAnsi="Arial" w:cs="Arial"/>
          <w:kern w:val="0"/>
          <w:lang w:eastAsia="en-GB"/>
          <w14:ligatures w14:val="none"/>
        </w:rPr>
        <w:t xml:space="preserve"> 20/0/2026</w:t>
      </w:r>
      <w:r w:rsidRPr="008F59EC">
        <w:rPr>
          <w:rFonts w:ascii="Arial" w:hAnsi="Arial" w:cs="Arial"/>
          <w:lang w:eastAsia="en-GB"/>
        </w:rPr>
        <w:t>).</w:t>
      </w:r>
    </w:p>
    <w:p w14:paraId="0BBD57F8" w14:textId="5DA9BB83" w:rsidR="0083076A" w:rsidRPr="008F59EC" w:rsidRDefault="0083076A" w:rsidP="0014211F">
      <w:pPr>
        <w:spacing w:line="360" w:lineRule="auto"/>
        <w:jc w:val="both"/>
        <w:rPr>
          <w:rFonts w:ascii="Arial" w:hAnsi="Arial" w:cs="Arial"/>
          <w:lang w:eastAsia="en-GB"/>
        </w:rPr>
      </w:pPr>
      <w:r w:rsidRPr="008F59EC">
        <w:rPr>
          <w:rFonts w:ascii="Arial" w:hAnsi="Arial" w:cs="Arial"/>
          <w:lang w:eastAsia="en-GB"/>
        </w:rPr>
        <w:t xml:space="preserve">McKinsey &amp; Company (2023) Operational Excellence in Professional Services. London: McKinsey &amp; Company. Available at: </w:t>
      </w:r>
      <w:hyperlink r:id="rId53" w:tgtFrame="_new" w:history="1">
        <w:r w:rsidRPr="008F59EC">
          <w:rPr>
            <w:rFonts w:ascii="Arial" w:hAnsi="Arial" w:cs="Arial"/>
            <w:color w:val="0000FF"/>
            <w:u w:val="single"/>
            <w:lang w:eastAsia="en-GB"/>
          </w:rPr>
          <w:t>https://www.mckinsey.com</w:t>
        </w:r>
      </w:hyperlink>
      <w:r w:rsidRPr="008F59EC">
        <w:rPr>
          <w:rFonts w:ascii="Arial" w:hAnsi="Arial" w:cs="Arial"/>
          <w:lang w:eastAsia="en-GB"/>
        </w:rPr>
        <w:t xml:space="preserve"> (Accessed: </w:t>
      </w:r>
      <w:r w:rsidR="000B65E0" w:rsidRPr="008F59EC">
        <w:rPr>
          <w:rFonts w:ascii="Arial" w:eastAsia="Times New Roman" w:hAnsi="Arial" w:cs="Arial"/>
          <w:kern w:val="0"/>
          <w:lang w:eastAsia="en-GB"/>
          <w14:ligatures w14:val="none"/>
        </w:rPr>
        <w:t>20/0/2026</w:t>
      </w:r>
      <w:r w:rsidRPr="008F59EC">
        <w:rPr>
          <w:rFonts w:ascii="Arial" w:hAnsi="Arial" w:cs="Arial"/>
          <w:lang w:eastAsia="en-GB"/>
        </w:rPr>
        <w:t>).</w:t>
      </w:r>
    </w:p>
    <w:p w14:paraId="79E46EDD" w14:textId="1EBFC454" w:rsidR="0083076A" w:rsidRPr="008F59EC" w:rsidRDefault="0083076A" w:rsidP="0014211F">
      <w:pPr>
        <w:spacing w:line="360" w:lineRule="auto"/>
        <w:jc w:val="both"/>
        <w:rPr>
          <w:rFonts w:ascii="Arial" w:hAnsi="Arial" w:cs="Arial"/>
          <w:lang w:eastAsia="en-GB"/>
        </w:rPr>
      </w:pPr>
      <w:r w:rsidRPr="008F59EC">
        <w:rPr>
          <w:rFonts w:ascii="Arial" w:hAnsi="Arial" w:cs="Arial"/>
          <w:lang w:eastAsia="en-GB"/>
        </w:rPr>
        <w:t xml:space="preserve">McKinsey &amp; Company (2023) Financial Planning and Growth Strategies for Professional Services Firms. London: McKinsey &amp; Company. Available at: </w:t>
      </w:r>
      <w:hyperlink r:id="rId54" w:tgtFrame="_new" w:history="1">
        <w:r w:rsidRPr="008F59EC">
          <w:rPr>
            <w:rFonts w:ascii="Arial" w:hAnsi="Arial" w:cs="Arial"/>
            <w:color w:val="0000FF"/>
            <w:u w:val="single"/>
            <w:lang w:eastAsia="en-GB"/>
          </w:rPr>
          <w:t>https://www.mckinsey.com</w:t>
        </w:r>
      </w:hyperlink>
      <w:r w:rsidRPr="008F59EC">
        <w:rPr>
          <w:rFonts w:ascii="Arial" w:hAnsi="Arial" w:cs="Arial"/>
          <w:lang w:eastAsia="en-GB"/>
        </w:rPr>
        <w:t xml:space="preserve"> (Accessed: </w:t>
      </w:r>
      <w:r w:rsidR="000B65E0" w:rsidRPr="008F59EC">
        <w:rPr>
          <w:rFonts w:ascii="Arial" w:eastAsia="Times New Roman" w:hAnsi="Arial" w:cs="Arial"/>
          <w:kern w:val="0"/>
          <w:lang w:eastAsia="en-GB"/>
          <w14:ligatures w14:val="none"/>
        </w:rPr>
        <w:t>20/0/2026</w:t>
      </w:r>
      <w:r w:rsidRPr="008F59EC">
        <w:rPr>
          <w:rFonts w:ascii="Arial" w:hAnsi="Arial" w:cs="Arial"/>
          <w:lang w:eastAsia="en-GB"/>
        </w:rPr>
        <w:t>).</w:t>
      </w:r>
    </w:p>
    <w:p w14:paraId="4B7E0B75" w14:textId="20A0161A" w:rsidR="0083076A" w:rsidRPr="008F59EC" w:rsidRDefault="0083076A" w:rsidP="0014211F">
      <w:pPr>
        <w:spacing w:line="360" w:lineRule="auto"/>
        <w:jc w:val="both"/>
        <w:rPr>
          <w:rFonts w:ascii="Arial" w:hAnsi="Arial" w:cs="Arial"/>
          <w:lang w:eastAsia="en-GB"/>
        </w:rPr>
      </w:pPr>
      <w:r w:rsidRPr="008F59EC">
        <w:rPr>
          <w:rFonts w:ascii="Arial" w:hAnsi="Arial" w:cs="Arial"/>
          <w:lang w:eastAsia="en-GB"/>
        </w:rPr>
        <w:t xml:space="preserve">Moneyfacts (2024) Mortgage Broker Fees and Market Trends. Norwich: Moneyfacts Group. Available at: </w:t>
      </w:r>
      <w:hyperlink r:id="rId55" w:tgtFrame="_new" w:history="1">
        <w:r w:rsidRPr="008F59EC">
          <w:rPr>
            <w:rFonts w:ascii="Arial" w:hAnsi="Arial" w:cs="Arial"/>
            <w:color w:val="0000FF"/>
            <w:u w:val="single"/>
            <w:lang w:eastAsia="en-GB"/>
          </w:rPr>
          <w:t>https://www.moneyfacts.co.uk</w:t>
        </w:r>
      </w:hyperlink>
      <w:r w:rsidRPr="008F59EC">
        <w:rPr>
          <w:rFonts w:ascii="Arial" w:hAnsi="Arial" w:cs="Arial"/>
          <w:lang w:eastAsia="en-GB"/>
        </w:rPr>
        <w:t xml:space="preserve"> (Accessed: </w:t>
      </w:r>
      <w:r w:rsidR="000B65E0" w:rsidRPr="008F59EC">
        <w:rPr>
          <w:rFonts w:ascii="Arial" w:eastAsia="Times New Roman" w:hAnsi="Arial" w:cs="Arial"/>
          <w:kern w:val="0"/>
          <w:lang w:eastAsia="en-GB"/>
          <w14:ligatures w14:val="none"/>
        </w:rPr>
        <w:t>20/0/2026</w:t>
      </w:r>
      <w:r w:rsidRPr="008F59EC">
        <w:rPr>
          <w:rFonts w:ascii="Arial" w:hAnsi="Arial" w:cs="Arial"/>
          <w:lang w:eastAsia="en-GB"/>
        </w:rPr>
        <w:t>).</w:t>
      </w:r>
    </w:p>
    <w:p w14:paraId="3D8A70C7" w14:textId="1CCD53C8" w:rsidR="0083076A" w:rsidRPr="008F59EC" w:rsidRDefault="0083076A" w:rsidP="0014211F">
      <w:pPr>
        <w:spacing w:line="360" w:lineRule="auto"/>
        <w:jc w:val="both"/>
        <w:rPr>
          <w:rFonts w:ascii="Arial" w:hAnsi="Arial" w:cs="Arial"/>
          <w:lang w:eastAsia="en-GB"/>
        </w:rPr>
      </w:pPr>
      <w:r w:rsidRPr="008F59EC">
        <w:rPr>
          <w:rFonts w:ascii="Arial" w:hAnsi="Arial" w:cs="Arial"/>
          <w:lang w:eastAsia="en-GB"/>
        </w:rPr>
        <w:t xml:space="preserve">Office for National Statistics (ONS) (2024) UK Housing Market and Mortgage Lending Statistics. Newport: ONS. Available at: </w:t>
      </w:r>
      <w:hyperlink r:id="rId56" w:tgtFrame="_new" w:history="1">
        <w:r w:rsidRPr="008F59EC">
          <w:rPr>
            <w:rFonts w:ascii="Arial" w:hAnsi="Arial" w:cs="Arial"/>
            <w:color w:val="0000FF"/>
            <w:u w:val="single"/>
            <w:lang w:eastAsia="en-GB"/>
          </w:rPr>
          <w:t>https://www.ons.gov.uk</w:t>
        </w:r>
      </w:hyperlink>
      <w:r w:rsidRPr="008F59EC">
        <w:rPr>
          <w:rFonts w:ascii="Arial" w:hAnsi="Arial" w:cs="Arial"/>
          <w:lang w:eastAsia="en-GB"/>
        </w:rPr>
        <w:t xml:space="preserve"> (Accessed:</w:t>
      </w:r>
      <w:r w:rsidR="0014346A" w:rsidRPr="008F59EC">
        <w:rPr>
          <w:rFonts w:ascii="Arial" w:eastAsia="Times New Roman" w:hAnsi="Arial" w:cs="Arial"/>
          <w:kern w:val="0"/>
          <w:lang w:eastAsia="en-GB"/>
          <w14:ligatures w14:val="none"/>
        </w:rPr>
        <w:t xml:space="preserve"> 20/0/2026</w:t>
      </w:r>
      <w:r w:rsidRPr="008F59EC">
        <w:rPr>
          <w:rFonts w:ascii="Arial" w:hAnsi="Arial" w:cs="Arial"/>
          <w:lang w:eastAsia="en-GB"/>
        </w:rPr>
        <w:t>).</w:t>
      </w:r>
    </w:p>
    <w:p w14:paraId="03156401" w14:textId="63D48593" w:rsidR="0083076A" w:rsidRPr="008F59EC" w:rsidRDefault="0083076A" w:rsidP="0014211F">
      <w:pPr>
        <w:spacing w:line="360" w:lineRule="auto"/>
        <w:jc w:val="both"/>
        <w:rPr>
          <w:rFonts w:ascii="Arial" w:hAnsi="Arial" w:cs="Arial"/>
          <w:lang w:eastAsia="en-GB"/>
        </w:rPr>
      </w:pPr>
      <w:r w:rsidRPr="008F59EC">
        <w:rPr>
          <w:rFonts w:ascii="Arial" w:hAnsi="Arial" w:cs="Arial"/>
          <w:lang w:eastAsia="en-GB"/>
        </w:rPr>
        <w:t xml:space="preserve">PwC (2023) Risk and Regulation in UK Financial Services. London: PricewaterhouseCoopers. Available at: </w:t>
      </w:r>
      <w:hyperlink r:id="rId57" w:tgtFrame="_new" w:history="1">
        <w:r w:rsidRPr="008F59EC">
          <w:rPr>
            <w:rFonts w:ascii="Arial" w:hAnsi="Arial" w:cs="Arial"/>
            <w:color w:val="0000FF"/>
            <w:u w:val="single"/>
            <w:lang w:eastAsia="en-GB"/>
          </w:rPr>
          <w:t>https://www.pwc.co.uk</w:t>
        </w:r>
      </w:hyperlink>
      <w:r w:rsidRPr="008F59EC">
        <w:rPr>
          <w:rFonts w:ascii="Arial" w:hAnsi="Arial" w:cs="Arial"/>
          <w:lang w:eastAsia="en-GB"/>
        </w:rPr>
        <w:t xml:space="preserve"> (Accessed: </w:t>
      </w:r>
      <w:r w:rsidR="0014346A" w:rsidRPr="008F59EC">
        <w:rPr>
          <w:rFonts w:ascii="Arial" w:eastAsia="Times New Roman" w:hAnsi="Arial" w:cs="Arial"/>
          <w:kern w:val="0"/>
          <w:lang w:eastAsia="en-GB"/>
          <w14:ligatures w14:val="none"/>
        </w:rPr>
        <w:t>20/0/2026</w:t>
      </w:r>
      <w:r w:rsidRPr="008F59EC">
        <w:rPr>
          <w:rFonts w:ascii="Arial" w:hAnsi="Arial" w:cs="Arial"/>
          <w:lang w:eastAsia="en-GB"/>
        </w:rPr>
        <w:t>).</w:t>
      </w:r>
    </w:p>
    <w:p w14:paraId="31683005" w14:textId="157CF4F8" w:rsidR="00EC3236" w:rsidRPr="008F59EC" w:rsidRDefault="0083076A" w:rsidP="0014211F">
      <w:pPr>
        <w:spacing w:before="100" w:beforeAutospacing="1" w:after="100" w:afterAutospacing="1"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lastRenderedPageBreak/>
        <w:t xml:space="preserve">UK Finance (2024) Mortgage Market Outlook. London: UK Finance. Available at: </w:t>
      </w:r>
      <w:hyperlink r:id="rId58" w:tgtFrame="_new" w:history="1">
        <w:r w:rsidRPr="008F59EC">
          <w:rPr>
            <w:rFonts w:ascii="Arial" w:eastAsia="Times New Roman" w:hAnsi="Arial" w:cs="Arial"/>
            <w:color w:val="0000FF"/>
            <w:kern w:val="0"/>
            <w:u w:val="single"/>
            <w:lang w:eastAsia="en-GB"/>
            <w14:ligatures w14:val="none"/>
          </w:rPr>
          <w:t>https://www.ukfinance.org.uk</w:t>
        </w:r>
      </w:hyperlink>
      <w:r w:rsidRPr="008F59EC">
        <w:rPr>
          <w:rFonts w:ascii="Arial" w:eastAsia="Times New Roman" w:hAnsi="Arial" w:cs="Arial"/>
          <w:kern w:val="0"/>
          <w:lang w:eastAsia="en-GB"/>
          <w14:ligatures w14:val="none"/>
        </w:rPr>
        <w:t xml:space="preserve"> (Accessed:</w:t>
      </w:r>
      <w:r w:rsidR="0014346A" w:rsidRPr="008F59EC">
        <w:rPr>
          <w:rFonts w:ascii="Arial" w:eastAsia="Times New Roman" w:hAnsi="Arial" w:cs="Arial"/>
          <w:kern w:val="0"/>
          <w:lang w:eastAsia="en-GB"/>
          <w14:ligatures w14:val="none"/>
        </w:rPr>
        <w:t>20/0/2026</w:t>
      </w:r>
      <w:r w:rsidRPr="008F59EC">
        <w:rPr>
          <w:rFonts w:ascii="Arial" w:eastAsia="Times New Roman" w:hAnsi="Arial" w:cs="Arial"/>
          <w:kern w:val="0"/>
          <w:lang w:eastAsia="en-GB"/>
          <w14:ligatures w14:val="none"/>
        </w:rPr>
        <w:t>).</w:t>
      </w:r>
    </w:p>
    <w:p w14:paraId="267B6C72" w14:textId="77777777" w:rsidR="00485490" w:rsidRPr="008F59EC" w:rsidRDefault="00485490" w:rsidP="0014211F">
      <w:pPr>
        <w:pBdr>
          <w:bottom w:val="single" w:sz="4" w:space="1" w:color="auto"/>
        </w:pBdr>
        <w:spacing w:before="100" w:beforeAutospacing="1" w:after="100" w:afterAutospacing="1" w:line="360" w:lineRule="auto"/>
        <w:jc w:val="both"/>
        <w:rPr>
          <w:rFonts w:ascii="Arial" w:eastAsia="Times New Roman" w:hAnsi="Arial" w:cs="Arial"/>
          <w:kern w:val="0"/>
          <w:lang w:eastAsia="en-GB"/>
          <w14:ligatures w14:val="none"/>
        </w:rPr>
      </w:pPr>
    </w:p>
    <w:p w14:paraId="27B54E14" w14:textId="77777777" w:rsidR="001A6A90" w:rsidRPr="008F59EC" w:rsidRDefault="001A6A90" w:rsidP="0014211F">
      <w:pPr>
        <w:spacing w:before="100" w:beforeAutospacing="1" w:after="100" w:afterAutospacing="1" w:line="360" w:lineRule="auto"/>
        <w:jc w:val="both"/>
        <w:rPr>
          <w:rFonts w:ascii="Arial" w:eastAsia="Times New Roman" w:hAnsi="Arial" w:cs="Arial"/>
          <w:kern w:val="0"/>
          <w:lang w:eastAsia="en-GB"/>
          <w14:ligatures w14:val="none"/>
        </w:rPr>
      </w:pPr>
    </w:p>
    <w:p w14:paraId="793C5A4D" w14:textId="77777777" w:rsidR="000333E4" w:rsidRPr="008F59EC" w:rsidRDefault="000333E4" w:rsidP="0014211F">
      <w:pPr>
        <w:spacing w:before="100" w:beforeAutospacing="1" w:after="100" w:afterAutospacing="1" w:line="360" w:lineRule="auto"/>
        <w:jc w:val="both"/>
        <w:rPr>
          <w:rFonts w:ascii="Arial" w:eastAsia="Times New Roman" w:hAnsi="Arial" w:cs="Arial"/>
          <w:kern w:val="0"/>
          <w:lang w:eastAsia="en-GB"/>
          <w14:ligatures w14:val="none"/>
        </w:rPr>
      </w:pPr>
    </w:p>
    <w:p w14:paraId="456B9CD3" w14:textId="77777777" w:rsidR="003F53A7" w:rsidRDefault="003F53A7">
      <w:pPr>
        <w:rPr>
          <w:rFonts w:ascii="Arial" w:eastAsia="Times New Roman" w:hAnsi="Arial" w:cs="Arial"/>
          <w:color w:val="0F4761" w:themeColor="accent1" w:themeShade="BF"/>
          <w:sz w:val="40"/>
          <w:szCs w:val="40"/>
          <w:lang w:eastAsia="en-GB"/>
        </w:rPr>
      </w:pPr>
      <w:bookmarkStart w:id="77" w:name="_Toc219926321"/>
      <w:r>
        <w:rPr>
          <w:rFonts w:ascii="Arial" w:eastAsia="Times New Roman" w:hAnsi="Arial" w:cs="Arial"/>
          <w:lang w:eastAsia="en-GB"/>
        </w:rPr>
        <w:br w:type="page"/>
      </w:r>
    </w:p>
    <w:p w14:paraId="0249C3E2" w14:textId="0C26BE9F" w:rsidR="001A6A90" w:rsidRPr="008F59EC" w:rsidRDefault="001A6A90" w:rsidP="0007190F">
      <w:pPr>
        <w:pStyle w:val="Heading1"/>
        <w:rPr>
          <w:rFonts w:ascii="Arial" w:eastAsia="Times New Roman" w:hAnsi="Arial" w:cs="Arial"/>
          <w:lang w:eastAsia="en-GB"/>
        </w:rPr>
      </w:pPr>
      <w:r w:rsidRPr="008F59EC">
        <w:rPr>
          <w:rFonts w:ascii="Arial" w:eastAsia="Times New Roman" w:hAnsi="Arial" w:cs="Arial"/>
          <w:lang w:eastAsia="en-GB"/>
        </w:rPr>
        <w:lastRenderedPageBreak/>
        <w:t>App</w:t>
      </w:r>
      <w:r w:rsidR="00B870D2" w:rsidRPr="008F59EC">
        <w:rPr>
          <w:rFonts w:ascii="Arial" w:eastAsia="Times New Roman" w:hAnsi="Arial" w:cs="Arial"/>
          <w:lang w:eastAsia="en-GB"/>
        </w:rPr>
        <w:t>endices</w:t>
      </w:r>
      <w:bookmarkEnd w:id="77"/>
      <w:r w:rsidR="00B870D2" w:rsidRPr="008F59EC">
        <w:rPr>
          <w:rFonts w:ascii="Arial" w:eastAsia="Times New Roman" w:hAnsi="Arial" w:cs="Arial"/>
          <w:lang w:eastAsia="en-GB"/>
        </w:rPr>
        <w:t xml:space="preserve"> </w:t>
      </w:r>
    </w:p>
    <w:p w14:paraId="6E85DD97" w14:textId="1C9AD63C" w:rsidR="002F50B3" w:rsidRPr="008F59EC" w:rsidRDefault="004004D3" w:rsidP="003F53A7">
      <w:pPr>
        <w:spacing w:before="100" w:beforeAutospacing="1" w:after="100" w:afterAutospacing="1"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The appendices provide supporting evidence for key elements of the report, including professional development undertaken by the author and detailed financial calculations supporting the financial plan. Each appendix is referenced in the main body of the report where relevant.</w:t>
      </w:r>
    </w:p>
    <w:p w14:paraId="2C9A3BE8" w14:textId="4C6C13EF" w:rsidR="00185D01" w:rsidRPr="008F59EC" w:rsidRDefault="00185D01" w:rsidP="0007190F">
      <w:pPr>
        <w:pStyle w:val="Heading2"/>
        <w:rPr>
          <w:rFonts w:ascii="Arial" w:hAnsi="Arial" w:cs="Arial"/>
        </w:rPr>
      </w:pPr>
      <w:bookmarkStart w:id="78" w:name="_Toc219926322"/>
      <w:r w:rsidRPr="008F59EC">
        <w:rPr>
          <w:rStyle w:val="cf01"/>
          <w:rFonts w:ascii="Arial" w:hAnsi="Arial" w:cs="Arial"/>
          <w:sz w:val="32"/>
          <w:szCs w:val="32"/>
        </w:rPr>
        <w:t>Appendix A1: Creating Flowcharts for Beginners (LinkedIn Learning)</w:t>
      </w:r>
      <w:bookmarkEnd w:id="78"/>
    </w:p>
    <w:p w14:paraId="33F8EC4E" w14:textId="77777777" w:rsidR="00185D01" w:rsidRPr="008F59EC" w:rsidRDefault="00185D01" w:rsidP="0014211F">
      <w:pPr>
        <w:pStyle w:val="NormalWeb"/>
        <w:numPr>
          <w:ilvl w:val="0"/>
          <w:numId w:val="7"/>
        </w:numPr>
        <w:spacing w:line="360" w:lineRule="auto"/>
        <w:jc w:val="both"/>
        <w:rPr>
          <w:rFonts w:ascii="Arial" w:hAnsi="Arial" w:cs="Arial"/>
        </w:rPr>
      </w:pPr>
      <w:r w:rsidRPr="008F59EC">
        <w:rPr>
          <w:rStyle w:val="cf01"/>
          <w:rFonts w:ascii="Arial" w:eastAsiaTheme="majorEastAsia" w:hAnsi="Arial" w:cs="Arial"/>
          <w:sz w:val="24"/>
          <w:szCs w:val="24"/>
        </w:rPr>
        <w:t>Course provider: LinkedIn Learning</w:t>
      </w:r>
    </w:p>
    <w:p w14:paraId="6F8E2893" w14:textId="77777777" w:rsidR="00185D01" w:rsidRPr="008F59EC" w:rsidRDefault="00185D01" w:rsidP="0014211F">
      <w:pPr>
        <w:pStyle w:val="NormalWeb"/>
        <w:numPr>
          <w:ilvl w:val="0"/>
          <w:numId w:val="7"/>
        </w:numPr>
        <w:spacing w:line="360" w:lineRule="auto"/>
        <w:jc w:val="both"/>
        <w:rPr>
          <w:rFonts w:ascii="Arial" w:hAnsi="Arial" w:cs="Arial"/>
        </w:rPr>
      </w:pPr>
      <w:r w:rsidRPr="008F59EC">
        <w:rPr>
          <w:rStyle w:val="cf01"/>
          <w:rFonts w:ascii="Arial" w:eastAsiaTheme="majorEastAsia" w:hAnsi="Arial" w:cs="Arial"/>
          <w:sz w:val="24"/>
          <w:szCs w:val="24"/>
        </w:rPr>
        <w:t>Course title: Creating Flowcharts for Beginners</w:t>
      </w:r>
    </w:p>
    <w:p w14:paraId="3BB7911B" w14:textId="77777777" w:rsidR="00185D01" w:rsidRPr="008F59EC" w:rsidRDefault="00185D01" w:rsidP="0014211F">
      <w:pPr>
        <w:pStyle w:val="NormalWeb"/>
        <w:numPr>
          <w:ilvl w:val="0"/>
          <w:numId w:val="7"/>
        </w:numPr>
        <w:spacing w:line="360" w:lineRule="auto"/>
        <w:jc w:val="both"/>
        <w:rPr>
          <w:rFonts w:ascii="Arial" w:hAnsi="Arial" w:cs="Arial"/>
        </w:rPr>
      </w:pPr>
      <w:r w:rsidRPr="008F59EC">
        <w:rPr>
          <w:rStyle w:val="cf01"/>
          <w:rFonts w:ascii="Arial" w:eastAsiaTheme="majorEastAsia" w:hAnsi="Arial" w:cs="Arial"/>
          <w:sz w:val="24"/>
          <w:szCs w:val="24"/>
        </w:rPr>
        <w:t>Completed by: Kaniz Chowdhury</w:t>
      </w:r>
    </w:p>
    <w:p w14:paraId="0C467C79" w14:textId="77777777" w:rsidR="00185D01" w:rsidRPr="008F59EC" w:rsidRDefault="00185D01" w:rsidP="0014211F">
      <w:pPr>
        <w:pStyle w:val="NormalWeb"/>
        <w:numPr>
          <w:ilvl w:val="0"/>
          <w:numId w:val="7"/>
        </w:numPr>
        <w:spacing w:line="360" w:lineRule="auto"/>
        <w:jc w:val="both"/>
        <w:rPr>
          <w:rFonts w:ascii="Arial" w:hAnsi="Arial" w:cs="Arial"/>
        </w:rPr>
      </w:pPr>
      <w:r w:rsidRPr="008F59EC">
        <w:rPr>
          <w:rStyle w:val="cf01"/>
          <w:rFonts w:ascii="Arial" w:eastAsiaTheme="majorEastAsia" w:hAnsi="Arial" w:cs="Arial"/>
          <w:sz w:val="24"/>
          <w:szCs w:val="24"/>
        </w:rPr>
        <w:t>Completion date: 25 November 2025</w:t>
      </w:r>
    </w:p>
    <w:p w14:paraId="0721E243" w14:textId="77777777" w:rsidR="00185D01" w:rsidRPr="008F59EC" w:rsidRDefault="00185D01" w:rsidP="0014211F">
      <w:pPr>
        <w:pStyle w:val="NormalWeb"/>
        <w:numPr>
          <w:ilvl w:val="0"/>
          <w:numId w:val="7"/>
        </w:numPr>
        <w:spacing w:line="360" w:lineRule="auto"/>
        <w:jc w:val="both"/>
        <w:rPr>
          <w:rFonts w:ascii="Arial" w:hAnsi="Arial" w:cs="Arial"/>
        </w:rPr>
      </w:pPr>
      <w:r w:rsidRPr="008F59EC">
        <w:rPr>
          <w:rStyle w:val="cf01"/>
          <w:rFonts w:ascii="Arial" w:eastAsiaTheme="majorEastAsia" w:hAnsi="Arial" w:cs="Arial"/>
          <w:sz w:val="24"/>
          <w:szCs w:val="24"/>
        </w:rPr>
        <w:t>Key skills developed: Process mapping, workflow visualisation, operational clarity</w:t>
      </w:r>
    </w:p>
    <w:p w14:paraId="39F1CF93" w14:textId="77777777" w:rsidR="00185D01" w:rsidRPr="008F59EC" w:rsidRDefault="00185D01" w:rsidP="0014211F">
      <w:pPr>
        <w:pStyle w:val="NormalWeb"/>
        <w:spacing w:line="360" w:lineRule="auto"/>
        <w:jc w:val="both"/>
        <w:rPr>
          <w:rStyle w:val="cf01"/>
          <w:rFonts w:ascii="Arial" w:eastAsiaTheme="majorEastAsia" w:hAnsi="Arial" w:cs="Arial"/>
          <w:sz w:val="24"/>
          <w:szCs w:val="24"/>
        </w:rPr>
      </w:pPr>
      <w:r w:rsidRPr="008F59EC">
        <w:rPr>
          <w:rStyle w:val="cf01"/>
          <w:rFonts w:ascii="Arial" w:eastAsiaTheme="majorEastAsia" w:hAnsi="Arial" w:cs="Arial"/>
          <w:sz w:val="24"/>
          <w:szCs w:val="24"/>
        </w:rPr>
        <w:t>This course supported the development of clear operational workflows and process visualisations referenced within the operational planning sections of this report.</w:t>
      </w:r>
    </w:p>
    <w:p w14:paraId="090D3A78" w14:textId="61A7F24D" w:rsidR="005826D1" w:rsidRPr="003F53A7" w:rsidRDefault="00B42C51" w:rsidP="003F53A7">
      <w:pPr>
        <w:pStyle w:val="NormalWeb"/>
        <w:spacing w:line="360" w:lineRule="auto"/>
        <w:jc w:val="both"/>
        <w:rPr>
          <w:rFonts w:ascii="Arial" w:hAnsi="Arial" w:cs="Arial"/>
          <w:sz w:val="20"/>
          <w:szCs w:val="20"/>
        </w:rPr>
      </w:pPr>
      <w:r w:rsidRPr="008F59EC">
        <w:rPr>
          <w:rFonts w:ascii="Arial" w:hAnsi="Arial" w:cs="Arial"/>
          <w:sz w:val="20"/>
          <w:szCs w:val="20"/>
        </w:rPr>
        <w:object w:dxaOrig="11881" w:dyaOrig="9180" w14:anchorId="34B324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15pt;height:284.3pt" o:ole="">
            <v:imagedata r:id="rId59" o:title=""/>
          </v:shape>
          <o:OLEObject Type="Embed" ProgID="Acrobat.Document.DC" ShapeID="_x0000_i1025" DrawAspect="Content" ObjectID="_1830541525" r:id="rId60"/>
        </w:object>
      </w:r>
    </w:p>
    <w:p w14:paraId="37C96E56" w14:textId="77777777" w:rsidR="00CE6E0F" w:rsidRPr="008F59EC" w:rsidRDefault="00CE6E0F" w:rsidP="0007190F">
      <w:pPr>
        <w:pStyle w:val="Heading2"/>
        <w:rPr>
          <w:rFonts w:ascii="Arial" w:eastAsia="Times New Roman" w:hAnsi="Arial" w:cs="Arial"/>
          <w:lang w:eastAsia="en-GB"/>
        </w:rPr>
      </w:pPr>
      <w:bookmarkStart w:id="79" w:name="_Toc219926323"/>
      <w:r w:rsidRPr="008F59EC">
        <w:rPr>
          <w:rFonts w:ascii="Arial" w:eastAsia="Times New Roman" w:hAnsi="Arial" w:cs="Arial"/>
          <w:lang w:eastAsia="en-GB"/>
        </w:rPr>
        <w:lastRenderedPageBreak/>
        <w:t>Appendix A2: Writing Like the Greatest Masters of Persuasion (LinkedIn Learning)</w:t>
      </w:r>
      <w:bookmarkEnd w:id="79"/>
    </w:p>
    <w:p w14:paraId="459ABB19" w14:textId="77777777" w:rsidR="00CE6E0F" w:rsidRPr="008F59EC" w:rsidRDefault="00CE6E0F" w:rsidP="0014211F">
      <w:pPr>
        <w:pStyle w:val="ListParagraph"/>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Course provider: LinkedIn Learning</w:t>
      </w:r>
    </w:p>
    <w:p w14:paraId="5C089076" w14:textId="77777777" w:rsidR="00CE6E0F" w:rsidRPr="008F59EC" w:rsidRDefault="00CE6E0F" w:rsidP="0014211F">
      <w:pPr>
        <w:pStyle w:val="ListParagraph"/>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Course title: Writing Like the Greatest Masters of Persuasion</w:t>
      </w:r>
    </w:p>
    <w:p w14:paraId="4F9AEBAA" w14:textId="77777777" w:rsidR="00CE6E0F" w:rsidRPr="008F59EC" w:rsidRDefault="00CE6E0F" w:rsidP="0014211F">
      <w:pPr>
        <w:pStyle w:val="ListParagraph"/>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Completed by: Kaniz Chowdhury</w:t>
      </w:r>
    </w:p>
    <w:p w14:paraId="054FA8B6" w14:textId="77777777" w:rsidR="00CE6E0F" w:rsidRPr="008F59EC" w:rsidRDefault="00CE6E0F" w:rsidP="0014211F">
      <w:pPr>
        <w:pStyle w:val="ListParagraph"/>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Completion date: 27 November 2025</w:t>
      </w:r>
    </w:p>
    <w:p w14:paraId="5C07FA53" w14:textId="77777777" w:rsidR="00CE6E0F" w:rsidRPr="008F59EC" w:rsidRDefault="00CE6E0F" w:rsidP="0014211F">
      <w:pPr>
        <w:pStyle w:val="ListParagraph"/>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Key skills developed: Persuasive writing, professional communication, clarity of expression</w:t>
      </w:r>
    </w:p>
    <w:p w14:paraId="22990E91" w14:textId="41564EDB" w:rsidR="000A0A1E" w:rsidRPr="008F59EC" w:rsidRDefault="00CE6E0F" w:rsidP="0014211F">
      <w:pPr>
        <w:spacing w:before="100" w:beforeAutospacing="1" w:after="100" w:afterAutospacing="1"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This course supported the development of structured, clear, and persuasive written communication applied throughout the business proposal.</w:t>
      </w:r>
    </w:p>
    <w:p w14:paraId="46078C1B" w14:textId="77777777" w:rsidR="000A0A1E" w:rsidRPr="008F59EC" w:rsidRDefault="00546671" w:rsidP="0014211F">
      <w:pPr>
        <w:spacing w:before="100" w:beforeAutospacing="1" w:after="100" w:afterAutospacing="1"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object w:dxaOrig="11881" w:dyaOrig="9180" w14:anchorId="0BE7294F">
          <v:shape id="_x0000_i1026" type="#_x0000_t75" style="width:368.15pt;height:284.3pt" o:ole="">
            <v:imagedata r:id="rId61" o:title=""/>
          </v:shape>
          <o:OLEObject Type="Embed" ProgID="Acrobat.Document.DC" ShapeID="_x0000_i1026" DrawAspect="Content" ObjectID="_1830541526" r:id="rId62"/>
        </w:object>
      </w:r>
    </w:p>
    <w:p w14:paraId="6C112AE9" w14:textId="77777777" w:rsidR="0068314D" w:rsidRPr="008F59EC" w:rsidRDefault="0068314D" w:rsidP="0014211F">
      <w:pPr>
        <w:spacing w:line="360" w:lineRule="auto"/>
        <w:rPr>
          <w:rFonts w:ascii="Arial" w:eastAsia="Times New Roman" w:hAnsi="Arial" w:cs="Arial"/>
          <w:kern w:val="0"/>
          <w:lang w:eastAsia="en-GB"/>
          <w14:ligatures w14:val="none"/>
        </w:rPr>
      </w:pPr>
    </w:p>
    <w:p w14:paraId="4C54BE4F" w14:textId="77777777" w:rsidR="003F53A7" w:rsidRDefault="003F53A7">
      <w:pPr>
        <w:rPr>
          <w:rFonts w:ascii="Arial" w:eastAsia="Times New Roman" w:hAnsi="Arial" w:cs="Arial"/>
          <w:color w:val="0F4761" w:themeColor="accent1" w:themeShade="BF"/>
          <w:sz w:val="32"/>
          <w:szCs w:val="32"/>
          <w:lang w:eastAsia="en-GB"/>
        </w:rPr>
      </w:pPr>
      <w:bookmarkStart w:id="80" w:name="_Toc219926324"/>
      <w:r>
        <w:rPr>
          <w:rFonts w:ascii="Arial" w:eastAsia="Times New Roman" w:hAnsi="Arial" w:cs="Arial"/>
          <w:lang w:eastAsia="en-GB"/>
        </w:rPr>
        <w:br w:type="page"/>
      </w:r>
    </w:p>
    <w:p w14:paraId="781755BB" w14:textId="03075BAD" w:rsidR="0068314D" w:rsidRPr="008F59EC" w:rsidRDefault="0068314D" w:rsidP="0007190F">
      <w:pPr>
        <w:pStyle w:val="Heading2"/>
        <w:rPr>
          <w:rFonts w:ascii="Arial" w:eastAsia="Times New Roman" w:hAnsi="Arial" w:cs="Arial"/>
          <w:lang w:eastAsia="en-GB"/>
        </w:rPr>
      </w:pPr>
      <w:r w:rsidRPr="008F59EC">
        <w:rPr>
          <w:rFonts w:ascii="Arial" w:eastAsia="Times New Roman" w:hAnsi="Arial" w:cs="Arial"/>
          <w:lang w:eastAsia="en-GB"/>
        </w:rPr>
        <w:lastRenderedPageBreak/>
        <w:t>Appendix A3: Independent Learning Resource – Break-Even Analysis</w:t>
      </w:r>
      <w:bookmarkEnd w:id="80"/>
    </w:p>
    <w:p w14:paraId="3240E168" w14:textId="77777777" w:rsidR="0068314D" w:rsidRPr="008F59EC" w:rsidRDefault="0068314D" w:rsidP="0014211F">
      <w:pPr>
        <w:spacing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To support understanding of financial modelling and break-even analysis, the author undertook independent learning using an online tutorial. This resource supported the practical application of break-even calculations presented in Chapter 7.</w:t>
      </w:r>
    </w:p>
    <w:p w14:paraId="63858986" w14:textId="77777777" w:rsidR="0068314D" w:rsidRPr="008F59EC" w:rsidRDefault="0068314D" w:rsidP="0014211F">
      <w:pPr>
        <w:spacing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Resource type: Online video tutorial</w:t>
      </w:r>
    </w:p>
    <w:p w14:paraId="14F9BE9C" w14:textId="77777777" w:rsidR="0068314D" w:rsidRPr="008F59EC" w:rsidRDefault="0068314D" w:rsidP="0014211F">
      <w:pPr>
        <w:spacing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Topic: Break-even analysis calculation</w:t>
      </w:r>
    </w:p>
    <w:p w14:paraId="4C1233D9" w14:textId="77777777" w:rsidR="0068314D" w:rsidRPr="008F59EC" w:rsidRDefault="0068314D" w:rsidP="0014211F">
      <w:pPr>
        <w:spacing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Platform: YouTube</w:t>
      </w:r>
    </w:p>
    <w:p w14:paraId="715BE91D" w14:textId="77777777" w:rsidR="0068314D" w:rsidRPr="008F59EC" w:rsidRDefault="0068314D" w:rsidP="0014211F">
      <w:pPr>
        <w:spacing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Purpose: Conceptual understanding of break-even analysis and contribution margin</w:t>
      </w:r>
    </w:p>
    <w:p w14:paraId="4A049916" w14:textId="042F9882" w:rsidR="0068314D" w:rsidRPr="008F59EC" w:rsidRDefault="0068314D" w:rsidP="0014211F">
      <w:pPr>
        <w:spacing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 xml:space="preserve">Link: </w:t>
      </w:r>
      <w:hyperlink r:id="rId63" w:history="1">
        <w:r w:rsidR="00880CC5" w:rsidRPr="008F59EC">
          <w:rPr>
            <w:rStyle w:val="Hyperlink"/>
            <w:rFonts w:ascii="Arial" w:eastAsia="Times New Roman" w:hAnsi="Arial" w:cs="Arial"/>
            <w:kern w:val="0"/>
            <w:lang w:eastAsia="en-GB"/>
            <w14:ligatures w14:val="none"/>
          </w:rPr>
          <w:t>Break-even analysis in Excel with a chart / cost-volume-profit analysis by Chris Menard</w:t>
        </w:r>
      </w:hyperlink>
    </w:p>
    <w:p w14:paraId="62CCA4C5" w14:textId="77777777" w:rsidR="00483C53" w:rsidRPr="008F59EC" w:rsidRDefault="00483C53" w:rsidP="0014211F">
      <w:pPr>
        <w:spacing w:line="360" w:lineRule="auto"/>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Appendix A4: Independent Learning Resource – Flowchart Design</w:t>
      </w:r>
    </w:p>
    <w:p w14:paraId="5EB7F7A0" w14:textId="7E1E1305" w:rsidR="005E390C" w:rsidRPr="008F59EC" w:rsidRDefault="005E390C" w:rsidP="0014211F">
      <w:pPr>
        <w:spacing w:line="360" w:lineRule="auto"/>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To support the development of clear operational workflows and process visualisation used within the operational planning sections of this report, the author undertook independent learning through an online tutorial focused on flowchart design.</w:t>
      </w:r>
    </w:p>
    <w:p w14:paraId="52A39FBF" w14:textId="77777777" w:rsidR="005E390C" w:rsidRPr="008F59EC" w:rsidRDefault="005E390C" w:rsidP="0014211F">
      <w:pPr>
        <w:spacing w:line="360" w:lineRule="auto"/>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Resource type: Online video tutorial</w:t>
      </w:r>
    </w:p>
    <w:p w14:paraId="6A344E6E" w14:textId="77777777" w:rsidR="005E390C" w:rsidRPr="008F59EC" w:rsidRDefault="005E390C" w:rsidP="0014211F">
      <w:pPr>
        <w:spacing w:line="360" w:lineRule="auto"/>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Topic: Flowchart design and process mapping</w:t>
      </w:r>
    </w:p>
    <w:p w14:paraId="73B1CF50" w14:textId="77777777" w:rsidR="005E390C" w:rsidRPr="008F59EC" w:rsidRDefault="005E390C" w:rsidP="0014211F">
      <w:pPr>
        <w:spacing w:line="360" w:lineRule="auto"/>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Platform: YouTube</w:t>
      </w:r>
    </w:p>
    <w:p w14:paraId="076B2BD9" w14:textId="77777777" w:rsidR="005E390C" w:rsidRPr="008F59EC" w:rsidRDefault="005E390C" w:rsidP="0014211F">
      <w:pPr>
        <w:spacing w:line="360" w:lineRule="auto"/>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Purpose: Understanding process visualisation for operational workflows</w:t>
      </w:r>
    </w:p>
    <w:p w14:paraId="357DDA02" w14:textId="7A0260F9" w:rsidR="005E390C" w:rsidRPr="008F59EC" w:rsidRDefault="005E390C" w:rsidP="0014211F">
      <w:pPr>
        <w:spacing w:line="360" w:lineRule="auto"/>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 xml:space="preserve">Link: </w:t>
      </w:r>
      <w:hyperlink r:id="rId64" w:history="1">
        <w:r w:rsidR="00BF131F" w:rsidRPr="008F59EC">
          <w:rPr>
            <w:rFonts w:ascii="Arial" w:hAnsi="Arial" w:cs="Arial"/>
            <w:color w:val="0000FF"/>
            <w:u w:val="single"/>
          </w:rPr>
          <w:t>How to Create Flowchart in Microsoft Word</w:t>
        </w:r>
      </w:hyperlink>
    </w:p>
    <w:p w14:paraId="64059276" w14:textId="77777777" w:rsidR="005E390C" w:rsidRPr="008F59EC" w:rsidRDefault="005E390C" w:rsidP="0014211F">
      <w:pPr>
        <w:spacing w:line="360" w:lineRule="auto"/>
        <w:jc w:val="both"/>
        <w:rPr>
          <w:rFonts w:ascii="Arial" w:eastAsia="Times New Roman" w:hAnsi="Arial" w:cs="Arial"/>
          <w:kern w:val="0"/>
          <w:lang w:eastAsia="en-GB"/>
          <w14:ligatures w14:val="none"/>
        </w:rPr>
      </w:pPr>
    </w:p>
    <w:p w14:paraId="2912F953" w14:textId="0C1A67EA" w:rsidR="000A0A1E" w:rsidRPr="008F59EC" w:rsidRDefault="000A0A1E" w:rsidP="0014211F">
      <w:pPr>
        <w:spacing w:line="360" w:lineRule="auto"/>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br w:type="page"/>
      </w:r>
    </w:p>
    <w:p w14:paraId="7976BDF2" w14:textId="77777777" w:rsidR="00AF26BE" w:rsidRPr="006536D6" w:rsidRDefault="00AF26BE" w:rsidP="0007190F">
      <w:pPr>
        <w:pStyle w:val="Heading1"/>
        <w:rPr>
          <w:rFonts w:ascii="Arial" w:hAnsi="Arial" w:cs="Arial"/>
        </w:rPr>
      </w:pPr>
      <w:bookmarkStart w:id="81" w:name="_Toc219926325"/>
      <w:r w:rsidRPr="006536D6">
        <w:rPr>
          <w:rStyle w:val="cf01"/>
          <w:rFonts w:ascii="Arial" w:hAnsi="Arial" w:cs="Arial"/>
          <w:sz w:val="40"/>
          <w:szCs w:val="40"/>
        </w:rPr>
        <w:lastRenderedPageBreak/>
        <w:t>Appendix B: Financial Projections and Cash Flow Model</w:t>
      </w:r>
      <w:bookmarkEnd w:id="81"/>
    </w:p>
    <w:p w14:paraId="5B61E2ED" w14:textId="77777777" w:rsidR="00AF26BE" w:rsidRPr="008F59EC" w:rsidRDefault="00AF26BE" w:rsidP="0014211F">
      <w:pPr>
        <w:pStyle w:val="NormalWeb"/>
        <w:spacing w:line="360" w:lineRule="auto"/>
        <w:jc w:val="both"/>
        <w:rPr>
          <w:rFonts w:ascii="Arial" w:hAnsi="Arial" w:cs="Arial"/>
        </w:rPr>
      </w:pPr>
      <w:r w:rsidRPr="008F59EC">
        <w:rPr>
          <w:rStyle w:val="cf01"/>
          <w:rFonts w:ascii="Arial" w:eastAsiaTheme="majorEastAsia" w:hAnsi="Arial" w:cs="Arial"/>
          <w:sz w:val="24"/>
          <w:szCs w:val="24"/>
        </w:rPr>
        <w:t>This appendix provides detailed financial calculations supporting the revenue forecasts, cost assumptions, monthly cash flow projections, and break-even analysis presented in Chapter 7. The tables below replicate the author’s Excel model to evidence the financial assumptions used within the report.</w:t>
      </w:r>
    </w:p>
    <w:p w14:paraId="2C8FB467" w14:textId="77777777" w:rsidR="00292754" w:rsidRPr="008F59EC" w:rsidRDefault="00292754" w:rsidP="0007190F">
      <w:pPr>
        <w:pStyle w:val="Heading2"/>
        <w:rPr>
          <w:rFonts w:ascii="Arial" w:eastAsia="Times New Roman" w:hAnsi="Arial" w:cs="Arial"/>
          <w:lang w:eastAsia="en-GB"/>
        </w:rPr>
      </w:pPr>
      <w:bookmarkStart w:id="82" w:name="_Toc219926326"/>
      <w:r w:rsidRPr="008F59EC">
        <w:rPr>
          <w:rFonts w:ascii="Arial" w:eastAsia="Times New Roman" w:hAnsi="Arial" w:cs="Arial"/>
          <w:lang w:eastAsia="en-GB"/>
        </w:rPr>
        <w:t>Appendix B1: Monthly Cash Flow Forecast (Year 1)</w:t>
      </w:r>
      <w:bookmarkEnd w:id="82"/>
    </w:p>
    <w:p w14:paraId="27E87C10" w14:textId="7F8BBAB9" w:rsidR="00FF224C" w:rsidRPr="008F59EC" w:rsidRDefault="00FF224C" w:rsidP="0014211F">
      <w:pPr>
        <w:spacing w:before="100" w:beforeAutospacing="1" w:after="100" w:afterAutospacing="1"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Table B1: Monthly Cash Flow Forecast – Year 1</w:t>
      </w:r>
    </w:p>
    <w:tbl>
      <w:tblPr>
        <w:tblStyle w:val="TableGrid"/>
        <w:tblW w:w="0" w:type="auto"/>
        <w:tblLook w:val="04A0" w:firstRow="1" w:lastRow="0" w:firstColumn="1" w:lastColumn="0" w:noHBand="0" w:noVBand="1"/>
      </w:tblPr>
      <w:tblGrid>
        <w:gridCol w:w="9016"/>
      </w:tblGrid>
      <w:tr w:rsidR="002D4AB5" w:rsidRPr="008F59EC" w14:paraId="364E271A" w14:textId="77777777" w:rsidTr="00EA7246">
        <w:trPr>
          <w:trHeight w:val="4708"/>
        </w:trPr>
        <w:tc>
          <w:tcPr>
            <w:tcW w:w="9016" w:type="dxa"/>
          </w:tcPr>
          <w:tbl>
            <w:tblPr>
              <w:tblW w:w="8973" w:type="dxa"/>
              <w:tblLook w:val="04A0" w:firstRow="1" w:lastRow="0" w:firstColumn="1" w:lastColumn="0" w:noHBand="0" w:noVBand="1"/>
            </w:tblPr>
            <w:tblGrid>
              <w:gridCol w:w="1655"/>
              <w:gridCol w:w="1214"/>
              <w:gridCol w:w="1468"/>
              <w:gridCol w:w="1384"/>
              <w:gridCol w:w="1653"/>
              <w:gridCol w:w="1416"/>
            </w:tblGrid>
            <w:tr w:rsidR="00EA7246" w:rsidRPr="008F59EC" w14:paraId="2B7F2B8A" w14:textId="77777777" w:rsidTr="00EA7246">
              <w:trPr>
                <w:trHeight w:val="639"/>
              </w:trPr>
              <w:tc>
                <w:tcPr>
                  <w:tcW w:w="1707" w:type="dxa"/>
                  <w:tcBorders>
                    <w:top w:val="single" w:sz="4" w:space="0" w:color="auto"/>
                    <w:left w:val="single" w:sz="4" w:space="0" w:color="auto"/>
                    <w:bottom w:val="single" w:sz="4" w:space="0" w:color="auto"/>
                    <w:right w:val="single" w:sz="4" w:space="0" w:color="auto"/>
                  </w:tcBorders>
                  <w:shd w:val="clear" w:color="000000" w:fill="F1A983"/>
                  <w:noWrap/>
                  <w:vAlign w:val="bottom"/>
                  <w:hideMark/>
                </w:tcPr>
                <w:p w14:paraId="376D54EB"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Month</w:t>
                  </w:r>
                </w:p>
              </w:tc>
              <w:tc>
                <w:tcPr>
                  <w:tcW w:w="1251" w:type="dxa"/>
                  <w:tcBorders>
                    <w:top w:val="single" w:sz="4" w:space="0" w:color="auto"/>
                    <w:left w:val="nil"/>
                    <w:bottom w:val="single" w:sz="4" w:space="0" w:color="auto"/>
                    <w:right w:val="single" w:sz="4" w:space="0" w:color="auto"/>
                  </w:tcBorders>
                  <w:shd w:val="clear" w:color="000000" w:fill="F1A983"/>
                  <w:noWrap/>
                  <w:vAlign w:val="bottom"/>
                  <w:hideMark/>
                </w:tcPr>
                <w:p w14:paraId="785F9C1A"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FTB Cases</w:t>
                  </w:r>
                </w:p>
              </w:tc>
              <w:tc>
                <w:tcPr>
                  <w:tcW w:w="1514" w:type="dxa"/>
                  <w:tcBorders>
                    <w:top w:val="single" w:sz="4" w:space="0" w:color="auto"/>
                    <w:left w:val="nil"/>
                    <w:bottom w:val="single" w:sz="4" w:space="0" w:color="auto"/>
                    <w:right w:val="single" w:sz="4" w:space="0" w:color="auto"/>
                  </w:tcBorders>
                  <w:shd w:val="clear" w:color="000000" w:fill="F1A983"/>
                  <w:noWrap/>
                  <w:vAlign w:val="bottom"/>
                  <w:hideMark/>
                </w:tcPr>
                <w:p w14:paraId="06F47E65"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BTL Cases</w:t>
                  </w:r>
                </w:p>
              </w:tc>
              <w:tc>
                <w:tcPr>
                  <w:tcW w:w="1335" w:type="dxa"/>
                  <w:tcBorders>
                    <w:top w:val="single" w:sz="4" w:space="0" w:color="auto"/>
                    <w:left w:val="nil"/>
                    <w:bottom w:val="single" w:sz="4" w:space="0" w:color="auto"/>
                    <w:right w:val="single" w:sz="4" w:space="0" w:color="auto"/>
                  </w:tcBorders>
                  <w:shd w:val="clear" w:color="000000" w:fill="F1A983"/>
                  <w:noWrap/>
                  <w:vAlign w:val="bottom"/>
                  <w:hideMark/>
                </w:tcPr>
                <w:p w14:paraId="6CA1A05C"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Remortgage Cases</w:t>
                  </w:r>
                </w:p>
              </w:tc>
              <w:tc>
                <w:tcPr>
                  <w:tcW w:w="1706" w:type="dxa"/>
                  <w:tcBorders>
                    <w:top w:val="single" w:sz="4" w:space="0" w:color="auto"/>
                    <w:left w:val="nil"/>
                    <w:bottom w:val="single" w:sz="4" w:space="0" w:color="auto"/>
                    <w:right w:val="single" w:sz="4" w:space="0" w:color="auto"/>
                  </w:tcBorders>
                  <w:shd w:val="clear" w:color="000000" w:fill="F1A983"/>
                  <w:vAlign w:val="bottom"/>
                  <w:hideMark/>
                </w:tcPr>
                <w:p w14:paraId="0F91E80E"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Total sales value (£)</w:t>
                  </w:r>
                  <w:r w:rsidRPr="008F59EC">
                    <w:rPr>
                      <w:rFonts w:ascii="Arial" w:eastAsia="Times New Roman" w:hAnsi="Arial" w:cs="Arial"/>
                      <w:color w:val="000000"/>
                      <w:kern w:val="0"/>
                      <w:sz w:val="22"/>
                      <w:szCs w:val="22"/>
                      <w:lang w:eastAsia="en-GB"/>
                      <w14:ligatures w14:val="none"/>
                    </w:rPr>
                    <w:br/>
                    <w:t>per month</w:t>
                  </w:r>
                </w:p>
              </w:tc>
              <w:tc>
                <w:tcPr>
                  <w:tcW w:w="1460" w:type="dxa"/>
                  <w:tcBorders>
                    <w:top w:val="single" w:sz="4" w:space="0" w:color="auto"/>
                    <w:left w:val="nil"/>
                    <w:bottom w:val="single" w:sz="4" w:space="0" w:color="auto"/>
                    <w:right w:val="single" w:sz="4" w:space="0" w:color="auto"/>
                  </w:tcBorders>
                  <w:shd w:val="clear" w:color="000000" w:fill="F1A983"/>
                  <w:vAlign w:val="bottom"/>
                  <w:hideMark/>
                </w:tcPr>
                <w:p w14:paraId="6B8013A9"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Average sales value</w:t>
                  </w:r>
                  <w:r w:rsidRPr="008F59EC">
                    <w:rPr>
                      <w:rFonts w:ascii="Arial" w:eastAsia="Times New Roman" w:hAnsi="Arial" w:cs="Arial"/>
                      <w:color w:val="000000"/>
                      <w:kern w:val="0"/>
                      <w:sz w:val="22"/>
                      <w:szCs w:val="22"/>
                      <w:lang w:eastAsia="en-GB"/>
                      <w14:ligatures w14:val="none"/>
                    </w:rPr>
                    <w:br/>
                    <w:t>per day*</w:t>
                  </w:r>
                </w:p>
              </w:tc>
            </w:tr>
            <w:tr w:rsidR="00EA7246" w:rsidRPr="008F59EC" w14:paraId="02CFEDE0" w14:textId="77777777" w:rsidTr="00EA7246">
              <w:trPr>
                <w:trHeight w:val="319"/>
              </w:trPr>
              <w:tc>
                <w:tcPr>
                  <w:tcW w:w="1707" w:type="dxa"/>
                  <w:tcBorders>
                    <w:top w:val="nil"/>
                    <w:left w:val="single" w:sz="4" w:space="0" w:color="auto"/>
                    <w:bottom w:val="single" w:sz="4" w:space="0" w:color="auto"/>
                    <w:right w:val="single" w:sz="4" w:space="0" w:color="auto"/>
                  </w:tcBorders>
                  <w:shd w:val="clear" w:color="000000" w:fill="FBE2D5"/>
                  <w:noWrap/>
                  <w:vAlign w:val="bottom"/>
                  <w:hideMark/>
                </w:tcPr>
                <w:p w14:paraId="48B60B66"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Mar-26</w:t>
                  </w:r>
                </w:p>
              </w:tc>
              <w:tc>
                <w:tcPr>
                  <w:tcW w:w="1251" w:type="dxa"/>
                  <w:tcBorders>
                    <w:top w:val="nil"/>
                    <w:left w:val="nil"/>
                    <w:bottom w:val="single" w:sz="4" w:space="0" w:color="auto"/>
                    <w:right w:val="single" w:sz="4" w:space="0" w:color="auto"/>
                  </w:tcBorders>
                  <w:shd w:val="clear" w:color="000000" w:fill="FBE2D5"/>
                  <w:noWrap/>
                  <w:vAlign w:val="bottom"/>
                  <w:hideMark/>
                </w:tcPr>
                <w:p w14:paraId="0AE01FB9"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£1,800</w:t>
                  </w:r>
                </w:p>
              </w:tc>
              <w:tc>
                <w:tcPr>
                  <w:tcW w:w="1514" w:type="dxa"/>
                  <w:tcBorders>
                    <w:top w:val="nil"/>
                    <w:left w:val="nil"/>
                    <w:bottom w:val="single" w:sz="4" w:space="0" w:color="auto"/>
                    <w:right w:val="single" w:sz="4" w:space="0" w:color="auto"/>
                  </w:tcBorders>
                  <w:shd w:val="clear" w:color="000000" w:fill="FBE2D5"/>
                  <w:noWrap/>
                  <w:vAlign w:val="bottom"/>
                  <w:hideMark/>
                </w:tcPr>
                <w:p w14:paraId="532DC39D"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£1,100</w:t>
                  </w:r>
                </w:p>
              </w:tc>
              <w:tc>
                <w:tcPr>
                  <w:tcW w:w="1335" w:type="dxa"/>
                  <w:tcBorders>
                    <w:top w:val="nil"/>
                    <w:left w:val="nil"/>
                    <w:bottom w:val="single" w:sz="4" w:space="0" w:color="auto"/>
                    <w:right w:val="single" w:sz="4" w:space="0" w:color="auto"/>
                  </w:tcBorders>
                  <w:shd w:val="clear" w:color="000000" w:fill="FBE2D5"/>
                  <w:noWrap/>
                  <w:vAlign w:val="bottom"/>
                  <w:hideMark/>
                </w:tcPr>
                <w:p w14:paraId="1DB63BD9"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£1,600</w:t>
                  </w:r>
                </w:p>
              </w:tc>
              <w:tc>
                <w:tcPr>
                  <w:tcW w:w="1706" w:type="dxa"/>
                  <w:tcBorders>
                    <w:top w:val="nil"/>
                    <w:left w:val="nil"/>
                    <w:bottom w:val="single" w:sz="4" w:space="0" w:color="auto"/>
                    <w:right w:val="single" w:sz="4" w:space="0" w:color="auto"/>
                  </w:tcBorders>
                  <w:shd w:val="clear" w:color="000000" w:fill="FBE2D5"/>
                  <w:noWrap/>
                  <w:vAlign w:val="bottom"/>
                  <w:hideMark/>
                </w:tcPr>
                <w:p w14:paraId="7322B731"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£4,500</w:t>
                  </w:r>
                </w:p>
              </w:tc>
              <w:tc>
                <w:tcPr>
                  <w:tcW w:w="1460" w:type="dxa"/>
                  <w:tcBorders>
                    <w:top w:val="nil"/>
                    <w:left w:val="nil"/>
                    <w:bottom w:val="single" w:sz="4" w:space="0" w:color="auto"/>
                    <w:right w:val="single" w:sz="4" w:space="0" w:color="auto"/>
                  </w:tcBorders>
                  <w:shd w:val="clear" w:color="000000" w:fill="FBE2D5"/>
                  <w:noWrap/>
                  <w:vAlign w:val="bottom"/>
                  <w:hideMark/>
                </w:tcPr>
                <w:p w14:paraId="15DAB7F5"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£150.00</w:t>
                  </w:r>
                </w:p>
              </w:tc>
            </w:tr>
            <w:tr w:rsidR="00EA7246" w:rsidRPr="008F59EC" w14:paraId="770FC308" w14:textId="77777777" w:rsidTr="00EA7246">
              <w:trPr>
                <w:trHeight w:val="319"/>
              </w:trPr>
              <w:tc>
                <w:tcPr>
                  <w:tcW w:w="1707" w:type="dxa"/>
                  <w:tcBorders>
                    <w:top w:val="nil"/>
                    <w:left w:val="single" w:sz="4" w:space="0" w:color="auto"/>
                    <w:bottom w:val="single" w:sz="4" w:space="0" w:color="auto"/>
                    <w:right w:val="single" w:sz="4" w:space="0" w:color="auto"/>
                  </w:tcBorders>
                  <w:shd w:val="clear" w:color="000000" w:fill="FBE2D5"/>
                  <w:noWrap/>
                  <w:vAlign w:val="bottom"/>
                  <w:hideMark/>
                </w:tcPr>
                <w:p w14:paraId="7DE562DE"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Apr-26</w:t>
                  </w:r>
                </w:p>
              </w:tc>
              <w:tc>
                <w:tcPr>
                  <w:tcW w:w="1251" w:type="dxa"/>
                  <w:tcBorders>
                    <w:top w:val="nil"/>
                    <w:left w:val="nil"/>
                    <w:bottom w:val="single" w:sz="4" w:space="0" w:color="auto"/>
                    <w:right w:val="single" w:sz="4" w:space="0" w:color="auto"/>
                  </w:tcBorders>
                  <w:shd w:val="clear" w:color="000000" w:fill="FBE2D5"/>
                  <w:noWrap/>
                  <w:vAlign w:val="bottom"/>
                  <w:hideMark/>
                </w:tcPr>
                <w:p w14:paraId="640EDD34"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£2,700</w:t>
                  </w:r>
                </w:p>
              </w:tc>
              <w:tc>
                <w:tcPr>
                  <w:tcW w:w="1514" w:type="dxa"/>
                  <w:tcBorders>
                    <w:top w:val="nil"/>
                    <w:left w:val="nil"/>
                    <w:bottom w:val="single" w:sz="4" w:space="0" w:color="auto"/>
                    <w:right w:val="single" w:sz="4" w:space="0" w:color="auto"/>
                  </w:tcBorders>
                  <w:shd w:val="clear" w:color="000000" w:fill="FBE2D5"/>
                  <w:noWrap/>
                  <w:vAlign w:val="bottom"/>
                  <w:hideMark/>
                </w:tcPr>
                <w:p w14:paraId="2948FCB8"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£1,100</w:t>
                  </w:r>
                </w:p>
              </w:tc>
              <w:tc>
                <w:tcPr>
                  <w:tcW w:w="1335" w:type="dxa"/>
                  <w:tcBorders>
                    <w:top w:val="nil"/>
                    <w:left w:val="nil"/>
                    <w:bottom w:val="single" w:sz="4" w:space="0" w:color="auto"/>
                    <w:right w:val="single" w:sz="4" w:space="0" w:color="auto"/>
                  </w:tcBorders>
                  <w:shd w:val="clear" w:color="000000" w:fill="FBE2D5"/>
                  <w:noWrap/>
                  <w:vAlign w:val="bottom"/>
                  <w:hideMark/>
                </w:tcPr>
                <w:p w14:paraId="7013D6BD"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£1,600</w:t>
                  </w:r>
                </w:p>
              </w:tc>
              <w:tc>
                <w:tcPr>
                  <w:tcW w:w="1706" w:type="dxa"/>
                  <w:tcBorders>
                    <w:top w:val="nil"/>
                    <w:left w:val="nil"/>
                    <w:bottom w:val="single" w:sz="4" w:space="0" w:color="auto"/>
                    <w:right w:val="single" w:sz="4" w:space="0" w:color="auto"/>
                  </w:tcBorders>
                  <w:shd w:val="clear" w:color="000000" w:fill="FBE2D5"/>
                  <w:noWrap/>
                  <w:vAlign w:val="bottom"/>
                  <w:hideMark/>
                </w:tcPr>
                <w:p w14:paraId="4421FDD5"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£5,400</w:t>
                  </w:r>
                </w:p>
              </w:tc>
              <w:tc>
                <w:tcPr>
                  <w:tcW w:w="1460" w:type="dxa"/>
                  <w:tcBorders>
                    <w:top w:val="nil"/>
                    <w:left w:val="nil"/>
                    <w:bottom w:val="single" w:sz="4" w:space="0" w:color="auto"/>
                    <w:right w:val="single" w:sz="4" w:space="0" w:color="auto"/>
                  </w:tcBorders>
                  <w:shd w:val="clear" w:color="000000" w:fill="FBE2D5"/>
                  <w:noWrap/>
                  <w:vAlign w:val="bottom"/>
                  <w:hideMark/>
                </w:tcPr>
                <w:p w14:paraId="6713A0E1"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£180.00</w:t>
                  </w:r>
                </w:p>
              </w:tc>
            </w:tr>
            <w:tr w:rsidR="00EA7246" w:rsidRPr="008F59EC" w14:paraId="0DB1108A" w14:textId="77777777" w:rsidTr="00EA7246">
              <w:trPr>
                <w:trHeight w:val="319"/>
              </w:trPr>
              <w:tc>
                <w:tcPr>
                  <w:tcW w:w="1707" w:type="dxa"/>
                  <w:tcBorders>
                    <w:top w:val="nil"/>
                    <w:left w:val="single" w:sz="4" w:space="0" w:color="auto"/>
                    <w:bottom w:val="single" w:sz="4" w:space="0" w:color="auto"/>
                    <w:right w:val="single" w:sz="4" w:space="0" w:color="auto"/>
                  </w:tcBorders>
                  <w:shd w:val="clear" w:color="000000" w:fill="FBE2D5"/>
                  <w:vAlign w:val="bottom"/>
                  <w:hideMark/>
                </w:tcPr>
                <w:p w14:paraId="32BA0E4E"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May-26</w:t>
                  </w:r>
                </w:p>
              </w:tc>
              <w:tc>
                <w:tcPr>
                  <w:tcW w:w="1251" w:type="dxa"/>
                  <w:tcBorders>
                    <w:top w:val="nil"/>
                    <w:left w:val="nil"/>
                    <w:bottom w:val="single" w:sz="4" w:space="0" w:color="auto"/>
                    <w:right w:val="single" w:sz="4" w:space="0" w:color="auto"/>
                  </w:tcBorders>
                  <w:shd w:val="clear" w:color="000000" w:fill="FBE2D5"/>
                  <w:noWrap/>
                  <w:vAlign w:val="bottom"/>
                  <w:hideMark/>
                </w:tcPr>
                <w:p w14:paraId="26C39EAE"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£2,700</w:t>
                  </w:r>
                </w:p>
              </w:tc>
              <w:tc>
                <w:tcPr>
                  <w:tcW w:w="1514" w:type="dxa"/>
                  <w:tcBorders>
                    <w:top w:val="nil"/>
                    <w:left w:val="nil"/>
                    <w:bottom w:val="single" w:sz="4" w:space="0" w:color="auto"/>
                    <w:right w:val="single" w:sz="4" w:space="0" w:color="auto"/>
                  </w:tcBorders>
                  <w:shd w:val="clear" w:color="000000" w:fill="FBE2D5"/>
                  <w:noWrap/>
                  <w:vAlign w:val="bottom"/>
                  <w:hideMark/>
                </w:tcPr>
                <w:p w14:paraId="39AB329B"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£2,200</w:t>
                  </w:r>
                </w:p>
              </w:tc>
              <w:tc>
                <w:tcPr>
                  <w:tcW w:w="1335" w:type="dxa"/>
                  <w:tcBorders>
                    <w:top w:val="nil"/>
                    <w:left w:val="nil"/>
                    <w:bottom w:val="single" w:sz="4" w:space="0" w:color="auto"/>
                    <w:right w:val="single" w:sz="4" w:space="0" w:color="auto"/>
                  </w:tcBorders>
                  <w:shd w:val="clear" w:color="000000" w:fill="FBE2D5"/>
                  <w:noWrap/>
                  <w:vAlign w:val="bottom"/>
                  <w:hideMark/>
                </w:tcPr>
                <w:p w14:paraId="77C14364"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£2,400</w:t>
                  </w:r>
                </w:p>
              </w:tc>
              <w:tc>
                <w:tcPr>
                  <w:tcW w:w="1706" w:type="dxa"/>
                  <w:tcBorders>
                    <w:top w:val="nil"/>
                    <w:left w:val="nil"/>
                    <w:bottom w:val="single" w:sz="4" w:space="0" w:color="auto"/>
                    <w:right w:val="single" w:sz="4" w:space="0" w:color="auto"/>
                  </w:tcBorders>
                  <w:shd w:val="clear" w:color="000000" w:fill="FBE2D5"/>
                  <w:noWrap/>
                  <w:vAlign w:val="bottom"/>
                  <w:hideMark/>
                </w:tcPr>
                <w:p w14:paraId="4C43406C"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£7,300</w:t>
                  </w:r>
                </w:p>
              </w:tc>
              <w:tc>
                <w:tcPr>
                  <w:tcW w:w="1460" w:type="dxa"/>
                  <w:tcBorders>
                    <w:top w:val="nil"/>
                    <w:left w:val="nil"/>
                    <w:bottom w:val="single" w:sz="4" w:space="0" w:color="auto"/>
                    <w:right w:val="single" w:sz="4" w:space="0" w:color="auto"/>
                  </w:tcBorders>
                  <w:shd w:val="clear" w:color="000000" w:fill="FBE2D5"/>
                  <w:noWrap/>
                  <w:vAlign w:val="bottom"/>
                  <w:hideMark/>
                </w:tcPr>
                <w:p w14:paraId="4B0B5B0E"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£243.33</w:t>
                  </w:r>
                </w:p>
              </w:tc>
            </w:tr>
            <w:tr w:rsidR="00EA7246" w:rsidRPr="008F59EC" w14:paraId="318110B9" w14:textId="77777777" w:rsidTr="00EA7246">
              <w:trPr>
                <w:trHeight w:val="319"/>
              </w:trPr>
              <w:tc>
                <w:tcPr>
                  <w:tcW w:w="1707" w:type="dxa"/>
                  <w:tcBorders>
                    <w:top w:val="nil"/>
                    <w:left w:val="single" w:sz="4" w:space="0" w:color="auto"/>
                    <w:bottom w:val="single" w:sz="4" w:space="0" w:color="auto"/>
                    <w:right w:val="single" w:sz="4" w:space="0" w:color="auto"/>
                  </w:tcBorders>
                  <w:shd w:val="clear" w:color="000000" w:fill="FBE2D5"/>
                  <w:noWrap/>
                  <w:vAlign w:val="bottom"/>
                  <w:hideMark/>
                </w:tcPr>
                <w:p w14:paraId="5CD4398D"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Jun-26</w:t>
                  </w:r>
                </w:p>
              </w:tc>
              <w:tc>
                <w:tcPr>
                  <w:tcW w:w="1251" w:type="dxa"/>
                  <w:tcBorders>
                    <w:top w:val="nil"/>
                    <w:left w:val="nil"/>
                    <w:bottom w:val="single" w:sz="4" w:space="0" w:color="auto"/>
                    <w:right w:val="single" w:sz="4" w:space="0" w:color="auto"/>
                  </w:tcBorders>
                  <w:shd w:val="clear" w:color="000000" w:fill="FBE2D5"/>
                  <w:noWrap/>
                  <w:vAlign w:val="bottom"/>
                  <w:hideMark/>
                </w:tcPr>
                <w:p w14:paraId="54B0B1A2"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£3,600</w:t>
                  </w:r>
                </w:p>
              </w:tc>
              <w:tc>
                <w:tcPr>
                  <w:tcW w:w="1514" w:type="dxa"/>
                  <w:tcBorders>
                    <w:top w:val="nil"/>
                    <w:left w:val="nil"/>
                    <w:bottom w:val="single" w:sz="4" w:space="0" w:color="auto"/>
                    <w:right w:val="single" w:sz="4" w:space="0" w:color="auto"/>
                  </w:tcBorders>
                  <w:shd w:val="clear" w:color="000000" w:fill="FBE2D5"/>
                  <w:noWrap/>
                  <w:vAlign w:val="bottom"/>
                  <w:hideMark/>
                </w:tcPr>
                <w:p w14:paraId="199B84C5"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£2,200</w:t>
                  </w:r>
                </w:p>
              </w:tc>
              <w:tc>
                <w:tcPr>
                  <w:tcW w:w="1335" w:type="dxa"/>
                  <w:tcBorders>
                    <w:top w:val="nil"/>
                    <w:left w:val="nil"/>
                    <w:bottom w:val="single" w:sz="4" w:space="0" w:color="auto"/>
                    <w:right w:val="single" w:sz="4" w:space="0" w:color="auto"/>
                  </w:tcBorders>
                  <w:shd w:val="clear" w:color="000000" w:fill="FBE2D5"/>
                  <w:noWrap/>
                  <w:vAlign w:val="bottom"/>
                  <w:hideMark/>
                </w:tcPr>
                <w:p w14:paraId="7E414923"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£3,200</w:t>
                  </w:r>
                </w:p>
              </w:tc>
              <w:tc>
                <w:tcPr>
                  <w:tcW w:w="1706" w:type="dxa"/>
                  <w:tcBorders>
                    <w:top w:val="nil"/>
                    <w:left w:val="nil"/>
                    <w:bottom w:val="single" w:sz="4" w:space="0" w:color="auto"/>
                    <w:right w:val="single" w:sz="4" w:space="0" w:color="auto"/>
                  </w:tcBorders>
                  <w:shd w:val="clear" w:color="000000" w:fill="FBE2D5"/>
                  <w:noWrap/>
                  <w:vAlign w:val="bottom"/>
                  <w:hideMark/>
                </w:tcPr>
                <w:p w14:paraId="299FC02C"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£9,000</w:t>
                  </w:r>
                </w:p>
              </w:tc>
              <w:tc>
                <w:tcPr>
                  <w:tcW w:w="1460" w:type="dxa"/>
                  <w:tcBorders>
                    <w:top w:val="nil"/>
                    <w:left w:val="nil"/>
                    <w:bottom w:val="single" w:sz="4" w:space="0" w:color="auto"/>
                    <w:right w:val="single" w:sz="4" w:space="0" w:color="auto"/>
                  </w:tcBorders>
                  <w:shd w:val="clear" w:color="000000" w:fill="FBE2D5"/>
                  <w:noWrap/>
                  <w:vAlign w:val="bottom"/>
                  <w:hideMark/>
                </w:tcPr>
                <w:p w14:paraId="709C2695"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£300.00</w:t>
                  </w:r>
                </w:p>
              </w:tc>
            </w:tr>
            <w:tr w:rsidR="00EA7246" w:rsidRPr="008F59EC" w14:paraId="233C7C9A" w14:textId="77777777" w:rsidTr="00EA7246">
              <w:trPr>
                <w:trHeight w:val="319"/>
              </w:trPr>
              <w:tc>
                <w:tcPr>
                  <w:tcW w:w="1707" w:type="dxa"/>
                  <w:tcBorders>
                    <w:top w:val="nil"/>
                    <w:left w:val="single" w:sz="4" w:space="0" w:color="auto"/>
                    <w:bottom w:val="single" w:sz="4" w:space="0" w:color="auto"/>
                    <w:right w:val="single" w:sz="4" w:space="0" w:color="auto"/>
                  </w:tcBorders>
                  <w:shd w:val="clear" w:color="000000" w:fill="FBE2D5"/>
                  <w:noWrap/>
                  <w:vAlign w:val="bottom"/>
                  <w:hideMark/>
                </w:tcPr>
                <w:p w14:paraId="3F6B66F1"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Jul-26</w:t>
                  </w:r>
                </w:p>
              </w:tc>
              <w:tc>
                <w:tcPr>
                  <w:tcW w:w="1251" w:type="dxa"/>
                  <w:tcBorders>
                    <w:top w:val="nil"/>
                    <w:left w:val="nil"/>
                    <w:bottom w:val="single" w:sz="4" w:space="0" w:color="auto"/>
                    <w:right w:val="single" w:sz="4" w:space="0" w:color="auto"/>
                  </w:tcBorders>
                  <w:shd w:val="clear" w:color="000000" w:fill="FBE2D5"/>
                  <w:noWrap/>
                  <w:vAlign w:val="bottom"/>
                  <w:hideMark/>
                </w:tcPr>
                <w:p w14:paraId="16590E4F"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£4,500</w:t>
                  </w:r>
                </w:p>
              </w:tc>
              <w:tc>
                <w:tcPr>
                  <w:tcW w:w="1514" w:type="dxa"/>
                  <w:tcBorders>
                    <w:top w:val="nil"/>
                    <w:left w:val="nil"/>
                    <w:bottom w:val="single" w:sz="4" w:space="0" w:color="auto"/>
                    <w:right w:val="single" w:sz="4" w:space="0" w:color="auto"/>
                  </w:tcBorders>
                  <w:shd w:val="clear" w:color="000000" w:fill="FBE2D5"/>
                  <w:noWrap/>
                  <w:vAlign w:val="bottom"/>
                  <w:hideMark/>
                </w:tcPr>
                <w:p w14:paraId="7186AF9C"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£2,200</w:t>
                  </w:r>
                </w:p>
              </w:tc>
              <w:tc>
                <w:tcPr>
                  <w:tcW w:w="1335" w:type="dxa"/>
                  <w:tcBorders>
                    <w:top w:val="nil"/>
                    <w:left w:val="nil"/>
                    <w:bottom w:val="single" w:sz="4" w:space="0" w:color="auto"/>
                    <w:right w:val="single" w:sz="4" w:space="0" w:color="auto"/>
                  </w:tcBorders>
                  <w:shd w:val="clear" w:color="000000" w:fill="FBE2D5"/>
                  <w:noWrap/>
                  <w:vAlign w:val="bottom"/>
                  <w:hideMark/>
                </w:tcPr>
                <w:p w14:paraId="570BD561"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£3,200</w:t>
                  </w:r>
                </w:p>
              </w:tc>
              <w:tc>
                <w:tcPr>
                  <w:tcW w:w="1706" w:type="dxa"/>
                  <w:tcBorders>
                    <w:top w:val="nil"/>
                    <w:left w:val="nil"/>
                    <w:bottom w:val="single" w:sz="4" w:space="0" w:color="auto"/>
                    <w:right w:val="single" w:sz="4" w:space="0" w:color="auto"/>
                  </w:tcBorders>
                  <w:shd w:val="clear" w:color="000000" w:fill="FBE2D5"/>
                  <w:noWrap/>
                  <w:vAlign w:val="bottom"/>
                  <w:hideMark/>
                </w:tcPr>
                <w:p w14:paraId="7C05BEAE"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£9,900</w:t>
                  </w:r>
                </w:p>
              </w:tc>
              <w:tc>
                <w:tcPr>
                  <w:tcW w:w="1460" w:type="dxa"/>
                  <w:tcBorders>
                    <w:top w:val="nil"/>
                    <w:left w:val="nil"/>
                    <w:bottom w:val="single" w:sz="4" w:space="0" w:color="auto"/>
                    <w:right w:val="single" w:sz="4" w:space="0" w:color="auto"/>
                  </w:tcBorders>
                  <w:shd w:val="clear" w:color="000000" w:fill="FBE2D5"/>
                  <w:noWrap/>
                  <w:vAlign w:val="bottom"/>
                  <w:hideMark/>
                </w:tcPr>
                <w:p w14:paraId="03710E41"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£330.00</w:t>
                  </w:r>
                </w:p>
              </w:tc>
            </w:tr>
            <w:tr w:rsidR="00EA7246" w:rsidRPr="008F59EC" w14:paraId="07CB33F4" w14:textId="77777777" w:rsidTr="00EA7246">
              <w:trPr>
                <w:trHeight w:val="319"/>
              </w:trPr>
              <w:tc>
                <w:tcPr>
                  <w:tcW w:w="1707" w:type="dxa"/>
                  <w:tcBorders>
                    <w:top w:val="nil"/>
                    <w:left w:val="single" w:sz="4" w:space="0" w:color="auto"/>
                    <w:bottom w:val="single" w:sz="4" w:space="0" w:color="auto"/>
                    <w:right w:val="single" w:sz="4" w:space="0" w:color="auto"/>
                  </w:tcBorders>
                  <w:shd w:val="clear" w:color="000000" w:fill="FBE2D5"/>
                  <w:noWrap/>
                  <w:vAlign w:val="bottom"/>
                  <w:hideMark/>
                </w:tcPr>
                <w:p w14:paraId="6284E122"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Aug-26</w:t>
                  </w:r>
                </w:p>
              </w:tc>
              <w:tc>
                <w:tcPr>
                  <w:tcW w:w="1251" w:type="dxa"/>
                  <w:tcBorders>
                    <w:top w:val="nil"/>
                    <w:left w:val="nil"/>
                    <w:bottom w:val="single" w:sz="4" w:space="0" w:color="auto"/>
                    <w:right w:val="single" w:sz="4" w:space="0" w:color="auto"/>
                  </w:tcBorders>
                  <w:shd w:val="clear" w:color="000000" w:fill="FBE2D5"/>
                  <w:noWrap/>
                  <w:vAlign w:val="bottom"/>
                  <w:hideMark/>
                </w:tcPr>
                <w:p w14:paraId="1EBDB03E"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£4,500</w:t>
                  </w:r>
                </w:p>
              </w:tc>
              <w:tc>
                <w:tcPr>
                  <w:tcW w:w="1514" w:type="dxa"/>
                  <w:tcBorders>
                    <w:top w:val="nil"/>
                    <w:left w:val="nil"/>
                    <w:bottom w:val="single" w:sz="4" w:space="0" w:color="auto"/>
                    <w:right w:val="single" w:sz="4" w:space="0" w:color="auto"/>
                  </w:tcBorders>
                  <w:shd w:val="clear" w:color="000000" w:fill="FBE2D5"/>
                  <w:noWrap/>
                  <w:vAlign w:val="bottom"/>
                  <w:hideMark/>
                </w:tcPr>
                <w:p w14:paraId="6E1EFAA9"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£3,300</w:t>
                  </w:r>
                </w:p>
              </w:tc>
              <w:tc>
                <w:tcPr>
                  <w:tcW w:w="1335" w:type="dxa"/>
                  <w:tcBorders>
                    <w:top w:val="nil"/>
                    <w:left w:val="nil"/>
                    <w:bottom w:val="single" w:sz="4" w:space="0" w:color="auto"/>
                    <w:right w:val="single" w:sz="4" w:space="0" w:color="auto"/>
                  </w:tcBorders>
                  <w:shd w:val="clear" w:color="000000" w:fill="FBE2D5"/>
                  <w:noWrap/>
                  <w:vAlign w:val="bottom"/>
                  <w:hideMark/>
                </w:tcPr>
                <w:p w14:paraId="358311D1"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£3,200</w:t>
                  </w:r>
                </w:p>
              </w:tc>
              <w:tc>
                <w:tcPr>
                  <w:tcW w:w="1706" w:type="dxa"/>
                  <w:tcBorders>
                    <w:top w:val="nil"/>
                    <w:left w:val="nil"/>
                    <w:bottom w:val="single" w:sz="4" w:space="0" w:color="auto"/>
                    <w:right w:val="single" w:sz="4" w:space="0" w:color="auto"/>
                  </w:tcBorders>
                  <w:shd w:val="clear" w:color="000000" w:fill="FBE2D5"/>
                  <w:noWrap/>
                  <w:vAlign w:val="bottom"/>
                  <w:hideMark/>
                </w:tcPr>
                <w:p w14:paraId="004F527A"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£11,000</w:t>
                  </w:r>
                </w:p>
              </w:tc>
              <w:tc>
                <w:tcPr>
                  <w:tcW w:w="1460" w:type="dxa"/>
                  <w:tcBorders>
                    <w:top w:val="nil"/>
                    <w:left w:val="nil"/>
                    <w:bottom w:val="single" w:sz="4" w:space="0" w:color="auto"/>
                    <w:right w:val="single" w:sz="4" w:space="0" w:color="auto"/>
                  </w:tcBorders>
                  <w:shd w:val="clear" w:color="000000" w:fill="FBE2D5"/>
                  <w:noWrap/>
                  <w:vAlign w:val="bottom"/>
                  <w:hideMark/>
                </w:tcPr>
                <w:p w14:paraId="7E1BB3BC"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£366.67</w:t>
                  </w:r>
                </w:p>
              </w:tc>
            </w:tr>
            <w:tr w:rsidR="00EA7246" w:rsidRPr="008F59EC" w14:paraId="02CF2276" w14:textId="77777777" w:rsidTr="00EA7246">
              <w:trPr>
                <w:trHeight w:val="319"/>
              </w:trPr>
              <w:tc>
                <w:tcPr>
                  <w:tcW w:w="1707" w:type="dxa"/>
                  <w:tcBorders>
                    <w:top w:val="nil"/>
                    <w:left w:val="single" w:sz="4" w:space="0" w:color="auto"/>
                    <w:bottom w:val="single" w:sz="4" w:space="0" w:color="auto"/>
                    <w:right w:val="single" w:sz="4" w:space="0" w:color="auto"/>
                  </w:tcBorders>
                  <w:shd w:val="clear" w:color="000000" w:fill="FBE2D5"/>
                  <w:noWrap/>
                  <w:vAlign w:val="bottom"/>
                  <w:hideMark/>
                </w:tcPr>
                <w:p w14:paraId="1994D4DC"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Sep-26</w:t>
                  </w:r>
                </w:p>
              </w:tc>
              <w:tc>
                <w:tcPr>
                  <w:tcW w:w="1251" w:type="dxa"/>
                  <w:tcBorders>
                    <w:top w:val="nil"/>
                    <w:left w:val="nil"/>
                    <w:bottom w:val="single" w:sz="4" w:space="0" w:color="auto"/>
                    <w:right w:val="single" w:sz="4" w:space="0" w:color="auto"/>
                  </w:tcBorders>
                  <w:shd w:val="clear" w:color="000000" w:fill="FBE2D5"/>
                  <w:noWrap/>
                  <w:vAlign w:val="bottom"/>
                  <w:hideMark/>
                </w:tcPr>
                <w:p w14:paraId="7DB6BEC1"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£5,400</w:t>
                  </w:r>
                </w:p>
              </w:tc>
              <w:tc>
                <w:tcPr>
                  <w:tcW w:w="1514" w:type="dxa"/>
                  <w:tcBorders>
                    <w:top w:val="nil"/>
                    <w:left w:val="nil"/>
                    <w:bottom w:val="single" w:sz="4" w:space="0" w:color="auto"/>
                    <w:right w:val="single" w:sz="4" w:space="0" w:color="auto"/>
                  </w:tcBorders>
                  <w:shd w:val="clear" w:color="000000" w:fill="FBE2D5"/>
                  <w:noWrap/>
                  <w:vAlign w:val="bottom"/>
                  <w:hideMark/>
                </w:tcPr>
                <w:p w14:paraId="66C0F336"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£3,300</w:t>
                  </w:r>
                </w:p>
              </w:tc>
              <w:tc>
                <w:tcPr>
                  <w:tcW w:w="1335" w:type="dxa"/>
                  <w:tcBorders>
                    <w:top w:val="nil"/>
                    <w:left w:val="nil"/>
                    <w:bottom w:val="single" w:sz="4" w:space="0" w:color="auto"/>
                    <w:right w:val="single" w:sz="4" w:space="0" w:color="auto"/>
                  </w:tcBorders>
                  <w:shd w:val="clear" w:color="000000" w:fill="FBE2D5"/>
                  <w:noWrap/>
                  <w:vAlign w:val="bottom"/>
                  <w:hideMark/>
                </w:tcPr>
                <w:p w14:paraId="133F5DA0"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£4,000</w:t>
                  </w:r>
                </w:p>
              </w:tc>
              <w:tc>
                <w:tcPr>
                  <w:tcW w:w="1706" w:type="dxa"/>
                  <w:tcBorders>
                    <w:top w:val="nil"/>
                    <w:left w:val="nil"/>
                    <w:bottom w:val="single" w:sz="4" w:space="0" w:color="auto"/>
                    <w:right w:val="single" w:sz="4" w:space="0" w:color="auto"/>
                  </w:tcBorders>
                  <w:shd w:val="clear" w:color="000000" w:fill="FBE2D5"/>
                  <w:noWrap/>
                  <w:vAlign w:val="bottom"/>
                  <w:hideMark/>
                </w:tcPr>
                <w:p w14:paraId="00F77209"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£12,700</w:t>
                  </w:r>
                </w:p>
              </w:tc>
              <w:tc>
                <w:tcPr>
                  <w:tcW w:w="1460" w:type="dxa"/>
                  <w:tcBorders>
                    <w:top w:val="nil"/>
                    <w:left w:val="nil"/>
                    <w:bottom w:val="single" w:sz="4" w:space="0" w:color="auto"/>
                    <w:right w:val="single" w:sz="4" w:space="0" w:color="auto"/>
                  </w:tcBorders>
                  <w:shd w:val="clear" w:color="000000" w:fill="FBE2D5"/>
                  <w:noWrap/>
                  <w:vAlign w:val="bottom"/>
                  <w:hideMark/>
                </w:tcPr>
                <w:p w14:paraId="2FDE6B82"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£423.33</w:t>
                  </w:r>
                </w:p>
              </w:tc>
            </w:tr>
            <w:tr w:rsidR="00EA7246" w:rsidRPr="008F59EC" w14:paraId="1FEC5762" w14:textId="77777777" w:rsidTr="00EA7246">
              <w:trPr>
                <w:trHeight w:val="319"/>
              </w:trPr>
              <w:tc>
                <w:tcPr>
                  <w:tcW w:w="1707" w:type="dxa"/>
                  <w:tcBorders>
                    <w:top w:val="nil"/>
                    <w:left w:val="single" w:sz="4" w:space="0" w:color="auto"/>
                    <w:bottom w:val="single" w:sz="4" w:space="0" w:color="auto"/>
                    <w:right w:val="single" w:sz="4" w:space="0" w:color="auto"/>
                  </w:tcBorders>
                  <w:shd w:val="clear" w:color="000000" w:fill="FBE2D5"/>
                  <w:noWrap/>
                  <w:vAlign w:val="bottom"/>
                  <w:hideMark/>
                </w:tcPr>
                <w:p w14:paraId="5F69CBBD"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Oct-26</w:t>
                  </w:r>
                </w:p>
              </w:tc>
              <w:tc>
                <w:tcPr>
                  <w:tcW w:w="1251" w:type="dxa"/>
                  <w:tcBorders>
                    <w:top w:val="nil"/>
                    <w:left w:val="nil"/>
                    <w:bottom w:val="single" w:sz="4" w:space="0" w:color="auto"/>
                    <w:right w:val="single" w:sz="4" w:space="0" w:color="auto"/>
                  </w:tcBorders>
                  <w:shd w:val="clear" w:color="000000" w:fill="FBE2D5"/>
                  <w:noWrap/>
                  <w:vAlign w:val="bottom"/>
                  <w:hideMark/>
                </w:tcPr>
                <w:p w14:paraId="78BA0310"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£5,400</w:t>
                  </w:r>
                </w:p>
              </w:tc>
              <w:tc>
                <w:tcPr>
                  <w:tcW w:w="1514" w:type="dxa"/>
                  <w:tcBorders>
                    <w:top w:val="nil"/>
                    <w:left w:val="nil"/>
                    <w:bottom w:val="single" w:sz="4" w:space="0" w:color="auto"/>
                    <w:right w:val="single" w:sz="4" w:space="0" w:color="auto"/>
                  </w:tcBorders>
                  <w:shd w:val="clear" w:color="000000" w:fill="FBE2D5"/>
                  <w:noWrap/>
                  <w:vAlign w:val="bottom"/>
                  <w:hideMark/>
                </w:tcPr>
                <w:p w14:paraId="13147D78"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£3,300</w:t>
                  </w:r>
                </w:p>
              </w:tc>
              <w:tc>
                <w:tcPr>
                  <w:tcW w:w="1335" w:type="dxa"/>
                  <w:tcBorders>
                    <w:top w:val="nil"/>
                    <w:left w:val="nil"/>
                    <w:bottom w:val="single" w:sz="4" w:space="0" w:color="auto"/>
                    <w:right w:val="single" w:sz="4" w:space="0" w:color="auto"/>
                  </w:tcBorders>
                  <w:shd w:val="clear" w:color="000000" w:fill="FBE2D5"/>
                  <w:noWrap/>
                  <w:vAlign w:val="bottom"/>
                  <w:hideMark/>
                </w:tcPr>
                <w:p w14:paraId="141E136D"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£4,000</w:t>
                  </w:r>
                </w:p>
              </w:tc>
              <w:tc>
                <w:tcPr>
                  <w:tcW w:w="1706" w:type="dxa"/>
                  <w:tcBorders>
                    <w:top w:val="nil"/>
                    <w:left w:val="nil"/>
                    <w:bottom w:val="single" w:sz="4" w:space="0" w:color="auto"/>
                    <w:right w:val="single" w:sz="4" w:space="0" w:color="auto"/>
                  </w:tcBorders>
                  <w:shd w:val="clear" w:color="000000" w:fill="FBE2D5"/>
                  <w:noWrap/>
                  <w:vAlign w:val="bottom"/>
                  <w:hideMark/>
                </w:tcPr>
                <w:p w14:paraId="60DC043A"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£12,700</w:t>
                  </w:r>
                </w:p>
              </w:tc>
              <w:tc>
                <w:tcPr>
                  <w:tcW w:w="1460" w:type="dxa"/>
                  <w:tcBorders>
                    <w:top w:val="nil"/>
                    <w:left w:val="nil"/>
                    <w:bottom w:val="single" w:sz="4" w:space="0" w:color="auto"/>
                    <w:right w:val="single" w:sz="4" w:space="0" w:color="auto"/>
                  </w:tcBorders>
                  <w:shd w:val="clear" w:color="000000" w:fill="FBE2D5"/>
                  <w:noWrap/>
                  <w:vAlign w:val="bottom"/>
                  <w:hideMark/>
                </w:tcPr>
                <w:p w14:paraId="739B17C8"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£423.33</w:t>
                  </w:r>
                </w:p>
              </w:tc>
            </w:tr>
            <w:tr w:rsidR="00EA7246" w:rsidRPr="008F59EC" w14:paraId="3FD0EC3E" w14:textId="77777777" w:rsidTr="00EA7246">
              <w:trPr>
                <w:trHeight w:val="319"/>
              </w:trPr>
              <w:tc>
                <w:tcPr>
                  <w:tcW w:w="1707" w:type="dxa"/>
                  <w:tcBorders>
                    <w:top w:val="nil"/>
                    <w:left w:val="single" w:sz="4" w:space="0" w:color="auto"/>
                    <w:bottom w:val="single" w:sz="4" w:space="0" w:color="auto"/>
                    <w:right w:val="single" w:sz="4" w:space="0" w:color="auto"/>
                  </w:tcBorders>
                  <w:shd w:val="clear" w:color="000000" w:fill="FBE2D5"/>
                  <w:noWrap/>
                  <w:vAlign w:val="bottom"/>
                  <w:hideMark/>
                </w:tcPr>
                <w:p w14:paraId="48E10AAA"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Nov-26</w:t>
                  </w:r>
                </w:p>
              </w:tc>
              <w:tc>
                <w:tcPr>
                  <w:tcW w:w="1251" w:type="dxa"/>
                  <w:tcBorders>
                    <w:top w:val="nil"/>
                    <w:left w:val="nil"/>
                    <w:bottom w:val="single" w:sz="4" w:space="0" w:color="auto"/>
                    <w:right w:val="single" w:sz="4" w:space="0" w:color="auto"/>
                  </w:tcBorders>
                  <w:shd w:val="clear" w:color="000000" w:fill="FBE2D5"/>
                  <w:noWrap/>
                  <w:vAlign w:val="bottom"/>
                  <w:hideMark/>
                </w:tcPr>
                <w:p w14:paraId="7C630135"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£6,300</w:t>
                  </w:r>
                </w:p>
              </w:tc>
              <w:tc>
                <w:tcPr>
                  <w:tcW w:w="1514" w:type="dxa"/>
                  <w:tcBorders>
                    <w:top w:val="nil"/>
                    <w:left w:val="nil"/>
                    <w:bottom w:val="single" w:sz="4" w:space="0" w:color="auto"/>
                    <w:right w:val="single" w:sz="4" w:space="0" w:color="auto"/>
                  </w:tcBorders>
                  <w:shd w:val="clear" w:color="000000" w:fill="FBE2D5"/>
                  <w:noWrap/>
                  <w:vAlign w:val="bottom"/>
                  <w:hideMark/>
                </w:tcPr>
                <w:p w14:paraId="7D324C34"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£3,300</w:t>
                  </w:r>
                </w:p>
              </w:tc>
              <w:tc>
                <w:tcPr>
                  <w:tcW w:w="1335" w:type="dxa"/>
                  <w:tcBorders>
                    <w:top w:val="nil"/>
                    <w:left w:val="nil"/>
                    <w:bottom w:val="single" w:sz="4" w:space="0" w:color="auto"/>
                    <w:right w:val="single" w:sz="4" w:space="0" w:color="auto"/>
                  </w:tcBorders>
                  <w:shd w:val="clear" w:color="000000" w:fill="FBE2D5"/>
                  <w:noWrap/>
                  <w:vAlign w:val="bottom"/>
                  <w:hideMark/>
                </w:tcPr>
                <w:p w14:paraId="0DA27422"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£4,800</w:t>
                  </w:r>
                </w:p>
              </w:tc>
              <w:tc>
                <w:tcPr>
                  <w:tcW w:w="1706" w:type="dxa"/>
                  <w:tcBorders>
                    <w:top w:val="nil"/>
                    <w:left w:val="nil"/>
                    <w:bottom w:val="single" w:sz="4" w:space="0" w:color="auto"/>
                    <w:right w:val="single" w:sz="4" w:space="0" w:color="auto"/>
                  </w:tcBorders>
                  <w:shd w:val="clear" w:color="000000" w:fill="FBE2D5"/>
                  <w:noWrap/>
                  <w:vAlign w:val="bottom"/>
                  <w:hideMark/>
                </w:tcPr>
                <w:p w14:paraId="2C4DFEF7"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£14,400</w:t>
                  </w:r>
                </w:p>
              </w:tc>
              <w:tc>
                <w:tcPr>
                  <w:tcW w:w="1460" w:type="dxa"/>
                  <w:tcBorders>
                    <w:top w:val="nil"/>
                    <w:left w:val="nil"/>
                    <w:bottom w:val="single" w:sz="4" w:space="0" w:color="auto"/>
                    <w:right w:val="single" w:sz="4" w:space="0" w:color="auto"/>
                  </w:tcBorders>
                  <w:shd w:val="clear" w:color="000000" w:fill="FBE2D5"/>
                  <w:noWrap/>
                  <w:vAlign w:val="bottom"/>
                  <w:hideMark/>
                </w:tcPr>
                <w:p w14:paraId="473B0F90"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£480.00</w:t>
                  </w:r>
                </w:p>
              </w:tc>
            </w:tr>
            <w:tr w:rsidR="00EA7246" w:rsidRPr="008F59EC" w14:paraId="432366F7" w14:textId="77777777" w:rsidTr="00EA7246">
              <w:trPr>
                <w:trHeight w:val="319"/>
              </w:trPr>
              <w:tc>
                <w:tcPr>
                  <w:tcW w:w="1707" w:type="dxa"/>
                  <w:tcBorders>
                    <w:top w:val="nil"/>
                    <w:left w:val="single" w:sz="4" w:space="0" w:color="auto"/>
                    <w:bottom w:val="single" w:sz="4" w:space="0" w:color="auto"/>
                    <w:right w:val="single" w:sz="4" w:space="0" w:color="auto"/>
                  </w:tcBorders>
                  <w:shd w:val="clear" w:color="000000" w:fill="FBE2D5"/>
                  <w:noWrap/>
                  <w:vAlign w:val="bottom"/>
                  <w:hideMark/>
                </w:tcPr>
                <w:p w14:paraId="4D03D3B3"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Dec-26</w:t>
                  </w:r>
                </w:p>
              </w:tc>
              <w:tc>
                <w:tcPr>
                  <w:tcW w:w="1251" w:type="dxa"/>
                  <w:tcBorders>
                    <w:top w:val="nil"/>
                    <w:left w:val="nil"/>
                    <w:bottom w:val="single" w:sz="4" w:space="0" w:color="auto"/>
                    <w:right w:val="single" w:sz="4" w:space="0" w:color="auto"/>
                  </w:tcBorders>
                  <w:shd w:val="clear" w:color="000000" w:fill="FBE2D5"/>
                  <w:noWrap/>
                  <w:vAlign w:val="bottom"/>
                  <w:hideMark/>
                </w:tcPr>
                <w:p w14:paraId="26DD5751"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£6,300</w:t>
                  </w:r>
                </w:p>
              </w:tc>
              <w:tc>
                <w:tcPr>
                  <w:tcW w:w="1514" w:type="dxa"/>
                  <w:tcBorders>
                    <w:top w:val="nil"/>
                    <w:left w:val="nil"/>
                    <w:bottom w:val="single" w:sz="4" w:space="0" w:color="auto"/>
                    <w:right w:val="single" w:sz="4" w:space="0" w:color="auto"/>
                  </w:tcBorders>
                  <w:shd w:val="clear" w:color="000000" w:fill="FBE2D5"/>
                  <w:noWrap/>
                  <w:vAlign w:val="bottom"/>
                  <w:hideMark/>
                </w:tcPr>
                <w:p w14:paraId="146B7760"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£4,400</w:t>
                  </w:r>
                </w:p>
              </w:tc>
              <w:tc>
                <w:tcPr>
                  <w:tcW w:w="1335" w:type="dxa"/>
                  <w:tcBorders>
                    <w:top w:val="nil"/>
                    <w:left w:val="nil"/>
                    <w:bottom w:val="single" w:sz="4" w:space="0" w:color="auto"/>
                    <w:right w:val="single" w:sz="4" w:space="0" w:color="auto"/>
                  </w:tcBorders>
                  <w:shd w:val="clear" w:color="000000" w:fill="FBE2D5"/>
                  <w:noWrap/>
                  <w:vAlign w:val="bottom"/>
                  <w:hideMark/>
                </w:tcPr>
                <w:p w14:paraId="79CF5325"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£4,800</w:t>
                  </w:r>
                </w:p>
              </w:tc>
              <w:tc>
                <w:tcPr>
                  <w:tcW w:w="1706" w:type="dxa"/>
                  <w:tcBorders>
                    <w:top w:val="nil"/>
                    <w:left w:val="nil"/>
                    <w:bottom w:val="single" w:sz="4" w:space="0" w:color="auto"/>
                    <w:right w:val="single" w:sz="4" w:space="0" w:color="auto"/>
                  </w:tcBorders>
                  <w:shd w:val="clear" w:color="000000" w:fill="FBE2D5"/>
                  <w:noWrap/>
                  <w:vAlign w:val="bottom"/>
                  <w:hideMark/>
                </w:tcPr>
                <w:p w14:paraId="21B5B844"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£15,500</w:t>
                  </w:r>
                </w:p>
              </w:tc>
              <w:tc>
                <w:tcPr>
                  <w:tcW w:w="1460" w:type="dxa"/>
                  <w:tcBorders>
                    <w:top w:val="nil"/>
                    <w:left w:val="nil"/>
                    <w:bottom w:val="single" w:sz="4" w:space="0" w:color="auto"/>
                    <w:right w:val="single" w:sz="4" w:space="0" w:color="auto"/>
                  </w:tcBorders>
                  <w:shd w:val="clear" w:color="000000" w:fill="FBE2D5"/>
                  <w:noWrap/>
                  <w:vAlign w:val="bottom"/>
                  <w:hideMark/>
                </w:tcPr>
                <w:p w14:paraId="536ACC10"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£516.67</w:t>
                  </w:r>
                </w:p>
              </w:tc>
            </w:tr>
            <w:tr w:rsidR="00EA7246" w:rsidRPr="008F59EC" w14:paraId="1DDE5180" w14:textId="77777777" w:rsidTr="00EA7246">
              <w:trPr>
                <w:trHeight w:val="319"/>
              </w:trPr>
              <w:tc>
                <w:tcPr>
                  <w:tcW w:w="1707" w:type="dxa"/>
                  <w:tcBorders>
                    <w:top w:val="nil"/>
                    <w:left w:val="single" w:sz="4" w:space="0" w:color="auto"/>
                    <w:bottom w:val="nil"/>
                    <w:right w:val="single" w:sz="4" w:space="0" w:color="auto"/>
                  </w:tcBorders>
                  <w:shd w:val="clear" w:color="000000" w:fill="FBE2D5"/>
                  <w:noWrap/>
                  <w:vAlign w:val="bottom"/>
                  <w:hideMark/>
                </w:tcPr>
                <w:p w14:paraId="4031F3D0"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Jan-27</w:t>
                  </w:r>
                </w:p>
              </w:tc>
              <w:tc>
                <w:tcPr>
                  <w:tcW w:w="1251" w:type="dxa"/>
                  <w:tcBorders>
                    <w:top w:val="nil"/>
                    <w:left w:val="nil"/>
                    <w:bottom w:val="single" w:sz="4" w:space="0" w:color="auto"/>
                    <w:right w:val="single" w:sz="4" w:space="0" w:color="auto"/>
                  </w:tcBorders>
                  <w:shd w:val="clear" w:color="000000" w:fill="FBE2D5"/>
                  <w:noWrap/>
                  <w:vAlign w:val="bottom"/>
                  <w:hideMark/>
                </w:tcPr>
                <w:p w14:paraId="5763437C"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£7,200</w:t>
                  </w:r>
                </w:p>
              </w:tc>
              <w:tc>
                <w:tcPr>
                  <w:tcW w:w="1514" w:type="dxa"/>
                  <w:tcBorders>
                    <w:top w:val="nil"/>
                    <w:left w:val="nil"/>
                    <w:bottom w:val="single" w:sz="4" w:space="0" w:color="auto"/>
                    <w:right w:val="single" w:sz="4" w:space="0" w:color="auto"/>
                  </w:tcBorders>
                  <w:shd w:val="clear" w:color="000000" w:fill="FBE2D5"/>
                  <w:noWrap/>
                  <w:vAlign w:val="bottom"/>
                  <w:hideMark/>
                </w:tcPr>
                <w:p w14:paraId="1620CC7C"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£4,400</w:t>
                  </w:r>
                </w:p>
              </w:tc>
              <w:tc>
                <w:tcPr>
                  <w:tcW w:w="1335" w:type="dxa"/>
                  <w:tcBorders>
                    <w:top w:val="nil"/>
                    <w:left w:val="nil"/>
                    <w:bottom w:val="single" w:sz="4" w:space="0" w:color="auto"/>
                    <w:right w:val="single" w:sz="4" w:space="0" w:color="auto"/>
                  </w:tcBorders>
                  <w:shd w:val="clear" w:color="000000" w:fill="FBE2D5"/>
                  <w:noWrap/>
                  <w:vAlign w:val="bottom"/>
                  <w:hideMark/>
                </w:tcPr>
                <w:p w14:paraId="03515BC3"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£5,600</w:t>
                  </w:r>
                </w:p>
              </w:tc>
              <w:tc>
                <w:tcPr>
                  <w:tcW w:w="1706" w:type="dxa"/>
                  <w:tcBorders>
                    <w:top w:val="nil"/>
                    <w:left w:val="nil"/>
                    <w:bottom w:val="single" w:sz="4" w:space="0" w:color="auto"/>
                    <w:right w:val="single" w:sz="4" w:space="0" w:color="auto"/>
                  </w:tcBorders>
                  <w:shd w:val="clear" w:color="000000" w:fill="FBE2D5"/>
                  <w:noWrap/>
                  <w:vAlign w:val="bottom"/>
                  <w:hideMark/>
                </w:tcPr>
                <w:p w14:paraId="6339E97B"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£17,200</w:t>
                  </w:r>
                </w:p>
              </w:tc>
              <w:tc>
                <w:tcPr>
                  <w:tcW w:w="1460" w:type="dxa"/>
                  <w:tcBorders>
                    <w:top w:val="nil"/>
                    <w:left w:val="nil"/>
                    <w:bottom w:val="single" w:sz="4" w:space="0" w:color="auto"/>
                    <w:right w:val="single" w:sz="4" w:space="0" w:color="auto"/>
                  </w:tcBorders>
                  <w:shd w:val="clear" w:color="000000" w:fill="FBE2D5"/>
                  <w:noWrap/>
                  <w:vAlign w:val="bottom"/>
                  <w:hideMark/>
                </w:tcPr>
                <w:p w14:paraId="3FBF02E1"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£573.33</w:t>
                  </w:r>
                </w:p>
              </w:tc>
            </w:tr>
            <w:tr w:rsidR="00EA7246" w:rsidRPr="008F59EC" w14:paraId="0E55697A" w14:textId="77777777" w:rsidTr="00EA7246">
              <w:trPr>
                <w:trHeight w:val="319"/>
              </w:trPr>
              <w:tc>
                <w:tcPr>
                  <w:tcW w:w="1707" w:type="dxa"/>
                  <w:tcBorders>
                    <w:top w:val="single" w:sz="4" w:space="0" w:color="auto"/>
                    <w:left w:val="single" w:sz="4" w:space="0" w:color="auto"/>
                    <w:bottom w:val="single" w:sz="4" w:space="0" w:color="auto"/>
                    <w:right w:val="single" w:sz="4" w:space="0" w:color="auto"/>
                  </w:tcBorders>
                  <w:shd w:val="clear" w:color="000000" w:fill="FBE2D5"/>
                  <w:noWrap/>
                  <w:vAlign w:val="bottom"/>
                  <w:hideMark/>
                </w:tcPr>
                <w:p w14:paraId="74E95438" w14:textId="77777777" w:rsidR="00EA7246" w:rsidRPr="008F59EC" w:rsidRDefault="00EA7246"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Feb-27</w:t>
                  </w:r>
                </w:p>
              </w:tc>
              <w:tc>
                <w:tcPr>
                  <w:tcW w:w="1251" w:type="dxa"/>
                  <w:tcBorders>
                    <w:top w:val="nil"/>
                    <w:left w:val="nil"/>
                    <w:bottom w:val="single" w:sz="4" w:space="0" w:color="auto"/>
                    <w:right w:val="single" w:sz="4" w:space="0" w:color="auto"/>
                  </w:tcBorders>
                  <w:shd w:val="clear" w:color="000000" w:fill="FBE2D5"/>
                  <w:noWrap/>
                  <w:vAlign w:val="bottom"/>
                  <w:hideMark/>
                </w:tcPr>
                <w:p w14:paraId="3650D571"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£7,200</w:t>
                  </w:r>
                </w:p>
              </w:tc>
              <w:tc>
                <w:tcPr>
                  <w:tcW w:w="1514" w:type="dxa"/>
                  <w:tcBorders>
                    <w:top w:val="nil"/>
                    <w:left w:val="nil"/>
                    <w:bottom w:val="single" w:sz="4" w:space="0" w:color="auto"/>
                    <w:right w:val="single" w:sz="4" w:space="0" w:color="auto"/>
                  </w:tcBorders>
                  <w:shd w:val="clear" w:color="000000" w:fill="FBE2D5"/>
                  <w:noWrap/>
                  <w:vAlign w:val="bottom"/>
                  <w:hideMark/>
                </w:tcPr>
                <w:p w14:paraId="56191582"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£4,400</w:t>
                  </w:r>
                </w:p>
              </w:tc>
              <w:tc>
                <w:tcPr>
                  <w:tcW w:w="1335" w:type="dxa"/>
                  <w:tcBorders>
                    <w:top w:val="nil"/>
                    <w:left w:val="nil"/>
                    <w:bottom w:val="single" w:sz="4" w:space="0" w:color="auto"/>
                    <w:right w:val="single" w:sz="4" w:space="0" w:color="auto"/>
                  </w:tcBorders>
                  <w:shd w:val="clear" w:color="000000" w:fill="FBE2D5"/>
                  <w:noWrap/>
                  <w:vAlign w:val="bottom"/>
                  <w:hideMark/>
                </w:tcPr>
                <w:p w14:paraId="1B5B04AE"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£5,600</w:t>
                  </w:r>
                </w:p>
              </w:tc>
              <w:tc>
                <w:tcPr>
                  <w:tcW w:w="1706" w:type="dxa"/>
                  <w:tcBorders>
                    <w:top w:val="nil"/>
                    <w:left w:val="nil"/>
                    <w:bottom w:val="single" w:sz="4" w:space="0" w:color="auto"/>
                    <w:right w:val="single" w:sz="4" w:space="0" w:color="auto"/>
                  </w:tcBorders>
                  <w:shd w:val="clear" w:color="000000" w:fill="FBE2D5"/>
                  <w:noWrap/>
                  <w:vAlign w:val="bottom"/>
                  <w:hideMark/>
                </w:tcPr>
                <w:p w14:paraId="0DCF42A2"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£17,200</w:t>
                  </w:r>
                </w:p>
              </w:tc>
              <w:tc>
                <w:tcPr>
                  <w:tcW w:w="1460" w:type="dxa"/>
                  <w:tcBorders>
                    <w:top w:val="nil"/>
                    <w:left w:val="nil"/>
                    <w:bottom w:val="single" w:sz="4" w:space="0" w:color="auto"/>
                    <w:right w:val="single" w:sz="4" w:space="0" w:color="auto"/>
                  </w:tcBorders>
                  <w:shd w:val="clear" w:color="000000" w:fill="FBE2D5"/>
                  <w:noWrap/>
                  <w:vAlign w:val="bottom"/>
                  <w:hideMark/>
                </w:tcPr>
                <w:p w14:paraId="633BF5E6" w14:textId="77777777" w:rsidR="00EA7246" w:rsidRPr="008F59EC" w:rsidRDefault="00EA7246"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£573.33</w:t>
                  </w:r>
                </w:p>
              </w:tc>
            </w:tr>
          </w:tbl>
          <w:p w14:paraId="6A541247" w14:textId="77777777" w:rsidR="002D4AB5" w:rsidRPr="008F59EC" w:rsidRDefault="002D4AB5" w:rsidP="0014211F">
            <w:pPr>
              <w:spacing w:before="100" w:beforeAutospacing="1" w:after="100" w:afterAutospacing="1" w:line="360" w:lineRule="auto"/>
              <w:jc w:val="both"/>
              <w:rPr>
                <w:rFonts w:ascii="Arial" w:eastAsia="Times New Roman" w:hAnsi="Arial" w:cs="Arial"/>
                <w:kern w:val="0"/>
                <w:lang w:eastAsia="en-GB"/>
                <w14:ligatures w14:val="none"/>
              </w:rPr>
            </w:pPr>
          </w:p>
        </w:tc>
      </w:tr>
    </w:tbl>
    <w:p w14:paraId="0636A24F" w14:textId="77777777" w:rsidR="00292754" w:rsidRPr="008F59EC" w:rsidRDefault="00292754" w:rsidP="0014211F">
      <w:pPr>
        <w:spacing w:before="100" w:beforeAutospacing="1" w:after="100" w:afterAutospacing="1"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Source: Author’s own financial model (2026).</w:t>
      </w:r>
    </w:p>
    <w:p w14:paraId="175EDDD7" w14:textId="77777777" w:rsidR="00091D28" w:rsidRPr="008F59EC" w:rsidRDefault="00091D28" w:rsidP="0014211F">
      <w:pPr>
        <w:spacing w:before="100" w:beforeAutospacing="1" w:after="100" w:afterAutospacing="1" w:line="360" w:lineRule="auto"/>
        <w:jc w:val="both"/>
        <w:rPr>
          <w:rFonts w:ascii="Arial" w:eastAsia="Times New Roman" w:hAnsi="Arial" w:cs="Arial"/>
          <w:kern w:val="0"/>
          <w:lang w:eastAsia="en-GB"/>
          <w14:ligatures w14:val="none"/>
        </w:rPr>
      </w:pPr>
    </w:p>
    <w:p w14:paraId="6A17F404" w14:textId="77777777" w:rsidR="00091D28" w:rsidRPr="008F59EC" w:rsidRDefault="00091D28" w:rsidP="0014211F">
      <w:pPr>
        <w:spacing w:before="100" w:beforeAutospacing="1" w:after="100" w:afterAutospacing="1" w:line="360" w:lineRule="auto"/>
        <w:jc w:val="both"/>
        <w:rPr>
          <w:rFonts w:ascii="Arial" w:eastAsia="Times New Roman" w:hAnsi="Arial" w:cs="Arial"/>
          <w:kern w:val="0"/>
          <w:lang w:eastAsia="en-GB"/>
          <w14:ligatures w14:val="none"/>
        </w:rPr>
      </w:pPr>
    </w:p>
    <w:p w14:paraId="78B9EA7D" w14:textId="77777777" w:rsidR="00091D28" w:rsidRPr="008F59EC" w:rsidRDefault="00091D28" w:rsidP="0014211F">
      <w:pPr>
        <w:spacing w:before="100" w:beforeAutospacing="1" w:after="100" w:afterAutospacing="1" w:line="360" w:lineRule="auto"/>
        <w:jc w:val="both"/>
        <w:rPr>
          <w:rFonts w:ascii="Arial" w:eastAsia="Times New Roman" w:hAnsi="Arial" w:cs="Arial"/>
          <w:kern w:val="0"/>
          <w:lang w:eastAsia="en-GB"/>
          <w14:ligatures w14:val="none"/>
        </w:rPr>
      </w:pPr>
    </w:p>
    <w:p w14:paraId="63F05FDF" w14:textId="77777777" w:rsidR="00091D28" w:rsidRPr="008F59EC" w:rsidRDefault="00091D28" w:rsidP="0014211F">
      <w:pPr>
        <w:spacing w:before="100" w:beforeAutospacing="1" w:after="100" w:afterAutospacing="1" w:line="360" w:lineRule="auto"/>
        <w:jc w:val="both"/>
        <w:rPr>
          <w:rFonts w:ascii="Arial" w:eastAsia="Times New Roman" w:hAnsi="Arial" w:cs="Arial"/>
          <w:kern w:val="0"/>
          <w:lang w:eastAsia="en-GB"/>
          <w14:ligatures w14:val="none"/>
        </w:rPr>
      </w:pPr>
    </w:p>
    <w:p w14:paraId="345A5973" w14:textId="54BCA41A" w:rsidR="00D94ECC" w:rsidRPr="008F59EC" w:rsidRDefault="00D94ECC" w:rsidP="0007190F">
      <w:pPr>
        <w:pStyle w:val="Heading2"/>
        <w:rPr>
          <w:rFonts w:ascii="Arial" w:eastAsia="Times New Roman" w:hAnsi="Arial" w:cs="Arial"/>
          <w:lang w:eastAsia="en-GB"/>
        </w:rPr>
      </w:pPr>
      <w:bookmarkStart w:id="83" w:name="_Toc219926327"/>
      <w:r w:rsidRPr="008F59EC">
        <w:rPr>
          <w:rFonts w:ascii="Arial" w:eastAsia="Times New Roman" w:hAnsi="Arial" w:cs="Arial"/>
          <w:lang w:eastAsia="en-GB"/>
        </w:rPr>
        <w:lastRenderedPageBreak/>
        <w:t>Appendix B2: Revenue Breakdown by Product Type</w:t>
      </w:r>
      <w:bookmarkEnd w:id="83"/>
    </w:p>
    <w:p w14:paraId="092655CA" w14:textId="77777777" w:rsidR="00D94ECC" w:rsidRPr="008F59EC" w:rsidRDefault="00D94ECC" w:rsidP="0014211F">
      <w:pPr>
        <w:spacing w:before="100" w:beforeAutospacing="1" w:after="100" w:afterAutospacing="1"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Table B2: Revenue Breakdown by Product Type</w:t>
      </w:r>
    </w:p>
    <w:tbl>
      <w:tblPr>
        <w:tblStyle w:val="TableGrid"/>
        <w:tblW w:w="0" w:type="auto"/>
        <w:tblLook w:val="04A0" w:firstRow="1" w:lastRow="0" w:firstColumn="1" w:lastColumn="0" w:noHBand="0" w:noVBand="1"/>
      </w:tblPr>
      <w:tblGrid>
        <w:gridCol w:w="9016"/>
      </w:tblGrid>
      <w:tr w:rsidR="00091D28" w:rsidRPr="008F59EC" w14:paraId="6052B5B0" w14:textId="77777777" w:rsidTr="00091D28">
        <w:tc>
          <w:tcPr>
            <w:tcW w:w="9016" w:type="dxa"/>
          </w:tcPr>
          <w:tbl>
            <w:tblPr>
              <w:tblW w:w="12440" w:type="dxa"/>
              <w:tblLook w:val="04A0" w:firstRow="1" w:lastRow="0" w:firstColumn="1" w:lastColumn="0" w:noHBand="0" w:noVBand="1"/>
            </w:tblPr>
            <w:tblGrid>
              <w:gridCol w:w="1672"/>
              <w:gridCol w:w="1227"/>
              <w:gridCol w:w="1483"/>
              <w:gridCol w:w="1308"/>
              <w:gridCol w:w="1671"/>
              <w:gridCol w:w="1429"/>
            </w:tblGrid>
            <w:tr w:rsidR="00091D28" w:rsidRPr="008F59EC" w14:paraId="214F3DC5" w14:textId="77777777" w:rsidTr="00091D28">
              <w:trPr>
                <w:trHeight w:val="900"/>
              </w:trPr>
              <w:tc>
                <w:tcPr>
                  <w:tcW w:w="2380" w:type="dxa"/>
                  <w:tcBorders>
                    <w:top w:val="single" w:sz="4" w:space="0" w:color="auto"/>
                    <w:left w:val="single" w:sz="4" w:space="0" w:color="auto"/>
                    <w:bottom w:val="single" w:sz="4" w:space="0" w:color="auto"/>
                    <w:right w:val="single" w:sz="4" w:space="0" w:color="auto"/>
                  </w:tcBorders>
                  <w:shd w:val="clear" w:color="000000" w:fill="47D359"/>
                  <w:noWrap/>
                  <w:vAlign w:val="bottom"/>
                  <w:hideMark/>
                </w:tcPr>
                <w:p w14:paraId="0944D539"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Month</w:t>
                  </w:r>
                </w:p>
              </w:tc>
              <w:tc>
                <w:tcPr>
                  <w:tcW w:w="1720" w:type="dxa"/>
                  <w:tcBorders>
                    <w:top w:val="single" w:sz="4" w:space="0" w:color="auto"/>
                    <w:left w:val="nil"/>
                    <w:bottom w:val="single" w:sz="4" w:space="0" w:color="auto"/>
                    <w:right w:val="single" w:sz="4" w:space="0" w:color="auto"/>
                  </w:tcBorders>
                  <w:shd w:val="clear" w:color="000000" w:fill="47D359"/>
                  <w:noWrap/>
                  <w:vAlign w:val="bottom"/>
                  <w:hideMark/>
                </w:tcPr>
                <w:p w14:paraId="30B492F9"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FTB Cases</w:t>
                  </w:r>
                </w:p>
              </w:tc>
              <w:tc>
                <w:tcPr>
                  <w:tcW w:w="2100" w:type="dxa"/>
                  <w:tcBorders>
                    <w:top w:val="single" w:sz="4" w:space="0" w:color="auto"/>
                    <w:left w:val="nil"/>
                    <w:bottom w:val="single" w:sz="4" w:space="0" w:color="auto"/>
                    <w:right w:val="single" w:sz="4" w:space="0" w:color="auto"/>
                  </w:tcBorders>
                  <w:shd w:val="clear" w:color="000000" w:fill="47D359"/>
                  <w:noWrap/>
                  <w:vAlign w:val="bottom"/>
                  <w:hideMark/>
                </w:tcPr>
                <w:p w14:paraId="1A7714D4"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BTL Cases</w:t>
                  </w:r>
                </w:p>
              </w:tc>
              <w:tc>
                <w:tcPr>
                  <w:tcW w:w="1840" w:type="dxa"/>
                  <w:tcBorders>
                    <w:top w:val="single" w:sz="4" w:space="0" w:color="auto"/>
                    <w:left w:val="nil"/>
                    <w:bottom w:val="single" w:sz="4" w:space="0" w:color="auto"/>
                    <w:right w:val="single" w:sz="4" w:space="0" w:color="auto"/>
                  </w:tcBorders>
                  <w:shd w:val="clear" w:color="000000" w:fill="47D359"/>
                  <w:noWrap/>
                  <w:vAlign w:val="bottom"/>
                  <w:hideMark/>
                </w:tcPr>
                <w:p w14:paraId="6566CF99"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Remortgage Cases</w:t>
                  </w:r>
                </w:p>
              </w:tc>
              <w:tc>
                <w:tcPr>
                  <w:tcW w:w="2380" w:type="dxa"/>
                  <w:tcBorders>
                    <w:top w:val="single" w:sz="4" w:space="0" w:color="auto"/>
                    <w:left w:val="nil"/>
                    <w:bottom w:val="single" w:sz="4" w:space="0" w:color="auto"/>
                    <w:right w:val="single" w:sz="4" w:space="0" w:color="auto"/>
                  </w:tcBorders>
                  <w:shd w:val="clear" w:color="000000" w:fill="47D359"/>
                  <w:vAlign w:val="bottom"/>
                  <w:hideMark/>
                </w:tcPr>
                <w:p w14:paraId="3436FE78"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Total cost of sales (£)</w:t>
                  </w:r>
                  <w:r w:rsidRPr="008F59EC">
                    <w:rPr>
                      <w:rFonts w:ascii="Arial" w:eastAsia="Times New Roman" w:hAnsi="Arial" w:cs="Arial"/>
                      <w:color w:val="000000"/>
                      <w:kern w:val="0"/>
                      <w:sz w:val="22"/>
                      <w:szCs w:val="22"/>
                      <w:lang w:eastAsia="en-GB"/>
                      <w14:ligatures w14:val="none"/>
                    </w:rPr>
                    <w:br/>
                    <w:t>per month</w:t>
                  </w:r>
                </w:p>
              </w:tc>
              <w:tc>
                <w:tcPr>
                  <w:tcW w:w="2020" w:type="dxa"/>
                  <w:tcBorders>
                    <w:top w:val="single" w:sz="4" w:space="0" w:color="auto"/>
                    <w:left w:val="nil"/>
                    <w:bottom w:val="single" w:sz="4" w:space="0" w:color="auto"/>
                    <w:right w:val="single" w:sz="4" w:space="0" w:color="auto"/>
                  </w:tcBorders>
                  <w:shd w:val="clear" w:color="000000" w:fill="47D359"/>
                  <w:vAlign w:val="bottom"/>
                  <w:hideMark/>
                </w:tcPr>
                <w:p w14:paraId="3CCD0BEC"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Average cost of sales</w:t>
                  </w:r>
                  <w:r w:rsidRPr="008F59EC">
                    <w:rPr>
                      <w:rFonts w:ascii="Arial" w:eastAsia="Times New Roman" w:hAnsi="Arial" w:cs="Arial"/>
                      <w:color w:val="000000"/>
                      <w:kern w:val="0"/>
                      <w:sz w:val="22"/>
                      <w:szCs w:val="22"/>
                      <w:lang w:eastAsia="en-GB"/>
                      <w14:ligatures w14:val="none"/>
                    </w:rPr>
                    <w:br/>
                    <w:t>per day*</w:t>
                  </w:r>
                </w:p>
              </w:tc>
            </w:tr>
            <w:tr w:rsidR="00091D28" w:rsidRPr="008F59EC" w14:paraId="0848B474" w14:textId="77777777" w:rsidTr="00091D28">
              <w:trPr>
                <w:trHeight w:val="300"/>
              </w:trPr>
              <w:tc>
                <w:tcPr>
                  <w:tcW w:w="2380" w:type="dxa"/>
                  <w:tcBorders>
                    <w:top w:val="nil"/>
                    <w:left w:val="single" w:sz="4" w:space="0" w:color="auto"/>
                    <w:bottom w:val="single" w:sz="4" w:space="0" w:color="auto"/>
                    <w:right w:val="single" w:sz="4" w:space="0" w:color="auto"/>
                  </w:tcBorders>
                  <w:shd w:val="clear" w:color="000000" w:fill="C1F0C8"/>
                  <w:noWrap/>
                  <w:vAlign w:val="bottom"/>
                  <w:hideMark/>
                </w:tcPr>
                <w:p w14:paraId="78016AA8"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Mar-26</w:t>
                  </w:r>
                </w:p>
              </w:tc>
              <w:tc>
                <w:tcPr>
                  <w:tcW w:w="1720" w:type="dxa"/>
                  <w:tcBorders>
                    <w:top w:val="nil"/>
                    <w:left w:val="nil"/>
                    <w:bottom w:val="single" w:sz="4" w:space="0" w:color="auto"/>
                    <w:right w:val="single" w:sz="4" w:space="0" w:color="auto"/>
                  </w:tcBorders>
                  <w:shd w:val="clear" w:color="000000" w:fill="C1F0C8"/>
                  <w:noWrap/>
                  <w:vAlign w:val="bottom"/>
                  <w:hideMark/>
                </w:tcPr>
                <w:p w14:paraId="6965A2CB"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£500</w:t>
                  </w:r>
                </w:p>
              </w:tc>
              <w:tc>
                <w:tcPr>
                  <w:tcW w:w="2100" w:type="dxa"/>
                  <w:tcBorders>
                    <w:top w:val="nil"/>
                    <w:left w:val="nil"/>
                    <w:bottom w:val="single" w:sz="4" w:space="0" w:color="auto"/>
                    <w:right w:val="single" w:sz="4" w:space="0" w:color="auto"/>
                  </w:tcBorders>
                  <w:shd w:val="clear" w:color="000000" w:fill="C1F0C8"/>
                  <w:noWrap/>
                  <w:vAlign w:val="bottom"/>
                  <w:hideMark/>
                </w:tcPr>
                <w:p w14:paraId="7B233802"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£250</w:t>
                  </w:r>
                </w:p>
              </w:tc>
              <w:tc>
                <w:tcPr>
                  <w:tcW w:w="1840" w:type="dxa"/>
                  <w:tcBorders>
                    <w:top w:val="nil"/>
                    <w:left w:val="nil"/>
                    <w:bottom w:val="single" w:sz="4" w:space="0" w:color="auto"/>
                    <w:right w:val="single" w:sz="4" w:space="0" w:color="auto"/>
                  </w:tcBorders>
                  <w:shd w:val="clear" w:color="000000" w:fill="C1F0C8"/>
                  <w:noWrap/>
                  <w:vAlign w:val="bottom"/>
                  <w:hideMark/>
                </w:tcPr>
                <w:p w14:paraId="1128A502"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£500</w:t>
                  </w:r>
                </w:p>
              </w:tc>
              <w:tc>
                <w:tcPr>
                  <w:tcW w:w="2380" w:type="dxa"/>
                  <w:tcBorders>
                    <w:top w:val="nil"/>
                    <w:left w:val="nil"/>
                    <w:bottom w:val="single" w:sz="4" w:space="0" w:color="auto"/>
                    <w:right w:val="single" w:sz="4" w:space="0" w:color="auto"/>
                  </w:tcBorders>
                  <w:shd w:val="clear" w:color="000000" w:fill="C1F0C8"/>
                  <w:noWrap/>
                  <w:vAlign w:val="bottom"/>
                  <w:hideMark/>
                </w:tcPr>
                <w:p w14:paraId="5F4EF000"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£1,250</w:t>
                  </w:r>
                </w:p>
              </w:tc>
              <w:tc>
                <w:tcPr>
                  <w:tcW w:w="2020" w:type="dxa"/>
                  <w:tcBorders>
                    <w:top w:val="nil"/>
                    <w:left w:val="nil"/>
                    <w:bottom w:val="single" w:sz="4" w:space="0" w:color="auto"/>
                    <w:right w:val="single" w:sz="4" w:space="0" w:color="auto"/>
                  </w:tcBorders>
                  <w:shd w:val="clear" w:color="000000" w:fill="C1F0C8"/>
                  <w:noWrap/>
                  <w:vAlign w:val="bottom"/>
                  <w:hideMark/>
                </w:tcPr>
                <w:p w14:paraId="725A2BA1"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£41.67</w:t>
                  </w:r>
                </w:p>
              </w:tc>
            </w:tr>
            <w:tr w:rsidR="00091D28" w:rsidRPr="008F59EC" w14:paraId="2C74F39E" w14:textId="77777777" w:rsidTr="00091D28">
              <w:trPr>
                <w:trHeight w:val="300"/>
              </w:trPr>
              <w:tc>
                <w:tcPr>
                  <w:tcW w:w="2380" w:type="dxa"/>
                  <w:tcBorders>
                    <w:top w:val="nil"/>
                    <w:left w:val="single" w:sz="4" w:space="0" w:color="auto"/>
                    <w:bottom w:val="single" w:sz="4" w:space="0" w:color="auto"/>
                    <w:right w:val="single" w:sz="4" w:space="0" w:color="auto"/>
                  </w:tcBorders>
                  <w:shd w:val="clear" w:color="000000" w:fill="C1F0C8"/>
                  <w:noWrap/>
                  <w:vAlign w:val="bottom"/>
                  <w:hideMark/>
                </w:tcPr>
                <w:p w14:paraId="683F8E72"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Apr-26</w:t>
                  </w:r>
                </w:p>
              </w:tc>
              <w:tc>
                <w:tcPr>
                  <w:tcW w:w="1720" w:type="dxa"/>
                  <w:tcBorders>
                    <w:top w:val="nil"/>
                    <w:left w:val="nil"/>
                    <w:bottom w:val="single" w:sz="4" w:space="0" w:color="auto"/>
                    <w:right w:val="single" w:sz="4" w:space="0" w:color="auto"/>
                  </w:tcBorders>
                  <w:shd w:val="clear" w:color="000000" w:fill="C1F0C8"/>
                  <w:noWrap/>
                  <w:vAlign w:val="bottom"/>
                  <w:hideMark/>
                </w:tcPr>
                <w:p w14:paraId="6948901E"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£750</w:t>
                  </w:r>
                </w:p>
              </w:tc>
              <w:tc>
                <w:tcPr>
                  <w:tcW w:w="2100" w:type="dxa"/>
                  <w:tcBorders>
                    <w:top w:val="nil"/>
                    <w:left w:val="nil"/>
                    <w:bottom w:val="single" w:sz="4" w:space="0" w:color="auto"/>
                    <w:right w:val="single" w:sz="4" w:space="0" w:color="auto"/>
                  </w:tcBorders>
                  <w:shd w:val="clear" w:color="000000" w:fill="C1F0C8"/>
                  <w:noWrap/>
                  <w:vAlign w:val="bottom"/>
                  <w:hideMark/>
                </w:tcPr>
                <w:p w14:paraId="1FCDAD89"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£250</w:t>
                  </w:r>
                </w:p>
              </w:tc>
              <w:tc>
                <w:tcPr>
                  <w:tcW w:w="1840" w:type="dxa"/>
                  <w:tcBorders>
                    <w:top w:val="nil"/>
                    <w:left w:val="nil"/>
                    <w:bottom w:val="single" w:sz="4" w:space="0" w:color="auto"/>
                    <w:right w:val="single" w:sz="4" w:space="0" w:color="auto"/>
                  </w:tcBorders>
                  <w:shd w:val="clear" w:color="000000" w:fill="C1F0C8"/>
                  <w:noWrap/>
                  <w:vAlign w:val="bottom"/>
                  <w:hideMark/>
                </w:tcPr>
                <w:p w14:paraId="3087240E"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£500</w:t>
                  </w:r>
                </w:p>
              </w:tc>
              <w:tc>
                <w:tcPr>
                  <w:tcW w:w="2380" w:type="dxa"/>
                  <w:tcBorders>
                    <w:top w:val="nil"/>
                    <w:left w:val="nil"/>
                    <w:bottom w:val="single" w:sz="4" w:space="0" w:color="auto"/>
                    <w:right w:val="single" w:sz="4" w:space="0" w:color="auto"/>
                  </w:tcBorders>
                  <w:shd w:val="clear" w:color="000000" w:fill="C1F0C8"/>
                  <w:noWrap/>
                  <w:vAlign w:val="bottom"/>
                  <w:hideMark/>
                </w:tcPr>
                <w:p w14:paraId="4B7F0B45"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£1,500</w:t>
                  </w:r>
                </w:p>
              </w:tc>
              <w:tc>
                <w:tcPr>
                  <w:tcW w:w="2020" w:type="dxa"/>
                  <w:tcBorders>
                    <w:top w:val="nil"/>
                    <w:left w:val="nil"/>
                    <w:bottom w:val="single" w:sz="4" w:space="0" w:color="auto"/>
                    <w:right w:val="single" w:sz="4" w:space="0" w:color="auto"/>
                  </w:tcBorders>
                  <w:shd w:val="clear" w:color="000000" w:fill="C1F0C8"/>
                  <w:noWrap/>
                  <w:vAlign w:val="bottom"/>
                  <w:hideMark/>
                </w:tcPr>
                <w:p w14:paraId="63E03C44"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£50.00</w:t>
                  </w:r>
                </w:p>
              </w:tc>
            </w:tr>
            <w:tr w:rsidR="00091D28" w:rsidRPr="008F59EC" w14:paraId="59FCC1F9" w14:textId="77777777" w:rsidTr="00091D28">
              <w:trPr>
                <w:trHeight w:val="300"/>
              </w:trPr>
              <w:tc>
                <w:tcPr>
                  <w:tcW w:w="2380" w:type="dxa"/>
                  <w:tcBorders>
                    <w:top w:val="nil"/>
                    <w:left w:val="single" w:sz="4" w:space="0" w:color="auto"/>
                    <w:bottom w:val="single" w:sz="4" w:space="0" w:color="auto"/>
                    <w:right w:val="single" w:sz="4" w:space="0" w:color="auto"/>
                  </w:tcBorders>
                  <w:shd w:val="clear" w:color="000000" w:fill="C1F0C8"/>
                  <w:vAlign w:val="bottom"/>
                  <w:hideMark/>
                </w:tcPr>
                <w:p w14:paraId="1DB2B1FE"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May-26</w:t>
                  </w:r>
                </w:p>
              </w:tc>
              <w:tc>
                <w:tcPr>
                  <w:tcW w:w="1720" w:type="dxa"/>
                  <w:tcBorders>
                    <w:top w:val="nil"/>
                    <w:left w:val="nil"/>
                    <w:bottom w:val="single" w:sz="4" w:space="0" w:color="auto"/>
                    <w:right w:val="single" w:sz="4" w:space="0" w:color="auto"/>
                  </w:tcBorders>
                  <w:shd w:val="clear" w:color="000000" w:fill="C1F0C8"/>
                  <w:noWrap/>
                  <w:vAlign w:val="bottom"/>
                  <w:hideMark/>
                </w:tcPr>
                <w:p w14:paraId="6B631C96"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£750</w:t>
                  </w:r>
                </w:p>
              </w:tc>
              <w:tc>
                <w:tcPr>
                  <w:tcW w:w="2100" w:type="dxa"/>
                  <w:tcBorders>
                    <w:top w:val="nil"/>
                    <w:left w:val="nil"/>
                    <w:bottom w:val="single" w:sz="4" w:space="0" w:color="auto"/>
                    <w:right w:val="single" w:sz="4" w:space="0" w:color="auto"/>
                  </w:tcBorders>
                  <w:shd w:val="clear" w:color="000000" w:fill="C1F0C8"/>
                  <w:noWrap/>
                  <w:vAlign w:val="bottom"/>
                  <w:hideMark/>
                </w:tcPr>
                <w:p w14:paraId="544C92FD"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£500</w:t>
                  </w:r>
                </w:p>
              </w:tc>
              <w:tc>
                <w:tcPr>
                  <w:tcW w:w="1840" w:type="dxa"/>
                  <w:tcBorders>
                    <w:top w:val="nil"/>
                    <w:left w:val="nil"/>
                    <w:bottom w:val="single" w:sz="4" w:space="0" w:color="auto"/>
                    <w:right w:val="single" w:sz="4" w:space="0" w:color="auto"/>
                  </w:tcBorders>
                  <w:shd w:val="clear" w:color="000000" w:fill="C1F0C8"/>
                  <w:noWrap/>
                  <w:vAlign w:val="bottom"/>
                  <w:hideMark/>
                </w:tcPr>
                <w:p w14:paraId="18AFCE5A"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£750</w:t>
                  </w:r>
                </w:p>
              </w:tc>
              <w:tc>
                <w:tcPr>
                  <w:tcW w:w="2380" w:type="dxa"/>
                  <w:tcBorders>
                    <w:top w:val="nil"/>
                    <w:left w:val="nil"/>
                    <w:bottom w:val="single" w:sz="4" w:space="0" w:color="auto"/>
                    <w:right w:val="single" w:sz="4" w:space="0" w:color="auto"/>
                  </w:tcBorders>
                  <w:shd w:val="clear" w:color="000000" w:fill="C1F0C8"/>
                  <w:noWrap/>
                  <w:vAlign w:val="bottom"/>
                  <w:hideMark/>
                </w:tcPr>
                <w:p w14:paraId="2B8C0F64"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£2,000</w:t>
                  </w:r>
                </w:p>
              </w:tc>
              <w:tc>
                <w:tcPr>
                  <w:tcW w:w="2020" w:type="dxa"/>
                  <w:tcBorders>
                    <w:top w:val="nil"/>
                    <w:left w:val="nil"/>
                    <w:bottom w:val="single" w:sz="4" w:space="0" w:color="auto"/>
                    <w:right w:val="single" w:sz="4" w:space="0" w:color="auto"/>
                  </w:tcBorders>
                  <w:shd w:val="clear" w:color="000000" w:fill="C1F0C8"/>
                  <w:noWrap/>
                  <w:vAlign w:val="bottom"/>
                  <w:hideMark/>
                </w:tcPr>
                <w:p w14:paraId="373727C0"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£66.67</w:t>
                  </w:r>
                </w:p>
              </w:tc>
            </w:tr>
            <w:tr w:rsidR="00091D28" w:rsidRPr="008F59EC" w14:paraId="00A6B6A4" w14:textId="77777777" w:rsidTr="00091D28">
              <w:trPr>
                <w:trHeight w:val="300"/>
              </w:trPr>
              <w:tc>
                <w:tcPr>
                  <w:tcW w:w="2380" w:type="dxa"/>
                  <w:tcBorders>
                    <w:top w:val="nil"/>
                    <w:left w:val="single" w:sz="4" w:space="0" w:color="auto"/>
                    <w:bottom w:val="single" w:sz="4" w:space="0" w:color="auto"/>
                    <w:right w:val="single" w:sz="4" w:space="0" w:color="auto"/>
                  </w:tcBorders>
                  <w:shd w:val="clear" w:color="000000" w:fill="C1F0C8"/>
                  <w:noWrap/>
                  <w:vAlign w:val="bottom"/>
                  <w:hideMark/>
                </w:tcPr>
                <w:p w14:paraId="50AA4366"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Jun-26</w:t>
                  </w:r>
                </w:p>
              </w:tc>
              <w:tc>
                <w:tcPr>
                  <w:tcW w:w="1720" w:type="dxa"/>
                  <w:tcBorders>
                    <w:top w:val="nil"/>
                    <w:left w:val="nil"/>
                    <w:bottom w:val="single" w:sz="4" w:space="0" w:color="auto"/>
                    <w:right w:val="single" w:sz="4" w:space="0" w:color="auto"/>
                  </w:tcBorders>
                  <w:shd w:val="clear" w:color="000000" w:fill="C1F0C8"/>
                  <w:noWrap/>
                  <w:vAlign w:val="bottom"/>
                  <w:hideMark/>
                </w:tcPr>
                <w:p w14:paraId="2EE88702"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£1,000</w:t>
                  </w:r>
                </w:p>
              </w:tc>
              <w:tc>
                <w:tcPr>
                  <w:tcW w:w="2100" w:type="dxa"/>
                  <w:tcBorders>
                    <w:top w:val="nil"/>
                    <w:left w:val="nil"/>
                    <w:bottom w:val="single" w:sz="4" w:space="0" w:color="auto"/>
                    <w:right w:val="single" w:sz="4" w:space="0" w:color="auto"/>
                  </w:tcBorders>
                  <w:shd w:val="clear" w:color="000000" w:fill="C1F0C8"/>
                  <w:noWrap/>
                  <w:vAlign w:val="bottom"/>
                  <w:hideMark/>
                </w:tcPr>
                <w:p w14:paraId="2990213C"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£500</w:t>
                  </w:r>
                </w:p>
              </w:tc>
              <w:tc>
                <w:tcPr>
                  <w:tcW w:w="1840" w:type="dxa"/>
                  <w:tcBorders>
                    <w:top w:val="nil"/>
                    <w:left w:val="nil"/>
                    <w:bottom w:val="single" w:sz="4" w:space="0" w:color="auto"/>
                    <w:right w:val="single" w:sz="4" w:space="0" w:color="auto"/>
                  </w:tcBorders>
                  <w:shd w:val="clear" w:color="000000" w:fill="C1F0C8"/>
                  <w:noWrap/>
                  <w:vAlign w:val="bottom"/>
                  <w:hideMark/>
                </w:tcPr>
                <w:p w14:paraId="1957B58B"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£1,000</w:t>
                  </w:r>
                </w:p>
              </w:tc>
              <w:tc>
                <w:tcPr>
                  <w:tcW w:w="2380" w:type="dxa"/>
                  <w:tcBorders>
                    <w:top w:val="nil"/>
                    <w:left w:val="nil"/>
                    <w:bottom w:val="single" w:sz="4" w:space="0" w:color="auto"/>
                    <w:right w:val="single" w:sz="4" w:space="0" w:color="auto"/>
                  </w:tcBorders>
                  <w:shd w:val="clear" w:color="000000" w:fill="C1F0C8"/>
                  <w:noWrap/>
                  <w:vAlign w:val="bottom"/>
                  <w:hideMark/>
                </w:tcPr>
                <w:p w14:paraId="54DC588E"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£2,500</w:t>
                  </w:r>
                </w:p>
              </w:tc>
              <w:tc>
                <w:tcPr>
                  <w:tcW w:w="2020" w:type="dxa"/>
                  <w:tcBorders>
                    <w:top w:val="nil"/>
                    <w:left w:val="nil"/>
                    <w:bottom w:val="single" w:sz="4" w:space="0" w:color="auto"/>
                    <w:right w:val="single" w:sz="4" w:space="0" w:color="auto"/>
                  </w:tcBorders>
                  <w:shd w:val="clear" w:color="000000" w:fill="C1F0C8"/>
                  <w:noWrap/>
                  <w:vAlign w:val="bottom"/>
                  <w:hideMark/>
                </w:tcPr>
                <w:p w14:paraId="243E2F3B"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£83.33</w:t>
                  </w:r>
                </w:p>
              </w:tc>
            </w:tr>
            <w:tr w:rsidR="00091D28" w:rsidRPr="008F59EC" w14:paraId="11D5EC30" w14:textId="77777777" w:rsidTr="00091D28">
              <w:trPr>
                <w:trHeight w:val="300"/>
              </w:trPr>
              <w:tc>
                <w:tcPr>
                  <w:tcW w:w="2380" w:type="dxa"/>
                  <w:tcBorders>
                    <w:top w:val="nil"/>
                    <w:left w:val="single" w:sz="4" w:space="0" w:color="auto"/>
                    <w:bottom w:val="single" w:sz="4" w:space="0" w:color="auto"/>
                    <w:right w:val="single" w:sz="4" w:space="0" w:color="auto"/>
                  </w:tcBorders>
                  <w:shd w:val="clear" w:color="000000" w:fill="C1F0C8"/>
                  <w:noWrap/>
                  <w:vAlign w:val="bottom"/>
                  <w:hideMark/>
                </w:tcPr>
                <w:p w14:paraId="16B95AA4"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Jul-26</w:t>
                  </w:r>
                </w:p>
              </w:tc>
              <w:tc>
                <w:tcPr>
                  <w:tcW w:w="1720" w:type="dxa"/>
                  <w:tcBorders>
                    <w:top w:val="nil"/>
                    <w:left w:val="nil"/>
                    <w:bottom w:val="single" w:sz="4" w:space="0" w:color="auto"/>
                    <w:right w:val="single" w:sz="4" w:space="0" w:color="auto"/>
                  </w:tcBorders>
                  <w:shd w:val="clear" w:color="000000" w:fill="C1F0C8"/>
                  <w:noWrap/>
                  <w:vAlign w:val="bottom"/>
                  <w:hideMark/>
                </w:tcPr>
                <w:p w14:paraId="5FD70DBC"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£1,250</w:t>
                  </w:r>
                </w:p>
              </w:tc>
              <w:tc>
                <w:tcPr>
                  <w:tcW w:w="2100" w:type="dxa"/>
                  <w:tcBorders>
                    <w:top w:val="nil"/>
                    <w:left w:val="nil"/>
                    <w:bottom w:val="single" w:sz="4" w:space="0" w:color="auto"/>
                    <w:right w:val="single" w:sz="4" w:space="0" w:color="auto"/>
                  </w:tcBorders>
                  <w:shd w:val="clear" w:color="000000" w:fill="C1F0C8"/>
                  <w:noWrap/>
                  <w:vAlign w:val="bottom"/>
                  <w:hideMark/>
                </w:tcPr>
                <w:p w14:paraId="5836C790"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£500</w:t>
                  </w:r>
                </w:p>
              </w:tc>
              <w:tc>
                <w:tcPr>
                  <w:tcW w:w="1840" w:type="dxa"/>
                  <w:tcBorders>
                    <w:top w:val="nil"/>
                    <w:left w:val="nil"/>
                    <w:bottom w:val="single" w:sz="4" w:space="0" w:color="auto"/>
                    <w:right w:val="single" w:sz="4" w:space="0" w:color="auto"/>
                  </w:tcBorders>
                  <w:shd w:val="clear" w:color="000000" w:fill="C1F0C8"/>
                  <w:noWrap/>
                  <w:vAlign w:val="bottom"/>
                  <w:hideMark/>
                </w:tcPr>
                <w:p w14:paraId="4892D4CD"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£1,000</w:t>
                  </w:r>
                </w:p>
              </w:tc>
              <w:tc>
                <w:tcPr>
                  <w:tcW w:w="2380" w:type="dxa"/>
                  <w:tcBorders>
                    <w:top w:val="nil"/>
                    <w:left w:val="nil"/>
                    <w:bottom w:val="single" w:sz="4" w:space="0" w:color="auto"/>
                    <w:right w:val="single" w:sz="4" w:space="0" w:color="auto"/>
                  </w:tcBorders>
                  <w:shd w:val="clear" w:color="000000" w:fill="C1F0C8"/>
                  <w:noWrap/>
                  <w:vAlign w:val="bottom"/>
                  <w:hideMark/>
                </w:tcPr>
                <w:p w14:paraId="43FA8F1E"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£2,750</w:t>
                  </w:r>
                </w:p>
              </w:tc>
              <w:tc>
                <w:tcPr>
                  <w:tcW w:w="2020" w:type="dxa"/>
                  <w:tcBorders>
                    <w:top w:val="nil"/>
                    <w:left w:val="nil"/>
                    <w:bottom w:val="single" w:sz="4" w:space="0" w:color="auto"/>
                    <w:right w:val="single" w:sz="4" w:space="0" w:color="auto"/>
                  </w:tcBorders>
                  <w:shd w:val="clear" w:color="000000" w:fill="C1F0C8"/>
                  <w:noWrap/>
                  <w:vAlign w:val="bottom"/>
                  <w:hideMark/>
                </w:tcPr>
                <w:p w14:paraId="7E515925"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£91.67</w:t>
                  </w:r>
                </w:p>
              </w:tc>
            </w:tr>
            <w:tr w:rsidR="00091D28" w:rsidRPr="008F59EC" w14:paraId="32D14C41" w14:textId="77777777" w:rsidTr="00091D28">
              <w:trPr>
                <w:trHeight w:val="300"/>
              </w:trPr>
              <w:tc>
                <w:tcPr>
                  <w:tcW w:w="2380" w:type="dxa"/>
                  <w:tcBorders>
                    <w:top w:val="nil"/>
                    <w:left w:val="single" w:sz="4" w:space="0" w:color="auto"/>
                    <w:bottom w:val="single" w:sz="4" w:space="0" w:color="auto"/>
                    <w:right w:val="single" w:sz="4" w:space="0" w:color="auto"/>
                  </w:tcBorders>
                  <w:shd w:val="clear" w:color="000000" w:fill="C1F0C8"/>
                  <w:noWrap/>
                  <w:vAlign w:val="bottom"/>
                  <w:hideMark/>
                </w:tcPr>
                <w:p w14:paraId="56D297C5"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Aug-26</w:t>
                  </w:r>
                </w:p>
              </w:tc>
              <w:tc>
                <w:tcPr>
                  <w:tcW w:w="1720" w:type="dxa"/>
                  <w:tcBorders>
                    <w:top w:val="nil"/>
                    <w:left w:val="nil"/>
                    <w:bottom w:val="single" w:sz="4" w:space="0" w:color="auto"/>
                    <w:right w:val="single" w:sz="4" w:space="0" w:color="auto"/>
                  </w:tcBorders>
                  <w:shd w:val="clear" w:color="000000" w:fill="C1F0C8"/>
                  <w:noWrap/>
                  <w:vAlign w:val="bottom"/>
                  <w:hideMark/>
                </w:tcPr>
                <w:p w14:paraId="68155275"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£1,250</w:t>
                  </w:r>
                </w:p>
              </w:tc>
              <w:tc>
                <w:tcPr>
                  <w:tcW w:w="2100" w:type="dxa"/>
                  <w:tcBorders>
                    <w:top w:val="nil"/>
                    <w:left w:val="nil"/>
                    <w:bottom w:val="single" w:sz="4" w:space="0" w:color="auto"/>
                    <w:right w:val="single" w:sz="4" w:space="0" w:color="auto"/>
                  </w:tcBorders>
                  <w:shd w:val="clear" w:color="000000" w:fill="C1F0C8"/>
                  <w:noWrap/>
                  <w:vAlign w:val="bottom"/>
                  <w:hideMark/>
                </w:tcPr>
                <w:p w14:paraId="15092FF1"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£750</w:t>
                  </w:r>
                </w:p>
              </w:tc>
              <w:tc>
                <w:tcPr>
                  <w:tcW w:w="1840" w:type="dxa"/>
                  <w:tcBorders>
                    <w:top w:val="nil"/>
                    <w:left w:val="nil"/>
                    <w:bottom w:val="single" w:sz="4" w:space="0" w:color="auto"/>
                    <w:right w:val="single" w:sz="4" w:space="0" w:color="auto"/>
                  </w:tcBorders>
                  <w:shd w:val="clear" w:color="000000" w:fill="C1F0C8"/>
                  <w:noWrap/>
                  <w:vAlign w:val="bottom"/>
                  <w:hideMark/>
                </w:tcPr>
                <w:p w14:paraId="1C80F76F"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£1,000</w:t>
                  </w:r>
                </w:p>
              </w:tc>
              <w:tc>
                <w:tcPr>
                  <w:tcW w:w="2380" w:type="dxa"/>
                  <w:tcBorders>
                    <w:top w:val="nil"/>
                    <w:left w:val="nil"/>
                    <w:bottom w:val="single" w:sz="4" w:space="0" w:color="auto"/>
                    <w:right w:val="single" w:sz="4" w:space="0" w:color="auto"/>
                  </w:tcBorders>
                  <w:shd w:val="clear" w:color="000000" w:fill="C1F0C8"/>
                  <w:noWrap/>
                  <w:vAlign w:val="bottom"/>
                  <w:hideMark/>
                </w:tcPr>
                <w:p w14:paraId="1AA130B9"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£3,000</w:t>
                  </w:r>
                </w:p>
              </w:tc>
              <w:tc>
                <w:tcPr>
                  <w:tcW w:w="2020" w:type="dxa"/>
                  <w:tcBorders>
                    <w:top w:val="nil"/>
                    <w:left w:val="nil"/>
                    <w:bottom w:val="single" w:sz="4" w:space="0" w:color="auto"/>
                    <w:right w:val="single" w:sz="4" w:space="0" w:color="auto"/>
                  </w:tcBorders>
                  <w:shd w:val="clear" w:color="000000" w:fill="C1F0C8"/>
                  <w:noWrap/>
                  <w:vAlign w:val="bottom"/>
                  <w:hideMark/>
                </w:tcPr>
                <w:p w14:paraId="34D6E30D"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£100.00</w:t>
                  </w:r>
                </w:p>
              </w:tc>
            </w:tr>
            <w:tr w:rsidR="00091D28" w:rsidRPr="008F59EC" w14:paraId="740E834C" w14:textId="77777777" w:rsidTr="00091D28">
              <w:trPr>
                <w:trHeight w:val="300"/>
              </w:trPr>
              <w:tc>
                <w:tcPr>
                  <w:tcW w:w="2380" w:type="dxa"/>
                  <w:tcBorders>
                    <w:top w:val="nil"/>
                    <w:left w:val="single" w:sz="4" w:space="0" w:color="auto"/>
                    <w:bottom w:val="single" w:sz="4" w:space="0" w:color="auto"/>
                    <w:right w:val="single" w:sz="4" w:space="0" w:color="auto"/>
                  </w:tcBorders>
                  <w:shd w:val="clear" w:color="000000" w:fill="C1F0C8"/>
                  <w:noWrap/>
                  <w:vAlign w:val="bottom"/>
                  <w:hideMark/>
                </w:tcPr>
                <w:p w14:paraId="22672DFC"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Sep-26</w:t>
                  </w:r>
                </w:p>
              </w:tc>
              <w:tc>
                <w:tcPr>
                  <w:tcW w:w="1720" w:type="dxa"/>
                  <w:tcBorders>
                    <w:top w:val="nil"/>
                    <w:left w:val="nil"/>
                    <w:bottom w:val="single" w:sz="4" w:space="0" w:color="auto"/>
                    <w:right w:val="single" w:sz="4" w:space="0" w:color="auto"/>
                  </w:tcBorders>
                  <w:shd w:val="clear" w:color="000000" w:fill="C1F0C8"/>
                  <w:noWrap/>
                  <w:vAlign w:val="bottom"/>
                  <w:hideMark/>
                </w:tcPr>
                <w:p w14:paraId="6B5BE440"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£1,500</w:t>
                  </w:r>
                </w:p>
              </w:tc>
              <w:tc>
                <w:tcPr>
                  <w:tcW w:w="2100" w:type="dxa"/>
                  <w:tcBorders>
                    <w:top w:val="nil"/>
                    <w:left w:val="nil"/>
                    <w:bottom w:val="single" w:sz="4" w:space="0" w:color="auto"/>
                    <w:right w:val="single" w:sz="4" w:space="0" w:color="auto"/>
                  </w:tcBorders>
                  <w:shd w:val="clear" w:color="000000" w:fill="C1F0C8"/>
                  <w:noWrap/>
                  <w:vAlign w:val="bottom"/>
                  <w:hideMark/>
                </w:tcPr>
                <w:p w14:paraId="3F5064EF"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£750</w:t>
                  </w:r>
                </w:p>
              </w:tc>
              <w:tc>
                <w:tcPr>
                  <w:tcW w:w="1840" w:type="dxa"/>
                  <w:tcBorders>
                    <w:top w:val="nil"/>
                    <w:left w:val="nil"/>
                    <w:bottom w:val="single" w:sz="4" w:space="0" w:color="auto"/>
                    <w:right w:val="single" w:sz="4" w:space="0" w:color="auto"/>
                  </w:tcBorders>
                  <w:shd w:val="clear" w:color="000000" w:fill="C1F0C8"/>
                  <w:noWrap/>
                  <w:vAlign w:val="bottom"/>
                  <w:hideMark/>
                </w:tcPr>
                <w:p w14:paraId="0A3CFE11"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£1,250</w:t>
                  </w:r>
                </w:p>
              </w:tc>
              <w:tc>
                <w:tcPr>
                  <w:tcW w:w="2380" w:type="dxa"/>
                  <w:tcBorders>
                    <w:top w:val="nil"/>
                    <w:left w:val="nil"/>
                    <w:bottom w:val="single" w:sz="4" w:space="0" w:color="auto"/>
                    <w:right w:val="single" w:sz="4" w:space="0" w:color="auto"/>
                  </w:tcBorders>
                  <w:shd w:val="clear" w:color="000000" w:fill="C1F0C8"/>
                  <w:noWrap/>
                  <w:vAlign w:val="bottom"/>
                  <w:hideMark/>
                </w:tcPr>
                <w:p w14:paraId="60EB9276"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£3,500</w:t>
                  </w:r>
                </w:p>
              </w:tc>
              <w:tc>
                <w:tcPr>
                  <w:tcW w:w="2020" w:type="dxa"/>
                  <w:tcBorders>
                    <w:top w:val="nil"/>
                    <w:left w:val="nil"/>
                    <w:bottom w:val="single" w:sz="4" w:space="0" w:color="auto"/>
                    <w:right w:val="single" w:sz="4" w:space="0" w:color="auto"/>
                  </w:tcBorders>
                  <w:shd w:val="clear" w:color="000000" w:fill="C1F0C8"/>
                  <w:noWrap/>
                  <w:vAlign w:val="bottom"/>
                  <w:hideMark/>
                </w:tcPr>
                <w:p w14:paraId="485EB33A"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£116.67</w:t>
                  </w:r>
                </w:p>
              </w:tc>
            </w:tr>
            <w:tr w:rsidR="00091D28" w:rsidRPr="008F59EC" w14:paraId="45BF6ECA" w14:textId="77777777" w:rsidTr="00091D28">
              <w:trPr>
                <w:trHeight w:val="300"/>
              </w:trPr>
              <w:tc>
                <w:tcPr>
                  <w:tcW w:w="2380" w:type="dxa"/>
                  <w:tcBorders>
                    <w:top w:val="nil"/>
                    <w:left w:val="single" w:sz="4" w:space="0" w:color="auto"/>
                    <w:bottom w:val="single" w:sz="4" w:space="0" w:color="auto"/>
                    <w:right w:val="single" w:sz="4" w:space="0" w:color="auto"/>
                  </w:tcBorders>
                  <w:shd w:val="clear" w:color="000000" w:fill="C1F0C8"/>
                  <w:noWrap/>
                  <w:vAlign w:val="bottom"/>
                  <w:hideMark/>
                </w:tcPr>
                <w:p w14:paraId="6BCFE288"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Oct-26</w:t>
                  </w:r>
                </w:p>
              </w:tc>
              <w:tc>
                <w:tcPr>
                  <w:tcW w:w="1720" w:type="dxa"/>
                  <w:tcBorders>
                    <w:top w:val="nil"/>
                    <w:left w:val="nil"/>
                    <w:bottom w:val="single" w:sz="4" w:space="0" w:color="auto"/>
                    <w:right w:val="single" w:sz="4" w:space="0" w:color="auto"/>
                  </w:tcBorders>
                  <w:shd w:val="clear" w:color="000000" w:fill="C1F0C8"/>
                  <w:noWrap/>
                  <w:vAlign w:val="bottom"/>
                  <w:hideMark/>
                </w:tcPr>
                <w:p w14:paraId="21327937"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£1,500</w:t>
                  </w:r>
                </w:p>
              </w:tc>
              <w:tc>
                <w:tcPr>
                  <w:tcW w:w="2100" w:type="dxa"/>
                  <w:tcBorders>
                    <w:top w:val="nil"/>
                    <w:left w:val="nil"/>
                    <w:bottom w:val="single" w:sz="4" w:space="0" w:color="auto"/>
                    <w:right w:val="single" w:sz="4" w:space="0" w:color="auto"/>
                  </w:tcBorders>
                  <w:shd w:val="clear" w:color="000000" w:fill="C1F0C8"/>
                  <w:noWrap/>
                  <w:vAlign w:val="bottom"/>
                  <w:hideMark/>
                </w:tcPr>
                <w:p w14:paraId="2860E58F"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£750</w:t>
                  </w:r>
                </w:p>
              </w:tc>
              <w:tc>
                <w:tcPr>
                  <w:tcW w:w="1840" w:type="dxa"/>
                  <w:tcBorders>
                    <w:top w:val="nil"/>
                    <w:left w:val="nil"/>
                    <w:bottom w:val="single" w:sz="4" w:space="0" w:color="auto"/>
                    <w:right w:val="single" w:sz="4" w:space="0" w:color="auto"/>
                  </w:tcBorders>
                  <w:shd w:val="clear" w:color="000000" w:fill="C1F0C8"/>
                  <w:noWrap/>
                  <w:vAlign w:val="bottom"/>
                  <w:hideMark/>
                </w:tcPr>
                <w:p w14:paraId="285369BB"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£1,250</w:t>
                  </w:r>
                </w:p>
              </w:tc>
              <w:tc>
                <w:tcPr>
                  <w:tcW w:w="2380" w:type="dxa"/>
                  <w:tcBorders>
                    <w:top w:val="nil"/>
                    <w:left w:val="nil"/>
                    <w:bottom w:val="single" w:sz="4" w:space="0" w:color="auto"/>
                    <w:right w:val="single" w:sz="4" w:space="0" w:color="auto"/>
                  </w:tcBorders>
                  <w:shd w:val="clear" w:color="000000" w:fill="C1F0C8"/>
                  <w:noWrap/>
                  <w:vAlign w:val="bottom"/>
                  <w:hideMark/>
                </w:tcPr>
                <w:p w14:paraId="230BE90D"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£3,500</w:t>
                  </w:r>
                </w:p>
              </w:tc>
              <w:tc>
                <w:tcPr>
                  <w:tcW w:w="2020" w:type="dxa"/>
                  <w:tcBorders>
                    <w:top w:val="nil"/>
                    <w:left w:val="nil"/>
                    <w:bottom w:val="single" w:sz="4" w:space="0" w:color="auto"/>
                    <w:right w:val="single" w:sz="4" w:space="0" w:color="auto"/>
                  </w:tcBorders>
                  <w:shd w:val="clear" w:color="000000" w:fill="C1F0C8"/>
                  <w:noWrap/>
                  <w:vAlign w:val="bottom"/>
                  <w:hideMark/>
                </w:tcPr>
                <w:p w14:paraId="1AF86174"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£116.67</w:t>
                  </w:r>
                </w:p>
              </w:tc>
            </w:tr>
            <w:tr w:rsidR="00091D28" w:rsidRPr="008F59EC" w14:paraId="7926B173" w14:textId="77777777" w:rsidTr="00091D28">
              <w:trPr>
                <w:trHeight w:val="300"/>
              </w:trPr>
              <w:tc>
                <w:tcPr>
                  <w:tcW w:w="2380" w:type="dxa"/>
                  <w:tcBorders>
                    <w:top w:val="nil"/>
                    <w:left w:val="single" w:sz="4" w:space="0" w:color="auto"/>
                    <w:bottom w:val="single" w:sz="4" w:space="0" w:color="auto"/>
                    <w:right w:val="single" w:sz="4" w:space="0" w:color="auto"/>
                  </w:tcBorders>
                  <w:shd w:val="clear" w:color="000000" w:fill="C1F0C8"/>
                  <w:noWrap/>
                  <w:vAlign w:val="bottom"/>
                  <w:hideMark/>
                </w:tcPr>
                <w:p w14:paraId="5C0A1871"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Nov-26</w:t>
                  </w:r>
                </w:p>
              </w:tc>
              <w:tc>
                <w:tcPr>
                  <w:tcW w:w="1720" w:type="dxa"/>
                  <w:tcBorders>
                    <w:top w:val="nil"/>
                    <w:left w:val="nil"/>
                    <w:bottom w:val="single" w:sz="4" w:space="0" w:color="auto"/>
                    <w:right w:val="single" w:sz="4" w:space="0" w:color="auto"/>
                  </w:tcBorders>
                  <w:shd w:val="clear" w:color="000000" w:fill="C1F0C8"/>
                  <w:noWrap/>
                  <w:vAlign w:val="bottom"/>
                  <w:hideMark/>
                </w:tcPr>
                <w:p w14:paraId="0A5897D2"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£1,750</w:t>
                  </w:r>
                </w:p>
              </w:tc>
              <w:tc>
                <w:tcPr>
                  <w:tcW w:w="2100" w:type="dxa"/>
                  <w:tcBorders>
                    <w:top w:val="nil"/>
                    <w:left w:val="nil"/>
                    <w:bottom w:val="single" w:sz="4" w:space="0" w:color="auto"/>
                    <w:right w:val="single" w:sz="4" w:space="0" w:color="auto"/>
                  </w:tcBorders>
                  <w:shd w:val="clear" w:color="000000" w:fill="C1F0C8"/>
                  <w:noWrap/>
                  <w:vAlign w:val="bottom"/>
                  <w:hideMark/>
                </w:tcPr>
                <w:p w14:paraId="03C514EE"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£750</w:t>
                  </w:r>
                </w:p>
              </w:tc>
              <w:tc>
                <w:tcPr>
                  <w:tcW w:w="1840" w:type="dxa"/>
                  <w:tcBorders>
                    <w:top w:val="nil"/>
                    <w:left w:val="nil"/>
                    <w:bottom w:val="single" w:sz="4" w:space="0" w:color="auto"/>
                    <w:right w:val="single" w:sz="4" w:space="0" w:color="auto"/>
                  </w:tcBorders>
                  <w:shd w:val="clear" w:color="000000" w:fill="C1F0C8"/>
                  <w:noWrap/>
                  <w:vAlign w:val="bottom"/>
                  <w:hideMark/>
                </w:tcPr>
                <w:p w14:paraId="3AC0A66F"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£1,500</w:t>
                  </w:r>
                </w:p>
              </w:tc>
              <w:tc>
                <w:tcPr>
                  <w:tcW w:w="2380" w:type="dxa"/>
                  <w:tcBorders>
                    <w:top w:val="nil"/>
                    <w:left w:val="nil"/>
                    <w:bottom w:val="single" w:sz="4" w:space="0" w:color="auto"/>
                    <w:right w:val="single" w:sz="4" w:space="0" w:color="auto"/>
                  </w:tcBorders>
                  <w:shd w:val="clear" w:color="000000" w:fill="C1F0C8"/>
                  <w:noWrap/>
                  <w:vAlign w:val="bottom"/>
                  <w:hideMark/>
                </w:tcPr>
                <w:p w14:paraId="0BBDBE1A"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£4,000</w:t>
                  </w:r>
                </w:p>
              </w:tc>
              <w:tc>
                <w:tcPr>
                  <w:tcW w:w="2020" w:type="dxa"/>
                  <w:tcBorders>
                    <w:top w:val="nil"/>
                    <w:left w:val="nil"/>
                    <w:bottom w:val="single" w:sz="4" w:space="0" w:color="auto"/>
                    <w:right w:val="single" w:sz="4" w:space="0" w:color="auto"/>
                  </w:tcBorders>
                  <w:shd w:val="clear" w:color="000000" w:fill="C1F0C8"/>
                  <w:noWrap/>
                  <w:vAlign w:val="bottom"/>
                  <w:hideMark/>
                </w:tcPr>
                <w:p w14:paraId="0932B3C1"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£133.33</w:t>
                  </w:r>
                </w:p>
              </w:tc>
            </w:tr>
            <w:tr w:rsidR="00091D28" w:rsidRPr="008F59EC" w14:paraId="7E4BA59F" w14:textId="77777777" w:rsidTr="00091D28">
              <w:trPr>
                <w:trHeight w:val="390"/>
              </w:trPr>
              <w:tc>
                <w:tcPr>
                  <w:tcW w:w="2380" w:type="dxa"/>
                  <w:tcBorders>
                    <w:top w:val="nil"/>
                    <w:left w:val="single" w:sz="4" w:space="0" w:color="auto"/>
                    <w:bottom w:val="single" w:sz="4" w:space="0" w:color="auto"/>
                    <w:right w:val="single" w:sz="4" w:space="0" w:color="auto"/>
                  </w:tcBorders>
                  <w:shd w:val="clear" w:color="000000" w:fill="C1F0C8"/>
                  <w:noWrap/>
                  <w:vAlign w:val="bottom"/>
                  <w:hideMark/>
                </w:tcPr>
                <w:p w14:paraId="5C728DC6"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Dec-26</w:t>
                  </w:r>
                </w:p>
              </w:tc>
              <w:tc>
                <w:tcPr>
                  <w:tcW w:w="1720" w:type="dxa"/>
                  <w:tcBorders>
                    <w:top w:val="nil"/>
                    <w:left w:val="nil"/>
                    <w:bottom w:val="single" w:sz="4" w:space="0" w:color="auto"/>
                    <w:right w:val="single" w:sz="4" w:space="0" w:color="auto"/>
                  </w:tcBorders>
                  <w:shd w:val="clear" w:color="000000" w:fill="C1F0C8"/>
                  <w:noWrap/>
                  <w:vAlign w:val="bottom"/>
                  <w:hideMark/>
                </w:tcPr>
                <w:p w14:paraId="31B5CEA8"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£1,750</w:t>
                  </w:r>
                </w:p>
              </w:tc>
              <w:tc>
                <w:tcPr>
                  <w:tcW w:w="2100" w:type="dxa"/>
                  <w:tcBorders>
                    <w:top w:val="nil"/>
                    <w:left w:val="nil"/>
                    <w:bottom w:val="single" w:sz="4" w:space="0" w:color="auto"/>
                    <w:right w:val="single" w:sz="4" w:space="0" w:color="auto"/>
                  </w:tcBorders>
                  <w:shd w:val="clear" w:color="000000" w:fill="C1F0C8"/>
                  <w:noWrap/>
                  <w:vAlign w:val="bottom"/>
                  <w:hideMark/>
                </w:tcPr>
                <w:p w14:paraId="26C5C1D3"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£1,000</w:t>
                  </w:r>
                </w:p>
              </w:tc>
              <w:tc>
                <w:tcPr>
                  <w:tcW w:w="1840" w:type="dxa"/>
                  <w:tcBorders>
                    <w:top w:val="nil"/>
                    <w:left w:val="nil"/>
                    <w:bottom w:val="single" w:sz="4" w:space="0" w:color="auto"/>
                    <w:right w:val="single" w:sz="4" w:space="0" w:color="auto"/>
                  </w:tcBorders>
                  <w:shd w:val="clear" w:color="000000" w:fill="C1F0C8"/>
                  <w:noWrap/>
                  <w:vAlign w:val="bottom"/>
                  <w:hideMark/>
                </w:tcPr>
                <w:p w14:paraId="0BA97760"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£1,500</w:t>
                  </w:r>
                </w:p>
              </w:tc>
              <w:tc>
                <w:tcPr>
                  <w:tcW w:w="2380" w:type="dxa"/>
                  <w:tcBorders>
                    <w:top w:val="nil"/>
                    <w:left w:val="nil"/>
                    <w:bottom w:val="single" w:sz="4" w:space="0" w:color="auto"/>
                    <w:right w:val="single" w:sz="4" w:space="0" w:color="auto"/>
                  </w:tcBorders>
                  <w:shd w:val="clear" w:color="000000" w:fill="C1F0C8"/>
                  <w:noWrap/>
                  <w:vAlign w:val="bottom"/>
                  <w:hideMark/>
                </w:tcPr>
                <w:p w14:paraId="7F55486E"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£4,250</w:t>
                  </w:r>
                </w:p>
              </w:tc>
              <w:tc>
                <w:tcPr>
                  <w:tcW w:w="2020" w:type="dxa"/>
                  <w:tcBorders>
                    <w:top w:val="nil"/>
                    <w:left w:val="nil"/>
                    <w:bottom w:val="single" w:sz="4" w:space="0" w:color="auto"/>
                    <w:right w:val="single" w:sz="4" w:space="0" w:color="auto"/>
                  </w:tcBorders>
                  <w:shd w:val="clear" w:color="000000" w:fill="C1F0C8"/>
                  <w:noWrap/>
                  <w:vAlign w:val="bottom"/>
                  <w:hideMark/>
                </w:tcPr>
                <w:p w14:paraId="05C8AAC3"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£141.67</w:t>
                  </w:r>
                </w:p>
              </w:tc>
            </w:tr>
            <w:tr w:rsidR="00091D28" w:rsidRPr="008F59EC" w14:paraId="4022A3C9" w14:textId="77777777" w:rsidTr="00091D28">
              <w:trPr>
                <w:trHeight w:val="300"/>
              </w:trPr>
              <w:tc>
                <w:tcPr>
                  <w:tcW w:w="2380" w:type="dxa"/>
                  <w:tcBorders>
                    <w:top w:val="nil"/>
                    <w:left w:val="single" w:sz="4" w:space="0" w:color="auto"/>
                    <w:bottom w:val="nil"/>
                    <w:right w:val="single" w:sz="4" w:space="0" w:color="auto"/>
                  </w:tcBorders>
                  <w:shd w:val="clear" w:color="000000" w:fill="C1F0C8"/>
                  <w:noWrap/>
                  <w:vAlign w:val="bottom"/>
                  <w:hideMark/>
                </w:tcPr>
                <w:p w14:paraId="371DBA1A"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Jan-27</w:t>
                  </w:r>
                </w:p>
              </w:tc>
              <w:tc>
                <w:tcPr>
                  <w:tcW w:w="1720" w:type="dxa"/>
                  <w:tcBorders>
                    <w:top w:val="nil"/>
                    <w:left w:val="nil"/>
                    <w:bottom w:val="single" w:sz="4" w:space="0" w:color="auto"/>
                    <w:right w:val="single" w:sz="4" w:space="0" w:color="auto"/>
                  </w:tcBorders>
                  <w:shd w:val="clear" w:color="000000" w:fill="C1F0C8"/>
                  <w:noWrap/>
                  <w:vAlign w:val="bottom"/>
                  <w:hideMark/>
                </w:tcPr>
                <w:p w14:paraId="0A793C4F"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£2,000</w:t>
                  </w:r>
                </w:p>
              </w:tc>
              <w:tc>
                <w:tcPr>
                  <w:tcW w:w="2100" w:type="dxa"/>
                  <w:tcBorders>
                    <w:top w:val="nil"/>
                    <w:left w:val="nil"/>
                    <w:bottom w:val="single" w:sz="4" w:space="0" w:color="auto"/>
                    <w:right w:val="single" w:sz="4" w:space="0" w:color="auto"/>
                  </w:tcBorders>
                  <w:shd w:val="clear" w:color="000000" w:fill="C1F0C8"/>
                  <w:noWrap/>
                  <w:vAlign w:val="bottom"/>
                  <w:hideMark/>
                </w:tcPr>
                <w:p w14:paraId="680B5367"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£1,000</w:t>
                  </w:r>
                </w:p>
              </w:tc>
              <w:tc>
                <w:tcPr>
                  <w:tcW w:w="1840" w:type="dxa"/>
                  <w:tcBorders>
                    <w:top w:val="nil"/>
                    <w:left w:val="nil"/>
                    <w:bottom w:val="single" w:sz="4" w:space="0" w:color="auto"/>
                    <w:right w:val="single" w:sz="4" w:space="0" w:color="auto"/>
                  </w:tcBorders>
                  <w:shd w:val="clear" w:color="000000" w:fill="C1F0C8"/>
                  <w:noWrap/>
                  <w:vAlign w:val="bottom"/>
                  <w:hideMark/>
                </w:tcPr>
                <w:p w14:paraId="158B72CF"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£1,750</w:t>
                  </w:r>
                </w:p>
              </w:tc>
              <w:tc>
                <w:tcPr>
                  <w:tcW w:w="2380" w:type="dxa"/>
                  <w:tcBorders>
                    <w:top w:val="nil"/>
                    <w:left w:val="nil"/>
                    <w:bottom w:val="single" w:sz="4" w:space="0" w:color="auto"/>
                    <w:right w:val="single" w:sz="4" w:space="0" w:color="auto"/>
                  </w:tcBorders>
                  <w:shd w:val="clear" w:color="000000" w:fill="C1F0C8"/>
                  <w:noWrap/>
                  <w:vAlign w:val="bottom"/>
                  <w:hideMark/>
                </w:tcPr>
                <w:p w14:paraId="21C02141"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£4,750</w:t>
                  </w:r>
                </w:p>
              </w:tc>
              <w:tc>
                <w:tcPr>
                  <w:tcW w:w="2020" w:type="dxa"/>
                  <w:tcBorders>
                    <w:top w:val="nil"/>
                    <w:left w:val="nil"/>
                    <w:bottom w:val="single" w:sz="4" w:space="0" w:color="auto"/>
                    <w:right w:val="single" w:sz="4" w:space="0" w:color="auto"/>
                  </w:tcBorders>
                  <w:shd w:val="clear" w:color="000000" w:fill="C1F0C8"/>
                  <w:noWrap/>
                  <w:vAlign w:val="bottom"/>
                  <w:hideMark/>
                </w:tcPr>
                <w:p w14:paraId="62C87AFA"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£158.33</w:t>
                  </w:r>
                </w:p>
              </w:tc>
            </w:tr>
            <w:tr w:rsidR="00091D28" w:rsidRPr="008F59EC" w14:paraId="1864CE1E" w14:textId="77777777" w:rsidTr="00091D28">
              <w:trPr>
                <w:trHeight w:val="300"/>
              </w:trPr>
              <w:tc>
                <w:tcPr>
                  <w:tcW w:w="2380" w:type="dxa"/>
                  <w:tcBorders>
                    <w:top w:val="single" w:sz="4" w:space="0" w:color="auto"/>
                    <w:left w:val="single" w:sz="4" w:space="0" w:color="auto"/>
                    <w:bottom w:val="single" w:sz="4" w:space="0" w:color="auto"/>
                    <w:right w:val="single" w:sz="4" w:space="0" w:color="auto"/>
                  </w:tcBorders>
                  <w:shd w:val="clear" w:color="000000" w:fill="C1F0C8"/>
                  <w:noWrap/>
                  <w:vAlign w:val="bottom"/>
                  <w:hideMark/>
                </w:tcPr>
                <w:p w14:paraId="0BF21D21" w14:textId="77777777" w:rsidR="00091D28" w:rsidRPr="008F59EC" w:rsidRDefault="00091D28"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Feb-27</w:t>
                  </w:r>
                </w:p>
              </w:tc>
              <w:tc>
                <w:tcPr>
                  <w:tcW w:w="1720" w:type="dxa"/>
                  <w:tcBorders>
                    <w:top w:val="nil"/>
                    <w:left w:val="nil"/>
                    <w:bottom w:val="single" w:sz="4" w:space="0" w:color="auto"/>
                    <w:right w:val="single" w:sz="4" w:space="0" w:color="auto"/>
                  </w:tcBorders>
                  <w:shd w:val="clear" w:color="000000" w:fill="C1F0C8"/>
                  <w:noWrap/>
                  <w:vAlign w:val="bottom"/>
                  <w:hideMark/>
                </w:tcPr>
                <w:p w14:paraId="62543CEC"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£2,000</w:t>
                  </w:r>
                </w:p>
              </w:tc>
              <w:tc>
                <w:tcPr>
                  <w:tcW w:w="2100" w:type="dxa"/>
                  <w:tcBorders>
                    <w:top w:val="nil"/>
                    <w:left w:val="nil"/>
                    <w:bottom w:val="single" w:sz="4" w:space="0" w:color="auto"/>
                    <w:right w:val="single" w:sz="4" w:space="0" w:color="auto"/>
                  </w:tcBorders>
                  <w:shd w:val="clear" w:color="000000" w:fill="C1F0C8"/>
                  <w:noWrap/>
                  <w:vAlign w:val="bottom"/>
                  <w:hideMark/>
                </w:tcPr>
                <w:p w14:paraId="54B223F1"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£1,000</w:t>
                  </w:r>
                </w:p>
              </w:tc>
              <w:tc>
                <w:tcPr>
                  <w:tcW w:w="1840" w:type="dxa"/>
                  <w:tcBorders>
                    <w:top w:val="nil"/>
                    <w:left w:val="nil"/>
                    <w:bottom w:val="single" w:sz="4" w:space="0" w:color="auto"/>
                    <w:right w:val="single" w:sz="4" w:space="0" w:color="auto"/>
                  </w:tcBorders>
                  <w:shd w:val="clear" w:color="000000" w:fill="C1F0C8"/>
                  <w:noWrap/>
                  <w:vAlign w:val="bottom"/>
                  <w:hideMark/>
                </w:tcPr>
                <w:p w14:paraId="5119B834"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£1,750</w:t>
                  </w:r>
                </w:p>
              </w:tc>
              <w:tc>
                <w:tcPr>
                  <w:tcW w:w="2380" w:type="dxa"/>
                  <w:tcBorders>
                    <w:top w:val="nil"/>
                    <w:left w:val="nil"/>
                    <w:bottom w:val="single" w:sz="4" w:space="0" w:color="auto"/>
                    <w:right w:val="single" w:sz="4" w:space="0" w:color="auto"/>
                  </w:tcBorders>
                  <w:shd w:val="clear" w:color="000000" w:fill="C1F0C8"/>
                  <w:noWrap/>
                  <w:vAlign w:val="bottom"/>
                  <w:hideMark/>
                </w:tcPr>
                <w:p w14:paraId="62BC930E"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£4,750</w:t>
                  </w:r>
                </w:p>
              </w:tc>
              <w:tc>
                <w:tcPr>
                  <w:tcW w:w="2020" w:type="dxa"/>
                  <w:tcBorders>
                    <w:top w:val="nil"/>
                    <w:left w:val="nil"/>
                    <w:bottom w:val="single" w:sz="4" w:space="0" w:color="auto"/>
                    <w:right w:val="single" w:sz="4" w:space="0" w:color="auto"/>
                  </w:tcBorders>
                  <w:shd w:val="clear" w:color="000000" w:fill="C1F0C8"/>
                  <w:noWrap/>
                  <w:vAlign w:val="bottom"/>
                  <w:hideMark/>
                </w:tcPr>
                <w:p w14:paraId="77627D10" w14:textId="77777777" w:rsidR="00091D28" w:rsidRPr="008F59EC" w:rsidRDefault="00091D28"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£158.33</w:t>
                  </w:r>
                </w:p>
              </w:tc>
            </w:tr>
          </w:tbl>
          <w:p w14:paraId="61E66F8F" w14:textId="77777777" w:rsidR="00091D28" w:rsidRPr="008F59EC" w:rsidRDefault="00091D28" w:rsidP="0014211F">
            <w:pPr>
              <w:spacing w:before="100" w:beforeAutospacing="1" w:after="100" w:afterAutospacing="1" w:line="360" w:lineRule="auto"/>
              <w:jc w:val="both"/>
              <w:rPr>
                <w:rFonts w:ascii="Arial" w:eastAsia="Times New Roman" w:hAnsi="Arial" w:cs="Arial"/>
                <w:kern w:val="0"/>
                <w:lang w:eastAsia="en-GB"/>
                <w14:ligatures w14:val="none"/>
              </w:rPr>
            </w:pPr>
          </w:p>
        </w:tc>
      </w:tr>
    </w:tbl>
    <w:p w14:paraId="61F7097E" w14:textId="30D269FF" w:rsidR="005F3649" w:rsidRPr="008F59EC" w:rsidRDefault="00D94ECC" w:rsidP="0014211F">
      <w:pPr>
        <w:spacing w:before="100" w:beforeAutospacing="1" w:after="100" w:afterAutospacing="1" w:line="360" w:lineRule="auto"/>
        <w:jc w:val="both"/>
        <w:rPr>
          <w:rFonts w:ascii="Arial" w:eastAsia="Times New Roman" w:hAnsi="Arial" w:cs="Arial"/>
          <w:kern w:val="0"/>
          <w:lang w:eastAsia="en-GB"/>
          <w14:ligatures w14:val="none"/>
        </w:rPr>
      </w:pPr>
      <w:r w:rsidRPr="008F59EC">
        <w:rPr>
          <w:rFonts w:ascii="Arial" w:eastAsia="Times New Roman" w:hAnsi="Arial" w:cs="Arial"/>
          <w:kern w:val="0"/>
          <w:lang w:eastAsia="en-GB"/>
          <w14:ligatures w14:val="none"/>
        </w:rPr>
        <w:t>Source: Author’s own financial model (202</w:t>
      </w:r>
      <w:r w:rsidR="005F3649" w:rsidRPr="008F59EC">
        <w:rPr>
          <w:rFonts w:ascii="Arial" w:eastAsia="Times New Roman" w:hAnsi="Arial" w:cs="Arial"/>
          <w:kern w:val="0"/>
          <w:lang w:eastAsia="en-GB"/>
          <w14:ligatures w14:val="none"/>
        </w:rPr>
        <w:t>6)</w:t>
      </w:r>
    </w:p>
    <w:p w14:paraId="73D0B325" w14:textId="77777777" w:rsidR="00586BF2" w:rsidRPr="006536D6" w:rsidRDefault="00586BF2" w:rsidP="0007190F">
      <w:pPr>
        <w:pStyle w:val="Heading2"/>
        <w:rPr>
          <w:rFonts w:ascii="Arial" w:hAnsi="Arial" w:cs="Arial"/>
        </w:rPr>
      </w:pPr>
      <w:bookmarkStart w:id="84" w:name="_Toc219926328"/>
      <w:r w:rsidRPr="006536D6">
        <w:rPr>
          <w:rStyle w:val="cf01"/>
          <w:rFonts w:ascii="Arial" w:hAnsi="Arial" w:cs="Arial"/>
          <w:sz w:val="32"/>
          <w:szCs w:val="32"/>
        </w:rPr>
        <w:t>Appendix B3: Variable and Fixed Cost Breakdown</w:t>
      </w:r>
      <w:bookmarkEnd w:id="84"/>
    </w:p>
    <w:p w14:paraId="28758F59" w14:textId="77777777" w:rsidR="00586BF2" w:rsidRPr="008F59EC" w:rsidRDefault="00586BF2" w:rsidP="0014211F">
      <w:pPr>
        <w:pStyle w:val="NormalWeb"/>
        <w:spacing w:line="360" w:lineRule="auto"/>
        <w:jc w:val="both"/>
        <w:rPr>
          <w:rStyle w:val="cf01"/>
          <w:rFonts w:ascii="Arial" w:eastAsiaTheme="majorEastAsia" w:hAnsi="Arial" w:cs="Arial"/>
          <w:sz w:val="24"/>
          <w:szCs w:val="24"/>
        </w:rPr>
      </w:pPr>
      <w:r w:rsidRPr="008F59EC">
        <w:rPr>
          <w:rStyle w:val="cf01"/>
          <w:rFonts w:ascii="Arial" w:eastAsiaTheme="majorEastAsia" w:hAnsi="Arial" w:cs="Arial"/>
          <w:sz w:val="24"/>
          <w:szCs w:val="24"/>
        </w:rPr>
        <w:t>Table B3: Variable and Fixed Cost Structure</w:t>
      </w:r>
    </w:p>
    <w:tbl>
      <w:tblPr>
        <w:tblStyle w:val="TableGrid"/>
        <w:tblW w:w="0" w:type="auto"/>
        <w:tblLook w:val="04A0" w:firstRow="1" w:lastRow="0" w:firstColumn="1" w:lastColumn="0" w:noHBand="0" w:noVBand="1"/>
      </w:tblPr>
      <w:tblGrid>
        <w:gridCol w:w="9016"/>
      </w:tblGrid>
      <w:tr w:rsidR="005F3649" w:rsidRPr="008F59EC" w14:paraId="25C0DDD4" w14:textId="77777777" w:rsidTr="005F3649">
        <w:tc>
          <w:tcPr>
            <w:tcW w:w="9016" w:type="dxa"/>
          </w:tcPr>
          <w:tbl>
            <w:tblPr>
              <w:tblW w:w="8794" w:type="dxa"/>
              <w:tblLook w:val="04A0" w:firstRow="1" w:lastRow="0" w:firstColumn="1" w:lastColumn="0" w:noHBand="0" w:noVBand="1"/>
            </w:tblPr>
            <w:tblGrid>
              <w:gridCol w:w="1193"/>
              <w:gridCol w:w="900"/>
              <w:gridCol w:w="1069"/>
              <w:gridCol w:w="1383"/>
              <w:gridCol w:w="1193"/>
              <w:gridCol w:w="1065"/>
              <w:gridCol w:w="994"/>
              <w:gridCol w:w="983"/>
            </w:tblGrid>
            <w:tr w:rsidR="00EA7246" w:rsidRPr="008F59EC" w14:paraId="3D986B32" w14:textId="77777777" w:rsidTr="00EA7246">
              <w:trPr>
                <w:trHeight w:val="310"/>
              </w:trPr>
              <w:tc>
                <w:tcPr>
                  <w:tcW w:w="1231" w:type="dxa"/>
                  <w:tcBorders>
                    <w:top w:val="single" w:sz="8" w:space="0" w:color="auto"/>
                    <w:left w:val="single" w:sz="8" w:space="0" w:color="auto"/>
                    <w:bottom w:val="single" w:sz="8" w:space="0" w:color="auto"/>
                    <w:right w:val="single" w:sz="4" w:space="0" w:color="auto"/>
                  </w:tcBorders>
                  <w:shd w:val="clear" w:color="000000" w:fill="A6C9EC"/>
                  <w:noWrap/>
                  <w:vAlign w:val="bottom"/>
                  <w:hideMark/>
                </w:tcPr>
                <w:p w14:paraId="64224888"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Month</w:t>
                  </w:r>
                </w:p>
              </w:tc>
              <w:tc>
                <w:tcPr>
                  <w:tcW w:w="926" w:type="dxa"/>
                  <w:tcBorders>
                    <w:top w:val="single" w:sz="8" w:space="0" w:color="auto"/>
                    <w:left w:val="nil"/>
                    <w:bottom w:val="single" w:sz="8" w:space="0" w:color="auto"/>
                    <w:right w:val="single" w:sz="4" w:space="0" w:color="auto"/>
                  </w:tcBorders>
                  <w:shd w:val="clear" w:color="000000" w:fill="A6C9EC"/>
                  <w:noWrap/>
                  <w:vAlign w:val="bottom"/>
                  <w:hideMark/>
                </w:tcPr>
                <w:p w14:paraId="1245742F"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FTB Cases</w:t>
                  </w:r>
                </w:p>
              </w:tc>
              <w:tc>
                <w:tcPr>
                  <w:tcW w:w="1102" w:type="dxa"/>
                  <w:tcBorders>
                    <w:top w:val="single" w:sz="8" w:space="0" w:color="auto"/>
                    <w:left w:val="nil"/>
                    <w:bottom w:val="single" w:sz="8" w:space="0" w:color="auto"/>
                    <w:right w:val="single" w:sz="4" w:space="0" w:color="auto"/>
                  </w:tcBorders>
                  <w:shd w:val="clear" w:color="000000" w:fill="A6C9EC"/>
                  <w:noWrap/>
                  <w:vAlign w:val="bottom"/>
                  <w:hideMark/>
                </w:tcPr>
                <w:p w14:paraId="0D86DC56"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BTL Cases</w:t>
                  </w:r>
                </w:p>
              </w:tc>
              <w:tc>
                <w:tcPr>
                  <w:tcW w:w="1281" w:type="dxa"/>
                  <w:tcBorders>
                    <w:top w:val="single" w:sz="8" w:space="0" w:color="auto"/>
                    <w:left w:val="nil"/>
                    <w:bottom w:val="single" w:sz="8" w:space="0" w:color="auto"/>
                    <w:right w:val="single" w:sz="4" w:space="0" w:color="auto"/>
                  </w:tcBorders>
                  <w:shd w:val="clear" w:color="000000" w:fill="A6C9EC"/>
                  <w:noWrap/>
                  <w:vAlign w:val="bottom"/>
                  <w:hideMark/>
                </w:tcPr>
                <w:p w14:paraId="09BF77A2"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Remortgage Cases</w:t>
                  </w:r>
                </w:p>
              </w:tc>
              <w:tc>
                <w:tcPr>
                  <w:tcW w:w="1230" w:type="dxa"/>
                  <w:tcBorders>
                    <w:top w:val="single" w:sz="8" w:space="0" w:color="auto"/>
                    <w:left w:val="nil"/>
                    <w:bottom w:val="single" w:sz="8" w:space="0" w:color="auto"/>
                    <w:right w:val="single" w:sz="4" w:space="0" w:color="auto"/>
                  </w:tcBorders>
                  <w:shd w:val="clear" w:color="000000" w:fill="A6C9EC"/>
                  <w:noWrap/>
                  <w:vAlign w:val="bottom"/>
                  <w:hideMark/>
                </w:tcPr>
                <w:p w14:paraId="115D31A9"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Total Cases</w:t>
                  </w:r>
                </w:p>
              </w:tc>
              <w:tc>
                <w:tcPr>
                  <w:tcW w:w="1065" w:type="dxa"/>
                  <w:tcBorders>
                    <w:top w:val="single" w:sz="8" w:space="0" w:color="auto"/>
                    <w:left w:val="nil"/>
                    <w:bottom w:val="single" w:sz="8" w:space="0" w:color="auto"/>
                    <w:right w:val="single" w:sz="4" w:space="0" w:color="auto"/>
                  </w:tcBorders>
                  <w:shd w:val="clear" w:color="000000" w:fill="A6C9EC"/>
                  <w:noWrap/>
                  <w:vAlign w:val="bottom"/>
                  <w:hideMark/>
                </w:tcPr>
                <w:p w14:paraId="3F46CF86"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Revenue (£)</w:t>
                  </w:r>
                </w:p>
              </w:tc>
              <w:tc>
                <w:tcPr>
                  <w:tcW w:w="1010" w:type="dxa"/>
                  <w:tcBorders>
                    <w:top w:val="single" w:sz="8" w:space="0" w:color="auto"/>
                    <w:left w:val="nil"/>
                    <w:bottom w:val="single" w:sz="8" w:space="0" w:color="auto"/>
                    <w:right w:val="single" w:sz="4" w:space="0" w:color="auto"/>
                  </w:tcBorders>
                  <w:shd w:val="clear" w:color="000000" w:fill="A6C9EC"/>
                  <w:noWrap/>
                  <w:vAlign w:val="bottom"/>
                  <w:hideMark/>
                </w:tcPr>
                <w:p w14:paraId="1A942B30"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Variable Costs (£)</w:t>
                  </w:r>
                </w:p>
              </w:tc>
              <w:tc>
                <w:tcPr>
                  <w:tcW w:w="949" w:type="dxa"/>
                  <w:tcBorders>
                    <w:top w:val="single" w:sz="8" w:space="0" w:color="auto"/>
                    <w:left w:val="nil"/>
                    <w:bottom w:val="single" w:sz="8" w:space="0" w:color="auto"/>
                    <w:right w:val="single" w:sz="8" w:space="0" w:color="auto"/>
                  </w:tcBorders>
                  <w:shd w:val="clear" w:color="000000" w:fill="A6C9EC"/>
                  <w:noWrap/>
                  <w:vAlign w:val="bottom"/>
                  <w:hideMark/>
                </w:tcPr>
                <w:p w14:paraId="41498C4E"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Net Cash Flow (£)</w:t>
                  </w:r>
                </w:p>
              </w:tc>
            </w:tr>
            <w:tr w:rsidR="00EA7246" w:rsidRPr="008F59EC" w14:paraId="2B687481" w14:textId="77777777" w:rsidTr="00EA7246">
              <w:trPr>
                <w:trHeight w:val="295"/>
              </w:trPr>
              <w:tc>
                <w:tcPr>
                  <w:tcW w:w="1231" w:type="dxa"/>
                  <w:tcBorders>
                    <w:top w:val="nil"/>
                    <w:left w:val="single" w:sz="4" w:space="0" w:color="auto"/>
                    <w:bottom w:val="single" w:sz="4" w:space="0" w:color="auto"/>
                    <w:right w:val="single" w:sz="4" w:space="0" w:color="auto"/>
                  </w:tcBorders>
                  <w:shd w:val="clear" w:color="000000" w:fill="DAE9F8"/>
                  <w:noWrap/>
                  <w:vAlign w:val="bottom"/>
                  <w:hideMark/>
                </w:tcPr>
                <w:p w14:paraId="1B55355B"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Mar-26</w:t>
                  </w:r>
                </w:p>
              </w:tc>
              <w:tc>
                <w:tcPr>
                  <w:tcW w:w="926" w:type="dxa"/>
                  <w:tcBorders>
                    <w:top w:val="nil"/>
                    <w:left w:val="nil"/>
                    <w:bottom w:val="single" w:sz="4" w:space="0" w:color="auto"/>
                    <w:right w:val="single" w:sz="4" w:space="0" w:color="auto"/>
                  </w:tcBorders>
                  <w:shd w:val="clear" w:color="000000" w:fill="DAE9F8"/>
                  <w:noWrap/>
                  <w:vAlign w:val="bottom"/>
                  <w:hideMark/>
                </w:tcPr>
                <w:p w14:paraId="2EECB5E2"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w:t>
                  </w:r>
                </w:p>
              </w:tc>
              <w:tc>
                <w:tcPr>
                  <w:tcW w:w="1102" w:type="dxa"/>
                  <w:tcBorders>
                    <w:top w:val="nil"/>
                    <w:left w:val="nil"/>
                    <w:bottom w:val="single" w:sz="4" w:space="0" w:color="auto"/>
                    <w:right w:val="single" w:sz="4" w:space="0" w:color="auto"/>
                  </w:tcBorders>
                  <w:shd w:val="clear" w:color="000000" w:fill="DAE9F8"/>
                  <w:noWrap/>
                  <w:vAlign w:val="bottom"/>
                  <w:hideMark/>
                </w:tcPr>
                <w:p w14:paraId="4A0A6010"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w:t>
                  </w:r>
                </w:p>
              </w:tc>
              <w:tc>
                <w:tcPr>
                  <w:tcW w:w="1281" w:type="dxa"/>
                  <w:tcBorders>
                    <w:top w:val="nil"/>
                    <w:left w:val="nil"/>
                    <w:bottom w:val="single" w:sz="4" w:space="0" w:color="auto"/>
                    <w:right w:val="single" w:sz="4" w:space="0" w:color="auto"/>
                  </w:tcBorders>
                  <w:shd w:val="clear" w:color="000000" w:fill="DAE9F8"/>
                  <w:noWrap/>
                  <w:vAlign w:val="bottom"/>
                  <w:hideMark/>
                </w:tcPr>
                <w:p w14:paraId="0B14322A"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w:t>
                  </w:r>
                </w:p>
              </w:tc>
              <w:tc>
                <w:tcPr>
                  <w:tcW w:w="1230" w:type="dxa"/>
                  <w:tcBorders>
                    <w:top w:val="nil"/>
                    <w:left w:val="nil"/>
                    <w:bottom w:val="single" w:sz="4" w:space="0" w:color="auto"/>
                    <w:right w:val="single" w:sz="4" w:space="0" w:color="auto"/>
                  </w:tcBorders>
                  <w:shd w:val="clear" w:color="000000" w:fill="DAE9F8"/>
                  <w:noWrap/>
                  <w:vAlign w:val="bottom"/>
                  <w:hideMark/>
                </w:tcPr>
                <w:p w14:paraId="20D51B66"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w:t>
                  </w:r>
                </w:p>
              </w:tc>
              <w:tc>
                <w:tcPr>
                  <w:tcW w:w="1065" w:type="dxa"/>
                  <w:tcBorders>
                    <w:top w:val="nil"/>
                    <w:left w:val="nil"/>
                    <w:bottom w:val="single" w:sz="4" w:space="0" w:color="auto"/>
                    <w:right w:val="single" w:sz="4" w:space="0" w:color="auto"/>
                  </w:tcBorders>
                  <w:shd w:val="clear" w:color="000000" w:fill="DAE9F8"/>
                  <w:noWrap/>
                  <w:vAlign w:val="bottom"/>
                  <w:hideMark/>
                </w:tcPr>
                <w:p w14:paraId="2A88DCFE"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£4,500</w:t>
                  </w:r>
                </w:p>
              </w:tc>
              <w:tc>
                <w:tcPr>
                  <w:tcW w:w="1010" w:type="dxa"/>
                  <w:tcBorders>
                    <w:top w:val="nil"/>
                    <w:left w:val="nil"/>
                    <w:bottom w:val="single" w:sz="4" w:space="0" w:color="auto"/>
                    <w:right w:val="single" w:sz="4" w:space="0" w:color="auto"/>
                  </w:tcBorders>
                  <w:shd w:val="clear" w:color="000000" w:fill="DAE9F8"/>
                  <w:noWrap/>
                  <w:vAlign w:val="bottom"/>
                  <w:hideMark/>
                </w:tcPr>
                <w:p w14:paraId="5F92B3F2"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£1,250</w:t>
                  </w:r>
                </w:p>
              </w:tc>
              <w:tc>
                <w:tcPr>
                  <w:tcW w:w="949" w:type="dxa"/>
                  <w:tcBorders>
                    <w:top w:val="nil"/>
                    <w:left w:val="nil"/>
                    <w:bottom w:val="single" w:sz="4" w:space="0" w:color="auto"/>
                    <w:right w:val="single" w:sz="4" w:space="0" w:color="auto"/>
                  </w:tcBorders>
                  <w:shd w:val="clear" w:color="000000" w:fill="DAE9F8"/>
                  <w:noWrap/>
                  <w:vAlign w:val="bottom"/>
                  <w:hideMark/>
                </w:tcPr>
                <w:p w14:paraId="1A0E232F"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£3,250</w:t>
                  </w:r>
                </w:p>
              </w:tc>
            </w:tr>
            <w:tr w:rsidR="00EA7246" w:rsidRPr="008F59EC" w14:paraId="24D23673" w14:textId="77777777" w:rsidTr="00EA7246">
              <w:trPr>
                <w:trHeight w:val="295"/>
              </w:trPr>
              <w:tc>
                <w:tcPr>
                  <w:tcW w:w="1231" w:type="dxa"/>
                  <w:tcBorders>
                    <w:top w:val="nil"/>
                    <w:left w:val="single" w:sz="4" w:space="0" w:color="auto"/>
                    <w:bottom w:val="single" w:sz="4" w:space="0" w:color="auto"/>
                    <w:right w:val="single" w:sz="4" w:space="0" w:color="auto"/>
                  </w:tcBorders>
                  <w:shd w:val="clear" w:color="000000" w:fill="DAE9F8"/>
                  <w:noWrap/>
                  <w:vAlign w:val="bottom"/>
                  <w:hideMark/>
                </w:tcPr>
                <w:p w14:paraId="614A35B4"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Apr-26</w:t>
                  </w:r>
                </w:p>
              </w:tc>
              <w:tc>
                <w:tcPr>
                  <w:tcW w:w="926" w:type="dxa"/>
                  <w:tcBorders>
                    <w:top w:val="nil"/>
                    <w:left w:val="nil"/>
                    <w:bottom w:val="single" w:sz="4" w:space="0" w:color="auto"/>
                    <w:right w:val="single" w:sz="4" w:space="0" w:color="auto"/>
                  </w:tcBorders>
                  <w:shd w:val="clear" w:color="000000" w:fill="DAE9F8"/>
                  <w:noWrap/>
                  <w:vAlign w:val="bottom"/>
                  <w:hideMark/>
                </w:tcPr>
                <w:p w14:paraId="76FB271C"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w:t>
                  </w:r>
                </w:p>
              </w:tc>
              <w:tc>
                <w:tcPr>
                  <w:tcW w:w="1102" w:type="dxa"/>
                  <w:tcBorders>
                    <w:top w:val="nil"/>
                    <w:left w:val="nil"/>
                    <w:bottom w:val="single" w:sz="4" w:space="0" w:color="auto"/>
                    <w:right w:val="single" w:sz="4" w:space="0" w:color="auto"/>
                  </w:tcBorders>
                  <w:shd w:val="clear" w:color="000000" w:fill="DAE9F8"/>
                  <w:noWrap/>
                  <w:vAlign w:val="bottom"/>
                  <w:hideMark/>
                </w:tcPr>
                <w:p w14:paraId="1C184C85"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w:t>
                  </w:r>
                </w:p>
              </w:tc>
              <w:tc>
                <w:tcPr>
                  <w:tcW w:w="1281" w:type="dxa"/>
                  <w:tcBorders>
                    <w:top w:val="nil"/>
                    <w:left w:val="nil"/>
                    <w:bottom w:val="single" w:sz="4" w:space="0" w:color="auto"/>
                    <w:right w:val="single" w:sz="4" w:space="0" w:color="auto"/>
                  </w:tcBorders>
                  <w:shd w:val="clear" w:color="000000" w:fill="DAE9F8"/>
                  <w:noWrap/>
                  <w:vAlign w:val="bottom"/>
                  <w:hideMark/>
                </w:tcPr>
                <w:p w14:paraId="6B3C3ACB"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w:t>
                  </w:r>
                </w:p>
              </w:tc>
              <w:tc>
                <w:tcPr>
                  <w:tcW w:w="1230" w:type="dxa"/>
                  <w:tcBorders>
                    <w:top w:val="nil"/>
                    <w:left w:val="nil"/>
                    <w:bottom w:val="single" w:sz="4" w:space="0" w:color="auto"/>
                    <w:right w:val="single" w:sz="4" w:space="0" w:color="auto"/>
                  </w:tcBorders>
                  <w:shd w:val="clear" w:color="000000" w:fill="DAE9F8"/>
                  <w:noWrap/>
                  <w:vAlign w:val="bottom"/>
                  <w:hideMark/>
                </w:tcPr>
                <w:p w14:paraId="00A86B98"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6</w:t>
                  </w:r>
                </w:p>
              </w:tc>
              <w:tc>
                <w:tcPr>
                  <w:tcW w:w="1065" w:type="dxa"/>
                  <w:tcBorders>
                    <w:top w:val="nil"/>
                    <w:left w:val="nil"/>
                    <w:bottom w:val="single" w:sz="4" w:space="0" w:color="auto"/>
                    <w:right w:val="single" w:sz="4" w:space="0" w:color="auto"/>
                  </w:tcBorders>
                  <w:shd w:val="clear" w:color="000000" w:fill="DAE9F8"/>
                  <w:noWrap/>
                  <w:vAlign w:val="bottom"/>
                  <w:hideMark/>
                </w:tcPr>
                <w:p w14:paraId="583464C8"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£5,400</w:t>
                  </w:r>
                </w:p>
              </w:tc>
              <w:tc>
                <w:tcPr>
                  <w:tcW w:w="1010" w:type="dxa"/>
                  <w:tcBorders>
                    <w:top w:val="nil"/>
                    <w:left w:val="nil"/>
                    <w:bottom w:val="single" w:sz="4" w:space="0" w:color="auto"/>
                    <w:right w:val="single" w:sz="4" w:space="0" w:color="auto"/>
                  </w:tcBorders>
                  <w:shd w:val="clear" w:color="000000" w:fill="DAE9F8"/>
                  <w:noWrap/>
                  <w:vAlign w:val="bottom"/>
                  <w:hideMark/>
                </w:tcPr>
                <w:p w14:paraId="6D0B4032"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£1,500</w:t>
                  </w:r>
                </w:p>
              </w:tc>
              <w:tc>
                <w:tcPr>
                  <w:tcW w:w="949" w:type="dxa"/>
                  <w:tcBorders>
                    <w:top w:val="nil"/>
                    <w:left w:val="nil"/>
                    <w:bottom w:val="single" w:sz="4" w:space="0" w:color="auto"/>
                    <w:right w:val="single" w:sz="4" w:space="0" w:color="auto"/>
                  </w:tcBorders>
                  <w:shd w:val="clear" w:color="000000" w:fill="DAE9F8"/>
                  <w:noWrap/>
                  <w:vAlign w:val="bottom"/>
                  <w:hideMark/>
                </w:tcPr>
                <w:p w14:paraId="63AAA6E9"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£3,900</w:t>
                  </w:r>
                </w:p>
              </w:tc>
            </w:tr>
            <w:tr w:rsidR="00EA7246" w:rsidRPr="008F59EC" w14:paraId="641E5F6B" w14:textId="77777777" w:rsidTr="00EA7246">
              <w:trPr>
                <w:trHeight w:val="355"/>
              </w:trPr>
              <w:tc>
                <w:tcPr>
                  <w:tcW w:w="1231" w:type="dxa"/>
                  <w:tcBorders>
                    <w:top w:val="nil"/>
                    <w:left w:val="single" w:sz="4" w:space="0" w:color="auto"/>
                    <w:bottom w:val="single" w:sz="4" w:space="0" w:color="auto"/>
                    <w:right w:val="single" w:sz="4" w:space="0" w:color="auto"/>
                  </w:tcBorders>
                  <w:shd w:val="clear" w:color="000000" w:fill="DAE9F8"/>
                  <w:vAlign w:val="bottom"/>
                  <w:hideMark/>
                </w:tcPr>
                <w:p w14:paraId="2F7FB2A5"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May-26</w:t>
                  </w:r>
                </w:p>
              </w:tc>
              <w:tc>
                <w:tcPr>
                  <w:tcW w:w="926" w:type="dxa"/>
                  <w:tcBorders>
                    <w:top w:val="nil"/>
                    <w:left w:val="nil"/>
                    <w:bottom w:val="single" w:sz="4" w:space="0" w:color="auto"/>
                    <w:right w:val="single" w:sz="4" w:space="0" w:color="auto"/>
                  </w:tcBorders>
                  <w:shd w:val="clear" w:color="000000" w:fill="DAE9F8"/>
                  <w:noWrap/>
                  <w:vAlign w:val="bottom"/>
                  <w:hideMark/>
                </w:tcPr>
                <w:p w14:paraId="50F527C0"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w:t>
                  </w:r>
                </w:p>
              </w:tc>
              <w:tc>
                <w:tcPr>
                  <w:tcW w:w="1102" w:type="dxa"/>
                  <w:tcBorders>
                    <w:top w:val="nil"/>
                    <w:left w:val="nil"/>
                    <w:bottom w:val="single" w:sz="4" w:space="0" w:color="auto"/>
                    <w:right w:val="single" w:sz="4" w:space="0" w:color="auto"/>
                  </w:tcBorders>
                  <w:shd w:val="clear" w:color="000000" w:fill="DAE9F8"/>
                  <w:noWrap/>
                  <w:vAlign w:val="bottom"/>
                  <w:hideMark/>
                </w:tcPr>
                <w:p w14:paraId="6802D959"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w:t>
                  </w:r>
                </w:p>
              </w:tc>
              <w:tc>
                <w:tcPr>
                  <w:tcW w:w="1281" w:type="dxa"/>
                  <w:tcBorders>
                    <w:top w:val="nil"/>
                    <w:left w:val="nil"/>
                    <w:bottom w:val="single" w:sz="4" w:space="0" w:color="auto"/>
                    <w:right w:val="single" w:sz="4" w:space="0" w:color="auto"/>
                  </w:tcBorders>
                  <w:shd w:val="clear" w:color="000000" w:fill="DAE9F8"/>
                  <w:noWrap/>
                  <w:vAlign w:val="bottom"/>
                  <w:hideMark/>
                </w:tcPr>
                <w:p w14:paraId="50591B0D"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w:t>
                  </w:r>
                </w:p>
              </w:tc>
              <w:tc>
                <w:tcPr>
                  <w:tcW w:w="1230" w:type="dxa"/>
                  <w:tcBorders>
                    <w:top w:val="nil"/>
                    <w:left w:val="nil"/>
                    <w:bottom w:val="single" w:sz="4" w:space="0" w:color="auto"/>
                    <w:right w:val="single" w:sz="4" w:space="0" w:color="auto"/>
                  </w:tcBorders>
                  <w:shd w:val="clear" w:color="000000" w:fill="DAE9F8"/>
                  <w:noWrap/>
                  <w:vAlign w:val="bottom"/>
                  <w:hideMark/>
                </w:tcPr>
                <w:p w14:paraId="056F94E6"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8</w:t>
                  </w:r>
                </w:p>
              </w:tc>
              <w:tc>
                <w:tcPr>
                  <w:tcW w:w="1065" w:type="dxa"/>
                  <w:tcBorders>
                    <w:top w:val="nil"/>
                    <w:left w:val="nil"/>
                    <w:bottom w:val="single" w:sz="4" w:space="0" w:color="auto"/>
                    <w:right w:val="single" w:sz="4" w:space="0" w:color="auto"/>
                  </w:tcBorders>
                  <w:shd w:val="clear" w:color="000000" w:fill="DAE9F8"/>
                  <w:noWrap/>
                  <w:vAlign w:val="bottom"/>
                  <w:hideMark/>
                </w:tcPr>
                <w:p w14:paraId="24AFE07F"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£7,300</w:t>
                  </w:r>
                </w:p>
              </w:tc>
              <w:tc>
                <w:tcPr>
                  <w:tcW w:w="1010" w:type="dxa"/>
                  <w:tcBorders>
                    <w:top w:val="nil"/>
                    <w:left w:val="nil"/>
                    <w:bottom w:val="single" w:sz="4" w:space="0" w:color="auto"/>
                    <w:right w:val="single" w:sz="4" w:space="0" w:color="auto"/>
                  </w:tcBorders>
                  <w:shd w:val="clear" w:color="000000" w:fill="DAE9F8"/>
                  <w:noWrap/>
                  <w:vAlign w:val="bottom"/>
                  <w:hideMark/>
                </w:tcPr>
                <w:p w14:paraId="0A4430AC"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£2,000</w:t>
                  </w:r>
                </w:p>
              </w:tc>
              <w:tc>
                <w:tcPr>
                  <w:tcW w:w="949" w:type="dxa"/>
                  <w:tcBorders>
                    <w:top w:val="nil"/>
                    <w:left w:val="nil"/>
                    <w:bottom w:val="single" w:sz="4" w:space="0" w:color="auto"/>
                    <w:right w:val="single" w:sz="4" w:space="0" w:color="auto"/>
                  </w:tcBorders>
                  <w:shd w:val="clear" w:color="000000" w:fill="DAE9F8"/>
                  <w:noWrap/>
                  <w:vAlign w:val="bottom"/>
                  <w:hideMark/>
                </w:tcPr>
                <w:p w14:paraId="750BE35D"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£5,300</w:t>
                  </w:r>
                </w:p>
              </w:tc>
            </w:tr>
            <w:tr w:rsidR="00EA7246" w:rsidRPr="008F59EC" w14:paraId="1EE7761A" w14:textId="77777777" w:rsidTr="00EA7246">
              <w:trPr>
                <w:trHeight w:val="295"/>
              </w:trPr>
              <w:tc>
                <w:tcPr>
                  <w:tcW w:w="1231" w:type="dxa"/>
                  <w:tcBorders>
                    <w:top w:val="nil"/>
                    <w:left w:val="single" w:sz="4" w:space="0" w:color="auto"/>
                    <w:bottom w:val="single" w:sz="4" w:space="0" w:color="auto"/>
                    <w:right w:val="single" w:sz="4" w:space="0" w:color="auto"/>
                  </w:tcBorders>
                  <w:shd w:val="clear" w:color="000000" w:fill="DAE9F8"/>
                  <w:noWrap/>
                  <w:vAlign w:val="bottom"/>
                  <w:hideMark/>
                </w:tcPr>
                <w:p w14:paraId="7C3F76CA"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Jun-26</w:t>
                  </w:r>
                </w:p>
              </w:tc>
              <w:tc>
                <w:tcPr>
                  <w:tcW w:w="926" w:type="dxa"/>
                  <w:tcBorders>
                    <w:top w:val="nil"/>
                    <w:left w:val="nil"/>
                    <w:bottom w:val="single" w:sz="4" w:space="0" w:color="auto"/>
                    <w:right w:val="single" w:sz="4" w:space="0" w:color="auto"/>
                  </w:tcBorders>
                  <w:shd w:val="clear" w:color="000000" w:fill="DAE9F8"/>
                  <w:noWrap/>
                  <w:vAlign w:val="bottom"/>
                  <w:hideMark/>
                </w:tcPr>
                <w:p w14:paraId="29BD2B4E"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w:t>
                  </w:r>
                </w:p>
              </w:tc>
              <w:tc>
                <w:tcPr>
                  <w:tcW w:w="1102" w:type="dxa"/>
                  <w:tcBorders>
                    <w:top w:val="nil"/>
                    <w:left w:val="nil"/>
                    <w:bottom w:val="single" w:sz="4" w:space="0" w:color="auto"/>
                    <w:right w:val="single" w:sz="4" w:space="0" w:color="auto"/>
                  </w:tcBorders>
                  <w:shd w:val="clear" w:color="000000" w:fill="DAE9F8"/>
                  <w:noWrap/>
                  <w:vAlign w:val="bottom"/>
                  <w:hideMark/>
                </w:tcPr>
                <w:p w14:paraId="593315FE"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w:t>
                  </w:r>
                </w:p>
              </w:tc>
              <w:tc>
                <w:tcPr>
                  <w:tcW w:w="1281" w:type="dxa"/>
                  <w:tcBorders>
                    <w:top w:val="nil"/>
                    <w:left w:val="nil"/>
                    <w:bottom w:val="single" w:sz="4" w:space="0" w:color="auto"/>
                    <w:right w:val="single" w:sz="4" w:space="0" w:color="auto"/>
                  </w:tcBorders>
                  <w:shd w:val="clear" w:color="000000" w:fill="DAE9F8"/>
                  <w:noWrap/>
                  <w:vAlign w:val="bottom"/>
                  <w:hideMark/>
                </w:tcPr>
                <w:p w14:paraId="17DF9621"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w:t>
                  </w:r>
                </w:p>
              </w:tc>
              <w:tc>
                <w:tcPr>
                  <w:tcW w:w="1230" w:type="dxa"/>
                  <w:tcBorders>
                    <w:top w:val="nil"/>
                    <w:left w:val="nil"/>
                    <w:bottom w:val="single" w:sz="4" w:space="0" w:color="auto"/>
                    <w:right w:val="single" w:sz="4" w:space="0" w:color="auto"/>
                  </w:tcBorders>
                  <w:shd w:val="clear" w:color="000000" w:fill="DAE9F8"/>
                  <w:noWrap/>
                  <w:vAlign w:val="bottom"/>
                  <w:hideMark/>
                </w:tcPr>
                <w:p w14:paraId="778F3631"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10</w:t>
                  </w:r>
                </w:p>
              </w:tc>
              <w:tc>
                <w:tcPr>
                  <w:tcW w:w="1065" w:type="dxa"/>
                  <w:tcBorders>
                    <w:top w:val="nil"/>
                    <w:left w:val="nil"/>
                    <w:bottom w:val="single" w:sz="4" w:space="0" w:color="auto"/>
                    <w:right w:val="single" w:sz="4" w:space="0" w:color="auto"/>
                  </w:tcBorders>
                  <w:shd w:val="clear" w:color="000000" w:fill="DAE9F8"/>
                  <w:noWrap/>
                  <w:vAlign w:val="bottom"/>
                  <w:hideMark/>
                </w:tcPr>
                <w:p w14:paraId="4C1EFD92"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£9,000</w:t>
                  </w:r>
                </w:p>
              </w:tc>
              <w:tc>
                <w:tcPr>
                  <w:tcW w:w="1010" w:type="dxa"/>
                  <w:tcBorders>
                    <w:top w:val="nil"/>
                    <w:left w:val="nil"/>
                    <w:bottom w:val="single" w:sz="4" w:space="0" w:color="auto"/>
                    <w:right w:val="single" w:sz="4" w:space="0" w:color="auto"/>
                  </w:tcBorders>
                  <w:shd w:val="clear" w:color="000000" w:fill="DAE9F8"/>
                  <w:noWrap/>
                  <w:vAlign w:val="bottom"/>
                  <w:hideMark/>
                </w:tcPr>
                <w:p w14:paraId="5BF2A8F9"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£2,500</w:t>
                  </w:r>
                </w:p>
              </w:tc>
              <w:tc>
                <w:tcPr>
                  <w:tcW w:w="949" w:type="dxa"/>
                  <w:tcBorders>
                    <w:top w:val="nil"/>
                    <w:left w:val="nil"/>
                    <w:bottom w:val="single" w:sz="4" w:space="0" w:color="auto"/>
                    <w:right w:val="single" w:sz="4" w:space="0" w:color="auto"/>
                  </w:tcBorders>
                  <w:shd w:val="clear" w:color="000000" w:fill="DAE9F8"/>
                  <w:noWrap/>
                  <w:vAlign w:val="bottom"/>
                  <w:hideMark/>
                </w:tcPr>
                <w:p w14:paraId="0749379F"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£6,500</w:t>
                  </w:r>
                </w:p>
              </w:tc>
            </w:tr>
            <w:tr w:rsidR="00EA7246" w:rsidRPr="008F59EC" w14:paraId="6EB1E704" w14:textId="77777777" w:rsidTr="00EA7246">
              <w:trPr>
                <w:trHeight w:val="295"/>
              </w:trPr>
              <w:tc>
                <w:tcPr>
                  <w:tcW w:w="1231" w:type="dxa"/>
                  <w:tcBorders>
                    <w:top w:val="nil"/>
                    <w:left w:val="single" w:sz="4" w:space="0" w:color="auto"/>
                    <w:bottom w:val="single" w:sz="4" w:space="0" w:color="auto"/>
                    <w:right w:val="single" w:sz="4" w:space="0" w:color="auto"/>
                  </w:tcBorders>
                  <w:shd w:val="clear" w:color="000000" w:fill="DAE9F8"/>
                  <w:noWrap/>
                  <w:vAlign w:val="bottom"/>
                  <w:hideMark/>
                </w:tcPr>
                <w:p w14:paraId="30AA84C9"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Jul-26</w:t>
                  </w:r>
                </w:p>
              </w:tc>
              <w:tc>
                <w:tcPr>
                  <w:tcW w:w="926" w:type="dxa"/>
                  <w:tcBorders>
                    <w:top w:val="nil"/>
                    <w:left w:val="nil"/>
                    <w:bottom w:val="single" w:sz="4" w:space="0" w:color="auto"/>
                    <w:right w:val="single" w:sz="4" w:space="0" w:color="auto"/>
                  </w:tcBorders>
                  <w:shd w:val="clear" w:color="000000" w:fill="DAE9F8"/>
                  <w:noWrap/>
                  <w:vAlign w:val="bottom"/>
                  <w:hideMark/>
                </w:tcPr>
                <w:p w14:paraId="18B4D57C"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w:t>
                  </w:r>
                </w:p>
              </w:tc>
              <w:tc>
                <w:tcPr>
                  <w:tcW w:w="1102" w:type="dxa"/>
                  <w:tcBorders>
                    <w:top w:val="nil"/>
                    <w:left w:val="nil"/>
                    <w:bottom w:val="single" w:sz="4" w:space="0" w:color="auto"/>
                    <w:right w:val="single" w:sz="4" w:space="0" w:color="auto"/>
                  </w:tcBorders>
                  <w:shd w:val="clear" w:color="000000" w:fill="DAE9F8"/>
                  <w:noWrap/>
                  <w:vAlign w:val="bottom"/>
                  <w:hideMark/>
                </w:tcPr>
                <w:p w14:paraId="6C6EADF1"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w:t>
                  </w:r>
                </w:p>
              </w:tc>
              <w:tc>
                <w:tcPr>
                  <w:tcW w:w="1281" w:type="dxa"/>
                  <w:tcBorders>
                    <w:top w:val="nil"/>
                    <w:left w:val="nil"/>
                    <w:bottom w:val="single" w:sz="4" w:space="0" w:color="auto"/>
                    <w:right w:val="single" w:sz="4" w:space="0" w:color="auto"/>
                  </w:tcBorders>
                  <w:shd w:val="clear" w:color="000000" w:fill="DAE9F8"/>
                  <w:noWrap/>
                  <w:vAlign w:val="bottom"/>
                  <w:hideMark/>
                </w:tcPr>
                <w:p w14:paraId="6D13E3B8"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w:t>
                  </w:r>
                </w:p>
              </w:tc>
              <w:tc>
                <w:tcPr>
                  <w:tcW w:w="1230" w:type="dxa"/>
                  <w:tcBorders>
                    <w:top w:val="nil"/>
                    <w:left w:val="nil"/>
                    <w:bottom w:val="single" w:sz="4" w:space="0" w:color="auto"/>
                    <w:right w:val="single" w:sz="4" w:space="0" w:color="auto"/>
                  </w:tcBorders>
                  <w:shd w:val="clear" w:color="000000" w:fill="DAE9F8"/>
                  <w:noWrap/>
                  <w:vAlign w:val="bottom"/>
                  <w:hideMark/>
                </w:tcPr>
                <w:p w14:paraId="2F13FCB6"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11</w:t>
                  </w:r>
                </w:p>
              </w:tc>
              <w:tc>
                <w:tcPr>
                  <w:tcW w:w="1065" w:type="dxa"/>
                  <w:tcBorders>
                    <w:top w:val="nil"/>
                    <w:left w:val="nil"/>
                    <w:bottom w:val="single" w:sz="4" w:space="0" w:color="auto"/>
                    <w:right w:val="single" w:sz="4" w:space="0" w:color="auto"/>
                  </w:tcBorders>
                  <w:shd w:val="clear" w:color="000000" w:fill="DAE9F8"/>
                  <w:noWrap/>
                  <w:vAlign w:val="bottom"/>
                  <w:hideMark/>
                </w:tcPr>
                <w:p w14:paraId="2CD29721"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£9,900</w:t>
                  </w:r>
                </w:p>
              </w:tc>
              <w:tc>
                <w:tcPr>
                  <w:tcW w:w="1010" w:type="dxa"/>
                  <w:tcBorders>
                    <w:top w:val="nil"/>
                    <w:left w:val="nil"/>
                    <w:bottom w:val="single" w:sz="4" w:space="0" w:color="auto"/>
                    <w:right w:val="single" w:sz="4" w:space="0" w:color="auto"/>
                  </w:tcBorders>
                  <w:shd w:val="clear" w:color="000000" w:fill="DAE9F8"/>
                  <w:noWrap/>
                  <w:vAlign w:val="bottom"/>
                  <w:hideMark/>
                </w:tcPr>
                <w:p w14:paraId="25FC8BA1"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£2,750</w:t>
                  </w:r>
                </w:p>
              </w:tc>
              <w:tc>
                <w:tcPr>
                  <w:tcW w:w="949" w:type="dxa"/>
                  <w:tcBorders>
                    <w:top w:val="nil"/>
                    <w:left w:val="nil"/>
                    <w:bottom w:val="single" w:sz="4" w:space="0" w:color="auto"/>
                    <w:right w:val="single" w:sz="4" w:space="0" w:color="auto"/>
                  </w:tcBorders>
                  <w:shd w:val="clear" w:color="000000" w:fill="DAE9F8"/>
                  <w:noWrap/>
                  <w:vAlign w:val="bottom"/>
                  <w:hideMark/>
                </w:tcPr>
                <w:p w14:paraId="648573A1"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£7,150</w:t>
                  </w:r>
                </w:p>
              </w:tc>
            </w:tr>
            <w:tr w:rsidR="00EA7246" w:rsidRPr="008F59EC" w14:paraId="073E0AC0" w14:textId="77777777" w:rsidTr="00EA7246">
              <w:trPr>
                <w:trHeight w:val="295"/>
              </w:trPr>
              <w:tc>
                <w:tcPr>
                  <w:tcW w:w="1231" w:type="dxa"/>
                  <w:tcBorders>
                    <w:top w:val="nil"/>
                    <w:left w:val="single" w:sz="4" w:space="0" w:color="auto"/>
                    <w:bottom w:val="single" w:sz="4" w:space="0" w:color="auto"/>
                    <w:right w:val="single" w:sz="4" w:space="0" w:color="auto"/>
                  </w:tcBorders>
                  <w:shd w:val="clear" w:color="000000" w:fill="DAE9F8"/>
                  <w:noWrap/>
                  <w:vAlign w:val="bottom"/>
                  <w:hideMark/>
                </w:tcPr>
                <w:p w14:paraId="39F86423"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Aug-26</w:t>
                  </w:r>
                </w:p>
              </w:tc>
              <w:tc>
                <w:tcPr>
                  <w:tcW w:w="926" w:type="dxa"/>
                  <w:tcBorders>
                    <w:top w:val="nil"/>
                    <w:left w:val="nil"/>
                    <w:bottom w:val="single" w:sz="4" w:space="0" w:color="auto"/>
                    <w:right w:val="single" w:sz="4" w:space="0" w:color="auto"/>
                  </w:tcBorders>
                  <w:shd w:val="clear" w:color="000000" w:fill="DAE9F8"/>
                  <w:noWrap/>
                  <w:vAlign w:val="bottom"/>
                  <w:hideMark/>
                </w:tcPr>
                <w:p w14:paraId="09266AE9"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w:t>
                  </w:r>
                </w:p>
              </w:tc>
              <w:tc>
                <w:tcPr>
                  <w:tcW w:w="1102" w:type="dxa"/>
                  <w:tcBorders>
                    <w:top w:val="nil"/>
                    <w:left w:val="nil"/>
                    <w:bottom w:val="single" w:sz="4" w:space="0" w:color="auto"/>
                    <w:right w:val="single" w:sz="4" w:space="0" w:color="auto"/>
                  </w:tcBorders>
                  <w:shd w:val="clear" w:color="000000" w:fill="DAE9F8"/>
                  <w:noWrap/>
                  <w:vAlign w:val="bottom"/>
                  <w:hideMark/>
                </w:tcPr>
                <w:p w14:paraId="21E0181B"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w:t>
                  </w:r>
                </w:p>
              </w:tc>
              <w:tc>
                <w:tcPr>
                  <w:tcW w:w="1281" w:type="dxa"/>
                  <w:tcBorders>
                    <w:top w:val="nil"/>
                    <w:left w:val="nil"/>
                    <w:bottom w:val="single" w:sz="4" w:space="0" w:color="auto"/>
                    <w:right w:val="single" w:sz="4" w:space="0" w:color="auto"/>
                  </w:tcBorders>
                  <w:shd w:val="clear" w:color="000000" w:fill="DAE9F8"/>
                  <w:noWrap/>
                  <w:vAlign w:val="bottom"/>
                  <w:hideMark/>
                </w:tcPr>
                <w:p w14:paraId="2D0984C6"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w:t>
                  </w:r>
                </w:p>
              </w:tc>
              <w:tc>
                <w:tcPr>
                  <w:tcW w:w="1230" w:type="dxa"/>
                  <w:tcBorders>
                    <w:top w:val="nil"/>
                    <w:left w:val="nil"/>
                    <w:bottom w:val="single" w:sz="4" w:space="0" w:color="auto"/>
                    <w:right w:val="single" w:sz="4" w:space="0" w:color="auto"/>
                  </w:tcBorders>
                  <w:shd w:val="clear" w:color="000000" w:fill="DAE9F8"/>
                  <w:noWrap/>
                  <w:vAlign w:val="bottom"/>
                  <w:hideMark/>
                </w:tcPr>
                <w:p w14:paraId="613765E9"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12</w:t>
                  </w:r>
                </w:p>
              </w:tc>
              <w:tc>
                <w:tcPr>
                  <w:tcW w:w="1065" w:type="dxa"/>
                  <w:tcBorders>
                    <w:top w:val="nil"/>
                    <w:left w:val="nil"/>
                    <w:bottom w:val="single" w:sz="4" w:space="0" w:color="auto"/>
                    <w:right w:val="single" w:sz="4" w:space="0" w:color="auto"/>
                  </w:tcBorders>
                  <w:shd w:val="clear" w:color="000000" w:fill="DAE9F8"/>
                  <w:noWrap/>
                  <w:vAlign w:val="bottom"/>
                  <w:hideMark/>
                </w:tcPr>
                <w:p w14:paraId="254D8E83"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£11,000</w:t>
                  </w:r>
                </w:p>
              </w:tc>
              <w:tc>
                <w:tcPr>
                  <w:tcW w:w="1010" w:type="dxa"/>
                  <w:tcBorders>
                    <w:top w:val="nil"/>
                    <w:left w:val="nil"/>
                    <w:bottom w:val="single" w:sz="4" w:space="0" w:color="auto"/>
                    <w:right w:val="single" w:sz="4" w:space="0" w:color="auto"/>
                  </w:tcBorders>
                  <w:shd w:val="clear" w:color="000000" w:fill="DAE9F8"/>
                  <w:noWrap/>
                  <w:vAlign w:val="bottom"/>
                  <w:hideMark/>
                </w:tcPr>
                <w:p w14:paraId="2B60FC87"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£3,000</w:t>
                  </w:r>
                </w:p>
              </w:tc>
              <w:tc>
                <w:tcPr>
                  <w:tcW w:w="949" w:type="dxa"/>
                  <w:tcBorders>
                    <w:top w:val="nil"/>
                    <w:left w:val="nil"/>
                    <w:bottom w:val="single" w:sz="4" w:space="0" w:color="auto"/>
                    <w:right w:val="single" w:sz="4" w:space="0" w:color="auto"/>
                  </w:tcBorders>
                  <w:shd w:val="clear" w:color="000000" w:fill="DAE9F8"/>
                  <w:noWrap/>
                  <w:vAlign w:val="bottom"/>
                  <w:hideMark/>
                </w:tcPr>
                <w:p w14:paraId="42C47EB7"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£8,000</w:t>
                  </w:r>
                </w:p>
              </w:tc>
            </w:tr>
            <w:tr w:rsidR="00EA7246" w:rsidRPr="008F59EC" w14:paraId="24BC229B" w14:textId="77777777" w:rsidTr="00EA7246">
              <w:trPr>
                <w:trHeight w:val="295"/>
              </w:trPr>
              <w:tc>
                <w:tcPr>
                  <w:tcW w:w="1231" w:type="dxa"/>
                  <w:tcBorders>
                    <w:top w:val="nil"/>
                    <w:left w:val="single" w:sz="4" w:space="0" w:color="auto"/>
                    <w:bottom w:val="single" w:sz="4" w:space="0" w:color="auto"/>
                    <w:right w:val="single" w:sz="4" w:space="0" w:color="auto"/>
                  </w:tcBorders>
                  <w:shd w:val="clear" w:color="000000" w:fill="DAE9F8"/>
                  <w:noWrap/>
                  <w:vAlign w:val="bottom"/>
                  <w:hideMark/>
                </w:tcPr>
                <w:p w14:paraId="722F1A2D"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lastRenderedPageBreak/>
                    <w:t>Sep-26</w:t>
                  </w:r>
                </w:p>
              </w:tc>
              <w:tc>
                <w:tcPr>
                  <w:tcW w:w="926" w:type="dxa"/>
                  <w:tcBorders>
                    <w:top w:val="nil"/>
                    <w:left w:val="nil"/>
                    <w:bottom w:val="single" w:sz="4" w:space="0" w:color="auto"/>
                    <w:right w:val="single" w:sz="4" w:space="0" w:color="auto"/>
                  </w:tcBorders>
                  <w:shd w:val="clear" w:color="000000" w:fill="DAE9F8"/>
                  <w:noWrap/>
                  <w:vAlign w:val="bottom"/>
                  <w:hideMark/>
                </w:tcPr>
                <w:p w14:paraId="140C138E"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6</w:t>
                  </w:r>
                </w:p>
              </w:tc>
              <w:tc>
                <w:tcPr>
                  <w:tcW w:w="1102" w:type="dxa"/>
                  <w:tcBorders>
                    <w:top w:val="nil"/>
                    <w:left w:val="nil"/>
                    <w:bottom w:val="single" w:sz="4" w:space="0" w:color="auto"/>
                    <w:right w:val="single" w:sz="4" w:space="0" w:color="auto"/>
                  </w:tcBorders>
                  <w:shd w:val="clear" w:color="000000" w:fill="DAE9F8"/>
                  <w:noWrap/>
                  <w:vAlign w:val="bottom"/>
                  <w:hideMark/>
                </w:tcPr>
                <w:p w14:paraId="2E56F4F2"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w:t>
                  </w:r>
                </w:p>
              </w:tc>
              <w:tc>
                <w:tcPr>
                  <w:tcW w:w="1281" w:type="dxa"/>
                  <w:tcBorders>
                    <w:top w:val="nil"/>
                    <w:left w:val="nil"/>
                    <w:bottom w:val="single" w:sz="4" w:space="0" w:color="auto"/>
                    <w:right w:val="single" w:sz="4" w:space="0" w:color="auto"/>
                  </w:tcBorders>
                  <w:shd w:val="clear" w:color="000000" w:fill="DAE9F8"/>
                  <w:noWrap/>
                  <w:vAlign w:val="bottom"/>
                  <w:hideMark/>
                </w:tcPr>
                <w:p w14:paraId="58FFB0E5"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w:t>
                  </w:r>
                </w:p>
              </w:tc>
              <w:tc>
                <w:tcPr>
                  <w:tcW w:w="1230" w:type="dxa"/>
                  <w:tcBorders>
                    <w:top w:val="nil"/>
                    <w:left w:val="nil"/>
                    <w:bottom w:val="single" w:sz="4" w:space="0" w:color="auto"/>
                    <w:right w:val="single" w:sz="4" w:space="0" w:color="auto"/>
                  </w:tcBorders>
                  <w:shd w:val="clear" w:color="000000" w:fill="DAE9F8"/>
                  <w:noWrap/>
                  <w:vAlign w:val="bottom"/>
                  <w:hideMark/>
                </w:tcPr>
                <w:p w14:paraId="643217E2"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14</w:t>
                  </w:r>
                </w:p>
              </w:tc>
              <w:tc>
                <w:tcPr>
                  <w:tcW w:w="1065" w:type="dxa"/>
                  <w:tcBorders>
                    <w:top w:val="nil"/>
                    <w:left w:val="nil"/>
                    <w:bottom w:val="single" w:sz="4" w:space="0" w:color="auto"/>
                    <w:right w:val="single" w:sz="4" w:space="0" w:color="auto"/>
                  </w:tcBorders>
                  <w:shd w:val="clear" w:color="000000" w:fill="DAE9F8"/>
                  <w:noWrap/>
                  <w:vAlign w:val="bottom"/>
                  <w:hideMark/>
                </w:tcPr>
                <w:p w14:paraId="70CB1902"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£12,700</w:t>
                  </w:r>
                </w:p>
              </w:tc>
              <w:tc>
                <w:tcPr>
                  <w:tcW w:w="1010" w:type="dxa"/>
                  <w:tcBorders>
                    <w:top w:val="nil"/>
                    <w:left w:val="nil"/>
                    <w:bottom w:val="single" w:sz="4" w:space="0" w:color="auto"/>
                    <w:right w:val="single" w:sz="4" w:space="0" w:color="auto"/>
                  </w:tcBorders>
                  <w:shd w:val="clear" w:color="000000" w:fill="DAE9F8"/>
                  <w:noWrap/>
                  <w:vAlign w:val="bottom"/>
                  <w:hideMark/>
                </w:tcPr>
                <w:p w14:paraId="3A8B4EBF"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£3,500</w:t>
                  </w:r>
                </w:p>
              </w:tc>
              <w:tc>
                <w:tcPr>
                  <w:tcW w:w="949" w:type="dxa"/>
                  <w:tcBorders>
                    <w:top w:val="nil"/>
                    <w:left w:val="nil"/>
                    <w:bottom w:val="single" w:sz="4" w:space="0" w:color="auto"/>
                    <w:right w:val="single" w:sz="4" w:space="0" w:color="auto"/>
                  </w:tcBorders>
                  <w:shd w:val="clear" w:color="000000" w:fill="DAE9F8"/>
                  <w:noWrap/>
                  <w:vAlign w:val="bottom"/>
                  <w:hideMark/>
                </w:tcPr>
                <w:p w14:paraId="0D58DA52"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£9,200</w:t>
                  </w:r>
                </w:p>
              </w:tc>
            </w:tr>
            <w:tr w:rsidR="00EA7246" w:rsidRPr="008F59EC" w14:paraId="4CE3CC89" w14:textId="77777777" w:rsidTr="00EA7246">
              <w:trPr>
                <w:trHeight w:val="295"/>
              </w:trPr>
              <w:tc>
                <w:tcPr>
                  <w:tcW w:w="1231" w:type="dxa"/>
                  <w:tcBorders>
                    <w:top w:val="nil"/>
                    <w:left w:val="single" w:sz="4" w:space="0" w:color="auto"/>
                    <w:bottom w:val="single" w:sz="4" w:space="0" w:color="auto"/>
                    <w:right w:val="single" w:sz="4" w:space="0" w:color="auto"/>
                  </w:tcBorders>
                  <w:shd w:val="clear" w:color="000000" w:fill="DAE9F8"/>
                  <w:noWrap/>
                  <w:vAlign w:val="bottom"/>
                  <w:hideMark/>
                </w:tcPr>
                <w:p w14:paraId="60884B3B"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Oct-26</w:t>
                  </w:r>
                </w:p>
              </w:tc>
              <w:tc>
                <w:tcPr>
                  <w:tcW w:w="926" w:type="dxa"/>
                  <w:tcBorders>
                    <w:top w:val="nil"/>
                    <w:left w:val="nil"/>
                    <w:bottom w:val="single" w:sz="4" w:space="0" w:color="auto"/>
                    <w:right w:val="single" w:sz="4" w:space="0" w:color="auto"/>
                  </w:tcBorders>
                  <w:shd w:val="clear" w:color="000000" w:fill="DAE9F8"/>
                  <w:noWrap/>
                  <w:vAlign w:val="bottom"/>
                  <w:hideMark/>
                </w:tcPr>
                <w:p w14:paraId="67BAF5BE"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6</w:t>
                  </w:r>
                </w:p>
              </w:tc>
              <w:tc>
                <w:tcPr>
                  <w:tcW w:w="1102" w:type="dxa"/>
                  <w:tcBorders>
                    <w:top w:val="nil"/>
                    <w:left w:val="nil"/>
                    <w:bottom w:val="single" w:sz="4" w:space="0" w:color="auto"/>
                    <w:right w:val="single" w:sz="4" w:space="0" w:color="auto"/>
                  </w:tcBorders>
                  <w:shd w:val="clear" w:color="000000" w:fill="DAE9F8"/>
                  <w:noWrap/>
                  <w:vAlign w:val="bottom"/>
                  <w:hideMark/>
                </w:tcPr>
                <w:p w14:paraId="0A7255AA"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w:t>
                  </w:r>
                </w:p>
              </w:tc>
              <w:tc>
                <w:tcPr>
                  <w:tcW w:w="1281" w:type="dxa"/>
                  <w:tcBorders>
                    <w:top w:val="nil"/>
                    <w:left w:val="nil"/>
                    <w:bottom w:val="single" w:sz="4" w:space="0" w:color="auto"/>
                    <w:right w:val="single" w:sz="4" w:space="0" w:color="auto"/>
                  </w:tcBorders>
                  <w:shd w:val="clear" w:color="000000" w:fill="DAE9F8"/>
                  <w:noWrap/>
                  <w:vAlign w:val="bottom"/>
                  <w:hideMark/>
                </w:tcPr>
                <w:p w14:paraId="5F4D13DA"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w:t>
                  </w:r>
                </w:p>
              </w:tc>
              <w:tc>
                <w:tcPr>
                  <w:tcW w:w="1230" w:type="dxa"/>
                  <w:tcBorders>
                    <w:top w:val="nil"/>
                    <w:left w:val="nil"/>
                    <w:bottom w:val="single" w:sz="4" w:space="0" w:color="auto"/>
                    <w:right w:val="single" w:sz="4" w:space="0" w:color="auto"/>
                  </w:tcBorders>
                  <w:shd w:val="clear" w:color="000000" w:fill="DAE9F8"/>
                  <w:noWrap/>
                  <w:vAlign w:val="bottom"/>
                  <w:hideMark/>
                </w:tcPr>
                <w:p w14:paraId="2AFF7BC5"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14</w:t>
                  </w:r>
                </w:p>
              </w:tc>
              <w:tc>
                <w:tcPr>
                  <w:tcW w:w="1065" w:type="dxa"/>
                  <w:tcBorders>
                    <w:top w:val="nil"/>
                    <w:left w:val="nil"/>
                    <w:bottom w:val="single" w:sz="4" w:space="0" w:color="auto"/>
                    <w:right w:val="single" w:sz="4" w:space="0" w:color="auto"/>
                  </w:tcBorders>
                  <w:shd w:val="clear" w:color="000000" w:fill="DAE9F8"/>
                  <w:noWrap/>
                  <w:vAlign w:val="bottom"/>
                  <w:hideMark/>
                </w:tcPr>
                <w:p w14:paraId="263C0BC9"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£12,700</w:t>
                  </w:r>
                </w:p>
              </w:tc>
              <w:tc>
                <w:tcPr>
                  <w:tcW w:w="1010" w:type="dxa"/>
                  <w:tcBorders>
                    <w:top w:val="nil"/>
                    <w:left w:val="nil"/>
                    <w:bottom w:val="single" w:sz="4" w:space="0" w:color="auto"/>
                    <w:right w:val="single" w:sz="4" w:space="0" w:color="auto"/>
                  </w:tcBorders>
                  <w:shd w:val="clear" w:color="000000" w:fill="DAE9F8"/>
                  <w:noWrap/>
                  <w:vAlign w:val="bottom"/>
                  <w:hideMark/>
                </w:tcPr>
                <w:p w14:paraId="689CE1FA"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£3,500</w:t>
                  </w:r>
                </w:p>
              </w:tc>
              <w:tc>
                <w:tcPr>
                  <w:tcW w:w="949" w:type="dxa"/>
                  <w:tcBorders>
                    <w:top w:val="nil"/>
                    <w:left w:val="nil"/>
                    <w:bottom w:val="single" w:sz="4" w:space="0" w:color="auto"/>
                    <w:right w:val="single" w:sz="4" w:space="0" w:color="auto"/>
                  </w:tcBorders>
                  <w:shd w:val="clear" w:color="000000" w:fill="DAE9F8"/>
                  <w:noWrap/>
                  <w:vAlign w:val="bottom"/>
                  <w:hideMark/>
                </w:tcPr>
                <w:p w14:paraId="65962A5B"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£9,200</w:t>
                  </w:r>
                </w:p>
              </w:tc>
            </w:tr>
            <w:tr w:rsidR="00EA7246" w:rsidRPr="008F59EC" w14:paraId="7596E365" w14:textId="77777777" w:rsidTr="00EA7246">
              <w:trPr>
                <w:trHeight w:val="295"/>
              </w:trPr>
              <w:tc>
                <w:tcPr>
                  <w:tcW w:w="1231" w:type="dxa"/>
                  <w:tcBorders>
                    <w:top w:val="nil"/>
                    <w:left w:val="single" w:sz="4" w:space="0" w:color="auto"/>
                    <w:bottom w:val="single" w:sz="4" w:space="0" w:color="auto"/>
                    <w:right w:val="single" w:sz="4" w:space="0" w:color="auto"/>
                  </w:tcBorders>
                  <w:shd w:val="clear" w:color="000000" w:fill="DAE9F8"/>
                  <w:noWrap/>
                  <w:vAlign w:val="bottom"/>
                  <w:hideMark/>
                </w:tcPr>
                <w:p w14:paraId="5A2A77B0"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Nov-26</w:t>
                  </w:r>
                </w:p>
              </w:tc>
              <w:tc>
                <w:tcPr>
                  <w:tcW w:w="926" w:type="dxa"/>
                  <w:tcBorders>
                    <w:top w:val="nil"/>
                    <w:left w:val="nil"/>
                    <w:bottom w:val="single" w:sz="4" w:space="0" w:color="auto"/>
                    <w:right w:val="single" w:sz="4" w:space="0" w:color="auto"/>
                  </w:tcBorders>
                  <w:shd w:val="clear" w:color="000000" w:fill="DAE9F8"/>
                  <w:noWrap/>
                  <w:vAlign w:val="bottom"/>
                  <w:hideMark/>
                </w:tcPr>
                <w:p w14:paraId="2A3E8590"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w:t>
                  </w:r>
                </w:p>
              </w:tc>
              <w:tc>
                <w:tcPr>
                  <w:tcW w:w="1102" w:type="dxa"/>
                  <w:tcBorders>
                    <w:top w:val="nil"/>
                    <w:left w:val="nil"/>
                    <w:bottom w:val="single" w:sz="4" w:space="0" w:color="auto"/>
                    <w:right w:val="single" w:sz="4" w:space="0" w:color="auto"/>
                  </w:tcBorders>
                  <w:shd w:val="clear" w:color="000000" w:fill="DAE9F8"/>
                  <w:noWrap/>
                  <w:vAlign w:val="bottom"/>
                  <w:hideMark/>
                </w:tcPr>
                <w:p w14:paraId="3B96AAFF"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w:t>
                  </w:r>
                </w:p>
              </w:tc>
              <w:tc>
                <w:tcPr>
                  <w:tcW w:w="1281" w:type="dxa"/>
                  <w:tcBorders>
                    <w:top w:val="nil"/>
                    <w:left w:val="nil"/>
                    <w:bottom w:val="single" w:sz="4" w:space="0" w:color="auto"/>
                    <w:right w:val="single" w:sz="4" w:space="0" w:color="auto"/>
                  </w:tcBorders>
                  <w:shd w:val="clear" w:color="000000" w:fill="DAE9F8"/>
                  <w:noWrap/>
                  <w:vAlign w:val="bottom"/>
                  <w:hideMark/>
                </w:tcPr>
                <w:p w14:paraId="1E2ACFA1"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6</w:t>
                  </w:r>
                </w:p>
              </w:tc>
              <w:tc>
                <w:tcPr>
                  <w:tcW w:w="1230" w:type="dxa"/>
                  <w:tcBorders>
                    <w:top w:val="nil"/>
                    <w:left w:val="nil"/>
                    <w:bottom w:val="single" w:sz="4" w:space="0" w:color="auto"/>
                    <w:right w:val="single" w:sz="4" w:space="0" w:color="auto"/>
                  </w:tcBorders>
                  <w:shd w:val="clear" w:color="000000" w:fill="DAE9F8"/>
                  <w:noWrap/>
                  <w:vAlign w:val="bottom"/>
                  <w:hideMark/>
                </w:tcPr>
                <w:p w14:paraId="6B6C28E7"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16</w:t>
                  </w:r>
                </w:p>
              </w:tc>
              <w:tc>
                <w:tcPr>
                  <w:tcW w:w="1065" w:type="dxa"/>
                  <w:tcBorders>
                    <w:top w:val="nil"/>
                    <w:left w:val="nil"/>
                    <w:bottom w:val="single" w:sz="4" w:space="0" w:color="auto"/>
                    <w:right w:val="single" w:sz="4" w:space="0" w:color="auto"/>
                  </w:tcBorders>
                  <w:shd w:val="clear" w:color="000000" w:fill="DAE9F8"/>
                  <w:noWrap/>
                  <w:vAlign w:val="bottom"/>
                  <w:hideMark/>
                </w:tcPr>
                <w:p w14:paraId="2F6A28D2"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£14,400</w:t>
                  </w:r>
                </w:p>
              </w:tc>
              <w:tc>
                <w:tcPr>
                  <w:tcW w:w="1010" w:type="dxa"/>
                  <w:tcBorders>
                    <w:top w:val="nil"/>
                    <w:left w:val="nil"/>
                    <w:bottom w:val="single" w:sz="4" w:space="0" w:color="auto"/>
                    <w:right w:val="single" w:sz="4" w:space="0" w:color="auto"/>
                  </w:tcBorders>
                  <w:shd w:val="clear" w:color="000000" w:fill="DAE9F8"/>
                  <w:noWrap/>
                  <w:vAlign w:val="bottom"/>
                  <w:hideMark/>
                </w:tcPr>
                <w:p w14:paraId="16ACC05B"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£4,000</w:t>
                  </w:r>
                </w:p>
              </w:tc>
              <w:tc>
                <w:tcPr>
                  <w:tcW w:w="949" w:type="dxa"/>
                  <w:tcBorders>
                    <w:top w:val="nil"/>
                    <w:left w:val="nil"/>
                    <w:bottom w:val="single" w:sz="4" w:space="0" w:color="auto"/>
                    <w:right w:val="single" w:sz="4" w:space="0" w:color="auto"/>
                  </w:tcBorders>
                  <w:shd w:val="clear" w:color="000000" w:fill="DAE9F8"/>
                  <w:noWrap/>
                  <w:vAlign w:val="bottom"/>
                  <w:hideMark/>
                </w:tcPr>
                <w:p w14:paraId="7C5C2225"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£10,400</w:t>
                  </w:r>
                </w:p>
              </w:tc>
            </w:tr>
            <w:tr w:rsidR="00EA7246" w:rsidRPr="008F59EC" w14:paraId="56E1F8DA" w14:textId="77777777" w:rsidTr="00EA7246">
              <w:trPr>
                <w:trHeight w:val="295"/>
              </w:trPr>
              <w:tc>
                <w:tcPr>
                  <w:tcW w:w="1231" w:type="dxa"/>
                  <w:tcBorders>
                    <w:top w:val="nil"/>
                    <w:left w:val="single" w:sz="4" w:space="0" w:color="auto"/>
                    <w:bottom w:val="single" w:sz="4" w:space="0" w:color="auto"/>
                    <w:right w:val="single" w:sz="4" w:space="0" w:color="auto"/>
                  </w:tcBorders>
                  <w:shd w:val="clear" w:color="000000" w:fill="DAE9F8"/>
                  <w:noWrap/>
                  <w:vAlign w:val="bottom"/>
                  <w:hideMark/>
                </w:tcPr>
                <w:p w14:paraId="389E8092"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Dec-26</w:t>
                  </w:r>
                </w:p>
              </w:tc>
              <w:tc>
                <w:tcPr>
                  <w:tcW w:w="926" w:type="dxa"/>
                  <w:tcBorders>
                    <w:top w:val="nil"/>
                    <w:left w:val="nil"/>
                    <w:bottom w:val="single" w:sz="4" w:space="0" w:color="auto"/>
                    <w:right w:val="single" w:sz="4" w:space="0" w:color="auto"/>
                  </w:tcBorders>
                  <w:shd w:val="clear" w:color="000000" w:fill="DAE9F8"/>
                  <w:noWrap/>
                  <w:vAlign w:val="bottom"/>
                  <w:hideMark/>
                </w:tcPr>
                <w:p w14:paraId="33B723A7"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w:t>
                  </w:r>
                </w:p>
              </w:tc>
              <w:tc>
                <w:tcPr>
                  <w:tcW w:w="1102" w:type="dxa"/>
                  <w:tcBorders>
                    <w:top w:val="nil"/>
                    <w:left w:val="nil"/>
                    <w:bottom w:val="single" w:sz="4" w:space="0" w:color="auto"/>
                    <w:right w:val="single" w:sz="4" w:space="0" w:color="auto"/>
                  </w:tcBorders>
                  <w:shd w:val="clear" w:color="000000" w:fill="DAE9F8"/>
                  <w:noWrap/>
                  <w:vAlign w:val="bottom"/>
                  <w:hideMark/>
                </w:tcPr>
                <w:p w14:paraId="13DF8381"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w:t>
                  </w:r>
                </w:p>
              </w:tc>
              <w:tc>
                <w:tcPr>
                  <w:tcW w:w="1281" w:type="dxa"/>
                  <w:tcBorders>
                    <w:top w:val="nil"/>
                    <w:left w:val="nil"/>
                    <w:bottom w:val="single" w:sz="4" w:space="0" w:color="auto"/>
                    <w:right w:val="single" w:sz="4" w:space="0" w:color="auto"/>
                  </w:tcBorders>
                  <w:shd w:val="clear" w:color="000000" w:fill="DAE9F8"/>
                  <w:noWrap/>
                  <w:vAlign w:val="bottom"/>
                  <w:hideMark/>
                </w:tcPr>
                <w:p w14:paraId="00C4AA6F"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6</w:t>
                  </w:r>
                </w:p>
              </w:tc>
              <w:tc>
                <w:tcPr>
                  <w:tcW w:w="1230" w:type="dxa"/>
                  <w:tcBorders>
                    <w:top w:val="nil"/>
                    <w:left w:val="nil"/>
                    <w:bottom w:val="single" w:sz="4" w:space="0" w:color="auto"/>
                    <w:right w:val="single" w:sz="4" w:space="0" w:color="auto"/>
                  </w:tcBorders>
                  <w:shd w:val="clear" w:color="000000" w:fill="DAE9F8"/>
                  <w:noWrap/>
                  <w:vAlign w:val="bottom"/>
                  <w:hideMark/>
                </w:tcPr>
                <w:p w14:paraId="13CB0B24"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17</w:t>
                  </w:r>
                </w:p>
              </w:tc>
              <w:tc>
                <w:tcPr>
                  <w:tcW w:w="1065" w:type="dxa"/>
                  <w:tcBorders>
                    <w:top w:val="nil"/>
                    <w:left w:val="nil"/>
                    <w:bottom w:val="single" w:sz="4" w:space="0" w:color="auto"/>
                    <w:right w:val="single" w:sz="4" w:space="0" w:color="auto"/>
                  </w:tcBorders>
                  <w:shd w:val="clear" w:color="000000" w:fill="DAE9F8"/>
                  <w:noWrap/>
                  <w:vAlign w:val="bottom"/>
                  <w:hideMark/>
                </w:tcPr>
                <w:p w14:paraId="6F771B00"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£15,500</w:t>
                  </w:r>
                </w:p>
              </w:tc>
              <w:tc>
                <w:tcPr>
                  <w:tcW w:w="1010" w:type="dxa"/>
                  <w:tcBorders>
                    <w:top w:val="nil"/>
                    <w:left w:val="nil"/>
                    <w:bottom w:val="single" w:sz="4" w:space="0" w:color="auto"/>
                    <w:right w:val="single" w:sz="4" w:space="0" w:color="auto"/>
                  </w:tcBorders>
                  <w:shd w:val="clear" w:color="000000" w:fill="DAE9F8"/>
                  <w:noWrap/>
                  <w:vAlign w:val="bottom"/>
                  <w:hideMark/>
                </w:tcPr>
                <w:p w14:paraId="4753B9CF"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£4,250</w:t>
                  </w:r>
                </w:p>
              </w:tc>
              <w:tc>
                <w:tcPr>
                  <w:tcW w:w="949" w:type="dxa"/>
                  <w:tcBorders>
                    <w:top w:val="nil"/>
                    <w:left w:val="nil"/>
                    <w:bottom w:val="single" w:sz="4" w:space="0" w:color="auto"/>
                    <w:right w:val="single" w:sz="4" w:space="0" w:color="auto"/>
                  </w:tcBorders>
                  <w:shd w:val="clear" w:color="000000" w:fill="DAE9F8"/>
                  <w:noWrap/>
                  <w:vAlign w:val="bottom"/>
                  <w:hideMark/>
                </w:tcPr>
                <w:p w14:paraId="720C2485"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£11,250</w:t>
                  </w:r>
                </w:p>
              </w:tc>
            </w:tr>
            <w:tr w:rsidR="00EA7246" w:rsidRPr="008F59EC" w14:paraId="076749E4" w14:textId="77777777" w:rsidTr="00EA7246">
              <w:trPr>
                <w:trHeight w:val="295"/>
              </w:trPr>
              <w:tc>
                <w:tcPr>
                  <w:tcW w:w="1231" w:type="dxa"/>
                  <w:tcBorders>
                    <w:top w:val="nil"/>
                    <w:left w:val="single" w:sz="4" w:space="0" w:color="auto"/>
                    <w:bottom w:val="nil"/>
                    <w:right w:val="single" w:sz="4" w:space="0" w:color="auto"/>
                  </w:tcBorders>
                  <w:shd w:val="clear" w:color="000000" w:fill="DAE9F8"/>
                  <w:noWrap/>
                  <w:vAlign w:val="bottom"/>
                  <w:hideMark/>
                </w:tcPr>
                <w:p w14:paraId="3614AAD2"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Jan-27</w:t>
                  </w:r>
                </w:p>
              </w:tc>
              <w:tc>
                <w:tcPr>
                  <w:tcW w:w="926" w:type="dxa"/>
                  <w:tcBorders>
                    <w:top w:val="nil"/>
                    <w:left w:val="nil"/>
                    <w:bottom w:val="nil"/>
                    <w:right w:val="single" w:sz="4" w:space="0" w:color="auto"/>
                  </w:tcBorders>
                  <w:shd w:val="clear" w:color="000000" w:fill="DAE9F8"/>
                  <w:noWrap/>
                  <w:vAlign w:val="bottom"/>
                  <w:hideMark/>
                </w:tcPr>
                <w:p w14:paraId="51EA1C25"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8</w:t>
                  </w:r>
                </w:p>
              </w:tc>
              <w:tc>
                <w:tcPr>
                  <w:tcW w:w="1102" w:type="dxa"/>
                  <w:tcBorders>
                    <w:top w:val="nil"/>
                    <w:left w:val="nil"/>
                    <w:bottom w:val="nil"/>
                    <w:right w:val="single" w:sz="4" w:space="0" w:color="auto"/>
                  </w:tcBorders>
                  <w:shd w:val="clear" w:color="000000" w:fill="DAE9F8"/>
                  <w:noWrap/>
                  <w:vAlign w:val="bottom"/>
                  <w:hideMark/>
                </w:tcPr>
                <w:p w14:paraId="1D4699D3"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w:t>
                  </w:r>
                </w:p>
              </w:tc>
              <w:tc>
                <w:tcPr>
                  <w:tcW w:w="1281" w:type="dxa"/>
                  <w:tcBorders>
                    <w:top w:val="nil"/>
                    <w:left w:val="nil"/>
                    <w:bottom w:val="single" w:sz="4" w:space="0" w:color="auto"/>
                    <w:right w:val="single" w:sz="4" w:space="0" w:color="auto"/>
                  </w:tcBorders>
                  <w:shd w:val="clear" w:color="000000" w:fill="DAE9F8"/>
                  <w:noWrap/>
                  <w:vAlign w:val="bottom"/>
                  <w:hideMark/>
                </w:tcPr>
                <w:p w14:paraId="3887FA16"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w:t>
                  </w:r>
                </w:p>
              </w:tc>
              <w:tc>
                <w:tcPr>
                  <w:tcW w:w="1230" w:type="dxa"/>
                  <w:tcBorders>
                    <w:top w:val="nil"/>
                    <w:left w:val="nil"/>
                    <w:bottom w:val="single" w:sz="4" w:space="0" w:color="auto"/>
                    <w:right w:val="single" w:sz="4" w:space="0" w:color="auto"/>
                  </w:tcBorders>
                  <w:shd w:val="clear" w:color="000000" w:fill="DAE9F8"/>
                  <w:noWrap/>
                  <w:vAlign w:val="bottom"/>
                  <w:hideMark/>
                </w:tcPr>
                <w:p w14:paraId="5391EDF1"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19</w:t>
                  </w:r>
                </w:p>
              </w:tc>
              <w:tc>
                <w:tcPr>
                  <w:tcW w:w="1065" w:type="dxa"/>
                  <w:tcBorders>
                    <w:top w:val="nil"/>
                    <w:left w:val="nil"/>
                    <w:bottom w:val="single" w:sz="4" w:space="0" w:color="auto"/>
                    <w:right w:val="single" w:sz="4" w:space="0" w:color="auto"/>
                  </w:tcBorders>
                  <w:shd w:val="clear" w:color="000000" w:fill="DAE9F8"/>
                  <w:noWrap/>
                  <w:vAlign w:val="bottom"/>
                  <w:hideMark/>
                </w:tcPr>
                <w:p w14:paraId="20620920"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£17,200</w:t>
                  </w:r>
                </w:p>
              </w:tc>
              <w:tc>
                <w:tcPr>
                  <w:tcW w:w="1010" w:type="dxa"/>
                  <w:tcBorders>
                    <w:top w:val="nil"/>
                    <w:left w:val="nil"/>
                    <w:bottom w:val="single" w:sz="4" w:space="0" w:color="auto"/>
                    <w:right w:val="single" w:sz="4" w:space="0" w:color="auto"/>
                  </w:tcBorders>
                  <w:shd w:val="clear" w:color="000000" w:fill="DAE9F8"/>
                  <w:noWrap/>
                  <w:vAlign w:val="bottom"/>
                  <w:hideMark/>
                </w:tcPr>
                <w:p w14:paraId="6C04CA8B"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£4,750</w:t>
                  </w:r>
                </w:p>
              </w:tc>
              <w:tc>
                <w:tcPr>
                  <w:tcW w:w="949" w:type="dxa"/>
                  <w:tcBorders>
                    <w:top w:val="nil"/>
                    <w:left w:val="nil"/>
                    <w:bottom w:val="single" w:sz="4" w:space="0" w:color="auto"/>
                    <w:right w:val="single" w:sz="4" w:space="0" w:color="auto"/>
                  </w:tcBorders>
                  <w:shd w:val="clear" w:color="000000" w:fill="DAE9F8"/>
                  <w:noWrap/>
                  <w:vAlign w:val="bottom"/>
                  <w:hideMark/>
                </w:tcPr>
                <w:p w14:paraId="0EDB2000"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£12,450</w:t>
                  </w:r>
                </w:p>
              </w:tc>
            </w:tr>
            <w:tr w:rsidR="00EA7246" w:rsidRPr="008F59EC" w14:paraId="12FA4A66" w14:textId="77777777" w:rsidTr="00EA7246">
              <w:trPr>
                <w:trHeight w:val="295"/>
              </w:trPr>
              <w:tc>
                <w:tcPr>
                  <w:tcW w:w="1231" w:type="dxa"/>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208A518C"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Feb-27</w:t>
                  </w:r>
                </w:p>
              </w:tc>
              <w:tc>
                <w:tcPr>
                  <w:tcW w:w="926" w:type="dxa"/>
                  <w:tcBorders>
                    <w:top w:val="single" w:sz="4" w:space="0" w:color="auto"/>
                    <w:left w:val="nil"/>
                    <w:bottom w:val="single" w:sz="4" w:space="0" w:color="auto"/>
                    <w:right w:val="single" w:sz="4" w:space="0" w:color="auto"/>
                  </w:tcBorders>
                  <w:shd w:val="clear" w:color="000000" w:fill="DAE9F8"/>
                  <w:noWrap/>
                  <w:vAlign w:val="bottom"/>
                  <w:hideMark/>
                </w:tcPr>
                <w:p w14:paraId="756737A8"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8</w:t>
                  </w:r>
                </w:p>
              </w:tc>
              <w:tc>
                <w:tcPr>
                  <w:tcW w:w="1102" w:type="dxa"/>
                  <w:tcBorders>
                    <w:top w:val="single" w:sz="4" w:space="0" w:color="auto"/>
                    <w:left w:val="nil"/>
                    <w:bottom w:val="single" w:sz="4" w:space="0" w:color="auto"/>
                    <w:right w:val="single" w:sz="4" w:space="0" w:color="auto"/>
                  </w:tcBorders>
                  <w:shd w:val="clear" w:color="000000" w:fill="DAE9F8"/>
                  <w:noWrap/>
                  <w:vAlign w:val="bottom"/>
                  <w:hideMark/>
                </w:tcPr>
                <w:p w14:paraId="13CF1308"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w:t>
                  </w:r>
                </w:p>
              </w:tc>
              <w:tc>
                <w:tcPr>
                  <w:tcW w:w="1281" w:type="dxa"/>
                  <w:tcBorders>
                    <w:top w:val="nil"/>
                    <w:left w:val="nil"/>
                    <w:bottom w:val="single" w:sz="4" w:space="0" w:color="auto"/>
                    <w:right w:val="single" w:sz="4" w:space="0" w:color="auto"/>
                  </w:tcBorders>
                  <w:shd w:val="clear" w:color="000000" w:fill="DAE9F8"/>
                  <w:noWrap/>
                  <w:vAlign w:val="bottom"/>
                  <w:hideMark/>
                </w:tcPr>
                <w:p w14:paraId="0A19DC12"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7</w:t>
                  </w:r>
                </w:p>
              </w:tc>
              <w:tc>
                <w:tcPr>
                  <w:tcW w:w="1230" w:type="dxa"/>
                  <w:tcBorders>
                    <w:top w:val="nil"/>
                    <w:left w:val="nil"/>
                    <w:bottom w:val="single" w:sz="4" w:space="0" w:color="auto"/>
                    <w:right w:val="single" w:sz="4" w:space="0" w:color="auto"/>
                  </w:tcBorders>
                  <w:shd w:val="clear" w:color="000000" w:fill="DAE9F8"/>
                  <w:noWrap/>
                  <w:vAlign w:val="bottom"/>
                  <w:hideMark/>
                </w:tcPr>
                <w:p w14:paraId="1D1C60EE"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19</w:t>
                  </w:r>
                </w:p>
              </w:tc>
              <w:tc>
                <w:tcPr>
                  <w:tcW w:w="1065" w:type="dxa"/>
                  <w:tcBorders>
                    <w:top w:val="nil"/>
                    <w:left w:val="nil"/>
                    <w:bottom w:val="single" w:sz="4" w:space="0" w:color="auto"/>
                    <w:right w:val="single" w:sz="4" w:space="0" w:color="auto"/>
                  </w:tcBorders>
                  <w:shd w:val="clear" w:color="000000" w:fill="DAE9F8"/>
                  <w:noWrap/>
                  <w:vAlign w:val="bottom"/>
                  <w:hideMark/>
                </w:tcPr>
                <w:p w14:paraId="64BF3B63"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£17,200</w:t>
                  </w:r>
                </w:p>
              </w:tc>
              <w:tc>
                <w:tcPr>
                  <w:tcW w:w="1010" w:type="dxa"/>
                  <w:tcBorders>
                    <w:top w:val="nil"/>
                    <w:left w:val="nil"/>
                    <w:bottom w:val="single" w:sz="4" w:space="0" w:color="auto"/>
                    <w:right w:val="single" w:sz="4" w:space="0" w:color="auto"/>
                  </w:tcBorders>
                  <w:shd w:val="clear" w:color="000000" w:fill="DAE9F8"/>
                  <w:noWrap/>
                  <w:vAlign w:val="bottom"/>
                  <w:hideMark/>
                </w:tcPr>
                <w:p w14:paraId="17563642"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£4,750</w:t>
                  </w:r>
                </w:p>
              </w:tc>
              <w:tc>
                <w:tcPr>
                  <w:tcW w:w="949" w:type="dxa"/>
                  <w:tcBorders>
                    <w:top w:val="nil"/>
                    <w:left w:val="nil"/>
                    <w:bottom w:val="single" w:sz="4" w:space="0" w:color="auto"/>
                    <w:right w:val="single" w:sz="4" w:space="0" w:color="auto"/>
                  </w:tcBorders>
                  <w:shd w:val="clear" w:color="000000" w:fill="DAE9F8"/>
                  <w:noWrap/>
                  <w:vAlign w:val="bottom"/>
                  <w:hideMark/>
                </w:tcPr>
                <w:p w14:paraId="616C4E07"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£12,450</w:t>
                  </w:r>
                </w:p>
              </w:tc>
            </w:tr>
            <w:tr w:rsidR="00EA7246" w:rsidRPr="008F59EC" w14:paraId="3DE5F001" w14:textId="77777777" w:rsidTr="00EA7246">
              <w:trPr>
                <w:trHeight w:val="295"/>
              </w:trPr>
              <w:tc>
                <w:tcPr>
                  <w:tcW w:w="1231" w:type="dxa"/>
                  <w:tcBorders>
                    <w:top w:val="nil"/>
                    <w:left w:val="single" w:sz="4" w:space="0" w:color="auto"/>
                    <w:bottom w:val="single" w:sz="4" w:space="0" w:color="auto"/>
                    <w:right w:val="single" w:sz="4" w:space="0" w:color="auto"/>
                  </w:tcBorders>
                  <w:shd w:val="clear" w:color="000000" w:fill="DAE9F8"/>
                  <w:noWrap/>
                  <w:vAlign w:val="bottom"/>
                  <w:hideMark/>
                </w:tcPr>
                <w:p w14:paraId="2704D517" w14:textId="77777777" w:rsidR="005F3649" w:rsidRPr="008F59EC" w:rsidRDefault="005F3649" w:rsidP="0014211F">
                  <w:pPr>
                    <w:spacing w:after="0" w:line="360" w:lineRule="auto"/>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Total</w:t>
                  </w:r>
                </w:p>
              </w:tc>
              <w:tc>
                <w:tcPr>
                  <w:tcW w:w="926" w:type="dxa"/>
                  <w:tcBorders>
                    <w:top w:val="nil"/>
                    <w:left w:val="nil"/>
                    <w:bottom w:val="single" w:sz="4" w:space="0" w:color="auto"/>
                    <w:right w:val="single" w:sz="4" w:space="0" w:color="auto"/>
                  </w:tcBorders>
                  <w:shd w:val="clear" w:color="000000" w:fill="DAE9F8"/>
                  <w:noWrap/>
                  <w:vAlign w:val="bottom"/>
                  <w:hideMark/>
                </w:tcPr>
                <w:p w14:paraId="7F6FA95F"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64</w:t>
                  </w:r>
                </w:p>
              </w:tc>
              <w:tc>
                <w:tcPr>
                  <w:tcW w:w="1102" w:type="dxa"/>
                  <w:tcBorders>
                    <w:top w:val="nil"/>
                    <w:left w:val="nil"/>
                    <w:bottom w:val="single" w:sz="4" w:space="0" w:color="auto"/>
                    <w:right w:val="single" w:sz="4" w:space="0" w:color="auto"/>
                  </w:tcBorders>
                  <w:shd w:val="clear" w:color="000000" w:fill="DAE9F8"/>
                  <w:noWrap/>
                  <w:vAlign w:val="bottom"/>
                  <w:hideMark/>
                </w:tcPr>
                <w:p w14:paraId="79C18F6E"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32</w:t>
                  </w:r>
                </w:p>
              </w:tc>
              <w:tc>
                <w:tcPr>
                  <w:tcW w:w="1281" w:type="dxa"/>
                  <w:tcBorders>
                    <w:top w:val="nil"/>
                    <w:left w:val="nil"/>
                    <w:bottom w:val="single" w:sz="4" w:space="0" w:color="auto"/>
                    <w:right w:val="single" w:sz="4" w:space="0" w:color="auto"/>
                  </w:tcBorders>
                  <w:shd w:val="clear" w:color="000000" w:fill="DAE9F8"/>
                  <w:noWrap/>
                  <w:vAlign w:val="bottom"/>
                  <w:hideMark/>
                </w:tcPr>
                <w:p w14:paraId="11A85AC9"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55</w:t>
                  </w:r>
                </w:p>
              </w:tc>
              <w:tc>
                <w:tcPr>
                  <w:tcW w:w="1230" w:type="dxa"/>
                  <w:tcBorders>
                    <w:top w:val="nil"/>
                    <w:left w:val="nil"/>
                    <w:bottom w:val="single" w:sz="4" w:space="0" w:color="auto"/>
                    <w:right w:val="single" w:sz="4" w:space="0" w:color="auto"/>
                  </w:tcBorders>
                  <w:shd w:val="clear" w:color="000000" w:fill="DAE9F8"/>
                  <w:noWrap/>
                  <w:vAlign w:val="bottom"/>
                  <w:hideMark/>
                </w:tcPr>
                <w:p w14:paraId="02AF932F"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151</w:t>
                  </w:r>
                </w:p>
              </w:tc>
              <w:tc>
                <w:tcPr>
                  <w:tcW w:w="1065" w:type="dxa"/>
                  <w:tcBorders>
                    <w:top w:val="nil"/>
                    <w:left w:val="nil"/>
                    <w:bottom w:val="single" w:sz="4" w:space="0" w:color="auto"/>
                    <w:right w:val="single" w:sz="4" w:space="0" w:color="auto"/>
                  </w:tcBorders>
                  <w:shd w:val="clear" w:color="000000" w:fill="DAE9F8"/>
                  <w:noWrap/>
                  <w:vAlign w:val="bottom"/>
                  <w:hideMark/>
                </w:tcPr>
                <w:p w14:paraId="24AE3476"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136800</w:t>
                  </w:r>
                </w:p>
              </w:tc>
              <w:tc>
                <w:tcPr>
                  <w:tcW w:w="1010" w:type="dxa"/>
                  <w:tcBorders>
                    <w:top w:val="nil"/>
                    <w:left w:val="nil"/>
                    <w:bottom w:val="single" w:sz="4" w:space="0" w:color="auto"/>
                    <w:right w:val="single" w:sz="4" w:space="0" w:color="auto"/>
                  </w:tcBorders>
                  <w:shd w:val="clear" w:color="000000" w:fill="DAE9F8"/>
                  <w:noWrap/>
                  <w:vAlign w:val="bottom"/>
                  <w:hideMark/>
                </w:tcPr>
                <w:p w14:paraId="4A1F6A29"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£37,750</w:t>
                  </w:r>
                </w:p>
              </w:tc>
              <w:tc>
                <w:tcPr>
                  <w:tcW w:w="949" w:type="dxa"/>
                  <w:tcBorders>
                    <w:top w:val="nil"/>
                    <w:left w:val="nil"/>
                    <w:bottom w:val="single" w:sz="4" w:space="0" w:color="auto"/>
                    <w:right w:val="single" w:sz="4" w:space="0" w:color="auto"/>
                  </w:tcBorders>
                  <w:shd w:val="clear" w:color="000000" w:fill="DAE9F8"/>
                  <w:noWrap/>
                  <w:vAlign w:val="bottom"/>
                  <w:hideMark/>
                </w:tcPr>
                <w:p w14:paraId="323888D4" w14:textId="77777777" w:rsidR="005F3649" w:rsidRPr="008F59EC" w:rsidRDefault="005F3649" w:rsidP="0014211F">
                  <w:pPr>
                    <w:spacing w:after="0" w:line="360" w:lineRule="auto"/>
                    <w:jc w:val="right"/>
                    <w:rPr>
                      <w:rFonts w:ascii="Arial" w:eastAsia="Times New Roman" w:hAnsi="Arial" w:cs="Arial"/>
                      <w:color w:val="000000"/>
                      <w:kern w:val="0"/>
                      <w:sz w:val="22"/>
                      <w:szCs w:val="22"/>
                      <w:lang w:eastAsia="en-GB"/>
                      <w14:ligatures w14:val="none"/>
                    </w:rPr>
                  </w:pPr>
                  <w:r w:rsidRPr="008F59EC">
                    <w:rPr>
                      <w:rFonts w:ascii="Arial" w:eastAsia="Times New Roman" w:hAnsi="Arial" w:cs="Arial"/>
                      <w:color w:val="000000"/>
                      <w:kern w:val="0"/>
                      <w:sz w:val="22"/>
                      <w:szCs w:val="22"/>
                      <w:lang w:eastAsia="en-GB"/>
                      <w14:ligatures w14:val="none"/>
                    </w:rPr>
                    <w:t>99050</w:t>
                  </w:r>
                </w:p>
              </w:tc>
            </w:tr>
          </w:tbl>
          <w:p w14:paraId="4A4A76EA" w14:textId="77777777" w:rsidR="005F3649" w:rsidRPr="008F59EC" w:rsidRDefault="005F3649" w:rsidP="0014211F">
            <w:pPr>
              <w:pStyle w:val="NormalWeb"/>
              <w:spacing w:line="360" w:lineRule="auto"/>
              <w:jc w:val="both"/>
              <w:rPr>
                <w:rStyle w:val="cf01"/>
                <w:rFonts w:ascii="Arial" w:eastAsiaTheme="majorEastAsia" w:hAnsi="Arial" w:cs="Arial"/>
                <w:sz w:val="24"/>
                <w:szCs w:val="24"/>
              </w:rPr>
            </w:pPr>
          </w:p>
        </w:tc>
      </w:tr>
    </w:tbl>
    <w:p w14:paraId="41091B61" w14:textId="3CBC1BF6" w:rsidR="004B2CC3" w:rsidRPr="008F59EC" w:rsidRDefault="00586BF2" w:rsidP="0014211F">
      <w:pPr>
        <w:pStyle w:val="NormalWeb"/>
        <w:spacing w:line="360" w:lineRule="auto"/>
        <w:jc w:val="both"/>
        <w:rPr>
          <w:rStyle w:val="cf01"/>
          <w:rFonts w:ascii="Arial" w:eastAsiaTheme="majorEastAsia" w:hAnsi="Arial" w:cs="Arial"/>
          <w:sz w:val="24"/>
          <w:szCs w:val="24"/>
        </w:rPr>
      </w:pPr>
      <w:r w:rsidRPr="008F59EC">
        <w:rPr>
          <w:rStyle w:val="cf01"/>
          <w:rFonts w:ascii="Arial" w:eastAsiaTheme="majorEastAsia" w:hAnsi="Arial" w:cs="Arial"/>
          <w:sz w:val="24"/>
          <w:szCs w:val="24"/>
        </w:rPr>
        <w:t>Source: Author’s own financial model (2026).</w:t>
      </w:r>
    </w:p>
    <w:p w14:paraId="72C3E3AA" w14:textId="02E7BDF6" w:rsidR="005826D1" w:rsidRPr="008F59EC" w:rsidRDefault="005826D1" w:rsidP="001575F2">
      <w:pPr>
        <w:spacing w:line="360" w:lineRule="auto"/>
        <w:rPr>
          <w:rFonts w:ascii="Arial" w:eastAsiaTheme="majorEastAsia" w:hAnsi="Arial" w:cs="Arial"/>
          <w:kern w:val="0"/>
          <w:lang w:eastAsia="en-GB"/>
          <w14:ligatures w14:val="none"/>
        </w:rPr>
      </w:pPr>
    </w:p>
    <w:sectPr w:rsidR="005826D1" w:rsidRPr="008F59EC" w:rsidSect="000F5EC0">
      <w:footerReference w:type="default" r:id="rId6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165D6" w14:textId="77777777" w:rsidR="001244F5" w:rsidRDefault="001244F5" w:rsidP="00214E1F">
      <w:pPr>
        <w:spacing w:after="0" w:line="240" w:lineRule="auto"/>
      </w:pPr>
      <w:r>
        <w:separator/>
      </w:r>
    </w:p>
  </w:endnote>
  <w:endnote w:type="continuationSeparator" w:id="0">
    <w:p w14:paraId="1B21CF9F" w14:textId="77777777" w:rsidR="001244F5" w:rsidRDefault="001244F5" w:rsidP="00214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672767"/>
      <w:docPartObj>
        <w:docPartGallery w:val="Page Numbers (Bottom of Page)"/>
        <w:docPartUnique/>
      </w:docPartObj>
    </w:sdtPr>
    <w:sdtEndPr>
      <w:rPr>
        <w:noProof/>
      </w:rPr>
    </w:sdtEndPr>
    <w:sdtContent>
      <w:p w14:paraId="5953F5FE" w14:textId="64687F9A" w:rsidR="00B81FA8" w:rsidRDefault="00B81F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E0BA32" w14:textId="77777777" w:rsidR="00B81FA8" w:rsidRDefault="00B81F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79914" w14:textId="77777777" w:rsidR="001244F5" w:rsidRDefault="001244F5" w:rsidP="00214E1F">
      <w:pPr>
        <w:spacing w:after="0" w:line="240" w:lineRule="auto"/>
      </w:pPr>
      <w:r>
        <w:separator/>
      </w:r>
    </w:p>
  </w:footnote>
  <w:footnote w:type="continuationSeparator" w:id="0">
    <w:p w14:paraId="2BB24AA2" w14:textId="77777777" w:rsidR="001244F5" w:rsidRDefault="001244F5" w:rsidP="00214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06DCD"/>
    <w:multiLevelType w:val="multilevel"/>
    <w:tmpl w:val="1E5CF3D6"/>
    <w:lvl w:ilvl="0">
      <w:start w:val="1"/>
      <w:numFmt w:val="decimal"/>
      <w:lvlText w:val="%1."/>
      <w:lvlJc w:val="left"/>
      <w:pPr>
        <w:ind w:left="720" w:hanging="360"/>
      </w:pPr>
      <w:rPr>
        <w:rFonts w:hint="default"/>
        <w:b w:val="0"/>
        <w:bCs/>
      </w:rPr>
    </w:lvl>
    <w:lvl w:ilvl="1">
      <w:start w:val="1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DE61094"/>
    <w:multiLevelType w:val="hybridMultilevel"/>
    <w:tmpl w:val="73586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865340"/>
    <w:multiLevelType w:val="hybridMultilevel"/>
    <w:tmpl w:val="28EE95C2"/>
    <w:lvl w:ilvl="0" w:tplc="3009000B">
      <w:start w:val="1"/>
      <w:numFmt w:val="bullet"/>
      <w:lvlText w:val=""/>
      <w:lvlJc w:val="left"/>
      <w:pPr>
        <w:ind w:left="720" w:hanging="360"/>
      </w:pPr>
      <w:rPr>
        <w:rFonts w:ascii="Wingdings" w:hAnsi="Wingdings"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 w15:restartNumberingAfterBreak="0">
    <w:nsid w:val="4A142895"/>
    <w:multiLevelType w:val="hybridMultilevel"/>
    <w:tmpl w:val="8836FB0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70E5A6A"/>
    <w:multiLevelType w:val="multilevel"/>
    <w:tmpl w:val="D9DEB56C"/>
    <w:lvl w:ilvl="0">
      <w:start w:val="1"/>
      <w:numFmt w:val="decimal"/>
      <w:lvlText w:val="%1."/>
      <w:lvlJc w:val="left"/>
      <w:pPr>
        <w:ind w:left="720" w:hanging="360"/>
      </w:pPr>
    </w:lvl>
    <w:lvl w:ilvl="1">
      <w:start w:val="8"/>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8983F8B"/>
    <w:multiLevelType w:val="hybridMultilevel"/>
    <w:tmpl w:val="4B30097E"/>
    <w:lvl w:ilvl="0" w:tplc="90383740">
      <w:start w:val="1"/>
      <w:numFmt w:val="decimal"/>
      <w:lvlText w:val="%1."/>
      <w:lvlJc w:val="left"/>
      <w:pPr>
        <w:ind w:left="720" w:hanging="360"/>
      </w:pPr>
      <w:rPr>
        <w:rFonts w:hint="default"/>
        <w:b w:val="0"/>
        <w:bCs/>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6" w15:restartNumberingAfterBreak="0">
    <w:nsid w:val="79091D97"/>
    <w:multiLevelType w:val="hybridMultilevel"/>
    <w:tmpl w:val="D8303A2C"/>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7" w15:restartNumberingAfterBreak="0">
    <w:nsid w:val="7BD97F2B"/>
    <w:multiLevelType w:val="hybridMultilevel"/>
    <w:tmpl w:val="F42607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2580404">
    <w:abstractNumId w:val="5"/>
  </w:num>
  <w:num w:numId="2" w16cid:durableId="1976254585">
    <w:abstractNumId w:val="0"/>
  </w:num>
  <w:num w:numId="3" w16cid:durableId="194391369">
    <w:abstractNumId w:val="6"/>
  </w:num>
  <w:num w:numId="4" w16cid:durableId="1978412477">
    <w:abstractNumId w:val="4"/>
  </w:num>
  <w:num w:numId="5" w16cid:durableId="800000902">
    <w:abstractNumId w:val="2"/>
  </w:num>
  <w:num w:numId="6" w16cid:durableId="490297677">
    <w:abstractNumId w:val="1"/>
  </w:num>
  <w:num w:numId="7" w16cid:durableId="640814665">
    <w:abstractNumId w:val="3"/>
  </w:num>
  <w:num w:numId="8" w16cid:durableId="9482001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883"/>
    <w:rsid w:val="000044D7"/>
    <w:rsid w:val="000101C1"/>
    <w:rsid w:val="000143BE"/>
    <w:rsid w:val="000246EB"/>
    <w:rsid w:val="000333E4"/>
    <w:rsid w:val="00034883"/>
    <w:rsid w:val="00034B98"/>
    <w:rsid w:val="0004554E"/>
    <w:rsid w:val="00056F03"/>
    <w:rsid w:val="00060119"/>
    <w:rsid w:val="00063947"/>
    <w:rsid w:val="00070753"/>
    <w:rsid w:val="0007190F"/>
    <w:rsid w:val="00076C2E"/>
    <w:rsid w:val="00082420"/>
    <w:rsid w:val="00085B3D"/>
    <w:rsid w:val="00091D28"/>
    <w:rsid w:val="00093897"/>
    <w:rsid w:val="0009462D"/>
    <w:rsid w:val="000A0A1E"/>
    <w:rsid w:val="000A0C94"/>
    <w:rsid w:val="000A25A1"/>
    <w:rsid w:val="000A7AEC"/>
    <w:rsid w:val="000B65E0"/>
    <w:rsid w:val="000D552C"/>
    <w:rsid w:val="000D7DEC"/>
    <w:rsid w:val="000D7E2E"/>
    <w:rsid w:val="000E117E"/>
    <w:rsid w:val="000E7BF7"/>
    <w:rsid w:val="000F04F6"/>
    <w:rsid w:val="000F5EC0"/>
    <w:rsid w:val="000F7AD9"/>
    <w:rsid w:val="00103A5D"/>
    <w:rsid w:val="001117FA"/>
    <w:rsid w:val="001244F5"/>
    <w:rsid w:val="0014211F"/>
    <w:rsid w:val="0014346A"/>
    <w:rsid w:val="00151DAF"/>
    <w:rsid w:val="00152E87"/>
    <w:rsid w:val="00154E0A"/>
    <w:rsid w:val="001575F2"/>
    <w:rsid w:val="00164DC4"/>
    <w:rsid w:val="00172F51"/>
    <w:rsid w:val="00184D15"/>
    <w:rsid w:val="00185D01"/>
    <w:rsid w:val="0019698A"/>
    <w:rsid w:val="00197E94"/>
    <w:rsid w:val="001A6A90"/>
    <w:rsid w:val="001B3A1B"/>
    <w:rsid w:val="001B3D87"/>
    <w:rsid w:val="001D1271"/>
    <w:rsid w:val="001D409E"/>
    <w:rsid w:val="001E5EA6"/>
    <w:rsid w:val="001E61FA"/>
    <w:rsid w:val="001E653C"/>
    <w:rsid w:val="001E6712"/>
    <w:rsid w:val="001F1C7B"/>
    <w:rsid w:val="001F23DB"/>
    <w:rsid w:val="00201AF2"/>
    <w:rsid w:val="00204A5D"/>
    <w:rsid w:val="00206F71"/>
    <w:rsid w:val="002128D6"/>
    <w:rsid w:val="00214E1F"/>
    <w:rsid w:val="0021791B"/>
    <w:rsid w:val="0023131A"/>
    <w:rsid w:val="00235A16"/>
    <w:rsid w:val="002408A6"/>
    <w:rsid w:val="00240D26"/>
    <w:rsid w:val="00241D62"/>
    <w:rsid w:val="0026256F"/>
    <w:rsid w:val="00263FE4"/>
    <w:rsid w:val="002708C6"/>
    <w:rsid w:val="00272F86"/>
    <w:rsid w:val="00274FDF"/>
    <w:rsid w:val="002820E5"/>
    <w:rsid w:val="002869D3"/>
    <w:rsid w:val="00287A24"/>
    <w:rsid w:val="00290DAD"/>
    <w:rsid w:val="00292754"/>
    <w:rsid w:val="00293FED"/>
    <w:rsid w:val="0029673C"/>
    <w:rsid w:val="002C310F"/>
    <w:rsid w:val="002C4773"/>
    <w:rsid w:val="002D4AB5"/>
    <w:rsid w:val="002D5C1F"/>
    <w:rsid w:val="002E3653"/>
    <w:rsid w:val="002E502E"/>
    <w:rsid w:val="002F50B3"/>
    <w:rsid w:val="002F735A"/>
    <w:rsid w:val="00304330"/>
    <w:rsid w:val="00305771"/>
    <w:rsid w:val="00305781"/>
    <w:rsid w:val="00327262"/>
    <w:rsid w:val="00351428"/>
    <w:rsid w:val="00367B62"/>
    <w:rsid w:val="00367E77"/>
    <w:rsid w:val="00384020"/>
    <w:rsid w:val="00385344"/>
    <w:rsid w:val="003A2358"/>
    <w:rsid w:val="003A4D36"/>
    <w:rsid w:val="003A5F36"/>
    <w:rsid w:val="003B4650"/>
    <w:rsid w:val="003C0506"/>
    <w:rsid w:val="003C1D46"/>
    <w:rsid w:val="003C6633"/>
    <w:rsid w:val="003D6B1D"/>
    <w:rsid w:val="003F26E8"/>
    <w:rsid w:val="003F53A7"/>
    <w:rsid w:val="003F6E9B"/>
    <w:rsid w:val="004004D3"/>
    <w:rsid w:val="004064EE"/>
    <w:rsid w:val="00417F01"/>
    <w:rsid w:val="00421E52"/>
    <w:rsid w:val="00433628"/>
    <w:rsid w:val="00445B5C"/>
    <w:rsid w:val="00450153"/>
    <w:rsid w:val="00452E6E"/>
    <w:rsid w:val="00453EAA"/>
    <w:rsid w:val="00454681"/>
    <w:rsid w:val="00456BFE"/>
    <w:rsid w:val="00456C14"/>
    <w:rsid w:val="00457C99"/>
    <w:rsid w:val="00461CEE"/>
    <w:rsid w:val="0046309A"/>
    <w:rsid w:val="00471AFF"/>
    <w:rsid w:val="00480570"/>
    <w:rsid w:val="00483C53"/>
    <w:rsid w:val="00485490"/>
    <w:rsid w:val="00494F71"/>
    <w:rsid w:val="004955D4"/>
    <w:rsid w:val="004A5A28"/>
    <w:rsid w:val="004B2CC3"/>
    <w:rsid w:val="004C668B"/>
    <w:rsid w:val="004D08A8"/>
    <w:rsid w:val="004D1AF4"/>
    <w:rsid w:val="004D2302"/>
    <w:rsid w:val="004D4A39"/>
    <w:rsid w:val="004E10E0"/>
    <w:rsid w:val="004F1AA1"/>
    <w:rsid w:val="00501904"/>
    <w:rsid w:val="005074D9"/>
    <w:rsid w:val="00513B28"/>
    <w:rsid w:val="00520A26"/>
    <w:rsid w:val="005231C1"/>
    <w:rsid w:val="00544089"/>
    <w:rsid w:val="00546671"/>
    <w:rsid w:val="00546764"/>
    <w:rsid w:val="0054787A"/>
    <w:rsid w:val="005502DD"/>
    <w:rsid w:val="00565750"/>
    <w:rsid w:val="00565CAA"/>
    <w:rsid w:val="0057554F"/>
    <w:rsid w:val="005817AB"/>
    <w:rsid w:val="005826D1"/>
    <w:rsid w:val="00582B0D"/>
    <w:rsid w:val="00586BF2"/>
    <w:rsid w:val="005944C2"/>
    <w:rsid w:val="00595C57"/>
    <w:rsid w:val="005C4C72"/>
    <w:rsid w:val="005C5509"/>
    <w:rsid w:val="005E390C"/>
    <w:rsid w:val="005F1A39"/>
    <w:rsid w:val="005F3649"/>
    <w:rsid w:val="005F61F7"/>
    <w:rsid w:val="0060515B"/>
    <w:rsid w:val="006203E8"/>
    <w:rsid w:val="0063015C"/>
    <w:rsid w:val="0063288C"/>
    <w:rsid w:val="00635424"/>
    <w:rsid w:val="006443AE"/>
    <w:rsid w:val="00652D8A"/>
    <w:rsid w:val="006536D6"/>
    <w:rsid w:val="00657757"/>
    <w:rsid w:val="00661BBC"/>
    <w:rsid w:val="00663B4E"/>
    <w:rsid w:val="00671212"/>
    <w:rsid w:val="00672614"/>
    <w:rsid w:val="006744D4"/>
    <w:rsid w:val="00680D33"/>
    <w:rsid w:val="0068314D"/>
    <w:rsid w:val="00690186"/>
    <w:rsid w:val="006901D6"/>
    <w:rsid w:val="006A26A6"/>
    <w:rsid w:val="006A302A"/>
    <w:rsid w:val="006C63F3"/>
    <w:rsid w:val="006D4B31"/>
    <w:rsid w:val="006E2B0A"/>
    <w:rsid w:val="006E3992"/>
    <w:rsid w:val="006E3BA6"/>
    <w:rsid w:val="007003F7"/>
    <w:rsid w:val="007138EF"/>
    <w:rsid w:val="00722F48"/>
    <w:rsid w:val="00731AD8"/>
    <w:rsid w:val="00732B6E"/>
    <w:rsid w:val="007370CE"/>
    <w:rsid w:val="00740FDF"/>
    <w:rsid w:val="007436EE"/>
    <w:rsid w:val="00744E4D"/>
    <w:rsid w:val="00754B0F"/>
    <w:rsid w:val="00754C9F"/>
    <w:rsid w:val="00764157"/>
    <w:rsid w:val="00772411"/>
    <w:rsid w:val="00776FD9"/>
    <w:rsid w:val="00791168"/>
    <w:rsid w:val="00793836"/>
    <w:rsid w:val="007953FB"/>
    <w:rsid w:val="007A7E06"/>
    <w:rsid w:val="007B03B1"/>
    <w:rsid w:val="007B1BD6"/>
    <w:rsid w:val="007C7A33"/>
    <w:rsid w:val="007D2D4B"/>
    <w:rsid w:val="007E01F6"/>
    <w:rsid w:val="007F0705"/>
    <w:rsid w:val="007F4295"/>
    <w:rsid w:val="00801397"/>
    <w:rsid w:val="00801BB9"/>
    <w:rsid w:val="008175EB"/>
    <w:rsid w:val="00822377"/>
    <w:rsid w:val="00824983"/>
    <w:rsid w:val="0083076A"/>
    <w:rsid w:val="008308B6"/>
    <w:rsid w:val="008332B6"/>
    <w:rsid w:val="00851138"/>
    <w:rsid w:val="00863903"/>
    <w:rsid w:val="00880CC5"/>
    <w:rsid w:val="00892A71"/>
    <w:rsid w:val="0089484D"/>
    <w:rsid w:val="008A2D56"/>
    <w:rsid w:val="008A79C6"/>
    <w:rsid w:val="008B33B2"/>
    <w:rsid w:val="008B52B5"/>
    <w:rsid w:val="008C2E9C"/>
    <w:rsid w:val="008C7A21"/>
    <w:rsid w:val="008E17AC"/>
    <w:rsid w:val="008E67DC"/>
    <w:rsid w:val="008F4070"/>
    <w:rsid w:val="008F59EC"/>
    <w:rsid w:val="0091280E"/>
    <w:rsid w:val="00913606"/>
    <w:rsid w:val="009141E5"/>
    <w:rsid w:val="009211A9"/>
    <w:rsid w:val="00936590"/>
    <w:rsid w:val="00940BAE"/>
    <w:rsid w:val="009456A8"/>
    <w:rsid w:val="0096099D"/>
    <w:rsid w:val="00962623"/>
    <w:rsid w:val="00967D0B"/>
    <w:rsid w:val="00976948"/>
    <w:rsid w:val="00976BF2"/>
    <w:rsid w:val="0098008F"/>
    <w:rsid w:val="0099308D"/>
    <w:rsid w:val="009A479E"/>
    <w:rsid w:val="009B39CA"/>
    <w:rsid w:val="009B3A29"/>
    <w:rsid w:val="009C3E29"/>
    <w:rsid w:val="009F3709"/>
    <w:rsid w:val="009F6623"/>
    <w:rsid w:val="00A03D74"/>
    <w:rsid w:val="00A053F0"/>
    <w:rsid w:val="00A105D5"/>
    <w:rsid w:val="00A13661"/>
    <w:rsid w:val="00A43431"/>
    <w:rsid w:val="00A43ED2"/>
    <w:rsid w:val="00A4569F"/>
    <w:rsid w:val="00A45D4B"/>
    <w:rsid w:val="00A57270"/>
    <w:rsid w:val="00A63113"/>
    <w:rsid w:val="00A712A0"/>
    <w:rsid w:val="00A777FE"/>
    <w:rsid w:val="00A907AF"/>
    <w:rsid w:val="00A9342D"/>
    <w:rsid w:val="00AA421D"/>
    <w:rsid w:val="00AA725E"/>
    <w:rsid w:val="00AB568E"/>
    <w:rsid w:val="00AC29CB"/>
    <w:rsid w:val="00AC6E35"/>
    <w:rsid w:val="00AC7E83"/>
    <w:rsid w:val="00AD20EE"/>
    <w:rsid w:val="00AE4766"/>
    <w:rsid w:val="00AF26BE"/>
    <w:rsid w:val="00AF3C28"/>
    <w:rsid w:val="00B00495"/>
    <w:rsid w:val="00B02297"/>
    <w:rsid w:val="00B14F7D"/>
    <w:rsid w:val="00B22B60"/>
    <w:rsid w:val="00B42C51"/>
    <w:rsid w:val="00B444F0"/>
    <w:rsid w:val="00B549E7"/>
    <w:rsid w:val="00B66211"/>
    <w:rsid w:val="00B74F6A"/>
    <w:rsid w:val="00B81FA8"/>
    <w:rsid w:val="00B870D2"/>
    <w:rsid w:val="00B9300E"/>
    <w:rsid w:val="00BB2F85"/>
    <w:rsid w:val="00BB38C3"/>
    <w:rsid w:val="00BB52F2"/>
    <w:rsid w:val="00BC1F08"/>
    <w:rsid w:val="00BC30D4"/>
    <w:rsid w:val="00BD0B61"/>
    <w:rsid w:val="00BD1CFA"/>
    <w:rsid w:val="00BD7515"/>
    <w:rsid w:val="00BE5375"/>
    <w:rsid w:val="00BE7BE7"/>
    <w:rsid w:val="00BF131F"/>
    <w:rsid w:val="00BF2873"/>
    <w:rsid w:val="00C03CDB"/>
    <w:rsid w:val="00C0672D"/>
    <w:rsid w:val="00C15F7D"/>
    <w:rsid w:val="00C205BE"/>
    <w:rsid w:val="00C369C9"/>
    <w:rsid w:val="00C46B53"/>
    <w:rsid w:val="00C54442"/>
    <w:rsid w:val="00C61869"/>
    <w:rsid w:val="00C65D09"/>
    <w:rsid w:val="00C84A03"/>
    <w:rsid w:val="00C96919"/>
    <w:rsid w:val="00CA2C20"/>
    <w:rsid w:val="00CC2B58"/>
    <w:rsid w:val="00CC5D33"/>
    <w:rsid w:val="00CD0BFF"/>
    <w:rsid w:val="00CD5CC3"/>
    <w:rsid w:val="00CE6E0F"/>
    <w:rsid w:val="00CE7377"/>
    <w:rsid w:val="00CF0FCB"/>
    <w:rsid w:val="00D04670"/>
    <w:rsid w:val="00D10CFE"/>
    <w:rsid w:val="00D126D1"/>
    <w:rsid w:val="00D2154E"/>
    <w:rsid w:val="00D223D7"/>
    <w:rsid w:val="00D25C1D"/>
    <w:rsid w:val="00D40CC0"/>
    <w:rsid w:val="00D45A03"/>
    <w:rsid w:val="00D53FDB"/>
    <w:rsid w:val="00D57DDC"/>
    <w:rsid w:val="00D6232D"/>
    <w:rsid w:val="00D64FFE"/>
    <w:rsid w:val="00D713BE"/>
    <w:rsid w:val="00D77E27"/>
    <w:rsid w:val="00D809FB"/>
    <w:rsid w:val="00D84C2D"/>
    <w:rsid w:val="00D873C6"/>
    <w:rsid w:val="00D92299"/>
    <w:rsid w:val="00D94ECC"/>
    <w:rsid w:val="00DA06E6"/>
    <w:rsid w:val="00DA7CD8"/>
    <w:rsid w:val="00DC6F00"/>
    <w:rsid w:val="00DD1348"/>
    <w:rsid w:val="00DD3248"/>
    <w:rsid w:val="00DD7416"/>
    <w:rsid w:val="00DE1929"/>
    <w:rsid w:val="00DE1CB5"/>
    <w:rsid w:val="00DE6671"/>
    <w:rsid w:val="00DF38FA"/>
    <w:rsid w:val="00DF666B"/>
    <w:rsid w:val="00E01FE4"/>
    <w:rsid w:val="00E044E4"/>
    <w:rsid w:val="00E079C6"/>
    <w:rsid w:val="00E1095A"/>
    <w:rsid w:val="00E12E2C"/>
    <w:rsid w:val="00E16F9C"/>
    <w:rsid w:val="00E22A86"/>
    <w:rsid w:val="00E23AA5"/>
    <w:rsid w:val="00E2519D"/>
    <w:rsid w:val="00E2737D"/>
    <w:rsid w:val="00E63CA9"/>
    <w:rsid w:val="00E67704"/>
    <w:rsid w:val="00E73F13"/>
    <w:rsid w:val="00E74CBF"/>
    <w:rsid w:val="00E7733A"/>
    <w:rsid w:val="00E816A9"/>
    <w:rsid w:val="00E87832"/>
    <w:rsid w:val="00E96822"/>
    <w:rsid w:val="00EA7246"/>
    <w:rsid w:val="00EB0190"/>
    <w:rsid w:val="00EB4C05"/>
    <w:rsid w:val="00EB5476"/>
    <w:rsid w:val="00EC1880"/>
    <w:rsid w:val="00EC30AA"/>
    <w:rsid w:val="00EC3236"/>
    <w:rsid w:val="00EC69F9"/>
    <w:rsid w:val="00ED6F31"/>
    <w:rsid w:val="00EE6868"/>
    <w:rsid w:val="00EF2183"/>
    <w:rsid w:val="00EF6CDF"/>
    <w:rsid w:val="00F02DB7"/>
    <w:rsid w:val="00F05E5F"/>
    <w:rsid w:val="00F17B96"/>
    <w:rsid w:val="00F232D6"/>
    <w:rsid w:val="00F348D3"/>
    <w:rsid w:val="00F41E6E"/>
    <w:rsid w:val="00F42CA8"/>
    <w:rsid w:val="00F4775A"/>
    <w:rsid w:val="00F51D05"/>
    <w:rsid w:val="00F66BCB"/>
    <w:rsid w:val="00F8147B"/>
    <w:rsid w:val="00F84AF4"/>
    <w:rsid w:val="00FA0AC0"/>
    <w:rsid w:val="00FA225D"/>
    <w:rsid w:val="00FA4DF5"/>
    <w:rsid w:val="00FA56B4"/>
    <w:rsid w:val="00FB7681"/>
    <w:rsid w:val="00FC3F22"/>
    <w:rsid w:val="00FD4C5B"/>
    <w:rsid w:val="00FD5DC5"/>
    <w:rsid w:val="00FD730F"/>
    <w:rsid w:val="00FE1670"/>
    <w:rsid w:val="00FE2601"/>
    <w:rsid w:val="00FF224C"/>
    <w:rsid w:val="00FF4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C7389"/>
  <w15:chartTrackingRefBased/>
  <w15:docId w15:val="{1746E071-7490-422E-BCCD-F17BF022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4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4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4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4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4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4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4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4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4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4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883"/>
    <w:rPr>
      <w:rFonts w:eastAsiaTheme="majorEastAsia" w:cstheme="majorBidi"/>
      <w:color w:val="272727" w:themeColor="text1" w:themeTint="D8"/>
    </w:rPr>
  </w:style>
  <w:style w:type="paragraph" w:styleId="Title">
    <w:name w:val="Title"/>
    <w:basedOn w:val="Normal"/>
    <w:next w:val="Normal"/>
    <w:link w:val="TitleChar"/>
    <w:uiPriority w:val="10"/>
    <w:qFormat/>
    <w:rsid w:val="00034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883"/>
    <w:pPr>
      <w:spacing w:before="160"/>
      <w:jc w:val="center"/>
    </w:pPr>
    <w:rPr>
      <w:i/>
      <w:iCs/>
      <w:color w:val="404040" w:themeColor="text1" w:themeTint="BF"/>
    </w:rPr>
  </w:style>
  <w:style w:type="character" w:customStyle="1" w:styleId="QuoteChar">
    <w:name w:val="Quote Char"/>
    <w:basedOn w:val="DefaultParagraphFont"/>
    <w:link w:val="Quote"/>
    <w:uiPriority w:val="29"/>
    <w:rsid w:val="00034883"/>
    <w:rPr>
      <w:i/>
      <w:iCs/>
      <w:color w:val="404040" w:themeColor="text1" w:themeTint="BF"/>
    </w:rPr>
  </w:style>
  <w:style w:type="paragraph" w:styleId="ListParagraph">
    <w:name w:val="List Paragraph"/>
    <w:basedOn w:val="Normal"/>
    <w:uiPriority w:val="34"/>
    <w:qFormat/>
    <w:rsid w:val="00034883"/>
    <w:pPr>
      <w:ind w:left="720"/>
      <w:contextualSpacing/>
    </w:pPr>
  </w:style>
  <w:style w:type="character" w:styleId="IntenseEmphasis">
    <w:name w:val="Intense Emphasis"/>
    <w:basedOn w:val="DefaultParagraphFont"/>
    <w:uiPriority w:val="21"/>
    <w:qFormat/>
    <w:rsid w:val="00034883"/>
    <w:rPr>
      <w:i/>
      <w:iCs/>
      <w:color w:val="0F4761" w:themeColor="accent1" w:themeShade="BF"/>
    </w:rPr>
  </w:style>
  <w:style w:type="paragraph" w:styleId="IntenseQuote">
    <w:name w:val="Intense Quote"/>
    <w:basedOn w:val="Normal"/>
    <w:next w:val="Normal"/>
    <w:link w:val="IntenseQuoteChar"/>
    <w:uiPriority w:val="30"/>
    <w:qFormat/>
    <w:rsid w:val="00034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4883"/>
    <w:rPr>
      <w:i/>
      <w:iCs/>
      <w:color w:val="0F4761" w:themeColor="accent1" w:themeShade="BF"/>
    </w:rPr>
  </w:style>
  <w:style w:type="character" w:styleId="IntenseReference">
    <w:name w:val="Intense Reference"/>
    <w:basedOn w:val="DefaultParagraphFont"/>
    <w:uiPriority w:val="32"/>
    <w:qFormat/>
    <w:rsid w:val="00034883"/>
    <w:rPr>
      <w:b/>
      <w:bCs/>
      <w:smallCaps/>
      <w:color w:val="0F4761" w:themeColor="accent1" w:themeShade="BF"/>
      <w:spacing w:val="5"/>
    </w:rPr>
  </w:style>
  <w:style w:type="table" w:styleId="TableGrid">
    <w:name w:val="Table Grid"/>
    <w:basedOn w:val="TableNormal"/>
    <w:uiPriority w:val="39"/>
    <w:rsid w:val="00034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23131A"/>
    <w:pPr>
      <w:spacing w:after="0" w:line="240" w:lineRule="auto"/>
    </w:pPr>
    <w:rPr>
      <w:lang w:val="en-ZW"/>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NormalWeb">
    <w:name w:val="Normal (Web)"/>
    <w:basedOn w:val="Normal"/>
    <w:uiPriority w:val="99"/>
    <w:unhideWhenUsed/>
    <w:rsid w:val="000A25A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GridTable6Colorful-Accent4">
    <w:name w:val="Grid Table 6 Colorful Accent 4"/>
    <w:basedOn w:val="TableNormal"/>
    <w:uiPriority w:val="51"/>
    <w:rsid w:val="00327262"/>
    <w:pPr>
      <w:spacing w:after="0" w:line="240" w:lineRule="auto"/>
    </w:pPr>
    <w:rPr>
      <w:color w:val="0B769F" w:themeColor="accent4" w:themeShade="BF"/>
      <w:lang w:val="en-ZW"/>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FootnoteText">
    <w:name w:val="footnote text"/>
    <w:basedOn w:val="Normal"/>
    <w:link w:val="FootnoteTextChar"/>
    <w:uiPriority w:val="99"/>
    <w:semiHidden/>
    <w:unhideWhenUsed/>
    <w:rsid w:val="00214E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4E1F"/>
    <w:rPr>
      <w:sz w:val="20"/>
      <w:szCs w:val="20"/>
    </w:rPr>
  </w:style>
  <w:style w:type="character" w:styleId="FootnoteReference">
    <w:name w:val="footnote reference"/>
    <w:basedOn w:val="DefaultParagraphFont"/>
    <w:uiPriority w:val="99"/>
    <w:semiHidden/>
    <w:unhideWhenUsed/>
    <w:rsid w:val="00214E1F"/>
    <w:rPr>
      <w:vertAlign w:val="superscript"/>
    </w:rPr>
  </w:style>
  <w:style w:type="paragraph" w:styleId="Header">
    <w:name w:val="header"/>
    <w:basedOn w:val="Normal"/>
    <w:link w:val="HeaderChar"/>
    <w:uiPriority w:val="99"/>
    <w:unhideWhenUsed/>
    <w:rsid w:val="00290D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DAD"/>
  </w:style>
  <w:style w:type="paragraph" w:styleId="Footer">
    <w:name w:val="footer"/>
    <w:basedOn w:val="Normal"/>
    <w:link w:val="FooterChar"/>
    <w:uiPriority w:val="99"/>
    <w:unhideWhenUsed/>
    <w:rsid w:val="00290D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DAD"/>
  </w:style>
  <w:style w:type="character" w:customStyle="1" w:styleId="cf01">
    <w:name w:val="cf01"/>
    <w:basedOn w:val="DefaultParagraphFont"/>
    <w:rsid w:val="00185D01"/>
    <w:rPr>
      <w:rFonts w:ascii="Consolas" w:hAnsi="Consolas" w:hint="default"/>
      <w:sz w:val="22"/>
      <w:szCs w:val="22"/>
    </w:rPr>
  </w:style>
  <w:style w:type="character" w:styleId="Hyperlink">
    <w:name w:val="Hyperlink"/>
    <w:basedOn w:val="DefaultParagraphFont"/>
    <w:uiPriority w:val="99"/>
    <w:unhideWhenUsed/>
    <w:rsid w:val="00880CC5"/>
    <w:rPr>
      <w:color w:val="467886" w:themeColor="hyperlink"/>
      <w:u w:val="single"/>
    </w:rPr>
  </w:style>
  <w:style w:type="character" w:styleId="UnresolvedMention">
    <w:name w:val="Unresolved Mention"/>
    <w:basedOn w:val="DefaultParagraphFont"/>
    <w:uiPriority w:val="99"/>
    <w:semiHidden/>
    <w:unhideWhenUsed/>
    <w:rsid w:val="00880CC5"/>
    <w:rPr>
      <w:color w:val="605E5C"/>
      <w:shd w:val="clear" w:color="auto" w:fill="E1DFDD"/>
    </w:rPr>
  </w:style>
  <w:style w:type="character" w:styleId="Strong">
    <w:name w:val="Strong"/>
    <w:basedOn w:val="DefaultParagraphFont"/>
    <w:uiPriority w:val="22"/>
    <w:qFormat/>
    <w:rsid w:val="006A302A"/>
    <w:rPr>
      <w:b/>
      <w:bCs/>
    </w:rPr>
  </w:style>
  <w:style w:type="paragraph" w:styleId="TOC1">
    <w:name w:val="toc 1"/>
    <w:basedOn w:val="Normal"/>
    <w:next w:val="Normal"/>
    <w:autoRedefine/>
    <w:uiPriority w:val="39"/>
    <w:unhideWhenUsed/>
    <w:rsid w:val="00293FED"/>
    <w:pPr>
      <w:spacing w:after="100"/>
    </w:pPr>
  </w:style>
  <w:style w:type="paragraph" w:styleId="TOCHeading">
    <w:name w:val="TOC Heading"/>
    <w:basedOn w:val="Heading1"/>
    <w:next w:val="Normal"/>
    <w:uiPriority w:val="39"/>
    <w:unhideWhenUsed/>
    <w:qFormat/>
    <w:rsid w:val="0019698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19698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3.xml"/><Relationship Id="rId21" Type="http://schemas.openxmlformats.org/officeDocument/2006/relationships/diagramData" Target="diagrams/data2.xml"/><Relationship Id="rId34" Type="http://schemas.openxmlformats.org/officeDocument/2006/relationships/diagramColors" Target="diagrams/colors4.xml"/><Relationship Id="rId42" Type="http://schemas.openxmlformats.org/officeDocument/2006/relationships/diagramLayout" Target="diagrams/layout6.xml"/><Relationship Id="rId47" Type="http://schemas.openxmlformats.org/officeDocument/2006/relationships/image" Target="media/image60.png"/><Relationship Id="rId50" Type="http://schemas.openxmlformats.org/officeDocument/2006/relationships/hyperlink" Target="https://www.deloitte.co.uk" TargetMode="External"/><Relationship Id="rId55" Type="http://schemas.openxmlformats.org/officeDocument/2006/relationships/hyperlink" Target="https://www.moneyfacts.co.uk" TargetMode="External"/><Relationship Id="rId63" Type="http://schemas.openxmlformats.org/officeDocument/2006/relationships/hyperlink" Target="https://www.youtube.com/watch?v=1BDLh1jbB7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1.xml"/><Relationship Id="rId29" Type="http://schemas.openxmlformats.org/officeDocument/2006/relationships/diagramColors" Target="diagrams/colors3.xml"/><Relationship Id="rId11" Type="http://schemas.openxmlformats.org/officeDocument/2006/relationships/image" Target="media/image4.png"/><Relationship Id="rId24" Type="http://schemas.openxmlformats.org/officeDocument/2006/relationships/diagramColors" Target="diagrams/colors2.xml"/><Relationship Id="rId32" Type="http://schemas.openxmlformats.org/officeDocument/2006/relationships/diagramLayout" Target="diagrams/layout4.xml"/><Relationship Id="rId37" Type="http://schemas.openxmlformats.org/officeDocument/2006/relationships/diagramLayout" Target="diagrams/layout5.xml"/><Relationship Id="rId40" Type="http://schemas.microsoft.com/office/2007/relationships/diagramDrawing" Target="diagrams/drawing5.xml"/><Relationship Id="rId45" Type="http://schemas.microsoft.com/office/2007/relationships/diagramDrawing" Target="diagrams/drawing6.xml"/><Relationship Id="rId53" Type="http://schemas.openxmlformats.org/officeDocument/2006/relationships/hyperlink" Target="https://www.mckinsey.com" TargetMode="External"/><Relationship Id="rId58" Type="http://schemas.openxmlformats.org/officeDocument/2006/relationships/hyperlink" Target="https://www.ukfinance.org.uk"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10.emf"/><Relationship Id="rId19" Type="http://schemas.openxmlformats.org/officeDocument/2006/relationships/diagramColors" Target="diagrams/colors1.xml"/><Relationship Id="rId14" Type="http://schemas.openxmlformats.org/officeDocument/2006/relationships/image" Target="media/image7.png"/><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35" Type="http://schemas.microsoft.com/office/2007/relationships/diagramDrawing" Target="diagrams/drawing4.xml"/><Relationship Id="rId43" Type="http://schemas.openxmlformats.org/officeDocument/2006/relationships/diagramQuickStyle" Target="diagrams/quickStyle6.xml"/><Relationship Id="rId48" Type="http://schemas.openxmlformats.org/officeDocument/2006/relationships/chart" Target="charts/chart1.xml"/><Relationship Id="rId56" Type="http://schemas.openxmlformats.org/officeDocument/2006/relationships/hyperlink" Target="https://www.ons.gov.uk" TargetMode="External"/><Relationship Id="rId64" Type="http://schemas.openxmlformats.org/officeDocument/2006/relationships/hyperlink" Target="https://www.youtube.com/watch?v=UlAHtHlMCos" TargetMode="External"/><Relationship Id="rId8" Type="http://schemas.openxmlformats.org/officeDocument/2006/relationships/image" Target="media/image1.jpeg"/><Relationship Id="rId51" Type="http://schemas.openxmlformats.org/officeDocument/2006/relationships/hyperlink" Target="https://www.fca.org.u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diagramQuickStyle" Target="diagrams/quickStyle4.xml"/><Relationship Id="rId38" Type="http://schemas.openxmlformats.org/officeDocument/2006/relationships/diagramQuickStyle" Target="diagrams/quickStyle5.xml"/><Relationship Id="rId46" Type="http://schemas.openxmlformats.org/officeDocument/2006/relationships/customXml" Target="ink/ink1.xml"/><Relationship Id="rId59" Type="http://schemas.openxmlformats.org/officeDocument/2006/relationships/image" Target="media/image9.emf"/><Relationship Id="rId67" Type="http://schemas.openxmlformats.org/officeDocument/2006/relationships/theme" Target="theme/theme1.xml"/><Relationship Id="rId20" Type="http://schemas.microsoft.com/office/2007/relationships/diagramDrawing" Target="diagrams/drawing1.xml"/><Relationship Id="rId41" Type="http://schemas.openxmlformats.org/officeDocument/2006/relationships/diagramData" Target="diagrams/data6.xml"/><Relationship Id="rId54" Type="http://schemas.openxmlformats.org/officeDocument/2006/relationships/hyperlink" Target="https://www.mckinsey.com" TargetMode="External"/><Relationship Id="rId62"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diagramQuickStyle" Target="diagrams/quickStyle2.xml"/><Relationship Id="rId28" Type="http://schemas.openxmlformats.org/officeDocument/2006/relationships/diagramQuickStyle" Target="diagrams/quickStyle3.xml"/><Relationship Id="rId36" Type="http://schemas.openxmlformats.org/officeDocument/2006/relationships/diagramData" Target="diagrams/data5.xml"/><Relationship Id="rId49" Type="http://schemas.openxmlformats.org/officeDocument/2006/relationships/hyperlink" Target="https://www.cipd.org" TargetMode="External"/><Relationship Id="rId57" Type="http://schemas.openxmlformats.org/officeDocument/2006/relationships/hyperlink" Target="https://www.pwc.co.uk" TargetMode="External"/><Relationship Id="rId10" Type="http://schemas.openxmlformats.org/officeDocument/2006/relationships/image" Target="media/image3.png"/><Relationship Id="rId31" Type="http://schemas.openxmlformats.org/officeDocument/2006/relationships/diagramData" Target="diagrams/data4.xml"/><Relationship Id="rId44" Type="http://schemas.openxmlformats.org/officeDocument/2006/relationships/diagramColors" Target="diagrams/colors6.xml"/><Relationship Id="rId52" Type="http://schemas.openxmlformats.org/officeDocument/2006/relationships/hyperlink" Target="https://ico.org.uk" TargetMode="External"/><Relationship Id="rId60" Type="http://schemas.openxmlformats.org/officeDocument/2006/relationships/oleObject" Target="embeddings/oleObject1.bin"/><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diagramQuickStyle" Target="diagrams/quickStyle1.xml"/><Relationship Id="rId39" Type="http://schemas.openxmlformats.org/officeDocument/2006/relationships/diagramColors" Target="diagrams/colors5.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Break event point of </a:t>
            </a:r>
            <a:r>
              <a:rPr lang="en-US" sz="1400" b="0" i="0" u="none" strike="noStrike" kern="1200" spc="0" baseline="0">
                <a:solidFill>
                  <a:sysClr val="windowText" lastClr="000000">
                    <a:lumMod val="65000"/>
                    <a:lumOff val="35000"/>
                  </a:sysClr>
                </a:solidFill>
                <a:latin typeface="+mn-lt"/>
                <a:ea typeface="+mn-ea"/>
                <a:cs typeface="+mn-cs"/>
              </a:rPr>
              <a:t>Sense Mortgage and Residential </a:t>
            </a:r>
            <a:r>
              <a:rPr lang="en-US"/>
              <a:t> Residential</a:t>
            </a:r>
          </a:p>
        </c:rich>
      </c:tx>
      <c:overlay val="0"/>
      <c:spPr>
        <a:solidFill>
          <a:srgbClr val="FFC000"/>
        </a:solid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'cash-flow-Sense'!$F$41</c:f>
              <c:strCache>
                <c:ptCount val="1"/>
                <c:pt idx="0">
                  <c:v>Case complited </c:v>
                </c:pt>
              </c:strCache>
            </c:strRef>
          </c:tx>
          <c:spPr>
            <a:ln w="28575" cap="rnd">
              <a:solidFill>
                <a:schemeClr val="accent1"/>
              </a:solidFill>
              <a:round/>
            </a:ln>
            <a:effectLst/>
          </c:spPr>
          <c:marker>
            <c:symbol val="none"/>
          </c:marker>
          <c:val>
            <c:numRef>
              <c:f>'cash-flow-Sense'!$F$42:$F$63</c:f>
              <c:numCache>
                <c:formatCode>General</c:formatCode>
                <c:ptCount val="22"/>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numCache>
            </c:numRef>
          </c:val>
          <c:smooth val="0"/>
          <c:extLst>
            <c:ext xmlns:c16="http://schemas.microsoft.com/office/drawing/2014/chart" uri="{C3380CC4-5D6E-409C-BE32-E72D297353CC}">
              <c16:uniqueId val="{00000000-6AEE-4D6F-86BC-70F5FB325871}"/>
            </c:ext>
          </c:extLst>
        </c:ser>
        <c:ser>
          <c:idx val="1"/>
          <c:order val="1"/>
          <c:tx>
            <c:strRef>
              <c:f>'cash-flow-Sense'!$G$41</c:f>
              <c:strCache>
                <c:ptCount val="1"/>
                <c:pt idx="0">
                  <c:v>Revenue(£)</c:v>
                </c:pt>
              </c:strCache>
            </c:strRef>
          </c:tx>
          <c:spPr>
            <a:ln w="28575" cap="rnd">
              <a:solidFill>
                <a:schemeClr val="accent2"/>
              </a:solidFill>
              <a:round/>
            </a:ln>
            <a:effectLst/>
          </c:spPr>
          <c:marker>
            <c:symbol val="none"/>
          </c:marker>
          <c:val>
            <c:numRef>
              <c:f>'cash-flow-Sense'!$G$42:$G$63</c:f>
              <c:numCache>
                <c:formatCode>"£"#,##0_);[Red]\("£"#,##0\)</c:formatCode>
                <c:ptCount val="22"/>
                <c:pt idx="0">
                  <c:v>1150</c:v>
                </c:pt>
                <c:pt idx="1">
                  <c:v>2300</c:v>
                </c:pt>
                <c:pt idx="2">
                  <c:v>3450</c:v>
                </c:pt>
                <c:pt idx="3">
                  <c:v>4600</c:v>
                </c:pt>
                <c:pt idx="4">
                  <c:v>5750</c:v>
                </c:pt>
                <c:pt idx="5">
                  <c:v>6900</c:v>
                </c:pt>
                <c:pt idx="6">
                  <c:v>8050</c:v>
                </c:pt>
                <c:pt idx="7">
                  <c:v>9200</c:v>
                </c:pt>
                <c:pt idx="8">
                  <c:v>10350</c:v>
                </c:pt>
                <c:pt idx="9">
                  <c:v>11500</c:v>
                </c:pt>
                <c:pt idx="10">
                  <c:v>12650</c:v>
                </c:pt>
                <c:pt idx="11">
                  <c:v>13800</c:v>
                </c:pt>
                <c:pt idx="12">
                  <c:v>14950</c:v>
                </c:pt>
                <c:pt idx="13">
                  <c:v>16100</c:v>
                </c:pt>
                <c:pt idx="14">
                  <c:v>17250</c:v>
                </c:pt>
                <c:pt idx="15">
                  <c:v>18400</c:v>
                </c:pt>
                <c:pt idx="16">
                  <c:v>19550</c:v>
                </c:pt>
                <c:pt idx="17">
                  <c:v>20700</c:v>
                </c:pt>
                <c:pt idx="18">
                  <c:v>21850</c:v>
                </c:pt>
                <c:pt idx="19">
                  <c:v>23000</c:v>
                </c:pt>
                <c:pt idx="20">
                  <c:v>24150</c:v>
                </c:pt>
                <c:pt idx="21">
                  <c:v>25300</c:v>
                </c:pt>
              </c:numCache>
            </c:numRef>
          </c:val>
          <c:smooth val="0"/>
          <c:extLst>
            <c:ext xmlns:c16="http://schemas.microsoft.com/office/drawing/2014/chart" uri="{C3380CC4-5D6E-409C-BE32-E72D297353CC}">
              <c16:uniqueId val="{00000001-6AEE-4D6F-86BC-70F5FB325871}"/>
            </c:ext>
          </c:extLst>
        </c:ser>
        <c:ser>
          <c:idx val="2"/>
          <c:order val="2"/>
          <c:tx>
            <c:strRef>
              <c:f>'cash-flow-Sense'!$H$41</c:f>
              <c:strCache>
                <c:ptCount val="1"/>
                <c:pt idx="0">
                  <c:v>Variable cost (£)</c:v>
                </c:pt>
              </c:strCache>
            </c:strRef>
          </c:tx>
          <c:spPr>
            <a:ln w="28575" cap="rnd">
              <a:solidFill>
                <a:schemeClr val="accent3"/>
              </a:solidFill>
              <a:round/>
            </a:ln>
            <a:effectLst/>
          </c:spPr>
          <c:marker>
            <c:symbol val="none"/>
          </c:marker>
          <c:val>
            <c:numRef>
              <c:f>'cash-flow-Sense'!$H$42:$H$63</c:f>
              <c:numCache>
                <c:formatCode>"£"#,##0_);[Red]\("£"#,##0\)</c:formatCode>
                <c:ptCount val="22"/>
                <c:pt idx="0">
                  <c:v>250</c:v>
                </c:pt>
                <c:pt idx="1">
                  <c:v>500</c:v>
                </c:pt>
                <c:pt idx="2">
                  <c:v>750</c:v>
                </c:pt>
                <c:pt idx="3">
                  <c:v>1000</c:v>
                </c:pt>
                <c:pt idx="4">
                  <c:v>1250</c:v>
                </c:pt>
                <c:pt idx="5">
                  <c:v>1500</c:v>
                </c:pt>
                <c:pt idx="6">
                  <c:v>1750</c:v>
                </c:pt>
                <c:pt idx="7">
                  <c:v>2000</c:v>
                </c:pt>
                <c:pt idx="8">
                  <c:v>2250</c:v>
                </c:pt>
                <c:pt idx="9">
                  <c:v>2500</c:v>
                </c:pt>
                <c:pt idx="10">
                  <c:v>2750</c:v>
                </c:pt>
                <c:pt idx="11">
                  <c:v>3000</c:v>
                </c:pt>
                <c:pt idx="12">
                  <c:v>3250</c:v>
                </c:pt>
                <c:pt idx="13">
                  <c:v>3500</c:v>
                </c:pt>
                <c:pt idx="14">
                  <c:v>3750</c:v>
                </c:pt>
                <c:pt idx="15">
                  <c:v>4000</c:v>
                </c:pt>
                <c:pt idx="16">
                  <c:v>4250</c:v>
                </c:pt>
                <c:pt idx="17">
                  <c:v>4500</c:v>
                </c:pt>
                <c:pt idx="18">
                  <c:v>4750</c:v>
                </c:pt>
                <c:pt idx="19">
                  <c:v>5000</c:v>
                </c:pt>
                <c:pt idx="20">
                  <c:v>5250</c:v>
                </c:pt>
                <c:pt idx="21">
                  <c:v>5500</c:v>
                </c:pt>
              </c:numCache>
            </c:numRef>
          </c:val>
          <c:smooth val="0"/>
          <c:extLst>
            <c:ext xmlns:c16="http://schemas.microsoft.com/office/drawing/2014/chart" uri="{C3380CC4-5D6E-409C-BE32-E72D297353CC}">
              <c16:uniqueId val="{00000002-6AEE-4D6F-86BC-70F5FB325871}"/>
            </c:ext>
          </c:extLst>
        </c:ser>
        <c:ser>
          <c:idx val="3"/>
          <c:order val="3"/>
          <c:tx>
            <c:strRef>
              <c:f>'cash-flow-Sense'!$I$41</c:f>
              <c:strCache>
                <c:ptCount val="1"/>
                <c:pt idx="0">
                  <c:v>Fixed Cost (£)</c:v>
                </c:pt>
              </c:strCache>
            </c:strRef>
          </c:tx>
          <c:spPr>
            <a:ln w="28575" cap="rnd">
              <a:solidFill>
                <a:schemeClr val="accent4"/>
              </a:solidFill>
              <a:round/>
            </a:ln>
            <a:effectLst/>
          </c:spPr>
          <c:marker>
            <c:symbol val="none"/>
          </c:marker>
          <c:val>
            <c:numRef>
              <c:f>'cash-flow-Sense'!$I$42:$I$63</c:f>
              <c:numCache>
                <c:formatCode>General</c:formatCode>
                <c:ptCount val="22"/>
                <c:pt idx="0">
                  <c:v>9240</c:v>
                </c:pt>
                <c:pt idx="1">
                  <c:v>9240</c:v>
                </c:pt>
                <c:pt idx="2">
                  <c:v>9240</c:v>
                </c:pt>
                <c:pt idx="3">
                  <c:v>9240</c:v>
                </c:pt>
                <c:pt idx="4">
                  <c:v>9240</c:v>
                </c:pt>
                <c:pt idx="5">
                  <c:v>9240</c:v>
                </c:pt>
                <c:pt idx="6">
                  <c:v>9240</c:v>
                </c:pt>
                <c:pt idx="7">
                  <c:v>9240</c:v>
                </c:pt>
                <c:pt idx="8">
                  <c:v>9240</c:v>
                </c:pt>
                <c:pt idx="9">
                  <c:v>9240</c:v>
                </c:pt>
                <c:pt idx="10">
                  <c:v>9240</c:v>
                </c:pt>
                <c:pt idx="11">
                  <c:v>9240</c:v>
                </c:pt>
                <c:pt idx="12">
                  <c:v>9240</c:v>
                </c:pt>
                <c:pt idx="13">
                  <c:v>9240</c:v>
                </c:pt>
                <c:pt idx="14">
                  <c:v>9240</c:v>
                </c:pt>
                <c:pt idx="15">
                  <c:v>9240</c:v>
                </c:pt>
                <c:pt idx="16">
                  <c:v>9240</c:v>
                </c:pt>
                <c:pt idx="17">
                  <c:v>9240</c:v>
                </c:pt>
                <c:pt idx="18">
                  <c:v>9240</c:v>
                </c:pt>
                <c:pt idx="19">
                  <c:v>9240</c:v>
                </c:pt>
                <c:pt idx="20">
                  <c:v>9240</c:v>
                </c:pt>
                <c:pt idx="21">
                  <c:v>9240</c:v>
                </c:pt>
              </c:numCache>
            </c:numRef>
          </c:val>
          <c:smooth val="0"/>
          <c:extLst>
            <c:ext xmlns:c16="http://schemas.microsoft.com/office/drawing/2014/chart" uri="{C3380CC4-5D6E-409C-BE32-E72D297353CC}">
              <c16:uniqueId val="{00000003-6AEE-4D6F-86BC-70F5FB325871}"/>
            </c:ext>
          </c:extLst>
        </c:ser>
        <c:ser>
          <c:idx val="4"/>
          <c:order val="4"/>
          <c:tx>
            <c:strRef>
              <c:f>'cash-flow-Sense'!$J$41</c:f>
              <c:strCache>
                <c:ptCount val="1"/>
                <c:pt idx="0">
                  <c:v>Total Coat (£)</c:v>
                </c:pt>
              </c:strCache>
            </c:strRef>
          </c:tx>
          <c:spPr>
            <a:ln w="28575" cap="rnd">
              <a:solidFill>
                <a:schemeClr val="accent5"/>
              </a:solidFill>
              <a:round/>
            </a:ln>
            <a:effectLst/>
          </c:spPr>
          <c:marker>
            <c:symbol val="none"/>
          </c:marker>
          <c:val>
            <c:numRef>
              <c:f>'cash-flow-Sense'!$J$42:$J$63</c:f>
              <c:numCache>
                <c:formatCode>"£"#,##0_);[Red]\("£"#,##0\)</c:formatCode>
                <c:ptCount val="22"/>
                <c:pt idx="0">
                  <c:v>9490</c:v>
                </c:pt>
                <c:pt idx="1">
                  <c:v>9740</c:v>
                </c:pt>
                <c:pt idx="2">
                  <c:v>9990</c:v>
                </c:pt>
                <c:pt idx="3">
                  <c:v>10240</c:v>
                </c:pt>
                <c:pt idx="4">
                  <c:v>10490</c:v>
                </c:pt>
                <c:pt idx="5">
                  <c:v>10740</c:v>
                </c:pt>
                <c:pt idx="6">
                  <c:v>10990</c:v>
                </c:pt>
                <c:pt idx="7">
                  <c:v>11240</c:v>
                </c:pt>
                <c:pt idx="8">
                  <c:v>11490</c:v>
                </c:pt>
                <c:pt idx="9">
                  <c:v>11740</c:v>
                </c:pt>
                <c:pt idx="10">
                  <c:v>11990</c:v>
                </c:pt>
                <c:pt idx="11">
                  <c:v>12240</c:v>
                </c:pt>
                <c:pt idx="12">
                  <c:v>12490</c:v>
                </c:pt>
                <c:pt idx="13">
                  <c:v>12740</c:v>
                </c:pt>
                <c:pt idx="14">
                  <c:v>12990</c:v>
                </c:pt>
                <c:pt idx="15">
                  <c:v>13240</c:v>
                </c:pt>
                <c:pt idx="16">
                  <c:v>13490</c:v>
                </c:pt>
                <c:pt idx="17">
                  <c:v>13740</c:v>
                </c:pt>
                <c:pt idx="18">
                  <c:v>13990</c:v>
                </c:pt>
                <c:pt idx="19">
                  <c:v>14240</c:v>
                </c:pt>
                <c:pt idx="20">
                  <c:v>14490</c:v>
                </c:pt>
                <c:pt idx="21">
                  <c:v>14740</c:v>
                </c:pt>
              </c:numCache>
            </c:numRef>
          </c:val>
          <c:smooth val="0"/>
          <c:extLst>
            <c:ext xmlns:c16="http://schemas.microsoft.com/office/drawing/2014/chart" uri="{C3380CC4-5D6E-409C-BE32-E72D297353CC}">
              <c16:uniqueId val="{00000004-6AEE-4D6F-86BC-70F5FB325871}"/>
            </c:ext>
          </c:extLst>
        </c:ser>
        <c:dLbls>
          <c:showLegendKey val="0"/>
          <c:showVal val="0"/>
          <c:showCatName val="0"/>
          <c:showSerName val="0"/>
          <c:showPercent val="0"/>
          <c:showBubbleSize val="0"/>
        </c:dLbls>
        <c:smooth val="0"/>
        <c:axId val="1959133760"/>
        <c:axId val="1959134240"/>
      </c:lineChart>
      <c:catAx>
        <c:axId val="195913376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9134240"/>
        <c:crosses val="autoZero"/>
        <c:auto val="1"/>
        <c:lblAlgn val="ctr"/>
        <c:lblOffset val="100"/>
        <c:noMultiLvlLbl val="0"/>
      </c:catAx>
      <c:valAx>
        <c:axId val="1959134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9133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3666A3-832A-4E45-8325-A26C1A8714C6}"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ZW"/>
        </a:p>
      </dgm:t>
    </dgm:pt>
    <dgm:pt modelId="{EE5BD4D4-670B-4907-84FE-692F601E41E8}">
      <dgm:prSet phldrT="[Text]" custT="1"/>
      <dgm:spPr>
        <a:solidFill>
          <a:schemeClr val="accent2">
            <a:lumMod val="75000"/>
          </a:schemeClr>
        </a:solidFill>
      </dgm:spPr>
      <dgm:t>
        <a:bodyPr/>
        <a:lstStyle/>
        <a:p>
          <a:pPr algn="ctr"/>
          <a:r>
            <a:rPr lang="en-ZW" sz="1000"/>
            <a:t>Lead</a:t>
          </a:r>
          <a:r>
            <a:rPr lang="en-ZW" sz="800"/>
            <a:t> </a:t>
          </a:r>
          <a:r>
            <a:rPr lang="en-ZW" sz="1000"/>
            <a:t>Generation</a:t>
          </a:r>
        </a:p>
      </dgm:t>
    </dgm:pt>
    <dgm:pt modelId="{9009790E-C35F-493D-9E8C-3D976F628ADF}" type="parTrans" cxnId="{0D840E22-02B9-46AC-9BBB-07A3F119C286}">
      <dgm:prSet/>
      <dgm:spPr/>
      <dgm:t>
        <a:bodyPr/>
        <a:lstStyle/>
        <a:p>
          <a:pPr algn="ctr"/>
          <a:endParaRPr lang="en-ZW"/>
        </a:p>
      </dgm:t>
    </dgm:pt>
    <dgm:pt modelId="{F56F99D4-8348-4F0F-B295-595C0BB512CB}" type="sibTrans" cxnId="{0D840E22-02B9-46AC-9BBB-07A3F119C286}">
      <dgm:prSet/>
      <dgm:spPr/>
      <dgm:t>
        <a:bodyPr/>
        <a:lstStyle/>
        <a:p>
          <a:pPr algn="ctr"/>
          <a:endParaRPr lang="en-ZW"/>
        </a:p>
      </dgm:t>
    </dgm:pt>
    <dgm:pt modelId="{BD60F64E-A884-47C6-A889-DBD2FE1B479D}">
      <dgm:prSet phldrT="[Text]" custT="1"/>
      <dgm:spPr/>
      <dgm:t>
        <a:bodyPr/>
        <a:lstStyle/>
        <a:p>
          <a:pPr algn="ctr">
            <a:buNone/>
          </a:pPr>
          <a:r>
            <a:rPr lang="en-ZW" sz="1000"/>
            <a:t>Discovery</a:t>
          </a:r>
          <a:r>
            <a:rPr lang="en-ZW" sz="800"/>
            <a:t> Call</a:t>
          </a:r>
        </a:p>
      </dgm:t>
    </dgm:pt>
    <dgm:pt modelId="{CDCB4A7C-F6DF-4E16-A9FC-57F155979303}" type="parTrans" cxnId="{976321D3-C2F3-41E0-802C-1929496EFE49}">
      <dgm:prSet/>
      <dgm:spPr>
        <a:ln>
          <a:headEnd type="none" w="med" len="med"/>
          <a:tailEnd type="triangle" w="med" len="med"/>
        </a:ln>
      </dgm:spPr>
      <dgm:t>
        <a:bodyPr/>
        <a:lstStyle/>
        <a:p>
          <a:pPr algn="ctr"/>
          <a:endParaRPr lang="en-ZW"/>
        </a:p>
      </dgm:t>
    </dgm:pt>
    <dgm:pt modelId="{57204F8E-7A5B-4433-BD2B-0E106E5A5956}" type="sibTrans" cxnId="{976321D3-C2F3-41E0-802C-1929496EFE49}">
      <dgm:prSet/>
      <dgm:spPr/>
      <dgm:t>
        <a:bodyPr/>
        <a:lstStyle/>
        <a:p>
          <a:pPr algn="ctr"/>
          <a:endParaRPr lang="en-ZW"/>
        </a:p>
      </dgm:t>
    </dgm:pt>
    <dgm:pt modelId="{642B1884-DD29-4226-ADBC-73411D7F0A98}">
      <dgm:prSet phldrT="[Text]" custT="1"/>
      <dgm:spPr/>
      <dgm:t>
        <a:bodyPr/>
        <a:lstStyle/>
        <a:p>
          <a:pPr algn="ctr">
            <a:buNone/>
          </a:pPr>
          <a:r>
            <a:rPr lang="en-ZW" sz="800"/>
            <a:t> </a:t>
          </a:r>
          <a:r>
            <a:rPr lang="en-ZW" sz="1000"/>
            <a:t>Full Mortgage Application</a:t>
          </a:r>
        </a:p>
      </dgm:t>
    </dgm:pt>
    <dgm:pt modelId="{E2FA73D9-9342-4F55-A576-5DAA2A485D15}" type="sibTrans" cxnId="{E23612DD-17EF-4661-8772-421B4E710FB2}">
      <dgm:prSet/>
      <dgm:spPr/>
      <dgm:t>
        <a:bodyPr/>
        <a:lstStyle/>
        <a:p>
          <a:pPr algn="ctr"/>
          <a:endParaRPr lang="en-ZW"/>
        </a:p>
      </dgm:t>
    </dgm:pt>
    <dgm:pt modelId="{9EFEBE78-A276-4914-9F7E-B2ACF41AC1CA}" type="parTrans" cxnId="{E23612DD-17EF-4661-8772-421B4E710FB2}">
      <dgm:prSet/>
      <dgm:spPr>
        <a:ln>
          <a:headEnd type="none" w="med" len="med"/>
          <a:tailEnd type="triangle" w="med" len="med"/>
        </a:ln>
      </dgm:spPr>
      <dgm:t>
        <a:bodyPr/>
        <a:lstStyle/>
        <a:p>
          <a:pPr algn="ctr"/>
          <a:endParaRPr lang="en-ZW"/>
        </a:p>
      </dgm:t>
    </dgm:pt>
    <dgm:pt modelId="{5463386A-4E6E-48D0-8FE7-BA7FA2DCC571}">
      <dgm:prSet phldrT="[Text]" custT="1"/>
      <dgm:spPr/>
      <dgm:t>
        <a:bodyPr/>
        <a:lstStyle/>
        <a:p>
          <a:pPr algn="ctr">
            <a:buNone/>
          </a:pPr>
          <a:r>
            <a:rPr lang="en-ZW" sz="1000"/>
            <a:t>Lender processing</a:t>
          </a:r>
        </a:p>
      </dgm:t>
    </dgm:pt>
    <dgm:pt modelId="{6E6859CD-BEF6-46D1-AAE6-FD505E00FEE7}" type="parTrans" cxnId="{13A88F1C-D804-4134-9385-8B796C3D3B73}">
      <dgm:prSet/>
      <dgm:spPr>
        <a:ln>
          <a:headEnd type="none" w="med" len="med"/>
          <a:tailEnd type="triangle" w="med" len="med"/>
        </a:ln>
      </dgm:spPr>
      <dgm:t>
        <a:bodyPr/>
        <a:lstStyle/>
        <a:p>
          <a:pPr algn="ctr"/>
          <a:endParaRPr lang="en-ZW"/>
        </a:p>
      </dgm:t>
    </dgm:pt>
    <dgm:pt modelId="{5D395455-43CA-4DE2-BF15-904AC968F366}" type="sibTrans" cxnId="{13A88F1C-D804-4134-9385-8B796C3D3B73}">
      <dgm:prSet/>
      <dgm:spPr/>
      <dgm:t>
        <a:bodyPr/>
        <a:lstStyle/>
        <a:p>
          <a:pPr algn="ctr"/>
          <a:endParaRPr lang="en-ZW"/>
        </a:p>
      </dgm:t>
    </dgm:pt>
    <dgm:pt modelId="{0AC0274C-9115-43BD-8A0F-582FFDA25344}">
      <dgm:prSet phldrT="[Text]" custT="1"/>
      <dgm:spPr>
        <a:solidFill>
          <a:schemeClr val="accent5"/>
        </a:solidFill>
      </dgm:spPr>
      <dgm:t>
        <a:bodyPr/>
        <a:lstStyle/>
        <a:p>
          <a:pPr algn="ctr">
            <a:buNone/>
          </a:pPr>
          <a:r>
            <a:rPr lang="en-ZW" sz="800"/>
            <a:t>DIP Submission </a:t>
          </a:r>
        </a:p>
      </dgm:t>
    </dgm:pt>
    <dgm:pt modelId="{A779E039-8984-49F5-9AC0-F376AE6A2E54}" type="parTrans" cxnId="{878BF9A3-5D4C-43DD-A890-351D005958F2}">
      <dgm:prSet/>
      <dgm:spPr>
        <a:ln>
          <a:headEnd type="none" w="med" len="med"/>
          <a:tailEnd type="triangle" w="med" len="med"/>
        </a:ln>
      </dgm:spPr>
      <dgm:t>
        <a:bodyPr/>
        <a:lstStyle/>
        <a:p>
          <a:pPr algn="ctr"/>
          <a:endParaRPr lang="en-ZW"/>
        </a:p>
      </dgm:t>
    </dgm:pt>
    <dgm:pt modelId="{D0377851-2766-4A5B-9D1E-F57E40FC21D7}" type="sibTrans" cxnId="{878BF9A3-5D4C-43DD-A890-351D005958F2}">
      <dgm:prSet/>
      <dgm:spPr/>
      <dgm:t>
        <a:bodyPr/>
        <a:lstStyle/>
        <a:p>
          <a:pPr algn="ctr"/>
          <a:endParaRPr lang="en-ZW"/>
        </a:p>
      </dgm:t>
    </dgm:pt>
    <dgm:pt modelId="{18BD812C-FC8D-42BA-9322-F648C92FB4A8}">
      <dgm:prSet phldrT="[Text]" custT="1"/>
      <dgm:spPr/>
      <dgm:t>
        <a:bodyPr/>
        <a:lstStyle/>
        <a:p>
          <a:pPr algn="ctr">
            <a:buNone/>
          </a:pPr>
          <a:r>
            <a:rPr lang="en-ZW" sz="1000"/>
            <a:t>Completion</a:t>
          </a:r>
        </a:p>
      </dgm:t>
    </dgm:pt>
    <dgm:pt modelId="{76C8652C-B403-4CCE-B819-EC084EA9E8C1}" type="parTrans" cxnId="{794153B5-7B41-44D2-B266-DCEB1F814FF2}">
      <dgm:prSet/>
      <dgm:spPr>
        <a:ln>
          <a:headEnd type="none" w="med" len="med"/>
          <a:tailEnd type="triangle" w="med" len="med"/>
        </a:ln>
      </dgm:spPr>
      <dgm:t>
        <a:bodyPr/>
        <a:lstStyle/>
        <a:p>
          <a:pPr algn="ctr"/>
          <a:endParaRPr lang="en-ZW"/>
        </a:p>
      </dgm:t>
    </dgm:pt>
    <dgm:pt modelId="{C6CEEEDE-ED38-446C-92CF-F3CA066763EA}" type="sibTrans" cxnId="{794153B5-7B41-44D2-B266-DCEB1F814FF2}">
      <dgm:prSet/>
      <dgm:spPr/>
      <dgm:t>
        <a:bodyPr/>
        <a:lstStyle/>
        <a:p>
          <a:pPr algn="ctr"/>
          <a:endParaRPr lang="en-ZW"/>
        </a:p>
      </dgm:t>
    </dgm:pt>
    <dgm:pt modelId="{43E94D9E-8712-4234-BC6F-FD1D53D77EF6}">
      <dgm:prSet phldrT="[Text]" custT="1"/>
      <dgm:spPr/>
      <dgm:t>
        <a:bodyPr/>
        <a:lstStyle/>
        <a:p>
          <a:pPr algn="ctr">
            <a:buNone/>
          </a:pPr>
          <a:r>
            <a:rPr lang="en-ZW" sz="1000"/>
            <a:t>Protection</a:t>
          </a:r>
          <a:r>
            <a:rPr lang="en-ZW" sz="800"/>
            <a:t> </a:t>
          </a:r>
          <a:r>
            <a:rPr lang="en-ZW" sz="1000"/>
            <a:t>Review</a:t>
          </a:r>
        </a:p>
      </dgm:t>
    </dgm:pt>
    <dgm:pt modelId="{E44403F4-A398-43EA-8297-7B7FB7C5D8A3}" type="parTrans" cxnId="{E3D447D5-A537-404E-9443-ADCE171B2F5B}">
      <dgm:prSet/>
      <dgm:spPr>
        <a:ln>
          <a:headEnd type="none" w="med" len="med"/>
          <a:tailEnd type="triangle" w="med" len="med"/>
        </a:ln>
      </dgm:spPr>
      <dgm:t>
        <a:bodyPr/>
        <a:lstStyle/>
        <a:p>
          <a:pPr algn="ctr"/>
          <a:endParaRPr lang="en-ZW"/>
        </a:p>
      </dgm:t>
    </dgm:pt>
    <dgm:pt modelId="{C2C9B05D-9E07-49EC-90E3-039479529C5E}" type="sibTrans" cxnId="{E3D447D5-A537-404E-9443-ADCE171B2F5B}">
      <dgm:prSet/>
      <dgm:spPr/>
      <dgm:t>
        <a:bodyPr/>
        <a:lstStyle/>
        <a:p>
          <a:pPr algn="ctr"/>
          <a:endParaRPr lang="en-ZW"/>
        </a:p>
      </dgm:t>
    </dgm:pt>
    <dgm:pt modelId="{2D948D9D-DA9B-427F-8002-832490956498}">
      <dgm:prSet phldrT="[Text]" custT="1"/>
      <dgm:spPr>
        <a:solidFill>
          <a:schemeClr val="accent2">
            <a:lumMod val="75000"/>
          </a:schemeClr>
        </a:solidFill>
      </dgm:spPr>
      <dgm:t>
        <a:bodyPr/>
        <a:lstStyle/>
        <a:p>
          <a:pPr algn="ctr">
            <a:buNone/>
          </a:pPr>
          <a:r>
            <a:rPr lang="en-ZW" sz="1000"/>
            <a:t>Annual Mortgage Review (Aftercare)</a:t>
          </a:r>
        </a:p>
      </dgm:t>
    </dgm:pt>
    <dgm:pt modelId="{322BA46B-B580-4483-A979-51421E994D9C}" type="parTrans" cxnId="{2D551C7D-5843-488C-906E-C1B88DAC924A}">
      <dgm:prSet/>
      <dgm:spPr>
        <a:ln>
          <a:headEnd type="none" w="med" len="med"/>
          <a:tailEnd type="triangle" w="med" len="med"/>
        </a:ln>
      </dgm:spPr>
      <dgm:t>
        <a:bodyPr/>
        <a:lstStyle/>
        <a:p>
          <a:pPr algn="ctr"/>
          <a:endParaRPr lang="en-ZW"/>
        </a:p>
      </dgm:t>
    </dgm:pt>
    <dgm:pt modelId="{B87EB77F-2B3D-4D95-874A-7E024AEA00CF}" type="sibTrans" cxnId="{2D551C7D-5843-488C-906E-C1B88DAC924A}">
      <dgm:prSet/>
      <dgm:spPr/>
      <dgm:t>
        <a:bodyPr/>
        <a:lstStyle/>
        <a:p>
          <a:pPr algn="ctr"/>
          <a:endParaRPr lang="en-ZW"/>
        </a:p>
      </dgm:t>
    </dgm:pt>
    <dgm:pt modelId="{51B81188-4A5A-49FC-9272-2C14E865770D}">
      <dgm:prSet phldrT="[Text]" custT="1"/>
      <dgm:spPr>
        <a:solidFill>
          <a:schemeClr val="accent5"/>
        </a:solidFill>
      </dgm:spPr>
      <dgm:t>
        <a:bodyPr/>
        <a:lstStyle/>
        <a:p>
          <a:pPr algn="ctr"/>
          <a:r>
            <a:rPr lang="en-ZW" sz="1000"/>
            <a:t>Fact-Find</a:t>
          </a:r>
          <a:r>
            <a:rPr lang="en-ZW" sz="800"/>
            <a:t> &amp; IDV </a:t>
          </a:r>
        </a:p>
      </dgm:t>
    </dgm:pt>
    <dgm:pt modelId="{D20D0CF9-4244-43AA-A5B4-6C3186E05844}" type="parTrans" cxnId="{ADA12624-6BB3-4193-A6A1-3EB0CF53E582}">
      <dgm:prSet/>
      <dgm:spPr>
        <a:ln>
          <a:headEnd type="none" w="med" len="med"/>
          <a:tailEnd type="triangle" w="med" len="med"/>
        </a:ln>
      </dgm:spPr>
      <dgm:t>
        <a:bodyPr/>
        <a:lstStyle/>
        <a:p>
          <a:pPr algn="ctr"/>
          <a:endParaRPr lang="en-ZW"/>
        </a:p>
      </dgm:t>
    </dgm:pt>
    <dgm:pt modelId="{86245C8F-B077-4DD7-BE5C-B14E6779B824}" type="sibTrans" cxnId="{ADA12624-6BB3-4193-A6A1-3EB0CF53E582}">
      <dgm:prSet/>
      <dgm:spPr/>
      <dgm:t>
        <a:bodyPr/>
        <a:lstStyle/>
        <a:p>
          <a:pPr algn="ctr"/>
          <a:endParaRPr lang="en-ZW"/>
        </a:p>
      </dgm:t>
    </dgm:pt>
    <dgm:pt modelId="{451C4F7A-0615-4AC1-8F9D-E9932FAB69BA}">
      <dgm:prSet phldrT="[Text]" custT="1"/>
      <dgm:spPr>
        <a:solidFill>
          <a:schemeClr val="accent5"/>
        </a:solidFill>
      </dgm:spPr>
      <dgm:t>
        <a:bodyPr/>
        <a:lstStyle/>
        <a:p>
          <a:pPr algn="ctr"/>
          <a:r>
            <a:rPr lang="en-ZW" sz="1000"/>
            <a:t>Affordability &amp; Research</a:t>
          </a:r>
        </a:p>
      </dgm:t>
    </dgm:pt>
    <dgm:pt modelId="{29DCCA59-E643-4E3D-ABA4-26AD08E191DF}" type="parTrans" cxnId="{37B89668-351E-40EF-9874-D24A565423F0}">
      <dgm:prSet/>
      <dgm:spPr>
        <a:ln>
          <a:headEnd type="none" w="med" len="med"/>
          <a:tailEnd type="triangle" w="med" len="med"/>
        </a:ln>
      </dgm:spPr>
      <dgm:t>
        <a:bodyPr/>
        <a:lstStyle/>
        <a:p>
          <a:pPr algn="ctr"/>
          <a:endParaRPr lang="en-ZW"/>
        </a:p>
      </dgm:t>
    </dgm:pt>
    <dgm:pt modelId="{703AA39E-8141-423E-AF23-E61916751FBB}" type="sibTrans" cxnId="{37B89668-351E-40EF-9874-D24A565423F0}">
      <dgm:prSet/>
      <dgm:spPr/>
      <dgm:t>
        <a:bodyPr/>
        <a:lstStyle/>
        <a:p>
          <a:pPr algn="ctr"/>
          <a:endParaRPr lang="en-ZW"/>
        </a:p>
      </dgm:t>
    </dgm:pt>
    <dgm:pt modelId="{AAD4776F-EB07-4C21-92F7-76EF773CDF7D}">
      <dgm:prSet phldrT="[Text]" custT="1"/>
      <dgm:spPr>
        <a:solidFill>
          <a:schemeClr val="accent2">
            <a:lumMod val="75000"/>
          </a:schemeClr>
        </a:solidFill>
      </dgm:spPr>
      <dgm:t>
        <a:bodyPr/>
        <a:lstStyle/>
        <a:p>
          <a:pPr algn="ctr">
            <a:buNone/>
          </a:pPr>
          <a:r>
            <a:rPr lang="en-ZW" sz="1000"/>
            <a:t>offer</a:t>
          </a:r>
        </a:p>
      </dgm:t>
    </dgm:pt>
    <dgm:pt modelId="{8B228F40-E055-4423-AC87-4EB63D9D6A83}" type="parTrans" cxnId="{9A0C6990-F44C-4180-855D-31BC3D6FCA3D}">
      <dgm:prSet/>
      <dgm:spPr>
        <a:ln>
          <a:headEnd type="none" w="med" len="med"/>
          <a:tailEnd type="triangle" w="med" len="med"/>
        </a:ln>
      </dgm:spPr>
      <dgm:t>
        <a:bodyPr/>
        <a:lstStyle/>
        <a:p>
          <a:pPr algn="ctr"/>
          <a:endParaRPr lang="en-ZW"/>
        </a:p>
      </dgm:t>
    </dgm:pt>
    <dgm:pt modelId="{AC2CA14A-8956-4CC5-A82E-07FAEAC8D56C}" type="sibTrans" cxnId="{9A0C6990-F44C-4180-855D-31BC3D6FCA3D}">
      <dgm:prSet/>
      <dgm:spPr/>
      <dgm:t>
        <a:bodyPr/>
        <a:lstStyle/>
        <a:p>
          <a:pPr algn="ctr"/>
          <a:endParaRPr lang="en-ZW"/>
        </a:p>
      </dgm:t>
    </dgm:pt>
    <dgm:pt modelId="{7194F481-0506-41D5-9B2C-ADF33E83C90F}" type="pres">
      <dgm:prSet presAssocID="{B83666A3-832A-4E45-8325-A26C1A8714C6}" presName="hierChild1" presStyleCnt="0">
        <dgm:presLayoutVars>
          <dgm:orgChart val="1"/>
          <dgm:chPref val="1"/>
          <dgm:dir/>
          <dgm:animOne val="branch"/>
          <dgm:animLvl val="lvl"/>
          <dgm:resizeHandles/>
        </dgm:presLayoutVars>
      </dgm:prSet>
      <dgm:spPr/>
    </dgm:pt>
    <dgm:pt modelId="{85ED62BB-276C-457F-9426-597AC6B6718F}" type="pres">
      <dgm:prSet presAssocID="{EE5BD4D4-670B-4907-84FE-692F601E41E8}" presName="hierRoot1" presStyleCnt="0">
        <dgm:presLayoutVars>
          <dgm:hierBranch val="init"/>
        </dgm:presLayoutVars>
      </dgm:prSet>
      <dgm:spPr/>
    </dgm:pt>
    <dgm:pt modelId="{A95326E3-AE5F-4840-B445-A447485E046C}" type="pres">
      <dgm:prSet presAssocID="{EE5BD4D4-670B-4907-84FE-692F601E41E8}" presName="rootComposite1" presStyleCnt="0"/>
      <dgm:spPr/>
    </dgm:pt>
    <dgm:pt modelId="{8D39C9C7-E0B3-4948-8921-2A94788C5208}" type="pres">
      <dgm:prSet presAssocID="{EE5BD4D4-670B-4907-84FE-692F601E41E8}" presName="rootText1" presStyleLbl="node0" presStyleIdx="0" presStyleCnt="1">
        <dgm:presLayoutVars>
          <dgm:chPref val="3"/>
        </dgm:presLayoutVars>
      </dgm:prSet>
      <dgm:spPr>
        <a:prstGeom prst="flowChartAlternateProcess">
          <a:avLst/>
        </a:prstGeom>
      </dgm:spPr>
    </dgm:pt>
    <dgm:pt modelId="{E54050AD-F1C0-47B1-A82C-B9E5A891CD2D}" type="pres">
      <dgm:prSet presAssocID="{EE5BD4D4-670B-4907-84FE-692F601E41E8}" presName="rootConnector1" presStyleLbl="node1" presStyleIdx="0" presStyleCnt="0"/>
      <dgm:spPr/>
    </dgm:pt>
    <dgm:pt modelId="{AEC3AF4F-3C9F-483F-9622-3C88C6ECC9EB}" type="pres">
      <dgm:prSet presAssocID="{EE5BD4D4-670B-4907-84FE-692F601E41E8}" presName="hierChild2" presStyleCnt="0"/>
      <dgm:spPr/>
    </dgm:pt>
    <dgm:pt modelId="{BCF2B3D3-2815-4317-B805-D64C329179A2}" type="pres">
      <dgm:prSet presAssocID="{A779E039-8984-49F5-9AC0-F376AE6A2E54}" presName="Name37" presStyleLbl="parChTrans1D2" presStyleIdx="0" presStyleCnt="3"/>
      <dgm:spPr/>
    </dgm:pt>
    <dgm:pt modelId="{2F1F50B4-E6A3-4D1D-BEE9-D389E7C65FCC}" type="pres">
      <dgm:prSet presAssocID="{0AC0274C-9115-43BD-8A0F-582FFDA25344}" presName="hierRoot2" presStyleCnt="0">
        <dgm:presLayoutVars>
          <dgm:hierBranch val="init"/>
        </dgm:presLayoutVars>
      </dgm:prSet>
      <dgm:spPr/>
    </dgm:pt>
    <dgm:pt modelId="{B49A922C-6F5B-42B3-8A53-F22DBCE3F388}" type="pres">
      <dgm:prSet presAssocID="{0AC0274C-9115-43BD-8A0F-582FFDA25344}" presName="rootComposite" presStyleCnt="0"/>
      <dgm:spPr/>
    </dgm:pt>
    <dgm:pt modelId="{CFE91FB8-C296-48F9-A594-79D63D378E14}" type="pres">
      <dgm:prSet presAssocID="{0AC0274C-9115-43BD-8A0F-582FFDA25344}" presName="rootText" presStyleLbl="node2" presStyleIdx="0" presStyleCnt="3" custScaleX="101854" custScaleY="154840">
        <dgm:presLayoutVars>
          <dgm:chPref val="3"/>
        </dgm:presLayoutVars>
      </dgm:prSet>
      <dgm:spPr>
        <a:prstGeom prst="flowChartDecision">
          <a:avLst/>
        </a:prstGeom>
      </dgm:spPr>
    </dgm:pt>
    <dgm:pt modelId="{051CF941-956E-4379-9B67-0A5974A9EF33}" type="pres">
      <dgm:prSet presAssocID="{0AC0274C-9115-43BD-8A0F-582FFDA25344}" presName="rootConnector" presStyleLbl="node2" presStyleIdx="0" presStyleCnt="3"/>
      <dgm:spPr/>
    </dgm:pt>
    <dgm:pt modelId="{F05F66EF-4260-4806-863F-AA711EC7E92D}" type="pres">
      <dgm:prSet presAssocID="{0AC0274C-9115-43BD-8A0F-582FFDA25344}" presName="hierChild4" presStyleCnt="0"/>
      <dgm:spPr/>
    </dgm:pt>
    <dgm:pt modelId="{FCA9C6FD-7B6C-44D7-B2E7-5BB47FED9488}" type="pres">
      <dgm:prSet presAssocID="{76C8652C-B403-4CCE-B819-EC084EA9E8C1}" presName="Name37" presStyleLbl="parChTrans1D3" presStyleIdx="0" presStyleCnt="3"/>
      <dgm:spPr/>
    </dgm:pt>
    <dgm:pt modelId="{C9D2F7D9-5047-45A8-9A29-DF7E9CDB9558}" type="pres">
      <dgm:prSet presAssocID="{18BD812C-FC8D-42BA-9322-F648C92FB4A8}" presName="hierRoot2" presStyleCnt="0">
        <dgm:presLayoutVars>
          <dgm:hierBranch val="init"/>
        </dgm:presLayoutVars>
      </dgm:prSet>
      <dgm:spPr/>
    </dgm:pt>
    <dgm:pt modelId="{51C9A1C5-1C2C-4CFD-9100-C746B2E88D1C}" type="pres">
      <dgm:prSet presAssocID="{18BD812C-FC8D-42BA-9322-F648C92FB4A8}" presName="rootComposite" presStyleCnt="0"/>
      <dgm:spPr/>
    </dgm:pt>
    <dgm:pt modelId="{8A1995DE-C5D5-4D29-95A3-331CA9FD49F9}" type="pres">
      <dgm:prSet presAssocID="{18BD812C-FC8D-42BA-9322-F648C92FB4A8}" presName="rootText" presStyleLbl="node3" presStyleIdx="0" presStyleCnt="3">
        <dgm:presLayoutVars>
          <dgm:chPref val="3"/>
        </dgm:presLayoutVars>
      </dgm:prSet>
      <dgm:spPr/>
    </dgm:pt>
    <dgm:pt modelId="{86E9616C-EC3B-4F06-A9E3-81FCDB855822}" type="pres">
      <dgm:prSet presAssocID="{18BD812C-FC8D-42BA-9322-F648C92FB4A8}" presName="rootConnector" presStyleLbl="node3" presStyleIdx="0" presStyleCnt="3"/>
      <dgm:spPr/>
    </dgm:pt>
    <dgm:pt modelId="{5396F1A2-6400-4FD0-99E4-075E01F31EF9}" type="pres">
      <dgm:prSet presAssocID="{18BD812C-FC8D-42BA-9322-F648C92FB4A8}" presName="hierChild4" presStyleCnt="0"/>
      <dgm:spPr/>
    </dgm:pt>
    <dgm:pt modelId="{707C15A8-24BD-487D-8069-67F0BE9833FD}" type="pres">
      <dgm:prSet presAssocID="{E44403F4-A398-43EA-8297-7B7FB7C5D8A3}" presName="Name37" presStyleLbl="parChTrans1D4" presStyleIdx="0" presStyleCnt="4"/>
      <dgm:spPr/>
    </dgm:pt>
    <dgm:pt modelId="{3AC480B5-4D1A-4E28-9EF2-882E14CE400D}" type="pres">
      <dgm:prSet presAssocID="{43E94D9E-8712-4234-BC6F-FD1D53D77EF6}" presName="hierRoot2" presStyleCnt="0">
        <dgm:presLayoutVars>
          <dgm:hierBranch val="init"/>
        </dgm:presLayoutVars>
      </dgm:prSet>
      <dgm:spPr/>
    </dgm:pt>
    <dgm:pt modelId="{E99A6450-F056-4175-BA1D-361B67C70009}" type="pres">
      <dgm:prSet presAssocID="{43E94D9E-8712-4234-BC6F-FD1D53D77EF6}" presName="rootComposite" presStyleCnt="0"/>
      <dgm:spPr/>
    </dgm:pt>
    <dgm:pt modelId="{F9DE3BA2-F748-4E7D-9D06-E0651F8D11E3}" type="pres">
      <dgm:prSet presAssocID="{43E94D9E-8712-4234-BC6F-FD1D53D77EF6}" presName="rootText" presStyleLbl="node4" presStyleIdx="0" presStyleCnt="4">
        <dgm:presLayoutVars>
          <dgm:chPref val="3"/>
        </dgm:presLayoutVars>
      </dgm:prSet>
      <dgm:spPr/>
    </dgm:pt>
    <dgm:pt modelId="{C89B32B1-6D8B-4655-A341-8E86C90B34E6}" type="pres">
      <dgm:prSet presAssocID="{43E94D9E-8712-4234-BC6F-FD1D53D77EF6}" presName="rootConnector" presStyleLbl="node4" presStyleIdx="0" presStyleCnt="4"/>
      <dgm:spPr/>
    </dgm:pt>
    <dgm:pt modelId="{AC845A39-AB41-4566-A5F9-01505C128C44}" type="pres">
      <dgm:prSet presAssocID="{43E94D9E-8712-4234-BC6F-FD1D53D77EF6}" presName="hierChild4" presStyleCnt="0"/>
      <dgm:spPr/>
    </dgm:pt>
    <dgm:pt modelId="{0E689F65-AAA4-4BDC-B62D-976ABC02256B}" type="pres">
      <dgm:prSet presAssocID="{322BA46B-B580-4483-A979-51421E994D9C}" presName="Name37" presStyleLbl="parChTrans1D4" presStyleIdx="1" presStyleCnt="4"/>
      <dgm:spPr/>
    </dgm:pt>
    <dgm:pt modelId="{200AEE82-D3B4-4247-8F73-C2E977D9FA1D}" type="pres">
      <dgm:prSet presAssocID="{2D948D9D-DA9B-427F-8002-832490956498}" presName="hierRoot2" presStyleCnt="0">
        <dgm:presLayoutVars>
          <dgm:hierBranch val="init"/>
        </dgm:presLayoutVars>
      </dgm:prSet>
      <dgm:spPr/>
    </dgm:pt>
    <dgm:pt modelId="{5E72FAA3-7952-428E-BC61-D1A26A3F7673}" type="pres">
      <dgm:prSet presAssocID="{2D948D9D-DA9B-427F-8002-832490956498}" presName="rootComposite" presStyleCnt="0"/>
      <dgm:spPr/>
    </dgm:pt>
    <dgm:pt modelId="{A576C213-4291-4D5A-91D5-8255A2623D2A}" type="pres">
      <dgm:prSet presAssocID="{2D948D9D-DA9B-427F-8002-832490956498}" presName="rootText" presStyleLbl="node4" presStyleIdx="1" presStyleCnt="4" custScaleX="123300" custScaleY="122036" custLinFactNeighborY="-14277">
        <dgm:presLayoutVars>
          <dgm:chPref val="3"/>
        </dgm:presLayoutVars>
      </dgm:prSet>
      <dgm:spPr>
        <a:prstGeom prst="flowChartAlternateProcess">
          <a:avLst/>
        </a:prstGeom>
      </dgm:spPr>
    </dgm:pt>
    <dgm:pt modelId="{A0A5244D-CBA8-472E-AABA-DC670BD17346}" type="pres">
      <dgm:prSet presAssocID="{2D948D9D-DA9B-427F-8002-832490956498}" presName="rootConnector" presStyleLbl="node4" presStyleIdx="1" presStyleCnt="4"/>
      <dgm:spPr/>
    </dgm:pt>
    <dgm:pt modelId="{4377B3B9-90F6-4745-AE46-8CBE4CA6FF8F}" type="pres">
      <dgm:prSet presAssocID="{2D948D9D-DA9B-427F-8002-832490956498}" presName="hierChild4" presStyleCnt="0"/>
      <dgm:spPr/>
    </dgm:pt>
    <dgm:pt modelId="{33181CDE-7CAE-4F55-B1A5-F48A0021BA3B}" type="pres">
      <dgm:prSet presAssocID="{2D948D9D-DA9B-427F-8002-832490956498}" presName="hierChild5" presStyleCnt="0"/>
      <dgm:spPr/>
    </dgm:pt>
    <dgm:pt modelId="{F2793F41-2F01-4735-A1F3-90B502844561}" type="pres">
      <dgm:prSet presAssocID="{43E94D9E-8712-4234-BC6F-FD1D53D77EF6}" presName="hierChild5" presStyleCnt="0"/>
      <dgm:spPr/>
    </dgm:pt>
    <dgm:pt modelId="{758F48D4-2331-4E6F-89B7-7E77A6E9380F}" type="pres">
      <dgm:prSet presAssocID="{18BD812C-FC8D-42BA-9322-F648C92FB4A8}" presName="hierChild5" presStyleCnt="0"/>
      <dgm:spPr/>
    </dgm:pt>
    <dgm:pt modelId="{DF6314FC-B488-4DB3-AD45-FA00B8AC357D}" type="pres">
      <dgm:prSet presAssocID="{0AC0274C-9115-43BD-8A0F-582FFDA25344}" presName="hierChild5" presStyleCnt="0"/>
      <dgm:spPr/>
    </dgm:pt>
    <dgm:pt modelId="{B0D9DD28-EC76-460E-866C-C6FCEDC1110B}" type="pres">
      <dgm:prSet presAssocID="{CDCB4A7C-F6DF-4E16-A9FC-57F155979303}" presName="Name37" presStyleLbl="parChTrans1D2" presStyleIdx="1" presStyleCnt="3"/>
      <dgm:spPr/>
    </dgm:pt>
    <dgm:pt modelId="{2E8135A6-8809-4515-BE44-DF5F5511B5CB}" type="pres">
      <dgm:prSet presAssocID="{BD60F64E-A884-47C6-A889-DBD2FE1B479D}" presName="hierRoot2" presStyleCnt="0">
        <dgm:presLayoutVars>
          <dgm:hierBranch val="init"/>
        </dgm:presLayoutVars>
      </dgm:prSet>
      <dgm:spPr/>
    </dgm:pt>
    <dgm:pt modelId="{8B233F6B-F2F2-4277-BB19-0A5C8CE76EC0}" type="pres">
      <dgm:prSet presAssocID="{BD60F64E-A884-47C6-A889-DBD2FE1B479D}" presName="rootComposite" presStyleCnt="0"/>
      <dgm:spPr/>
    </dgm:pt>
    <dgm:pt modelId="{6F0C0B6B-8C8F-4DD1-8665-23B9E7425E22}" type="pres">
      <dgm:prSet presAssocID="{BD60F64E-A884-47C6-A889-DBD2FE1B479D}" presName="rootText" presStyleLbl="node2" presStyleIdx="1" presStyleCnt="3">
        <dgm:presLayoutVars>
          <dgm:chPref val="3"/>
        </dgm:presLayoutVars>
      </dgm:prSet>
      <dgm:spPr/>
    </dgm:pt>
    <dgm:pt modelId="{F3D9570D-EA13-48BD-832E-44A569E40D6A}" type="pres">
      <dgm:prSet presAssocID="{BD60F64E-A884-47C6-A889-DBD2FE1B479D}" presName="rootConnector" presStyleLbl="node2" presStyleIdx="1" presStyleCnt="3"/>
      <dgm:spPr/>
    </dgm:pt>
    <dgm:pt modelId="{16962D3E-5A21-4B10-9B5D-31359C05A707}" type="pres">
      <dgm:prSet presAssocID="{BD60F64E-A884-47C6-A889-DBD2FE1B479D}" presName="hierChild4" presStyleCnt="0"/>
      <dgm:spPr/>
    </dgm:pt>
    <dgm:pt modelId="{72CDE539-5AC7-45B1-9D96-955D68E3AC8A}" type="pres">
      <dgm:prSet presAssocID="{BD60F64E-A884-47C6-A889-DBD2FE1B479D}" presName="hierChild5" presStyleCnt="0"/>
      <dgm:spPr/>
    </dgm:pt>
    <dgm:pt modelId="{DC197C63-F391-4DCA-95E6-C6DAD1E197C7}" type="pres">
      <dgm:prSet presAssocID="{D20D0CF9-4244-43AA-A5B4-6C3186E05844}" presName="Name37" presStyleLbl="parChTrans1D2" presStyleIdx="2" presStyleCnt="3"/>
      <dgm:spPr/>
    </dgm:pt>
    <dgm:pt modelId="{64525E6B-66B4-4D7F-A1D6-ABDB7F1367D2}" type="pres">
      <dgm:prSet presAssocID="{51B81188-4A5A-49FC-9272-2C14E865770D}" presName="hierRoot2" presStyleCnt="0">
        <dgm:presLayoutVars>
          <dgm:hierBranch val="init"/>
        </dgm:presLayoutVars>
      </dgm:prSet>
      <dgm:spPr/>
    </dgm:pt>
    <dgm:pt modelId="{19E202D6-D24A-48D1-848B-3FAF1A248AA8}" type="pres">
      <dgm:prSet presAssocID="{51B81188-4A5A-49FC-9272-2C14E865770D}" presName="rootComposite" presStyleCnt="0"/>
      <dgm:spPr/>
    </dgm:pt>
    <dgm:pt modelId="{DC2EEB74-901D-4F83-8280-FE5103875F87}" type="pres">
      <dgm:prSet presAssocID="{51B81188-4A5A-49FC-9272-2C14E865770D}" presName="rootText" presStyleLbl="node2" presStyleIdx="2" presStyleCnt="3">
        <dgm:presLayoutVars>
          <dgm:chPref val="3"/>
        </dgm:presLayoutVars>
      </dgm:prSet>
      <dgm:spPr>
        <a:prstGeom prst="flowChartDecision">
          <a:avLst/>
        </a:prstGeom>
      </dgm:spPr>
    </dgm:pt>
    <dgm:pt modelId="{E88A1F7A-526A-4A00-89AC-0A86B07C31E0}" type="pres">
      <dgm:prSet presAssocID="{51B81188-4A5A-49FC-9272-2C14E865770D}" presName="rootConnector" presStyleLbl="node2" presStyleIdx="2" presStyleCnt="3"/>
      <dgm:spPr/>
    </dgm:pt>
    <dgm:pt modelId="{7BD43445-7273-4281-97AE-021E1C92057D}" type="pres">
      <dgm:prSet presAssocID="{51B81188-4A5A-49FC-9272-2C14E865770D}" presName="hierChild4" presStyleCnt="0"/>
      <dgm:spPr/>
    </dgm:pt>
    <dgm:pt modelId="{B57F9945-79BF-4C79-8D05-A94D6739A82D}" type="pres">
      <dgm:prSet presAssocID="{29DCCA59-E643-4E3D-ABA4-26AD08E191DF}" presName="Name37" presStyleLbl="parChTrans1D3" presStyleIdx="1" presStyleCnt="3"/>
      <dgm:spPr/>
    </dgm:pt>
    <dgm:pt modelId="{83897B84-7EBF-4C43-97DC-2E3EDFE38031}" type="pres">
      <dgm:prSet presAssocID="{451C4F7A-0615-4AC1-8F9D-E9932FAB69BA}" presName="hierRoot2" presStyleCnt="0">
        <dgm:presLayoutVars>
          <dgm:hierBranch val="init"/>
        </dgm:presLayoutVars>
      </dgm:prSet>
      <dgm:spPr/>
    </dgm:pt>
    <dgm:pt modelId="{79603F80-C898-45AF-869C-351032679FBA}" type="pres">
      <dgm:prSet presAssocID="{451C4F7A-0615-4AC1-8F9D-E9932FAB69BA}" presName="rootComposite" presStyleCnt="0"/>
      <dgm:spPr/>
    </dgm:pt>
    <dgm:pt modelId="{4E86587A-4F3E-4174-96D5-9B7063E9B524}" type="pres">
      <dgm:prSet presAssocID="{451C4F7A-0615-4AC1-8F9D-E9932FAB69BA}" presName="rootText" presStyleLbl="node3" presStyleIdx="1" presStyleCnt="3" custScaleX="130697" custScaleY="161758">
        <dgm:presLayoutVars>
          <dgm:chPref val="3"/>
        </dgm:presLayoutVars>
      </dgm:prSet>
      <dgm:spPr>
        <a:prstGeom prst="flowChartDecision">
          <a:avLst/>
        </a:prstGeom>
      </dgm:spPr>
    </dgm:pt>
    <dgm:pt modelId="{F3E20D27-5394-48FF-BF7D-67F183125755}" type="pres">
      <dgm:prSet presAssocID="{451C4F7A-0615-4AC1-8F9D-E9932FAB69BA}" presName="rootConnector" presStyleLbl="node3" presStyleIdx="1" presStyleCnt="3"/>
      <dgm:spPr/>
    </dgm:pt>
    <dgm:pt modelId="{D3302D92-0EF9-48F2-AB98-A2954A457430}" type="pres">
      <dgm:prSet presAssocID="{451C4F7A-0615-4AC1-8F9D-E9932FAB69BA}" presName="hierChild4" presStyleCnt="0"/>
      <dgm:spPr/>
    </dgm:pt>
    <dgm:pt modelId="{797D3F67-F303-4A91-B2F2-33E45FF76A57}" type="pres">
      <dgm:prSet presAssocID="{451C4F7A-0615-4AC1-8F9D-E9932FAB69BA}" presName="hierChild5" presStyleCnt="0"/>
      <dgm:spPr/>
    </dgm:pt>
    <dgm:pt modelId="{CB958548-30C2-4D21-9E69-3AC745B4895F}" type="pres">
      <dgm:prSet presAssocID="{9EFEBE78-A276-4914-9F7E-B2ACF41AC1CA}" presName="Name37" presStyleLbl="parChTrans1D3" presStyleIdx="2" presStyleCnt="3"/>
      <dgm:spPr/>
    </dgm:pt>
    <dgm:pt modelId="{6B4100F7-EF3E-4B77-BCAA-B35192BDDBE0}" type="pres">
      <dgm:prSet presAssocID="{642B1884-DD29-4226-ADBC-73411D7F0A98}" presName="hierRoot2" presStyleCnt="0">
        <dgm:presLayoutVars>
          <dgm:hierBranch val="init"/>
        </dgm:presLayoutVars>
      </dgm:prSet>
      <dgm:spPr/>
    </dgm:pt>
    <dgm:pt modelId="{43F4B782-43B8-4AC7-B84F-BD54265882EB}" type="pres">
      <dgm:prSet presAssocID="{642B1884-DD29-4226-ADBC-73411D7F0A98}" presName="rootComposite" presStyleCnt="0"/>
      <dgm:spPr/>
    </dgm:pt>
    <dgm:pt modelId="{E1D8AB86-F7E9-4D2A-A9B5-3D529CBFA2FF}" type="pres">
      <dgm:prSet presAssocID="{642B1884-DD29-4226-ADBC-73411D7F0A98}" presName="rootText" presStyleLbl="node3" presStyleIdx="2" presStyleCnt="3">
        <dgm:presLayoutVars>
          <dgm:chPref val="3"/>
        </dgm:presLayoutVars>
      </dgm:prSet>
      <dgm:spPr/>
    </dgm:pt>
    <dgm:pt modelId="{BDB534A6-F1B0-4C7E-8DB3-3F6E227912EE}" type="pres">
      <dgm:prSet presAssocID="{642B1884-DD29-4226-ADBC-73411D7F0A98}" presName="rootConnector" presStyleLbl="node3" presStyleIdx="2" presStyleCnt="3"/>
      <dgm:spPr/>
    </dgm:pt>
    <dgm:pt modelId="{C5E6F74E-2D57-47AB-95D1-9BC5516CEDA1}" type="pres">
      <dgm:prSet presAssocID="{642B1884-DD29-4226-ADBC-73411D7F0A98}" presName="hierChild4" presStyleCnt="0"/>
      <dgm:spPr/>
    </dgm:pt>
    <dgm:pt modelId="{63EC4DFD-758C-4649-9AE6-7AF9DAEA255D}" type="pres">
      <dgm:prSet presAssocID="{6E6859CD-BEF6-46D1-AAE6-FD505E00FEE7}" presName="Name37" presStyleLbl="parChTrans1D4" presStyleIdx="2" presStyleCnt="4"/>
      <dgm:spPr/>
    </dgm:pt>
    <dgm:pt modelId="{83794FA2-6A02-4139-82CD-55A478154387}" type="pres">
      <dgm:prSet presAssocID="{5463386A-4E6E-48D0-8FE7-BA7FA2DCC571}" presName="hierRoot2" presStyleCnt="0">
        <dgm:presLayoutVars>
          <dgm:hierBranch val="init"/>
        </dgm:presLayoutVars>
      </dgm:prSet>
      <dgm:spPr/>
    </dgm:pt>
    <dgm:pt modelId="{9C0DDFAD-4FF7-46D6-9928-38E1CD6A0A3A}" type="pres">
      <dgm:prSet presAssocID="{5463386A-4E6E-48D0-8FE7-BA7FA2DCC571}" presName="rootComposite" presStyleCnt="0"/>
      <dgm:spPr/>
    </dgm:pt>
    <dgm:pt modelId="{95F8D003-C7FC-49FB-9662-EE9C36311FFA}" type="pres">
      <dgm:prSet presAssocID="{5463386A-4E6E-48D0-8FE7-BA7FA2DCC571}" presName="rootText" presStyleLbl="node4" presStyleIdx="2" presStyleCnt="4">
        <dgm:presLayoutVars>
          <dgm:chPref val="3"/>
        </dgm:presLayoutVars>
      </dgm:prSet>
      <dgm:spPr/>
    </dgm:pt>
    <dgm:pt modelId="{2C52ED5C-5BE5-4F0E-A86C-88FABDCDF212}" type="pres">
      <dgm:prSet presAssocID="{5463386A-4E6E-48D0-8FE7-BA7FA2DCC571}" presName="rootConnector" presStyleLbl="node4" presStyleIdx="2" presStyleCnt="4"/>
      <dgm:spPr/>
    </dgm:pt>
    <dgm:pt modelId="{E51873DD-3363-4220-AE57-731346409342}" type="pres">
      <dgm:prSet presAssocID="{5463386A-4E6E-48D0-8FE7-BA7FA2DCC571}" presName="hierChild4" presStyleCnt="0"/>
      <dgm:spPr/>
    </dgm:pt>
    <dgm:pt modelId="{618501FA-CFF4-40CB-B549-014648015685}" type="pres">
      <dgm:prSet presAssocID="{8B228F40-E055-4423-AC87-4EB63D9D6A83}" presName="Name37" presStyleLbl="parChTrans1D4" presStyleIdx="3" presStyleCnt="4"/>
      <dgm:spPr/>
    </dgm:pt>
    <dgm:pt modelId="{E326E8B3-1F1D-4B0B-AE6A-8700F33DDE2F}" type="pres">
      <dgm:prSet presAssocID="{AAD4776F-EB07-4C21-92F7-76EF773CDF7D}" presName="hierRoot2" presStyleCnt="0">
        <dgm:presLayoutVars>
          <dgm:hierBranch val="init"/>
        </dgm:presLayoutVars>
      </dgm:prSet>
      <dgm:spPr/>
    </dgm:pt>
    <dgm:pt modelId="{DF8F4A07-EA97-4B03-9967-D1806317DBF3}" type="pres">
      <dgm:prSet presAssocID="{AAD4776F-EB07-4C21-92F7-76EF773CDF7D}" presName="rootComposite" presStyleCnt="0"/>
      <dgm:spPr/>
    </dgm:pt>
    <dgm:pt modelId="{4818EC2C-6782-4F3B-8458-5C4631966BC6}" type="pres">
      <dgm:prSet presAssocID="{AAD4776F-EB07-4C21-92F7-76EF773CDF7D}" presName="rootText" presStyleLbl="node4" presStyleIdx="3" presStyleCnt="4">
        <dgm:presLayoutVars>
          <dgm:chPref val="3"/>
        </dgm:presLayoutVars>
      </dgm:prSet>
      <dgm:spPr>
        <a:prstGeom prst="flowChartAlternateProcess">
          <a:avLst/>
        </a:prstGeom>
      </dgm:spPr>
    </dgm:pt>
    <dgm:pt modelId="{9000DC3A-5640-4D47-93D0-A20C3B2EA2CA}" type="pres">
      <dgm:prSet presAssocID="{AAD4776F-EB07-4C21-92F7-76EF773CDF7D}" presName="rootConnector" presStyleLbl="node4" presStyleIdx="3" presStyleCnt="4"/>
      <dgm:spPr/>
    </dgm:pt>
    <dgm:pt modelId="{661E5F31-FA49-4307-9AC1-03572C6090C7}" type="pres">
      <dgm:prSet presAssocID="{AAD4776F-EB07-4C21-92F7-76EF773CDF7D}" presName="hierChild4" presStyleCnt="0"/>
      <dgm:spPr/>
    </dgm:pt>
    <dgm:pt modelId="{CFDC1825-FF53-4D87-B4AF-5A5A069B830A}" type="pres">
      <dgm:prSet presAssocID="{AAD4776F-EB07-4C21-92F7-76EF773CDF7D}" presName="hierChild5" presStyleCnt="0"/>
      <dgm:spPr/>
    </dgm:pt>
    <dgm:pt modelId="{AFACECB3-6C3D-48A6-904D-7EEDD8B4C749}" type="pres">
      <dgm:prSet presAssocID="{5463386A-4E6E-48D0-8FE7-BA7FA2DCC571}" presName="hierChild5" presStyleCnt="0"/>
      <dgm:spPr/>
    </dgm:pt>
    <dgm:pt modelId="{A04F65DD-6685-454B-BB43-D7921052D4CE}" type="pres">
      <dgm:prSet presAssocID="{642B1884-DD29-4226-ADBC-73411D7F0A98}" presName="hierChild5" presStyleCnt="0"/>
      <dgm:spPr/>
    </dgm:pt>
    <dgm:pt modelId="{71E8C8D7-DEE5-4865-844F-81ACBD51B88B}" type="pres">
      <dgm:prSet presAssocID="{51B81188-4A5A-49FC-9272-2C14E865770D}" presName="hierChild5" presStyleCnt="0"/>
      <dgm:spPr/>
    </dgm:pt>
    <dgm:pt modelId="{2A00DDEE-2AA0-4CA9-A4D8-1FFDFD1D74B6}" type="pres">
      <dgm:prSet presAssocID="{EE5BD4D4-670B-4907-84FE-692F601E41E8}" presName="hierChild3" presStyleCnt="0"/>
      <dgm:spPr/>
    </dgm:pt>
  </dgm:ptLst>
  <dgm:cxnLst>
    <dgm:cxn modelId="{C7908603-EFD9-4C2D-8EA8-595612F355EE}" type="presOf" srcId="{5463386A-4E6E-48D0-8FE7-BA7FA2DCC571}" destId="{2C52ED5C-5BE5-4F0E-A86C-88FABDCDF212}" srcOrd="1" destOrd="0" presId="urn:microsoft.com/office/officeart/2005/8/layout/orgChart1"/>
    <dgm:cxn modelId="{63E9BD0A-38D5-4D2D-9971-1B7AD283FB88}" type="presOf" srcId="{9EFEBE78-A276-4914-9F7E-B2ACF41AC1CA}" destId="{CB958548-30C2-4D21-9E69-3AC745B4895F}" srcOrd="0" destOrd="0" presId="urn:microsoft.com/office/officeart/2005/8/layout/orgChart1"/>
    <dgm:cxn modelId="{0CE8370F-47BA-4B6E-9BC4-C5B6F08F5CDF}" type="presOf" srcId="{51B81188-4A5A-49FC-9272-2C14E865770D}" destId="{DC2EEB74-901D-4F83-8280-FE5103875F87}" srcOrd="0" destOrd="0" presId="urn:microsoft.com/office/officeart/2005/8/layout/orgChart1"/>
    <dgm:cxn modelId="{3007D813-199A-47AD-9B4A-9B79916523EA}" type="presOf" srcId="{BD60F64E-A884-47C6-A889-DBD2FE1B479D}" destId="{6F0C0B6B-8C8F-4DD1-8665-23B9E7425E22}" srcOrd="0" destOrd="0" presId="urn:microsoft.com/office/officeart/2005/8/layout/orgChart1"/>
    <dgm:cxn modelId="{DB477F16-8573-4D8B-8213-06C17563E6B2}" type="presOf" srcId="{8B228F40-E055-4423-AC87-4EB63D9D6A83}" destId="{618501FA-CFF4-40CB-B549-014648015685}" srcOrd="0" destOrd="0" presId="urn:microsoft.com/office/officeart/2005/8/layout/orgChart1"/>
    <dgm:cxn modelId="{91DA8419-3828-436D-89B6-D24ED08F2710}" type="presOf" srcId="{642B1884-DD29-4226-ADBC-73411D7F0A98}" destId="{E1D8AB86-F7E9-4D2A-A9B5-3D529CBFA2FF}" srcOrd="0" destOrd="0" presId="urn:microsoft.com/office/officeart/2005/8/layout/orgChart1"/>
    <dgm:cxn modelId="{13A88F1C-D804-4134-9385-8B796C3D3B73}" srcId="{642B1884-DD29-4226-ADBC-73411D7F0A98}" destId="{5463386A-4E6E-48D0-8FE7-BA7FA2DCC571}" srcOrd="0" destOrd="0" parTransId="{6E6859CD-BEF6-46D1-AAE6-FD505E00FEE7}" sibTransId="{5D395455-43CA-4DE2-BF15-904AC968F366}"/>
    <dgm:cxn modelId="{5DE20D21-112D-4C44-9955-8D59B7DCDBF4}" type="presOf" srcId="{A779E039-8984-49F5-9AC0-F376AE6A2E54}" destId="{BCF2B3D3-2815-4317-B805-D64C329179A2}" srcOrd="0" destOrd="0" presId="urn:microsoft.com/office/officeart/2005/8/layout/orgChart1"/>
    <dgm:cxn modelId="{67F8C921-5A12-4096-99D9-AE8F06A54F2A}" type="presOf" srcId="{2D948D9D-DA9B-427F-8002-832490956498}" destId="{A0A5244D-CBA8-472E-AABA-DC670BD17346}" srcOrd="1" destOrd="0" presId="urn:microsoft.com/office/officeart/2005/8/layout/orgChart1"/>
    <dgm:cxn modelId="{0D840E22-02B9-46AC-9BBB-07A3F119C286}" srcId="{B83666A3-832A-4E45-8325-A26C1A8714C6}" destId="{EE5BD4D4-670B-4907-84FE-692F601E41E8}" srcOrd="0" destOrd="0" parTransId="{9009790E-C35F-493D-9E8C-3D976F628ADF}" sibTransId="{F56F99D4-8348-4F0F-B295-595C0BB512CB}"/>
    <dgm:cxn modelId="{ADA12624-6BB3-4193-A6A1-3EB0CF53E582}" srcId="{EE5BD4D4-670B-4907-84FE-692F601E41E8}" destId="{51B81188-4A5A-49FC-9272-2C14E865770D}" srcOrd="2" destOrd="0" parTransId="{D20D0CF9-4244-43AA-A5B4-6C3186E05844}" sibTransId="{86245C8F-B077-4DD7-BE5C-B14E6779B824}"/>
    <dgm:cxn modelId="{6363E625-4D21-44A0-9A47-A1E714747DE9}" type="presOf" srcId="{AAD4776F-EB07-4C21-92F7-76EF773CDF7D}" destId="{4818EC2C-6782-4F3B-8458-5C4631966BC6}" srcOrd="0" destOrd="0" presId="urn:microsoft.com/office/officeart/2005/8/layout/orgChart1"/>
    <dgm:cxn modelId="{ED2E6430-1187-4800-A306-9D105FC46F11}" type="presOf" srcId="{451C4F7A-0615-4AC1-8F9D-E9932FAB69BA}" destId="{F3E20D27-5394-48FF-BF7D-67F183125755}" srcOrd="1" destOrd="0" presId="urn:microsoft.com/office/officeart/2005/8/layout/orgChart1"/>
    <dgm:cxn modelId="{EB2E693A-B57B-44DA-A17B-318C52463D3B}" type="presOf" srcId="{451C4F7A-0615-4AC1-8F9D-E9932FAB69BA}" destId="{4E86587A-4F3E-4174-96D5-9B7063E9B524}" srcOrd="0" destOrd="0" presId="urn:microsoft.com/office/officeart/2005/8/layout/orgChart1"/>
    <dgm:cxn modelId="{0ABF8E5D-77D7-46F9-BA0F-B4AD05353841}" type="presOf" srcId="{76C8652C-B403-4CCE-B819-EC084EA9E8C1}" destId="{FCA9C6FD-7B6C-44D7-B2E7-5BB47FED9488}" srcOrd="0" destOrd="0" presId="urn:microsoft.com/office/officeart/2005/8/layout/orgChart1"/>
    <dgm:cxn modelId="{336C6661-A435-4BEE-8811-ABD1CF8B8C17}" type="presOf" srcId="{6E6859CD-BEF6-46D1-AAE6-FD505E00FEE7}" destId="{63EC4DFD-758C-4649-9AE6-7AF9DAEA255D}" srcOrd="0" destOrd="0" presId="urn:microsoft.com/office/officeart/2005/8/layout/orgChart1"/>
    <dgm:cxn modelId="{37B89668-351E-40EF-9874-D24A565423F0}" srcId="{51B81188-4A5A-49FC-9272-2C14E865770D}" destId="{451C4F7A-0615-4AC1-8F9D-E9932FAB69BA}" srcOrd="0" destOrd="0" parTransId="{29DCCA59-E643-4E3D-ABA4-26AD08E191DF}" sibTransId="{703AA39E-8141-423E-AF23-E61916751FBB}"/>
    <dgm:cxn modelId="{DB9CED4B-3FB6-4448-8824-6C051C0DC502}" type="presOf" srcId="{0AC0274C-9115-43BD-8A0F-582FFDA25344}" destId="{051CF941-956E-4379-9B67-0A5974A9EF33}" srcOrd="1" destOrd="0" presId="urn:microsoft.com/office/officeart/2005/8/layout/orgChart1"/>
    <dgm:cxn modelId="{49983A4D-8819-4936-A274-D017E729C25C}" type="presOf" srcId="{51B81188-4A5A-49FC-9272-2C14E865770D}" destId="{E88A1F7A-526A-4A00-89AC-0A86B07C31E0}" srcOrd="1" destOrd="0" presId="urn:microsoft.com/office/officeart/2005/8/layout/orgChart1"/>
    <dgm:cxn modelId="{76CB954D-06E4-44CA-8A82-ABE4E2615954}" type="presOf" srcId="{642B1884-DD29-4226-ADBC-73411D7F0A98}" destId="{BDB534A6-F1B0-4C7E-8DB3-3F6E227912EE}" srcOrd="1" destOrd="0" presId="urn:microsoft.com/office/officeart/2005/8/layout/orgChart1"/>
    <dgm:cxn modelId="{A3910F72-ADB0-48F0-B719-060D2D78CE1C}" type="presOf" srcId="{B83666A3-832A-4E45-8325-A26C1A8714C6}" destId="{7194F481-0506-41D5-9B2C-ADF33E83C90F}" srcOrd="0" destOrd="0" presId="urn:microsoft.com/office/officeart/2005/8/layout/orgChart1"/>
    <dgm:cxn modelId="{2D551C7D-5843-488C-906E-C1B88DAC924A}" srcId="{43E94D9E-8712-4234-BC6F-FD1D53D77EF6}" destId="{2D948D9D-DA9B-427F-8002-832490956498}" srcOrd="0" destOrd="0" parTransId="{322BA46B-B580-4483-A979-51421E994D9C}" sibTransId="{B87EB77F-2B3D-4D95-874A-7E024AEA00CF}"/>
    <dgm:cxn modelId="{819D567E-771C-4FB1-9250-42C32E191083}" type="presOf" srcId="{5463386A-4E6E-48D0-8FE7-BA7FA2DCC571}" destId="{95F8D003-C7FC-49FB-9662-EE9C36311FFA}" srcOrd="0" destOrd="0" presId="urn:microsoft.com/office/officeart/2005/8/layout/orgChart1"/>
    <dgm:cxn modelId="{F002408A-BF04-4082-9B2B-E9AEEE4E06BA}" type="presOf" srcId="{E44403F4-A398-43EA-8297-7B7FB7C5D8A3}" destId="{707C15A8-24BD-487D-8069-67F0BE9833FD}" srcOrd="0" destOrd="0" presId="urn:microsoft.com/office/officeart/2005/8/layout/orgChart1"/>
    <dgm:cxn modelId="{75C1588A-3697-473B-AE4F-0F1C7D56FC69}" type="presOf" srcId="{2D948D9D-DA9B-427F-8002-832490956498}" destId="{A576C213-4291-4D5A-91D5-8255A2623D2A}" srcOrd="0" destOrd="0" presId="urn:microsoft.com/office/officeart/2005/8/layout/orgChart1"/>
    <dgm:cxn modelId="{9A0C6990-F44C-4180-855D-31BC3D6FCA3D}" srcId="{5463386A-4E6E-48D0-8FE7-BA7FA2DCC571}" destId="{AAD4776F-EB07-4C21-92F7-76EF773CDF7D}" srcOrd="0" destOrd="0" parTransId="{8B228F40-E055-4423-AC87-4EB63D9D6A83}" sibTransId="{AC2CA14A-8956-4CC5-A82E-07FAEAC8D56C}"/>
    <dgm:cxn modelId="{62CA139F-7C18-4728-918C-1FA5548E3F0E}" type="presOf" srcId="{43E94D9E-8712-4234-BC6F-FD1D53D77EF6}" destId="{C89B32B1-6D8B-4655-A341-8E86C90B34E6}" srcOrd="1" destOrd="0" presId="urn:microsoft.com/office/officeart/2005/8/layout/orgChart1"/>
    <dgm:cxn modelId="{878BF9A3-5D4C-43DD-A890-351D005958F2}" srcId="{EE5BD4D4-670B-4907-84FE-692F601E41E8}" destId="{0AC0274C-9115-43BD-8A0F-582FFDA25344}" srcOrd="0" destOrd="0" parTransId="{A779E039-8984-49F5-9AC0-F376AE6A2E54}" sibTransId="{D0377851-2766-4A5B-9D1E-F57E40FC21D7}"/>
    <dgm:cxn modelId="{2ED442A8-2CB2-4A1E-BFB2-D4FAD8F10E7F}" type="presOf" srcId="{29DCCA59-E643-4E3D-ABA4-26AD08E191DF}" destId="{B57F9945-79BF-4C79-8D05-A94D6739A82D}" srcOrd="0" destOrd="0" presId="urn:microsoft.com/office/officeart/2005/8/layout/orgChart1"/>
    <dgm:cxn modelId="{6EFFB8AF-3118-474A-A791-30997BBDBACC}" type="presOf" srcId="{EE5BD4D4-670B-4907-84FE-692F601E41E8}" destId="{E54050AD-F1C0-47B1-A82C-B9E5A891CD2D}" srcOrd="1" destOrd="0" presId="urn:microsoft.com/office/officeart/2005/8/layout/orgChart1"/>
    <dgm:cxn modelId="{41418EB4-DE64-4AFE-94DB-263D9F799F3D}" type="presOf" srcId="{BD60F64E-A884-47C6-A889-DBD2FE1B479D}" destId="{F3D9570D-EA13-48BD-832E-44A569E40D6A}" srcOrd="1" destOrd="0" presId="urn:microsoft.com/office/officeart/2005/8/layout/orgChart1"/>
    <dgm:cxn modelId="{446F1DB5-7F70-448D-93AA-69AAE1C5C989}" type="presOf" srcId="{0AC0274C-9115-43BD-8A0F-582FFDA25344}" destId="{CFE91FB8-C296-48F9-A594-79D63D378E14}" srcOrd="0" destOrd="0" presId="urn:microsoft.com/office/officeart/2005/8/layout/orgChart1"/>
    <dgm:cxn modelId="{794153B5-7B41-44D2-B266-DCEB1F814FF2}" srcId="{0AC0274C-9115-43BD-8A0F-582FFDA25344}" destId="{18BD812C-FC8D-42BA-9322-F648C92FB4A8}" srcOrd="0" destOrd="0" parTransId="{76C8652C-B403-4CCE-B819-EC084EA9E8C1}" sibTransId="{C6CEEEDE-ED38-446C-92CF-F3CA066763EA}"/>
    <dgm:cxn modelId="{E2ADD4C9-7281-4DA3-BE13-1D0C8532AD8A}" type="presOf" srcId="{322BA46B-B580-4483-A979-51421E994D9C}" destId="{0E689F65-AAA4-4BDC-B62D-976ABC02256B}" srcOrd="0" destOrd="0" presId="urn:microsoft.com/office/officeart/2005/8/layout/orgChart1"/>
    <dgm:cxn modelId="{AA02A5CF-6418-4697-8141-2C3802287E82}" type="presOf" srcId="{CDCB4A7C-F6DF-4E16-A9FC-57F155979303}" destId="{B0D9DD28-EC76-460E-866C-C6FCEDC1110B}" srcOrd="0" destOrd="0" presId="urn:microsoft.com/office/officeart/2005/8/layout/orgChart1"/>
    <dgm:cxn modelId="{976321D3-C2F3-41E0-802C-1929496EFE49}" srcId="{EE5BD4D4-670B-4907-84FE-692F601E41E8}" destId="{BD60F64E-A884-47C6-A889-DBD2FE1B479D}" srcOrd="1" destOrd="0" parTransId="{CDCB4A7C-F6DF-4E16-A9FC-57F155979303}" sibTransId="{57204F8E-7A5B-4433-BD2B-0E106E5A5956}"/>
    <dgm:cxn modelId="{B8CB29D5-8A59-4653-A1F7-8AEBF67A3745}" type="presOf" srcId="{18BD812C-FC8D-42BA-9322-F648C92FB4A8}" destId="{8A1995DE-C5D5-4D29-95A3-331CA9FD49F9}" srcOrd="0" destOrd="0" presId="urn:microsoft.com/office/officeart/2005/8/layout/orgChart1"/>
    <dgm:cxn modelId="{E3D447D5-A537-404E-9443-ADCE171B2F5B}" srcId="{18BD812C-FC8D-42BA-9322-F648C92FB4A8}" destId="{43E94D9E-8712-4234-BC6F-FD1D53D77EF6}" srcOrd="0" destOrd="0" parTransId="{E44403F4-A398-43EA-8297-7B7FB7C5D8A3}" sibTransId="{C2C9B05D-9E07-49EC-90E3-039479529C5E}"/>
    <dgm:cxn modelId="{D299D5DA-705A-4506-92F0-B57A4BC8D5F0}" type="presOf" srcId="{EE5BD4D4-670B-4907-84FE-692F601E41E8}" destId="{8D39C9C7-E0B3-4948-8921-2A94788C5208}" srcOrd="0" destOrd="0" presId="urn:microsoft.com/office/officeart/2005/8/layout/orgChart1"/>
    <dgm:cxn modelId="{E23612DD-17EF-4661-8772-421B4E710FB2}" srcId="{51B81188-4A5A-49FC-9272-2C14E865770D}" destId="{642B1884-DD29-4226-ADBC-73411D7F0A98}" srcOrd="1" destOrd="0" parTransId="{9EFEBE78-A276-4914-9F7E-B2ACF41AC1CA}" sibTransId="{E2FA73D9-9342-4F55-A576-5DAA2A485D15}"/>
    <dgm:cxn modelId="{0F68CCE7-168C-4CB0-9C24-BD704B49FE39}" type="presOf" srcId="{AAD4776F-EB07-4C21-92F7-76EF773CDF7D}" destId="{9000DC3A-5640-4D47-93D0-A20C3B2EA2CA}" srcOrd="1" destOrd="0" presId="urn:microsoft.com/office/officeart/2005/8/layout/orgChart1"/>
    <dgm:cxn modelId="{559A83ED-B111-4B64-A33A-DCBAC67CB6FE}" type="presOf" srcId="{43E94D9E-8712-4234-BC6F-FD1D53D77EF6}" destId="{F9DE3BA2-F748-4E7D-9D06-E0651F8D11E3}" srcOrd="0" destOrd="0" presId="urn:microsoft.com/office/officeart/2005/8/layout/orgChart1"/>
    <dgm:cxn modelId="{B208EFF3-43B1-47D7-999E-1441E7089477}" type="presOf" srcId="{18BD812C-FC8D-42BA-9322-F648C92FB4A8}" destId="{86E9616C-EC3B-4F06-A9E3-81FCDB855822}" srcOrd="1" destOrd="0" presId="urn:microsoft.com/office/officeart/2005/8/layout/orgChart1"/>
    <dgm:cxn modelId="{1FC7D5F6-EA21-4719-8BF2-B5F08BDDB7F3}" type="presOf" srcId="{D20D0CF9-4244-43AA-A5B4-6C3186E05844}" destId="{DC197C63-F391-4DCA-95E6-C6DAD1E197C7}" srcOrd="0" destOrd="0" presId="urn:microsoft.com/office/officeart/2005/8/layout/orgChart1"/>
    <dgm:cxn modelId="{C503B6A9-C99F-46BD-A814-BA223E3261A3}" type="presParOf" srcId="{7194F481-0506-41D5-9B2C-ADF33E83C90F}" destId="{85ED62BB-276C-457F-9426-597AC6B6718F}" srcOrd="0" destOrd="0" presId="urn:microsoft.com/office/officeart/2005/8/layout/orgChart1"/>
    <dgm:cxn modelId="{9223FF7C-8779-445A-98A8-64A24AD89CAF}" type="presParOf" srcId="{85ED62BB-276C-457F-9426-597AC6B6718F}" destId="{A95326E3-AE5F-4840-B445-A447485E046C}" srcOrd="0" destOrd="0" presId="urn:microsoft.com/office/officeart/2005/8/layout/orgChart1"/>
    <dgm:cxn modelId="{BAD2FF43-6CA4-45FC-BF39-66DF67A455AA}" type="presParOf" srcId="{A95326E3-AE5F-4840-B445-A447485E046C}" destId="{8D39C9C7-E0B3-4948-8921-2A94788C5208}" srcOrd="0" destOrd="0" presId="urn:microsoft.com/office/officeart/2005/8/layout/orgChart1"/>
    <dgm:cxn modelId="{0B50B207-56FD-4E0B-8552-8EC58E04CA1A}" type="presParOf" srcId="{A95326E3-AE5F-4840-B445-A447485E046C}" destId="{E54050AD-F1C0-47B1-A82C-B9E5A891CD2D}" srcOrd="1" destOrd="0" presId="urn:microsoft.com/office/officeart/2005/8/layout/orgChart1"/>
    <dgm:cxn modelId="{46911A67-BA29-4B19-8810-BD732C5F14A9}" type="presParOf" srcId="{85ED62BB-276C-457F-9426-597AC6B6718F}" destId="{AEC3AF4F-3C9F-483F-9622-3C88C6ECC9EB}" srcOrd="1" destOrd="0" presId="urn:microsoft.com/office/officeart/2005/8/layout/orgChart1"/>
    <dgm:cxn modelId="{1A05549D-BB60-4AF3-A752-0411FF1ABE33}" type="presParOf" srcId="{AEC3AF4F-3C9F-483F-9622-3C88C6ECC9EB}" destId="{BCF2B3D3-2815-4317-B805-D64C329179A2}" srcOrd="0" destOrd="0" presId="urn:microsoft.com/office/officeart/2005/8/layout/orgChart1"/>
    <dgm:cxn modelId="{02F98E95-BABD-4D07-A2AF-367C4A6941E9}" type="presParOf" srcId="{AEC3AF4F-3C9F-483F-9622-3C88C6ECC9EB}" destId="{2F1F50B4-E6A3-4D1D-BEE9-D389E7C65FCC}" srcOrd="1" destOrd="0" presId="urn:microsoft.com/office/officeart/2005/8/layout/orgChart1"/>
    <dgm:cxn modelId="{94735895-05CD-4467-93B7-6B43871B7C60}" type="presParOf" srcId="{2F1F50B4-E6A3-4D1D-BEE9-D389E7C65FCC}" destId="{B49A922C-6F5B-42B3-8A53-F22DBCE3F388}" srcOrd="0" destOrd="0" presId="urn:microsoft.com/office/officeart/2005/8/layout/orgChart1"/>
    <dgm:cxn modelId="{8F5F0F64-0F6F-441E-A3DF-A615C07A54C4}" type="presParOf" srcId="{B49A922C-6F5B-42B3-8A53-F22DBCE3F388}" destId="{CFE91FB8-C296-48F9-A594-79D63D378E14}" srcOrd="0" destOrd="0" presId="urn:microsoft.com/office/officeart/2005/8/layout/orgChart1"/>
    <dgm:cxn modelId="{42A545E3-E6A2-48D6-810A-CA621CF6EC7A}" type="presParOf" srcId="{B49A922C-6F5B-42B3-8A53-F22DBCE3F388}" destId="{051CF941-956E-4379-9B67-0A5974A9EF33}" srcOrd="1" destOrd="0" presId="urn:microsoft.com/office/officeart/2005/8/layout/orgChart1"/>
    <dgm:cxn modelId="{B9F08142-6B66-4217-A2C0-233F508BD4E4}" type="presParOf" srcId="{2F1F50B4-E6A3-4D1D-BEE9-D389E7C65FCC}" destId="{F05F66EF-4260-4806-863F-AA711EC7E92D}" srcOrd="1" destOrd="0" presId="urn:microsoft.com/office/officeart/2005/8/layout/orgChart1"/>
    <dgm:cxn modelId="{C15F964A-7EBF-456C-8379-F9C70BE67533}" type="presParOf" srcId="{F05F66EF-4260-4806-863F-AA711EC7E92D}" destId="{FCA9C6FD-7B6C-44D7-B2E7-5BB47FED9488}" srcOrd="0" destOrd="0" presId="urn:microsoft.com/office/officeart/2005/8/layout/orgChart1"/>
    <dgm:cxn modelId="{E2EEFB73-73D3-4A67-85BD-E23BA191DA76}" type="presParOf" srcId="{F05F66EF-4260-4806-863F-AA711EC7E92D}" destId="{C9D2F7D9-5047-45A8-9A29-DF7E9CDB9558}" srcOrd="1" destOrd="0" presId="urn:microsoft.com/office/officeart/2005/8/layout/orgChart1"/>
    <dgm:cxn modelId="{5E24CD71-1A0E-4896-97C9-245E79362D74}" type="presParOf" srcId="{C9D2F7D9-5047-45A8-9A29-DF7E9CDB9558}" destId="{51C9A1C5-1C2C-4CFD-9100-C746B2E88D1C}" srcOrd="0" destOrd="0" presId="urn:microsoft.com/office/officeart/2005/8/layout/orgChart1"/>
    <dgm:cxn modelId="{B3216F42-8756-4BB3-9998-08F33BA2F8C4}" type="presParOf" srcId="{51C9A1C5-1C2C-4CFD-9100-C746B2E88D1C}" destId="{8A1995DE-C5D5-4D29-95A3-331CA9FD49F9}" srcOrd="0" destOrd="0" presId="urn:microsoft.com/office/officeart/2005/8/layout/orgChart1"/>
    <dgm:cxn modelId="{68C81097-47DE-4EB7-8172-03C499F68065}" type="presParOf" srcId="{51C9A1C5-1C2C-4CFD-9100-C746B2E88D1C}" destId="{86E9616C-EC3B-4F06-A9E3-81FCDB855822}" srcOrd="1" destOrd="0" presId="urn:microsoft.com/office/officeart/2005/8/layout/orgChart1"/>
    <dgm:cxn modelId="{0669FB0C-B202-4F31-AC40-CF2E138F8DDB}" type="presParOf" srcId="{C9D2F7D9-5047-45A8-9A29-DF7E9CDB9558}" destId="{5396F1A2-6400-4FD0-99E4-075E01F31EF9}" srcOrd="1" destOrd="0" presId="urn:microsoft.com/office/officeart/2005/8/layout/orgChart1"/>
    <dgm:cxn modelId="{6295971A-DB45-42BB-BBFA-2CE880197915}" type="presParOf" srcId="{5396F1A2-6400-4FD0-99E4-075E01F31EF9}" destId="{707C15A8-24BD-487D-8069-67F0BE9833FD}" srcOrd="0" destOrd="0" presId="urn:microsoft.com/office/officeart/2005/8/layout/orgChart1"/>
    <dgm:cxn modelId="{A0DFF9F4-9877-4E3B-9329-4D649C2CD30F}" type="presParOf" srcId="{5396F1A2-6400-4FD0-99E4-075E01F31EF9}" destId="{3AC480B5-4D1A-4E28-9EF2-882E14CE400D}" srcOrd="1" destOrd="0" presId="urn:microsoft.com/office/officeart/2005/8/layout/orgChart1"/>
    <dgm:cxn modelId="{AC4232E2-5154-4C23-8141-2E82A6087CEA}" type="presParOf" srcId="{3AC480B5-4D1A-4E28-9EF2-882E14CE400D}" destId="{E99A6450-F056-4175-BA1D-361B67C70009}" srcOrd="0" destOrd="0" presId="urn:microsoft.com/office/officeart/2005/8/layout/orgChart1"/>
    <dgm:cxn modelId="{6AF773D2-ECDE-41C2-AADC-24F70C20AEFD}" type="presParOf" srcId="{E99A6450-F056-4175-BA1D-361B67C70009}" destId="{F9DE3BA2-F748-4E7D-9D06-E0651F8D11E3}" srcOrd="0" destOrd="0" presId="urn:microsoft.com/office/officeart/2005/8/layout/orgChart1"/>
    <dgm:cxn modelId="{50BE3E9B-FE3D-48EF-A373-49068FA02105}" type="presParOf" srcId="{E99A6450-F056-4175-BA1D-361B67C70009}" destId="{C89B32B1-6D8B-4655-A341-8E86C90B34E6}" srcOrd="1" destOrd="0" presId="urn:microsoft.com/office/officeart/2005/8/layout/orgChart1"/>
    <dgm:cxn modelId="{0193B1FD-2862-4780-934C-62592D7C38F6}" type="presParOf" srcId="{3AC480B5-4D1A-4E28-9EF2-882E14CE400D}" destId="{AC845A39-AB41-4566-A5F9-01505C128C44}" srcOrd="1" destOrd="0" presId="urn:microsoft.com/office/officeart/2005/8/layout/orgChart1"/>
    <dgm:cxn modelId="{9E2F1AB0-A0EA-4213-A634-C4C295F967F4}" type="presParOf" srcId="{AC845A39-AB41-4566-A5F9-01505C128C44}" destId="{0E689F65-AAA4-4BDC-B62D-976ABC02256B}" srcOrd="0" destOrd="0" presId="urn:microsoft.com/office/officeart/2005/8/layout/orgChart1"/>
    <dgm:cxn modelId="{789F8934-6A41-4A27-95ED-3CCCE9EE4742}" type="presParOf" srcId="{AC845A39-AB41-4566-A5F9-01505C128C44}" destId="{200AEE82-D3B4-4247-8F73-C2E977D9FA1D}" srcOrd="1" destOrd="0" presId="urn:microsoft.com/office/officeart/2005/8/layout/orgChart1"/>
    <dgm:cxn modelId="{5C83CC38-1306-4EDC-846A-9DA19ED1ECCB}" type="presParOf" srcId="{200AEE82-D3B4-4247-8F73-C2E977D9FA1D}" destId="{5E72FAA3-7952-428E-BC61-D1A26A3F7673}" srcOrd="0" destOrd="0" presId="urn:microsoft.com/office/officeart/2005/8/layout/orgChart1"/>
    <dgm:cxn modelId="{407E56FB-09AD-4188-B162-37C780A4E9A1}" type="presParOf" srcId="{5E72FAA3-7952-428E-BC61-D1A26A3F7673}" destId="{A576C213-4291-4D5A-91D5-8255A2623D2A}" srcOrd="0" destOrd="0" presId="urn:microsoft.com/office/officeart/2005/8/layout/orgChart1"/>
    <dgm:cxn modelId="{31454842-52ED-45AD-B6B0-37FDAF6AFD55}" type="presParOf" srcId="{5E72FAA3-7952-428E-BC61-D1A26A3F7673}" destId="{A0A5244D-CBA8-472E-AABA-DC670BD17346}" srcOrd="1" destOrd="0" presId="urn:microsoft.com/office/officeart/2005/8/layout/orgChart1"/>
    <dgm:cxn modelId="{DF0A42DA-6572-4F5E-90F6-87A914CBB7C8}" type="presParOf" srcId="{200AEE82-D3B4-4247-8F73-C2E977D9FA1D}" destId="{4377B3B9-90F6-4745-AE46-8CBE4CA6FF8F}" srcOrd="1" destOrd="0" presId="urn:microsoft.com/office/officeart/2005/8/layout/orgChart1"/>
    <dgm:cxn modelId="{4286B0FB-940E-421F-A9F7-F2F3F5823944}" type="presParOf" srcId="{200AEE82-D3B4-4247-8F73-C2E977D9FA1D}" destId="{33181CDE-7CAE-4F55-B1A5-F48A0021BA3B}" srcOrd="2" destOrd="0" presId="urn:microsoft.com/office/officeart/2005/8/layout/orgChart1"/>
    <dgm:cxn modelId="{44F3DEF6-77E4-4427-9893-5CFF851E7E22}" type="presParOf" srcId="{3AC480B5-4D1A-4E28-9EF2-882E14CE400D}" destId="{F2793F41-2F01-4735-A1F3-90B502844561}" srcOrd="2" destOrd="0" presId="urn:microsoft.com/office/officeart/2005/8/layout/orgChart1"/>
    <dgm:cxn modelId="{F66B3EF4-7682-4CCF-B395-59B1BBA0A872}" type="presParOf" srcId="{C9D2F7D9-5047-45A8-9A29-DF7E9CDB9558}" destId="{758F48D4-2331-4E6F-89B7-7E77A6E9380F}" srcOrd="2" destOrd="0" presId="urn:microsoft.com/office/officeart/2005/8/layout/orgChart1"/>
    <dgm:cxn modelId="{8232151E-D45B-4B9B-BE3C-421709BE1030}" type="presParOf" srcId="{2F1F50B4-E6A3-4D1D-BEE9-D389E7C65FCC}" destId="{DF6314FC-B488-4DB3-AD45-FA00B8AC357D}" srcOrd="2" destOrd="0" presId="urn:microsoft.com/office/officeart/2005/8/layout/orgChart1"/>
    <dgm:cxn modelId="{908B02FC-D9B9-4BB6-925B-91B74C1410DE}" type="presParOf" srcId="{AEC3AF4F-3C9F-483F-9622-3C88C6ECC9EB}" destId="{B0D9DD28-EC76-460E-866C-C6FCEDC1110B}" srcOrd="2" destOrd="0" presId="urn:microsoft.com/office/officeart/2005/8/layout/orgChart1"/>
    <dgm:cxn modelId="{306CDB68-99DF-4405-BBA2-DBB625EC913C}" type="presParOf" srcId="{AEC3AF4F-3C9F-483F-9622-3C88C6ECC9EB}" destId="{2E8135A6-8809-4515-BE44-DF5F5511B5CB}" srcOrd="3" destOrd="0" presId="urn:microsoft.com/office/officeart/2005/8/layout/orgChart1"/>
    <dgm:cxn modelId="{A337833C-B42A-469A-975E-9147EB689C91}" type="presParOf" srcId="{2E8135A6-8809-4515-BE44-DF5F5511B5CB}" destId="{8B233F6B-F2F2-4277-BB19-0A5C8CE76EC0}" srcOrd="0" destOrd="0" presId="urn:microsoft.com/office/officeart/2005/8/layout/orgChart1"/>
    <dgm:cxn modelId="{C76D1CFD-7172-41A6-BDE3-3ACD0670D418}" type="presParOf" srcId="{8B233F6B-F2F2-4277-BB19-0A5C8CE76EC0}" destId="{6F0C0B6B-8C8F-4DD1-8665-23B9E7425E22}" srcOrd="0" destOrd="0" presId="urn:microsoft.com/office/officeart/2005/8/layout/orgChart1"/>
    <dgm:cxn modelId="{BE6E647C-43F5-4860-8AFB-18C999B46C7E}" type="presParOf" srcId="{8B233F6B-F2F2-4277-BB19-0A5C8CE76EC0}" destId="{F3D9570D-EA13-48BD-832E-44A569E40D6A}" srcOrd="1" destOrd="0" presId="urn:microsoft.com/office/officeart/2005/8/layout/orgChart1"/>
    <dgm:cxn modelId="{27096DEA-FCD2-4FCA-B46E-CA2D97E8D5D4}" type="presParOf" srcId="{2E8135A6-8809-4515-BE44-DF5F5511B5CB}" destId="{16962D3E-5A21-4B10-9B5D-31359C05A707}" srcOrd="1" destOrd="0" presId="urn:microsoft.com/office/officeart/2005/8/layout/orgChart1"/>
    <dgm:cxn modelId="{3602C750-E086-4705-8456-8AB0F8AEC39F}" type="presParOf" srcId="{2E8135A6-8809-4515-BE44-DF5F5511B5CB}" destId="{72CDE539-5AC7-45B1-9D96-955D68E3AC8A}" srcOrd="2" destOrd="0" presId="urn:microsoft.com/office/officeart/2005/8/layout/orgChart1"/>
    <dgm:cxn modelId="{B2CA648F-6F36-4B8F-8235-5408B2A25597}" type="presParOf" srcId="{AEC3AF4F-3C9F-483F-9622-3C88C6ECC9EB}" destId="{DC197C63-F391-4DCA-95E6-C6DAD1E197C7}" srcOrd="4" destOrd="0" presId="urn:microsoft.com/office/officeart/2005/8/layout/orgChart1"/>
    <dgm:cxn modelId="{BD387753-A9B1-48C0-99CB-E4895E3FD754}" type="presParOf" srcId="{AEC3AF4F-3C9F-483F-9622-3C88C6ECC9EB}" destId="{64525E6B-66B4-4D7F-A1D6-ABDB7F1367D2}" srcOrd="5" destOrd="0" presId="urn:microsoft.com/office/officeart/2005/8/layout/orgChart1"/>
    <dgm:cxn modelId="{DD29B1A7-00EC-4A93-AA92-0F037FEAF48D}" type="presParOf" srcId="{64525E6B-66B4-4D7F-A1D6-ABDB7F1367D2}" destId="{19E202D6-D24A-48D1-848B-3FAF1A248AA8}" srcOrd="0" destOrd="0" presId="urn:microsoft.com/office/officeart/2005/8/layout/orgChart1"/>
    <dgm:cxn modelId="{6EFEAE4D-E8DC-4CE8-A7D2-DF3BB67CAAEB}" type="presParOf" srcId="{19E202D6-D24A-48D1-848B-3FAF1A248AA8}" destId="{DC2EEB74-901D-4F83-8280-FE5103875F87}" srcOrd="0" destOrd="0" presId="urn:microsoft.com/office/officeart/2005/8/layout/orgChart1"/>
    <dgm:cxn modelId="{9EC652FB-4188-4B9E-A104-1649EB8EC47F}" type="presParOf" srcId="{19E202D6-D24A-48D1-848B-3FAF1A248AA8}" destId="{E88A1F7A-526A-4A00-89AC-0A86B07C31E0}" srcOrd="1" destOrd="0" presId="urn:microsoft.com/office/officeart/2005/8/layout/orgChart1"/>
    <dgm:cxn modelId="{D8786221-3E08-42F1-A315-8F236BF5C9A8}" type="presParOf" srcId="{64525E6B-66B4-4D7F-A1D6-ABDB7F1367D2}" destId="{7BD43445-7273-4281-97AE-021E1C92057D}" srcOrd="1" destOrd="0" presId="urn:microsoft.com/office/officeart/2005/8/layout/orgChart1"/>
    <dgm:cxn modelId="{BB9F7881-F4FB-46E7-BFCE-0ABBB3EEAB48}" type="presParOf" srcId="{7BD43445-7273-4281-97AE-021E1C92057D}" destId="{B57F9945-79BF-4C79-8D05-A94D6739A82D}" srcOrd="0" destOrd="0" presId="urn:microsoft.com/office/officeart/2005/8/layout/orgChart1"/>
    <dgm:cxn modelId="{A8CCE8A0-230F-4C80-B9D5-814350B36D61}" type="presParOf" srcId="{7BD43445-7273-4281-97AE-021E1C92057D}" destId="{83897B84-7EBF-4C43-97DC-2E3EDFE38031}" srcOrd="1" destOrd="0" presId="urn:microsoft.com/office/officeart/2005/8/layout/orgChart1"/>
    <dgm:cxn modelId="{7F7F0031-E6B3-4A27-8731-A0BC9211A48A}" type="presParOf" srcId="{83897B84-7EBF-4C43-97DC-2E3EDFE38031}" destId="{79603F80-C898-45AF-869C-351032679FBA}" srcOrd="0" destOrd="0" presId="urn:microsoft.com/office/officeart/2005/8/layout/orgChart1"/>
    <dgm:cxn modelId="{CB4D94D1-67BC-45C0-9BC2-07408F367BEF}" type="presParOf" srcId="{79603F80-C898-45AF-869C-351032679FBA}" destId="{4E86587A-4F3E-4174-96D5-9B7063E9B524}" srcOrd="0" destOrd="0" presId="urn:microsoft.com/office/officeart/2005/8/layout/orgChart1"/>
    <dgm:cxn modelId="{3DBD3037-2038-4992-9C71-7706FD75C240}" type="presParOf" srcId="{79603F80-C898-45AF-869C-351032679FBA}" destId="{F3E20D27-5394-48FF-BF7D-67F183125755}" srcOrd="1" destOrd="0" presId="urn:microsoft.com/office/officeart/2005/8/layout/orgChart1"/>
    <dgm:cxn modelId="{658C04D6-4F10-42E0-BD01-098681B441C4}" type="presParOf" srcId="{83897B84-7EBF-4C43-97DC-2E3EDFE38031}" destId="{D3302D92-0EF9-48F2-AB98-A2954A457430}" srcOrd="1" destOrd="0" presId="urn:microsoft.com/office/officeart/2005/8/layout/orgChart1"/>
    <dgm:cxn modelId="{7136CB0A-4DF0-45C1-8C44-D7E9ED70F11B}" type="presParOf" srcId="{83897B84-7EBF-4C43-97DC-2E3EDFE38031}" destId="{797D3F67-F303-4A91-B2F2-33E45FF76A57}" srcOrd="2" destOrd="0" presId="urn:microsoft.com/office/officeart/2005/8/layout/orgChart1"/>
    <dgm:cxn modelId="{8666919F-B29A-4DF7-B69F-D2600A868589}" type="presParOf" srcId="{7BD43445-7273-4281-97AE-021E1C92057D}" destId="{CB958548-30C2-4D21-9E69-3AC745B4895F}" srcOrd="2" destOrd="0" presId="urn:microsoft.com/office/officeart/2005/8/layout/orgChart1"/>
    <dgm:cxn modelId="{0990802A-D468-47C4-880E-57E1B200618A}" type="presParOf" srcId="{7BD43445-7273-4281-97AE-021E1C92057D}" destId="{6B4100F7-EF3E-4B77-BCAA-B35192BDDBE0}" srcOrd="3" destOrd="0" presId="urn:microsoft.com/office/officeart/2005/8/layout/orgChart1"/>
    <dgm:cxn modelId="{E1714EC2-B81F-44E9-85DA-04B3F748966C}" type="presParOf" srcId="{6B4100F7-EF3E-4B77-BCAA-B35192BDDBE0}" destId="{43F4B782-43B8-4AC7-B84F-BD54265882EB}" srcOrd="0" destOrd="0" presId="urn:microsoft.com/office/officeart/2005/8/layout/orgChart1"/>
    <dgm:cxn modelId="{69921295-4A13-44FD-A784-BE011D6DA2A3}" type="presParOf" srcId="{43F4B782-43B8-4AC7-B84F-BD54265882EB}" destId="{E1D8AB86-F7E9-4D2A-A9B5-3D529CBFA2FF}" srcOrd="0" destOrd="0" presId="urn:microsoft.com/office/officeart/2005/8/layout/orgChart1"/>
    <dgm:cxn modelId="{D0DFCAA8-061D-4924-A004-9EBEBD01162A}" type="presParOf" srcId="{43F4B782-43B8-4AC7-B84F-BD54265882EB}" destId="{BDB534A6-F1B0-4C7E-8DB3-3F6E227912EE}" srcOrd="1" destOrd="0" presId="urn:microsoft.com/office/officeart/2005/8/layout/orgChart1"/>
    <dgm:cxn modelId="{C0143332-3179-4EC6-89D5-C596DF798429}" type="presParOf" srcId="{6B4100F7-EF3E-4B77-BCAA-B35192BDDBE0}" destId="{C5E6F74E-2D57-47AB-95D1-9BC5516CEDA1}" srcOrd="1" destOrd="0" presId="urn:microsoft.com/office/officeart/2005/8/layout/orgChart1"/>
    <dgm:cxn modelId="{6EF0434A-420E-4C10-8D20-303404A4BDE2}" type="presParOf" srcId="{C5E6F74E-2D57-47AB-95D1-9BC5516CEDA1}" destId="{63EC4DFD-758C-4649-9AE6-7AF9DAEA255D}" srcOrd="0" destOrd="0" presId="urn:microsoft.com/office/officeart/2005/8/layout/orgChart1"/>
    <dgm:cxn modelId="{4EE1EC45-CA40-4A89-836E-0100D2D662BD}" type="presParOf" srcId="{C5E6F74E-2D57-47AB-95D1-9BC5516CEDA1}" destId="{83794FA2-6A02-4139-82CD-55A478154387}" srcOrd="1" destOrd="0" presId="urn:microsoft.com/office/officeart/2005/8/layout/orgChart1"/>
    <dgm:cxn modelId="{AD209DC5-6A45-4903-99C6-71DFF9E2F37C}" type="presParOf" srcId="{83794FA2-6A02-4139-82CD-55A478154387}" destId="{9C0DDFAD-4FF7-46D6-9928-38E1CD6A0A3A}" srcOrd="0" destOrd="0" presId="urn:microsoft.com/office/officeart/2005/8/layout/orgChart1"/>
    <dgm:cxn modelId="{C6EBEF2F-2215-4063-B785-98E9F67316F5}" type="presParOf" srcId="{9C0DDFAD-4FF7-46D6-9928-38E1CD6A0A3A}" destId="{95F8D003-C7FC-49FB-9662-EE9C36311FFA}" srcOrd="0" destOrd="0" presId="urn:microsoft.com/office/officeart/2005/8/layout/orgChart1"/>
    <dgm:cxn modelId="{861A522F-EDB5-45EB-9869-66A7907B548A}" type="presParOf" srcId="{9C0DDFAD-4FF7-46D6-9928-38E1CD6A0A3A}" destId="{2C52ED5C-5BE5-4F0E-A86C-88FABDCDF212}" srcOrd="1" destOrd="0" presId="urn:microsoft.com/office/officeart/2005/8/layout/orgChart1"/>
    <dgm:cxn modelId="{3804E1CF-4C78-4A55-BDB2-82B7521DDFE4}" type="presParOf" srcId="{83794FA2-6A02-4139-82CD-55A478154387}" destId="{E51873DD-3363-4220-AE57-731346409342}" srcOrd="1" destOrd="0" presId="urn:microsoft.com/office/officeart/2005/8/layout/orgChart1"/>
    <dgm:cxn modelId="{45757602-1130-4C34-A8FC-7B88A339248A}" type="presParOf" srcId="{E51873DD-3363-4220-AE57-731346409342}" destId="{618501FA-CFF4-40CB-B549-014648015685}" srcOrd="0" destOrd="0" presId="urn:microsoft.com/office/officeart/2005/8/layout/orgChart1"/>
    <dgm:cxn modelId="{3247AFE2-C3B3-4BE1-A965-1FC9447092CC}" type="presParOf" srcId="{E51873DD-3363-4220-AE57-731346409342}" destId="{E326E8B3-1F1D-4B0B-AE6A-8700F33DDE2F}" srcOrd="1" destOrd="0" presId="urn:microsoft.com/office/officeart/2005/8/layout/orgChart1"/>
    <dgm:cxn modelId="{C12DEE7A-603B-47A8-883F-DCE9B9C12F41}" type="presParOf" srcId="{E326E8B3-1F1D-4B0B-AE6A-8700F33DDE2F}" destId="{DF8F4A07-EA97-4B03-9967-D1806317DBF3}" srcOrd="0" destOrd="0" presId="urn:microsoft.com/office/officeart/2005/8/layout/orgChart1"/>
    <dgm:cxn modelId="{D718F44E-14E6-45C8-8B15-70DD6286E256}" type="presParOf" srcId="{DF8F4A07-EA97-4B03-9967-D1806317DBF3}" destId="{4818EC2C-6782-4F3B-8458-5C4631966BC6}" srcOrd="0" destOrd="0" presId="urn:microsoft.com/office/officeart/2005/8/layout/orgChart1"/>
    <dgm:cxn modelId="{7D5B8C80-5210-4E42-B303-2B683B516F1C}" type="presParOf" srcId="{DF8F4A07-EA97-4B03-9967-D1806317DBF3}" destId="{9000DC3A-5640-4D47-93D0-A20C3B2EA2CA}" srcOrd="1" destOrd="0" presId="urn:microsoft.com/office/officeart/2005/8/layout/orgChart1"/>
    <dgm:cxn modelId="{3C33E551-2C4C-4602-8398-E3EB7C293758}" type="presParOf" srcId="{E326E8B3-1F1D-4B0B-AE6A-8700F33DDE2F}" destId="{661E5F31-FA49-4307-9AC1-03572C6090C7}" srcOrd="1" destOrd="0" presId="urn:microsoft.com/office/officeart/2005/8/layout/orgChart1"/>
    <dgm:cxn modelId="{2A68010D-F51D-46B7-B686-431B9E8190A9}" type="presParOf" srcId="{E326E8B3-1F1D-4B0B-AE6A-8700F33DDE2F}" destId="{CFDC1825-FF53-4D87-B4AF-5A5A069B830A}" srcOrd="2" destOrd="0" presId="urn:microsoft.com/office/officeart/2005/8/layout/orgChart1"/>
    <dgm:cxn modelId="{F072140C-02C2-44AA-BA53-D9A5A64CF68C}" type="presParOf" srcId="{83794FA2-6A02-4139-82CD-55A478154387}" destId="{AFACECB3-6C3D-48A6-904D-7EEDD8B4C749}" srcOrd="2" destOrd="0" presId="urn:microsoft.com/office/officeart/2005/8/layout/orgChart1"/>
    <dgm:cxn modelId="{B36D8379-566E-4666-BD75-266A98603E21}" type="presParOf" srcId="{6B4100F7-EF3E-4B77-BCAA-B35192BDDBE0}" destId="{A04F65DD-6685-454B-BB43-D7921052D4CE}" srcOrd="2" destOrd="0" presId="urn:microsoft.com/office/officeart/2005/8/layout/orgChart1"/>
    <dgm:cxn modelId="{69B23563-C1C8-4EFC-BD4D-BD7463733017}" type="presParOf" srcId="{64525E6B-66B4-4D7F-A1D6-ABDB7F1367D2}" destId="{71E8C8D7-DEE5-4865-844F-81ACBD51B88B}" srcOrd="2" destOrd="0" presId="urn:microsoft.com/office/officeart/2005/8/layout/orgChart1"/>
    <dgm:cxn modelId="{AA6F6D65-33B1-4C49-92E5-2E6D91C4E2BE}" type="presParOf" srcId="{85ED62BB-276C-457F-9426-597AC6B6718F}" destId="{2A00DDEE-2AA0-4CA9-A4D8-1FFDFD1D74B6}"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0377163-1700-4546-AB81-5D5AD8B98D93}" type="doc">
      <dgm:prSet loTypeId="urn:microsoft.com/office/officeart/2005/8/layout/list1" loCatId="list" qsTypeId="urn:microsoft.com/office/officeart/2005/8/quickstyle/simple1" qsCatId="simple" csTypeId="urn:microsoft.com/office/officeart/2005/8/colors/colorful1" csCatId="colorful" phldr="1"/>
      <dgm:spPr/>
      <dgm:t>
        <a:bodyPr/>
        <a:lstStyle/>
        <a:p>
          <a:endParaRPr lang="en-ZW"/>
        </a:p>
      </dgm:t>
    </dgm:pt>
    <dgm:pt modelId="{5DF0B0AA-A707-4318-8147-3E06EC95EE0A}">
      <dgm:prSet phldrT="[Text]" custT="1"/>
      <dgm:spPr/>
      <dgm:t>
        <a:bodyPr/>
        <a:lstStyle/>
        <a:p>
          <a:pPr>
            <a:buNone/>
          </a:pPr>
          <a:r>
            <a:rPr lang="en-ZW" sz="1200"/>
            <a:t>A registered business address and private meeting space</a:t>
          </a:r>
        </a:p>
      </dgm:t>
    </dgm:pt>
    <dgm:pt modelId="{FEAA08A4-2BE2-47EE-9FD9-1FB4AF254BE8}" type="parTrans" cxnId="{04B22567-0EF6-4004-B446-D9474715A40A}">
      <dgm:prSet/>
      <dgm:spPr/>
      <dgm:t>
        <a:bodyPr/>
        <a:lstStyle/>
        <a:p>
          <a:endParaRPr lang="en-ZW"/>
        </a:p>
      </dgm:t>
    </dgm:pt>
    <dgm:pt modelId="{3681E8EF-CB6D-454B-A185-93F47431BC4F}" type="sibTrans" cxnId="{04B22567-0EF6-4004-B446-D9474715A40A}">
      <dgm:prSet/>
      <dgm:spPr/>
      <dgm:t>
        <a:bodyPr/>
        <a:lstStyle/>
        <a:p>
          <a:endParaRPr lang="en-ZW"/>
        </a:p>
      </dgm:t>
    </dgm:pt>
    <dgm:pt modelId="{BD8643FA-043C-4F6B-8FCE-9663C3FBE33E}">
      <dgm:prSet phldrT="[Text]" custT="1"/>
      <dgm:spPr/>
      <dgm:t>
        <a:bodyPr/>
        <a:lstStyle/>
        <a:p>
          <a:pPr>
            <a:buNone/>
          </a:pPr>
          <a:r>
            <a:rPr lang="en-ZW" sz="1200"/>
            <a:t>Encrypted email and secure communication channels</a:t>
          </a:r>
        </a:p>
      </dgm:t>
    </dgm:pt>
    <dgm:pt modelId="{56CF5CCA-2490-472E-B4C3-D9BFD2D07787}" type="parTrans" cxnId="{B611C68C-9041-4772-90DF-851056DA1352}">
      <dgm:prSet/>
      <dgm:spPr/>
      <dgm:t>
        <a:bodyPr/>
        <a:lstStyle/>
        <a:p>
          <a:endParaRPr lang="en-ZW"/>
        </a:p>
      </dgm:t>
    </dgm:pt>
    <dgm:pt modelId="{B457AC93-99D1-4B8B-9999-C96B479F6994}" type="sibTrans" cxnId="{B611C68C-9041-4772-90DF-851056DA1352}">
      <dgm:prSet/>
      <dgm:spPr/>
      <dgm:t>
        <a:bodyPr/>
        <a:lstStyle/>
        <a:p>
          <a:endParaRPr lang="en-ZW"/>
        </a:p>
      </dgm:t>
    </dgm:pt>
    <dgm:pt modelId="{9C4AAF2D-69DF-4309-990E-AE6E866EB3CC}">
      <dgm:prSet phldrT="[Text]" custT="1"/>
      <dgm:spPr/>
      <dgm:t>
        <a:bodyPr/>
        <a:lstStyle/>
        <a:p>
          <a:pPr>
            <a:buNone/>
          </a:pPr>
          <a:r>
            <a:rPr lang="en-ZW" sz="1200"/>
            <a:t>Cloud-based systems for CRM, secure storage, and compliance</a:t>
          </a:r>
        </a:p>
      </dgm:t>
    </dgm:pt>
    <dgm:pt modelId="{6D53E590-9C7F-461F-96F5-FB2F439D533C}" type="parTrans" cxnId="{F472DE4B-8B65-45C6-A547-C5D915C277CF}">
      <dgm:prSet/>
      <dgm:spPr/>
      <dgm:t>
        <a:bodyPr/>
        <a:lstStyle/>
        <a:p>
          <a:endParaRPr lang="en-ZW"/>
        </a:p>
      </dgm:t>
    </dgm:pt>
    <dgm:pt modelId="{4F45B647-743D-4F49-BDF6-78BC5F580D82}" type="sibTrans" cxnId="{F472DE4B-8B65-45C6-A547-C5D915C277CF}">
      <dgm:prSet/>
      <dgm:spPr/>
      <dgm:t>
        <a:bodyPr/>
        <a:lstStyle/>
        <a:p>
          <a:endParaRPr lang="en-ZW"/>
        </a:p>
      </dgm:t>
    </dgm:pt>
    <dgm:pt modelId="{529E2711-984F-48A8-977C-F8B94ECD2129}">
      <dgm:prSet phldrT="[Text]" custT="1"/>
      <dgm:spPr/>
      <dgm:t>
        <a:bodyPr/>
        <a:lstStyle/>
        <a:p>
          <a:r>
            <a:rPr lang="en-ZW" sz="1200"/>
            <a:t>This mixed operational environment creates a cost-effective and resilient foundation for business growth.</a:t>
          </a:r>
        </a:p>
      </dgm:t>
    </dgm:pt>
    <dgm:pt modelId="{4CDE7B53-4460-4A61-B90C-EB848730B78A}" type="parTrans" cxnId="{7B7024DC-9B34-4329-BE0A-BCE3EDF045CA}">
      <dgm:prSet/>
      <dgm:spPr/>
      <dgm:t>
        <a:bodyPr/>
        <a:lstStyle/>
        <a:p>
          <a:endParaRPr lang="en-ZW"/>
        </a:p>
      </dgm:t>
    </dgm:pt>
    <dgm:pt modelId="{06B03BBB-3ACF-471A-B06C-2F968FB8A5CF}" type="sibTrans" cxnId="{7B7024DC-9B34-4329-BE0A-BCE3EDF045CA}">
      <dgm:prSet/>
      <dgm:spPr/>
      <dgm:t>
        <a:bodyPr/>
        <a:lstStyle/>
        <a:p>
          <a:endParaRPr lang="en-ZW"/>
        </a:p>
      </dgm:t>
    </dgm:pt>
    <dgm:pt modelId="{5697C9C0-C71C-43FA-9160-36C563B70E3C}">
      <dgm:prSet phldrT="[Text]" custT="1"/>
      <dgm:spPr/>
      <dgm:t>
        <a:bodyPr/>
        <a:lstStyle/>
        <a:p>
          <a:pPr>
            <a:buNone/>
          </a:pPr>
          <a:r>
            <a:rPr lang="en-ZW" sz="1200"/>
            <a:t>Digital tools for affordability assessments, sourcing, ID verification, and application submission</a:t>
          </a:r>
        </a:p>
      </dgm:t>
    </dgm:pt>
    <dgm:pt modelId="{31941BF6-96F7-4899-97D8-0FF33F1B62C1}" type="sibTrans" cxnId="{3CA88024-A2F8-4291-8F6F-726D519CAAA9}">
      <dgm:prSet/>
      <dgm:spPr/>
      <dgm:t>
        <a:bodyPr/>
        <a:lstStyle/>
        <a:p>
          <a:endParaRPr lang="en-ZW"/>
        </a:p>
      </dgm:t>
    </dgm:pt>
    <dgm:pt modelId="{B032BAF5-436B-465C-99F4-3FB70049849C}" type="parTrans" cxnId="{3CA88024-A2F8-4291-8F6F-726D519CAAA9}">
      <dgm:prSet/>
      <dgm:spPr/>
      <dgm:t>
        <a:bodyPr/>
        <a:lstStyle/>
        <a:p>
          <a:endParaRPr lang="en-ZW"/>
        </a:p>
      </dgm:t>
    </dgm:pt>
    <dgm:pt modelId="{4E999FA4-F4ED-4053-BB1F-4B3ED91B9C5B}" type="pres">
      <dgm:prSet presAssocID="{A0377163-1700-4546-AB81-5D5AD8B98D93}" presName="linear" presStyleCnt="0">
        <dgm:presLayoutVars>
          <dgm:dir/>
          <dgm:animLvl val="lvl"/>
          <dgm:resizeHandles val="exact"/>
        </dgm:presLayoutVars>
      </dgm:prSet>
      <dgm:spPr/>
    </dgm:pt>
    <dgm:pt modelId="{4101C318-ED44-4D80-8741-D0AE03F1368F}" type="pres">
      <dgm:prSet presAssocID="{5DF0B0AA-A707-4318-8147-3E06EC95EE0A}" presName="parentLin" presStyleCnt="0"/>
      <dgm:spPr/>
    </dgm:pt>
    <dgm:pt modelId="{D99502C2-CA41-4B4E-8A86-52F0274CBA66}" type="pres">
      <dgm:prSet presAssocID="{5DF0B0AA-A707-4318-8147-3E06EC95EE0A}" presName="parentLeftMargin" presStyleLbl="node1" presStyleIdx="0" presStyleCnt="5"/>
      <dgm:spPr/>
    </dgm:pt>
    <dgm:pt modelId="{9DB4C9B8-33B5-4388-80A4-0CAE088B0CB4}" type="pres">
      <dgm:prSet presAssocID="{5DF0B0AA-A707-4318-8147-3E06EC95EE0A}" presName="parentText" presStyleLbl="node1" presStyleIdx="0" presStyleCnt="5" custScaleX="102189" custScaleY="152514">
        <dgm:presLayoutVars>
          <dgm:chMax val="0"/>
          <dgm:bulletEnabled val="1"/>
        </dgm:presLayoutVars>
      </dgm:prSet>
      <dgm:spPr/>
    </dgm:pt>
    <dgm:pt modelId="{386B6D1E-DAD4-49CD-B48F-BC8F44C4A3E0}" type="pres">
      <dgm:prSet presAssocID="{5DF0B0AA-A707-4318-8147-3E06EC95EE0A}" presName="negativeSpace" presStyleCnt="0"/>
      <dgm:spPr/>
    </dgm:pt>
    <dgm:pt modelId="{B8FCCA31-B492-4431-AEC0-EB7AA9E6E263}" type="pres">
      <dgm:prSet presAssocID="{5DF0B0AA-A707-4318-8147-3E06EC95EE0A}" presName="childText" presStyleLbl="conFgAcc1" presStyleIdx="0" presStyleCnt="5">
        <dgm:presLayoutVars>
          <dgm:bulletEnabled val="1"/>
        </dgm:presLayoutVars>
      </dgm:prSet>
      <dgm:spPr/>
    </dgm:pt>
    <dgm:pt modelId="{4BADDCEA-54E2-4EC8-9DC9-CA930DEE26B9}" type="pres">
      <dgm:prSet presAssocID="{3681E8EF-CB6D-454B-A185-93F47431BC4F}" presName="spaceBetweenRectangles" presStyleCnt="0"/>
      <dgm:spPr/>
    </dgm:pt>
    <dgm:pt modelId="{E1FEABD3-7638-43E2-BAC8-D184C75826B5}" type="pres">
      <dgm:prSet presAssocID="{BD8643FA-043C-4F6B-8FCE-9663C3FBE33E}" presName="parentLin" presStyleCnt="0"/>
      <dgm:spPr/>
    </dgm:pt>
    <dgm:pt modelId="{81BBECF9-4156-44B8-ABA6-674CE7FCADCE}" type="pres">
      <dgm:prSet presAssocID="{BD8643FA-043C-4F6B-8FCE-9663C3FBE33E}" presName="parentLeftMargin" presStyleLbl="node1" presStyleIdx="0" presStyleCnt="5"/>
      <dgm:spPr/>
    </dgm:pt>
    <dgm:pt modelId="{1E28FCB7-E062-4362-BC69-99973C1F4F00}" type="pres">
      <dgm:prSet presAssocID="{BD8643FA-043C-4F6B-8FCE-9663C3FBE33E}" presName="parentText" presStyleLbl="node1" presStyleIdx="1" presStyleCnt="5" custScaleX="102189" custScaleY="140383" custLinFactNeighborX="91917" custLinFactNeighborY="0">
        <dgm:presLayoutVars>
          <dgm:chMax val="0"/>
          <dgm:bulletEnabled val="1"/>
        </dgm:presLayoutVars>
      </dgm:prSet>
      <dgm:spPr/>
    </dgm:pt>
    <dgm:pt modelId="{BEC106E6-2ADA-4779-ADCE-0F37A4D10B1A}" type="pres">
      <dgm:prSet presAssocID="{BD8643FA-043C-4F6B-8FCE-9663C3FBE33E}" presName="negativeSpace" presStyleCnt="0"/>
      <dgm:spPr/>
    </dgm:pt>
    <dgm:pt modelId="{AC58620E-8519-4C07-AFC3-AE90F24DF4C5}" type="pres">
      <dgm:prSet presAssocID="{BD8643FA-043C-4F6B-8FCE-9663C3FBE33E}" presName="childText" presStyleLbl="conFgAcc1" presStyleIdx="1" presStyleCnt="5">
        <dgm:presLayoutVars>
          <dgm:bulletEnabled val="1"/>
        </dgm:presLayoutVars>
      </dgm:prSet>
      <dgm:spPr/>
    </dgm:pt>
    <dgm:pt modelId="{BCC144B3-8424-4DFD-AA07-55C22154B8B2}" type="pres">
      <dgm:prSet presAssocID="{B457AC93-99D1-4B8B-9999-C96B479F6994}" presName="spaceBetweenRectangles" presStyleCnt="0"/>
      <dgm:spPr/>
    </dgm:pt>
    <dgm:pt modelId="{C017DE51-9E32-4384-A858-FA916F0A544F}" type="pres">
      <dgm:prSet presAssocID="{9C4AAF2D-69DF-4309-990E-AE6E866EB3CC}" presName="parentLin" presStyleCnt="0"/>
      <dgm:spPr/>
    </dgm:pt>
    <dgm:pt modelId="{0C7B7F7F-342C-4FFF-BC12-6B8F7175EF3D}" type="pres">
      <dgm:prSet presAssocID="{9C4AAF2D-69DF-4309-990E-AE6E866EB3CC}" presName="parentLeftMargin" presStyleLbl="node1" presStyleIdx="1" presStyleCnt="5"/>
      <dgm:spPr/>
    </dgm:pt>
    <dgm:pt modelId="{E081E614-43F4-4282-A928-83DC7C76A0F5}" type="pres">
      <dgm:prSet presAssocID="{9C4AAF2D-69DF-4309-990E-AE6E866EB3CC}" presName="parentText" presStyleLbl="node1" presStyleIdx="2" presStyleCnt="5" custScaleX="100199" custScaleY="135256" custLinFactX="5392" custLinFactNeighborX="100000">
        <dgm:presLayoutVars>
          <dgm:chMax val="0"/>
          <dgm:bulletEnabled val="1"/>
        </dgm:presLayoutVars>
      </dgm:prSet>
      <dgm:spPr/>
    </dgm:pt>
    <dgm:pt modelId="{27FD4B28-38CB-479C-BD96-3FB21BDBFE7F}" type="pres">
      <dgm:prSet presAssocID="{9C4AAF2D-69DF-4309-990E-AE6E866EB3CC}" presName="negativeSpace" presStyleCnt="0"/>
      <dgm:spPr/>
    </dgm:pt>
    <dgm:pt modelId="{F2BA8EAC-CE5A-49DA-A6A0-60A14FF903B5}" type="pres">
      <dgm:prSet presAssocID="{9C4AAF2D-69DF-4309-990E-AE6E866EB3CC}" presName="childText" presStyleLbl="conFgAcc1" presStyleIdx="2" presStyleCnt="5">
        <dgm:presLayoutVars>
          <dgm:bulletEnabled val="1"/>
        </dgm:presLayoutVars>
      </dgm:prSet>
      <dgm:spPr/>
    </dgm:pt>
    <dgm:pt modelId="{B0B70D96-542B-4EA7-B299-C5CF31244721}" type="pres">
      <dgm:prSet presAssocID="{4F45B647-743D-4F49-BDF6-78BC5F580D82}" presName="spaceBetweenRectangles" presStyleCnt="0"/>
      <dgm:spPr/>
    </dgm:pt>
    <dgm:pt modelId="{0AC2A37A-8B19-4118-B79C-EEA0EFC6C285}" type="pres">
      <dgm:prSet presAssocID="{5697C9C0-C71C-43FA-9160-36C563B70E3C}" presName="parentLin" presStyleCnt="0"/>
      <dgm:spPr/>
    </dgm:pt>
    <dgm:pt modelId="{D6057849-AF19-417A-B8EC-272495573150}" type="pres">
      <dgm:prSet presAssocID="{5697C9C0-C71C-43FA-9160-36C563B70E3C}" presName="parentLeftMargin" presStyleLbl="node1" presStyleIdx="2" presStyleCnt="5"/>
      <dgm:spPr/>
    </dgm:pt>
    <dgm:pt modelId="{08E25D93-D652-4BAD-9B37-DD37285D582E}" type="pres">
      <dgm:prSet presAssocID="{5697C9C0-C71C-43FA-9160-36C563B70E3C}" presName="parentText" presStyleLbl="node1" presStyleIdx="3" presStyleCnt="5" custScaleX="100771" custScaleY="165389" custLinFactX="8989" custLinFactNeighborX="100000" custLinFactNeighborY="11473">
        <dgm:presLayoutVars>
          <dgm:chMax val="0"/>
          <dgm:bulletEnabled val="1"/>
        </dgm:presLayoutVars>
      </dgm:prSet>
      <dgm:spPr/>
    </dgm:pt>
    <dgm:pt modelId="{67CC8A55-535D-4482-B8FB-BF9CD6C57BB3}" type="pres">
      <dgm:prSet presAssocID="{5697C9C0-C71C-43FA-9160-36C563B70E3C}" presName="negativeSpace" presStyleCnt="0"/>
      <dgm:spPr/>
    </dgm:pt>
    <dgm:pt modelId="{550A666E-D995-4C75-9054-4B2B236B71A2}" type="pres">
      <dgm:prSet presAssocID="{5697C9C0-C71C-43FA-9160-36C563B70E3C}" presName="childText" presStyleLbl="conFgAcc1" presStyleIdx="3" presStyleCnt="5">
        <dgm:presLayoutVars>
          <dgm:bulletEnabled val="1"/>
        </dgm:presLayoutVars>
      </dgm:prSet>
      <dgm:spPr/>
    </dgm:pt>
    <dgm:pt modelId="{47E638F7-D184-4636-AD30-0D82F69B8FE7}" type="pres">
      <dgm:prSet presAssocID="{31941BF6-96F7-4899-97D8-0FF33F1B62C1}" presName="spaceBetweenRectangles" presStyleCnt="0"/>
      <dgm:spPr/>
    </dgm:pt>
    <dgm:pt modelId="{C3DF96B4-5D71-4CB5-887C-3EB34F6B753F}" type="pres">
      <dgm:prSet presAssocID="{529E2711-984F-48A8-977C-F8B94ECD2129}" presName="parentLin" presStyleCnt="0"/>
      <dgm:spPr/>
    </dgm:pt>
    <dgm:pt modelId="{E1ED6380-4E39-4C1F-9783-C80B5A246F57}" type="pres">
      <dgm:prSet presAssocID="{529E2711-984F-48A8-977C-F8B94ECD2129}" presName="parentLeftMargin" presStyleLbl="node1" presStyleIdx="3" presStyleCnt="5"/>
      <dgm:spPr/>
    </dgm:pt>
    <dgm:pt modelId="{88A92B0A-6ADA-4F80-9ED1-1D304E6F912E}" type="pres">
      <dgm:prSet presAssocID="{529E2711-984F-48A8-977C-F8B94ECD2129}" presName="parentText" presStyleLbl="node1" presStyleIdx="4" presStyleCnt="5" custScaleX="102785" custScaleY="143496" custLinFactX="16335" custLinFactNeighborX="100000" custLinFactNeighborY="16492">
        <dgm:presLayoutVars>
          <dgm:chMax val="0"/>
          <dgm:bulletEnabled val="1"/>
        </dgm:presLayoutVars>
      </dgm:prSet>
      <dgm:spPr/>
    </dgm:pt>
    <dgm:pt modelId="{B83C4EF6-7C47-4A02-BAA4-212138E30E48}" type="pres">
      <dgm:prSet presAssocID="{529E2711-984F-48A8-977C-F8B94ECD2129}" presName="negativeSpace" presStyleCnt="0"/>
      <dgm:spPr/>
    </dgm:pt>
    <dgm:pt modelId="{A5DAA7F3-6600-44B6-ACED-44CD6346E065}" type="pres">
      <dgm:prSet presAssocID="{529E2711-984F-48A8-977C-F8B94ECD2129}" presName="childText" presStyleLbl="conFgAcc1" presStyleIdx="4" presStyleCnt="5">
        <dgm:presLayoutVars>
          <dgm:bulletEnabled val="1"/>
        </dgm:presLayoutVars>
      </dgm:prSet>
      <dgm:spPr/>
    </dgm:pt>
  </dgm:ptLst>
  <dgm:cxnLst>
    <dgm:cxn modelId="{C591F401-2E69-408E-A110-B8A1EB7E3CB0}" type="presOf" srcId="{9C4AAF2D-69DF-4309-990E-AE6E866EB3CC}" destId="{E081E614-43F4-4282-A928-83DC7C76A0F5}" srcOrd="1" destOrd="0" presId="urn:microsoft.com/office/officeart/2005/8/layout/list1"/>
    <dgm:cxn modelId="{3CA88024-A2F8-4291-8F6F-726D519CAAA9}" srcId="{A0377163-1700-4546-AB81-5D5AD8B98D93}" destId="{5697C9C0-C71C-43FA-9160-36C563B70E3C}" srcOrd="3" destOrd="0" parTransId="{B032BAF5-436B-465C-99F4-3FB70049849C}" sibTransId="{31941BF6-96F7-4899-97D8-0FF33F1B62C1}"/>
    <dgm:cxn modelId="{2AD90B42-A73F-420C-B036-4FCE2AA47D93}" type="presOf" srcId="{529E2711-984F-48A8-977C-F8B94ECD2129}" destId="{88A92B0A-6ADA-4F80-9ED1-1D304E6F912E}" srcOrd="1" destOrd="0" presId="urn:microsoft.com/office/officeart/2005/8/layout/list1"/>
    <dgm:cxn modelId="{04B22567-0EF6-4004-B446-D9474715A40A}" srcId="{A0377163-1700-4546-AB81-5D5AD8B98D93}" destId="{5DF0B0AA-A707-4318-8147-3E06EC95EE0A}" srcOrd="0" destOrd="0" parTransId="{FEAA08A4-2BE2-47EE-9FD9-1FB4AF254BE8}" sibTransId="{3681E8EF-CB6D-454B-A185-93F47431BC4F}"/>
    <dgm:cxn modelId="{F472DE4B-8B65-45C6-A547-C5D915C277CF}" srcId="{A0377163-1700-4546-AB81-5D5AD8B98D93}" destId="{9C4AAF2D-69DF-4309-990E-AE6E866EB3CC}" srcOrd="2" destOrd="0" parTransId="{6D53E590-9C7F-461F-96F5-FB2F439D533C}" sibTransId="{4F45B647-743D-4F49-BDF6-78BC5F580D82}"/>
    <dgm:cxn modelId="{60A9DB4C-4672-4FAE-9D58-24E3B37E18F1}" type="presOf" srcId="{5697C9C0-C71C-43FA-9160-36C563B70E3C}" destId="{08E25D93-D652-4BAD-9B37-DD37285D582E}" srcOrd="1" destOrd="0" presId="urn:microsoft.com/office/officeart/2005/8/layout/list1"/>
    <dgm:cxn modelId="{0ABE414D-27DF-4F92-BD83-03A3B4A9171B}" type="presOf" srcId="{9C4AAF2D-69DF-4309-990E-AE6E866EB3CC}" destId="{0C7B7F7F-342C-4FFF-BC12-6B8F7175EF3D}" srcOrd="0" destOrd="0" presId="urn:microsoft.com/office/officeart/2005/8/layout/list1"/>
    <dgm:cxn modelId="{31CCE54E-7127-4186-B086-A0A387A40778}" type="presOf" srcId="{5DF0B0AA-A707-4318-8147-3E06EC95EE0A}" destId="{9DB4C9B8-33B5-4388-80A4-0CAE088B0CB4}" srcOrd="1" destOrd="0" presId="urn:microsoft.com/office/officeart/2005/8/layout/list1"/>
    <dgm:cxn modelId="{293BE783-DD8B-4C85-AF9C-926E9843C6E6}" type="presOf" srcId="{A0377163-1700-4546-AB81-5D5AD8B98D93}" destId="{4E999FA4-F4ED-4053-BB1F-4B3ED91B9C5B}" srcOrd="0" destOrd="0" presId="urn:microsoft.com/office/officeart/2005/8/layout/list1"/>
    <dgm:cxn modelId="{B611C68C-9041-4772-90DF-851056DA1352}" srcId="{A0377163-1700-4546-AB81-5D5AD8B98D93}" destId="{BD8643FA-043C-4F6B-8FCE-9663C3FBE33E}" srcOrd="1" destOrd="0" parTransId="{56CF5CCA-2490-472E-B4C3-D9BFD2D07787}" sibTransId="{B457AC93-99D1-4B8B-9999-C96B479F6994}"/>
    <dgm:cxn modelId="{C36E7493-5156-44FB-A980-F6EE8044255D}" type="presOf" srcId="{BD8643FA-043C-4F6B-8FCE-9663C3FBE33E}" destId="{1E28FCB7-E062-4362-BC69-99973C1F4F00}" srcOrd="1" destOrd="0" presId="urn:microsoft.com/office/officeart/2005/8/layout/list1"/>
    <dgm:cxn modelId="{B088F9A0-F653-43F1-BEC9-53013E81FDDC}" type="presOf" srcId="{529E2711-984F-48A8-977C-F8B94ECD2129}" destId="{E1ED6380-4E39-4C1F-9783-C80B5A246F57}" srcOrd="0" destOrd="0" presId="urn:microsoft.com/office/officeart/2005/8/layout/list1"/>
    <dgm:cxn modelId="{4083FBBA-190E-497B-891E-6E8D49CE1E68}" type="presOf" srcId="{5DF0B0AA-A707-4318-8147-3E06EC95EE0A}" destId="{D99502C2-CA41-4B4E-8A86-52F0274CBA66}" srcOrd="0" destOrd="0" presId="urn:microsoft.com/office/officeart/2005/8/layout/list1"/>
    <dgm:cxn modelId="{7B7024DC-9B34-4329-BE0A-BCE3EDF045CA}" srcId="{A0377163-1700-4546-AB81-5D5AD8B98D93}" destId="{529E2711-984F-48A8-977C-F8B94ECD2129}" srcOrd="4" destOrd="0" parTransId="{4CDE7B53-4460-4A61-B90C-EB848730B78A}" sibTransId="{06B03BBB-3ACF-471A-B06C-2F968FB8A5CF}"/>
    <dgm:cxn modelId="{28B47CF2-A057-42D2-AFFD-363E9910D83B}" type="presOf" srcId="{BD8643FA-043C-4F6B-8FCE-9663C3FBE33E}" destId="{81BBECF9-4156-44B8-ABA6-674CE7FCADCE}" srcOrd="0" destOrd="0" presId="urn:microsoft.com/office/officeart/2005/8/layout/list1"/>
    <dgm:cxn modelId="{13029AFB-942C-4888-A509-5C880E7CC65E}" type="presOf" srcId="{5697C9C0-C71C-43FA-9160-36C563B70E3C}" destId="{D6057849-AF19-417A-B8EC-272495573150}" srcOrd="0" destOrd="0" presId="urn:microsoft.com/office/officeart/2005/8/layout/list1"/>
    <dgm:cxn modelId="{AFE3103A-F6D9-4D81-A5D7-2C917A7EB9ED}" type="presParOf" srcId="{4E999FA4-F4ED-4053-BB1F-4B3ED91B9C5B}" destId="{4101C318-ED44-4D80-8741-D0AE03F1368F}" srcOrd="0" destOrd="0" presId="urn:microsoft.com/office/officeart/2005/8/layout/list1"/>
    <dgm:cxn modelId="{D7766E07-DEB9-48EE-BDE1-AD8D061A1BAD}" type="presParOf" srcId="{4101C318-ED44-4D80-8741-D0AE03F1368F}" destId="{D99502C2-CA41-4B4E-8A86-52F0274CBA66}" srcOrd="0" destOrd="0" presId="urn:microsoft.com/office/officeart/2005/8/layout/list1"/>
    <dgm:cxn modelId="{AE42ED5D-B41A-4606-95D7-A5B3C2FD87D0}" type="presParOf" srcId="{4101C318-ED44-4D80-8741-D0AE03F1368F}" destId="{9DB4C9B8-33B5-4388-80A4-0CAE088B0CB4}" srcOrd="1" destOrd="0" presId="urn:microsoft.com/office/officeart/2005/8/layout/list1"/>
    <dgm:cxn modelId="{48FBAED0-97F1-46A8-81F5-C0293ED22F3A}" type="presParOf" srcId="{4E999FA4-F4ED-4053-BB1F-4B3ED91B9C5B}" destId="{386B6D1E-DAD4-49CD-B48F-BC8F44C4A3E0}" srcOrd="1" destOrd="0" presId="urn:microsoft.com/office/officeart/2005/8/layout/list1"/>
    <dgm:cxn modelId="{50E392E9-F40E-4CFA-8DCD-E379231C2525}" type="presParOf" srcId="{4E999FA4-F4ED-4053-BB1F-4B3ED91B9C5B}" destId="{B8FCCA31-B492-4431-AEC0-EB7AA9E6E263}" srcOrd="2" destOrd="0" presId="urn:microsoft.com/office/officeart/2005/8/layout/list1"/>
    <dgm:cxn modelId="{47570B72-38F2-4FF3-929D-C14487B2469F}" type="presParOf" srcId="{4E999FA4-F4ED-4053-BB1F-4B3ED91B9C5B}" destId="{4BADDCEA-54E2-4EC8-9DC9-CA930DEE26B9}" srcOrd="3" destOrd="0" presId="urn:microsoft.com/office/officeart/2005/8/layout/list1"/>
    <dgm:cxn modelId="{246FA180-1B2A-42DC-A1DE-E1A1953C7D61}" type="presParOf" srcId="{4E999FA4-F4ED-4053-BB1F-4B3ED91B9C5B}" destId="{E1FEABD3-7638-43E2-BAC8-D184C75826B5}" srcOrd="4" destOrd="0" presId="urn:microsoft.com/office/officeart/2005/8/layout/list1"/>
    <dgm:cxn modelId="{0354096B-E7C8-4D0A-AB33-A36A320C15CE}" type="presParOf" srcId="{E1FEABD3-7638-43E2-BAC8-D184C75826B5}" destId="{81BBECF9-4156-44B8-ABA6-674CE7FCADCE}" srcOrd="0" destOrd="0" presId="urn:microsoft.com/office/officeart/2005/8/layout/list1"/>
    <dgm:cxn modelId="{84868E79-C03A-4A2D-B68F-60D19F3221DC}" type="presParOf" srcId="{E1FEABD3-7638-43E2-BAC8-D184C75826B5}" destId="{1E28FCB7-E062-4362-BC69-99973C1F4F00}" srcOrd="1" destOrd="0" presId="urn:microsoft.com/office/officeart/2005/8/layout/list1"/>
    <dgm:cxn modelId="{92A9413E-AFB1-4E5A-A082-A4A93F3572ED}" type="presParOf" srcId="{4E999FA4-F4ED-4053-BB1F-4B3ED91B9C5B}" destId="{BEC106E6-2ADA-4779-ADCE-0F37A4D10B1A}" srcOrd="5" destOrd="0" presId="urn:microsoft.com/office/officeart/2005/8/layout/list1"/>
    <dgm:cxn modelId="{5C6DBAE9-0087-4851-9C03-06434EE864A7}" type="presParOf" srcId="{4E999FA4-F4ED-4053-BB1F-4B3ED91B9C5B}" destId="{AC58620E-8519-4C07-AFC3-AE90F24DF4C5}" srcOrd="6" destOrd="0" presId="urn:microsoft.com/office/officeart/2005/8/layout/list1"/>
    <dgm:cxn modelId="{9DC679BC-75F2-49DF-BCD7-4D84A613A22D}" type="presParOf" srcId="{4E999FA4-F4ED-4053-BB1F-4B3ED91B9C5B}" destId="{BCC144B3-8424-4DFD-AA07-55C22154B8B2}" srcOrd="7" destOrd="0" presId="urn:microsoft.com/office/officeart/2005/8/layout/list1"/>
    <dgm:cxn modelId="{D0F175FB-5162-4821-A5AA-A4C26CFB3E66}" type="presParOf" srcId="{4E999FA4-F4ED-4053-BB1F-4B3ED91B9C5B}" destId="{C017DE51-9E32-4384-A858-FA916F0A544F}" srcOrd="8" destOrd="0" presId="urn:microsoft.com/office/officeart/2005/8/layout/list1"/>
    <dgm:cxn modelId="{18A7456F-A06E-4B2C-B5BD-E9DD692AECD9}" type="presParOf" srcId="{C017DE51-9E32-4384-A858-FA916F0A544F}" destId="{0C7B7F7F-342C-4FFF-BC12-6B8F7175EF3D}" srcOrd="0" destOrd="0" presId="urn:microsoft.com/office/officeart/2005/8/layout/list1"/>
    <dgm:cxn modelId="{1558FD84-D4CE-4E8D-BA97-B400C3C6BD95}" type="presParOf" srcId="{C017DE51-9E32-4384-A858-FA916F0A544F}" destId="{E081E614-43F4-4282-A928-83DC7C76A0F5}" srcOrd="1" destOrd="0" presId="urn:microsoft.com/office/officeart/2005/8/layout/list1"/>
    <dgm:cxn modelId="{7CED3FE9-786C-40B8-BDFC-7296AF100E08}" type="presParOf" srcId="{4E999FA4-F4ED-4053-BB1F-4B3ED91B9C5B}" destId="{27FD4B28-38CB-479C-BD96-3FB21BDBFE7F}" srcOrd="9" destOrd="0" presId="urn:microsoft.com/office/officeart/2005/8/layout/list1"/>
    <dgm:cxn modelId="{61DB2E87-92BA-4F9B-92B6-83C9DA82C045}" type="presParOf" srcId="{4E999FA4-F4ED-4053-BB1F-4B3ED91B9C5B}" destId="{F2BA8EAC-CE5A-49DA-A6A0-60A14FF903B5}" srcOrd="10" destOrd="0" presId="urn:microsoft.com/office/officeart/2005/8/layout/list1"/>
    <dgm:cxn modelId="{5534E08D-F4E9-4288-AA04-A419FE8297CF}" type="presParOf" srcId="{4E999FA4-F4ED-4053-BB1F-4B3ED91B9C5B}" destId="{B0B70D96-542B-4EA7-B299-C5CF31244721}" srcOrd="11" destOrd="0" presId="urn:microsoft.com/office/officeart/2005/8/layout/list1"/>
    <dgm:cxn modelId="{444ADE90-E155-4B30-B0A2-FDDF9A3E010C}" type="presParOf" srcId="{4E999FA4-F4ED-4053-BB1F-4B3ED91B9C5B}" destId="{0AC2A37A-8B19-4118-B79C-EEA0EFC6C285}" srcOrd="12" destOrd="0" presId="urn:microsoft.com/office/officeart/2005/8/layout/list1"/>
    <dgm:cxn modelId="{A19892A8-3ECE-4653-9C71-14501CD7470B}" type="presParOf" srcId="{0AC2A37A-8B19-4118-B79C-EEA0EFC6C285}" destId="{D6057849-AF19-417A-B8EC-272495573150}" srcOrd="0" destOrd="0" presId="urn:microsoft.com/office/officeart/2005/8/layout/list1"/>
    <dgm:cxn modelId="{384590C0-6827-4640-92AD-43A79AEA3EA6}" type="presParOf" srcId="{0AC2A37A-8B19-4118-B79C-EEA0EFC6C285}" destId="{08E25D93-D652-4BAD-9B37-DD37285D582E}" srcOrd="1" destOrd="0" presId="urn:microsoft.com/office/officeart/2005/8/layout/list1"/>
    <dgm:cxn modelId="{1A03F7C5-2607-430D-9732-6526469FAB91}" type="presParOf" srcId="{4E999FA4-F4ED-4053-BB1F-4B3ED91B9C5B}" destId="{67CC8A55-535D-4482-B8FB-BF9CD6C57BB3}" srcOrd="13" destOrd="0" presId="urn:microsoft.com/office/officeart/2005/8/layout/list1"/>
    <dgm:cxn modelId="{BCC37603-ECB1-47D6-84EA-484F6EC9768F}" type="presParOf" srcId="{4E999FA4-F4ED-4053-BB1F-4B3ED91B9C5B}" destId="{550A666E-D995-4C75-9054-4B2B236B71A2}" srcOrd="14" destOrd="0" presId="urn:microsoft.com/office/officeart/2005/8/layout/list1"/>
    <dgm:cxn modelId="{16556110-350F-4DA0-B073-B2AF32EF65DB}" type="presParOf" srcId="{4E999FA4-F4ED-4053-BB1F-4B3ED91B9C5B}" destId="{47E638F7-D184-4636-AD30-0D82F69B8FE7}" srcOrd="15" destOrd="0" presId="urn:microsoft.com/office/officeart/2005/8/layout/list1"/>
    <dgm:cxn modelId="{5059C284-AAA2-4B7A-8CF9-C5040C44F801}" type="presParOf" srcId="{4E999FA4-F4ED-4053-BB1F-4B3ED91B9C5B}" destId="{C3DF96B4-5D71-4CB5-887C-3EB34F6B753F}" srcOrd="16" destOrd="0" presId="urn:microsoft.com/office/officeart/2005/8/layout/list1"/>
    <dgm:cxn modelId="{B5642A54-DCCE-4329-AA18-A1761A4EB600}" type="presParOf" srcId="{C3DF96B4-5D71-4CB5-887C-3EB34F6B753F}" destId="{E1ED6380-4E39-4C1F-9783-C80B5A246F57}" srcOrd="0" destOrd="0" presId="urn:microsoft.com/office/officeart/2005/8/layout/list1"/>
    <dgm:cxn modelId="{1B50520D-B50F-400B-B665-7A73FEAF10CE}" type="presParOf" srcId="{C3DF96B4-5D71-4CB5-887C-3EB34F6B753F}" destId="{88A92B0A-6ADA-4F80-9ED1-1D304E6F912E}" srcOrd="1" destOrd="0" presId="urn:microsoft.com/office/officeart/2005/8/layout/list1"/>
    <dgm:cxn modelId="{A6F83F82-9132-4E18-9B28-26D902EB816F}" type="presParOf" srcId="{4E999FA4-F4ED-4053-BB1F-4B3ED91B9C5B}" destId="{B83C4EF6-7C47-4A02-BAA4-212138E30E48}" srcOrd="17" destOrd="0" presId="urn:microsoft.com/office/officeart/2005/8/layout/list1"/>
    <dgm:cxn modelId="{000D5A1A-1A27-4972-A15E-C36FC502DC87}" type="presParOf" srcId="{4E999FA4-F4ED-4053-BB1F-4B3ED91B9C5B}" destId="{A5DAA7F3-6600-44B6-ACED-44CD6346E065}" srcOrd="18" destOrd="0" presId="urn:microsoft.com/office/officeart/2005/8/layout/lis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F1545E9-FD44-403E-9E41-1F895E464989}"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ZW"/>
        </a:p>
      </dgm:t>
    </dgm:pt>
    <dgm:pt modelId="{91FBBBC0-A81F-43DA-B726-11A4D62E1889}">
      <dgm:prSet phldrT="[Text]" custT="1"/>
      <dgm:spPr/>
      <dgm:t>
        <a:bodyPr/>
        <a:lstStyle/>
        <a:p>
          <a:r>
            <a:rPr lang="en-ZW" sz="1000"/>
            <a:t>FCA</a:t>
          </a:r>
        </a:p>
      </dgm:t>
    </dgm:pt>
    <dgm:pt modelId="{5D674236-10F0-4594-A5B1-589160C2DE5A}" type="parTrans" cxnId="{6383FFC5-679F-45FE-88F1-899DFDF783E2}">
      <dgm:prSet/>
      <dgm:spPr/>
      <dgm:t>
        <a:bodyPr/>
        <a:lstStyle/>
        <a:p>
          <a:endParaRPr lang="en-ZW" sz="1000"/>
        </a:p>
      </dgm:t>
    </dgm:pt>
    <dgm:pt modelId="{7AE646B9-451B-482F-A235-443738B681A8}" type="sibTrans" cxnId="{6383FFC5-679F-45FE-88F1-899DFDF783E2}">
      <dgm:prSet/>
      <dgm:spPr/>
      <dgm:t>
        <a:bodyPr/>
        <a:lstStyle/>
        <a:p>
          <a:endParaRPr lang="en-ZW" sz="1000"/>
        </a:p>
      </dgm:t>
    </dgm:pt>
    <dgm:pt modelId="{26BABF5F-758F-4E95-999B-0FD8208C37DD}">
      <dgm:prSet phldrT="[Text]" custT="1"/>
      <dgm:spPr/>
      <dgm:t>
        <a:bodyPr/>
        <a:lstStyle/>
        <a:p>
          <a:r>
            <a:rPr lang="en-ZW" sz="1000"/>
            <a:t>Open Network supervision </a:t>
          </a:r>
        </a:p>
      </dgm:t>
    </dgm:pt>
    <dgm:pt modelId="{ECDDF814-62B3-4199-AD7F-53CD28DF2449}" type="parTrans" cxnId="{F000E038-B30A-45BD-8B71-15236119D65B}">
      <dgm:prSet/>
      <dgm:spPr>
        <a:ln>
          <a:headEnd type="triangle" w="med" len="med"/>
          <a:tailEnd type="triangle" w="med" len="med"/>
        </a:ln>
      </dgm:spPr>
      <dgm:t>
        <a:bodyPr/>
        <a:lstStyle/>
        <a:p>
          <a:endParaRPr lang="en-ZW" sz="1000"/>
        </a:p>
      </dgm:t>
    </dgm:pt>
    <dgm:pt modelId="{62862935-FB44-4303-A5A6-A4E37645A16F}" type="sibTrans" cxnId="{F000E038-B30A-45BD-8B71-15236119D65B}">
      <dgm:prSet/>
      <dgm:spPr/>
      <dgm:t>
        <a:bodyPr/>
        <a:lstStyle/>
        <a:p>
          <a:endParaRPr lang="en-ZW" sz="1000"/>
        </a:p>
      </dgm:t>
    </dgm:pt>
    <dgm:pt modelId="{2819FE20-C712-477C-BB1C-27D052A7CAC7}">
      <dgm:prSet phldrT="[Text]" custT="1"/>
      <dgm:spPr/>
      <dgm:t>
        <a:bodyPr/>
        <a:lstStyle/>
        <a:p>
          <a:pPr>
            <a:buNone/>
          </a:pPr>
          <a:r>
            <a:rPr lang="en-ZW" sz="1000"/>
            <a:t>Sense M&amp;R Compliance Process </a:t>
          </a:r>
        </a:p>
      </dgm:t>
    </dgm:pt>
    <dgm:pt modelId="{9E74A51D-3B07-42CB-BE76-153D4D2FD99D}" type="parTrans" cxnId="{12FD440D-804A-4BE5-80DF-3CF239794CE9}">
      <dgm:prSet/>
      <dgm:spPr>
        <a:ln>
          <a:headEnd type="triangle" w="med" len="med"/>
          <a:tailEnd type="triangle" w="med" len="med"/>
        </a:ln>
      </dgm:spPr>
      <dgm:t>
        <a:bodyPr/>
        <a:lstStyle/>
        <a:p>
          <a:endParaRPr lang="en-ZW" sz="1000"/>
        </a:p>
      </dgm:t>
    </dgm:pt>
    <dgm:pt modelId="{C3D877E1-3E4B-4BA4-9E81-1C722ED76B28}" type="sibTrans" cxnId="{12FD440D-804A-4BE5-80DF-3CF239794CE9}">
      <dgm:prSet/>
      <dgm:spPr/>
      <dgm:t>
        <a:bodyPr/>
        <a:lstStyle/>
        <a:p>
          <a:endParaRPr lang="en-ZW" sz="1000"/>
        </a:p>
      </dgm:t>
    </dgm:pt>
    <dgm:pt modelId="{87D32C68-1FC6-4026-B7C3-E4BA62F9FA5A}">
      <dgm:prSet phldrT="[Text]" custT="1"/>
      <dgm:spPr/>
      <dgm:t>
        <a:bodyPr/>
        <a:lstStyle/>
        <a:p>
          <a:pPr>
            <a:buNone/>
          </a:pPr>
          <a:r>
            <a:rPr lang="en-ZW" sz="1000"/>
            <a:t>Advisor file check</a:t>
          </a:r>
        </a:p>
      </dgm:t>
    </dgm:pt>
    <dgm:pt modelId="{49389CD4-7B0B-4AE8-841A-3B64BA9C157C}" type="parTrans" cxnId="{EC4DC85A-6343-476A-8732-F5902AA6FD4A}">
      <dgm:prSet/>
      <dgm:spPr>
        <a:ln>
          <a:headEnd type="triangle" w="med" len="med"/>
          <a:tailEnd type="triangle" w="med" len="med"/>
        </a:ln>
      </dgm:spPr>
      <dgm:t>
        <a:bodyPr/>
        <a:lstStyle/>
        <a:p>
          <a:endParaRPr lang="en-ZW" sz="1000"/>
        </a:p>
      </dgm:t>
    </dgm:pt>
    <dgm:pt modelId="{965831CD-6623-4154-AAE9-74C21997CCB9}" type="sibTrans" cxnId="{EC4DC85A-6343-476A-8732-F5902AA6FD4A}">
      <dgm:prSet/>
      <dgm:spPr/>
      <dgm:t>
        <a:bodyPr/>
        <a:lstStyle/>
        <a:p>
          <a:endParaRPr lang="en-ZW" sz="1000"/>
        </a:p>
      </dgm:t>
    </dgm:pt>
    <dgm:pt modelId="{28B852C2-1C2F-4AC6-A853-C51B28ECCD65}">
      <dgm:prSet phldrT="[Text]" custT="1"/>
      <dgm:spPr/>
      <dgm:t>
        <a:bodyPr/>
        <a:lstStyle/>
        <a:p>
          <a:r>
            <a:rPr lang="en-ZW" sz="1000"/>
            <a:t>Mandatory CPD </a:t>
          </a:r>
        </a:p>
      </dgm:t>
    </dgm:pt>
    <dgm:pt modelId="{A15059B6-3944-4BF8-99EE-9D547D0BC357}" type="parTrans" cxnId="{FE161E15-DCDD-4063-9C17-D790E5EE712F}">
      <dgm:prSet/>
      <dgm:spPr>
        <a:ln>
          <a:headEnd type="triangle" w="med" len="med"/>
          <a:tailEnd type="triangle" w="med" len="med"/>
        </a:ln>
      </dgm:spPr>
      <dgm:t>
        <a:bodyPr/>
        <a:lstStyle/>
        <a:p>
          <a:endParaRPr lang="en-ZW" sz="1000"/>
        </a:p>
      </dgm:t>
    </dgm:pt>
    <dgm:pt modelId="{694C8129-F406-4C28-A841-A218507FE30C}" type="sibTrans" cxnId="{FE161E15-DCDD-4063-9C17-D790E5EE712F}">
      <dgm:prSet/>
      <dgm:spPr/>
      <dgm:t>
        <a:bodyPr/>
        <a:lstStyle/>
        <a:p>
          <a:endParaRPr lang="en-ZW" sz="1000"/>
        </a:p>
      </dgm:t>
    </dgm:pt>
    <dgm:pt modelId="{167D748B-5D79-4DE9-B1BF-34955B57B115}">
      <dgm:prSet phldrT="[Text]" custT="1"/>
      <dgm:spPr/>
      <dgm:t>
        <a:bodyPr/>
        <a:lstStyle/>
        <a:p>
          <a:r>
            <a:rPr lang="en-ZW" sz="1000"/>
            <a:t>Thematic Audit</a:t>
          </a:r>
        </a:p>
      </dgm:t>
    </dgm:pt>
    <dgm:pt modelId="{BFA5D9AE-D1FB-41D4-AF4E-422352593A10}" type="parTrans" cxnId="{A42E0CAA-4B8A-4D6D-B130-43474596EE50}">
      <dgm:prSet/>
      <dgm:spPr>
        <a:ln>
          <a:headEnd type="triangle" w="med" len="med"/>
          <a:tailEnd type="triangle" w="med" len="med"/>
        </a:ln>
      </dgm:spPr>
      <dgm:t>
        <a:bodyPr/>
        <a:lstStyle/>
        <a:p>
          <a:endParaRPr lang="en-ZW" sz="1000"/>
        </a:p>
      </dgm:t>
    </dgm:pt>
    <dgm:pt modelId="{BCA3C630-DDF1-4D2F-9FA7-9FA380B7800E}" type="sibTrans" cxnId="{A42E0CAA-4B8A-4D6D-B130-43474596EE50}">
      <dgm:prSet/>
      <dgm:spPr/>
      <dgm:t>
        <a:bodyPr/>
        <a:lstStyle/>
        <a:p>
          <a:endParaRPr lang="en-ZW" sz="1000"/>
        </a:p>
      </dgm:t>
    </dgm:pt>
    <dgm:pt modelId="{038AD5E5-514D-47B4-BE4E-C1FAF31CBC9C}">
      <dgm:prSet phldrT="[Text]" custT="1"/>
      <dgm:spPr/>
      <dgm:t>
        <a:bodyPr/>
        <a:lstStyle/>
        <a:p>
          <a:pPr>
            <a:buNone/>
          </a:pPr>
          <a:r>
            <a:rPr lang="en-ZW" sz="1000"/>
            <a:t>Pre-Sale Reviews </a:t>
          </a:r>
        </a:p>
      </dgm:t>
    </dgm:pt>
    <dgm:pt modelId="{F050CCD6-DF69-4B2E-8FA2-F68907C8B630}" type="parTrans" cxnId="{E61D4B3B-AA07-4E2A-B668-D2E729C7E5B9}">
      <dgm:prSet/>
      <dgm:spPr>
        <a:ln>
          <a:headEnd type="triangle" w="med" len="med"/>
          <a:tailEnd type="triangle" w="med" len="med"/>
        </a:ln>
      </dgm:spPr>
      <dgm:t>
        <a:bodyPr/>
        <a:lstStyle/>
        <a:p>
          <a:endParaRPr lang="en-ZW" sz="1000"/>
        </a:p>
      </dgm:t>
    </dgm:pt>
    <dgm:pt modelId="{F3D6A29F-B9A1-4E5C-89A1-3A374313DE18}" type="sibTrans" cxnId="{E61D4B3B-AA07-4E2A-B668-D2E729C7E5B9}">
      <dgm:prSet/>
      <dgm:spPr/>
      <dgm:t>
        <a:bodyPr/>
        <a:lstStyle/>
        <a:p>
          <a:endParaRPr lang="en-ZW" sz="1000"/>
        </a:p>
      </dgm:t>
    </dgm:pt>
    <dgm:pt modelId="{3D5217B0-F035-433A-A856-BA511EEA6A23}">
      <dgm:prSet phldrT="[Text]" custT="1"/>
      <dgm:spPr/>
      <dgm:t>
        <a:bodyPr/>
        <a:lstStyle/>
        <a:p>
          <a:pPr>
            <a:buNone/>
          </a:pPr>
          <a:r>
            <a:rPr lang="en-ZW" sz="1000"/>
            <a:t>Post-Sale Monitoring</a:t>
          </a:r>
        </a:p>
      </dgm:t>
    </dgm:pt>
    <dgm:pt modelId="{2425D7BB-D662-429A-B6C7-EBC27ED6FC2F}" type="parTrans" cxnId="{2A553FF4-D9B1-4F86-9917-9DA4D22E957E}">
      <dgm:prSet/>
      <dgm:spPr>
        <a:ln>
          <a:headEnd type="triangle" w="med" len="med"/>
          <a:tailEnd type="triangle" w="med" len="med"/>
        </a:ln>
      </dgm:spPr>
      <dgm:t>
        <a:bodyPr/>
        <a:lstStyle/>
        <a:p>
          <a:endParaRPr lang="en-ZW" sz="1000"/>
        </a:p>
      </dgm:t>
    </dgm:pt>
    <dgm:pt modelId="{468A8F74-9152-4530-B2CF-35AB6ABB012C}" type="sibTrans" cxnId="{2A553FF4-D9B1-4F86-9917-9DA4D22E957E}">
      <dgm:prSet/>
      <dgm:spPr/>
      <dgm:t>
        <a:bodyPr/>
        <a:lstStyle/>
        <a:p>
          <a:endParaRPr lang="en-ZW" sz="1000"/>
        </a:p>
      </dgm:t>
    </dgm:pt>
    <dgm:pt modelId="{FAB70B6E-CAFA-4971-A767-95318F5A9609}" type="pres">
      <dgm:prSet presAssocID="{1F1545E9-FD44-403E-9E41-1F895E464989}" presName="hierChild1" presStyleCnt="0">
        <dgm:presLayoutVars>
          <dgm:chPref val="1"/>
          <dgm:dir/>
          <dgm:animOne val="branch"/>
          <dgm:animLvl val="lvl"/>
          <dgm:resizeHandles/>
        </dgm:presLayoutVars>
      </dgm:prSet>
      <dgm:spPr/>
    </dgm:pt>
    <dgm:pt modelId="{97A02F68-9F00-4E62-A954-6A174E8A7E79}" type="pres">
      <dgm:prSet presAssocID="{91FBBBC0-A81F-43DA-B726-11A4D62E1889}" presName="hierRoot1" presStyleCnt="0"/>
      <dgm:spPr/>
    </dgm:pt>
    <dgm:pt modelId="{EA78105F-1F64-4A5A-AF81-A3A7899DA7B8}" type="pres">
      <dgm:prSet presAssocID="{91FBBBC0-A81F-43DA-B726-11A4D62E1889}" presName="composite" presStyleCnt="0"/>
      <dgm:spPr/>
    </dgm:pt>
    <dgm:pt modelId="{87BBCA00-02B5-4F52-971E-DF82316A08D3}" type="pres">
      <dgm:prSet presAssocID="{91FBBBC0-A81F-43DA-B726-11A4D62E1889}" presName="background" presStyleLbl="node0" presStyleIdx="0" presStyleCnt="1"/>
      <dgm:spPr/>
    </dgm:pt>
    <dgm:pt modelId="{3020F5ED-AC22-4267-82AE-9C279311F61C}" type="pres">
      <dgm:prSet presAssocID="{91FBBBC0-A81F-43DA-B726-11A4D62E1889}" presName="text" presStyleLbl="fgAcc0" presStyleIdx="0" presStyleCnt="1" custScaleX="142113" custScaleY="120935">
        <dgm:presLayoutVars>
          <dgm:chPref val="3"/>
        </dgm:presLayoutVars>
      </dgm:prSet>
      <dgm:spPr/>
    </dgm:pt>
    <dgm:pt modelId="{AD23D3CB-2C2E-4C25-9098-B1B637870A86}" type="pres">
      <dgm:prSet presAssocID="{91FBBBC0-A81F-43DA-B726-11A4D62E1889}" presName="hierChild2" presStyleCnt="0"/>
      <dgm:spPr/>
    </dgm:pt>
    <dgm:pt modelId="{96F76B2E-E5A7-46EF-8B26-2F893D56E3DF}" type="pres">
      <dgm:prSet presAssocID="{ECDDF814-62B3-4199-AD7F-53CD28DF2449}" presName="Name10" presStyleLbl="parChTrans1D2" presStyleIdx="0" presStyleCnt="1"/>
      <dgm:spPr/>
    </dgm:pt>
    <dgm:pt modelId="{BD88DFB6-C40E-4974-B816-4EEFAEBA23C3}" type="pres">
      <dgm:prSet presAssocID="{26BABF5F-758F-4E95-999B-0FD8208C37DD}" presName="hierRoot2" presStyleCnt="0"/>
      <dgm:spPr/>
    </dgm:pt>
    <dgm:pt modelId="{9E1C99B3-7128-4D2C-BE12-F8BF602D5870}" type="pres">
      <dgm:prSet presAssocID="{26BABF5F-758F-4E95-999B-0FD8208C37DD}" presName="composite2" presStyleCnt="0"/>
      <dgm:spPr/>
    </dgm:pt>
    <dgm:pt modelId="{8F7C3718-46E6-47E7-A530-F92F7DABA1E2}" type="pres">
      <dgm:prSet presAssocID="{26BABF5F-758F-4E95-999B-0FD8208C37DD}" presName="background2" presStyleLbl="node2" presStyleIdx="0" presStyleCnt="1"/>
      <dgm:spPr/>
    </dgm:pt>
    <dgm:pt modelId="{CE6DE69C-D720-4293-9F83-8FF823B1B54C}" type="pres">
      <dgm:prSet presAssocID="{26BABF5F-758F-4E95-999B-0FD8208C37DD}" presName="text2" presStyleLbl="fgAcc2" presStyleIdx="0" presStyleCnt="1" custScaleX="180075" custScaleY="146232">
        <dgm:presLayoutVars>
          <dgm:chPref val="3"/>
        </dgm:presLayoutVars>
      </dgm:prSet>
      <dgm:spPr/>
    </dgm:pt>
    <dgm:pt modelId="{65872E19-FCD5-487E-A583-9B7CDAA50F6E}" type="pres">
      <dgm:prSet presAssocID="{26BABF5F-758F-4E95-999B-0FD8208C37DD}" presName="hierChild3" presStyleCnt="0"/>
      <dgm:spPr/>
    </dgm:pt>
    <dgm:pt modelId="{812462A1-7EC7-4972-AFA2-77F540466392}" type="pres">
      <dgm:prSet presAssocID="{A15059B6-3944-4BF8-99EE-9D547D0BC357}" presName="Name17" presStyleLbl="parChTrans1D3" presStyleIdx="0" presStyleCnt="2"/>
      <dgm:spPr/>
    </dgm:pt>
    <dgm:pt modelId="{A67D603A-703B-46B3-9035-4CE356B253CA}" type="pres">
      <dgm:prSet presAssocID="{28B852C2-1C2F-4AC6-A853-C51B28ECCD65}" presName="hierRoot3" presStyleCnt="0"/>
      <dgm:spPr/>
    </dgm:pt>
    <dgm:pt modelId="{02239B87-B332-4339-A7CB-24E429DAF7CC}" type="pres">
      <dgm:prSet presAssocID="{28B852C2-1C2F-4AC6-A853-C51B28ECCD65}" presName="composite3" presStyleCnt="0"/>
      <dgm:spPr/>
    </dgm:pt>
    <dgm:pt modelId="{7BD97537-282B-4779-A9ED-2521A57BCBAD}" type="pres">
      <dgm:prSet presAssocID="{28B852C2-1C2F-4AC6-A853-C51B28ECCD65}" presName="background3" presStyleLbl="node3" presStyleIdx="0" presStyleCnt="2"/>
      <dgm:spPr/>
    </dgm:pt>
    <dgm:pt modelId="{B02882C5-2B54-47C3-8BDE-43BE1B71DC00}" type="pres">
      <dgm:prSet presAssocID="{28B852C2-1C2F-4AC6-A853-C51B28ECCD65}" presName="text3" presStyleLbl="fgAcc3" presStyleIdx="0" presStyleCnt="2" custScaleX="136101" custScaleY="132315">
        <dgm:presLayoutVars>
          <dgm:chPref val="3"/>
        </dgm:presLayoutVars>
      </dgm:prSet>
      <dgm:spPr/>
    </dgm:pt>
    <dgm:pt modelId="{463D700A-D8B4-4A6C-958F-42B0C0E1EB87}" type="pres">
      <dgm:prSet presAssocID="{28B852C2-1C2F-4AC6-A853-C51B28ECCD65}" presName="hierChild4" presStyleCnt="0"/>
      <dgm:spPr/>
    </dgm:pt>
    <dgm:pt modelId="{9CDE89CB-9B94-41E2-917F-8A644781B021}" type="pres">
      <dgm:prSet presAssocID="{BFA5D9AE-D1FB-41D4-AF4E-422352593A10}" presName="Name23" presStyleLbl="parChTrans1D4" presStyleIdx="0" presStyleCnt="4"/>
      <dgm:spPr/>
    </dgm:pt>
    <dgm:pt modelId="{86204031-5A83-4110-B118-77CFF7B986AB}" type="pres">
      <dgm:prSet presAssocID="{167D748B-5D79-4DE9-B1BF-34955B57B115}" presName="hierRoot4" presStyleCnt="0"/>
      <dgm:spPr/>
    </dgm:pt>
    <dgm:pt modelId="{1083EB2C-EC57-4C40-A3B0-DF04FD5A073A}" type="pres">
      <dgm:prSet presAssocID="{167D748B-5D79-4DE9-B1BF-34955B57B115}" presName="composite4" presStyleCnt="0"/>
      <dgm:spPr/>
    </dgm:pt>
    <dgm:pt modelId="{907CEB42-BF99-4605-9A2F-8B46523587F6}" type="pres">
      <dgm:prSet presAssocID="{167D748B-5D79-4DE9-B1BF-34955B57B115}" presName="background4" presStyleLbl="node4" presStyleIdx="0" presStyleCnt="4"/>
      <dgm:spPr/>
    </dgm:pt>
    <dgm:pt modelId="{19FF4A46-0894-4176-9D10-CA6C8104257D}" type="pres">
      <dgm:prSet presAssocID="{167D748B-5D79-4DE9-B1BF-34955B57B115}" presName="text4" presStyleLbl="fgAcc4" presStyleIdx="0" presStyleCnt="4" custScaleX="133119" custScaleY="162551">
        <dgm:presLayoutVars>
          <dgm:chPref val="3"/>
        </dgm:presLayoutVars>
      </dgm:prSet>
      <dgm:spPr/>
    </dgm:pt>
    <dgm:pt modelId="{ED48C7F6-86B4-485D-965C-850A4ECC9AE0}" type="pres">
      <dgm:prSet presAssocID="{167D748B-5D79-4DE9-B1BF-34955B57B115}" presName="hierChild5" presStyleCnt="0"/>
      <dgm:spPr/>
    </dgm:pt>
    <dgm:pt modelId="{98C0C834-A4C9-401D-94FD-74FE95D4CE8C}" type="pres">
      <dgm:prSet presAssocID="{9E74A51D-3B07-42CB-BE76-153D4D2FD99D}" presName="Name17" presStyleLbl="parChTrans1D3" presStyleIdx="1" presStyleCnt="2"/>
      <dgm:spPr/>
    </dgm:pt>
    <dgm:pt modelId="{F4C25557-B34E-4A1F-8413-061A9B261935}" type="pres">
      <dgm:prSet presAssocID="{2819FE20-C712-477C-BB1C-27D052A7CAC7}" presName="hierRoot3" presStyleCnt="0"/>
      <dgm:spPr/>
    </dgm:pt>
    <dgm:pt modelId="{3F26914E-3ABA-4C82-94A4-03EAC19756A3}" type="pres">
      <dgm:prSet presAssocID="{2819FE20-C712-477C-BB1C-27D052A7CAC7}" presName="composite3" presStyleCnt="0"/>
      <dgm:spPr/>
    </dgm:pt>
    <dgm:pt modelId="{1823019F-45B8-49D5-9229-299D2F0DF74C}" type="pres">
      <dgm:prSet presAssocID="{2819FE20-C712-477C-BB1C-27D052A7CAC7}" presName="background3" presStyleLbl="node3" presStyleIdx="1" presStyleCnt="2"/>
      <dgm:spPr/>
    </dgm:pt>
    <dgm:pt modelId="{A39AEB1C-286B-4373-8FA0-B4660B980341}" type="pres">
      <dgm:prSet presAssocID="{2819FE20-C712-477C-BB1C-27D052A7CAC7}" presName="text3" presStyleLbl="fgAcc3" presStyleIdx="1" presStyleCnt="2" custScaleX="159484" custScaleY="126262">
        <dgm:presLayoutVars>
          <dgm:chPref val="3"/>
        </dgm:presLayoutVars>
      </dgm:prSet>
      <dgm:spPr/>
    </dgm:pt>
    <dgm:pt modelId="{C72B16FB-6D65-4DCF-B881-982100AD73C5}" type="pres">
      <dgm:prSet presAssocID="{2819FE20-C712-477C-BB1C-27D052A7CAC7}" presName="hierChild4" presStyleCnt="0"/>
      <dgm:spPr/>
    </dgm:pt>
    <dgm:pt modelId="{04973A8A-0BCA-49D5-8452-EA6F0B9BBB3A}" type="pres">
      <dgm:prSet presAssocID="{F050CCD6-DF69-4B2E-8FA2-F68907C8B630}" presName="Name23" presStyleLbl="parChTrans1D4" presStyleIdx="1" presStyleCnt="4"/>
      <dgm:spPr/>
    </dgm:pt>
    <dgm:pt modelId="{EBA50AC0-691E-4BC8-8801-9D399BDA3727}" type="pres">
      <dgm:prSet presAssocID="{038AD5E5-514D-47B4-BE4E-C1FAF31CBC9C}" presName="hierRoot4" presStyleCnt="0"/>
      <dgm:spPr/>
    </dgm:pt>
    <dgm:pt modelId="{74D9C82A-E62B-4D14-B7E2-843230A6313A}" type="pres">
      <dgm:prSet presAssocID="{038AD5E5-514D-47B4-BE4E-C1FAF31CBC9C}" presName="composite4" presStyleCnt="0"/>
      <dgm:spPr/>
    </dgm:pt>
    <dgm:pt modelId="{91A25012-9D3B-4731-A92C-6B96C229E7E2}" type="pres">
      <dgm:prSet presAssocID="{038AD5E5-514D-47B4-BE4E-C1FAF31CBC9C}" presName="background4" presStyleLbl="node4" presStyleIdx="1" presStyleCnt="4"/>
      <dgm:spPr/>
    </dgm:pt>
    <dgm:pt modelId="{C500FB52-BB03-4C07-AAAB-6760DF1AF566}" type="pres">
      <dgm:prSet presAssocID="{038AD5E5-514D-47B4-BE4E-C1FAF31CBC9C}" presName="text4" presStyleLbl="fgAcc4" presStyleIdx="1" presStyleCnt="4" custScaleX="127494" custScaleY="135411">
        <dgm:presLayoutVars>
          <dgm:chPref val="3"/>
        </dgm:presLayoutVars>
      </dgm:prSet>
      <dgm:spPr/>
    </dgm:pt>
    <dgm:pt modelId="{9CD6EC7D-7C64-4039-9307-C33D6D1D764B}" type="pres">
      <dgm:prSet presAssocID="{038AD5E5-514D-47B4-BE4E-C1FAF31CBC9C}" presName="hierChild5" presStyleCnt="0"/>
      <dgm:spPr/>
    </dgm:pt>
    <dgm:pt modelId="{771B4CA9-0162-48C5-879A-FCA7F3F51C41}" type="pres">
      <dgm:prSet presAssocID="{2425D7BB-D662-429A-B6C7-EBC27ED6FC2F}" presName="Name23" presStyleLbl="parChTrans1D4" presStyleIdx="2" presStyleCnt="4"/>
      <dgm:spPr/>
    </dgm:pt>
    <dgm:pt modelId="{8856C117-75A6-4998-B6CC-CD00379F6436}" type="pres">
      <dgm:prSet presAssocID="{3D5217B0-F035-433A-A856-BA511EEA6A23}" presName="hierRoot4" presStyleCnt="0"/>
      <dgm:spPr/>
    </dgm:pt>
    <dgm:pt modelId="{59C0C83D-963B-47EE-8C9A-6D35DECD4F21}" type="pres">
      <dgm:prSet presAssocID="{3D5217B0-F035-433A-A856-BA511EEA6A23}" presName="composite4" presStyleCnt="0"/>
      <dgm:spPr/>
    </dgm:pt>
    <dgm:pt modelId="{EEF94E5E-A943-4AD3-B4F5-B6CC5ECA2273}" type="pres">
      <dgm:prSet presAssocID="{3D5217B0-F035-433A-A856-BA511EEA6A23}" presName="background4" presStyleLbl="node4" presStyleIdx="2" presStyleCnt="4"/>
      <dgm:spPr/>
    </dgm:pt>
    <dgm:pt modelId="{6F2CE028-4E54-4853-A22A-1DBA22AAB98F}" type="pres">
      <dgm:prSet presAssocID="{3D5217B0-F035-433A-A856-BA511EEA6A23}" presName="text4" presStyleLbl="fgAcc4" presStyleIdx="2" presStyleCnt="4" custScaleX="130437" custScaleY="96630">
        <dgm:presLayoutVars>
          <dgm:chPref val="3"/>
        </dgm:presLayoutVars>
      </dgm:prSet>
      <dgm:spPr/>
    </dgm:pt>
    <dgm:pt modelId="{73565974-E416-4F1C-9155-8C91814590B2}" type="pres">
      <dgm:prSet presAssocID="{3D5217B0-F035-433A-A856-BA511EEA6A23}" presName="hierChild5" presStyleCnt="0"/>
      <dgm:spPr/>
    </dgm:pt>
    <dgm:pt modelId="{BFA22FC7-0BD9-4EF1-B5EE-45842A6BA5E7}" type="pres">
      <dgm:prSet presAssocID="{49389CD4-7B0B-4AE8-841A-3B64BA9C157C}" presName="Name23" presStyleLbl="parChTrans1D4" presStyleIdx="3" presStyleCnt="4"/>
      <dgm:spPr/>
    </dgm:pt>
    <dgm:pt modelId="{8DB3B1F7-2CD7-4904-98A2-B5F81A3F344B}" type="pres">
      <dgm:prSet presAssocID="{87D32C68-1FC6-4026-B7C3-E4BA62F9FA5A}" presName="hierRoot4" presStyleCnt="0"/>
      <dgm:spPr/>
    </dgm:pt>
    <dgm:pt modelId="{B72CCE25-13D3-4CB1-8D4B-2A61A090BE01}" type="pres">
      <dgm:prSet presAssocID="{87D32C68-1FC6-4026-B7C3-E4BA62F9FA5A}" presName="composite4" presStyleCnt="0"/>
      <dgm:spPr/>
    </dgm:pt>
    <dgm:pt modelId="{1A20C1D8-DAFE-4276-85C7-10765E654F54}" type="pres">
      <dgm:prSet presAssocID="{87D32C68-1FC6-4026-B7C3-E4BA62F9FA5A}" presName="background4" presStyleLbl="node4" presStyleIdx="3" presStyleCnt="4"/>
      <dgm:spPr/>
    </dgm:pt>
    <dgm:pt modelId="{C319D7DA-77C8-413C-A7BA-ECB673613D3F}" type="pres">
      <dgm:prSet presAssocID="{87D32C68-1FC6-4026-B7C3-E4BA62F9FA5A}" presName="text4" presStyleLbl="fgAcc4" presStyleIdx="3" presStyleCnt="4" custScaleX="161970" custScaleY="137395">
        <dgm:presLayoutVars>
          <dgm:chPref val="3"/>
        </dgm:presLayoutVars>
      </dgm:prSet>
      <dgm:spPr/>
    </dgm:pt>
    <dgm:pt modelId="{BE03252E-1E30-4FEB-9706-CDEC2F5F3F16}" type="pres">
      <dgm:prSet presAssocID="{87D32C68-1FC6-4026-B7C3-E4BA62F9FA5A}" presName="hierChild5" presStyleCnt="0"/>
      <dgm:spPr/>
    </dgm:pt>
  </dgm:ptLst>
  <dgm:cxnLst>
    <dgm:cxn modelId="{12FD440D-804A-4BE5-80DF-3CF239794CE9}" srcId="{26BABF5F-758F-4E95-999B-0FD8208C37DD}" destId="{2819FE20-C712-477C-BB1C-27D052A7CAC7}" srcOrd="1" destOrd="0" parTransId="{9E74A51D-3B07-42CB-BE76-153D4D2FD99D}" sibTransId="{C3D877E1-3E4B-4BA4-9E81-1C722ED76B28}"/>
    <dgm:cxn modelId="{205A1415-9578-4B26-B4E7-CB60AF6C4AC6}" type="presOf" srcId="{87D32C68-1FC6-4026-B7C3-E4BA62F9FA5A}" destId="{C319D7DA-77C8-413C-A7BA-ECB673613D3F}" srcOrd="0" destOrd="0" presId="urn:microsoft.com/office/officeart/2005/8/layout/hierarchy1"/>
    <dgm:cxn modelId="{FE161E15-DCDD-4063-9C17-D790E5EE712F}" srcId="{26BABF5F-758F-4E95-999B-0FD8208C37DD}" destId="{28B852C2-1C2F-4AC6-A853-C51B28ECCD65}" srcOrd="0" destOrd="0" parTransId="{A15059B6-3944-4BF8-99EE-9D547D0BC357}" sibTransId="{694C8129-F406-4C28-A841-A218507FE30C}"/>
    <dgm:cxn modelId="{F000E038-B30A-45BD-8B71-15236119D65B}" srcId="{91FBBBC0-A81F-43DA-B726-11A4D62E1889}" destId="{26BABF5F-758F-4E95-999B-0FD8208C37DD}" srcOrd="0" destOrd="0" parTransId="{ECDDF814-62B3-4199-AD7F-53CD28DF2449}" sibTransId="{62862935-FB44-4303-A5A6-A4E37645A16F}"/>
    <dgm:cxn modelId="{45510E3A-BFAF-492E-8F58-21CC86B75248}" type="presOf" srcId="{3D5217B0-F035-433A-A856-BA511EEA6A23}" destId="{6F2CE028-4E54-4853-A22A-1DBA22AAB98F}" srcOrd="0" destOrd="0" presId="urn:microsoft.com/office/officeart/2005/8/layout/hierarchy1"/>
    <dgm:cxn modelId="{E61D4B3B-AA07-4E2A-B668-D2E729C7E5B9}" srcId="{2819FE20-C712-477C-BB1C-27D052A7CAC7}" destId="{038AD5E5-514D-47B4-BE4E-C1FAF31CBC9C}" srcOrd="0" destOrd="0" parTransId="{F050CCD6-DF69-4B2E-8FA2-F68907C8B630}" sibTransId="{F3D6A29F-B9A1-4E5C-89A1-3A374313DE18}"/>
    <dgm:cxn modelId="{975B0551-0BC9-4C8C-B8D3-CA6BBD65FC62}" type="presOf" srcId="{038AD5E5-514D-47B4-BE4E-C1FAF31CBC9C}" destId="{C500FB52-BB03-4C07-AAAB-6760DF1AF566}" srcOrd="0" destOrd="0" presId="urn:microsoft.com/office/officeart/2005/8/layout/hierarchy1"/>
    <dgm:cxn modelId="{D926A476-661D-43B0-840E-61D6DD9A962A}" type="presOf" srcId="{49389CD4-7B0B-4AE8-841A-3B64BA9C157C}" destId="{BFA22FC7-0BD9-4EF1-B5EE-45842A6BA5E7}" srcOrd="0" destOrd="0" presId="urn:microsoft.com/office/officeart/2005/8/layout/hierarchy1"/>
    <dgm:cxn modelId="{EC4DC85A-6343-476A-8732-F5902AA6FD4A}" srcId="{2819FE20-C712-477C-BB1C-27D052A7CAC7}" destId="{87D32C68-1FC6-4026-B7C3-E4BA62F9FA5A}" srcOrd="1" destOrd="0" parTransId="{49389CD4-7B0B-4AE8-841A-3B64BA9C157C}" sibTransId="{965831CD-6623-4154-AAE9-74C21997CCB9}"/>
    <dgm:cxn modelId="{9B97147C-330F-47B1-A727-4F8219F2C8A3}" type="presOf" srcId="{F050CCD6-DF69-4B2E-8FA2-F68907C8B630}" destId="{04973A8A-0BCA-49D5-8452-EA6F0B9BBB3A}" srcOrd="0" destOrd="0" presId="urn:microsoft.com/office/officeart/2005/8/layout/hierarchy1"/>
    <dgm:cxn modelId="{6B874F81-F565-48B0-981F-CFFB4237C9E1}" type="presOf" srcId="{2819FE20-C712-477C-BB1C-27D052A7CAC7}" destId="{A39AEB1C-286B-4373-8FA0-B4660B980341}" srcOrd="0" destOrd="0" presId="urn:microsoft.com/office/officeart/2005/8/layout/hierarchy1"/>
    <dgm:cxn modelId="{F3A3BD81-D912-4AE6-B8DF-2D8E0FDA63D2}" type="presOf" srcId="{ECDDF814-62B3-4199-AD7F-53CD28DF2449}" destId="{96F76B2E-E5A7-46EF-8B26-2F893D56E3DF}" srcOrd="0" destOrd="0" presId="urn:microsoft.com/office/officeart/2005/8/layout/hierarchy1"/>
    <dgm:cxn modelId="{FBEE7189-B102-46D5-B86B-4A255C934A27}" type="presOf" srcId="{A15059B6-3944-4BF8-99EE-9D547D0BC357}" destId="{812462A1-7EC7-4972-AFA2-77F540466392}" srcOrd="0" destOrd="0" presId="urn:microsoft.com/office/officeart/2005/8/layout/hierarchy1"/>
    <dgm:cxn modelId="{8203EAA5-29BB-46CE-84BE-A80EE23B088C}" type="presOf" srcId="{BFA5D9AE-D1FB-41D4-AF4E-422352593A10}" destId="{9CDE89CB-9B94-41E2-917F-8A644781B021}" srcOrd="0" destOrd="0" presId="urn:microsoft.com/office/officeart/2005/8/layout/hierarchy1"/>
    <dgm:cxn modelId="{13C4DFA6-8FAC-4356-911E-CFAEAE496DA1}" type="presOf" srcId="{167D748B-5D79-4DE9-B1BF-34955B57B115}" destId="{19FF4A46-0894-4176-9D10-CA6C8104257D}" srcOrd="0" destOrd="0" presId="urn:microsoft.com/office/officeart/2005/8/layout/hierarchy1"/>
    <dgm:cxn modelId="{A42E0CAA-4B8A-4D6D-B130-43474596EE50}" srcId="{28B852C2-1C2F-4AC6-A853-C51B28ECCD65}" destId="{167D748B-5D79-4DE9-B1BF-34955B57B115}" srcOrd="0" destOrd="0" parTransId="{BFA5D9AE-D1FB-41D4-AF4E-422352593A10}" sibTransId="{BCA3C630-DDF1-4D2F-9FA7-9FA380B7800E}"/>
    <dgm:cxn modelId="{9BA64FAD-E87D-4167-94F6-946748ACF203}" type="presOf" srcId="{9E74A51D-3B07-42CB-BE76-153D4D2FD99D}" destId="{98C0C834-A4C9-401D-94FD-74FE95D4CE8C}" srcOrd="0" destOrd="0" presId="urn:microsoft.com/office/officeart/2005/8/layout/hierarchy1"/>
    <dgm:cxn modelId="{344716C3-5693-43E5-8AAC-9F843C43BDC2}" type="presOf" srcId="{2425D7BB-D662-429A-B6C7-EBC27ED6FC2F}" destId="{771B4CA9-0162-48C5-879A-FCA7F3F51C41}" srcOrd="0" destOrd="0" presId="urn:microsoft.com/office/officeart/2005/8/layout/hierarchy1"/>
    <dgm:cxn modelId="{133503C5-37B3-41CA-B82A-A37D26BDF543}" type="presOf" srcId="{91FBBBC0-A81F-43DA-B726-11A4D62E1889}" destId="{3020F5ED-AC22-4267-82AE-9C279311F61C}" srcOrd="0" destOrd="0" presId="urn:microsoft.com/office/officeart/2005/8/layout/hierarchy1"/>
    <dgm:cxn modelId="{6383FFC5-679F-45FE-88F1-899DFDF783E2}" srcId="{1F1545E9-FD44-403E-9E41-1F895E464989}" destId="{91FBBBC0-A81F-43DA-B726-11A4D62E1889}" srcOrd="0" destOrd="0" parTransId="{5D674236-10F0-4594-A5B1-589160C2DE5A}" sibTransId="{7AE646B9-451B-482F-A235-443738B681A8}"/>
    <dgm:cxn modelId="{638012CC-0632-4764-A111-C85E3EF66710}" type="presOf" srcId="{1F1545E9-FD44-403E-9E41-1F895E464989}" destId="{FAB70B6E-CAFA-4971-A767-95318F5A9609}" srcOrd="0" destOrd="0" presId="urn:microsoft.com/office/officeart/2005/8/layout/hierarchy1"/>
    <dgm:cxn modelId="{A1951BDC-A103-410D-8046-F84534296404}" type="presOf" srcId="{28B852C2-1C2F-4AC6-A853-C51B28ECCD65}" destId="{B02882C5-2B54-47C3-8BDE-43BE1B71DC00}" srcOrd="0" destOrd="0" presId="urn:microsoft.com/office/officeart/2005/8/layout/hierarchy1"/>
    <dgm:cxn modelId="{FF535AEE-FF60-44DC-9401-EDBE4CC496F7}" type="presOf" srcId="{26BABF5F-758F-4E95-999B-0FD8208C37DD}" destId="{CE6DE69C-D720-4293-9F83-8FF823B1B54C}" srcOrd="0" destOrd="0" presId="urn:microsoft.com/office/officeart/2005/8/layout/hierarchy1"/>
    <dgm:cxn modelId="{2A553FF4-D9B1-4F86-9917-9DA4D22E957E}" srcId="{038AD5E5-514D-47B4-BE4E-C1FAF31CBC9C}" destId="{3D5217B0-F035-433A-A856-BA511EEA6A23}" srcOrd="0" destOrd="0" parTransId="{2425D7BB-D662-429A-B6C7-EBC27ED6FC2F}" sibTransId="{468A8F74-9152-4530-B2CF-35AB6ABB012C}"/>
    <dgm:cxn modelId="{B81347C9-0877-430C-8F47-EFBD29F0B934}" type="presParOf" srcId="{FAB70B6E-CAFA-4971-A767-95318F5A9609}" destId="{97A02F68-9F00-4E62-A954-6A174E8A7E79}" srcOrd="0" destOrd="0" presId="urn:microsoft.com/office/officeart/2005/8/layout/hierarchy1"/>
    <dgm:cxn modelId="{C676DC85-A04E-4383-A8E6-CB6A04768056}" type="presParOf" srcId="{97A02F68-9F00-4E62-A954-6A174E8A7E79}" destId="{EA78105F-1F64-4A5A-AF81-A3A7899DA7B8}" srcOrd="0" destOrd="0" presId="urn:microsoft.com/office/officeart/2005/8/layout/hierarchy1"/>
    <dgm:cxn modelId="{3F65F2EA-F3EC-4B21-AD18-79542A88BFD5}" type="presParOf" srcId="{EA78105F-1F64-4A5A-AF81-A3A7899DA7B8}" destId="{87BBCA00-02B5-4F52-971E-DF82316A08D3}" srcOrd="0" destOrd="0" presId="urn:microsoft.com/office/officeart/2005/8/layout/hierarchy1"/>
    <dgm:cxn modelId="{1DF27D8F-B7F7-40B9-A104-A0B14EF67026}" type="presParOf" srcId="{EA78105F-1F64-4A5A-AF81-A3A7899DA7B8}" destId="{3020F5ED-AC22-4267-82AE-9C279311F61C}" srcOrd="1" destOrd="0" presId="urn:microsoft.com/office/officeart/2005/8/layout/hierarchy1"/>
    <dgm:cxn modelId="{8CF67980-71DB-4D19-A59D-0521E6093051}" type="presParOf" srcId="{97A02F68-9F00-4E62-A954-6A174E8A7E79}" destId="{AD23D3CB-2C2E-4C25-9098-B1B637870A86}" srcOrd="1" destOrd="0" presId="urn:microsoft.com/office/officeart/2005/8/layout/hierarchy1"/>
    <dgm:cxn modelId="{9FDA47D2-92D9-4A36-9F37-51F6931AF461}" type="presParOf" srcId="{AD23D3CB-2C2E-4C25-9098-B1B637870A86}" destId="{96F76B2E-E5A7-46EF-8B26-2F893D56E3DF}" srcOrd="0" destOrd="0" presId="urn:microsoft.com/office/officeart/2005/8/layout/hierarchy1"/>
    <dgm:cxn modelId="{DDC9ABC7-95E8-4C4F-921A-2DC8B8A02911}" type="presParOf" srcId="{AD23D3CB-2C2E-4C25-9098-B1B637870A86}" destId="{BD88DFB6-C40E-4974-B816-4EEFAEBA23C3}" srcOrd="1" destOrd="0" presId="urn:microsoft.com/office/officeart/2005/8/layout/hierarchy1"/>
    <dgm:cxn modelId="{6429E580-3EBD-4F84-9795-8DD01D4365B2}" type="presParOf" srcId="{BD88DFB6-C40E-4974-B816-4EEFAEBA23C3}" destId="{9E1C99B3-7128-4D2C-BE12-F8BF602D5870}" srcOrd="0" destOrd="0" presId="urn:microsoft.com/office/officeart/2005/8/layout/hierarchy1"/>
    <dgm:cxn modelId="{54640DD4-8DCF-4268-ABBF-228ABAEEE03B}" type="presParOf" srcId="{9E1C99B3-7128-4D2C-BE12-F8BF602D5870}" destId="{8F7C3718-46E6-47E7-A530-F92F7DABA1E2}" srcOrd="0" destOrd="0" presId="urn:microsoft.com/office/officeart/2005/8/layout/hierarchy1"/>
    <dgm:cxn modelId="{B1B2AE45-D040-4FE8-BB20-F6C6E4214BBE}" type="presParOf" srcId="{9E1C99B3-7128-4D2C-BE12-F8BF602D5870}" destId="{CE6DE69C-D720-4293-9F83-8FF823B1B54C}" srcOrd="1" destOrd="0" presId="urn:microsoft.com/office/officeart/2005/8/layout/hierarchy1"/>
    <dgm:cxn modelId="{515304A1-AE3F-478C-98DA-01BE9FA10895}" type="presParOf" srcId="{BD88DFB6-C40E-4974-B816-4EEFAEBA23C3}" destId="{65872E19-FCD5-487E-A583-9B7CDAA50F6E}" srcOrd="1" destOrd="0" presId="urn:microsoft.com/office/officeart/2005/8/layout/hierarchy1"/>
    <dgm:cxn modelId="{B2B5FC78-53CB-44BD-A129-C0E99EAF6795}" type="presParOf" srcId="{65872E19-FCD5-487E-A583-9B7CDAA50F6E}" destId="{812462A1-7EC7-4972-AFA2-77F540466392}" srcOrd="0" destOrd="0" presId="urn:microsoft.com/office/officeart/2005/8/layout/hierarchy1"/>
    <dgm:cxn modelId="{AE68EEA8-C82A-4E4D-BED7-5A354D943C67}" type="presParOf" srcId="{65872E19-FCD5-487E-A583-9B7CDAA50F6E}" destId="{A67D603A-703B-46B3-9035-4CE356B253CA}" srcOrd="1" destOrd="0" presId="urn:microsoft.com/office/officeart/2005/8/layout/hierarchy1"/>
    <dgm:cxn modelId="{FCEF2C02-F1D6-4A1A-AE5E-085364754286}" type="presParOf" srcId="{A67D603A-703B-46B3-9035-4CE356B253CA}" destId="{02239B87-B332-4339-A7CB-24E429DAF7CC}" srcOrd="0" destOrd="0" presId="urn:microsoft.com/office/officeart/2005/8/layout/hierarchy1"/>
    <dgm:cxn modelId="{6E842B81-BFD9-4EB3-B4AE-0182C50A9E79}" type="presParOf" srcId="{02239B87-B332-4339-A7CB-24E429DAF7CC}" destId="{7BD97537-282B-4779-A9ED-2521A57BCBAD}" srcOrd="0" destOrd="0" presId="urn:microsoft.com/office/officeart/2005/8/layout/hierarchy1"/>
    <dgm:cxn modelId="{7A02E04A-7418-43BE-A52A-C785CD160199}" type="presParOf" srcId="{02239B87-B332-4339-A7CB-24E429DAF7CC}" destId="{B02882C5-2B54-47C3-8BDE-43BE1B71DC00}" srcOrd="1" destOrd="0" presId="urn:microsoft.com/office/officeart/2005/8/layout/hierarchy1"/>
    <dgm:cxn modelId="{E1A3E431-AE1A-4E3D-9F7A-C1F2E2E861F9}" type="presParOf" srcId="{A67D603A-703B-46B3-9035-4CE356B253CA}" destId="{463D700A-D8B4-4A6C-958F-42B0C0E1EB87}" srcOrd="1" destOrd="0" presId="urn:microsoft.com/office/officeart/2005/8/layout/hierarchy1"/>
    <dgm:cxn modelId="{349447B2-F1C8-42CA-9E36-FBC612B01127}" type="presParOf" srcId="{463D700A-D8B4-4A6C-958F-42B0C0E1EB87}" destId="{9CDE89CB-9B94-41E2-917F-8A644781B021}" srcOrd="0" destOrd="0" presId="urn:microsoft.com/office/officeart/2005/8/layout/hierarchy1"/>
    <dgm:cxn modelId="{13AEE34C-A947-46E6-A849-6B316C2FCDE7}" type="presParOf" srcId="{463D700A-D8B4-4A6C-958F-42B0C0E1EB87}" destId="{86204031-5A83-4110-B118-77CFF7B986AB}" srcOrd="1" destOrd="0" presId="urn:microsoft.com/office/officeart/2005/8/layout/hierarchy1"/>
    <dgm:cxn modelId="{F1DEB2EA-9615-4035-84D2-410A7DF8A561}" type="presParOf" srcId="{86204031-5A83-4110-B118-77CFF7B986AB}" destId="{1083EB2C-EC57-4C40-A3B0-DF04FD5A073A}" srcOrd="0" destOrd="0" presId="urn:microsoft.com/office/officeart/2005/8/layout/hierarchy1"/>
    <dgm:cxn modelId="{86891283-57E2-47AA-B03D-5154E536083B}" type="presParOf" srcId="{1083EB2C-EC57-4C40-A3B0-DF04FD5A073A}" destId="{907CEB42-BF99-4605-9A2F-8B46523587F6}" srcOrd="0" destOrd="0" presId="urn:microsoft.com/office/officeart/2005/8/layout/hierarchy1"/>
    <dgm:cxn modelId="{49312BF7-1842-4E08-A972-551FE7C1C87E}" type="presParOf" srcId="{1083EB2C-EC57-4C40-A3B0-DF04FD5A073A}" destId="{19FF4A46-0894-4176-9D10-CA6C8104257D}" srcOrd="1" destOrd="0" presId="urn:microsoft.com/office/officeart/2005/8/layout/hierarchy1"/>
    <dgm:cxn modelId="{7DEA2A56-F868-4218-A716-2B021BB4DE41}" type="presParOf" srcId="{86204031-5A83-4110-B118-77CFF7B986AB}" destId="{ED48C7F6-86B4-485D-965C-850A4ECC9AE0}" srcOrd="1" destOrd="0" presId="urn:microsoft.com/office/officeart/2005/8/layout/hierarchy1"/>
    <dgm:cxn modelId="{BF13F34A-0576-4825-9885-83D97834B732}" type="presParOf" srcId="{65872E19-FCD5-487E-A583-9B7CDAA50F6E}" destId="{98C0C834-A4C9-401D-94FD-74FE95D4CE8C}" srcOrd="2" destOrd="0" presId="urn:microsoft.com/office/officeart/2005/8/layout/hierarchy1"/>
    <dgm:cxn modelId="{9A4BFF73-C5FB-425D-8C64-B79D9F0FB23B}" type="presParOf" srcId="{65872E19-FCD5-487E-A583-9B7CDAA50F6E}" destId="{F4C25557-B34E-4A1F-8413-061A9B261935}" srcOrd="3" destOrd="0" presId="urn:microsoft.com/office/officeart/2005/8/layout/hierarchy1"/>
    <dgm:cxn modelId="{E0C35B16-F36A-4CDE-B42C-1D605AA525DD}" type="presParOf" srcId="{F4C25557-B34E-4A1F-8413-061A9B261935}" destId="{3F26914E-3ABA-4C82-94A4-03EAC19756A3}" srcOrd="0" destOrd="0" presId="urn:microsoft.com/office/officeart/2005/8/layout/hierarchy1"/>
    <dgm:cxn modelId="{3CC37D1D-E7DC-422D-ACB4-F61D6AE1D8B8}" type="presParOf" srcId="{3F26914E-3ABA-4C82-94A4-03EAC19756A3}" destId="{1823019F-45B8-49D5-9229-299D2F0DF74C}" srcOrd="0" destOrd="0" presId="urn:microsoft.com/office/officeart/2005/8/layout/hierarchy1"/>
    <dgm:cxn modelId="{715DA349-BF54-406E-8ED2-2969562D2B4C}" type="presParOf" srcId="{3F26914E-3ABA-4C82-94A4-03EAC19756A3}" destId="{A39AEB1C-286B-4373-8FA0-B4660B980341}" srcOrd="1" destOrd="0" presId="urn:microsoft.com/office/officeart/2005/8/layout/hierarchy1"/>
    <dgm:cxn modelId="{FC1EA976-D9A8-487D-9F69-00ABF4A1E1B8}" type="presParOf" srcId="{F4C25557-B34E-4A1F-8413-061A9B261935}" destId="{C72B16FB-6D65-4DCF-B881-982100AD73C5}" srcOrd="1" destOrd="0" presId="urn:microsoft.com/office/officeart/2005/8/layout/hierarchy1"/>
    <dgm:cxn modelId="{8CAAE8B7-408A-45D4-82EB-B7C6D2EB6504}" type="presParOf" srcId="{C72B16FB-6D65-4DCF-B881-982100AD73C5}" destId="{04973A8A-0BCA-49D5-8452-EA6F0B9BBB3A}" srcOrd="0" destOrd="0" presId="urn:microsoft.com/office/officeart/2005/8/layout/hierarchy1"/>
    <dgm:cxn modelId="{E37422C6-3550-4155-B9F2-F0063EB5646F}" type="presParOf" srcId="{C72B16FB-6D65-4DCF-B881-982100AD73C5}" destId="{EBA50AC0-691E-4BC8-8801-9D399BDA3727}" srcOrd="1" destOrd="0" presId="urn:microsoft.com/office/officeart/2005/8/layout/hierarchy1"/>
    <dgm:cxn modelId="{8AEE471C-A415-4001-91D0-17D927BD6643}" type="presParOf" srcId="{EBA50AC0-691E-4BC8-8801-9D399BDA3727}" destId="{74D9C82A-E62B-4D14-B7E2-843230A6313A}" srcOrd="0" destOrd="0" presId="urn:microsoft.com/office/officeart/2005/8/layout/hierarchy1"/>
    <dgm:cxn modelId="{0B77A317-D5C4-4769-B577-79D2A754604C}" type="presParOf" srcId="{74D9C82A-E62B-4D14-B7E2-843230A6313A}" destId="{91A25012-9D3B-4731-A92C-6B96C229E7E2}" srcOrd="0" destOrd="0" presId="urn:microsoft.com/office/officeart/2005/8/layout/hierarchy1"/>
    <dgm:cxn modelId="{8033AD29-B8E1-4114-A98B-41A7D62F3B00}" type="presParOf" srcId="{74D9C82A-E62B-4D14-B7E2-843230A6313A}" destId="{C500FB52-BB03-4C07-AAAB-6760DF1AF566}" srcOrd="1" destOrd="0" presId="urn:microsoft.com/office/officeart/2005/8/layout/hierarchy1"/>
    <dgm:cxn modelId="{BE40ED42-FABF-46DA-BCAF-9C87DFC0533E}" type="presParOf" srcId="{EBA50AC0-691E-4BC8-8801-9D399BDA3727}" destId="{9CD6EC7D-7C64-4039-9307-C33D6D1D764B}" srcOrd="1" destOrd="0" presId="urn:microsoft.com/office/officeart/2005/8/layout/hierarchy1"/>
    <dgm:cxn modelId="{088516A2-E685-4BF3-9B7C-D4BBD961E7A7}" type="presParOf" srcId="{9CD6EC7D-7C64-4039-9307-C33D6D1D764B}" destId="{771B4CA9-0162-48C5-879A-FCA7F3F51C41}" srcOrd="0" destOrd="0" presId="urn:microsoft.com/office/officeart/2005/8/layout/hierarchy1"/>
    <dgm:cxn modelId="{A8F79654-965F-4A24-BA0A-5697AFDA2EF4}" type="presParOf" srcId="{9CD6EC7D-7C64-4039-9307-C33D6D1D764B}" destId="{8856C117-75A6-4998-B6CC-CD00379F6436}" srcOrd="1" destOrd="0" presId="urn:microsoft.com/office/officeart/2005/8/layout/hierarchy1"/>
    <dgm:cxn modelId="{DFCF59CC-FA4B-4EA8-A882-BF829B96AAE7}" type="presParOf" srcId="{8856C117-75A6-4998-B6CC-CD00379F6436}" destId="{59C0C83D-963B-47EE-8C9A-6D35DECD4F21}" srcOrd="0" destOrd="0" presId="urn:microsoft.com/office/officeart/2005/8/layout/hierarchy1"/>
    <dgm:cxn modelId="{B3943F4D-38F4-4E01-94A9-C960B4C44B41}" type="presParOf" srcId="{59C0C83D-963B-47EE-8C9A-6D35DECD4F21}" destId="{EEF94E5E-A943-4AD3-B4F5-B6CC5ECA2273}" srcOrd="0" destOrd="0" presId="urn:microsoft.com/office/officeart/2005/8/layout/hierarchy1"/>
    <dgm:cxn modelId="{5B735AC3-018A-49A8-9C87-5B1DEA38993D}" type="presParOf" srcId="{59C0C83D-963B-47EE-8C9A-6D35DECD4F21}" destId="{6F2CE028-4E54-4853-A22A-1DBA22AAB98F}" srcOrd="1" destOrd="0" presId="urn:microsoft.com/office/officeart/2005/8/layout/hierarchy1"/>
    <dgm:cxn modelId="{1E4BE1AD-BEDB-4852-850B-DCFF7582994F}" type="presParOf" srcId="{8856C117-75A6-4998-B6CC-CD00379F6436}" destId="{73565974-E416-4F1C-9155-8C91814590B2}" srcOrd="1" destOrd="0" presId="urn:microsoft.com/office/officeart/2005/8/layout/hierarchy1"/>
    <dgm:cxn modelId="{4211EEFE-7148-49FB-B78A-54CBC396EC7B}" type="presParOf" srcId="{C72B16FB-6D65-4DCF-B881-982100AD73C5}" destId="{BFA22FC7-0BD9-4EF1-B5EE-45842A6BA5E7}" srcOrd="2" destOrd="0" presId="urn:microsoft.com/office/officeart/2005/8/layout/hierarchy1"/>
    <dgm:cxn modelId="{AB762721-1F06-4103-B8A2-C0068163E5B7}" type="presParOf" srcId="{C72B16FB-6D65-4DCF-B881-982100AD73C5}" destId="{8DB3B1F7-2CD7-4904-98A2-B5F81A3F344B}" srcOrd="3" destOrd="0" presId="urn:microsoft.com/office/officeart/2005/8/layout/hierarchy1"/>
    <dgm:cxn modelId="{B6E35F8D-E213-48CA-80E5-E975A3DEEB28}" type="presParOf" srcId="{8DB3B1F7-2CD7-4904-98A2-B5F81A3F344B}" destId="{B72CCE25-13D3-4CB1-8D4B-2A61A090BE01}" srcOrd="0" destOrd="0" presId="urn:microsoft.com/office/officeart/2005/8/layout/hierarchy1"/>
    <dgm:cxn modelId="{B783AF64-4EE2-4323-BD7A-B9BD779FDBAF}" type="presParOf" srcId="{B72CCE25-13D3-4CB1-8D4B-2A61A090BE01}" destId="{1A20C1D8-DAFE-4276-85C7-10765E654F54}" srcOrd="0" destOrd="0" presId="urn:microsoft.com/office/officeart/2005/8/layout/hierarchy1"/>
    <dgm:cxn modelId="{AE978442-81B7-48BA-A894-EF0CA20DAF0B}" type="presParOf" srcId="{B72CCE25-13D3-4CB1-8D4B-2A61A090BE01}" destId="{C319D7DA-77C8-413C-A7BA-ECB673613D3F}" srcOrd="1" destOrd="0" presId="urn:microsoft.com/office/officeart/2005/8/layout/hierarchy1"/>
    <dgm:cxn modelId="{EA0D6E72-1E76-4ECE-A6F6-79557DF420F8}" type="presParOf" srcId="{8DB3B1F7-2CD7-4904-98A2-B5F81A3F344B}" destId="{BE03252E-1E30-4FEB-9706-CDEC2F5F3F16}" srcOrd="1" destOrd="0" presId="urn:microsoft.com/office/officeart/2005/8/layout/hierarchy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0651D68-C75D-4F98-B2B2-97365299B600}"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en-GB"/>
        </a:p>
      </dgm:t>
    </dgm:pt>
    <dgm:pt modelId="{59D88B15-B3CA-450F-AEF6-2BA2D1E71BBC}">
      <dgm:prSet phldrT="[Text]"/>
      <dgm:spPr>
        <a:xfrm>
          <a:off x="446834" y="320040"/>
          <a:ext cx="5636193" cy="640080"/>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ZW">
              <a:solidFill>
                <a:sysClr val="window" lastClr="FFFFFF"/>
              </a:solidFill>
              <a:latin typeface="Aptos" panose="02110004020202020204"/>
              <a:ea typeface="+mn-ea"/>
              <a:cs typeface="+mn-cs"/>
            </a:rPr>
            <a:t>Annual CPD (minimum 35 hours)</a:t>
          </a:r>
        </a:p>
        <a:p>
          <a:pPr>
            <a:buNone/>
          </a:pPr>
          <a:r>
            <a:rPr lang="en-ZW">
              <a:solidFill>
                <a:sysClr val="window" lastClr="FFFFFF"/>
              </a:solidFill>
              <a:latin typeface="Aptos" panose="02110004020202020204"/>
              <a:ea typeface="+mn-ea"/>
              <a:cs typeface="+mn-cs"/>
            </a:rPr>
            <a:t>Lender-specific workshops</a:t>
          </a:r>
          <a:endParaRPr lang="en-GB">
            <a:solidFill>
              <a:sysClr val="window" lastClr="FFFFFF"/>
            </a:solidFill>
            <a:latin typeface="Aptos" panose="02110004020202020204"/>
            <a:ea typeface="+mn-ea"/>
            <a:cs typeface="+mn-cs"/>
          </a:endParaRPr>
        </a:p>
      </dgm:t>
    </dgm:pt>
    <dgm:pt modelId="{5910C1D6-3E68-4EB1-BDA0-CA22B980CDD9}" type="parTrans" cxnId="{B11DA2E0-B1E5-4F38-BE6C-DB844E35BA76}">
      <dgm:prSet/>
      <dgm:spPr/>
      <dgm:t>
        <a:bodyPr/>
        <a:lstStyle/>
        <a:p>
          <a:endParaRPr lang="en-GB"/>
        </a:p>
      </dgm:t>
    </dgm:pt>
    <dgm:pt modelId="{1F031803-2F99-4049-8A83-2797CCB6F7DF}" type="sibTrans" cxnId="{B11DA2E0-B1E5-4F38-BE6C-DB844E35BA76}">
      <dgm:prSet/>
      <dgm:spPr>
        <a:xfrm>
          <a:off x="-3617274" y="-555868"/>
          <a:ext cx="4312137" cy="4312137"/>
        </a:xfrm>
        <a:prstGeom prst="blockArc">
          <a:avLst>
            <a:gd name="adj1" fmla="val 18900000"/>
            <a:gd name="adj2" fmla="val 2700000"/>
            <a:gd name="adj3" fmla="val 454"/>
          </a:avLst>
        </a:prstGeom>
        <a:noFill/>
        <a:ln w="19050" cap="flat" cmpd="sng" algn="ctr">
          <a:solidFill>
            <a:srgbClr val="156082">
              <a:shade val="60000"/>
              <a:hueOff val="0"/>
              <a:satOff val="0"/>
              <a:lumOff val="0"/>
              <a:alphaOff val="0"/>
            </a:srgbClr>
          </a:solidFill>
          <a:prstDash val="solid"/>
          <a:miter lim="800000"/>
        </a:ln>
        <a:effectLst/>
      </dgm:spPr>
      <dgm:t>
        <a:bodyPr/>
        <a:lstStyle/>
        <a:p>
          <a:endParaRPr lang="en-GB"/>
        </a:p>
      </dgm:t>
    </dgm:pt>
    <dgm:pt modelId="{50302C5A-B043-4D70-BD80-217A034E77DC}">
      <dgm:prSet phldrT="[Text]"/>
      <dgm:spPr>
        <a:xfrm>
          <a:off x="679503" y="1280160"/>
          <a:ext cx="5403524" cy="640080"/>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ZW">
              <a:solidFill>
                <a:sysClr val="window" lastClr="FFFFFF"/>
              </a:solidFill>
              <a:latin typeface="Aptos" panose="02110004020202020204"/>
              <a:ea typeface="+mn-ea"/>
              <a:cs typeface="+mn-cs"/>
            </a:rPr>
            <a:t>Consumer Duty training</a:t>
          </a:r>
        </a:p>
        <a:p>
          <a:pPr>
            <a:buNone/>
          </a:pPr>
          <a:r>
            <a:rPr lang="en-ZW">
              <a:solidFill>
                <a:sysClr val="window" lastClr="FFFFFF"/>
              </a:solidFill>
              <a:latin typeface="Aptos" panose="02110004020202020204"/>
              <a:ea typeface="+mn-ea"/>
              <a:cs typeface="+mn-cs"/>
            </a:rPr>
            <a:t>CRM and technology skills training</a:t>
          </a:r>
          <a:endParaRPr lang="en-GB">
            <a:solidFill>
              <a:sysClr val="window" lastClr="FFFFFF"/>
            </a:solidFill>
            <a:latin typeface="Aptos" panose="02110004020202020204"/>
            <a:ea typeface="+mn-ea"/>
            <a:cs typeface="+mn-cs"/>
          </a:endParaRPr>
        </a:p>
      </dgm:t>
    </dgm:pt>
    <dgm:pt modelId="{68393F3B-AF11-4B16-BBC8-3EE86FBEE471}" type="parTrans" cxnId="{70A7E609-5D0E-4805-9648-7B50708729DE}">
      <dgm:prSet/>
      <dgm:spPr/>
      <dgm:t>
        <a:bodyPr/>
        <a:lstStyle/>
        <a:p>
          <a:endParaRPr lang="en-GB"/>
        </a:p>
      </dgm:t>
    </dgm:pt>
    <dgm:pt modelId="{B4237D94-F7F6-4089-B572-F047517E1186}" type="sibTrans" cxnId="{70A7E609-5D0E-4805-9648-7B50708729DE}">
      <dgm:prSet/>
      <dgm:spPr/>
      <dgm:t>
        <a:bodyPr/>
        <a:lstStyle/>
        <a:p>
          <a:endParaRPr lang="en-GB"/>
        </a:p>
      </dgm:t>
    </dgm:pt>
    <dgm:pt modelId="{CD57C819-D11D-4829-8054-775E0D64A3D4}">
      <dgm:prSet phldrT="[Text]"/>
      <dgm:spPr>
        <a:xfrm>
          <a:off x="446834" y="2240280"/>
          <a:ext cx="5636193" cy="640080"/>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ZW">
              <a:solidFill>
                <a:sysClr val="window" lastClr="FFFFFF"/>
              </a:solidFill>
              <a:latin typeface="Aptos" panose="02110004020202020204"/>
              <a:ea typeface="+mn-ea"/>
              <a:cs typeface="+mn-cs"/>
            </a:rPr>
            <a:t>AML and financial crime prevention training</a:t>
          </a:r>
        </a:p>
        <a:p>
          <a:pPr>
            <a:buNone/>
          </a:pPr>
          <a:r>
            <a:rPr lang="en-ZW">
              <a:solidFill>
                <a:sysClr val="window" lastClr="FFFFFF"/>
              </a:solidFill>
              <a:latin typeface="Aptos" panose="02110004020202020204"/>
              <a:ea typeface="+mn-ea"/>
              <a:cs typeface="+mn-cs"/>
            </a:rPr>
            <a:t>Soft skills development, such as communication and client management</a:t>
          </a:r>
        </a:p>
        <a:p>
          <a:pPr>
            <a:buNone/>
          </a:pPr>
          <a:endParaRPr lang="en-GB">
            <a:solidFill>
              <a:sysClr val="window" lastClr="FFFFFF"/>
            </a:solidFill>
            <a:latin typeface="Aptos" panose="02110004020202020204"/>
            <a:ea typeface="+mn-ea"/>
            <a:cs typeface="+mn-cs"/>
          </a:endParaRPr>
        </a:p>
      </dgm:t>
    </dgm:pt>
    <dgm:pt modelId="{7FF93A85-7042-4441-821E-D75112A33DFB}" type="parTrans" cxnId="{271126AB-A8F8-4D3A-9C56-F819721DC3C8}">
      <dgm:prSet/>
      <dgm:spPr/>
      <dgm:t>
        <a:bodyPr/>
        <a:lstStyle/>
        <a:p>
          <a:endParaRPr lang="en-GB"/>
        </a:p>
      </dgm:t>
    </dgm:pt>
    <dgm:pt modelId="{3259C3E8-680F-4B7A-889A-F2F044EA7256}" type="sibTrans" cxnId="{271126AB-A8F8-4D3A-9C56-F819721DC3C8}">
      <dgm:prSet/>
      <dgm:spPr/>
      <dgm:t>
        <a:bodyPr/>
        <a:lstStyle/>
        <a:p>
          <a:endParaRPr lang="en-GB"/>
        </a:p>
      </dgm:t>
    </dgm:pt>
    <dgm:pt modelId="{08580C63-CAA1-4D56-B3F7-5055DB8D9EBC}" type="pres">
      <dgm:prSet presAssocID="{10651D68-C75D-4F98-B2B2-97365299B600}" presName="Name0" presStyleCnt="0">
        <dgm:presLayoutVars>
          <dgm:chMax val="7"/>
          <dgm:chPref val="7"/>
          <dgm:dir/>
        </dgm:presLayoutVars>
      </dgm:prSet>
      <dgm:spPr/>
    </dgm:pt>
    <dgm:pt modelId="{623B7E32-A00C-447D-9889-0437F50BAF9B}" type="pres">
      <dgm:prSet presAssocID="{10651D68-C75D-4F98-B2B2-97365299B600}" presName="Name1" presStyleCnt="0"/>
      <dgm:spPr/>
    </dgm:pt>
    <dgm:pt modelId="{B512566F-3773-40CE-8567-561F9AB2D436}" type="pres">
      <dgm:prSet presAssocID="{10651D68-C75D-4F98-B2B2-97365299B600}" presName="cycle" presStyleCnt="0"/>
      <dgm:spPr/>
    </dgm:pt>
    <dgm:pt modelId="{A741DE62-AC8A-44E9-805D-B850EFA42CCD}" type="pres">
      <dgm:prSet presAssocID="{10651D68-C75D-4F98-B2B2-97365299B600}" presName="srcNode" presStyleLbl="node1" presStyleIdx="0" presStyleCnt="3"/>
      <dgm:spPr/>
    </dgm:pt>
    <dgm:pt modelId="{8FB6FCB5-87BA-464A-B91B-9738226F2F8B}" type="pres">
      <dgm:prSet presAssocID="{10651D68-C75D-4F98-B2B2-97365299B600}" presName="conn" presStyleLbl="parChTrans1D2" presStyleIdx="0" presStyleCnt="1"/>
      <dgm:spPr/>
    </dgm:pt>
    <dgm:pt modelId="{33A0146F-303D-4D0E-8DE7-7220E39DC962}" type="pres">
      <dgm:prSet presAssocID="{10651D68-C75D-4F98-B2B2-97365299B600}" presName="extraNode" presStyleLbl="node1" presStyleIdx="0" presStyleCnt="3"/>
      <dgm:spPr/>
    </dgm:pt>
    <dgm:pt modelId="{17E42A97-18B8-43AC-AE24-824EB7C472EE}" type="pres">
      <dgm:prSet presAssocID="{10651D68-C75D-4F98-B2B2-97365299B600}" presName="dstNode" presStyleLbl="node1" presStyleIdx="0" presStyleCnt="3"/>
      <dgm:spPr/>
    </dgm:pt>
    <dgm:pt modelId="{F4DCA3DF-1CFE-41B7-B71E-1C33B1D7AF2A}" type="pres">
      <dgm:prSet presAssocID="{59D88B15-B3CA-450F-AEF6-2BA2D1E71BBC}" presName="text_1" presStyleLbl="node1" presStyleIdx="0" presStyleCnt="3">
        <dgm:presLayoutVars>
          <dgm:bulletEnabled val="1"/>
        </dgm:presLayoutVars>
      </dgm:prSet>
      <dgm:spPr/>
    </dgm:pt>
    <dgm:pt modelId="{77C310E1-FEB3-4489-8F6A-8CD7A9EBD388}" type="pres">
      <dgm:prSet presAssocID="{59D88B15-B3CA-450F-AEF6-2BA2D1E71BBC}" presName="accent_1" presStyleCnt="0"/>
      <dgm:spPr/>
    </dgm:pt>
    <dgm:pt modelId="{2B0EF42A-1B8F-4305-BF73-A9F4C44446F1}" type="pres">
      <dgm:prSet presAssocID="{59D88B15-B3CA-450F-AEF6-2BA2D1E71BBC}" presName="accentRepeatNode" presStyleLbl="solidFgAcc1" presStyleIdx="0" presStyleCnt="3"/>
      <dgm:spPr>
        <a:xfrm>
          <a:off x="46784" y="240030"/>
          <a:ext cx="800100" cy="800100"/>
        </a:xfrm>
        <a:prstGeom prst="ellipse">
          <a:avLst/>
        </a:prstGeom>
        <a:solidFill>
          <a:sysClr val="window" lastClr="FFFFFF">
            <a:hueOff val="0"/>
            <a:satOff val="0"/>
            <a:lumOff val="0"/>
            <a:alphaOff val="0"/>
          </a:sysClr>
        </a:solidFill>
        <a:ln w="19050" cap="flat" cmpd="sng" algn="ctr">
          <a:solidFill>
            <a:srgbClr val="156082">
              <a:hueOff val="0"/>
              <a:satOff val="0"/>
              <a:lumOff val="0"/>
              <a:alphaOff val="0"/>
            </a:srgbClr>
          </a:solidFill>
          <a:prstDash val="solid"/>
          <a:miter lim="800000"/>
        </a:ln>
        <a:effectLst/>
      </dgm:spPr>
    </dgm:pt>
    <dgm:pt modelId="{0F4C4BB8-12DD-409D-8C62-2757135AD4A0}" type="pres">
      <dgm:prSet presAssocID="{50302C5A-B043-4D70-BD80-217A034E77DC}" presName="text_2" presStyleLbl="node1" presStyleIdx="1" presStyleCnt="3">
        <dgm:presLayoutVars>
          <dgm:bulletEnabled val="1"/>
        </dgm:presLayoutVars>
      </dgm:prSet>
      <dgm:spPr/>
    </dgm:pt>
    <dgm:pt modelId="{89E36441-9F1A-46D3-B4B3-3EA5E72ED2CB}" type="pres">
      <dgm:prSet presAssocID="{50302C5A-B043-4D70-BD80-217A034E77DC}" presName="accent_2" presStyleCnt="0"/>
      <dgm:spPr/>
    </dgm:pt>
    <dgm:pt modelId="{1B9E0F79-B2B4-4D77-9379-4F03320C8DF8}" type="pres">
      <dgm:prSet presAssocID="{50302C5A-B043-4D70-BD80-217A034E77DC}" presName="accentRepeatNode" presStyleLbl="solidFgAcc1" presStyleIdx="1" presStyleCnt="3"/>
      <dgm:spPr>
        <a:xfrm>
          <a:off x="279453" y="1200150"/>
          <a:ext cx="800100" cy="800100"/>
        </a:xfrm>
        <a:prstGeom prst="ellipse">
          <a:avLst/>
        </a:prstGeom>
        <a:solidFill>
          <a:sysClr val="window" lastClr="FFFFFF">
            <a:hueOff val="0"/>
            <a:satOff val="0"/>
            <a:lumOff val="0"/>
            <a:alphaOff val="0"/>
          </a:sysClr>
        </a:solidFill>
        <a:ln w="19050" cap="flat" cmpd="sng" algn="ctr">
          <a:solidFill>
            <a:srgbClr val="156082">
              <a:hueOff val="0"/>
              <a:satOff val="0"/>
              <a:lumOff val="0"/>
              <a:alphaOff val="0"/>
            </a:srgbClr>
          </a:solidFill>
          <a:prstDash val="solid"/>
          <a:miter lim="800000"/>
        </a:ln>
        <a:effectLst/>
      </dgm:spPr>
    </dgm:pt>
    <dgm:pt modelId="{9848C9C9-B3A0-473C-82A5-22BF3E70BFF8}" type="pres">
      <dgm:prSet presAssocID="{CD57C819-D11D-4829-8054-775E0D64A3D4}" presName="text_3" presStyleLbl="node1" presStyleIdx="2" presStyleCnt="3">
        <dgm:presLayoutVars>
          <dgm:bulletEnabled val="1"/>
        </dgm:presLayoutVars>
      </dgm:prSet>
      <dgm:spPr/>
    </dgm:pt>
    <dgm:pt modelId="{5A7626F6-4106-46A2-B53F-05E4B27BDCBB}" type="pres">
      <dgm:prSet presAssocID="{CD57C819-D11D-4829-8054-775E0D64A3D4}" presName="accent_3" presStyleCnt="0"/>
      <dgm:spPr/>
    </dgm:pt>
    <dgm:pt modelId="{0940A145-5A32-453E-ADBE-C085D919B802}" type="pres">
      <dgm:prSet presAssocID="{CD57C819-D11D-4829-8054-775E0D64A3D4}" presName="accentRepeatNode" presStyleLbl="solidFgAcc1" presStyleIdx="2" presStyleCnt="3"/>
      <dgm:spPr>
        <a:xfrm>
          <a:off x="46784" y="2160270"/>
          <a:ext cx="800100" cy="800100"/>
        </a:xfrm>
        <a:prstGeom prst="ellipse">
          <a:avLst/>
        </a:prstGeom>
        <a:solidFill>
          <a:sysClr val="window" lastClr="FFFFFF">
            <a:hueOff val="0"/>
            <a:satOff val="0"/>
            <a:lumOff val="0"/>
            <a:alphaOff val="0"/>
          </a:sysClr>
        </a:solidFill>
        <a:ln w="19050" cap="flat" cmpd="sng" algn="ctr">
          <a:solidFill>
            <a:srgbClr val="156082">
              <a:hueOff val="0"/>
              <a:satOff val="0"/>
              <a:lumOff val="0"/>
              <a:alphaOff val="0"/>
            </a:srgbClr>
          </a:solidFill>
          <a:prstDash val="solid"/>
          <a:miter lim="800000"/>
        </a:ln>
        <a:effectLst/>
      </dgm:spPr>
    </dgm:pt>
  </dgm:ptLst>
  <dgm:cxnLst>
    <dgm:cxn modelId="{70A7E609-5D0E-4805-9648-7B50708729DE}" srcId="{10651D68-C75D-4F98-B2B2-97365299B600}" destId="{50302C5A-B043-4D70-BD80-217A034E77DC}" srcOrd="1" destOrd="0" parTransId="{68393F3B-AF11-4B16-BBC8-3EE86FBEE471}" sibTransId="{B4237D94-F7F6-4089-B572-F047517E1186}"/>
    <dgm:cxn modelId="{DAB79530-E7AD-42AE-AE0A-0F33C8E63113}" type="presOf" srcId="{10651D68-C75D-4F98-B2B2-97365299B600}" destId="{08580C63-CAA1-4D56-B3F7-5055DB8D9EBC}" srcOrd="0" destOrd="0" presId="urn:microsoft.com/office/officeart/2008/layout/VerticalCurvedList"/>
    <dgm:cxn modelId="{E472E946-37E7-4234-8590-621727F23ECA}" type="presOf" srcId="{1F031803-2F99-4049-8A83-2797CCB6F7DF}" destId="{8FB6FCB5-87BA-464A-B91B-9738226F2F8B}" srcOrd="0" destOrd="0" presId="urn:microsoft.com/office/officeart/2008/layout/VerticalCurvedList"/>
    <dgm:cxn modelId="{EED9786D-8CF9-4A36-9559-107E1BD44A69}" type="presOf" srcId="{CD57C819-D11D-4829-8054-775E0D64A3D4}" destId="{9848C9C9-B3A0-473C-82A5-22BF3E70BFF8}" srcOrd="0" destOrd="0" presId="urn:microsoft.com/office/officeart/2008/layout/VerticalCurvedList"/>
    <dgm:cxn modelId="{D0186E9F-9488-4E7E-A69D-C7409A985F6A}" type="presOf" srcId="{59D88B15-B3CA-450F-AEF6-2BA2D1E71BBC}" destId="{F4DCA3DF-1CFE-41B7-B71E-1C33B1D7AF2A}" srcOrd="0" destOrd="0" presId="urn:microsoft.com/office/officeart/2008/layout/VerticalCurvedList"/>
    <dgm:cxn modelId="{271126AB-A8F8-4D3A-9C56-F819721DC3C8}" srcId="{10651D68-C75D-4F98-B2B2-97365299B600}" destId="{CD57C819-D11D-4829-8054-775E0D64A3D4}" srcOrd="2" destOrd="0" parTransId="{7FF93A85-7042-4441-821E-D75112A33DFB}" sibTransId="{3259C3E8-680F-4B7A-889A-F2F044EA7256}"/>
    <dgm:cxn modelId="{B11DA2E0-B1E5-4F38-BE6C-DB844E35BA76}" srcId="{10651D68-C75D-4F98-B2B2-97365299B600}" destId="{59D88B15-B3CA-450F-AEF6-2BA2D1E71BBC}" srcOrd="0" destOrd="0" parTransId="{5910C1D6-3E68-4EB1-BDA0-CA22B980CDD9}" sibTransId="{1F031803-2F99-4049-8A83-2797CCB6F7DF}"/>
    <dgm:cxn modelId="{5D8E12F5-3AC8-4CD3-8A66-04B90817F634}" type="presOf" srcId="{50302C5A-B043-4D70-BD80-217A034E77DC}" destId="{0F4C4BB8-12DD-409D-8C62-2757135AD4A0}" srcOrd="0" destOrd="0" presId="urn:microsoft.com/office/officeart/2008/layout/VerticalCurvedList"/>
    <dgm:cxn modelId="{5717765A-865B-4CB2-B8C3-EEA08311D6C4}" type="presParOf" srcId="{08580C63-CAA1-4D56-B3F7-5055DB8D9EBC}" destId="{623B7E32-A00C-447D-9889-0437F50BAF9B}" srcOrd="0" destOrd="0" presId="urn:microsoft.com/office/officeart/2008/layout/VerticalCurvedList"/>
    <dgm:cxn modelId="{6351E3C0-7140-4935-9BF1-E9AE71BFA4F5}" type="presParOf" srcId="{623B7E32-A00C-447D-9889-0437F50BAF9B}" destId="{B512566F-3773-40CE-8567-561F9AB2D436}" srcOrd="0" destOrd="0" presId="urn:microsoft.com/office/officeart/2008/layout/VerticalCurvedList"/>
    <dgm:cxn modelId="{02D56921-30EE-4F98-82A2-04DC766C1B05}" type="presParOf" srcId="{B512566F-3773-40CE-8567-561F9AB2D436}" destId="{A741DE62-AC8A-44E9-805D-B850EFA42CCD}" srcOrd="0" destOrd="0" presId="urn:microsoft.com/office/officeart/2008/layout/VerticalCurvedList"/>
    <dgm:cxn modelId="{0199415D-8F40-442B-A4D7-871DBA4ECB46}" type="presParOf" srcId="{B512566F-3773-40CE-8567-561F9AB2D436}" destId="{8FB6FCB5-87BA-464A-B91B-9738226F2F8B}" srcOrd="1" destOrd="0" presId="urn:microsoft.com/office/officeart/2008/layout/VerticalCurvedList"/>
    <dgm:cxn modelId="{A110591E-C350-49DC-A856-D322EBC86686}" type="presParOf" srcId="{B512566F-3773-40CE-8567-561F9AB2D436}" destId="{33A0146F-303D-4D0E-8DE7-7220E39DC962}" srcOrd="2" destOrd="0" presId="urn:microsoft.com/office/officeart/2008/layout/VerticalCurvedList"/>
    <dgm:cxn modelId="{458BBE9E-B3AF-494F-8B27-5E309D98BEB5}" type="presParOf" srcId="{B512566F-3773-40CE-8567-561F9AB2D436}" destId="{17E42A97-18B8-43AC-AE24-824EB7C472EE}" srcOrd="3" destOrd="0" presId="urn:microsoft.com/office/officeart/2008/layout/VerticalCurvedList"/>
    <dgm:cxn modelId="{574F0D78-2685-4553-A0E3-C39E1248B9BA}" type="presParOf" srcId="{623B7E32-A00C-447D-9889-0437F50BAF9B}" destId="{F4DCA3DF-1CFE-41B7-B71E-1C33B1D7AF2A}" srcOrd="1" destOrd="0" presId="urn:microsoft.com/office/officeart/2008/layout/VerticalCurvedList"/>
    <dgm:cxn modelId="{D1CEAC9B-808C-44F0-9AD6-F0AF1CE66E72}" type="presParOf" srcId="{623B7E32-A00C-447D-9889-0437F50BAF9B}" destId="{77C310E1-FEB3-4489-8F6A-8CD7A9EBD388}" srcOrd="2" destOrd="0" presId="urn:microsoft.com/office/officeart/2008/layout/VerticalCurvedList"/>
    <dgm:cxn modelId="{0CF03D57-EA81-4F09-A88F-AA489F1022C5}" type="presParOf" srcId="{77C310E1-FEB3-4489-8F6A-8CD7A9EBD388}" destId="{2B0EF42A-1B8F-4305-BF73-A9F4C44446F1}" srcOrd="0" destOrd="0" presId="urn:microsoft.com/office/officeart/2008/layout/VerticalCurvedList"/>
    <dgm:cxn modelId="{8739C38F-AC4C-49EF-86FF-1D11DC036F73}" type="presParOf" srcId="{623B7E32-A00C-447D-9889-0437F50BAF9B}" destId="{0F4C4BB8-12DD-409D-8C62-2757135AD4A0}" srcOrd="3" destOrd="0" presId="urn:microsoft.com/office/officeart/2008/layout/VerticalCurvedList"/>
    <dgm:cxn modelId="{31F2DC9B-3819-44A6-A41D-501764B4EE90}" type="presParOf" srcId="{623B7E32-A00C-447D-9889-0437F50BAF9B}" destId="{89E36441-9F1A-46D3-B4B3-3EA5E72ED2CB}" srcOrd="4" destOrd="0" presId="urn:microsoft.com/office/officeart/2008/layout/VerticalCurvedList"/>
    <dgm:cxn modelId="{E3835F21-8A35-4B74-9AD8-9277B8E21970}" type="presParOf" srcId="{89E36441-9F1A-46D3-B4B3-3EA5E72ED2CB}" destId="{1B9E0F79-B2B4-4D77-9379-4F03320C8DF8}" srcOrd="0" destOrd="0" presId="urn:microsoft.com/office/officeart/2008/layout/VerticalCurvedList"/>
    <dgm:cxn modelId="{460141F0-3DF2-48F7-A23A-420CB7D46958}" type="presParOf" srcId="{623B7E32-A00C-447D-9889-0437F50BAF9B}" destId="{9848C9C9-B3A0-473C-82A5-22BF3E70BFF8}" srcOrd="5" destOrd="0" presId="urn:microsoft.com/office/officeart/2008/layout/VerticalCurvedList"/>
    <dgm:cxn modelId="{16154080-DF1C-4A70-968B-A31D4CF11EB7}" type="presParOf" srcId="{623B7E32-A00C-447D-9889-0437F50BAF9B}" destId="{5A7626F6-4106-46A2-B53F-05E4B27BDCBB}" srcOrd="6" destOrd="0" presId="urn:microsoft.com/office/officeart/2008/layout/VerticalCurvedList"/>
    <dgm:cxn modelId="{74264D07-6096-43FA-8FE4-ED47A72740B1}" type="presParOf" srcId="{5A7626F6-4106-46A2-B53F-05E4B27BDCBB}" destId="{0940A145-5A32-453E-ADBE-C085D919B802}" srcOrd="0" destOrd="0" presId="urn:microsoft.com/office/officeart/2008/layout/VerticalCurvedList"/>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72A7EFE-AB48-413E-8529-2061F1586C49}" type="doc">
      <dgm:prSet loTypeId="urn:microsoft.com/office/officeart/2005/8/layout/pyramid2" loCatId="pyramid" qsTypeId="urn:microsoft.com/office/officeart/2005/8/quickstyle/simple1" qsCatId="simple" csTypeId="urn:microsoft.com/office/officeart/2005/8/colors/accent1_2" csCatId="accent1" phldr="1"/>
      <dgm:spPr/>
    </dgm:pt>
    <dgm:pt modelId="{E898ED7A-C13E-4B9A-81A3-21DDE7264BD0}">
      <dgm:prSet/>
      <dgm:spPr>
        <a:xfrm>
          <a:off x="2729626" y="2912336"/>
          <a:ext cx="2470308" cy="449821"/>
        </a:xfrm>
        <a:prstGeom prst="round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None/>
          </a:pPr>
          <a:r>
            <a:rPr lang="en-ZW">
              <a:solidFill>
                <a:sysClr val="windowText" lastClr="000000">
                  <a:hueOff val="0"/>
                  <a:satOff val="0"/>
                  <a:lumOff val="0"/>
                  <a:alphaOff val="0"/>
                </a:sysClr>
              </a:solidFill>
              <a:latin typeface="Aptos" panose="02110004020202020204"/>
              <a:ea typeface="+mn-ea"/>
              <a:cs typeface="+mn-cs"/>
            </a:rPr>
            <a:t>Case quality scores from compliance reviews</a:t>
          </a:r>
          <a:endParaRPr lang="en-GB">
            <a:solidFill>
              <a:sysClr val="windowText" lastClr="000000">
                <a:hueOff val="0"/>
                <a:satOff val="0"/>
                <a:lumOff val="0"/>
                <a:alphaOff val="0"/>
              </a:sysClr>
            </a:solidFill>
            <a:latin typeface="Aptos" panose="02110004020202020204"/>
            <a:ea typeface="+mn-ea"/>
            <a:cs typeface="+mn-cs"/>
          </a:endParaRPr>
        </a:p>
      </dgm:t>
    </dgm:pt>
    <dgm:pt modelId="{5DA9C8F6-9AC8-4350-BDFD-F5E48CE5DFBF}" type="parTrans" cxnId="{71D5E569-680E-40E5-BE41-074346419C7A}">
      <dgm:prSet/>
      <dgm:spPr/>
      <dgm:t>
        <a:bodyPr/>
        <a:lstStyle/>
        <a:p>
          <a:endParaRPr lang="en-GB"/>
        </a:p>
      </dgm:t>
    </dgm:pt>
    <dgm:pt modelId="{840C9F7E-E1B1-4E10-BF62-80922A79F0E7}" type="sibTrans" cxnId="{71D5E569-680E-40E5-BE41-074346419C7A}">
      <dgm:prSet/>
      <dgm:spPr/>
      <dgm:t>
        <a:bodyPr/>
        <a:lstStyle/>
        <a:p>
          <a:endParaRPr lang="en-GB"/>
        </a:p>
      </dgm:t>
    </dgm:pt>
    <dgm:pt modelId="{09FC08A0-76AF-45C6-879A-34789363FE4B}">
      <dgm:prSet/>
      <dgm:spPr>
        <a:xfrm>
          <a:off x="2729626" y="2406287"/>
          <a:ext cx="2470308" cy="449821"/>
        </a:xfrm>
        <a:prstGeom prst="round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None/>
          </a:pPr>
          <a:r>
            <a:rPr lang="en-ZW">
              <a:solidFill>
                <a:sysClr val="windowText" lastClr="000000">
                  <a:hueOff val="0"/>
                  <a:satOff val="0"/>
                  <a:lumOff val="0"/>
                  <a:alphaOff val="0"/>
                </a:sysClr>
              </a:solidFill>
              <a:latin typeface="Aptos" panose="02110004020202020204"/>
              <a:ea typeface="+mn-ea"/>
              <a:cs typeface="+mn-cs"/>
            </a:rPr>
            <a:t>Customer satisfaction and feedback</a:t>
          </a:r>
          <a:endParaRPr lang="en-GB">
            <a:solidFill>
              <a:sysClr val="windowText" lastClr="000000">
                <a:hueOff val="0"/>
                <a:satOff val="0"/>
                <a:lumOff val="0"/>
                <a:alphaOff val="0"/>
              </a:sysClr>
            </a:solidFill>
            <a:latin typeface="Aptos" panose="02110004020202020204"/>
            <a:ea typeface="+mn-ea"/>
            <a:cs typeface="+mn-cs"/>
          </a:endParaRPr>
        </a:p>
      </dgm:t>
    </dgm:pt>
    <dgm:pt modelId="{B0F40783-6E0D-4934-AED7-04C8B0741F3D}" type="parTrans" cxnId="{1F477CF2-90D7-410B-B901-F6D0E6980150}">
      <dgm:prSet/>
      <dgm:spPr/>
      <dgm:t>
        <a:bodyPr/>
        <a:lstStyle/>
        <a:p>
          <a:endParaRPr lang="en-GB"/>
        </a:p>
      </dgm:t>
    </dgm:pt>
    <dgm:pt modelId="{D126E402-5EE5-4055-924F-86B652341810}" type="sibTrans" cxnId="{1F477CF2-90D7-410B-B901-F6D0E6980150}">
      <dgm:prSet/>
      <dgm:spPr/>
      <dgm:t>
        <a:bodyPr/>
        <a:lstStyle/>
        <a:p>
          <a:endParaRPr lang="en-GB"/>
        </a:p>
      </dgm:t>
    </dgm:pt>
    <dgm:pt modelId="{E397D90D-A5D1-499D-97BA-DC5D4DEF13F2}">
      <dgm:prSet/>
      <dgm:spPr>
        <a:xfrm>
          <a:off x="2729626" y="1900237"/>
          <a:ext cx="2470308" cy="449821"/>
        </a:xfrm>
        <a:prstGeom prst="round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None/>
          </a:pPr>
          <a:r>
            <a:rPr lang="en-ZW">
              <a:solidFill>
                <a:sysClr val="windowText" lastClr="000000">
                  <a:hueOff val="0"/>
                  <a:satOff val="0"/>
                  <a:lumOff val="0"/>
                  <a:alphaOff val="0"/>
                </a:sysClr>
              </a:solidFill>
              <a:latin typeface="Aptos" panose="02110004020202020204"/>
              <a:ea typeface="+mn-ea"/>
              <a:cs typeface="+mn-cs"/>
            </a:rPr>
            <a:t>Turnaround time from enquiry to application</a:t>
          </a:r>
          <a:endParaRPr lang="en-GB">
            <a:solidFill>
              <a:sysClr val="windowText" lastClr="000000">
                <a:hueOff val="0"/>
                <a:satOff val="0"/>
                <a:lumOff val="0"/>
                <a:alphaOff val="0"/>
              </a:sysClr>
            </a:solidFill>
            <a:latin typeface="Aptos" panose="02110004020202020204"/>
            <a:ea typeface="+mn-ea"/>
            <a:cs typeface="+mn-cs"/>
          </a:endParaRPr>
        </a:p>
      </dgm:t>
    </dgm:pt>
    <dgm:pt modelId="{8DCB3A9B-55E4-4649-8D21-3DDA466DE741}" type="parTrans" cxnId="{2694E8E5-0986-418E-A018-A01EF070190A}">
      <dgm:prSet/>
      <dgm:spPr/>
      <dgm:t>
        <a:bodyPr/>
        <a:lstStyle/>
        <a:p>
          <a:endParaRPr lang="en-GB"/>
        </a:p>
      </dgm:t>
    </dgm:pt>
    <dgm:pt modelId="{F9174A74-21EE-4798-AC02-5DB43DAF770A}" type="sibTrans" cxnId="{2694E8E5-0986-418E-A018-A01EF070190A}">
      <dgm:prSet/>
      <dgm:spPr/>
      <dgm:t>
        <a:bodyPr/>
        <a:lstStyle/>
        <a:p>
          <a:endParaRPr lang="en-GB"/>
        </a:p>
      </dgm:t>
    </dgm:pt>
    <dgm:pt modelId="{D402B87D-F366-419E-B563-B76D4EF737DF}">
      <dgm:prSet/>
      <dgm:spPr>
        <a:xfrm>
          <a:off x="2729626" y="1394187"/>
          <a:ext cx="2470308" cy="449821"/>
        </a:xfrm>
        <a:prstGeom prst="round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None/>
          </a:pPr>
          <a:r>
            <a:rPr lang="en-ZW">
              <a:solidFill>
                <a:sysClr val="windowText" lastClr="000000">
                  <a:hueOff val="0"/>
                  <a:satOff val="0"/>
                  <a:lumOff val="0"/>
                  <a:alphaOff val="0"/>
                </a:sysClr>
              </a:solidFill>
              <a:latin typeface="Aptos" panose="02110004020202020204"/>
              <a:ea typeface="+mn-ea"/>
              <a:cs typeface="+mn-cs"/>
            </a:rPr>
            <a:t>Completion rates and conversion ratios</a:t>
          </a:r>
          <a:endParaRPr lang="en-GB">
            <a:solidFill>
              <a:sysClr val="windowText" lastClr="000000">
                <a:hueOff val="0"/>
                <a:satOff val="0"/>
                <a:lumOff val="0"/>
                <a:alphaOff val="0"/>
              </a:sysClr>
            </a:solidFill>
            <a:latin typeface="Aptos" panose="02110004020202020204"/>
            <a:ea typeface="+mn-ea"/>
            <a:cs typeface="+mn-cs"/>
          </a:endParaRPr>
        </a:p>
      </dgm:t>
    </dgm:pt>
    <dgm:pt modelId="{2353F2BA-6858-4085-A6C0-7BB4AEA57623}" type="parTrans" cxnId="{8328A72E-89D6-487A-B7BD-E029A9F9D573}">
      <dgm:prSet/>
      <dgm:spPr/>
      <dgm:t>
        <a:bodyPr/>
        <a:lstStyle/>
        <a:p>
          <a:endParaRPr lang="en-GB"/>
        </a:p>
      </dgm:t>
    </dgm:pt>
    <dgm:pt modelId="{03243332-AF54-4E7D-83FF-C3EE4C2403E8}" type="sibTrans" cxnId="{8328A72E-89D6-487A-B7BD-E029A9F9D573}">
      <dgm:prSet/>
      <dgm:spPr/>
      <dgm:t>
        <a:bodyPr/>
        <a:lstStyle/>
        <a:p>
          <a:endParaRPr lang="en-GB"/>
        </a:p>
      </dgm:t>
    </dgm:pt>
    <dgm:pt modelId="{08C4615B-B237-4772-B66E-EA928656D9A6}">
      <dgm:prSet/>
      <dgm:spPr>
        <a:xfrm>
          <a:off x="2729626" y="888138"/>
          <a:ext cx="2470308" cy="449821"/>
        </a:xfrm>
        <a:prstGeom prst="round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None/>
          </a:pPr>
          <a:r>
            <a:rPr lang="en-ZW">
              <a:solidFill>
                <a:sysClr val="windowText" lastClr="000000">
                  <a:hueOff val="0"/>
                  <a:satOff val="0"/>
                  <a:lumOff val="0"/>
                  <a:alphaOff val="0"/>
                </a:sysClr>
              </a:solidFill>
              <a:latin typeface="Aptos" panose="02110004020202020204"/>
              <a:ea typeface="+mn-ea"/>
              <a:cs typeface="+mn-cs"/>
            </a:rPr>
            <a:t>Accuracy of documentation and audit outcomes</a:t>
          </a:r>
          <a:endParaRPr lang="en-GB">
            <a:solidFill>
              <a:sysClr val="windowText" lastClr="000000">
                <a:hueOff val="0"/>
                <a:satOff val="0"/>
                <a:lumOff val="0"/>
                <a:alphaOff val="0"/>
              </a:sysClr>
            </a:solidFill>
            <a:latin typeface="Aptos" panose="02110004020202020204"/>
            <a:ea typeface="+mn-ea"/>
            <a:cs typeface="+mn-cs"/>
          </a:endParaRPr>
        </a:p>
      </dgm:t>
    </dgm:pt>
    <dgm:pt modelId="{19803AB4-117A-45C2-829B-4D727652B392}" type="parTrans" cxnId="{7CEAB9ED-1D5B-4238-A5C9-C4B7B23C8C7D}">
      <dgm:prSet/>
      <dgm:spPr/>
      <dgm:t>
        <a:bodyPr/>
        <a:lstStyle/>
        <a:p>
          <a:endParaRPr lang="en-GB"/>
        </a:p>
      </dgm:t>
    </dgm:pt>
    <dgm:pt modelId="{B295A5AA-6972-49E8-B175-F3E1E32CC217}" type="sibTrans" cxnId="{7CEAB9ED-1D5B-4238-A5C9-C4B7B23C8C7D}">
      <dgm:prSet/>
      <dgm:spPr/>
      <dgm:t>
        <a:bodyPr/>
        <a:lstStyle/>
        <a:p>
          <a:endParaRPr lang="en-GB"/>
        </a:p>
      </dgm:t>
    </dgm:pt>
    <dgm:pt modelId="{EEBA050F-F518-46C1-A0B0-F2732B7C4C6D}">
      <dgm:prSet/>
      <dgm:spPr>
        <a:xfrm>
          <a:off x="2729626" y="382088"/>
          <a:ext cx="2470308" cy="449821"/>
        </a:xfrm>
        <a:prstGeom prst="round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gm:spPr>
      <dgm:t>
        <a:bodyPr/>
        <a:lstStyle/>
        <a:p>
          <a:pPr>
            <a:buNone/>
          </a:pPr>
          <a:r>
            <a:rPr lang="en-ZW">
              <a:solidFill>
                <a:sysClr val="windowText" lastClr="000000">
                  <a:hueOff val="0"/>
                  <a:satOff val="0"/>
                  <a:lumOff val="0"/>
                  <a:alphaOff val="0"/>
                </a:sysClr>
              </a:solidFill>
              <a:latin typeface="Aptos" panose="02110004020202020204"/>
              <a:ea typeface="+mn-ea"/>
              <a:cs typeface="+mn-cs"/>
            </a:rPr>
            <a:t>CPD completion and skills development</a:t>
          </a:r>
          <a:endParaRPr lang="en-GB">
            <a:solidFill>
              <a:sysClr val="windowText" lastClr="000000">
                <a:hueOff val="0"/>
                <a:satOff val="0"/>
                <a:lumOff val="0"/>
                <a:alphaOff val="0"/>
              </a:sysClr>
            </a:solidFill>
            <a:latin typeface="Aptos" panose="02110004020202020204"/>
            <a:ea typeface="+mn-ea"/>
            <a:cs typeface="+mn-cs"/>
          </a:endParaRPr>
        </a:p>
      </dgm:t>
    </dgm:pt>
    <dgm:pt modelId="{ADC091B7-3445-4782-8927-902D87F7FB34}" type="parTrans" cxnId="{B1FE787C-47B8-4EA4-8803-390C677C6979}">
      <dgm:prSet/>
      <dgm:spPr/>
      <dgm:t>
        <a:bodyPr/>
        <a:lstStyle/>
        <a:p>
          <a:endParaRPr lang="en-GB"/>
        </a:p>
      </dgm:t>
    </dgm:pt>
    <dgm:pt modelId="{1F217C73-A61D-4B8E-A3E0-6E6A984EFB60}" type="sibTrans" cxnId="{B1FE787C-47B8-4EA4-8803-390C677C6979}">
      <dgm:prSet/>
      <dgm:spPr/>
      <dgm:t>
        <a:bodyPr/>
        <a:lstStyle/>
        <a:p>
          <a:endParaRPr lang="en-GB"/>
        </a:p>
      </dgm:t>
    </dgm:pt>
    <dgm:pt modelId="{60E26DA3-142F-472C-91D9-396E6D495B6B}" type="pres">
      <dgm:prSet presAssocID="{D72A7EFE-AB48-413E-8529-2061F1586C49}" presName="compositeShape" presStyleCnt="0">
        <dgm:presLayoutVars>
          <dgm:dir/>
          <dgm:resizeHandles/>
        </dgm:presLayoutVars>
      </dgm:prSet>
      <dgm:spPr/>
    </dgm:pt>
    <dgm:pt modelId="{060C08D9-C1DA-4359-B2F8-8F5D91148DCD}" type="pres">
      <dgm:prSet presAssocID="{D72A7EFE-AB48-413E-8529-2061F1586C49}" presName="pyramid" presStyleLbl="node1" presStyleIdx="0" presStyleCnt="1" custScaleX="79987" custLinFactNeighborX="-11278" custLinFactNeighborY="-1504"/>
      <dgm:spPr>
        <a:xfrm>
          <a:off x="800809" y="0"/>
          <a:ext cx="3800475" cy="3800475"/>
        </a:xfrm>
        <a:prstGeom prst="triangle">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pt>
    <dgm:pt modelId="{B934CF59-4944-474E-AA12-3496B4572FEE}" type="pres">
      <dgm:prSet presAssocID="{D72A7EFE-AB48-413E-8529-2061F1586C49}" presName="theList" presStyleCnt="0"/>
      <dgm:spPr/>
    </dgm:pt>
    <dgm:pt modelId="{72FC8440-03F8-4AF0-80A4-CDE8412CB6CC}" type="pres">
      <dgm:prSet presAssocID="{EEBA050F-F518-46C1-A0B0-F2732B7C4C6D}" presName="aNode" presStyleLbl="fgAcc1" presStyleIdx="0" presStyleCnt="6">
        <dgm:presLayoutVars>
          <dgm:bulletEnabled val="1"/>
        </dgm:presLayoutVars>
      </dgm:prSet>
      <dgm:spPr/>
    </dgm:pt>
    <dgm:pt modelId="{C60EE658-28B2-48CB-8B49-BE2DE918164D}" type="pres">
      <dgm:prSet presAssocID="{EEBA050F-F518-46C1-A0B0-F2732B7C4C6D}" presName="aSpace" presStyleCnt="0"/>
      <dgm:spPr/>
    </dgm:pt>
    <dgm:pt modelId="{41A61263-52FF-4586-8BBF-14DEE3AC0F58}" type="pres">
      <dgm:prSet presAssocID="{08C4615B-B237-4772-B66E-EA928656D9A6}" presName="aNode" presStyleLbl="fgAcc1" presStyleIdx="1" presStyleCnt="6">
        <dgm:presLayoutVars>
          <dgm:bulletEnabled val="1"/>
        </dgm:presLayoutVars>
      </dgm:prSet>
      <dgm:spPr/>
    </dgm:pt>
    <dgm:pt modelId="{A9A2258C-5660-44D4-BDF5-39C31836DDA0}" type="pres">
      <dgm:prSet presAssocID="{08C4615B-B237-4772-B66E-EA928656D9A6}" presName="aSpace" presStyleCnt="0"/>
      <dgm:spPr/>
    </dgm:pt>
    <dgm:pt modelId="{23119367-A9D4-4400-BA44-2911E121F9DE}" type="pres">
      <dgm:prSet presAssocID="{D402B87D-F366-419E-B563-B76D4EF737DF}" presName="aNode" presStyleLbl="fgAcc1" presStyleIdx="2" presStyleCnt="6">
        <dgm:presLayoutVars>
          <dgm:bulletEnabled val="1"/>
        </dgm:presLayoutVars>
      </dgm:prSet>
      <dgm:spPr/>
    </dgm:pt>
    <dgm:pt modelId="{A78D707C-169F-42E0-8127-C9EC52C921EA}" type="pres">
      <dgm:prSet presAssocID="{D402B87D-F366-419E-B563-B76D4EF737DF}" presName="aSpace" presStyleCnt="0"/>
      <dgm:spPr/>
    </dgm:pt>
    <dgm:pt modelId="{23F50A42-BCB4-4029-8970-CB5F037A20AA}" type="pres">
      <dgm:prSet presAssocID="{E397D90D-A5D1-499D-97BA-DC5D4DEF13F2}" presName="aNode" presStyleLbl="fgAcc1" presStyleIdx="3" presStyleCnt="6">
        <dgm:presLayoutVars>
          <dgm:bulletEnabled val="1"/>
        </dgm:presLayoutVars>
      </dgm:prSet>
      <dgm:spPr/>
    </dgm:pt>
    <dgm:pt modelId="{D2C4421C-3DE8-49A5-B158-31F7DA946E13}" type="pres">
      <dgm:prSet presAssocID="{E397D90D-A5D1-499D-97BA-DC5D4DEF13F2}" presName="aSpace" presStyleCnt="0"/>
      <dgm:spPr/>
    </dgm:pt>
    <dgm:pt modelId="{53DF52B5-2BFA-4D8B-B547-075E5748FAFB}" type="pres">
      <dgm:prSet presAssocID="{09FC08A0-76AF-45C6-879A-34789363FE4B}" presName="aNode" presStyleLbl="fgAcc1" presStyleIdx="4" presStyleCnt="6">
        <dgm:presLayoutVars>
          <dgm:bulletEnabled val="1"/>
        </dgm:presLayoutVars>
      </dgm:prSet>
      <dgm:spPr/>
    </dgm:pt>
    <dgm:pt modelId="{F43041A6-9059-4C55-A620-0D1656B22EDE}" type="pres">
      <dgm:prSet presAssocID="{09FC08A0-76AF-45C6-879A-34789363FE4B}" presName="aSpace" presStyleCnt="0"/>
      <dgm:spPr/>
    </dgm:pt>
    <dgm:pt modelId="{FE41C18C-DBBA-48B1-8CA3-89D957D8E79E}" type="pres">
      <dgm:prSet presAssocID="{E898ED7A-C13E-4B9A-81A3-21DDE7264BD0}" presName="aNode" presStyleLbl="fgAcc1" presStyleIdx="5" presStyleCnt="6">
        <dgm:presLayoutVars>
          <dgm:bulletEnabled val="1"/>
        </dgm:presLayoutVars>
      </dgm:prSet>
      <dgm:spPr/>
    </dgm:pt>
    <dgm:pt modelId="{E766AF05-D7C8-48BB-BFA6-8CFD23C3669B}" type="pres">
      <dgm:prSet presAssocID="{E898ED7A-C13E-4B9A-81A3-21DDE7264BD0}" presName="aSpace" presStyleCnt="0"/>
      <dgm:spPr/>
    </dgm:pt>
  </dgm:ptLst>
  <dgm:cxnLst>
    <dgm:cxn modelId="{476ED40A-05E3-406F-B1FB-B9EF86E1522B}" type="presOf" srcId="{09FC08A0-76AF-45C6-879A-34789363FE4B}" destId="{53DF52B5-2BFA-4D8B-B547-075E5748FAFB}" srcOrd="0" destOrd="0" presId="urn:microsoft.com/office/officeart/2005/8/layout/pyramid2"/>
    <dgm:cxn modelId="{8328A72E-89D6-487A-B7BD-E029A9F9D573}" srcId="{D72A7EFE-AB48-413E-8529-2061F1586C49}" destId="{D402B87D-F366-419E-B563-B76D4EF737DF}" srcOrd="2" destOrd="0" parTransId="{2353F2BA-6858-4085-A6C0-7BB4AEA57623}" sibTransId="{03243332-AF54-4E7D-83FF-C3EE4C2403E8}"/>
    <dgm:cxn modelId="{7039EB37-D774-44A3-AA77-4B8265F40668}" type="presOf" srcId="{D72A7EFE-AB48-413E-8529-2061F1586C49}" destId="{60E26DA3-142F-472C-91D9-396E6D495B6B}" srcOrd="0" destOrd="0" presId="urn:microsoft.com/office/officeart/2005/8/layout/pyramid2"/>
    <dgm:cxn modelId="{927A0868-B34C-4364-8821-85CFADF13B0C}" type="presOf" srcId="{E397D90D-A5D1-499D-97BA-DC5D4DEF13F2}" destId="{23F50A42-BCB4-4029-8970-CB5F037A20AA}" srcOrd="0" destOrd="0" presId="urn:microsoft.com/office/officeart/2005/8/layout/pyramid2"/>
    <dgm:cxn modelId="{A7C1D168-D560-4AB2-8A07-9E32102B9F00}" type="presOf" srcId="{EEBA050F-F518-46C1-A0B0-F2732B7C4C6D}" destId="{72FC8440-03F8-4AF0-80A4-CDE8412CB6CC}" srcOrd="0" destOrd="0" presId="urn:microsoft.com/office/officeart/2005/8/layout/pyramid2"/>
    <dgm:cxn modelId="{71D5E569-680E-40E5-BE41-074346419C7A}" srcId="{D72A7EFE-AB48-413E-8529-2061F1586C49}" destId="{E898ED7A-C13E-4B9A-81A3-21DDE7264BD0}" srcOrd="5" destOrd="0" parTransId="{5DA9C8F6-9AC8-4350-BDFD-F5E48CE5DFBF}" sibTransId="{840C9F7E-E1B1-4E10-BF62-80922A79F0E7}"/>
    <dgm:cxn modelId="{0DA6605A-84ED-448B-A34D-C8424EB9709B}" type="presOf" srcId="{08C4615B-B237-4772-B66E-EA928656D9A6}" destId="{41A61263-52FF-4586-8BBF-14DEE3AC0F58}" srcOrd="0" destOrd="0" presId="urn:microsoft.com/office/officeart/2005/8/layout/pyramid2"/>
    <dgm:cxn modelId="{B1FE787C-47B8-4EA4-8803-390C677C6979}" srcId="{D72A7EFE-AB48-413E-8529-2061F1586C49}" destId="{EEBA050F-F518-46C1-A0B0-F2732B7C4C6D}" srcOrd="0" destOrd="0" parTransId="{ADC091B7-3445-4782-8927-902D87F7FB34}" sibTransId="{1F217C73-A61D-4B8E-A3E0-6E6A984EFB60}"/>
    <dgm:cxn modelId="{4BDBEB7E-8308-4D4D-B6AC-24D01336C63D}" type="presOf" srcId="{E898ED7A-C13E-4B9A-81A3-21DDE7264BD0}" destId="{FE41C18C-DBBA-48B1-8CA3-89D957D8E79E}" srcOrd="0" destOrd="0" presId="urn:microsoft.com/office/officeart/2005/8/layout/pyramid2"/>
    <dgm:cxn modelId="{2694E8E5-0986-418E-A018-A01EF070190A}" srcId="{D72A7EFE-AB48-413E-8529-2061F1586C49}" destId="{E397D90D-A5D1-499D-97BA-DC5D4DEF13F2}" srcOrd="3" destOrd="0" parTransId="{8DCB3A9B-55E4-4649-8D21-3DDA466DE741}" sibTransId="{F9174A74-21EE-4798-AC02-5DB43DAF770A}"/>
    <dgm:cxn modelId="{7CEAB9ED-1D5B-4238-A5C9-C4B7B23C8C7D}" srcId="{D72A7EFE-AB48-413E-8529-2061F1586C49}" destId="{08C4615B-B237-4772-B66E-EA928656D9A6}" srcOrd="1" destOrd="0" parTransId="{19803AB4-117A-45C2-829B-4D727652B392}" sibTransId="{B295A5AA-6972-49E8-B175-F3E1E32CC217}"/>
    <dgm:cxn modelId="{1F477CF2-90D7-410B-B901-F6D0E6980150}" srcId="{D72A7EFE-AB48-413E-8529-2061F1586C49}" destId="{09FC08A0-76AF-45C6-879A-34789363FE4B}" srcOrd="4" destOrd="0" parTransId="{B0F40783-6E0D-4934-AED7-04C8B0741F3D}" sibTransId="{D126E402-5EE5-4055-924F-86B652341810}"/>
    <dgm:cxn modelId="{B28521F9-F0DB-4581-B9E5-EC66519B58DD}" type="presOf" srcId="{D402B87D-F366-419E-B563-B76D4EF737DF}" destId="{23119367-A9D4-4400-BA44-2911E121F9DE}" srcOrd="0" destOrd="0" presId="urn:microsoft.com/office/officeart/2005/8/layout/pyramid2"/>
    <dgm:cxn modelId="{18A515C9-6E0C-4608-A896-7A68EEDB2785}" type="presParOf" srcId="{60E26DA3-142F-472C-91D9-396E6D495B6B}" destId="{060C08D9-C1DA-4359-B2F8-8F5D91148DCD}" srcOrd="0" destOrd="0" presId="urn:microsoft.com/office/officeart/2005/8/layout/pyramid2"/>
    <dgm:cxn modelId="{131FA8AA-7C28-417B-95B0-075794F6F7FD}" type="presParOf" srcId="{60E26DA3-142F-472C-91D9-396E6D495B6B}" destId="{B934CF59-4944-474E-AA12-3496B4572FEE}" srcOrd="1" destOrd="0" presId="urn:microsoft.com/office/officeart/2005/8/layout/pyramid2"/>
    <dgm:cxn modelId="{D9FA9125-2B4F-4066-8B04-AC51D71D1B7D}" type="presParOf" srcId="{B934CF59-4944-474E-AA12-3496B4572FEE}" destId="{72FC8440-03F8-4AF0-80A4-CDE8412CB6CC}" srcOrd="0" destOrd="0" presId="urn:microsoft.com/office/officeart/2005/8/layout/pyramid2"/>
    <dgm:cxn modelId="{31F62784-4A57-4AC8-97B2-E0F22585CF6C}" type="presParOf" srcId="{B934CF59-4944-474E-AA12-3496B4572FEE}" destId="{C60EE658-28B2-48CB-8B49-BE2DE918164D}" srcOrd="1" destOrd="0" presId="urn:microsoft.com/office/officeart/2005/8/layout/pyramid2"/>
    <dgm:cxn modelId="{A8C1D331-1D14-4FDF-88EB-D160C6765981}" type="presParOf" srcId="{B934CF59-4944-474E-AA12-3496B4572FEE}" destId="{41A61263-52FF-4586-8BBF-14DEE3AC0F58}" srcOrd="2" destOrd="0" presId="urn:microsoft.com/office/officeart/2005/8/layout/pyramid2"/>
    <dgm:cxn modelId="{CA2C12D6-E6D5-4721-89D5-A45531F3A3CB}" type="presParOf" srcId="{B934CF59-4944-474E-AA12-3496B4572FEE}" destId="{A9A2258C-5660-44D4-BDF5-39C31836DDA0}" srcOrd="3" destOrd="0" presId="urn:microsoft.com/office/officeart/2005/8/layout/pyramid2"/>
    <dgm:cxn modelId="{CFD7FBAD-8343-4C22-AC80-3ED01DEC9349}" type="presParOf" srcId="{B934CF59-4944-474E-AA12-3496B4572FEE}" destId="{23119367-A9D4-4400-BA44-2911E121F9DE}" srcOrd="4" destOrd="0" presId="urn:microsoft.com/office/officeart/2005/8/layout/pyramid2"/>
    <dgm:cxn modelId="{894230C4-8C3E-40EC-8062-7948B78A2FA0}" type="presParOf" srcId="{B934CF59-4944-474E-AA12-3496B4572FEE}" destId="{A78D707C-169F-42E0-8127-C9EC52C921EA}" srcOrd="5" destOrd="0" presId="urn:microsoft.com/office/officeart/2005/8/layout/pyramid2"/>
    <dgm:cxn modelId="{1CF01240-ED5C-412E-B20A-97D0778A9923}" type="presParOf" srcId="{B934CF59-4944-474E-AA12-3496B4572FEE}" destId="{23F50A42-BCB4-4029-8970-CB5F037A20AA}" srcOrd="6" destOrd="0" presId="urn:microsoft.com/office/officeart/2005/8/layout/pyramid2"/>
    <dgm:cxn modelId="{250D28FD-F0DB-469B-9E80-8A1B7C989498}" type="presParOf" srcId="{B934CF59-4944-474E-AA12-3496B4572FEE}" destId="{D2C4421C-3DE8-49A5-B158-31F7DA946E13}" srcOrd="7" destOrd="0" presId="urn:microsoft.com/office/officeart/2005/8/layout/pyramid2"/>
    <dgm:cxn modelId="{4C4BDF8A-37AB-46D5-B1DA-22E1054B7A9B}" type="presParOf" srcId="{B934CF59-4944-474E-AA12-3496B4572FEE}" destId="{53DF52B5-2BFA-4D8B-B547-075E5748FAFB}" srcOrd="8" destOrd="0" presId="urn:microsoft.com/office/officeart/2005/8/layout/pyramid2"/>
    <dgm:cxn modelId="{3A6C6DC0-E738-4188-9511-6BEF721BB649}" type="presParOf" srcId="{B934CF59-4944-474E-AA12-3496B4572FEE}" destId="{F43041A6-9059-4C55-A620-0D1656B22EDE}" srcOrd="9" destOrd="0" presId="urn:microsoft.com/office/officeart/2005/8/layout/pyramid2"/>
    <dgm:cxn modelId="{538653EA-57AA-4AFB-9C49-A22EF35D2069}" type="presParOf" srcId="{B934CF59-4944-474E-AA12-3496B4572FEE}" destId="{FE41C18C-DBBA-48B1-8CA3-89D957D8E79E}" srcOrd="10" destOrd="0" presId="urn:microsoft.com/office/officeart/2005/8/layout/pyramid2"/>
    <dgm:cxn modelId="{C8FE39AC-B162-47B1-B355-5C63C615881C}" type="presParOf" srcId="{B934CF59-4944-474E-AA12-3496B4572FEE}" destId="{E766AF05-D7C8-48BB-BFA6-8CFD23C3669B}" srcOrd="11" destOrd="0" presId="urn:microsoft.com/office/officeart/2005/8/layout/pyramid2"/>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DF38C261-0A56-40E1-A021-5A718924DA3F}" type="doc">
      <dgm:prSet loTypeId="urn:microsoft.com/office/officeart/2005/8/layout/list1" loCatId="list" qsTypeId="urn:microsoft.com/office/officeart/2005/8/quickstyle/simple1" qsCatId="simple" csTypeId="urn:microsoft.com/office/officeart/2005/8/colors/accent4_1" csCatId="accent4" phldr="1"/>
      <dgm:spPr/>
      <dgm:t>
        <a:bodyPr/>
        <a:lstStyle/>
        <a:p>
          <a:endParaRPr lang="en-GB"/>
        </a:p>
      </dgm:t>
    </dgm:pt>
    <dgm:pt modelId="{C7911009-A248-4266-B309-56078CF26C0A}">
      <dgm:prSet/>
      <dgm:spPr/>
      <dgm:t>
        <a:bodyPr/>
        <a:lstStyle/>
        <a:p>
          <a:pPr>
            <a:buNone/>
          </a:pPr>
          <a:r>
            <a:rPr lang="en-ZW"/>
            <a:t>Maintain strong CPD and training programmes</a:t>
          </a:r>
          <a:endParaRPr lang="en-GB"/>
        </a:p>
      </dgm:t>
    </dgm:pt>
    <dgm:pt modelId="{BFE84EEA-E485-4264-B855-A7F552AC045E}" type="parTrans" cxnId="{2D4B206D-6D8E-4465-B770-CFE27C2626BB}">
      <dgm:prSet/>
      <dgm:spPr/>
      <dgm:t>
        <a:bodyPr/>
        <a:lstStyle/>
        <a:p>
          <a:endParaRPr lang="en-GB"/>
        </a:p>
      </dgm:t>
    </dgm:pt>
    <dgm:pt modelId="{16642608-ECF6-43F8-A73D-76628AC08FD7}" type="sibTrans" cxnId="{2D4B206D-6D8E-4465-B770-CFE27C2626BB}">
      <dgm:prSet/>
      <dgm:spPr/>
      <dgm:t>
        <a:bodyPr/>
        <a:lstStyle/>
        <a:p>
          <a:endParaRPr lang="en-GB"/>
        </a:p>
      </dgm:t>
    </dgm:pt>
    <dgm:pt modelId="{27DE4DB9-865D-4883-BCC7-ACD4F988A5FB}">
      <dgm:prSet/>
      <dgm:spPr/>
      <dgm:t>
        <a:bodyPr/>
        <a:lstStyle/>
        <a:p>
          <a:pPr>
            <a:buNone/>
          </a:pPr>
          <a:r>
            <a:rPr lang="en-ZW"/>
            <a:t>Ensure clear role descriptions and workload boundaries</a:t>
          </a:r>
          <a:endParaRPr lang="en-GB"/>
        </a:p>
      </dgm:t>
    </dgm:pt>
    <dgm:pt modelId="{7892DD17-8111-4A78-9F36-DE8612AF3767}" type="parTrans" cxnId="{61917386-B4A1-4368-89EB-FD7BA8668AD1}">
      <dgm:prSet/>
      <dgm:spPr/>
      <dgm:t>
        <a:bodyPr/>
        <a:lstStyle/>
        <a:p>
          <a:endParaRPr lang="en-GB"/>
        </a:p>
      </dgm:t>
    </dgm:pt>
    <dgm:pt modelId="{4B778948-83CA-4309-895D-A56A0D2D93B1}" type="sibTrans" cxnId="{61917386-B4A1-4368-89EB-FD7BA8668AD1}">
      <dgm:prSet/>
      <dgm:spPr/>
      <dgm:t>
        <a:bodyPr/>
        <a:lstStyle/>
        <a:p>
          <a:endParaRPr lang="en-GB"/>
        </a:p>
      </dgm:t>
    </dgm:pt>
    <dgm:pt modelId="{58B1BF52-41D2-4008-B531-3ADD62DD2314}">
      <dgm:prSet/>
      <dgm:spPr/>
      <dgm:t>
        <a:bodyPr/>
        <a:lstStyle/>
        <a:p>
          <a:pPr>
            <a:buNone/>
          </a:pPr>
          <a:r>
            <a:rPr lang="en-ZW"/>
            <a:t>Provide competitive compensation structures</a:t>
          </a:r>
          <a:endParaRPr lang="en-GB"/>
        </a:p>
      </dgm:t>
    </dgm:pt>
    <dgm:pt modelId="{7DB9A571-CAA8-4640-95E2-461797BB3DAB}" type="parTrans" cxnId="{FA75F85B-E588-4841-B00C-10B733F33350}">
      <dgm:prSet/>
      <dgm:spPr/>
      <dgm:t>
        <a:bodyPr/>
        <a:lstStyle/>
        <a:p>
          <a:endParaRPr lang="en-GB"/>
        </a:p>
      </dgm:t>
    </dgm:pt>
    <dgm:pt modelId="{78567748-170E-4890-B523-8E2FAB6A7B79}" type="sibTrans" cxnId="{FA75F85B-E588-4841-B00C-10B733F33350}">
      <dgm:prSet/>
      <dgm:spPr/>
      <dgm:t>
        <a:bodyPr/>
        <a:lstStyle/>
        <a:p>
          <a:endParaRPr lang="en-GB"/>
        </a:p>
      </dgm:t>
    </dgm:pt>
    <dgm:pt modelId="{1C7D99C9-7A37-407B-A1D2-2B3DA2EAAA20}">
      <dgm:prSet/>
      <dgm:spPr/>
      <dgm:t>
        <a:bodyPr/>
        <a:lstStyle/>
        <a:p>
          <a:pPr>
            <a:buNone/>
          </a:pPr>
          <a:r>
            <a:rPr lang="en-ZW"/>
            <a:t>Promote a positive internal culture</a:t>
          </a:r>
          <a:endParaRPr lang="en-GB"/>
        </a:p>
      </dgm:t>
    </dgm:pt>
    <dgm:pt modelId="{B2ADD054-33B8-4566-8D8B-9919FC98E6CB}" type="parTrans" cxnId="{A77101C9-9BBB-4EAD-BC36-E506D18746D9}">
      <dgm:prSet/>
      <dgm:spPr/>
      <dgm:t>
        <a:bodyPr/>
        <a:lstStyle/>
        <a:p>
          <a:endParaRPr lang="en-GB"/>
        </a:p>
      </dgm:t>
    </dgm:pt>
    <dgm:pt modelId="{3FEA7197-E95E-4B1C-BDB1-0AF47D81EDA8}" type="sibTrans" cxnId="{A77101C9-9BBB-4EAD-BC36-E506D18746D9}">
      <dgm:prSet/>
      <dgm:spPr/>
      <dgm:t>
        <a:bodyPr/>
        <a:lstStyle/>
        <a:p>
          <a:endParaRPr lang="en-GB"/>
        </a:p>
      </dgm:t>
    </dgm:pt>
    <dgm:pt modelId="{A5B515BC-B034-4AB5-A8B9-BAD6767A9B42}">
      <dgm:prSet/>
      <dgm:spPr/>
      <dgm:t>
        <a:bodyPr/>
        <a:lstStyle/>
        <a:p>
          <a:pPr>
            <a:buNone/>
          </a:pPr>
          <a:r>
            <a:rPr lang="en-ZW"/>
            <a:t>Maintain regular one-to-one meetings to address challenges early</a:t>
          </a:r>
          <a:endParaRPr lang="en-GB"/>
        </a:p>
      </dgm:t>
    </dgm:pt>
    <dgm:pt modelId="{1E23557A-2F86-476E-BE12-47D82DCE9C21}" type="parTrans" cxnId="{C6A3D164-4E1B-480B-B64D-4E4765780AD5}">
      <dgm:prSet/>
      <dgm:spPr/>
      <dgm:t>
        <a:bodyPr/>
        <a:lstStyle/>
        <a:p>
          <a:endParaRPr lang="en-GB"/>
        </a:p>
      </dgm:t>
    </dgm:pt>
    <dgm:pt modelId="{B189B4E8-76C6-4EC1-9347-D40E0EAC21EB}" type="sibTrans" cxnId="{C6A3D164-4E1B-480B-B64D-4E4765780AD5}">
      <dgm:prSet/>
      <dgm:spPr/>
      <dgm:t>
        <a:bodyPr/>
        <a:lstStyle/>
        <a:p>
          <a:endParaRPr lang="en-GB"/>
        </a:p>
      </dgm:t>
    </dgm:pt>
    <dgm:pt modelId="{4B56AD54-0D34-4A5D-8FEB-819FB26A999F}" type="pres">
      <dgm:prSet presAssocID="{DF38C261-0A56-40E1-A021-5A718924DA3F}" presName="linear" presStyleCnt="0">
        <dgm:presLayoutVars>
          <dgm:dir/>
          <dgm:animLvl val="lvl"/>
          <dgm:resizeHandles val="exact"/>
        </dgm:presLayoutVars>
      </dgm:prSet>
      <dgm:spPr/>
    </dgm:pt>
    <dgm:pt modelId="{CFE574C5-75F3-40A5-A361-639B00DE001C}" type="pres">
      <dgm:prSet presAssocID="{A5B515BC-B034-4AB5-A8B9-BAD6767A9B42}" presName="parentLin" presStyleCnt="0"/>
      <dgm:spPr/>
    </dgm:pt>
    <dgm:pt modelId="{0BCF7693-9558-47EA-8E6E-3D9C3B582A9B}" type="pres">
      <dgm:prSet presAssocID="{A5B515BC-B034-4AB5-A8B9-BAD6767A9B42}" presName="parentLeftMargin" presStyleLbl="node1" presStyleIdx="0" presStyleCnt="5"/>
      <dgm:spPr/>
    </dgm:pt>
    <dgm:pt modelId="{4E3AD5C8-8705-41D6-8528-5011BE7860AD}" type="pres">
      <dgm:prSet presAssocID="{A5B515BC-B034-4AB5-A8B9-BAD6767A9B42}" presName="parentText" presStyleLbl="node1" presStyleIdx="0" presStyleCnt="5">
        <dgm:presLayoutVars>
          <dgm:chMax val="0"/>
          <dgm:bulletEnabled val="1"/>
        </dgm:presLayoutVars>
      </dgm:prSet>
      <dgm:spPr/>
    </dgm:pt>
    <dgm:pt modelId="{37CDECDD-631F-4669-9D38-D70556AB8438}" type="pres">
      <dgm:prSet presAssocID="{A5B515BC-B034-4AB5-A8B9-BAD6767A9B42}" presName="negativeSpace" presStyleCnt="0"/>
      <dgm:spPr/>
    </dgm:pt>
    <dgm:pt modelId="{E2BDE07A-7FC4-4939-BA81-2739A969DFEC}" type="pres">
      <dgm:prSet presAssocID="{A5B515BC-B034-4AB5-A8B9-BAD6767A9B42}" presName="childText" presStyleLbl="conFgAcc1" presStyleIdx="0" presStyleCnt="5">
        <dgm:presLayoutVars>
          <dgm:bulletEnabled val="1"/>
        </dgm:presLayoutVars>
      </dgm:prSet>
      <dgm:spPr/>
    </dgm:pt>
    <dgm:pt modelId="{BEF0CA4A-E230-4111-9F7A-8375324AF8A1}" type="pres">
      <dgm:prSet presAssocID="{B189B4E8-76C6-4EC1-9347-D40E0EAC21EB}" presName="spaceBetweenRectangles" presStyleCnt="0"/>
      <dgm:spPr/>
    </dgm:pt>
    <dgm:pt modelId="{3345DF21-39CF-4C1C-9EA4-241F43BFDEC0}" type="pres">
      <dgm:prSet presAssocID="{C7911009-A248-4266-B309-56078CF26C0A}" presName="parentLin" presStyleCnt="0"/>
      <dgm:spPr/>
    </dgm:pt>
    <dgm:pt modelId="{FBE1157E-83DB-46DA-9849-C2DB0463B712}" type="pres">
      <dgm:prSet presAssocID="{C7911009-A248-4266-B309-56078CF26C0A}" presName="parentLeftMargin" presStyleLbl="node1" presStyleIdx="0" presStyleCnt="5"/>
      <dgm:spPr/>
    </dgm:pt>
    <dgm:pt modelId="{70C19702-31B5-441E-81EE-D45C8229149F}" type="pres">
      <dgm:prSet presAssocID="{C7911009-A248-4266-B309-56078CF26C0A}" presName="parentText" presStyleLbl="node1" presStyleIdx="1" presStyleCnt="5">
        <dgm:presLayoutVars>
          <dgm:chMax val="0"/>
          <dgm:bulletEnabled val="1"/>
        </dgm:presLayoutVars>
      </dgm:prSet>
      <dgm:spPr/>
    </dgm:pt>
    <dgm:pt modelId="{AA155B46-74DE-420D-AC51-FEFF46E5CC70}" type="pres">
      <dgm:prSet presAssocID="{C7911009-A248-4266-B309-56078CF26C0A}" presName="negativeSpace" presStyleCnt="0"/>
      <dgm:spPr/>
    </dgm:pt>
    <dgm:pt modelId="{EE8EAE14-2EED-418F-8AF3-27711977D0DA}" type="pres">
      <dgm:prSet presAssocID="{C7911009-A248-4266-B309-56078CF26C0A}" presName="childText" presStyleLbl="conFgAcc1" presStyleIdx="1" presStyleCnt="5">
        <dgm:presLayoutVars>
          <dgm:bulletEnabled val="1"/>
        </dgm:presLayoutVars>
      </dgm:prSet>
      <dgm:spPr/>
    </dgm:pt>
    <dgm:pt modelId="{5F44BB40-931F-4C6D-9E81-1406C490AA7D}" type="pres">
      <dgm:prSet presAssocID="{16642608-ECF6-43F8-A73D-76628AC08FD7}" presName="spaceBetweenRectangles" presStyleCnt="0"/>
      <dgm:spPr/>
    </dgm:pt>
    <dgm:pt modelId="{C69E5836-6760-4336-B374-37CF14867DD7}" type="pres">
      <dgm:prSet presAssocID="{27DE4DB9-865D-4883-BCC7-ACD4F988A5FB}" presName="parentLin" presStyleCnt="0"/>
      <dgm:spPr/>
    </dgm:pt>
    <dgm:pt modelId="{3230E374-5AD2-4EF3-8DF2-2B92C8DA6A71}" type="pres">
      <dgm:prSet presAssocID="{27DE4DB9-865D-4883-BCC7-ACD4F988A5FB}" presName="parentLeftMargin" presStyleLbl="node1" presStyleIdx="1" presStyleCnt="5"/>
      <dgm:spPr/>
    </dgm:pt>
    <dgm:pt modelId="{DB5C5138-3A13-4769-9C42-947639818ED8}" type="pres">
      <dgm:prSet presAssocID="{27DE4DB9-865D-4883-BCC7-ACD4F988A5FB}" presName="parentText" presStyleLbl="node1" presStyleIdx="2" presStyleCnt="5">
        <dgm:presLayoutVars>
          <dgm:chMax val="0"/>
          <dgm:bulletEnabled val="1"/>
        </dgm:presLayoutVars>
      </dgm:prSet>
      <dgm:spPr/>
    </dgm:pt>
    <dgm:pt modelId="{C514C73D-1289-440B-84B0-FE53E8F0AF73}" type="pres">
      <dgm:prSet presAssocID="{27DE4DB9-865D-4883-BCC7-ACD4F988A5FB}" presName="negativeSpace" presStyleCnt="0"/>
      <dgm:spPr/>
    </dgm:pt>
    <dgm:pt modelId="{D5A4322F-55E1-47B7-B6A6-4035183A140E}" type="pres">
      <dgm:prSet presAssocID="{27DE4DB9-865D-4883-BCC7-ACD4F988A5FB}" presName="childText" presStyleLbl="conFgAcc1" presStyleIdx="2" presStyleCnt="5">
        <dgm:presLayoutVars>
          <dgm:bulletEnabled val="1"/>
        </dgm:presLayoutVars>
      </dgm:prSet>
      <dgm:spPr/>
    </dgm:pt>
    <dgm:pt modelId="{84B40FC6-B6B5-465C-B994-1BB0C67AA6B1}" type="pres">
      <dgm:prSet presAssocID="{4B778948-83CA-4309-895D-A56A0D2D93B1}" presName="spaceBetweenRectangles" presStyleCnt="0"/>
      <dgm:spPr/>
    </dgm:pt>
    <dgm:pt modelId="{8C47A18F-83D2-4EB7-BB58-809D2765D817}" type="pres">
      <dgm:prSet presAssocID="{58B1BF52-41D2-4008-B531-3ADD62DD2314}" presName="parentLin" presStyleCnt="0"/>
      <dgm:spPr/>
    </dgm:pt>
    <dgm:pt modelId="{1A1B3D52-671A-4A5A-984D-47598AC18543}" type="pres">
      <dgm:prSet presAssocID="{58B1BF52-41D2-4008-B531-3ADD62DD2314}" presName="parentLeftMargin" presStyleLbl="node1" presStyleIdx="2" presStyleCnt="5"/>
      <dgm:spPr/>
    </dgm:pt>
    <dgm:pt modelId="{80DAA55B-D16A-460A-BA59-38C8A83314F1}" type="pres">
      <dgm:prSet presAssocID="{58B1BF52-41D2-4008-B531-3ADD62DD2314}" presName="parentText" presStyleLbl="node1" presStyleIdx="3" presStyleCnt="5">
        <dgm:presLayoutVars>
          <dgm:chMax val="0"/>
          <dgm:bulletEnabled val="1"/>
        </dgm:presLayoutVars>
      </dgm:prSet>
      <dgm:spPr/>
    </dgm:pt>
    <dgm:pt modelId="{672FCC72-5C1F-4CEB-B6F4-3A11E5D5313E}" type="pres">
      <dgm:prSet presAssocID="{58B1BF52-41D2-4008-B531-3ADD62DD2314}" presName="negativeSpace" presStyleCnt="0"/>
      <dgm:spPr/>
    </dgm:pt>
    <dgm:pt modelId="{E764D2F6-C0EA-426C-8FA5-60A041547BAF}" type="pres">
      <dgm:prSet presAssocID="{58B1BF52-41D2-4008-B531-3ADD62DD2314}" presName="childText" presStyleLbl="conFgAcc1" presStyleIdx="3" presStyleCnt="5">
        <dgm:presLayoutVars>
          <dgm:bulletEnabled val="1"/>
        </dgm:presLayoutVars>
      </dgm:prSet>
      <dgm:spPr/>
    </dgm:pt>
    <dgm:pt modelId="{23CA90B2-ECEF-474F-904E-A5BFF4325FDF}" type="pres">
      <dgm:prSet presAssocID="{78567748-170E-4890-B523-8E2FAB6A7B79}" presName="spaceBetweenRectangles" presStyleCnt="0"/>
      <dgm:spPr/>
    </dgm:pt>
    <dgm:pt modelId="{4501D8DE-8D57-45A5-AAC4-DC4F6245F863}" type="pres">
      <dgm:prSet presAssocID="{1C7D99C9-7A37-407B-A1D2-2B3DA2EAAA20}" presName="parentLin" presStyleCnt="0"/>
      <dgm:spPr/>
    </dgm:pt>
    <dgm:pt modelId="{8F3EB69B-841F-4F81-912F-33D3031C1A1A}" type="pres">
      <dgm:prSet presAssocID="{1C7D99C9-7A37-407B-A1D2-2B3DA2EAAA20}" presName="parentLeftMargin" presStyleLbl="node1" presStyleIdx="3" presStyleCnt="5"/>
      <dgm:spPr/>
    </dgm:pt>
    <dgm:pt modelId="{B2C7B041-5DCE-4C81-AA75-A1BDF6C5CD80}" type="pres">
      <dgm:prSet presAssocID="{1C7D99C9-7A37-407B-A1D2-2B3DA2EAAA20}" presName="parentText" presStyleLbl="node1" presStyleIdx="4" presStyleCnt="5">
        <dgm:presLayoutVars>
          <dgm:chMax val="0"/>
          <dgm:bulletEnabled val="1"/>
        </dgm:presLayoutVars>
      </dgm:prSet>
      <dgm:spPr/>
    </dgm:pt>
    <dgm:pt modelId="{B80894E8-BE0F-4095-B811-9B4C515120DD}" type="pres">
      <dgm:prSet presAssocID="{1C7D99C9-7A37-407B-A1D2-2B3DA2EAAA20}" presName="negativeSpace" presStyleCnt="0"/>
      <dgm:spPr/>
    </dgm:pt>
    <dgm:pt modelId="{309E5AAC-A1E0-4547-A086-D62DEEA7BAA5}" type="pres">
      <dgm:prSet presAssocID="{1C7D99C9-7A37-407B-A1D2-2B3DA2EAAA20}" presName="childText" presStyleLbl="conFgAcc1" presStyleIdx="4" presStyleCnt="5">
        <dgm:presLayoutVars>
          <dgm:bulletEnabled val="1"/>
        </dgm:presLayoutVars>
      </dgm:prSet>
      <dgm:spPr/>
    </dgm:pt>
  </dgm:ptLst>
  <dgm:cxnLst>
    <dgm:cxn modelId="{64E91813-6E40-4F2A-8C5D-A3D3BBD08B9D}" type="presOf" srcId="{1C7D99C9-7A37-407B-A1D2-2B3DA2EAAA20}" destId="{8F3EB69B-841F-4F81-912F-33D3031C1A1A}" srcOrd="0" destOrd="0" presId="urn:microsoft.com/office/officeart/2005/8/layout/list1"/>
    <dgm:cxn modelId="{F575F127-BB22-4C12-AA11-69BC7A2FC746}" type="presOf" srcId="{27DE4DB9-865D-4883-BCC7-ACD4F988A5FB}" destId="{3230E374-5AD2-4EF3-8DF2-2B92C8DA6A71}" srcOrd="0" destOrd="0" presId="urn:microsoft.com/office/officeart/2005/8/layout/list1"/>
    <dgm:cxn modelId="{CC172330-3590-433E-8CFE-E7AD2C6B7A0A}" type="presOf" srcId="{C7911009-A248-4266-B309-56078CF26C0A}" destId="{70C19702-31B5-441E-81EE-D45C8229149F}" srcOrd="1" destOrd="0" presId="urn:microsoft.com/office/officeart/2005/8/layout/list1"/>
    <dgm:cxn modelId="{FA75F85B-E588-4841-B00C-10B733F33350}" srcId="{DF38C261-0A56-40E1-A021-5A718924DA3F}" destId="{58B1BF52-41D2-4008-B531-3ADD62DD2314}" srcOrd="3" destOrd="0" parTransId="{7DB9A571-CAA8-4640-95E2-461797BB3DAB}" sibTransId="{78567748-170E-4890-B523-8E2FAB6A7B79}"/>
    <dgm:cxn modelId="{1DED7F5C-854F-4D66-B600-3D13B22BAFD5}" type="presOf" srcId="{27DE4DB9-865D-4883-BCC7-ACD4F988A5FB}" destId="{DB5C5138-3A13-4769-9C42-947639818ED8}" srcOrd="1" destOrd="0" presId="urn:microsoft.com/office/officeart/2005/8/layout/list1"/>
    <dgm:cxn modelId="{C6A3D164-4E1B-480B-B64D-4E4765780AD5}" srcId="{DF38C261-0A56-40E1-A021-5A718924DA3F}" destId="{A5B515BC-B034-4AB5-A8B9-BAD6767A9B42}" srcOrd="0" destOrd="0" parTransId="{1E23557A-2F86-476E-BE12-47D82DCE9C21}" sibTransId="{B189B4E8-76C6-4EC1-9347-D40E0EAC21EB}"/>
    <dgm:cxn modelId="{6BE47B69-20AA-450C-B8B7-20EBA4BB1E10}" type="presOf" srcId="{58B1BF52-41D2-4008-B531-3ADD62DD2314}" destId="{1A1B3D52-671A-4A5A-984D-47598AC18543}" srcOrd="0" destOrd="0" presId="urn:microsoft.com/office/officeart/2005/8/layout/list1"/>
    <dgm:cxn modelId="{2D4B206D-6D8E-4465-B770-CFE27C2626BB}" srcId="{DF38C261-0A56-40E1-A021-5A718924DA3F}" destId="{C7911009-A248-4266-B309-56078CF26C0A}" srcOrd="1" destOrd="0" parTransId="{BFE84EEA-E485-4264-B855-A7F552AC045E}" sibTransId="{16642608-ECF6-43F8-A73D-76628AC08FD7}"/>
    <dgm:cxn modelId="{61917386-B4A1-4368-89EB-FD7BA8668AD1}" srcId="{DF38C261-0A56-40E1-A021-5A718924DA3F}" destId="{27DE4DB9-865D-4883-BCC7-ACD4F988A5FB}" srcOrd="2" destOrd="0" parTransId="{7892DD17-8111-4A78-9F36-DE8612AF3767}" sibTransId="{4B778948-83CA-4309-895D-A56A0D2D93B1}"/>
    <dgm:cxn modelId="{1063F58F-602D-436D-96AA-805423001D16}" type="presOf" srcId="{DF38C261-0A56-40E1-A021-5A718924DA3F}" destId="{4B56AD54-0D34-4A5D-8FEB-819FB26A999F}" srcOrd="0" destOrd="0" presId="urn:microsoft.com/office/officeart/2005/8/layout/list1"/>
    <dgm:cxn modelId="{A796A99C-2769-4075-9AA3-987C39C6BE31}" type="presOf" srcId="{C7911009-A248-4266-B309-56078CF26C0A}" destId="{FBE1157E-83DB-46DA-9849-C2DB0463B712}" srcOrd="0" destOrd="0" presId="urn:microsoft.com/office/officeart/2005/8/layout/list1"/>
    <dgm:cxn modelId="{1D66A6A4-BB24-4B17-9CBA-E7FB00923D67}" type="presOf" srcId="{58B1BF52-41D2-4008-B531-3ADD62DD2314}" destId="{80DAA55B-D16A-460A-BA59-38C8A83314F1}" srcOrd="1" destOrd="0" presId="urn:microsoft.com/office/officeart/2005/8/layout/list1"/>
    <dgm:cxn modelId="{AB92F9BB-8F2D-41AF-8CAA-B55FE2CB2642}" type="presOf" srcId="{1C7D99C9-7A37-407B-A1D2-2B3DA2EAAA20}" destId="{B2C7B041-5DCE-4C81-AA75-A1BDF6C5CD80}" srcOrd="1" destOrd="0" presId="urn:microsoft.com/office/officeart/2005/8/layout/list1"/>
    <dgm:cxn modelId="{A77101C9-9BBB-4EAD-BC36-E506D18746D9}" srcId="{DF38C261-0A56-40E1-A021-5A718924DA3F}" destId="{1C7D99C9-7A37-407B-A1D2-2B3DA2EAAA20}" srcOrd="4" destOrd="0" parTransId="{B2ADD054-33B8-4566-8D8B-9919FC98E6CB}" sibTransId="{3FEA7197-E95E-4B1C-BDB1-0AF47D81EDA8}"/>
    <dgm:cxn modelId="{80D86EF7-DA02-46D7-A567-606E43A2030E}" type="presOf" srcId="{A5B515BC-B034-4AB5-A8B9-BAD6767A9B42}" destId="{4E3AD5C8-8705-41D6-8528-5011BE7860AD}" srcOrd="1" destOrd="0" presId="urn:microsoft.com/office/officeart/2005/8/layout/list1"/>
    <dgm:cxn modelId="{A0339BFB-E74F-4C77-A6F4-AF37AF050B00}" type="presOf" srcId="{A5B515BC-B034-4AB5-A8B9-BAD6767A9B42}" destId="{0BCF7693-9558-47EA-8E6E-3D9C3B582A9B}" srcOrd="0" destOrd="0" presId="urn:microsoft.com/office/officeart/2005/8/layout/list1"/>
    <dgm:cxn modelId="{A669E1A2-CE40-4571-8BF1-1DB28A466BA3}" type="presParOf" srcId="{4B56AD54-0D34-4A5D-8FEB-819FB26A999F}" destId="{CFE574C5-75F3-40A5-A361-639B00DE001C}" srcOrd="0" destOrd="0" presId="urn:microsoft.com/office/officeart/2005/8/layout/list1"/>
    <dgm:cxn modelId="{60CFF65D-D5C4-4B83-AAEC-47D8CDC8FCE3}" type="presParOf" srcId="{CFE574C5-75F3-40A5-A361-639B00DE001C}" destId="{0BCF7693-9558-47EA-8E6E-3D9C3B582A9B}" srcOrd="0" destOrd="0" presId="urn:microsoft.com/office/officeart/2005/8/layout/list1"/>
    <dgm:cxn modelId="{61A7D846-D9B3-4264-A8F0-3306D42A1001}" type="presParOf" srcId="{CFE574C5-75F3-40A5-A361-639B00DE001C}" destId="{4E3AD5C8-8705-41D6-8528-5011BE7860AD}" srcOrd="1" destOrd="0" presId="urn:microsoft.com/office/officeart/2005/8/layout/list1"/>
    <dgm:cxn modelId="{E55FC20C-DD92-4F82-B06A-939181656495}" type="presParOf" srcId="{4B56AD54-0D34-4A5D-8FEB-819FB26A999F}" destId="{37CDECDD-631F-4669-9D38-D70556AB8438}" srcOrd="1" destOrd="0" presId="urn:microsoft.com/office/officeart/2005/8/layout/list1"/>
    <dgm:cxn modelId="{127A5F44-8E87-48D1-BD62-02B3D0A2D5AE}" type="presParOf" srcId="{4B56AD54-0D34-4A5D-8FEB-819FB26A999F}" destId="{E2BDE07A-7FC4-4939-BA81-2739A969DFEC}" srcOrd="2" destOrd="0" presId="urn:microsoft.com/office/officeart/2005/8/layout/list1"/>
    <dgm:cxn modelId="{14AD4D6C-8435-4D61-A791-58829398DD57}" type="presParOf" srcId="{4B56AD54-0D34-4A5D-8FEB-819FB26A999F}" destId="{BEF0CA4A-E230-4111-9F7A-8375324AF8A1}" srcOrd="3" destOrd="0" presId="urn:microsoft.com/office/officeart/2005/8/layout/list1"/>
    <dgm:cxn modelId="{21E71C77-7B48-4A9D-BFF2-4C363D784C69}" type="presParOf" srcId="{4B56AD54-0D34-4A5D-8FEB-819FB26A999F}" destId="{3345DF21-39CF-4C1C-9EA4-241F43BFDEC0}" srcOrd="4" destOrd="0" presId="urn:microsoft.com/office/officeart/2005/8/layout/list1"/>
    <dgm:cxn modelId="{24048600-1E6A-4E3E-84BB-819DD14F171C}" type="presParOf" srcId="{3345DF21-39CF-4C1C-9EA4-241F43BFDEC0}" destId="{FBE1157E-83DB-46DA-9849-C2DB0463B712}" srcOrd="0" destOrd="0" presId="urn:microsoft.com/office/officeart/2005/8/layout/list1"/>
    <dgm:cxn modelId="{35A26B9F-9D02-4F24-81D4-0EF13E3A5CEE}" type="presParOf" srcId="{3345DF21-39CF-4C1C-9EA4-241F43BFDEC0}" destId="{70C19702-31B5-441E-81EE-D45C8229149F}" srcOrd="1" destOrd="0" presId="urn:microsoft.com/office/officeart/2005/8/layout/list1"/>
    <dgm:cxn modelId="{9D921422-3FB8-4E45-9915-0BE1051CCF0D}" type="presParOf" srcId="{4B56AD54-0D34-4A5D-8FEB-819FB26A999F}" destId="{AA155B46-74DE-420D-AC51-FEFF46E5CC70}" srcOrd="5" destOrd="0" presId="urn:microsoft.com/office/officeart/2005/8/layout/list1"/>
    <dgm:cxn modelId="{7405E24C-7D61-4FF3-92D1-54E34D8F8482}" type="presParOf" srcId="{4B56AD54-0D34-4A5D-8FEB-819FB26A999F}" destId="{EE8EAE14-2EED-418F-8AF3-27711977D0DA}" srcOrd="6" destOrd="0" presId="urn:microsoft.com/office/officeart/2005/8/layout/list1"/>
    <dgm:cxn modelId="{8D79BA57-641B-46B8-9677-9A1A64D40135}" type="presParOf" srcId="{4B56AD54-0D34-4A5D-8FEB-819FB26A999F}" destId="{5F44BB40-931F-4C6D-9E81-1406C490AA7D}" srcOrd="7" destOrd="0" presId="urn:microsoft.com/office/officeart/2005/8/layout/list1"/>
    <dgm:cxn modelId="{AC6AECAB-1CF3-4BDF-8A3E-7A36DA38E92C}" type="presParOf" srcId="{4B56AD54-0D34-4A5D-8FEB-819FB26A999F}" destId="{C69E5836-6760-4336-B374-37CF14867DD7}" srcOrd="8" destOrd="0" presId="urn:microsoft.com/office/officeart/2005/8/layout/list1"/>
    <dgm:cxn modelId="{E9521A48-E812-4819-A77E-DAF0FC948F89}" type="presParOf" srcId="{C69E5836-6760-4336-B374-37CF14867DD7}" destId="{3230E374-5AD2-4EF3-8DF2-2B92C8DA6A71}" srcOrd="0" destOrd="0" presId="urn:microsoft.com/office/officeart/2005/8/layout/list1"/>
    <dgm:cxn modelId="{9EACDD88-99A2-4E40-9919-96F27EF63EF0}" type="presParOf" srcId="{C69E5836-6760-4336-B374-37CF14867DD7}" destId="{DB5C5138-3A13-4769-9C42-947639818ED8}" srcOrd="1" destOrd="0" presId="urn:microsoft.com/office/officeart/2005/8/layout/list1"/>
    <dgm:cxn modelId="{6F030C78-4BB1-4776-983E-66417A018D9B}" type="presParOf" srcId="{4B56AD54-0D34-4A5D-8FEB-819FB26A999F}" destId="{C514C73D-1289-440B-84B0-FE53E8F0AF73}" srcOrd="9" destOrd="0" presId="urn:microsoft.com/office/officeart/2005/8/layout/list1"/>
    <dgm:cxn modelId="{3D311E97-6B31-46E0-B08D-7E7B4B13ADF5}" type="presParOf" srcId="{4B56AD54-0D34-4A5D-8FEB-819FB26A999F}" destId="{D5A4322F-55E1-47B7-B6A6-4035183A140E}" srcOrd="10" destOrd="0" presId="urn:microsoft.com/office/officeart/2005/8/layout/list1"/>
    <dgm:cxn modelId="{4417F3A3-3670-4EDA-8543-EB6A0EBF8E3F}" type="presParOf" srcId="{4B56AD54-0D34-4A5D-8FEB-819FB26A999F}" destId="{84B40FC6-B6B5-465C-B994-1BB0C67AA6B1}" srcOrd="11" destOrd="0" presId="urn:microsoft.com/office/officeart/2005/8/layout/list1"/>
    <dgm:cxn modelId="{27284A2F-509B-464B-9BE5-2EA71A77F85E}" type="presParOf" srcId="{4B56AD54-0D34-4A5D-8FEB-819FB26A999F}" destId="{8C47A18F-83D2-4EB7-BB58-809D2765D817}" srcOrd="12" destOrd="0" presId="urn:microsoft.com/office/officeart/2005/8/layout/list1"/>
    <dgm:cxn modelId="{846A3B6C-36A0-44CF-AE68-227CACA32F08}" type="presParOf" srcId="{8C47A18F-83D2-4EB7-BB58-809D2765D817}" destId="{1A1B3D52-671A-4A5A-984D-47598AC18543}" srcOrd="0" destOrd="0" presId="urn:microsoft.com/office/officeart/2005/8/layout/list1"/>
    <dgm:cxn modelId="{E75EBE87-6736-4F5B-BBBE-ED6216C2F1FF}" type="presParOf" srcId="{8C47A18F-83D2-4EB7-BB58-809D2765D817}" destId="{80DAA55B-D16A-460A-BA59-38C8A83314F1}" srcOrd="1" destOrd="0" presId="urn:microsoft.com/office/officeart/2005/8/layout/list1"/>
    <dgm:cxn modelId="{53AB2FED-7C7F-4529-8672-94D5C2542C76}" type="presParOf" srcId="{4B56AD54-0D34-4A5D-8FEB-819FB26A999F}" destId="{672FCC72-5C1F-4CEB-B6F4-3A11E5D5313E}" srcOrd="13" destOrd="0" presId="urn:microsoft.com/office/officeart/2005/8/layout/list1"/>
    <dgm:cxn modelId="{94A00908-00EC-4C67-B48A-94BD1EB5ABE1}" type="presParOf" srcId="{4B56AD54-0D34-4A5D-8FEB-819FB26A999F}" destId="{E764D2F6-C0EA-426C-8FA5-60A041547BAF}" srcOrd="14" destOrd="0" presId="urn:microsoft.com/office/officeart/2005/8/layout/list1"/>
    <dgm:cxn modelId="{8B86EC39-61FC-4458-BC7C-7D9AEF04A20D}" type="presParOf" srcId="{4B56AD54-0D34-4A5D-8FEB-819FB26A999F}" destId="{23CA90B2-ECEF-474F-904E-A5BFF4325FDF}" srcOrd="15" destOrd="0" presId="urn:microsoft.com/office/officeart/2005/8/layout/list1"/>
    <dgm:cxn modelId="{72D58AE5-C90E-4DC4-81A9-756DFE98748C}" type="presParOf" srcId="{4B56AD54-0D34-4A5D-8FEB-819FB26A999F}" destId="{4501D8DE-8D57-45A5-AAC4-DC4F6245F863}" srcOrd="16" destOrd="0" presId="urn:microsoft.com/office/officeart/2005/8/layout/list1"/>
    <dgm:cxn modelId="{31C89902-8B01-4FC2-8845-77895A1715FF}" type="presParOf" srcId="{4501D8DE-8D57-45A5-AAC4-DC4F6245F863}" destId="{8F3EB69B-841F-4F81-912F-33D3031C1A1A}" srcOrd="0" destOrd="0" presId="urn:microsoft.com/office/officeart/2005/8/layout/list1"/>
    <dgm:cxn modelId="{337E4C38-D1B6-4297-BA5C-03DA5A21A056}" type="presParOf" srcId="{4501D8DE-8D57-45A5-AAC4-DC4F6245F863}" destId="{B2C7B041-5DCE-4C81-AA75-A1BDF6C5CD80}" srcOrd="1" destOrd="0" presId="urn:microsoft.com/office/officeart/2005/8/layout/list1"/>
    <dgm:cxn modelId="{3B993495-4C68-4EE3-8FDA-8B8DB7468E89}" type="presParOf" srcId="{4B56AD54-0D34-4A5D-8FEB-819FB26A999F}" destId="{B80894E8-BE0F-4095-B811-9B4C515120DD}" srcOrd="17" destOrd="0" presId="urn:microsoft.com/office/officeart/2005/8/layout/list1"/>
    <dgm:cxn modelId="{3C2A9C65-FFCE-4C35-AF13-3E92A6A34408}" type="presParOf" srcId="{4B56AD54-0D34-4A5D-8FEB-819FB26A999F}" destId="{309E5AAC-A1E0-4547-A086-D62DEEA7BAA5}" srcOrd="18" destOrd="0" presId="urn:microsoft.com/office/officeart/2005/8/layout/list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8501FA-CFF4-40CB-B549-014648015685}">
      <dsp:nvSpPr>
        <dsp:cNvPr id="0" name=""/>
        <dsp:cNvSpPr/>
      </dsp:nvSpPr>
      <dsp:spPr>
        <a:xfrm>
          <a:off x="3883468" y="2494788"/>
          <a:ext cx="142203" cy="436090"/>
        </a:xfrm>
        <a:custGeom>
          <a:avLst/>
          <a:gdLst/>
          <a:ahLst/>
          <a:cxnLst/>
          <a:rect l="0" t="0" r="0" b="0"/>
          <a:pathLst>
            <a:path>
              <a:moveTo>
                <a:pt x="0" y="0"/>
              </a:moveTo>
              <a:lnTo>
                <a:pt x="0" y="436090"/>
              </a:lnTo>
              <a:lnTo>
                <a:pt x="142203" y="436090"/>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63EC4DFD-758C-4649-9AE6-7AF9DAEA255D}">
      <dsp:nvSpPr>
        <dsp:cNvPr id="0" name=""/>
        <dsp:cNvSpPr/>
      </dsp:nvSpPr>
      <dsp:spPr>
        <a:xfrm>
          <a:off x="4216957" y="1821692"/>
          <a:ext cx="91440" cy="199084"/>
        </a:xfrm>
        <a:custGeom>
          <a:avLst/>
          <a:gdLst/>
          <a:ahLst/>
          <a:cxnLst/>
          <a:rect l="0" t="0" r="0" b="0"/>
          <a:pathLst>
            <a:path>
              <a:moveTo>
                <a:pt x="45720" y="0"/>
              </a:moveTo>
              <a:lnTo>
                <a:pt x="45720" y="199084"/>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CB958548-30C2-4D21-9E69-3AC745B4895F}">
      <dsp:nvSpPr>
        <dsp:cNvPr id="0" name=""/>
        <dsp:cNvSpPr/>
      </dsp:nvSpPr>
      <dsp:spPr>
        <a:xfrm>
          <a:off x="3543616" y="1148597"/>
          <a:ext cx="719060" cy="199084"/>
        </a:xfrm>
        <a:custGeom>
          <a:avLst/>
          <a:gdLst/>
          <a:ahLst/>
          <a:cxnLst/>
          <a:rect l="0" t="0" r="0" b="0"/>
          <a:pathLst>
            <a:path>
              <a:moveTo>
                <a:pt x="0" y="0"/>
              </a:moveTo>
              <a:lnTo>
                <a:pt x="0" y="99542"/>
              </a:lnTo>
              <a:lnTo>
                <a:pt x="719060" y="99542"/>
              </a:lnTo>
              <a:lnTo>
                <a:pt x="719060" y="199084"/>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B57F9945-79BF-4C79-8D05-A94D6739A82D}">
      <dsp:nvSpPr>
        <dsp:cNvPr id="0" name=""/>
        <dsp:cNvSpPr/>
      </dsp:nvSpPr>
      <dsp:spPr>
        <a:xfrm>
          <a:off x="2970063" y="1148597"/>
          <a:ext cx="573553" cy="199084"/>
        </a:xfrm>
        <a:custGeom>
          <a:avLst/>
          <a:gdLst/>
          <a:ahLst/>
          <a:cxnLst/>
          <a:rect l="0" t="0" r="0" b="0"/>
          <a:pathLst>
            <a:path>
              <a:moveTo>
                <a:pt x="573553" y="0"/>
              </a:moveTo>
              <a:lnTo>
                <a:pt x="573553" y="99542"/>
              </a:lnTo>
              <a:lnTo>
                <a:pt x="0" y="99542"/>
              </a:lnTo>
              <a:lnTo>
                <a:pt x="0" y="199084"/>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DC197C63-F391-4DCA-95E6-C6DAD1E197C7}">
      <dsp:nvSpPr>
        <dsp:cNvPr id="0" name=""/>
        <dsp:cNvSpPr/>
      </dsp:nvSpPr>
      <dsp:spPr>
        <a:xfrm>
          <a:off x="2387722" y="475501"/>
          <a:ext cx="1155894" cy="199084"/>
        </a:xfrm>
        <a:custGeom>
          <a:avLst/>
          <a:gdLst/>
          <a:ahLst/>
          <a:cxnLst/>
          <a:rect l="0" t="0" r="0" b="0"/>
          <a:pathLst>
            <a:path>
              <a:moveTo>
                <a:pt x="0" y="0"/>
              </a:moveTo>
              <a:lnTo>
                <a:pt x="0" y="99542"/>
              </a:lnTo>
              <a:lnTo>
                <a:pt x="1155894" y="99542"/>
              </a:lnTo>
              <a:lnTo>
                <a:pt x="1155894" y="199084"/>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B0D9DD28-EC76-460E-866C-C6FCEDC1110B}">
      <dsp:nvSpPr>
        <dsp:cNvPr id="0" name=""/>
        <dsp:cNvSpPr/>
      </dsp:nvSpPr>
      <dsp:spPr>
        <a:xfrm>
          <a:off x="2342002" y="475501"/>
          <a:ext cx="91440" cy="199084"/>
        </a:xfrm>
        <a:custGeom>
          <a:avLst/>
          <a:gdLst/>
          <a:ahLst/>
          <a:cxnLst/>
          <a:rect l="0" t="0" r="0" b="0"/>
          <a:pathLst>
            <a:path>
              <a:moveTo>
                <a:pt x="45720" y="0"/>
              </a:moveTo>
              <a:lnTo>
                <a:pt x="45720" y="99542"/>
              </a:lnTo>
              <a:lnTo>
                <a:pt x="54508" y="99542"/>
              </a:lnTo>
              <a:lnTo>
                <a:pt x="54508" y="199084"/>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0E689F65-AAA4-4BDC-B62D-976ABC02256B}">
      <dsp:nvSpPr>
        <dsp:cNvPr id="0" name=""/>
        <dsp:cNvSpPr/>
      </dsp:nvSpPr>
      <dsp:spPr>
        <a:xfrm>
          <a:off x="861406" y="2754735"/>
          <a:ext cx="142203" cy="420642"/>
        </a:xfrm>
        <a:custGeom>
          <a:avLst/>
          <a:gdLst/>
          <a:ahLst/>
          <a:cxnLst/>
          <a:rect l="0" t="0" r="0" b="0"/>
          <a:pathLst>
            <a:path>
              <a:moveTo>
                <a:pt x="0" y="0"/>
              </a:moveTo>
              <a:lnTo>
                <a:pt x="0" y="420642"/>
              </a:lnTo>
              <a:lnTo>
                <a:pt x="142203" y="420642"/>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707C15A8-24BD-487D-8069-67F0BE9833FD}">
      <dsp:nvSpPr>
        <dsp:cNvPr id="0" name=""/>
        <dsp:cNvSpPr/>
      </dsp:nvSpPr>
      <dsp:spPr>
        <a:xfrm>
          <a:off x="1194895" y="2081640"/>
          <a:ext cx="91440" cy="199084"/>
        </a:xfrm>
        <a:custGeom>
          <a:avLst/>
          <a:gdLst/>
          <a:ahLst/>
          <a:cxnLst/>
          <a:rect l="0" t="0" r="0" b="0"/>
          <a:pathLst>
            <a:path>
              <a:moveTo>
                <a:pt x="45720" y="0"/>
              </a:moveTo>
              <a:lnTo>
                <a:pt x="45720" y="199084"/>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FCA9C6FD-7B6C-44D7-B2E7-5BB47FED9488}">
      <dsp:nvSpPr>
        <dsp:cNvPr id="0" name=""/>
        <dsp:cNvSpPr/>
      </dsp:nvSpPr>
      <dsp:spPr>
        <a:xfrm>
          <a:off x="1194895" y="1408544"/>
          <a:ext cx="91440" cy="199084"/>
        </a:xfrm>
        <a:custGeom>
          <a:avLst/>
          <a:gdLst/>
          <a:ahLst/>
          <a:cxnLst/>
          <a:rect l="0" t="0" r="0" b="0"/>
          <a:pathLst>
            <a:path>
              <a:moveTo>
                <a:pt x="45720" y="0"/>
              </a:moveTo>
              <a:lnTo>
                <a:pt x="45720" y="199084"/>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BCF2B3D3-2815-4317-B805-D64C329179A2}">
      <dsp:nvSpPr>
        <dsp:cNvPr id="0" name=""/>
        <dsp:cNvSpPr/>
      </dsp:nvSpPr>
      <dsp:spPr>
        <a:xfrm>
          <a:off x="1240615" y="475501"/>
          <a:ext cx="1147106" cy="199084"/>
        </a:xfrm>
        <a:custGeom>
          <a:avLst/>
          <a:gdLst/>
          <a:ahLst/>
          <a:cxnLst/>
          <a:rect l="0" t="0" r="0" b="0"/>
          <a:pathLst>
            <a:path>
              <a:moveTo>
                <a:pt x="1147106" y="0"/>
              </a:moveTo>
              <a:lnTo>
                <a:pt x="1147106" y="99542"/>
              </a:lnTo>
              <a:lnTo>
                <a:pt x="0" y="99542"/>
              </a:lnTo>
              <a:lnTo>
                <a:pt x="0" y="199084"/>
              </a:lnTo>
            </a:path>
          </a:pathLst>
        </a:custGeom>
        <a:noFill/>
        <a:ln w="1270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8D39C9C7-E0B3-4948-8921-2A94788C5208}">
      <dsp:nvSpPr>
        <dsp:cNvPr id="0" name=""/>
        <dsp:cNvSpPr/>
      </dsp:nvSpPr>
      <dsp:spPr>
        <a:xfrm>
          <a:off x="1913711" y="1490"/>
          <a:ext cx="948021" cy="474010"/>
        </a:xfrm>
        <a:prstGeom prst="flowChartAlternateProcess">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Lead</a:t>
          </a:r>
          <a:r>
            <a:rPr lang="en-ZW" sz="800" kern="1200"/>
            <a:t> </a:t>
          </a:r>
          <a:r>
            <a:rPr lang="en-ZW" sz="1000" kern="1200"/>
            <a:t>Generation</a:t>
          </a:r>
        </a:p>
      </dsp:txBody>
      <dsp:txXfrm>
        <a:off x="1936850" y="24629"/>
        <a:ext cx="901743" cy="427732"/>
      </dsp:txXfrm>
    </dsp:sp>
    <dsp:sp modelId="{CFE91FB8-C296-48F9-A594-79D63D378E14}">
      <dsp:nvSpPr>
        <dsp:cNvPr id="0" name=""/>
        <dsp:cNvSpPr/>
      </dsp:nvSpPr>
      <dsp:spPr>
        <a:xfrm>
          <a:off x="757816" y="674586"/>
          <a:ext cx="965598" cy="733958"/>
        </a:xfrm>
        <a:prstGeom prst="flowChartDecision">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ZW" sz="800" kern="1200"/>
            <a:t>DIP Submission </a:t>
          </a:r>
        </a:p>
      </dsp:txBody>
      <dsp:txXfrm>
        <a:off x="999216" y="858076"/>
        <a:ext cx="482799" cy="366979"/>
      </dsp:txXfrm>
    </dsp:sp>
    <dsp:sp modelId="{8A1995DE-C5D5-4D29-95A3-331CA9FD49F9}">
      <dsp:nvSpPr>
        <dsp:cNvPr id="0" name=""/>
        <dsp:cNvSpPr/>
      </dsp:nvSpPr>
      <dsp:spPr>
        <a:xfrm>
          <a:off x="766604" y="1607629"/>
          <a:ext cx="948021" cy="4740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Completion</a:t>
          </a:r>
        </a:p>
      </dsp:txBody>
      <dsp:txXfrm>
        <a:off x="766604" y="1607629"/>
        <a:ext cx="948021" cy="474010"/>
      </dsp:txXfrm>
    </dsp:sp>
    <dsp:sp modelId="{F9DE3BA2-F748-4E7D-9D06-E0651F8D11E3}">
      <dsp:nvSpPr>
        <dsp:cNvPr id="0" name=""/>
        <dsp:cNvSpPr/>
      </dsp:nvSpPr>
      <dsp:spPr>
        <a:xfrm>
          <a:off x="766604" y="2280724"/>
          <a:ext cx="948021" cy="4740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Protection</a:t>
          </a:r>
          <a:r>
            <a:rPr lang="en-ZW" sz="800" kern="1200"/>
            <a:t> </a:t>
          </a:r>
          <a:r>
            <a:rPr lang="en-ZW" sz="1000" kern="1200"/>
            <a:t>Review</a:t>
          </a:r>
        </a:p>
      </dsp:txBody>
      <dsp:txXfrm>
        <a:off x="766604" y="2280724"/>
        <a:ext cx="948021" cy="474010"/>
      </dsp:txXfrm>
    </dsp:sp>
    <dsp:sp modelId="{A576C213-4291-4D5A-91D5-8255A2623D2A}">
      <dsp:nvSpPr>
        <dsp:cNvPr id="0" name=""/>
        <dsp:cNvSpPr/>
      </dsp:nvSpPr>
      <dsp:spPr>
        <a:xfrm>
          <a:off x="1003609" y="2886145"/>
          <a:ext cx="1168911" cy="578464"/>
        </a:xfrm>
        <a:prstGeom prst="flowChartAlternateProcess">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Annual Mortgage Review (Aftercare)</a:t>
          </a:r>
        </a:p>
      </dsp:txBody>
      <dsp:txXfrm>
        <a:off x="1031847" y="2914383"/>
        <a:ext cx="1112435" cy="521988"/>
      </dsp:txXfrm>
    </dsp:sp>
    <dsp:sp modelId="{6F0C0B6B-8C8F-4DD1-8665-23B9E7425E22}">
      <dsp:nvSpPr>
        <dsp:cNvPr id="0" name=""/>
        <dsp:cNvSpPr/>
      </dsp:nvSpPr>
      <dsp:spPr>
        <a:xfrm>
          <a:off x="1922499" y="674586"/>
          <a:ext cx="948021" cy="4740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Discovery</a:t>
          </a:r>
          <a:r>
            <a:rPr lang="en-ZW" sz="800" kern="1200"/>
            <a:t> Call</a:t>
          </a:r>
        </a:p>
      </dsp:txBody>
      <dsp:txXfrm>
        <a:off x="1922499" y="674586"/>
        <a:ext cx="948021" cy="474010"/>
      </dsp:txXfrm>
    </dsp:sp>
    <dsp:sp modelId="{DC2EEB74-901D-4F83-8280-FE5103875F87}">
      <dsp:nvSpPr>
        <dsp:cNvPr id="0" name=""/>
        <dsp:cNvSpPr/>
      </dsp:nvSpPr>
      <dsp:spPr>
        <a:xfrm>
          <a:off x="3069605" y="674586"/>
          <a:ext cx="948021" cy="474010"/>
        </a:xfrm>
        <a:prstGeom prst="flowChartDecision">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Fact-Find</a:t>
          </a:r>
          <a:r>
            <a:rPr lang="en-ZW" sz="800" kern="1200"/>
            <a:t> &amp; IDV </a:t>
          </a:r>
        </a:p>
      </dsp:txBody>
      <dsp:txXfrm>
        <a:off x="3306610" y="793089"/>
        <a:ext cx="474011" cy="237005"/>
      </dsp:txXfrm>
    </dsp:sp>
    <dsp:sp modelId="{4E86587A-4F3E-4174-96D5-9B7063E9B524}">
      <dsp:nvSpPr>
        <dsp:cNvPr id="0" name=""/>
        <dsp:cNvSpPr/>
      </dsp:nvSpPr>
      <dsp:spPr>
        <a:xfrm>
          <a:off x="2350545" y="1347681"/>
          <a:ext cx="1239036" cy="766750"/>
        </a:xfrm>
        <a:prstGeom prst="flowChartDecision">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Affordability &amp; Research</a:t>
          </a:r>
        </a:p>
      </dsp:txBody>
      <dsp:txXfrm>
        <a:off x="2660304" y="1539369"/>
        <a:ext cx="619518" cy="383375"/>
      </dsp:txXfrm>
    </dsp:sp>
    <dsp:sp modelId="{E1D8AB86-F7E9-4D2A-A9B5-3D529CBFA2FF}">
      <dsp:nvSpPr>
        <dsp:cNvPr id="0" name=""/>
        <dsp:cNvSpPr/>
      </dsp:nvSpPr>
      <dsp:spPr>
        <a:xfrm>
          <a:off x="3788666" y="1347681"/>
          <a:ext cx="948021" cy="4740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ZW" sz="800" kern="1200"/>
            <a:t> </a:t>
          </a:r>
          <a:r>
            <a:rPr lang="en-ZW" sz="1000" kern="1200"/>
            <a:t>Full Mortgage Application</a:t>
          </a:r>
        </a:p>
      </dsp:txBody>
      <dsp:txXfrm>
        <a:off x="3788666" y="1347681"/>
        <a:ext cx="948021" cy="474010"/>
      </dsp:txXfrm>
    </dsp:sp>
    <dsp:sp modelId="{95F8D003-C7FC-49FB-9662-EE9C36311FFA}">
      <dsp:nvSpPr>
        <dsp:cNvPr id="0" name=""/>
        <dsp:cNvSpPr/>
      </dsp:nvSpPr>
      <dsp:spPr>
        <a:xfrm>
          <a:off x="3788666" y="2020777"/>
          <a:ext cx="948021" cy="4740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Lender processing</a:t>
          </a:r>
        </a:p>
      </dsp:txBody>
      <dsp:txXfrm>
        <a:off x="3788666" y="2020777"/>
        <a:ext cx="948021" cy="474010"/>
      </dsp:txXfrm>
    </dsp:sp>
    <dsp:sp modelId="{4818EC2C-6782-4F3B-8458-5C4631966BC6}">
      <dsp:nvSpPr>
        <dsp:cNvPr id="0" name=""/>
        <dsp:cNvSpPr/>
      </dsp:nvSpPr>
      <dsp:spPr>
        <a:xfrm>
          <a:off x="4025671" y="2693872"/>
          <a:ext cx="948021" cy="474010"/>
        </a:xfrm>
        <a:prstGeom prst="flowChartAlternateProcess">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offer</a:t>
          </a:r>
        </a:p>
      </dsp:txBody>
      <dsp:txXfrm>
        <a:off x="4048810" y="2717011"/>
        <a:ext cx="901743" cy="4277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FCCA31-B492-4431-AEC0-EB7AA9E6E263}">
      <dsp:nvSpPr>
        <dsp:cNvPr id="0" name=""/>
        <dsp:cNvSpPr/>
      </dsp:nvSpPr>
      <dsp:spPr>
        <a:xfrm>
          <a:off x="0" y="340397"/>
          <a:ext cx="5471160" cy="2268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DB4C9B8-33B5-4388-80A4-0CAE088B0CB4}">
      <dsp:nvSpPr>
        <dsp:cNvPr id="0" name=""/>
        <dsp:cNvSpPr/>
      </dsp:nvSpPr>
      <dsp:spPr>
        <a:xfrm>
          <a:off x="273290" y="68038"/>
          <a:ext cx="3909824" cy="405199"/>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4758" tIns="0" rIns="144758" bIns="0" numCol="1" spcCol="1270" anchor="ctr" anchorCtr="0">
          <a:noAutofit/>
        </a:bodyPr>
        <a:lstStyle/>
        <a:p>
          <a:pPr marL="0" lvl="0" indent="0" algn="l" defTabSz="533400">
            <a:lnSpc>
              <a:spcPct val="90000"/>
            </a:lnSpc>
            <a:spcBef>
              <a:spcPct val="0"/>
            </a:spcBef>
            <a:spcAft>
              <a:spcPct val="35000"/>
            </a:spcAft>
            <a:buNone/>
          </a:pPr>
          <a:r>
            <a:rPr lang="en-ZW" sz="1200" kern="1200"/>
            <a:t>A registered business address and private meeting space</a:t>
          </a:r>
        </a:p>
      </dsp:txBody>
      <dsp:txXfrm>
        <a:off x="293070" y="87818"/>
        <a:ext cx="3870264" cy="365639"/>
      </dsp:txXfrm>
    </dsp:sp>
    <dsp:sp modelId="{AC58620E-8519-4C07-AFC3-AE90F24DF4C5}">
      <dsp:nvSpPr>
        <dsp:cNvPr id="0" name=""/>
        <dsp:cNvSpPr/>
      </dsp:nvSpPr>
      <dsp:spPr>
        <a:xfrm>
          <a:off x="0" y="855927"/>
          <a:ext cx="5471160" cy="2268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E28FCB7-E062-4362-BC69-99973C1F4F00}">
      <dsp:nvSpPr>
        <dsp:cNvPr id="0" name=""/>
        <dsp:cNvSpPr/>
      </dsp:nvSpPr>
      <dsp:spPr>
        <a:xfrm>
          <a:off x="525004" y="615797"/>
          <a:ext cx="3913646" cy="372969"/>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4758" tIns="0" rIns="144758" bIns="0" numCol="1" spcCol="1270" anchor="ctr" anchorCtr="0">
          <a:noAutofit/>
        </a:bodyPr>
        <a:lstStyle/>
        <a:p>
          <a:pPr marL="0" lvl="0" indent="0" algn="l" defTabSz="533400">
            <a:lnSpc>
              <a:spcPct val="90000"/>
            </a:lnSpc>
            <a:spcBef>
              <a:spcPct val="0"/>
            </a:spcBef>
            <a:spcAft>
              <a:spcPct val="35000"/>
            </a:spcAft>
            <a:buNone/>
          </a:pPr>
          <a:r>
            <a:rPr lang="en-ZW" sz="1200" kern="1200"/>
            <a:t>Encrypted email and secure communication channels</a:t>
          </a:r>
        </a:p>
      </dsp:txBody>
      <dsp:txXfrm>
        <a:off x="543211" y="634004"/>
        <a:ext cx="3877232" cy="336555"/>
      </dsp:txXfrm>
    </dsp:sp>
    <dsp:sp modelId="{F2BA8EAC-CE5A-49DA-A6A0-60A14FF903B5}">
      <dsp:nvSpPr>
        <dsp:cNvPr id="0" name=""/>
        <dsp:cNvSpPr/>
      </dsp:nvSpPr>
      <dsp:spPr>
        <a:xfrm>
          <a:off x="0" y="1357835"/>
          <a:ext cx="5471160" cy="226800"/>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081E614-43F4-4282-A928-83DC7C76A0F5}">
      <dsp:nvSpPr>
        <dsp:cNvPr id="0" name=""/>
        <dsp:cNvSpPr/>
      </dsp:nvSpPr>
      <dsp:spPr>
        <a:xfrm>
          <a:off x="753619" y="1131327"/>
          <a:ext cx="3837433" cy="359348"/>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4758" tIns="0" rIns="144758" bIns="0" numCol="1" spcCol="1270" anchor="ctr" anchorCtr="0">
          <a:noAutofit/>
        </a:bodyPr>
        <a:lstStyle/>
        <a:p>
          <a:pPr marL="0" lvl="0" indent="0" algn="l" defTabSz="533400">
            <a:lnSpc>
              <a:spcPct val="90000"/>
            </a:lnSpc>
            <a:spcBef>
              <a:spcPct val="0"/>
            </a:spcBef>
            <a:spcAft>
              <a:spcPct val="35000"/>
            </a:spcAft>
            <a:buNone/>
          </a:pPr>
          <a:r>
            <a:rPr lang="en-ZW" sz="1200" kern="1200"/>
            <a:t>Cloud-based systems for CRM, secure storage, and compliance</a:t>
          </a:r>
        </a:p>
      </dsp:txBody>
      <dsp:txXfrm>
        <a:off x="771161" y="1148869"/>
        <a:ext cx="3802349" cy="324264"/>
      </dsp:txXfrm>
    </dsp:sp>
    <dsp:sp modelId="{550A666E-D995-4C75-9054-4B2B236B71A2}">
      <dsp:nvSpPr>
        <dsp:cNvPr id="0" name=""/>
        <dsp:cNvSpPr/>
      </dsp:nvSpPr>
      <dsp:spPr>
        <a:xfrm>
          <a:off x="0" y="1939801"/>
          <a:ext cx="5471160" cy="226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8E25D93-D652-4BAD-9B37-DD37285D582E}">
      <dsp:nvSpPr>
        <dsp:cNvPr id="0" name=""/>
        <dsp:cNvSpPr/>
      </dsp:nvSpPr>
      <dsp:spPr>
        <a:xfrm>
          <a:off x="890507" y="1663717"/>
          <a:ext cx="3855570" cy="439405"/>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4758" tIns="0" rIns="144758" bIns="0" numCol="1" spcCol="1270" anchor="ctr" anchorCtr="0">
          <a:noAutofit/>
        </a:bodyPr>
        <a:lstStyle/>
        <a:p>
          <a:pPr marL="0" lvl="0" indent="0" algn="l" defTabSz="533400">
            <a:lnSpc>
              <a:spcPct val="90000"/>
            </a:lnSpc>
            <a:spcBef>
              <a:spcPct val="0"/>
            </a:spcBef>
            <a:spcAft>
              <a:spcPct val="35000"/>
            </a:spcAft>
            <a:buNone/>
          </a:pPr>
          <a:r>
            <a:rPr lang="en-ZW" sz="1200" kern="1200"/>
            <a:t>Digital tools for affordability assessments, sourcing, ID verification, and application submission</a:t>
          </a:r>
        </a:p>
      </dsp:txBody>
      <dsp:txXfrm>
        <a:off x="911957" y="1685167"/>
        <a:ext cx="3812670" cy="396505"/>
      </dsp:txXfrm>
    </dsp:sp>
    <dsp:sp modelId="{A5DAA7F3-6600-44B6-ACED-44CD6346E065}">
      <dsp:nvSpPr>
        <dsp:cNvPr id="0" name=""/>
        <dsp:cNvSpPr/>
      </dsp:nvSpPr>
      <dsp:spPr>
        <a:xfrm>
          <a:off x="0" y="2463601"/>
          <a:ext cx="5471160" cy="226800"/>
        </a:xfrm>
        <a:prstGeom prst="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8A92B0A-6ADA-4F80-9ED1-1D304E6F912E}">
      <dsp:nvSpPr>
        <dsp:cNvPr id="0" name=""/>
        <dsp:cNvSpPr/>
      </dsp:nvSpPr>
      <dsp:spPr>
        <a:xfrm>
          <a:off x="1172715" y="2259017"/>
          <a:ext cx="3936472" cy="381240"/>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4758" tIns="0" rIns="144758" bIns="0" numCol="1" spcCol="1270" anchor="ctr" anchorCtr="0">
          <a:noAutofit/>
        </a:bodyPr>
        <a:lstStyle/>
        <a:p>
          <a:pPr marL="0" lvl="0" indent="0" algn="l" defTabSz="533400">
            <a:lnSpc>
              <a:spcPct val="90000"/>
            </a:lnSpc>
            <a:spcBef>
              <a:spcPct val="0"/>
            </a:spcBef>
            <a:spcAft>
              <a:spcPct val="35000"/>
            </a:spcAft>
            <a:buNone/>
          </a:pPr>
          <a:r>
            <a:rPr lang="en-ZW" sz="1200" kern="1200"/>
            <a:t>This mixed operational environment creates a cost-effective and resilient foundation for business growth.</a:t>
          </a:r>
        </a:p>
      </dsp:txBody>
      <dsp:txXfrm>
        <a:off x="1191326" y="2277628"/>
        <a:ext cx="3899250" cy="34401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A22FC7-0BD9-4EF1-B5EE-45842A6BA5E7}">
      <dsp:nvSpPr>
        <dsp:cNvPr id="0" name=""/>
        <dsp:cNvSpPr/>
      </dsp:nvSpPr>
      <dsp:spPr>
        <a:xfrm>
          <a:off x="3445201" y="2095388"/>
          <a:ext cx="508645" cy="197615"/>
        </a:xfrm>
        <a:custGeom>
          <a:avLst/>
          <a:gdLst/>
          <a:ahLst/>
          <a:cxnLst/>
          <a:rect l="0" t="0" r="0" b="0"/>
          <a:pathLst>
            <a:path>
              <a:moveTo>
                <a:pt x="0" y="0"/>
              </a:moveTo>
              <a:lnTo>
                <a:pt x="0" y="134669"/>
              </a:lnTo>
              <a:lnTo>
                <a:pt x="508645" y="134669"/>
              </a:lnTo>
              <a:lnTo>
                <a:pt x="508645" y="197615"/>
              </a:lnTo>
            </a:path>
          </a:pathLst>
        </a:custGeom>
        <a:noFill/>
        <a:ln w="1270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771B4CA9-0162-48C5-879A-FCA7F3F51C41}">
      <dsp:nvSpPr>
        <dsp:cNvPr id="0" name=""/>
        <dsp:cNvSpPr/>
      </dsp:nvSpPr>
      <dsp:spPr>
        <a:xfrm>
          <a:off x="2773707" y="2877260"/>
          <a:ext cx="91440" cy="197615"/>
        </a:xfrm>
        <a:custGeom>
          <a:avLst/>
          <a:gdLst/>
          <a:ahLst/>
          <a:cxnLst/>
          <a:rect l="0" t="0" r="0" b="0"/>
          <a:pathLst>
            <a:path>
              <a:moveTo>
                <a:pt x="45720" y="0"/>
              </a:moveTo>
              <a:lnTo>
                <a:pt x="45720" y="197615"/>
              </a:lnTo>
            </a:path>
          </a:pathLst>
        </a:custGeom>
        <a:noFill/>
        <a:ln w="1270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04973A8A-0BCA-49D5-8452-EA6F0B9BBB3A}">
      <dsp:nvSpPr>
        <dsp:cNvPr id="0" name=""/>
        <dsp:cNvSpPr/>
      </dsp:nvSpPr>
      <dsp:spPr>
        <a:xfrm>
          <a:off x="2819427" y="2095388"/>
          <a:ext cx="625774" cy="197615"/>
        </a:xfrm>
        <a:custGeom>
          <a:avLst/>
          <a:gdLst/>
          <a:ahLst/>
          <a:cxnLst/>
          <a:rect l="0" t="0" r="0" b="0"/>
          <a:pathLst>
            <a:path>
              <a:moveTo>
                <a:pt x="625774" y="0"/>
              </a:moveTo>
              <a:lnTo>
                <a:pt x="625774" y="134669"/>
              </a:lnTo>
              <a:lnTo>
                <a:pt x="0" y="134669"/>
              </a:lnTo>
              <a:lnTo>
                <a:pt x="0" y="197615"/>
              </a:lnTo>
            </a:path>
          </a:pathLst>
        </a:custGeom>
        <a:noFill/>
        <a:ln w="1270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98C0C834-A4C9-401D-94FD-74FE95D4CE8C}">
      <dsp:nvSpPr>
        <dsp:cNvPr id="0" name=""/>
        <dsp:cNvSpPr/>
      </dsp:nvSpPr>
      <dsp:spPr>
        <a:xfrm>
          <a:off x="2648835" y="1352991"/>
          <a:ext cx="796366" cy="197615"/>
        </a:xfrm>
        <a:custGeom>
          <a:avLst/>
          <a:gdLst/>
          <a:ahLst/>
          <a:cxnLst/>
          <a:rect l="0" t="0" r="0" b="0"/>
          <a:pathLst>
            <a:path>
              <a:moveTo>
                <a:pt x="0" y="0"/>
              </a:moveTo>
              <a:lnTo>
                <a:pt x="0" y="134669"/>
              </a:lnTo>
              <a:lnTo>
                <a:pt x="796366" y="134669"/>
              </a:lnTo>
              <a:lnTo>
                <a:pt x="796366" y="197615"/>
              </a:lnTo>
            </a:path>
          </a:pathLst>
        </a:custGeom>
        <a:noFill/>
        <a:ln w="1270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9CDE89CB-9B94-41E2-917F-8A644781B021}">
      <dsp:nvSpPr>
        <dsp:cNvPr id="0" name=""/>
        <dsp:cNvSpPr/>
      </dsp:nvSpPr>
      <dsp:spPr>
        <a:xfrm>
          <a:off x="1727307" y="2121505"/>
          <a:ext cx="91440" cy="197615"/>
        </a:xfrm>
        <a:custGeom>
          <a:avLst/>
          <a:gdLst/>
          <a:ahLst/>
          <a:cxnLst/>
          <a:rect l="0" t="0" r="0" b="0"/>
          <a:pathLst>
            <a:path>
              <a:moveTo>
                <a:pt x="45720" y="0"/>
              </a:moveTo>
              <a:lnTo>
                <a:pt x="45720" y="197615"/>
              </a:lnTo>
            </a:path>
          </a:pathLst>
        </a:custGeom>
        <a:noFill/>
        <a:ln w="1270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812462A1-7EC7-4972-AFA2-77F540466392}">
      <dsp:nvSpPr>
        <dsp:cNvPr id="0" name=""/>
        <dsp:cNvSpPr/>
      </dsp:nvSpPr>
      <dsp:spPr>
        <a:xfrm>
          <a:off x="1773027" y="1352991"/>
          <a:ext cx="875807" cy="197615"/>
        </a:xfrm>
        <a:custGeom>
          <a:avLst/>
          <a:gdLst/>
          <a:ahLst/>
          <a:cxnLst/>
          <a:rect l="0" t="0" r="0" b="0"/>
          <a:pathLst>
            <a:path>
              <a:moveTo>
                <a:pt x="875807" y="0"/>
              </a:moveTo>
              <a:lnTo>
                <a:pt x="875807" y="134669"/>
              </a:lnTo>
              <a:lnTo>
                <a:pt x="0" y="134669"/>
              </a:lnTo>
              <a:lnTo>
                <a:pt x="0" y="197615"/>
              </a:lnTo>
            </a:path>
          </a:pathLst>
        </a:custGeom>
        <a:noFill/>
        <a:ln w="1270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96F76B2E-E5A7-46EF-8B26-2F893D56E3DF}">
      <dsp:nvSpPr>
        <dsp:cNvPr id="0" name=""/>
        <dsp:cNvSpPr/>
      </dsp:nvSpPr>
      <dsp:spPr>
        <a:xfrm>
          <a:off x="2603115" y="524429"/>
          <a:ext cx="91440" cy="197615"/>
        </a:xfrm>
        <a:custGeom>
          <a:avLst/>
          <a:gdLst/>
          <a:ahLst/>
          <a:cxnLst/>
          <a:rect l="0" t="0" r="0" b="0"/>
          <a:pathLst>
            <a:path>
              <a:moveTo>
                <a:pt x="45720" y="0"/>
              </a:moveTo>
              <a:lnTo>
                <a:pt x="45720" y="197615"/>
              </a:lnTo>
            </a:path>
          </a:pathLst>
        </a:custGeom>
        <a:noFill/>
        <a:ln w="1270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87BBCA00-02B5-4F52-971E-DF82316A08D3}">
      <dsp:nvSpPr>
        <dsp:cNvPr id="0" name=""/>
        <dsp:cNvSpPr/>
      </dsp:nvSpPr>
      <dsp:spPr>
        <a:xfrm>
          <a:off x="2166021" y="2632"/>
          <a:ext cx="965628" cy="5217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020F5ED-AC22-4267-82AE-9C279311F61C}">
      <dsp:nvSpPr>
        <dsp:cNvPr id="0" name=""/>
        <dsp:cNvSpPr/>
      </dsp:nvSpPr>
      <dsp:spPr>
        <a:xfrm>
          <a:off x="2241518" y="74354"/>
          <a:ext cx="965628" cy="52179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FCA</a:t>
          </a:r>
        </a:p>
      </dsp:txBody>
      <dsp:txXfrm>
        <a:off x="2256801" y="89637"/>
        <a:ext cx="935062" cy="491231"/>
      </dsp:txXfrm>
    </dsp:sp>
    <dsp:sp modelId="{8F7C3718-46E6-47E7-A530-F92F7DABA1E2}">
      <dsp:nvSpPr>
        <dsp:cNvPr id="0" name=""/>
        <dsp:cNvSpPr/>
      </dsp:nvSpPr>
      <dsp:spPr>
        <a:xfrm>
          <a:off x="2037049" y="722044"/>
          <a:ext cx="1223572" cy="63094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E6DE69C-D720-4293-9F83-8FF823B1B54C}">
      <dsp:nvSpPr>
        <dsp:cNvPr id="0" name=""/>
        <dsp:cNvSpPr/>
      </dsp:nvSpPr>
      <dsp:spPr>
        <a:xfrm>
          <a:off x="2112546" y="793767"/>
          <a:ext cx="1223572" cy="63094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Open Network supervision </a:t>
          </a:r>
        </a:p>
      </dsp:txBody>
      <dsp:txXfrm>
        <a:off x="2131026" y="812247"/>
        <a:ext cx="1186612" cy="593986"/>
      </dsp:txXfrm>
    </dsp:sp>
    <dsp:sp modelId="{7BD97537-282B-4779-A9ED-2521A57BCBAD}">
      <dsp:nvSpPr>
        <dsp:cNvPr id="0" name=""/>
        <dsp:cNvSpPr/>
      </dsp:nvSpPr>
      <dsp:spPr>
        <a:xfrm>
          <a:off x="1310638" y="1550606"/>
          <a:ext cx="924778" cy="57089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02882C5-2B54-47C3-8BDE-43BE1B71DC00}">
      <dsp:nvSpPr>
        <dsp:cNvPr id="0" name=""/>
        <dsp:cNvSpPr/>
      </dsp:nvSpPr>
      <dsp:spPr>
        <a:xfrm>
          <a:off x="1386136" y="1622329"/>
          <a:ext cx="924778" cy="57089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Mandatory CPD </a:t>
          </a:r>
        </a:p>
      </dsp:txBody>
      <dsp:txXfrm>
        <a:off x="1402857" y="1639050"/>
        <a:ext cx="891336" cy="537456"/>
      </dsp:txXfrm>
    </dsp:sp>
    <dsp:sp modelId="{907CEB42-BF99-4605-9A2F-8B46523587F6}">
      <dsp:nvSpPr>
        <dsp:cNvPr id="0" name=""/>
        <dsp:cNvSpPr/>
      </dsp:nvSpPr>
      <dsp:spPr>
        <a:xfrm>
          <a:off x="1320769" y="2319120"/>
          <a:ext cx="904516" cy="70135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9FF4A46-0894-4176-9D10-CA6C8104257D}">
      <dsp:nvSpPr>
        <dsp:cNvPr id="0" name=""/>
        <dsp:cNvSpPr/>
      </dsp:nvSpPr>
      <dsp:spPr>
        <a:xfrm>
          <a:off x="1396267" y="2390843"/>
          <a:ext cx="904516" cy="70135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Thematic Audit</a:t>
          </a:r>
        </a:p>
      </dsp:txBody>
      <dsp:txXfrm>
        <a:off x="1416809" y="2411385"/>
        <a:ext cx="863432" cy="660273"/>
      </dsp:txXfrm>
    </dsp:sp>
    <dsp:sp modelId="{1823019F-45B8-49D5-9229-299D2F0DF74C}">
      <dsp:nvSpPr>
        <dsp:cNvPr id="0" name=""/>
        <dsp:cNvSpPr/>
      </dsp:nvSpPr>
      <dsp:spPr>
        <a:xfrm>
          <a:off x="2903371" y="1550606"/>
          <a:ext cx="1083661" cy="5447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39AEB1C-286B-4373-8FA0-B4660B980341}">
      <dsp:nvSpPr>
        <dsp:cNvPr id="0" name=""/>
        <dsp:cNvSpPr/>
      </dsp:nvSpPr>
      <dsp:spPr>
        <a:xfrm>
          <a:off x="2978868" y="1622329"/>
          <a:ext cx="1083661" cy="5447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Sense M&amp;R Compliance Process </a:t>
          </a:r>
        </a:p>
      </dsp:txBody>
      <dsp:txXfrm>
        <a:off x="2994824" y="1638285"/>
        <a:ext cx="1051749" cy="512869"/>
      </dsp:txXfrm>
    </dsp:sp>
    <dsp:sp modelId="{91A25012-9D3B-4731-A92C-6B96C229E7E2}">
      <dsp:nvSpPr>
        <dsp:cNvPr id="0" name=""/>
        <dsp:cNvSpPr/>
      </dsp:nvSpPr>
      <dsp:spPr>
        <a:xfrm>
          <a:off x="2386279" y="2293003"/>
          <a:ext cx="866295" cy="58425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500FB52-BB03-4C07-AAAB-6760DF1AF566}">
      <dsp:nvSpPr>
        <dsp:cNvPr id="0" name=""/>
        <dsp:cNvSpPr/>
      </dsp:nvSpPr>
      <dsp:spPr>
        <a:xfrm>
          <a:off x="2461777" y="2364726"/>
          <a:ext cx="866295" cy="58425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Pre-Sale Reviews </a:t>
          </a:r>
        </a:p>
      </dsp:txBody>
      <dsp:txXfrm>
        <a:off x="2478889" y="2381838"/>
        <a:ext cx="832071" cy="550033"/>
      </dsp:txXfrm>
    </dsp:sp>
    <dsp:sp modelId="{EEF94E5E-A943-4AD3-B4F5-B6CC5ECA2273}">
      <dsp:nvSpPr>
        <dsp:cNvPr id="0" name=""/>
        <dsp:cNvSpPr/>
      </dsp:nvSpPr>
      <dsp:spPr>
        <a:xfrm>
          <a:off x="2376281" y="3074876"/>
          <a:ext cx="886292" cy="4169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F2CE028-4E54-4853-A22A-1DBA22AAB98F}">
      <dsp:nvSpPr>
        <dsp:cNvPr id="0" name=""/>
        <dsp:cNvSpPr/>
      </dsp:nvSpPr>
      <dsp:spPr>
        <a:xfrm>
          <a:off x="2451779" y="3146599"/>
          <a:ext cx="886292" cy="4169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Post-Sale Monitoring</a:t>
          </a:r>
        </a:p>
      </dsp:txBody>
      <dsp:txXfrm>
        <a:off x="2463990" y="3158810"/>
        <a:ext cx="861870" cy="392506"/>
      </dsp:txXfrm>
    </dsp:sp>
    <dsp:sp modelId="{1A20C1D8-DAFE-4276-85C7-10765E654F54}">
      <dsp:nvSpPr>
        <dsp:cNvPr id="0" name=""/>
        <dsp:cNvSpPr/>
      </dsp:nvSpPr>
      <dsp:spPr>
        <a:xfrm>
          <a:off x="3403570" y="2293003"/>
          <a:ext cx="1100552" cy="5928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319D7DA-77C8-413C-A7BA-ECB673613D3F}">
      <dsp:nvSpPr>
        <dsp:cNvPr id="0" name=""/>
        <dsp:cNvSpPr/>
      </dsp:nvSpPr>
      <dsp:spPr>
        <a:xfrm>
          <a:off x="3479068" y="2364726"/>
          <a:ext cx="1100552" cy="59281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Advisor file check</a:t>
          </a:r>
        </a:p>
      </dsp:txBody>
      <dsp:txXfrm>
        <a:off x="3496431" y="2382089"/>
        <a:ext cx="1065826" cy="55809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B6FCB5-87BA-464A-B91B-9738226F2F8B}">
      <dsp:nvSpPr>
        <dsp:cNvPr id="0" name=""/>
        <dsp:cNvSpPr/>
      </dsp:nvSpPr>
      <dsp:spPr>
        <a:xfrm>
          <a:off x="-3384893" y="-520540"/>
          <a:ext cx="4036085" cy="4036085"/>
        </a:xfrm>
        <a:prstGeom prst="blockArc">
          <a:avLst>
            <a:gd name="adj1" fmla="val 18900000"/>
            <a:gd name="adj2" fmla="val 2700000"/>
            <a:gd name="adj3" fmla="val 454"/>
          </a:avLst>
        </a:prstGeom>
        <a:noFill/>
        <a:ln w="19050" cap="flat" cmpd="sng" algn="ctr">
          <a:solidFill>
            <a:srgbClr val="156082">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4DCA3DF-1CFE-41B7-B71E-1C33B1D7AF2A}">
      <dsp:nvSpPr>
        <dsp:cNvPr id="0" name=""/>
        <dsp:cNvSpPr/>
      </dsp:nvSpPr>
      <dsp:spPr>
        <a:xfrm>
          <a:off x="418734" y="299500"/>
          <a:ext cx="5274472" cy="599000"/>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75457" tIns="25400" rIns="25400" bIns="25400" numCol="1" spcCol="1270" anchor="ctr" anchorCtr="0">
          <a:noAutofit/>
        </a:bodyPr>
        <a:lstStyle/>
        <a:p>
          <a:pPr marL="0" lvl="0" indent="0" algn="l" defTabSz="444500">
            <a:lnSpc>
              <a:spcPct val="90000"/>
            </a:lnSpc>
            <a:spcBef>
              <a:spcPct val="0"/>
            </a:spcBef>
            <a:spcAft>
              <a:spcPct val="35000"/>
            </a:spcAft>
            <a:buNone/>
          </a:pPr>
          <a:r>
            <a:rPr lang="en-ZW" sz="1000" kern="1200">
              <a:solidFill>
                <a:sysClr val="window" lastClr="FFFFFF"/>
              </a:solidFill>
              <a:latin typeface="Aptos" panose="02110004020202020204"/>
              <a:ea typeface="+mn-ea"/>
              <a:cs typeface="+mn-cs"/>
            </a:rPr>
            <a:t>Annual CPD (minimum 35 hours)</a:t>
          </a:r>
        </a:p>
        <a:p>
          <a:pPr marL="0" lvl="0" indent="0" algn="l" defTabSz="444500">
            <a:lnSpc>
              <a:spcPct val="90000"/>
            </a:lnSpc>
            <a:spcBef>
              <a:spcPct val="0"/>
            </a:spcBef>
            <a:spcAft>
              <a:spcPct val="35000"/>
            </a:spcAft>
            <a:buNone/>
          </a:pPr>
          <a:r>
            <a:rPr lang="en-ZW" sz="1000" kern="1200">
              <a:solidFill>
                <a:sysClr val="window" lastClr="FFFFFF"/>
              </a:solidFill>
              <a:latin typeface="Aptos" panose="02110004020202020204"/>
              <a:ea typeface="+mn-ea"/>
              <a:cs typeface="+mn-cs"/>
            </a:rPr>
            <a:t>Lender-specific workshops</a:t>
          </a:r>
          <a:endParaRPr lang="en-GB" sz="1000" kern="1200">
            <a:solidFill>
              <a:sysClr val="window" lastClr="FFFFFF"/>
            </a:solidFill>
            <a:latin typeface="Aptos" panose="02110004020202020204"/>
            <a:ea typeface="+mn-ea"/>
            <a:cs typeface="+mn-cs"/>
          </a:endParaRPr>
        </a:p>
      </dsp:txBody>
      <dsp:txXfrm>
        <a:off x="418734" y="299500"/>
        <a:ext cx="5274472" cy="599000"/>
      </dsp:txXfrm>
    </dsp:sp>
    <dsp:sp modelId="{2B0EF42A-1B8F-4305-BF73-A9F4C44446F1}">
      <dsp:nvSpPr>
        <dsp:cNvPr id="0" name=""/>
        <dsp:cNvSpPr/>
      </dsp:nvSpPr>
      <dsp:spPr>
        <a:xfrm>
          <a:off x="44359" y="224625"/>
          <a:ext cx="748751" cy="748751"/>
        </a:xfrm>
        <a:prstGeom prst="ellipse">
          <a:avLst/>
        </a:prstGeom>
        <a:solidFill>
          <a:sysClr val="window" lastClr="FFFFFF">
            <a:hueOff val="0"/>
            <a:satOff val="0"/>
            <a:lumOff val="0"/>
            <a:alphaOff val="0"/>
          </a:sys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0F4C4BB8-12DD-409D-8C62-2757135AD4A0}">
      <dsp:nvSpPr>
        <dsp:cNvPr id="0" name=""/>
        <dsp:cNvSpPr/>
      </dsp:nvSpPr>
      <dsp:spPr>
        <a:xfrm>
          <a:off x="636471" y="1198001"/>
          <a:ext cx="5056735" cy="599000"/>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75457" tIns="25400" rIns="25400" bIns="25400" numCol="1" spcCol="1270" anchor="ctr" anchorCtr="0">
          <a:noAutofit/>
        </a:bodyPr>
        <a:lstStyle/>
        <a:p>
          <a:pPr marL="0" lvl="0" indent="0" algn="l" defTabSz="444500">
            <a:lnSpc>
              <a:spcPct val="90000"/>
            </a:lnSpc>
            <a:spcBef>
              <a:spcPct val="0"/>
            </a:spcBef>
            <a:spcAft>
              <a:spcPct val="35000"/>
            </a:spcAft>
            <a:buNone/>
          </a:pPr>
          <a:r>
            <a:rPr lang="en-ZW" sz="1000" kern="1200">
              <a:solidFill>
                <a:sysClr val="window" lastClr="FFFFFF"/>
              </a:solidFill>
              <a:latin typeface="Aptos" panose="02110004020202020204"/>
              <a:ea typeface="+mn-ea"/>
              <a:cs typeface="+mn-cs"/>
            </a:rPr>
            <a:t>Consumer Duty training</a:t>
          </a:r>
        </a:p>
        <a:p>
          <a:pPr marL="0" lvl="0" indent="0" algn="l" defTabSz="444500">
            <a:lnSpc>
              <a:spcPct val="90000"/>
            </a:lnSpc>
            <a:spcBef>
              <a:spcPct val="0"/>
            </a:spcBef>
            <a:spcAft>
              <a:spcPct val="35000"/>
            </a:spcAft>
            <a:buNone/>
          </a:pPr>
          <a:r>
            <a:rPr lang="en-ZW" sz="1000" kern="1200">
              <a:solidFill>
                <a:sysClr val="window" lastClr="FFFFFF"/>
              </a:solidFill>
              <a:latin typeface="Aptos" panose="02110004020202020204"/>
              <a:ea typeface="+mn-ea"/>
              <a:cs typeface="+mn-cs"/>
            </a:rPr>
            <a:t>CRM and technology skills training</a:t>
          </a:r>
          <a:endParaRPr lang="en-GB" sz="1000" kern="1200">
            <a:solidFill>
              <a:sysClr val="window" lastClr="FFFFFF"/>
            </a:solidFill>
            <a:latin typeface="Aptos" panose="02110004020202020204"/>
            <a:ea typeface="+mn-ea"/>
            <a:cs typeface="+mn-cs"/>
          </a:endParaRPr>
        </a:p>
      </dsp:txBody>
      <dsp:txXfrm>
        <a:off x="636471" y="1198001"/>
        <a:ext cx="5056735" cy="599000"/>
      </dsp:txXfrm>
    </dsp:sp>
    <dsp:sp modelId="{1B9E0F79-B2B4-4D77-9379-4F03320C8DF8}">
      <dsp:nvSpPr>
        <dsp:cNvPr id="0" name=""/>
        <dsp:cNvSpPr/>
      </dsp:nvSpPr>
      <dsp:spPr>
        <a:xfrm>
          <a:off x="262095" y="1123126"/>
          <a:ext cx="748751" cy="748751"/>
        </a:xfrm>
        <a:prstGeom prst="ellipse">
          <a:avLst/>
        </a:prstGeom>
        <a:solidFill>
          <a:sysClr val="window" lastClr="FFFFFF">
            <a:hueOff val="0"/>
            <a:satOff val="0"/>
            <a:lumOff val="0"/>
            <a:alphaOff val="0"/>
          </a:sys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9848C9C9-B3A0-473C-82A5-22BF3E70BFF8}">
      <dsp:nvSpPr>
        <dsp:cNvPr id="0" name=""/>
        <dsp:cNvSpPr/>
      </dsp:nvSpPr>
      <dsp:spPr>
        <a:xfrm>
          <a:off x="418734" y="2096502"/>
          <a:ext cx="5274472" cy="599000"/>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75457" tIns="25400" rIns="25400" bIns="25400" numCol="1" spcCol="1270" anchor="ctr" anchorCtr="0">
          <a:noAutofit/>
        </a:bodyPr>
        <a:lstStyle/>
        <a:p>
          <a:pPr marL="0" lvl="0" indent="0" algn="l" defTabSz="444500">
            <a:lnSpc>
              <a:spcPct val="90000"/>
            </a:lnSpc>
            <a:spcBef>
              <a:spcPct val="0"/>
            </a:spcBef>
            <a:spcAft>
              <a:spcPct val="35000"/>
            </a:spcAft>
            <a:buNone/>
          </a:pPr>
          <a:r>
            <a:rPr lang="en-ZW" sz="1000" kern="1200">
              <a:solidFill>
                <a:sysClr val="window" lastClr="FFFFFF"/>
              </a:solidFill>
              <a:latin typeface="Aptos" panose="02110004020202020204"/>
              <a:ea typeface="+mn-ea"/>
              <a:cs typeface="+mn-cs"/>
            </a:rPr>
            <a:t>AML and financial crime prevention training</a:t>
          </a:r>
        </a:p>
        <a:p>
          <a:pPr marL="0" lvl="0" indent="0" algn="l" defTabSz="444500">
            <a:lnSpc>
              <a:spcPct val="90000"/>
            </a:lnSpc>
            <a:spcBef>
              <a:spcPct val="0"/>
            </a:spcBef>
            <a:spcAft>
              <a:spcPct val="35000"/>
            </a:spcAft>
            <a:buNone/>
          </a:pPr>
          <a:r>
            <a:rPr lang="en-ZW" sz="1000" kern="1200">
              <a:solidFill>
                <a:sysClr val="window" lastClr="FFFFFF"/>
              </a:solidFill>
              <a:latin typeface="Aptos" panose="02110004020202020204"/>
              <a:ea typeface="+mn-ea"/>
              <a:cs typeface="+mn-cs"/>
            </a:rPr>
            <a:t>Soft skills development, such as communication and client management</a:t>
          </a:r>
        </a:p>
        <a:p>
          <a:pPr marL="0" lvl="0" indent="0" algn="l" defTabSz="444500">
            <a:lnSpc>
              <a:spcPct val="90000"/>
            </a:lnSpc>
            <a:spcBef>
              <a:spcPct val="0"/>
            </a:spcBef>
            <a:spcAft>
              <a:spcPct val="35000"/>
            </a:spcAft>
            <a:buNone/>
          </a:pPr>
          <a:endParaRPr lang="en-GB" sz="1000" kern="1200">
            <a:solidFill>
              <a:sysClr val="window" lastClr="FFFFFF"/>
            </a:solidFill>
            <a:latin typeface="Aptos" panose="02110004020202020204"/>
            <a:ea typeface="+mn-ea"/>
            <a:cs typeface="+mn-cs"/>
          </a:endParaRPr>
        </a:p>
      </dsp:txBody>
      <dsp:txXfrm>
        <a:off x="418734" y="2096502"/>
        <a:ext cx="5274472" cy="599000"/>
      </dsp:txXfrm>
    </dsp:sp>
    <dsp:sp modelId="{0940A145-5A32-453E-ADBE-C085D919B802}">
      <dsp:nvSpPr>
        <dsp:cNvPr id="0" name=""/>
        <dsp:cNvSpPr/>
      </dsp:nvSpPr>
      <dsp:spPr>
        <a:xfrm>
          <a:off x="44359" y="2021627"/>
          <a:ext cx="748751" cy="748751"/>
        </a:xfrm>
        <a:prstGeom prst="ellipse">
          <a:avLst/>
        </a:prstGeom>
        <a:solidFill>
          <a:sysClr val="window" lastClr="FFFFFF">
            <a:hueOff val="0"/>
            <a:satOff val="0"/>
            <a:lumOff val="0"/>
            <a:alphaOff val="0"/>
          </a:sys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0C08D9-C1DA-4359-B2F8-8F5D91148DCD}">
      <dsp:nvSpPr>
        <dsp:cNvPr id="0" name=""/>
        <dsp:cNvSpPr/>
      </dsp:nvSpPr>
      <dsp:spPr>
        <a:xfrm>
          <a:off x="913645" y="0"/>
          <a:ext cx="2438003" cy="3048000"/>
        </a:xfrm>
        <a:prstGeom prst="triangle">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2FC8440-03F8-4AF0-80A4-CDE8412CB6CC}">
      <dsp:nvSpPr>
        <dsp:cNvPr id="0" name=""/>
        <dsp:cNvSpPr/>
      </dsp:nvSpPr>
      <dsp:spPr>
        <a:xfrm>
          <a:off x="2476400" y="306437"/>
          <a:ext cx="1981200" cy="360759"/>
        </a:xfrm>
        <a:prstGeom prst="round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ZW" sz="900" kern="1200">
              <a:solidFill>
                <a:sysClr val="windowText" lastClr="000000">
                  <a:hueOff val="0"/>
                  <a:satOff val="0"/>
                  <a:lumOff val="0"/>
                  <a:alphaOff val="0"/>
                </a:sysClr>
              </a:solidFill>
              <a:latin typeface="Aptos" panose="02110004020202020204"/>
              <a:ea typeface="+mn-ea"/>
              <a:cs typeface="+mn-cs"/>
            </a:rPr>
            <a:t>CPD completion and skills development</a:t>
          </a:r>
          <a:endParaRPr lang="en-GB" sz="900" kern="1200">
            <a:solidFill>
              <a:sysClr val="windowText" lastClr="000000">
                <a:hueOff val="0"/>
                <a:satOff val="0"/>
                <a:lumOff val="0"/>
                <a:alphaOff val="0"/>
              </a:sysClr>
            </a:solidFill>
            <a:latin typeface="Aptos" panose="02110004020202020204"/>
            <a:ea typeface="+mn-ea"/>
            <a:cs typeface="+mn-cs"/>
          </a:endParaRPr>
        </a:p>
      </dsp:txBody>
      <dsp:txXfrm>
        <a:off x="2494011" y="324048"/>
        <a:ext cx="1945978" cy="325537"/>
      </dsp:txXfrm>
    </dsp:sp>
    <dsp:sp modelId="{41A61263-52FF-4586-8BBF-14DEE3AC0F58}">
      <dsp:nvSpPr>
        <dsp:cNvPr id="0" name=""/>
        <dsp:cNvSpPr/>
      </dsp:nvSpPr>
      <dsp:spPr>
        <a:xfrm>
          <a:off x="2476400" y="712291"/>
          <a:ext cx="1981200" cy="360759"/>
        </a:xfrm>
        <a:prstGeom prst="round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ZW" sz="900" kern="1200">
              <a:solidFill>
                <a:sysClr val="windowText" lastClr="000000">
                  <a:hueOff val="0"/>
                  <a:satOff val="0"/>
                  <a:lumOff val="0"/>
                  <a:alphaOff val="0"/>
                </a:sysClr>
              </a:solidFill>
              <a:latin typeface="Aptos" panose="02110004020202020204"/>
              <a:ea typeface="+mn-ea"/>
              <a:cs typeface="+mn-cs"/>
            </a:rPr>
            <a:t>Accuracy of documentation and audit outcomes</a:t>
          </a:r>
          <a:endParaRPr lang="en-GB" sz="900" kern="1200">
            <a:solidFill>
              <a:sysClr val="windowText" lastClr="000000">
                <a:hueOff val="0"/>
                <a:satOff val="0"/>
                <a:lumOff val="0"/>
                <a:alphaOff val="0"/>
              </a:sysClr>
            </a:solidFill>
            <a:latin typeface="Aptos" panose="02110004020202020204"/>
            <a:ea typeface="+mn-ea"/>
            <a:cs typeface="+mn-cs"/>
          </a:endParaRPr>
        </a:p>
      </dsp:txBody>
      <dsp:txXfrm>
        <a:off x="2494011" y="729902"/>
        <a:ext cx="1945978" cy="325537"/>
      </dsp:txXfrm>
    </dsp:sp>
    <dsp:sp modelId="{23119367-A9D4-4400-BA44-2911E121F9DE}">
      <dsp:nvSpPr>
        <dsp:cNvPr id="0" name=""/>
        <dsp:cNvSpPr/>
      </dsp:nvSpPr>
      <dsp:spPr>
        <a:xfrm>
          <a:off x="2476400" y="1118145"/>
          <a:ext cx="1981200" cy="360759"/>
        </a:xfrm>
        <a:prstGeom prst="round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ZW" sz="900" kern="1200">
              <a:solidFill>
                <a:sysClr val="windowText" lastClr="000000">
                  <a:hueOff val="0"/>
                  <a:satOff val="0"/>
                  <a:lumOff val="0"/>
                  <a:alphaOff val="0"/>
                </a:sysClr>
              </a:solidFill>
              <a:latin typeface="Aptos" panose="02110004020202020204"/>
              <a:ea typeface="+mn-ea"/>
              <a:cs typeface="+mn-cs"/>
            </a:rPr>
            <a:t>Completion rates and conversion ratios</a:t>
          </a:r>
          <a:endParaRPr lang="en-GB" sz="900" kern="1200">
            <a:solidFill>
              <a:sysClr val="windowText" lastClr="000000">
                <a:hueOff val="0"/>
                <a:satOff val="0"/>
                <a:lumOff val="0"/>
                <a:alphaOff val="0"/>
              </a:sysClr>
            </a:solidFill>
            <a:latin typeface="Aptos" panose="02110004020202020204"/>
            <a:ea typeface="+mn-ea"/>
            <a:cs typeface="+mn-cs"/>
          </a:endParaRPr>
        </a:p>
      </dsp:txBody>
      <dsp:txXfrm>
        <a:off x="2494011" y="1135756"/>
        <a:ext cx="1945978" cy="325537"/>
      </dsp:txXfrm>
    </dsp:sp>
    <dsp:sp modelId="{23F50A42-BCB4-4029-8970-CB5F037A20AA}">
      <dsp:nvSpPr>
        <dsp:cNvPr id="0" name=""/>
        <dsp:cNvSpPr/>
      </dsp:nvSpPr>
      <dsp:spPr>
        <a:xfrm>
          <a:off x="2476400" y="1524000"/>
          <a:ext cx="1981200" cy="360759"/>
        </a:xfrm>
        <a:prstGeom prst="round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ZW" sz="900" kern="1200">
              <a:solidFill>
                <a:sysClr val="windowText" lastClr="000000">
                  <a:hueOff val="0"/>
                  <a:satOff val="0"/>
                  <a:lumOff val="0"/>
                  <a:alphaOff val="0"/>
                </a:sysClr>
              </a:solidFill>
              <a:latin typeface="Aptos" panose="02110004020202020204"/>
              <a:ea typeface="+mn-ea"/>
              <a:cs typeface="+mn-cs"/>
            </a:rPr>
            <a:t>Turnaround time from enquiry to application</a:t>
          </a:r>
          <a:endParaRPr lang="en-GB" sz="900" kern="1200">
            <a:solidFill>
              <a:sysClr val="windowText" lastClr="000000">
                <a:hueOff val="0"/>
                <a:satOff val="0"/>
                <a:lumOff val="0"/>
                <a:alphaOff val="0"/>
              </a:sysClr>
            </a:solidFill>
            <a:latin typeface="Aptos" panose="02110004020202020204"/>
            <a:ea typeface="+mn-ea"/>
            <a:cs typeface="+mn-cs"/>
          </a:endParaRPr>
        </a:p>
      </dsp:txBody>
      <dsp:txXfrm>
        <a:off x="2494011" y="1541611"/>
        <a:ext cx="1945978" cy="325537"/>
      </dsp:txXfrm>
    </dsp:sp>
    <dsp:sp modelId="{53DF52B5-2BFA-4D8B-B547-075E5748FAFB}">
      <dsp:nvSpPr>
        <dsp:cNvPr id="0" name=""/>
        <dsp:cNvSpPr/>
      </dsp:nvSpPr>
      <dsp:spPr>
        <a:xfrm>
          <a:off x="2476400" y="1929854"/>
          <a:ext cx="1981200" cy="360759"/>
        </a:xfrm>
        <a:prstGeom prst="round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ZW" sz="900" kern="1200">
              <a:solidFill>
                <a:sysClr val="windowText" lastClr="000000">
                  <a:hueOff val="0"/>
                  <a:satOff val="0"/>
                  <a:lumOff val="0"/>
                  <a:alphaOff val="0"/>
                </a:sysClr>
              </a:solidFill>
              <a:latin typeface="Aptos" panose="02110004020202020204"/>
              <a:ea typeface="+mn-ea"/>
              <a:cs typeface="+mn-cs"/>
            </a:rPr>
            <a:t>Customer satisfaction and feedback</a:t>
          </a:r>
          <a:endParaRPr lang="en-GB" sz="900" kern="1200">
            <a:solidFill>
              <a:sysClr val="windowText" lastClr="000000">
                <a:hueOff val="0"/>
                <a:satOff val="0"/>
                <a:lumOff val="0"/>
                <a:alphaOff val="0"/>
              </a:sysClr>
            </a:solidFill>
            <a:latin typeface="Aptos" panose="02110004020202020204"/>
            <a:ea typeface="+mn-ea"/>
            <a:cs typeface="+mn-cs"/>
          </a:endParaRPr>
        </a:p>
      </dsp:txBody>
      <dsp:txXfrm>
        <a:off x="2494011" y="1947465"/>
        <a:ext cx="1945978" cy="325537"/>
      </dsp:txXfrm>
    </dsp:sp>
    <dsp:sp modelId="{FE41C18C-DBBA-48B1-8CA3-89D957D8E79E}">
      <dsp:nvSpPr>
        <dsp:cNvPr id="0" name=""/>
        <dsp:cNvSpPr/>
      </dsp:nvSpPr>
      <dsp:spPr>
        <a:xfrm>
          <a:off x="2476400" y="2335708"/>
          <a:ext cx="1981200" cy="360759"/>
        </a:xfrm>
        <a:prstGeom prst="roundRect">
          <a:avLst/>
        </a:prstGeom>
        <a:solidFill>
          <a:sysClr val="window" lastClr="FFFFFF">
            <a:alpha val="90000"/>
            <a:hueOff val="0"/>
            <a:satOff val="0"/>
            <a:lumOff val="0"/>
            <a:alphaOff val="0"/>
          </a:sysClr>
        </a:solidFill>
        <a:ln w="1905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ZW" sz="900" kern="1200">
              <a:solidFill>
                <a:sysClr val="windowText" lastClr="000000">
                  <a:hueOff val="0"/>
                  <a:satOff val="0"/>
                  <a:lumOff val="0"/>
                  <a:alphaOff val="0"/>
                </a:sysClr>
              </a:solidFill>
              <a:latin typeface="Aptos" panose="02110004020202020204"/>
              <a:ea typeface="+mn-ea"/>
              <a:cs typeface="+mn-cs"/>
            </a:rPr>
            <a:t>Case quality scores from compliance reviews</a:t>
          </a:r>
          <a:endParaRPr lang="en-GB" sz="900" kern="1200">
            <a:solidFill>
              <a:sysClr val="windowText" lastClr="000000">
                <a:hueOff val="0"/>
                <a:satOff val="0"/>
                <a:lumOff val="0"/>
                <a:alphaOff val="0"/>
              </a:sysClr>
            </a:solidFill>
            <a:latin typeface="Aptos" panose="02110004020202020204"/>
            <a:ea typeface="+mn-ea"/>
            <a:cs typeface="+mn-cs"/>
          </a:endParaRPr>
        </a:p>
      </dsp:txBody>
      <dsp:txXfrm>
        <a:off x="2494011" y="2353319"/>
        <a:ext cx="1945978" cy="325537"/>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BDE07A-7FC4-4939-BA81-2739A969DFEC}">
      <dsp:nvSpPr>
        <dsp:cNvPr id="0" name=""/>
        <dsp:cNvSpPr/>
      </dsp:nvSpPr>
      <dsp:spPr>
        <a:xfrm>
          <a:off x="0" y="473422"/>
          <a:ext cx="6381750" cy="277200"/>
        </a:xfrm>
        <a:prstGeom prst="rect">
          <a:avLst/>
        </a:prstGeom>
        <a:solidFill>
          <a:schemeClr val="accent4">
            <a:alpha val="90000"/>
            <a:tint val="4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E3AD5C8-8705-41D6-8528-5011BE7860AD}">
      <dsp:nvSpPr>
        <dsp:cNvPr id="0" name=""/>
        <dsp:cNvSpPr/>
      </dsp:nvSpPr>
      <dsp:spPr>
        <a:xfrm>
          <a:off x="319087" y="311062"/>
          <a:ext cx="4467225" cy="324720"/>
        </a:xfrm>
        <a:prstGeom prst="round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8850" tIns="0" rIns="168850" bIns="0" numCol="1" spcCol="1270" anchor="ctr" anchorCtr="0">
          <a:noAutofit/>
        </a:bodyPr>
        <a:lstStyle/>
        <a:p>
          <a:pPr marL="0" lvl="0" indent="0" algn="l" defTabSz="488950">
            <a:lnSpc>
              <a:spcPct val="90000"/>
            </a:lnSpc>
            <a:spcBef>
              <a:spcPct val="0"/>
            </a:spcBef>
            <a:spcAft>
              <a:spcPct val="35000"/>
            </a:spcAft>
            <a:buNone/>
          </a:pPr>
          <a:r>
            <a:rPr lang="en-ZW" sz="1100" kern="1200"/>
            <a:t>Maintain regular one-to-one meetings to address challenges early</a:t>
          </a:r>
          <a:endParaRPr lang="en-GB" sz="1100" kern="1200"/>
        </a:p>
      </dsp:txBody>
      <dsp:txXfrm>
        <a:off x="334939" y="326914"/>
        <a:ext cx="4435521" cy="293016"/>
      </dsp:txXfrm>
    </dsp:sp>
    <dsp:sp modelId="{EE8EAE14-2EED-418F-8AF3-27711977D0DA}">
      <dsp:nvSpPr>
        <dsp:cNvPr id="0" name=""/>
        <dsp:cNvSpPr/>
      </dsp:nvSpPr>
      <dsp:spPr>
        <a:xfrm>
          <a:off x="0" y="972382"/>
          <a:ext cx="6381750" cy="277200"/>
        </a:xfrm>
        <a:prstGeom prst="rect">
          <a:avLst/>
        </a:prstGeom>
        <a:solidFill>
          <a:schemeClr val="accent4">
            <a:alpha val="90000"/>
            <a:tint val="4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0C19702-31B5-441E-81EE-D45C8229149F}">
      <dsp:nvSpPr>
        <dsp:cNvPr id="0" name=""/>
        <dsp:cNvSpPr/>
      </dsp:nvSpPr>
      <dsp:spPr>
        <a:xfrm>
          <a:off x="319087" y="810022"/>
          <a:ext cx="4467225" cy="324720"/>
        </a:xfrm>
        <a:prstGeom prst="round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8850" tIns="0" rIns="168850" bIns="0" numCol="1" spcCol="1270" anchor="ctr" anchorCtr="0">
          <a:noAutofit/>
        </a:bodyPr>
        <a:lstStyle/>
        <a:p>
          <a:pPr marL="0" lvl="0" indent="0" algn="l" defTabSz="488950">
            <a:lnSpc>
              <a:spcPct val="90000"/>
            </a:lnSpc>
            <a:spcBef>
              <a:spcPct val="0"/>
            </a:spcBef>
            <a:spcAft>
              <a:spcPct val="35000"/>
            </a:spcAft>
            <a:buNone/>
          </a:pPr>
          <a:r>
            <a:rPr lang="en-ZW" sz="1100" kern="1200"/>
            <a:t>Maintain strong CPD and training programmes</a:t>
          </a:r>
          <a:endParaRPr lang="en-GB" sz="1100" kern="1200"/>
        </a:p>
      </dsp:txBody>
      <dsp:txXfrm>
        <a:off x="334939" y="825874"/>
        <a:ext cx="4435521" cy="293016"/>
      </dsp:txXfrm>
    </dsp:sp>
    <dsp:sp modelId="{D5A4322F-55E1-47B7-B6A6-4035183A140E}">
      <dsp:nvSpPr>
        <dsp:cNvPr id="0" name=""/>
        <dsp:cNvSpPr/>
      </dsp:nvSpPr>
      <dsp:spPr>
        <a:xfrm>
          <a:off x="0" y="1471342"/>
          <a:ext cx="6381750" cy="277200"/>
        </a:xfrm>
        <a:prstGeom prst="rect">
          <a:avLst/>
        </a:prstGeom>
        <a:solidFill>
          <a:schemeClr val="accent4">
            <a:alpha val="90000"/>
            <a:tint val="4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B5C5138-3A13-4769-9C42-947639818ED8}">
      <dsp:nvSpPr>
        <dsp:cNvPr id="0" name=""/>
        <dsp:cNvSpPr/>
      </dsp:nvSpPr>
      <dsp:spPr>
        <a:xfrm>
          <a:off x="319087" y="1308982"/>
          <a:ext cx="4467225" cy="324720"/>
        </a:xfrm>
        <a:prstGeom prst="round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8850" tIns="0" rIns="168850" bIns="0" numCol="1" spcCol="1270" anchor="ctr" anchorCtr="0">
          <a:noAutofit/>
        </a:bodyPr>
        <a:lstStyle/>
        <a:p>
          <a:pPr marL="0" lvl="0" indent="0" algn="l" defTabSz="488950">
            <a:lnSpc>
              <a:spcPct val="90000"/>
            </a:lnSpc>
            <a:spcBef>
              <a:spcPct val="0"/>
            </a:spcBef>
            <a:spcAft>
              <a:spcPct val="35000"/>
            </a:spcAft>
            <a:buNone/>
          </a:pPr>
          <a:r>
            <a:rPr lang="en-ZW" sz="1100" kern="1200"/>
            <a:t>Ensure clear role descriptions and workload boundaries</a:t>
          </a:r>
          <a:endParaRPr lang="en-GB" sz="1100" kern="1200"/>
        </a:p>
      </dsp:txBody>
      <dsp:txXfrm>
        <a:off x="334939" y="1324834"/>
        <a:ext cx="4435521" cy="293016"/>
      </dsp:txXfrm>
    </dsp:sp>
    <dsp:sp modelId="{E764D2F6-C0EA-426C-8FA5-60A041547BAF}">
      <dsp:nvSpPr>
        <dsp:cNvPr id="0" name=""/>
        <dsp:cNvSpPr/>
      </dsp:nvSpPr>
      <dsp:spPr>
        <a:xfrm>
          <a:off x="0" y="1970302"/>
          <a:ext cx="6381750" cy="277200"/>
        </a:xfrm>
        <a:prstGeom prst="rect">
          <a:avLst/>
        </a:prstGeom>
        <a:solidFill>
          <a:schemeClr val="accent4">
            <a:alpha val="90000"/>
            <a:tint val="4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0DAA55B-D16A-460A-BA59-38C8A83314F1}">
      <dsp:nvSpPr>
        <dsp:cNvPr id="0" name=""/>
        <dsp:cNvSpPr/>
      </dsp:nvSpPr>
      <dsp:spPr>
        <a:xfrm>
          <a:off x="319087" y="1807942"/>
          <a:ext cx="4467225" cy="324720"/>
        </a:xfrm>
        <a:prstGeom prst="round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8850" tIns="0" rIns="168850" bIns="0" numCol="1" spcCol="1270" anchor="ctr" anchorCtr="0">
          <a:noAutofit/>
        </a:bodyPr>
        <a:lstStyle/>
        <a:p>
          <a:pPr marL="0" lvl="0" indent="0" algn="l" defTabSz="488950">
            <a:lnSpc>
              <a:spcPct val="90000"/>
            </a:lnSpc>
            <a:spcBef>
              <a:spcPct val="0"/>
            </a:spcBef>
            <a:spcAft>
              <a:spcPct val="35000"/>
            </a:spcAft>
            <a:buNone/>
          </a:pPr>
          <a:r>
            <a:rPr lang="en-ZW" sz="1100" kern="1200"/>
            <a:t>Provide competitive compensation structures</a:t>
          </a:r>
          <a:endParaRPr lang="en-GB" sz="1100" kern="1200"/>
        </a:p>
      </dsp:txBody>
      <dsp:txXfrm>
        <a:off x="334939" y="1823794"/>
        <a:ext cx="4435521" cy="293016"/>
      </dsp:txXfrm>
    </dsp:sp>
    <dsp:sp modelId="{309E5AAC-A1E0-4547-A086-D62DEEA7BAA5}">
      <dsp:nvSpPr>
        <dsp:cNvPr id="0" name=""/>
        <dsp:cNvSpPr/>
      </dsp:nvSpPr>
      <dsp:spPr>
        <a:xfrm>
          <a:off x="0" y="2469262"/>
          <a:ext cx="6381750" cy="277200"/>
        </a:xfrm>
        <a:prstGeom prst="rect">
          <a:avLst/>
        </a:prstGeom>
        <a:solidFill>
          <a:schemeClr val="accent4">
            <a:alpha val="90000"/>
            <a:tint val="4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2C7B041-5DCE-4C81-AA75-A1BDF6C5CD80}">
      <dsp:nvSpPr>
        <dsp:cNvPr id="0" name=""/>
        <dsp:cNvSpPr/>
      </dsp:nvSpPr>
      <dsp:spPr>
        <a:xfrm>
          <a:off x="319087" y="2306902"/>
          <a:ext cx="4467225" cy="324720"/>
        </a:xfrm>
        <a:prstGeom prst="round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8850" tIns="0" rIns="168850" bIns="0" numCol="1" spcCol="1270" anchor="ctr" anchorCtr="0">
          <a:noAutofit/>
        </a:bodyPr>
        <a:lstStyle/>
        <a:p>
          <a:pPr marL="0" lvl="0" indent="0" algn="l" defTabSz="488950">
            <a:lnSpc>
              <a:spcPct val="90000"/>
            </a:lnSpc>
            <a:spcBef>
              <a:spcPct val="0"/>
            </a:spcBef>
            <a:spcAft>
              <a:spcPct val="35000"/>
            </a:spcAft>
            <a:buNone/>
          </a:pPr>
          <a:r>
            <a:rPr lang="en-ZW" sz="1100" kern="1200"/>
            <a:t>Promote a positive internal culture</a:t>
          </a:r>
          <a:endParaRPr lang="en-GB" sz="1100" kern="1200"/>
        </a:p>
      </dsp:txBody>
      <dsp:txXfrm>
        <a:off x="334939" y="2322754"/>
        <a:ext cx="4435521"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7T12:23:54.275"/>
    </inkml:context>
    <inkml:brush xml:id="br0">
      <inkml:brushProperty name="width" value="0.035" units="cm"/>
      <inkml:brushProperty name="height" value="0.035" units="cm"/>
    </inkml:brush>
  </inkml:definitions>
  <inkml:trace contextRef="#ctx0" brushRef="#br0">661 340 24495,'-1'13'0,"1"1"0,-2-1 0,1 0 0,-2 0 0,1 0 0,-2 0 0,0 0 0,0 0 0,0-1 0,-2 0 0,1 0 0,-1 0 0,-1 0 0,0-1 0,0 0 0,-1 0 0,0-1 0,-1 0 0,0-1 0,0 1 0,-1-1 0,0-1 0,-1 0 0,1 0 0,-1-1 0,0 0 0,-1-1 0,1 0 0,-1-1 0,0 0 0,-1-1 0,1 0 0,-1 0 0,1-1 0,-1-1 0,0 0 0,0-1 0,0 0 0,0-1 0,0 0 0,0-1 0,1 0 0,-1-1 0,0 0 0,0-1 0,1-1 0,-1 0 0,1 0 0,0-1 0,0 0 0,0-1 0,1 0 0,0-1 0,0 0 0,0-1 0,1 0 0,0 0 0,0-1 0,1-1 0,0 1 0,0-1 0,1 0 0,0-1 0,1 0 0,0 0 0,0-1 0,1 0 0,0 0 0,1 0 0,0 0 0,1-1 0,0 0 0,1 0 0,0 0 0,1 0 0,0 0 0,1 0 0,0-1 0,1 1 0,0 0 0,1-1 0,0 1 0,1 0 0,0 0 0,1 0 0,0 0 0,1 0 0,0 0 0,1 1 0,0 0 0,1 0 0,0 0 0,1 0 0,0 1 0,0 0 0,1 1 0,0-1 0,1 1 0,0 1 0,0-1 0,1 1 0,0 1 0,0 0 0,1 0 0,0 1 0,0 0 0,0 1 0,1 0 0,0 1 0,0 0 0,0 1 0,1 0 0,-1 0 0,1 2 0,0-1 0,0 1 0,-1 1 0,1 0 0,0 1 0,0 0 0,0 1 0,0 0 0,0 1 0,0 1 0,-1-1 0,1 2 0,-1 0 0,1 0 0,-1 1 0,0 0 0,-1 1 0,1 0 0,-1 1 0,0 0 0,-1 1 0,1 0 0,-1 0 0,0 1 0,-1 1 0,0-1 0,0 1 0,-1 1 0,0-1 0,-1 1 0,0 0 0,0 1 0,-1 0 0,-1 0 0,1 0 0,-2 0 0,0 1 0,0 0 0,0 0 0,-2 0 0,1 0 0,-2 0 0,1 0 0,-2 1 0,1-1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CEDE-CF0F-493C-B54E-24D3F2220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81</Pages>
  <Words>17367</Words>
  <Characters>98998</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kaniz Chowdhury</dc:creator>
  <cp:keywords/>
  <dc:description/>
  <cp:lastModifiedBy>kaniz Chowdhury</cp:lastModifiedBy>
  <cp:revision>53</cp:revision>
  <dcterms:created xsi:type="dcterms:W3CDTF">2026-01-20T10:59:00Z</dcterms:created>
  <dcterms:modified xsi:type="dcterms:W3CDTF">2026-01-21T22:57:00Z</dcterms:modified>
</cp:coreProperties>
</file>