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FE78457" wp14:paraId="212669FE" wp14:textId="31470612">
      <w:pPr>
        <w:rPr>
          <w:rFonts w:ascii="Arial" w:hAnsi="Arial" w:eastAsia="Arial" w:cs="Arial"/>
          <w:b w:val="1"/>
          <w:bCs w:val="1"/>
          <w:sz w:val="28"/>
          <w:szCs w:val="28"/>
        </w:rPr>
      </w:pPr>
      <w:r w:rsidR="54A92A79">
        <w:rPr/>
        <w:t xml:space="preserve">                                            </w:t>
      </w:r>
      <w:r w:rsidRPr="4FE78457" w:rsidR="54A92A79">
        <w:rPr>
          <w:rFonts w:ascii="Arial" w:hAnsi="Arial" w:eastAsia="Arial" w:cs="Arial"/>
          <w:b w:val="1"/>
          <w:bCs w:val="1"/>
          <w:sz w:val="28"/>
          <w:szCs w:val="28"/>
        </w:rPr>
        <w:t xml:space="preserve">          Assignment Title: Report</w:t>
      </w:r>
    </w:p>
    <w:p xmlns:wp14="http://schemas.microsoft.com/office/word/2010/wordml" w:rsidP="4FE78457" wp14:paraId="300F9EDF" wp14:textId="683E24A9">
      <w:pPr>
        <w:pStyle w:val="Normal"/>
        <w:rPr>
          <w:rFonts w:ascii="Arial" w:hAnsi="Arial" w:eastAsia="Arial" w:cs="Arial"/>
          <w:b w:val="1"/>
          <w:bCs w:val="1"/>
          <w:sz w:val="28"/>
          <w:szCs w:val="28"/>
        </w:rPr>
      </w:pPr>
      <w:r w:rsidRPr="4FE78457" w:rsidR="54A92A79">
        <w:rPr>
          <w:rFonts w:ascii="Arial" w:hAnsi="Arial" w:eastAsia="Arial" w:cs="Arial"/>
          <w:b w:val="1"/>
          <w:bCs w:val="1"/>
          <w:sz w:val="28"/>
          <w:szCs w:val="28"/>
        </w:rPr>
        <w:t xml:space="preserve">                                             </w:t>
      </w:r>
      <w:r w:rsidRPr="4FE78457" w:rsidR="54A92A79">
        <w:rPr>
          <w:rFonts w:ascii="Arial" w:hAnsi="Arial" w:eastAsia="Arial" w:cs="Arial"/>
          <w:b w:val="1"/>
          <w:bCs w:val="1"/>
          <w:sz w:val="28"/>
          <w:szCs w:val="28"/>
        </w:rPr>
        <w:t>Component</w:t>
      </w:r>
      <w:r w:rsidRPr="4FE78457" w:rsidR="54A92A79">
        <w:rPr>
          <w:rFonts w:ascii="Arial" w:hAnsi="Arial" w:eastAsia="Arial" w:cs="Arial"/>
          <w:b w:val="1"/>
          <w:bCs w:val="1"/>
          <w:sz w:val="28"/>
          <w:szCs w:val="28"/>
        </w:rPr>
        <w:t xml:space="preserve">: Task 2 </w:t>
      </w:r>
    </w:p>
    <w:p xmlns:wp14="http://schemas.microsoft.com/office/word/2010/wordml" w:rsidP="4FE78457" wp14:paraId="4FB2B20D" wp14:textId="6C84E46B">
      <w:pPr>
        <w:pStyle w:val="Normal"/>
        <w:rPr>
          <w:rFonts w:ascii="Arial" w:hAnsi="Arial" w:eastAsia="Arial" w:cs="Arial"/>
          <w:b w:val="1"/>
          <w:bCs w:val="1"/>
          <w:sz w:val="28"/>
          <w:szCs w:val="28"/>
        </w:rPr>
      </w:pPr>
      <w:r w:rsidRPr="4FE78457" w:rsidR="54A92A79">
        <w:rPr>
          <w:rFonts w:ascii="Arial" w:hAnsi="Arial" w:eastAsia="Arial" w:cs="Arial"/>
          <w:b w:val="1"/>
          <w:bCs w:val="1"/>
          <w:sz w:val="28"/>
          <w:szCs w:val="28"/>
        </w:rPr>
        <w:t xml:space="preserve">                         Module Title: Psychology in health and social care </w:t>
      </w:r>
    </w:p>
    <w:p xmlns:wp14="http://schemas.microsoft.com/office/word/2010/wordml" w:rsidP="4FE78457" wp14:paraId="00532D63" wp14:textId="0F050C38">
      <w:pPr>
        <w:pStyle w:val="Normal"/>
        <w:rPr>
          <w:rFonts w:ascii="Arial" w:hAnsi="Arial" w:eastAsia="Arial" w:cs="Arial"/>
          <w:b w:val="1"/>
          <w:bCs w:val="1"/>
          <w:sz w:val="28"/>
          <w:szCs w:val="28"/>
        </w:rPr>
      </w:pPr>
      <w:r w:rsidRPr="4FE78457" w:rsidR="54A92A79">
        <w:rPr>
          <w:rFonts w:ascii="Arial" w:hAnsi="Arial" w:eastAsia="Arial" w:cs="Arial"/>
          <w:b w:val="1"/>
          <w:bCs w:val="1"/>
          <w:sz w:val="28"/>
          <w:szCs w:val="28"/>
        </w:rPr>
        <w:t xml:space="preserve">                                      Student Name: Ruby Begum </w:t>
      </w:r>
    </w:p>
    <w:p xmlns:wp14="http://schemas.microsoft.com/office/word/2010/wordml" w:rsidP="4FE78457" wp14:paraId="210CAA0C" wp14:textId="31544515">
      <w:pPr>
        <w:pStyle w:val="Normal"/>
        <w:rPr>
          <w:rFonts w:ascii="Arial" w:hAnsi="Arial" w:eastAsia="Arial" w:cs="Arial"/>
          <w:b w:val="1"/>
          <w:bCs w:val="1"/>
          <w:sz w:val="28"/>
          <w:szCs w:val="28"/>
        </w:rPr>
      </w:pPr>
      <w:r w:rsidRPr="4FE78457" w:rsidR="54A92A79">
        <w:rPr>
          <w:rFonts w:ascii="Arial" w:hAnsi="Arial" w:eastAsia="Arial" w:cs="Arial"/>
          <w:b w:val="1"/>
          <w:bCs w:val="1"/>
          <w:sz w:val="28"/>
          <w:szCs w:val="28"/>
        </w:rPr>
        <w:t xml:space="preserve">                                          Student ID: 2422428 </w:t>
      </w:r>
    </w:p>
    <w:p xmlns:wp14="http://schemas.microsoft.com/office/word/2010/wordml" w:rsidP="4FE78457" wp14:paraId="156E67BD" wp14:textId="1CC9FB11">
      <w:pPr>
        <w:pStyle w:val="Normal"/>
        <w:rPr>
          <w:rFonts w:ascii="Arial" w:hAnsi="Arial" w:eastAsia="Arial" w:cs="Arial"/>
          <w:b w:val="1"/>
          <w:bCs w:val="1"/>
          <w:sz w:val="28"/>
          <w:szCs w:val="28"/>
        </w:rPr>
      </w:pPr>
      <w:r w:rsidRPr="4FE78457" w:rsidR="54A92A79">
        <w:rPr>
          <w:rFonts w:ascii="Arial" w:hAnsi="Arial" w:eastAsia="Arial" w:cs="Arial"/>
          <w:b w:val="1"/>
          <w:bCs w:val="1"/>
          <w:sz w:val="28"/>
          <w:szCs w:val="28"/>
        </w:rPr>
        <w:t xml:space="preserve">                                 Module Code: LCHS4010_BIRM </w:t>
      </w:r>
    </w:p>
    <w:p xmlns:wp14="http://schemas.microsoft.com/office/word/2010/wordml" w:rsidP="4FE78457" wp14:paraId="5D7A7B51" wp14:textId="188CFA57">
      <w:pPr>
        <w:pStyle w:val="Normal"/>
        <w:rPr>
          <w:rFonts w:ascii="Arial" w:hAnsi="Arial" w:eastAsia="Arial" w:cs="Arial"/>
          <w:b w:val="1"/>
          <w:bCs w:val="1"/>
          <w:sz w:val="28"/>
          <w:szCs w:val="28"/>
        </w:rPr>
      </w:pPr>
      <w:r w:rsidRPr="4FE78457" w:rsidR="54A92A79">
        <w:rPr>
          <w:rFonts w:ascii="Arial" w:hAnsi="Arial" w:eastAsia="Arial" w:cs="Arial"/>
          <w:b w:val="1"/>
          <w:bCs w:val="1"/>
          <w:sz w:val="28"/>
          <w:szCs w:val="28"/>
        </w:rPr>
        <w:t xml:space="preserve">                                  Lecturer Name:   Neale Haddon</w:t>
      </w:r>
    </w:p>
    <w:p xmlns:wp14="http://schemas.microsoft.com/office/word/2010/wordml" w:rsidP="4FE78457" wp14:paraId="424538DD" wp14:textId="63874B5E">
      <w:pPr>
        <w:rPr>
          <w:rFonts w:ascii="Arial" w:hAnsi="Arial" w:eastAsia="Arial" w:cs="Arial"/>
          <w:b w:val="1"/>
          <w:bCs w:val="1"/>
          <w:sz w:val="28"/>
          <w:szCs w:val="28"/>
        </w:rPr>
      </w:pPr>
    </w:p>
    <w:p xmlns:wp14="http://schemas.microsoft.com/office/word/2010/wordml" wp14:paraId="664B5F8D" wp14:textId="509C6F70"/>
    <w:p xmlns:wp14="http://schemas.microsoft.com/office/word/2010/wordml" wp14:paraId="18CD1FA8" wp14:textId="1B05C7B3"/>
    <w:p xmlns:wp14="http://schemas.microsoft.com/office/word/2010/wordml" wp14:paraId="2BE9CCB0" wp14:textId="6E53B034"/>
    <w:p xmlns:wp14="http://schemas.microsoft.com/office/word/2010/wordml" wp14:paraId="566143D2" wp14:textId="3CE6C53C"/>
    <w:p xmlns:wp14="http://schemas.microsoft.com/office/word/2010/wordml" wp14:paraId="6A3C033C" wp14:textId="1E2A5A16"/>
    <w:p xmlns:wp14="http://schemas.microsoft.com/office/word/2010/wordml" wp14:paraId="342193AC" wp14:textId="0AA83FD3"/>
    <w:p xmlns:wp14="http://schemas.microsoft.com/office/word/2010/wordml" wp14:paraId="12969A18" wp14:textId="4A510BB0"/>
    <w:p xmlns:wp14="http://schemas.microsoft.com/office/word/2010/wordml" wp14:paraId="25B4B843" wp14:textId="371D4AD7"/>
    <w:p xmlns:wp14="http://schemas.microsoft.com/office/word/2010/wordml" wp14:paraId="6C4875C4" wp14:textId="708B249D"/>
    <w:p xmlns:wp14="http://schemas.microsoft.com/office/word/2010/wordml" wp14:paraId="4D9F1556" wp14:textId="04750918"/>
    <w:p xmlns:wp14="http://schemas.microsoft.com/office/word/2010/wordml" wp14:paraId="237655EF" wp14:textId="28D619F9"/>
    <w:p xmlns:wp14="http://schemas.microsoft.com/office/word/2010/wordml" wp14:paraId="34845A95" wp14:textId="73DF4BC3"/>
    <w:p xmlns:wp14="http://schemas.microsoft.com/office/word/2010/wordml" wp14:paraId="0804B1AD" wp14:textId="64F58A43"/>
    <w:p xmlns:wp14="http://schemas.microsoft.com/office/word/2010/wordml" wp14:paraId="5B1C6985" wp14:textId="6AAB88A3"/>
    <w:p xmlns:wp14="http://schemas.microsoft.com/office/word/2010/wordml" wp14:paraId="04DA1ED2" wp14:textId="04260DC9"/>
    <w:p xmlns:wp14="http://schemas.microsoft.com/office/word/2010/wordml" wp14:paraId="24AE355C" wp14:textId="617787E3"/>
    <w:p xmlns:wp14="http://schemas.microsoft.com/office/word/2010/wordml" wp14:paraId="617DAC41" wp14:textId="00BA4F4A"/>
    <w:p xmlns:wp14="http://schemas.microsoft.com/office/word/2010/wordml" wp14:paraId="22D4B780" wp14:textId="2ED51452"/>
    <w:p xmlns:wp14="http://schemas.microsoft.com/office/word/2010/wordml" wp14:paraId="7343E57B" wp14:textId="58528646"/>
    <w:p xmlns:wp14="http://schemas.microsoft.com/office/word/2010/wordml" wp14:paraId="0B754DEF" wp14:textId="67DA5445"/>
    <w:p xmlns:wp14="http://schemas.microsoft.com/office/word/2010/wordml" wp14:paraId="5736AF58" wp14:textId="03089069"/>
    <w:p xmlns:wp14="http://schemas.microsoft.com/office/word/2010/wordml" w:rsidP="4FE78457" wp14:paraId="5E5787A5" wp14:textId="0974CCD8">
      <w:pPr>
        <w:rPr>
          <w:rFonts w:ascii="Arial" w:hAnsi="Arial" w:eastAsia="Arial" w:cs="Arial"/>
          <w:b w:val="1"/>
          <w:bCs w:val="1"/>
          <w:sz w:val="28"/>
          <w:szCs w:val="28"/>
          <w:u w:val="single"/>
        </w:rPr>
      </w:pPr>
      <w:r w:rsidRPr="4FE78457" w:rsidR="54A92A79">
        <w:rPr>
          <w:rFonts w:ascii="Arial" w:hAnsi="Arial" w:eastAsia="Arial" w:cs="Arial"/>
          <w:b w:val="1"/>
          <w:bCs w:val="1"/>
          <w:sz w:val="28"/>
          <w:szCs w:val="28"/>
          <w:u w:val="single"/>
        </w:rPr>
        <w:t>Context:</w:t>
      </w:r>
    </w:p>
    <w:p w:rsidR="54A92A79" w:rsidP="4FE78457" w:rsidRDefault="54A92A79" w14:paraId="66397DC6" w14:textId="28C48815">
      <w:pPr>
        <w:rPr>
          <w:rFonts w:ascii="Arial" w:hAnsi="Arial" w:eastAsia="Arial" w:cs="Arial"/>
          <w:b w:val="1"/>
          <w:bCs w:val="1"/>
          <w:sz w:val="28"/>
          <w:szCs w:val="28"/>
        </w:rPr>
      </w:pPr>
      <w:r w:rsidRPr="4FE78457" w:rsidR="54A92A79">
        <w:rPr>
          <w:rFonts w:ascii="Arial" w:hAnsi="Arial" w:eastAsia="Arial" w:cs="Arial"/>
          <w:b w:val="1"/>
          <w:bCs w:val="1"/>
          <w:sz w:val="28"/>
          <w:szCs w:val="28"/>
        </w:rPr>
        <w:t>Introduction</w:t>
      </w:r>
    </w:p>
    <w:p w:rsidR="54A92A79" w:rsidP="4FE78457" w:rsidRDefault="54A92A79" w14:paraId="7EE8267F" w14:textId="2DFEBE59">
      <w:pPr>
        <w:rPr>
          <w:rFonts w:ascii="Arial" w:hAnsi="Arial" w:eastAsia="Arial" w:cs="Arial"/>
          <w:b w:val="1"/>
          <w:bCs w:val="1"/>
          <w:sz w:val="28"/>
          <w:szCs w:val="28"/>
        </w:rPr>
      </w:pPr>
      <w:r w:rsidRPr="4FE78457" w:rsidR="54A92A79">
        <w:rPr>
          <w:rFonts w:ascii="Arial" w:hAnsi="Arial" w:eastAsia="Arial" w:cs="Arial"/>
          <w:b w:val="1"/>
          <w:bCs w:val="1"/>
          <w:sz w:val="28"/>
          <w:szCs w:val="28"/>
        </w:rPr>
        <w:t>Psychological theories</w:t>
      </w:r>
    </w:p>
    <w:p w:rsidR="54A92A79" w:rsidP="4FE78457" w:rsidRDefault="54A92A79" w14:paraId="3649D3A9" w14:textId="3D3E1D93">
      <w:pPr>
        <w:rPr>
          <w:rFonts w:ascii="Arial" w:hAnsi="Arial" w:eastAsia="Arial" w:cs="Arial"/>
          <w:b w:val="1"/>
          <w:bCs w:val="1"/>
          <w:sz w:val="28"/>
          <w:szCs w:val="28"/>
        </w:rPr>
      </w:pPr>
      <w:r w:rsidRPr="4FE78457" w:rsidR="54A92A79">
        <w:rPr>
          <w:rFonts w:ascii="Arial" w:hAnsi="Arial" w:eastAsia="Arial" w:cs="Arial"/>
          <w:b w:val="1"/>
          <w:bCs w:val="1"/>
          <w:sz w:val="28"/>
          <w:szCs w:val="28"/>
        </w:rPr>
        <w:t>Application of theories</w:t>
      </w:r>
    </w:p>
    <w:p w:rsidR="54A92A79" w:rsidP="4FE78457" w:rsidRDefault="54A92A79" w14:paraId="53098686" w14:textId="7B5C8D0B">
      <w:pPr>
        <w:rPr>
          <w:rFonts w:ascii="Arial" w:hAnsi="Arial" w:eastAsia="Arial" w:cs="Arial"/>
          <w:b w:val="1"/>
          <w:bCs w:val="1"/>
          <w:sz w:val="28"/>
          <w:szCs w:val="28"/>
        </w:rPr>
      </w:pPr>
      <w:r w:rsidRPr="4FE78457" w:rsidR="54A92A79">
        <w:rPr>
          <w:rFonts w:ascii="Arial" w:hAnsi="Arial" w:eastAsia="Arial" w:cs="Arial"/>
          <w:b w:val="1"/>
          <w:bCs w:val="1"/>
          <w:sz w:val="28"/>
          <w:szCs w:val="28"/>
        </w:rPr>
        <w:t>Practical examples</w:t>
      </w:r>
    </w:p>
    <w:p w:rsidR="54A92A79" w:rsidP="4FE78457" w:rsidRDefault="54A92A79" w14:paraId="2D190CB5" w14:textId="7ECAB101">
      <w:pPr>
        <w:rPr>
          <w:rFonts w:ascii="Arial" w:hAnsi="Arial" w:eastAsia="Arial" w:cs="Arial"/>
          <w:b w:val="1"/>
          <w:bCs w:val="1"/>
          <w:sz w:val="28"/>
          <w:szCs w:val="28"/>
        </w:rPr>
      </w:pPr>
      <w:r w:rsidRPr="4FE78457" w:rsidR="54A92A79">
        <w:rPr>
          <w:rFonts w:ascii="Arial" w:hAnsi="Arial" w:eastAsia="Arial" w:cs="Arial"/>
          <w:b w:val="1"/>
          <w:bCs w:val="1"/>
          <w:sz w:val="28"/>
          <w:szCs w:val="28"/>
        </w:rPr>
        <w:t>Potential challenges</w:t>
      </w:r>
    </w:p>
    <w:p w:rsidR="54A92A79" w:rsidP="4FE78457" w:rsidRDefault="54A92A79" w14:paraId="19A837EB" w14:textId="4DB79959">
      <w:pPr>
        <w:rPr>
          <w:rFonts w:ascii="Arial" w:hAnsi="Arial" w:eastAsia="Arial" w:cs="Arial"/>
          <w:b w:val="1"/>
          <w:bCs w:val="1"/>
          <w:sz w:val="28"/>
          <w:szCs w:val="28"/>
        </w:rPr>
      </w:pPr>
      <w:r w:rsidRPr="4FE78457" w:rsidR="54A92A79">
        <w:rPr>
          <w:rFonts w:ascii="Arial" w:hAnsi="Arial" w:eastAsia="Arial" w:cs="Arial"/>
          <w:b w:val="1"/>
          <w:bCs w:val="1"/>
          <w:sz w:val="28"/>
          <w:szCs w:val="28"/>
        </w:rPr>
        <w:t>Conclusion</w:t>
      </w:r>
    </w:p>
    <w:p w:rsidR="54A92A79" w:rsidP="4FE78457" w:rsidRDefault="54A92A79" w14:paraId="046E37E7" w14:textId="57DE95B5">
      <w:pPr>
        <w:rPr>
          <w:rFonts w:ascii="Arial" w:hAnsi="Arial" w:eastAsia="Arial" w:cs="Arial"/>
          <w:b w:val="1"/>
          <w:bCs w:val="1"/>
          <w:sz w:val="28"/>
          <w:szCs w:val="28"/>
        </w:rPr>
      </w:pPr>
      <w:r w:rsidRPr="4FE78457" w:rsidR="54A92A79">
        <w:rPr>
          <w:rFonts w:ascii="Arial" w:hAnsi="Arial" w:eastAsia="Arial" w:cs="Arial"/>
          <w:b w:val="1"/>
          <w:bCs w:val="1"/>
          <w:sz w:val="28"/>
          <w:szCs w:val="28"/>
        </w:rPr>
        <w:t>References</w:t>
      </w:r>
    </w:p>
    <w:p w:rsidR="4FE78457" w:rsidP="4FE78457" w:rsidRDefault="4FE78457" w14:paraId="46545888" w14:textId="455ACFA2">
      <w:pPr>
        <w:rPr>
          <w:rFonts w:ascii="Arial" w:hAnsi="Arial" w:eastAsia="Arial" w:cs="Arial"/>
          <w:b w:val="1"/>
          <w:bCs w:val="1"/>
          <w:sz w:val="28"/>
          <w:szCs w:val="28"/>
        </w:rPr>
      </w:pPr>
    </w:p>
    <w:p w:rsidR="4FE78457" w:rsidRDefault="4FE78457" w14:paraId="75382B08" w14:textId="7293B107"/>
    <w:p w:rsidR="4FE78457" w:rsidRDefault="4FE78457" w14:paraId="6508E3B9" w14:textId="3343E197"/>
    <w:p w:rsidR="4FE78457" w:rsidRDefault="4FE78457" w14:paraId="1F0AD0C8" w14:textId="0A0A54BB"/>
    <w:p w:rsidR="4FE78457" w:rsidRDefault="4FE78457" w14:paraId="2C3693FC" w14:textId="1D8162DD"/>
    <w:p w:rsidR="4FE78457" w:rsidRDefault="4FE78457" w14:paraId="2F5DAEBD" w14:textId="41E9E810"/>
    <w:p w:rsidR="4FE78457" w:rsidRDefault="4FE78457" w14:paraId="190EF180" w14:textId="28113DDA"/>
    <w:p w:rsidR="4FE78457" w:rsidP="4FE78457" w:rsidRDefault="4FE78457" w14:paraId="0F26B243" w14:textId="539C4623">
      <w:pPr>
        <w:pStyle w:val="Heading3"/>
        <w:keepNext w:val="1"/>
        <w:keepLines w:val="1"/>
        <w:spacing w:before="281" w:beforeAutospacing="off" w:after="281" w:afterAutospacing="off"/>
        <w:rPr>
          <w:rFonts w:ascii="Arial" w:hAnsi="Arial" w:eastAsia="Arial" w:cs="Arial"/>
          <w:b w:val="1"/>
          <w:bCs w:val="1"/>
          <w:i w:val="0"/>
          <w:iCs w:val="0"/>
          <w:caps w:val="0"/>
          <w:smallCaps w:val="0"/>
          <w:noProof w:val="0"/>
          <w:color w:val="0F4761" w:themeColor="accent1" w:themeTint="FF" w:themeShade="BF"/>
          <w:sz w:val="24"/>
          <w:szCs w:val="24"/>
          <w:lang w:val="en-GB"/>
        </w:rPr>
      </w:pPr>
    </w:p>
    <w:p w:rsidR="4FE78457" w:rsidP="4FE78457" w:rsidRDefault="4FE78457" w14:paraId="22B819F1" w14:textId="63A4E769">
      <w:pPr>
        <w:pStyle w:val="Heading3"/>
        <w:keepNext w:val="1"/>
        <w:keepLines w:val="1"/>
        <w:spacing w:before="281" w:beforeAutospacing="off" w:after="281" w:afterAutospacing="off"/>
        <w:rPr>
          <w:rFonts w:ascii="Arial" w:hAnsi="Arial" w:eastAsia="Arial" w:cs="Arial"/>
          <w:b w:val="1"/>
          <w:bCs w:val="1"/>
          <w:i w:val="0"/>
          <w:iCs w:val="0"/>
          <w:caps w:val="0"/>
          <w:smallCaps w:val="0"/>
          <w:noProof w:val="0"/>
          <w:color w:val="0F4761" w:themeColor="accent1" w:themeTint="FF" w:themeShade="BF"/>
          <w:sz w:val="24"/>
          <w:szCs w:val="24"/>
          <w:lang w:val="en-GB"/>
        </w:rPr>
      </w:pPr>
    </w:p>
    <w:p w:rsidR="4FE78457" w:rsidP="4FE78457" w:rsidRDefault="4FE78457" w14:paraId="405A8A0C" w14:textId="2669A8EE">
      <w:pPr>
        <w:pStyle w:val="Normal"/>
        <w:keepNext w:val="1"/>
        <w:keepLines w:val="1"/>
        <w:rPr>
          <w:noProof w:val="0"/>
          <w:lang w:val="en-GB"/>
        </w:rPr>
      </w:pPr>
    </w:p>
    <w:p w:rsidR="4FE78457" w:rsidP="4FE78457" w:rsidRDefault="4FE78457" w14:paraId="29F910D5" w14:textId="519CA04F">
      <w:pPr>
        <w:pStyle w:val="Normal"/>
        <w:keepNext w:val="1"/>
        <w:keepLines w:val="1"/>
        <w:rPr>
          <w:noProof w:val="0"/>
          <w:lang w:val="en-GB"/>
        </w:rPr>
      </w:pPr>
    </w:p>
    <w:p w:rsidR="4FE78457" w:rsidP="4FE78457" w:rsidRDefault="4FE78457" w14:paraId="08F77D7E" w14:textId="5B56AC99">
      <w:pPr>
        <w:pStyle w:val="Heading3"/>
        <w:keepNext w:val="1"/>
        <w:keepLines w:val="1"/>
        <w:spacing w:before="281" w:beforeAutospacing="off" w:after="281" w:afterAutospacing="off"/>
        <w:rPr>
          <w:rFonts w:ascii="Arial" w:hAnsi="Arial" w:eastAsia="Arial" w:cs="Arial"/>
          <w:b w:val="1"/>
          <w:bCs w:val="1"/>
          <w:i w:val="0"/>
          <w:iCs w:val="0"/>
          <w:caps w:val="0"/>
          <w:smallCaps w:val="0"/>
          <w:noProof w:val="0"/>
          <w:color w:val="0F4761" w:themeColor="accent1" w:themeTint="FF" w:themeShade="BF"/>
          <w:sz w:val="24"/>
          <w:szCs w:val="24"/>
          <w:lang w:val="en-GB"/>
        </w:rPr>
      </w:pPr>
    </w:p>
    <w:p w:rsidR="4FE78457" w:rsidP="4FE78457" w:rsidRDefault="4FE78457" w14:paraId="3363262F" w14:textId="460216F7">
      <w:pPr>
        <w:pStyle w:val="Normal"/>
        <w:keepNext w:val="1"/>
        <w:keepLines w:val="1"/>
        <w:spacing w:before="281" w:beforeAutospacing="off" w:after="281" w:afterAutospacing="off"/>
        <w:rPr>
          <w:rFonts w:ascii="Arial" w:hAnsi="Arial" w:eastAsia="Arial" w:cs="Arial"/>
          <w:b w:val="1"/>
          <w:bCs w:val="1"/>
          <w:i w:val="0"/>
          <w:iCs w:val="0"/>
          <w:caps w:val="0"/>
          <w:smallCaps w:val="0"/>
          <w:noProof w:val="0"/>
          <w:color w:val="0F4761" w:themeColor="accent1" w:themeTint="FF" w:themeShade="BF"/>
          <w:sz w:val="24"/>
          <w:szCs w:val="24"/>
          <w:lang w:val="en-GB"/>
        </w:rPr>
      </w:pPr>
    </w:p>
    <w:p w:rsidR="4FE78457" w:rsidP="4FE78457" w:rsidRDefault="4FE78457" w14:paraId="1B934906" w14:textId="184C8BB2">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4FE78457" w:rsidP="4FE78457" w:rsidRDefault="4FE78457" w14:paraId="0FA8913E" w14:textId="3AE6D343">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p>
    <w:p w:rsidR="0B5F4FE3" w:rsidP="4FE78457" w:rsidRDefault="0B5F4FE3" w14:paraId="12C47ACD" w14:textId="6B1AC0A1">
      <w:pPr>
        <w:spacing w:before="240" w:beforeAutospacing="off" w:after="240" w:afterAutospacing="off"/>
        <w:rPr>
          <w:rFonts w:ascii="Arial" w:hAnsi="Arial" w:eastAsia="Arial" w:cs="Arial"/>
          <w:b w:val="1"/>
          <w:bCs w:val="1"/>
          <w:i w:val="0"/>
          <w:iCs w:val="0"/>
          <w:caps w:val="0"/>
          <w:smallCaps w:val="0"/>
          <w:noProof w:val="0"/>
          <w:color w:val="153D63" w:themeColor="text2" w:themeTint="E6" w:themeShade="FF"/>
          <w:sz w:val="24"/>
          <w:szCs w:val="24"/>
          <w:lang w:val="en-GB"/>
        </w:rPr>
      </w:pPr>
      <w:r w:rsidRPr="4FE78457" w:rsidR="0B5F4FE3">
        <w:rPr>
          <w:rFonts w:ascii="Arial" w:hAnsi="Arial" w:eastAsia="Arial" w:cs="Arial"/>
          <w:b w:val="1"/>
          <w:bCs w:val="1"/>
          <w:i w:val="0"/>
          <w:iCs w:val="0"/>
          <w:caps w:val="0"/>
          <w:smallCaps w:val="0"/>
          <w:noProof w:val="0"/>
          <w:color w:val="153D63" w:themeColor="text2" w:themeTint="E6" w:themeShade="FF"/>
          <w:sz w:val="24"/>
          <w:szCs w:val="24"/>
          <w:lang w:val="en-GB"/>
        </w:rPr>
        <w:t>Introduction</w:t>
      </w:r>
    </w:p>
    <w:p w:rsidR="54A92A79" w:rsidP="4FE78457" w:rsidRDefault="54A92A79" w14:paraId="457F6F87" w14:textId="07302D38">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FE78457" w:rsidR="54A92A79">
        <w:rPr>
          <w:rFonts w:ascii="Arial" w:hAnsi="Arial" w:eastAsia="Arial" w:cs="Arial"/>
          <w:b w:val="0"/>
          <w:bCs w:val="0"/>
          <w:i w:val="0"/>
          <w:iCs w:val="0"/>
          <w:caps w:val="0"/>
          <w:smallCaps w:val="0"/>
          <w:noProof w:val="0"/>
          <w:color w:val="000000" w:themeColor="text1" w:themeTint="FF" w:themeShade="FF"/>
          <w:sz w:val="22"/>
          <w:szCs w:val="22"/>
          <w:lang w:val="en-GB"/>
        </w:rPr>
        <w:t xml:space="preserve">Older adulthood particularly in the age of 65 years and above tends to pose complicated psychological and emotional and health issues. This is especially sharp in the context of a dementia care home, where the inhabitants might be experiencing cognitive impairment, shifting personalities, loss of autonomy and high susceptibility. To provide quality </w:t>
      </w:r>
      <w:r w:rsidRPr="4FE78457" w:rsidR="54A92A79">
        <w:rPr>
          <w:rFonts w:ascii="Arial" w:hAnsi="Arial" w:eastAsia="Arial" w:cs="Arial"/>
          <w:b w:val="0"/>
          <w:bCs w:val="0"/>
          <w:i w:val="0"/>
          <w:iCs w:val="0"/>
          <w:caps w:val="0"/>
          <w:smallCaps w:val="0"/>
          <w:noProof w:val="0"/>
          <w:color w:val="000000" w:themeColor="text1" w:themeTint="FF" w:themeShade="FF"/>
          <w:sz w:val="22"/>
          <w:szCs w:val="22"/>
          <w:lang w:val="en-GB"/>
        </w:rPr>
        <w:t>assistance</w:t>
      </w:r>
      <w:r w:rsidRPr="4FE78457" w:rsidR="54A92A79">
        <w:rPr>
          <w:rFonts w:ascii="Arial" w:hAnsi="Arial" w:eastAsia="Arial" w:cs="Arial"/>
          <w:b w:val="0"/>
          <w:bCs w:val="0"/>
          <w:i w:val="0"/>
          <w:iCs w:val="0"/>
          <w:caps w:val="0"/>
          <w:smallCaps w:val="0"/>
          <w:noProof w:val="0"/>
          <w:color w:val="000000" w:themeColor="text1" w:themeTint="FF" w:themeShade="FF"/>
          <w:sz w:val="22"/>
          <w:szCs w:val="22"/>
          <w:lang w:val="en-GB"/>
        </w:rPr>
        <w:t xml:space="preserve"> in the health and social care contexts, practitioners in the field need theoretical foundations that can inform intervention, </w:t>
      </w:r>
      <w:r w:rsidRPr="4FE78457" w:rsidR="54A92A79">
        <w:rPr>
          <w:rFonts w:ascii="Arial" w:hAnsi="Arial" w:eastAsia="Arial" w:cs="Arial"/>
          <w:b w:val="0"/>
          <w:bCs w:val="0"/>
          <w:i w:val="0"/>
          <w:iCs w:val="0"/>
          <w:caps w:val="0"/>
          <w:smallCaps w:val="0"/>
          <w:noProof w:val="0"/>
          <w:color w:val="000000" w:themeColor="text1" w:themeTint="FF" w:themeShade="FF"/>
          <w:sz w:val="22"/>
          <w:szCs w:val="22"/>
          <w:lang w:val="en-GB"/>
        </w:rPr>
        <w:t>facilitate</w:t>
      </w:r>
      <w:r w:rsidRPr="4FE78457" w:rsidR="54A92A79">
        <w:rPr>
          <w:rFonts w:ascii="Arial" w:hAnsi="Arial" w:eastAsia="Arial" w:cs="Arial"/>
          <w:b w:val="0"/>
          <w:bCs w:val="0"/>
          <w:i w:val="0"/>
          <w:iCs w:val="0"/>
          <w:caps w:val="0"/>
          <w:smallCaps w:val="0"/>
          <w:noProof w:val="0"/>
          <w:color w:val="000000" w:themeColor="text1" w:themeTint="FF" w:themeShade="FF"/>
          <w:sz w:val="22"/>
          <w:szCs w:val="22"/>
          <w:lang w:val="en-GB"/>
        </w:rPr>
        <w:t xml:space="preserve"> psychological wellbeing and health-promoting behaviours. There are two psychological theories which </w:t>
      </w:r>
      <w:r w:rsidRPr="4FE78457" w:rsidR="54A92A79">
        <w:rPr>
          <w:rFonts w:ascii="Arial" w:hAnsi="Arial" w:eastAsia="Arial" w:cs="Arial"/>
          <w:b w:val="0"/>
          <w:bCs w:val="0"/>
          <w:i w:val="0"/>
          <w:iCs w:val="0"/>
          <w:caps w:val="0"/>
          <w:smallCaps w:val="0"/>
          <w:noProof w:val="0"/>
          <w:color w:val="000000" w:themeColor="text1" w:themeTint="FF" w:themeShade="FF"/>
          <w:sz w:val="22"/>
          <w:szCs w:val="22"/>
          <w:lang w:val="en-GB"/>
        </w:rPr>
        <w:t>provide</w:t>
      </w:r>
      <w:r w:rsidRPr="4FE78457" w:rsidR="54A92A79">
        <w:rPr>
          <w:rFonts w:ascii="Arial" w:hAnsi="Arial" w:eastAsia="Arial" w:cs="Arial"/>
          <w:b w:val="0"/>
          <w:bCs w:val="0"/>
          <w:i w:val="0"/>
          <w:iCs w:val="0"/>
          <w:caps w:val="0"/>
          <w:smallCaps w:val="0"/>
          <w:noProof w:val="0"/>
          <w:color w:val="000000" w:themeColor="text1" w:themeTint="FF" w:themeShade="FF"/>
          <w:sz w:val="22"/>
          <w:szCs w:val="22"/>
          <w:lang w:val="en-GB"/>
        </w:rPr>
        <w:t xml:space="preserve"> useful insights in this regard namely the Psychosocial Theory by Erikson (the last stage of the Integrity versus Despair) and Maslow's hierarchy of need. This report is intended to describe these two theories, </w:t>
      </w:r>
      <w:r w:rsidRPr="4FE78457" w:rsidR="54A92A79">
        <w:rPr>
          <w:rFonts w:ascii="Arial" w:hAnsi="Arial" w:eastAsia="Arial" w:cs="Arial"/>
          <w:b w:val="0"/>
          <w:bCs w:val="0"/>
          <w:i w:val="0"/>
          <w:iCs w:val="0"/>
          <w:caps w:val="0"/>
          <w:smallCaps w:val="0"/>
          <w:noProof w:val="0"/>
          <w:color w:val="000000" w:themeColor="text1" w:themeTint="FF" w:themeShade="FF"/>
          <w:sz w:val="22"/>
          <w:szCs w:val="22"/>
          <w:lang w:val="en-GB"/>
        </w:rPr>
        <w:t>demonstrate</w:t>
      </w:r>
      <w:r w:rsidRPr="4FE78457" w:rsidR="54A92A79">
        <w:rPr>
          <w:rFonts w:ascii="Arial" w:hAnsi="Arial" w:eastAsia="Arial" w:cs="Arial"/>
          <w:b w:val="0"/>
          <w:bCs w:val="0"/>
          <w:i w:val="0"/>
          <w:iCs w:val="0"/>
          <w:caps w:val="0"/>
          <w:smallCaps w:val="0"/>
          <w:noProof w:val="0"/>
          <w:color w:val="000000" w:themeColor="text1" w:themeTint="FF" w:themeShade="FF"/>
          <w:sz w:val="22"/>
          <w:szCs w:val="22"/>
          <w:lang w:val="en-GB"/>
        </w:rPr>
        <w:t xml:space="preserve"> how they can be </w:t>
      </w:r>
      <w:r w:rsidRPr="4FE78457" w:rsidR="54A92A79">
        <w:rPr>
          <w:rFonts w:ascii="Arial" w:hAnsi="Arial" w:eastAsia="Arial" w:cs="Arial"/>
          <w:b w:val="0"/>
          <w:bCs w:val="0"/>
          <w:i w:val="0"/>
          <w:iCs w:val="0"/>
          <w:caps w:val="0"/>
          <w:smallCaps w:val="0"/>
          <w:noProof w:val="0"/>
          <w:color w:val="000000" w:themeColor="text1" w:themeTint="FF" w:themeShade="FF"/>
          <w:sz w:val="22"/>
          <w:szCs w:val="22"/>
          <w:lang w:val="en-GB"/>
        </w:rPr>
        <w:t>utilized</w:t>
      </w:r>
      <w:r w:rsidRPr="4FE78457" w:rsidR="54A92A79">
        <w:rPr>
          <w:rFonts w:ascii="Arial" w:hAnsi="Arial" w:eastAsia="Arial" w:cs="Arial"/>
          <w:b w:val="0"/>
          <w:bCs w:val="0"/>
          <w:i w:val="0"/>
          <w:iCs w:val="0"/>
          <w:caps w:val="0"/>
          <w:smallCaps w:val="0"/>
          <w:noProof w:val="0"/>
          <w:color w:val="000000" w:themeColor="text1" w:themeTint="FF" w:themeShade="FF"/>
          <w:sz w:val="22"/>
          <w:szCs w:val="22"/>
          <w:lang w:val="en-GB"/>
        </w:rPr>
        <w:t xml:space="preserve"> in practice in a dementia care home setting, discuss the challenges that professionals might face, and recommend ways of dealing with them.</w:t>
      </w:r>
    </w:p>
    <w:p w:rsidR="54A92A79" w:rsidP="4FE78457" w:rsidRDefault="54A92A79" w14:paraId="62BCA7C0" w14:textId="6B31F241">
      <w:pPr>
        <w:pStyle w:val="Heading3"/>
        <w:keepNext w:val="1"/>
        <w:keepLines w:val="1"/>
        <w:spacing w:before="281" w:beforeAutospacing="off" w:after="281" w:afterAutospacing="off"/>
        <w:rPr>
          <w:rFonts w:ascii="Arial" w:hAnsi="Arial" w:eastAsia="Arial" w:cs="Arial"/>
          <w:b w:val="0"/>
          <w:bCs w:val="0"/>
          <w:i w:val="0"/>
          <w:iCs w:val="0"/>
          <w:caps w:val="0"/>
          <w:smallCaps w:val="0"/>
          <w:noProof w:val="0"/>
          <w:color w:val="0F4761" w:themeColor="accent1" w:themeTint="FF" w:themeShade="BF"/>
          <w:sz w:val="24"/>
          <w:szCs w:val="24"/>
          <w:lang w:val="en-GB"/>
        </w:rPr>
      </w:pPr>
      <w:r w:rsidRPr="4FE78457" w:rsidR="54A92A79">
        <w:rPr>
          <w:rFonts w:ascii="Arial" w:hAnsi="Arial" w:eastAsia="Arial" w:cs="Arial"/>
          <w:b w:val="1"/>
          <w:bCs w:val="1"/>
          <w:i w:val="0"/>
          <w:iCs w:val="0"/>
          <w:caps w:val="0"/>
          <w:smallCaps w:val="0"/>
          <w:noProof w:val="0"/>
          <w:color w:val="0F4761" w:themeColor="accent1" w:themeTint="FF" w:themeShade="BF"/>
          <w:sz w:val="24"/>
          <w:szCs w:val="24"/>
          <w:lang w:val="en-GB"/>
        </w:rPr>
        <w:t>Explanation of the Two Psychological Theories</w:t>
      </w:r>
    </w:p>
    <w:p w:rsidR="54A92A79" w:rsidP="4FE78457" w:rsidRDefault="54A92A79" w14:paraId="056142EC" w14:textId="3D34E695">
      <w:pPr>
        <w:pStyle w:val="Heading4"/>
        <w:keepNext w:val="1"/>
        <w:keepLines w:val="1"/>
        <w:spacing w:before="319" w:beforeAutospacing="off" w:after="319" w:afterAutospacing="off"/>
        <w:rPr>
          <w:rFonts w:ascii="Arial" w:hAnsi="Arial" w:eastAsia="Arial" w:cs="Arial"/>
          <w:b w:val="0"/>
          <w:bCs w:val="0"/>
          <w:i w:val="1"/>
          <w:iCs w:val="1"/>
          <w:caps w:val="0"/>
          <w:smallCaps w:val="0"/>
          <w:noProof w:val="0"/>
          <w:color w:val="0F4761" w:themeColor="accent1" w:themeTint="FF" w:themeShade="BF"/>
          <w:sz w:val="24"/>
          <w:szCs w:val="24"/>
          <w:lang w:val="en-GB"/>
        </w:rPr>
      </w:pPr>
      <w:r w:rsidRPr="4FE78457" w:rsidR="54A92A79">
        <w:rPr>
          <w:rFonts w:ascii="Arial" w:hAnsi="Arial" w:eastAsia="Arial" w:cs="Arial"/>
          <w:b w:val="1"/>
          <w:bCs w:val="1"/>
          <w:i w:val="0"/>
          <w:iCs w:val="0"/>
          <w:caps w:val="0"/>
          <w:smallCaps w:val="0"/>
          <w:noProof w:val="0"/>
          <w:color w:val="0F4761" w:themeColor="accent1" w:themeTint="FF" w:themeShade="BF"/>
          <w:sz w:val="24"/>
          <w:szCs w:val="24"/>
          <w:lang w:val="en-GB"/>
        </w:rPr>
        <w:t xml:space="preserve">Erikson’s Psychosocial Theory </w:t>
      </w:r>
    </w:p>
    <w:p w:rsidR="54A92A79" w:rsidP="4FE78457" w:rsidRDefault="54A92A79" w14:paraId="67DED386" w14:textId="17ED278D">
      <w:pPr>
        <w:spacing w:before="319" w:beforeAutospacing="off" w:after="319"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FE78457" w:rsidR="54A92A79">
        <w:rPr>
          <w:rFonts w:ascii="Arial" w:hAnsi="Arial" w:eastAsia="Arial" w:cs="Arial"/>
          <w:b w:val="0"/>
          <w:bCs w:val="0"/>
          <w:i w:val="0"/>
          <w:iCs w:val="0"/>
          <w:caps w:val="0"/>
          <w:smallCaps w:val="0"/>
          <w:noProof w:val="0"/>
          <w:color w:val="000000" w:themeColor="text1" w:themeTint="FF" w:themeShade="FF"/>
          <w:sz w:val="22"/>
          <w:szCs w:val="22"/>
          <w:lang w:val="en-GB"/>
        </w:rPr>
        <w:t>The model of lifespan development was developed by Erik Erikson, who introduced eight psychosocial stages of development, the last of which is Integrity vs. 65 or more. During this stage, the elderly also look back on their lives: on the one hand, when they attain integrity, they believe that their life makes sense, is complete and meaningful, and on the other hand, when they fall into despair, they focus on regrets, losses and the sense of wasted time. This is also empirically supported: an example is the fact that ego-integrity has a positive relationship with well-being and negative relationship with psychological distress in older adults.  The theory is also applicable even in care-home or dementia facilities since residents can continue participating in the psychological work of life review, identity and acceptance despite the cognitive decline (Gilleard, 2020).</w:t>
      </w:r>
    </w:p>
    <w:p w:rsidR="54A92A79" w:rsidP="4FE78457" w:rsidRDefault="54A92A79" w14:paraId="01586704" w14:textId="55CA50DD">
      <w:pPr>
        <w:rPr>
          <w:rFonts w:ascii="Arial" w:hAnsi="Arial" w:eastAsia="Arial" w:cs="Arial"/>
          <w:b w:val="0"/>
          <w:bCs w:val="0"/>
          <w:i w:val="0"/>
          <w:iCs w:val="0"/>
          <w:caps w:val="0"/>
          <w:smallCaps w:val="0"/>
          <w:noProof w:val="0"/>
          <w:color w:val="0F4761" w:themeColor="accent1" w:themeTint="FF" w:themeShade="BF"/>
          <w:sz w:val="24"/>
          <w:szCs w:val="24"/>
          <w:lang w:val="en-GB"/>
        </w:rPr>
      </w:pPr>
      <w:r w:rsidRPr="4FE78457" w:rsidR="54A92A79">
        <w:rPr>
          <w:rFonts w:ascii="Arial" w:hAnsi="Arial" w:eastAsia="Arial" w:cs="Arial"/>
          <w:b w:val="1"/>
          <w:bCs w:val="1"/>
          <w:i w:val="0"/>
          <w:iCs w:val="0"/>
          <w:caps w:val="0"/>
          <w:smallCaps w:val="0"/>
          <w:noProof w:val="0"/>
          <w:color w:val="0F4761" w:themeColor="accent1" w:themeTint="FF" w:themeShade="BF"/>
          <w:sz w:val="24"/>
          <w:szCs w:val="24"/>
          <w:lang w:val="en-GB"/>
        </w:rPr>
        <w:t>Maslow's hierarchy of need</w:t>
      </w:r>
    </w:p>
    <w:p w:rsidR="54A92A79" w:rsidP="4FE78457" w:rsidRDefault="54A92A79" w14:paraId="68235499" w14:textId="4AEBBD64">
      <w:pPr>
        <w:rPr>
          <w:rFonts w:ascii="Arial" w:hAnsi="Arial" w:eastAsia="Arial" w:cs="Arial"/>
          <w:b w:val="0"/>
          <w:bCs w:val="0"/>
          <w:i w:val="0"/>
          <w:iCs w:val="0"/>
          <w:caps w:val="0"/>
          <w:smallCaps w:val="0"/>
          <w:noProof w:val="0"/>
          <w:color w:val="000000" w:themeColor="text1" w:themeTint="FF" w:themeShade="FF"/>
          <w:sz w:val="22"/>
          <w:szCs w:val="22"/>
          <w:lang w:val="en-GB"/>
        </w:rPr>
      </w:pPr>
      <w:r w:rsidRPr="4FE78457" w:rsidR="54A92A79">
        <w:rPr>
          <w:rFonts w:ascii="Arial" w:hAnsi="Arial" w:eastAsia="Arial" w:cs="Arial"/>
          <w:b w:val="0"/>
          <w:bCs w:val="0"/>
          <w:i w:val="0"/>
          <w:iCs w:val="0"/>
          <w:caps w:val="0"/>
          <w:smallCaps w:val="0"/>
          <w:noProof w:val="0"/>
          <w:color w:val="000000" w:themeColor="text1" w:themeTint="FF" w:themeShade="FF"/>
          <w:sz w:val="22"/>
          <w:szCs w:val="22"/>
          <w:lang w:val="en-GB"/>
        </w:rPr>
        <w:t xml:space="preserve">Maslow's Hierarchy of Needs is a psychological theory that provides a description of five levels of human needs created by in 1943 and has a pyramidal shape. These are physiological, safety, love and belonging, esteem, and self-actualization. Maslow developed the theory that human beings should meet their needs at the lower level first before they can afford to concentrate on higher levels. </w:t>
      </w:r>
    </w:p>
    <w:p w:rsidR="54A92A79" w:rsidP="4FE78457" w:rsidRDefault="54A92A79" w14:paraId="1FA700B4" w14:textId="6BE79141">
      <w:pPr>
        <w:rPr>
          <w:rFonts w:ascii="Arial" w:hAnsi="Arial" w:eastAsia="Arial" w:cs="Arial"/>
          <w:b w:val="0"/>
          <w:bCs w:val="0"/>
          <w:i w:val="0"/>
          <w:iCs w:val="0"/>
          <w:caps w:val="0"/>
          <w:smallCaps w:val="0"/>
          <w:noProof w:val="0"/>
          <w:color w:val="000000" w:themeColor="text1" w:themeTint="FF" w:themeShade="FF"/>
          <w:sz w:val="22"/>
          <w:szCs w:val="22"/>
          <w:lang w:val="en-GB"/>
        </w:rPr>
      </w:pPr>
      <w:r w:rsidRPr="4FE78457" w:rsidR="54A92A79">
        <w:rPr>
          <w:rFonts w:ascii="Arial" w:hAnsi="Arial" w:eastAsia="Arial" w:cs="Arial"/>
          <w:b w:val="0"/>
          <w:bCs w:val="0"/>
          <w:i w:val="0"/>
          <w:iCs w:val="0"/>
          <w:caps w:val="0"/>
          <w:smallCaps w:val="0"/>
          <w:noProof w:val="0"/>
          <w:color w:val="000000" w:themeColor="text1" w:themeTint="FF" w:themeShade="FF"/>
          <w:sz w:val="22"/>
          <w:szCs w:val="22"/>
          <w:lang w:val="en-GB"/>
        </w:rPr>
        <w:t>This theory can be used in dementia care of patients aged 65 years and above as it offers a valuable model of comprehending how to offer holistic and person-centred care that enhances physical and emotional well-being.</w:t>
      </w:r>
    </w:p>
    <w:p w:rsidR="4FE78457" w:rsidP="4FE78457" w:rsidRDefault="4FE78457" w14:paraId="7C949FCB" w14:textId="3E9F0235">
      <w:pPr>
        <w:rPr>
          <w:rFonts w:ascii="Arial" w:hAnsi="Arial" w:eastAsia="Arial" w:cs="Arial"/>
          <w:b w:val="0"/>
          <w:bCs w:val="0"/>
          <w:i w:val="0"/>
          <w:iCs w:val="0"/>
          <w:caps w:val="0"/>
          <w:smallCaps w:val="0"/>
          <w:noProof w:val="0"/>
          <w:color w:val="000000" w:themeColor="text1" w:themeTint="FF" w:themeShade="FF"/>
          <w:sz w:val="22"/>
          <w:szCs w:val="22"/>
          <w:lang w:val="en-GB"/>
        </w:rPr>
      </w:pPr>
    </w:p>
    <w:p w:rsidR="70DB4956" w:rsidP="4FE78457" w:rsidRDefault="70DB4956" w14:paraId="2BDA7EBB" w14:textId="5F4B8935">
      <w:pPr>
        <w:pStyle w:val="Heading4"/>
        <w:keepNext w:val="1"/>
        <w:keepLines w:val="1"/>
        <w:spacing w:before="319" w:beforeAutospacing="off" w:after="319" w:afterAutospacing="off"/>
        <w:rPr>
          <w:rFonts w:ascii="Arial" w:hAnsi="Arial" w:eastAsia="Arial" w:cs="Arial"/>
          <w:b w:val="0"/>
          <w:bCs w:val="0"/>
          <w:i w:val="1"/>
          <w:iCs w:val="1"/>
          <w:caps w:val="0"/>
          <w:smallCaps w:val="0"/>
          <w:noProof w:val="0"/>
          <w:color w:val="0F4761" w:themeColor="accent1" w:themeTint="FF" w:themeShade="BF"/>
          <w:sz w:val="24"/>
          <w:szCs w:val="24"/>
          <w:lang w:val="en-GB"/>
        </w:rPr>
      </w:pPr>
      <w:r w:rsidRPr="4FE78457" w:rsidR="70DB4956">
        <w:rPr>
          <w:rFonts w:ascii="Arial" w:hAnsi="Arial" w:eastAsia="Arial" w:cs="Arial"/>
          <w:b w:val="1"/>
          <w:bCs w:val="1"/>
          <w:i w:val="0"/>
          <w:iCs w:val="0"/>
          <w:caps w:val="0"/>
          <w:smallCaps w:val="0"/>
          <w:noProof w:val="0"/>
          <w:color w:val="0F4761" w:themeColor="accent1" w:themeTint="FF" w:themeShade="BF"/>
          <w:sz w:val="24"/>
          <w:szCs w:val="24"/>
          <w:lang w:val="en-GB"/>
        </w:rPr>
        <w:t>Application of Erikson’s Theory in a Dementia Care Home</w:t>
      </w:r>
    </w:p>
    <w:p w:rsidR="70DB4956" w:rsidP="4FE78457" w:rsidRDefault="70DB4956" w14:paraId="5536B7DF" w14:textId="46A530C6">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FE78457" w:rsidR="70DB4956">
        <w:rPr>
          <w:rFonts w:ascii="Arial" w:hAnsi="Arial" w:eastAsia="Arial" w:cs="Arial"/>
          <w:b w:val="0"/>
          <w:bCs w:val="0"/>
          <w:i w:val="0"/>
          <w:iCs w:val="0"/>
          <w:caps w:val="0"/>
          <w:smallCaps w:val="0"/>
          <w:noProof w:val="0"/>
          <w:color w:val="000000" w:themeColor="text1" w:themeTint="FF" w:themeShade="FF"/>
          <w:sz w:val="22"/>
          <w:szCs w:val="22"/>
          <w:lang w:val="en-GB"/>
        </w:rPr>
        <w:t xml:space="preserve">Within a care home, where individuals have developed dementia, there might be cognitive impairment, loss of self, loss of roles, bereavement and growing dependence. According to Erikson, it is possible to support a sense of integrity (instead of despair) even with memory impaired through helping the patient review her life, locating her remaining strengths, and enhancing dignity and identity. </w:t>
      </w:r>
    </w:p>
    <w:p w:rsidR="70DB4956" w:rsidP="4FE78457" w:rsidRDefault="70DB4956" w14:paraId="51E1BE1D" w14:textId="7F6A6CF1">
      <w:pPr>
        <w:spacing w:before="240" w:beforeAutospacing="off" w:after="240" w:afterAutospacing="off"/>
        <w:rPr>
          <w:rFonts w:ascii="Arial" w:hAnsi="Arial" w:eastAsia="Arial" w:cs="Arial"/>
          <w:b w:val="0"/>
          <w:bCs w:val="0"/>
          <w:i w:val="0"/>
          <w:iCs w:val="0"/>
          <w:caps w:val="0"/>
          <w:smallCaps w:val="0"/>
          <w:noProof w:val="0"/>
          <w:color w:val="155F81"/>
          <w:sz w:val="24"/>
          <w:szCs w:val="24"/>
          <w:lang w:val="en-GB"/>
        </w:rPr>
      </w:pPr>
      <w:r w:rsidRPr="4FE78457" w:rsidR="70DB4956">
        <w:rPr>
          <w:rFonts w:ascii="Arial" w:hAnsi="Arial" w:eastAsia="Arial" w:cs="Arial"/>
          <w:b w:val="1"/>
          <w:bCs w:val="1"/>
          <w:i w:val="0"/>
          <w:iCs w:val="0"/>
          <w:caps w:val="0"/>
          <w:smallCaps w:val="0"/>
          <w:noProof w:val="0"/>
          <w:color w:val="155F81"/>
          <w:sz w:val="24"/>
          <w:szCs w:val="24"/>
          <w:lang w:val="en-GB"/>
        </w:rPr>
        <w:t>Application in Practice:</w:t>
      </w:r>
    </w:p>
    <w:p w:rsidR="70DB4956" w:rsidP="4FE78457" w:rsidRDefault="70DB4956" w14:paraId="37EC7406" w14:textId="45D6CA5C">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FE78457" w:rsidR="70DB4956">
        <w:rPr>
          <w:rFonts w:ascii="Arial" w:hAnsi="Arial" w:eastAsia="Arial" w:cs="Arial"/>
          <w:b w:val="0"/>
          <w:bCs w:val="0"/>
          <w:i w:val="0"/>
          <w:iCs w:val="0"/>
          <w:caps w:val="0"/>
          <w:smallCaps w:val="0"/>
          <w:noProof w:val="0"/>
          <w:color w:val="000000" w:themeColor="text1" w:themeTint="FF" w:themeShade="FF"/>
          <w:sz w:val="22"/>
          <w:szCs w:val="22"/>
          <w:lang w:val="en-GB"/>
        </w:rPr>
        <w:t>The last developmental stage of Erikson in a health and social care environment is his Integrity vs. Despair, which guides the professionals to realize that the older adults may tend to look back at their life experiences. They can be proud of their success (integrity) or can be sad and remorseful over the opportunities that they have lost (despair). Helping the elderly feel that they have a sense of integrity can enhance emotional health and decrease the incidence of depression or anxiety symptoms.</w:t>
      </w:r>
    </w:p>
    <w:p w:rsidR="70DB4956" w:rsidP="4FE78457" w:rsidRDefault="70DB4956" w14:paraId="2B52E078" w14:textId="6672B0AF">
      <w:pPr>
        <w:spacing w:before="240" w:beforeAutospacing="off" w:after="240" w:afterAutospacing="off"/>
        <w:rPr>
          <w:rFonts w:ascii="Arial" w:hAnsi="Arial" w:eastAsia="Arial" w:cs="Arial"/>
          <w:b w:val="0"/>
          <w:bCs w:val="0"/>
          <w:i w:val="0"/>
          <w:iCs w:val="0"/>
          <w:caps w:val="0"/>
          <w:smallCaps w:val="0"/>
          <w:noProof w:val="0"/>
          <w:color w:val="155F81"/>
          <w:sz w:val="24"/>
          <w:szCs w:val="24"/>
          <w:lang w:val="en-GB"/>
        </w:rPr>
      </w:pPr>
      <w:r w:rsidRPr="4FE78457" w:rsidR="70DB4956">
        <w:rPr>
          <w:rFonts w:ascii="Arial" w:hAnsi="Arial" w:eastAsia="Arial" w:cs="Arial"/>
          <w:b w:val="1"/>
          <w:bCs w:val="1"/>
          <w:i w:val="0"/>
          <w:iCs w:val="0"/>
          <w:caps w:val="0"/>
          <w:smallCaps w:val="0"/>
          <w:noProof w:val="0"/>
          <w:color w:val="155F81"/>
          <w:sz w:val="24"/>
          <w:szCs w:val="24"/>
          <w:lang w:val="en-GB"/>
        </w:rPr>
        <w:t>How it can be applied:</w:t>
      </w:r>
    </w:p>
    <w:p w:rsidR="70DB4956" w:rsidP="4FE78457" w:rsidRDefault="70DB4956" w14:paraId="3624EF88" w14:textId="0BBAD953">
      <w:pPr>
        <w:pStyle w:val="ListParagraph"/>
        <w:numPr>
          <w:ilvl w:val="0"/>
          <w:numId w:val="1"/>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FE78457" w:rsidR="70DB4956">
        <w:rPr>
          <w:rFonts w:ascii="Arial" w:hAnsi="Arial" w:eastAsia="Arial" w:cs="Arial"/>
          <w:b w:val="1"/>
          <w:bCs w:val="1"/>
          <w:i w:val="0"/>
          <w:iCs w:val="0"/>
          <w:caps w:val="0"/>
          <w:smallCaps w:val="0"/>
          <w:noProof w:val="0"/>
          <w:color w:val="000000" w:themeColor="text1" w:themeTint="FF" w:themeShade="FF"/>
          <w:sz w:val="22"/>
          <w:szCs w:val="22"/>
          <w:lang w:val="en-GB"/>
        </w:rPr>
        <w:t>Reminiscence therapy</w:t>
      </w:r>
      <w:r w:rsidRPr="4FE78457" w:rsidR="70DB4956">
        <w:rPr>
          <w:rFonts w:ascii="Arial" w:hAnsi="Arial" w:eastAsia="Arial" w:cs="Arial"/>
          <w:b w:val="0"/>
          <w:bCs w:val="0"/>
          <w:i w:val="0"/>
          <w:iCs w:val="0"/>
          <w:caps w:val="0"/>
          <w:smallCaps w:val="0"/>
          <w:noProof w:val="0"/>
          <w:color w:val="000000" w:themeColor="text1" w:themeTint="FF" w:themeShade="FF"/>
          <w:sz w:val="22"/>
          <w:szCs w:val="22"/>
          <w:lang w:val="en-GB"/>
        </w:rPr>
        <w:t xml:space="preserve"> can be used in care homes or day centres, where care staff encourage older adults to share life stories, photos, music, or meaningful objects from their past. This helps them feel valued, strengthens identity, and fosters positive emotions.</w:t>
      </w:r>
    </w:p>
    <w:p w:rsidR="70DB4956" w:rsidP="4FE78457" w:rsidRDefault="70DB4956" w14:paraId="0848DD64" w14:textId="4DD06A57">
      <w:pPr>
        <w:pStyle w:val="ListParagraph"/>
        <w:numPr>
          <w:ilvl w:val="0"/>
          <w:numId w:val="1"/>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FE78457" w:rsidR="70DB4956">
        <w:rPr>
          <w:rFonts w:ascii="Arial" w:hAnsi="Arial" w:eastAsia="Arial" w:cs="Arial"/>
          <w:b w:val="1"/>
          <w:bCs w:val="1"/>
          <w:i w:val="0"/>
          <w:iCs w:val="0"/>
          <w:caps w:val="0"/>
          <w:smallCaps w:val="0"/>
          <w:noProof w:val="0"/>
          <w:color w:val="000000" w:themeColor="text1" w:themeTint="FF" w:themeShade="FF"/>
          <w:sz w:val="22"/>
          <w:szCs w:val="22"/>
          <w:lang w:val="en-GB"/>
        </w:rPr>
        <w:t>Life story work</w:t>
      </w:r>
      <w:r w:rsidRPr="4FE78457" w:rsidR="70DB4956">
        <w:rPr>
          <w:rFonts w:ascii="Arial" w:hAnsi="Arial" w:eastAsia="Arial" w:cs="Arial"/>
          <w:b w:val="0"/>
          <w:bCs w:val="0"/>
          <w:i w:val="0"/>
          <w:iCs w:val="0"/>
          <w:caps w:val="0"/>
          <w:smallCaps w:val="0"/>
          <w:noProof w:val="0"/>
          <w:color w:val="000000" w:themeColor="text1" w:themeTint="FF" w:themeShade="FF"/>
          <w:sz w:val="22"/>
          <w:szCs w:val="22"/>
          <w:lang w:val="en-GB"/>
        </w:rPr>
        <w:t xml:space="preserve"> can be incorporated into personalised care planning to help staff understand each person’s background, preferences, and values, promoting dignity and respect.</w:t>
      </w:r>
    </w:p>
    <w:p w:rsidR="70DB4956" w:rsidP="4FE78457" w:rsidRDefault="70DB4956" w14:paraId="05E6F3F1" w14:textId="48A19D06">
      <w:pPr>
        <w:pStyle w:val="ListParagraph"/>
        <w:numPr>
          <w:ilvl w:val="0"/>
          <w:numId w:val="1"/>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FE78457" w:rsidR="70DB4956">
        <w:rPr>
          <w:rFonts w:ascii="Arial" w:hAnsi="Arial" w:eastAsia="Arial" w:cs="Arial"/>
          <w:b w:val="1"/>
          <w:bCs w:val="1"/>
          <w:i w:val="0"/>
          <w:iCs w:val="0"/>
          <w:caps w:val="0"/>
          <w:smallCaps w:val="0"/>
          <w:noProof w:val="0"/>
          <w:color w:val="000000" w:themeColor="text1" w:themeTint="FF" w:themeShade="FF"/>
          <w:sz w:val="22"/>
          <w:szCs w:val="22"/>
          <w:lang w:val="en-GB"/>
        </w:rPr>
        <w:t>Encouraging purposeful activities</w:t>
      </w:r>
      <w:r w:rsidRPr="4FE78457" w:rsidR="70DB4956">
        <w:rPr>
          <w:rFonts w:ascii="Arial" w:hAnsi="Arial" w:eastAsia="Arial" w:cs="Arial"/>
          <w:b w:val="0"/>
          <w:bCs w:val="0"/>
          <w:i w:val="0"/>
          <w:iCs w:val="0"/>
          <w:caps w:val="0"/>
          <w:smallCaps w:val="0"/>
          <w:noProof w:val="0"/>
          <w:color w:val="000000" w:themeColor="text1" w:themeTint="FF" w:themeShade="FF"/>
          <w:sz w:val="22"/>
          <w:szCs w:val="22"/>
          <w:lang w:val="en-GB"/>
        </w:rPr>
        <w:t xml:space="preserve"> such as volunteering, mentoring, or participating in community projects helps maintain a sense of usefulness and social connection.</w:t>
      </w:r>
    </w:p>
    <w:p w:rsidR="70DB4956" w:rsidP="4FE78457" w:rsidRDefault="70DB4956" w14:paraId="31BA0825" w14:textId="6492D2C9">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FE78457" w:rsidR="70DB4956">
        <w:rPr>
          <w:rFonts w:ascii="Arial" w:hAnsi="Arial" w:eastAsia="Arial" w:cs="Arial"/>
          <w:b w:val="1"/>
          <w:bCs w:val="1"/>
          <w:i w:val="0"/>
          <w:iCs w:val="0"/>
          <w:caps w:val="0"/>
          <w:smallCaps w:val="0"/>
          <w:noProof w:val="0"/>
          <w:color w:val="155F81"/>
          <w:sz w:val="24"/>
          <w:szCs w:val="24"/>
          <w:lang w:val="en-GB"/>
        </w:rPr>
        <w:t>Practical Example:</w:t>
      </w:r>
      <w:r>
        <w:br/>
      </w:r>
      <w:r w:rsidRPr="4FE78457" w:rsidR="70DB4956">
        <w:rPr>
          <w:rFonts w:ascii="Arial" w:hAnsi="Arial" w:eastAsia="Arial" w:cs="Arial"/>
          <w:b w:val="0"/>
          <w:bCs w:val="0"/>
          <w:i w:val="0"/>
          <w:iCs w:val="0"/>
          <w:caps w:val="0"/>
          <w:smallCaps w:val="0"/>
          <w:noProof w:val="0"/>
          <w:color w:val="000000" w:themeColor="text1" w:themeTint="FF" w:themeShade="FF"/>
          <w:sz w:val="22"/>
          <w:szCs w:val="22"/>
          <w:lang w:val="en-GB"/>
        </w:rPr>
        <w:t>A 70-year-old man in a nursing facility is depressed and withdrawn due to the loss of his wife. A care worker employs reminiscence therapy wherein he discusses with him; the years he spent as a teacher and the children he served. They make him a book of life which contains photos and memories of his career. As time passes, he starts telling stories of others he lives with, and he gains confidence and gets life in his previous accomplishments out of the sense of hopelessness to that of integrity.</w:t>
      </w:r>
    </w:p>
    <w:p w:rsidR="70DB4956" w:rsidP="4FE78457" w:rsidRDefault="70DB4956" w14:paraId="41CB266F" w14:textId="57F59595">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FE78457" w:rsidR="70DB4956">
        <w:rPr>
          <w:rFonts w:ascii="Arial" w:hAnsi="Arial" w:eastAsia="Arial" w:cs="Arial"/>
          <w:b w:val="1"/>
          <w:bCs w:val="1"/>
          <w:i w:val="0"/>
          <w:iCs w:val="0"/>
          <w:caps w:val="0"/>
          <w:smallCaps w:val="0"/>
          <w:noProof w:val="0"/>
          <w:color w:val="155F81"/>
          <w:sz w:val="24"/>
          <w:szCs w:val="24"/>
          <w:lang w:val="en-GB"/>
        </w:rPr>
        <w:t>Impact:</w:t>
      </w:r>
      <w:r>
        <w:br/>
      </w:r>
      <w:r w:rsidRPr="4FE78457" w:rsidR="70DB4956">
        <w:rPr>
          <w:rFonts w:ascii="Arial" w:hAnsi="Arial" w:eastAsia="Arial" w:cs="Arial"/>
          <w:b w:val="0"/>
          <w:bCs w:val="0"/>
          <w:i w:val="0"/>
          <w:iCs w:val="0"/>
          <w:caps w:val="0"/>
          <w:smallCaps w:val="0"/>
          <w:noProof w:val="0"/>
          <w:color w:val="000000" w:themeColor="text1" w:themeTint="FF" w:themeShade="FF"/>
          <w:sz w:val="22"/>
          <w:szCs w:val="22"/>
          <w:lang w:val="en-GB"/>
        </w:rPr>
        <w:t>This approach supports emotional adjustment, reduces loneliness, and enhances self-esteem, aligning with Erikson’s emphasis on achieving life satisfaction in older age.</w:t>
      </w:r>
    </w:p>
    <w:p w:rsidR="70DB4956" w:rsidP="4FE78457" w:rsidRDefault="70DB4956" w14:paraId="031DB3BF" w14:textId="64614301">
      <w:pPr>
        <w:spacing w:before="240" w:beforeAutospacing="off" w:after="240" w:afterAutospacing="off"/>
        <w:rPr>
          <w:rFonts w:ascii="Arial" w:hAnsi="Arial" w:eastAsia="Arial" w:cs="Arial"/>
          <w:b w:val="0"/>
          <w:bCs w:val="0"/>
          <w:i w:val="0"/>
          <w:iCs w:val="0"/>
          <w:caps w:val="0"/>
          <w:smallCaps w:val="0"/>
          <w:noProof w:val="0"/>
          <w:color w:val="155F81"/>
          <w:sz w:val="24"/>
          <w:szCs w:val="24"/>
          <w:lang w:val="en-GB"/>
        </w:rPr>
      </w:pPr>
      <w:r w:rsidRPr="4FE78457" w:rsidR="70DB4956">
        <w:rPr>
          <w:rFonts w:ascii="Arial" w:hAnsi="Arial" w:eastAsia="Arial" w:cs="Arial"/>
          <w:b w:val="1"/>
          <w:bCs w:val="1"/>
          <w:i w:val="0"/>
          <w:iCs w:val="0"/>
          <w:caps w:val="0"/>
          <w:smallCaps w:val="0"/>
          <w:noProof w:val="0"/>
          <w:color w:val="155F81"/>
          <w:sz w:val="24"/>
          <w:szCs w:val="24"/>
          <w:lang w:val="en-GB"/>
        </w:rPr>
        <w:t>Application of Maslow’s Theory in a Dementia Care Home</w:t>
      </w:r>
    </w:p>
    <w:p w:rsidR="70DB4956" w:rsidP="4FE78457" w:rsidRDefault="70DB4956" w14:paraId="162EC04F" w14:textId="6765AC68">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FE78457" w:rsidR="70DB4956">
        <w:rPr>
          <w:rFonts w:ascii="Arial" w:hAnsi="Arial" w:eastAsia="Arial" w:cs="Arial"/>
          <w:b w:val="0"/>
          <w:bCs w:val="0"/>
          <w:i w:val="0"/>
          <w:iCs w:val="0"/>
          <w:caps w:val="0"/>
          <w:smallCaps w:val="0"/>
          <w:noProof w:val="0"/>
          <w:color w:val="000000" w:themeColor="text1" w:themeTint="FF" w:themeShade="FF"/>
          <w:sz w:val="22"/>
          <w:szCs w:val="22"/>
          <w:lang w:val="en-GB"/>
        </w:rPr>
        <w:t>Maslow, A.H. (1943) The Theory of Maslow is applicable in the dementia care home, through addressing the physical, emotional, and psychological needs of the residents to improve their well-being. Person-centred dementia care based on Maslow’s theory ensures that individuals aged 65 and over are supported to live with comfort, respect, and purpose throughout all stages of the condition.</w:t>
      </w:r>
    </w:p>
    <w:p w:rsidR="70DB4956" w:rsidP="4FE78457" w:rsidRDefault="70DB4956" w14:paraId="5308D375" w14:textId="183CD6F3">
      <w:pPr>
        <w:spacing w:before="240" w:beforeAutospacing="off" w:after="240" w:afterAutospacing="off"/>
        <w:rPr>
          <w:rFonts w:ascii="Arial" w:hAnsi="Arial" w:eastAsia="Arial" w:cs="Arial"/>
          <w:b w:val="0"/>
          <w:bCs w:val="0"/>
          <w:i w:val="0"/>
          <w:iCs w:val="0"/>
          <w:caps w:val="0"/>
          <w:smallCaps w:val="0"/>
          <w:noProof w:val="0"/>
          <w:color w:val="155F81"/>
          <w:sz w:val="24"/>
          <w:szCs w:val="24"/>
          <w:lang w:val="en-GB"/>
        </w:rPr>
      </w:pPr>
      <w:r w:rsidRPr="4FE78457" w:rsidR="70DB4956">
        <w:rPr>
          <w:rFonts w:ascii="Arial" w:hAnsi="Arial" w:eastAsia="Arial" w:cs="Arial"/>
          <w:b w:val="1"/>
          <w:bCs w:val="1"/>
          <w:i w:val="0"/>
          <w:iCs w:val="0"/>
          <w:caps w:val="0"/>
          <w:smallCaps w:val="0"/>
          <w:noProof w:val="0"/>
          <w:color w:val="155F81"/>
          <w:sz w:val="24"/>
          <w:szCs w:val="24"/>
          <w:lang w:val="en-GB"/>
        </w:rPr>
        <w:t>Practical Example</w:t>
      </w:r>
      <w:r w:rsidRPr="4FE78457" w:rsidR="70DB4956">
        <w:rPr>
          <w:rFonts w:ascii="Arial" w:hAnsi="Arial" w:eastAsia="Arial" w:cs="Arial"/>
          <w:b w:val="0"/>
          <w:bCs w:val="0"/>
          <w:i w:val="0"/>
          <w:iCs w:val="0"/>
          <w:caps w:val="0"/>
          <w:smallCaps w:val="0"/>
          <w:noProof w:val="0"/>
          <w:color w:val="155F81"/>
          <w:sz w:val="24"/>
          <w:szCs w:val="24"/>
          <w:lang w:val="en-GB"/>
        </w:rPr>
        <w:t xml:space="preserve">: </w:t>
      </w:r>
    </w:p>
    <w:p w:rsidR="70DB4956" w:rsidP="4FE78457" w:rsidRDefault="70DB4956" w14:paraId="359975C8" w14:textId="0DDEE725">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FE78457" w:rsidR="70DB4956">
        <w:rPr>
          <w:rFonts w:ascii="Arial" w:hAnsi="Arial" w:eastAsia="Arial" w:cs="Arial"/>
          <w:b w:val="0"/>
          <w:bCs w:val="0"/>
          <w:i w:val="0"/>
          <w:iCs w:val="0"/>
          <w:caps w:val="0"/>
          <w:smallCaps w:val="0"/>
          <w:noProof w:val="0"/>
          <w:color w:val="000000" w:themeColor="text1" w:themeTint="FF" w:themeShade="FF"/>
          <w:sz w:val="22"/>
          <w:szCs w:val="22"/>
          <w:lang w:val="en-GB"/>
        </w:rPr>
        <w:t>At the age of 78, Mrs. Jones forgets to eat or drink. The care staff feeds her with small, frequent meals and beverages throughout the day, and they sit with her during her meals as a way of encouraging her. They make sure that her room is heated, hygienic, and comfortable and assist her in bathing without compromising on her dignity.</w:t>
      </w:r>
    </w:p>
    <w:p w:rsidR="70DB4956" w:rsidP="4FE78457" w:rsidRDefault="70DB4956" w14:paraId="000BD6FA" w14:textId="2C440A77">
      <w:pPr>
        <w:spacing w:before="240" w:beforeAutospacing="off" w:after="240" w:afterAutospacing="off"/>
        <w:rPr>
          <w:rFonts w:ascii="Arial" w:hAnsi="Arial" w:eastAsia="Arial" w:cs="Arial"/>
          <w:b w:val="0"/>
          <w:bCs w:val="0"/>
          <w:i w:val="0"/>
          <w:iCs w:val="0"/>
          <w:caps w:val="0"/>
          <w:smallCaps w:val="0"/>
          <w:noProof w:val="0"/>
          <w:color w:val="155F81"/>
          <w:sz w:val="24"/>
          <w:szCs w:val="24"/>
          <w:lang w:val="en-GB"/>
        </w:rPr>
      </w:pPr>
      <w:r w:rsidRPr="4FE78457" w:rsidR="70DB4956">
        <w:rPr>
          <w:rFonts w:ascii="Arial" w:hAnsi="Arial" w:eastAsia="Arial" w:cs="Arial"/>
          <w:b w:val="1"/>
          <w:bCs w:val="1"/>
          <w:i w:val="0"/>
          <w:iCs w:val="0"/>
          <w:caps w:val="0"/>
          <w:smallCaps w:val="0"/>
          <w:noProof w:val="0"/>
          <w:color w:val="155F81"/>
          <w:sz w:val="24"/>
          <w:szCs w:val="24"/>
          <w:lang w:val="en-GB"/>
        </w:rPr>
        <w:t>How it can be applied:</w:t>
      </w:r>
      <w:r w:rsidRPr="4FE78457" w:rsidR="70DB4956">
        <w:rPr>
          <w:rFonts w:ascii="Arial" w:hAnsi="Arial" w:eastAsia="Arial" w:cs="Arial"/>
          <w:b w:val="0"/>
          <w:bCs w:val="0"/>
          <w:i w:val="0"/>
          <w:iCs w:val="0"/>
          <w:caps w:val="0"/>
          <w:smallCaps w:val="0"/>
          <w:noProof w:val="0"/>
          <w:color w:val="155F81"/>
          <w:sz w:val="24"/>
          <w:szCs w:val="24"/>
          <w:lang w:val="en-GB"/>
        </w:rPr>
        <w:t xml:space="preserve"> </w:t>
      </w:r>
    </w:p>
    <w:p w:rsidR="70DB4956" w:rsidP="4FE78457" w:rsidRDefault="70DB4956" w14:paraId="0BB89517" w14:textId="05C1BB22">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FE78457" w:rsidR="70DB4956">
        <w:rPr>
          <w:rFonts w:ascii="Arial" w:hAnsi="Arial" w:eastAsia="Arial" w:cs="Arial"/>
          <w:b w:val="0"/>
          <w:bCs w:val="0"/>
          <w:i w:val="0"/>
          <w:iCs w:val="0"/>
          <w:caps w:val="0"/>
          <w:smallCaps w:val="0"/>
          <w:noProof w:val="0"/>
          <w:color w:val="000000" w:themeColor="text1" w:themeTint="FF" w:themeShade="FF"/>
          <w:sz w:val="22"/>
          <w:szCs w:val="22"/>
          <w:lang w:val="en-GB"/>
        </w:rPr>
        <w:t>To address physiological needs, employees must take frequent meals, drink water, sleep, and clean their bodies and provide a healthy and safe work environment where routines and schedules are regular and routine to facilitate a sense of security. Love and belonging are encouraged by encouraging family visits, social activities, and caring relationships as well as independence and the recognition of achievements promotes the development of self-esteem. Last but not the least, the creative, spiritual and purposeful activities should be offered to enable residents to express themselves and be fulfilled to preserve their identity and dignity</w:t>
      </w:r>
      <w:r w:rsidRPr="4FE78457" w:rsidR="70DB4956">
        <w:rPr>
          <w:rFonts w:ascii="Aptos" w:hAnsi="Aptos" w:eastAsia="Aptos" w:cs="Aptos"/>
          <w:b w:val="0"/>
          <w:bCs w:val="0"/>
          <w:i w:val="0"/>
          <w:iCs w:val="0"/>
          <w:caps w:val="0"/>
          <w:smallCaps w:val="0"/>
          <w:noProof w:val="0"/>
          <w:color w:val="000000" w:themeColor="text1" w:themeTint="FF" w:themeShade="FF"/>
          <w:sz w:val="24"/>
          <w:szCs w:val="24"/>
          <w:lang w:val="en-GB"/>
        </w:rPr>
        <w:t xml:space="preserve"> McLeod, S. (2023)</w:t>
      </w:r>
      <w:r w:rsidRPr="4FE78457" w:rsidR="70DB4956">
        <w:rPr>
          <w:rFonts w:ascii="Arial" w:hAnsi="Arial" w:eastAsia="Arial" w:cs="Arial"/>
          <w:b w:val="0"/>
          <w:bCs w:val="0"/>
          <w:i w:val="0"/>
          <w:iCs w:val="0"/>
          <w:caps w:val="0"/>
          <w:smallCaps w:val="0"/>
          <w:noProof w:val="0"/>
          <w:color w:val="000000" w:themeColor="text1" w:themeTint="FF" w:themeShade="FF"/>
          <w:sz w:val="22"/>
          <w:szCs w:val="22"/>
          <w:lang w:val="en-GB"/>
        </w:rPr>
        <w:t>.</w:t>
      </w:r>
    </w:p>
    <w:p w:rsidR="4FE78457" w:rsidP="4FE78457" w:rsidRDefault="4FE78457" w14:paraId="2DD4315D" w14:textId="75762328">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70DB4956" w:rsidP="4FE78457" w:rsidRDefault="70DB4956" w14:paraId="14533C1A" w14:textId="4C75D40E">
      <w:pPr>
        <w:pStyle w:val="Heading3"/>
        <w:keepNext w:val="1"/>
        <w:keepLines w:val="1"/>
        <w:spacing w:before="281" w:beforeAutospacing="off" w:after="281" w:afterAutospacing="off"/>
        <w:rPr>
          <w:rFonts w:ascii="Arial" w:hAnsi="Arial" w:eastAsia="Arial" w:cs="Arial"/>
          <w:b w:val="0"/>
          <w:bCs w:val="0"/>
          <w:i w:val="0"/>
          <w:iCs w:val="0"/>
          <w:caps w:val="0"/>
          <w:smallCaps w:val="0"/>
          <w:noProof w:val="0"/>
          <w:color w:val="0F4761" w:themeColor="accent1" w:themeTint="FF" w:themeShade="BF"/>
          <w:sz w:val="24"/>
          <w:szCs w:val="24"/>
          <w:lang w:val="en-GB"/>
        </w:rPr>
      </w:pPr>
      <w:r w:rsidRPr="4FE78457" w:rsidR="70DB4956">
        <w:rPr>
          <w:rFonts w:ascii="Arial" w:hAnsi="Arial" w:eastAsia="Arial" w:cs="Arial"/>
          <w:b w:val="1"/>
          <w:bCs w:val="1"/>
          <w:i w:val="0"/>
          <w:iCs w:val="0"/>
          <w:caps w:val="0"/>
          <w:smallCaps w:val="0"/>
          <w:noProof w:val="0"/>
          <w:color w:val="0F4761" w:themeColor="accent1" w:themeTint="FF" w:themeShade="BF"/>
          <w:sz w:val="24"/>
          <w:szCs w:val="24"/>
          <w:lang w:val="en-GB"/>
        </w:rPr>
        <w:t>Challenges for Professionals and Strategies to Manage Them</w:t>
      </w:r>
    </w:p>
    <w:p w:rsidR="70DB4956" w:rsidP="4FE78457" w:rsidRDefault="70DB4956" w14:paraId="5C23EBD7" w14:textId="07A24F9A">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FE78457" w:rsidR="70DB4956">
        <w:rPr>
          <w:rFonts w:ascii="Arial" w:hAnsi="Arial" w:eastAsia="Arial" w:cs="Arial"/>
          <w:b w:val="0"/>
          <w:bCs w:val="0"/>
          <w:i w:val="0"/>
          <w:iCs w:val="0"/>
          <w:caps w:val="0"/>
          <w:smallCaps w:val="0"/>
          <w:noProof w:val="0"/>
          <w:color w:val="000000" w:themeColor="text1" w:themeTint="FF" w:themeShade="FF"/>
          <w:sz w:val="22"/>
          <w:szCs w:val="22"/>
          <w:lang w:val="en-GB"/>
        </w:rPr>
        <w:t>When using these theoretical frameworks in a dementia care home, professionals may face several challenges.</w:t>
      </w:r>
    </w:p>
    <w:p w:rsidR="70DB4956" w:rsidP="4FE78457" w:rsidRDefault="70DB4956" w14:paraId="562DB9AC" w14:textId="423E1062">
      <w:pPr>
        <w:pStyle w:val="Heading4"/>
        <w:keepNext w:val="1"/>
        <w:keepLines w:val="1"/>
        <w:spacing w:before="319" w:beforeAutospacing="off" w:after="319" w:afterAutospacing="off"/>
        <w:rPr>
          <w:rFonts w:ascii="Arial" w:hAnsi="Arial" w:eastAsia="Arial" w:cs="Arial"/>
          <w:b w:val="0"/>
          <w:bCs w:val="0"/>
          <w:i w:val="1"/>
          <w:iCs w:val="1"/>
          <w:caps w:val="0"/>
          <w:smallCaps w:val="0"/>
          <w:noProof w:val="0"/>
          <w:color w:val="155F81"/>
          <w:sz w:val="24"/>
          <w:szCs w:val="24"/>
          <w:lang w:val="en-GB"/>
        </w:rPr>
      </w:pPr>
      <w:r w:rsidRPr="4FE78457" w:rsidR="70DB4956">
        <w:rPr>
          <w:rFonts w:ascii="Arial" w:hAnsi="Arial" w:eastAsia="Arial" w:cs="Arial"/>
          <w:b w:val="1"/>
          <w:bCs w:val="1"/>
          <w:i w:val="0"/>
          <w:iCs w:val="0"/>
          <w:caps w:val="0"/>
          <w:smallCaps w:val="0"/>
          <w:noProof w:val="0"/>
          <w:color w:val="155F81"/>
          <w:sz w:val="24"/>
          <w:szCs w:val="24"/>
          <w:lang w:val="en-GB"/>
        </w:rPr>
        <w:t>Challenges applying Erikson’s Theory</w:t>
      </w:r>
    </w:p>
    <w:p w:rsidR="70DB4956" w:rsidP="4FE78457" w:rsidRDefault="70DB4956" w14:paraId="3B91BE12" w14:textId="2369F6B8">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4FE78457" w:rsidR="70DB4956">
        <w:rPr>
          <w:rFonts w:ascii="Arial" w:hAnsi="Arial" w:eastAsia="Arial" w:cs="Arial"/>
          <w:b w:val="0"/>
          <w:bCs w:val="0"/>
          <w:i w:val="0"/>
          <w:iCs w:val="0"/>
          <w:caps w:val="0"/>
          <w:smallCaps w:val="0"/>
          <w:noProof w:val="0"/>
          <w:color w:val="000000" w:themeColor="text1" w:themeTint="FF" w:themeShade="FF"/>
          <w:sz w:val="22"/>
          <w:szCs w:val="22"/>
          <w:lang w:val="en-GB"/>
        </w:rPr>
        <w:t xml:space="preserve">It is because of memory loss that residents of a dementia care facility may be facing mental deficiency and not having the capacity to review their life traditionally thus </w:t>
      </w:r>
      <w:r w:rsidRPr="4FE78457" w:rsidR="70DB4956">
        <w:rPr>
          <w:rFonts w:ascii="Arial" w:hAnsi="Arial" w:eastAsia="Arial" w:cs="Arial"/>
          <w:b w:val="0"/>
          <w:bCs w:val="0"/>
          <w:i w:val="0"/>
          <w:iCs w:val="0"/>
          <w:caps w:val="0"/>
          <w:smallCaps w:val="0"/>
          <w:noProof w:val="0"/>
          <w:color w:val="000000" w:themeColor="text1" w:themeTint="FF" w:themeShade="FF"/>
          <w:sz w:val="22"/>
          <w:szCs w:val="22"/>
          <w:lang w:val="en-GB"/>
        </w:rPr>
        <w:t>rendering</w:t>
      </w:r>
      <w:r w:rsidRPr="4FE78457" w:rsidR="70DB4956">
        <w:rPr>
          <w:rFonts w:ascii="Arial" w:hAnsi="Arial" w:eastAsia="Arial" w:cs="Arial"/>
          <w:b w:val="0"/>
          <w:bCs w:val="0"/>
          <w:i w:val="0"/>
          <w:iCs w:val="0"/>
          <w:caps w:val="0"/>
          <w:smallCaps w:val="0"/>
          <w:noProof w:val="0"/>
          <w:color w:val="000000" w:themeColor="text1" w:themeTint="FF" w:themeShade="FF"/>
          <w:sz w:val="22"/>
          <w:szCs w:val="22"/>
          <w:lang w:val="en-GB"/>
        </w:rPr>
        <w:t xml:space="preserve"> it hard to get them to reminiscence. This is enhanced further when emotional distress is awakened by reminiscence because looking back at what one regrets or has lost can result into feelings of despair and not integrity. In the meantime, time and resource restrictions in the home setting can often entail staff not having enough time to engage in </w:t>
      </w:r>
      <w:r w:rsidRPr="4FE78457" w:rsidR="621C7A3C">
        <w:rPr>
          <w:rFonts w:ascii="Arial" w:hAnsi="Arial" w:eastAsia="Arial" w:cs="Arial"/>
          <w:b w:val="0"/>
          <w:bCs w:val="0"/>
          <w:i w:val="0"/>
          <w:iCs w:val="0"/>
          <w:caps w:val="0"/>
          <w:smallCaps w:val="0"/>
          <w:noProof w:val="0"/>
          <w:color w:val="000000" w:themeColor="text1" w:themeTint="FF" w:themeShade="FF"/>
          <w:sz w:val="22"/>
          <w:szCs w:val="22"/>
          <w:lang w:val="en-GB"/>
        </w:rPr>
        <w:t>intensive</w:t>
      </w:r>
      <w:r w:rsidRPr="4FE78457" w:rsidR="621C7A3C">
        <w:rPr>
          <w:rFonts w:ascii="Arial" w:hAnsi="Arial" w:eastAsia="Arial" w:cs="Arial"/>
          <w:b w:val="0"/>
          <w:bCs w:val="0"/>
          <w:i w:val="0"/>
          <w:iCs w:val="0"/>
          <w:caps w:val="0"/>
          <w:smallCaps w:val="0"/>
          <w:noProof w:val="0"/>
          <w:color w:val="000000" w:themeColor="text1" w:themeTint="FF" w:themeShade="FF"/>
          <w:sz w:val="22"/>
          <w:szCs w:val="22"/>
          <w:lang w:val="en-GB"/>
        </w:rPr>
        <w:t xml:space="preserve"> life story</w:t>
      </w:r>
      <w:r w:rsidRPr="4FE78457" w:rsidR="70DB495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4FE78457" w:rsidR="70DB4956">
        <w:rPr>
          <w:rFonts w:ascii="Arial" w:hAnsi="Arial" w:eastAsia="Arial" w:cs="Arial"/>
          <w:b w:val="0"/>
          <w:bCs w:val="0"/>
          <w:i w:val="0"/>
          <w:iCs w:val="0"/>
          <w:caps w:val="0"/>
          <w:smallCaps w:val="0"/>
          <w:noProof w:val="0"/>
          <w:color w:val="000000" w:themeColor="text1" w:themeTint="FF" w:themeShade="FF"/>
          <w:sz w:val="22"/>
          <w:szCs w:val="22"/>
          <w:lang w:val="en-GB"/>
        </w:rPr>
        <w:t>work, and cultural and personal sensitivity concerns can result in the fact that life-review prompts unwittingly corroborate the background or emotional comfort of the residents.</w:t>
      </w:r>
    </w:p>
    <w:p w:rsidR="70DB4956" w:rsidP="4FE78457" w:rsidRDefault="70DB4956" w14:paraId="30CBED7C" w14:textId="5898D4BA">
      <w:pPr>
        <w:pStyle w:val="Heading4"/>
        <w:keepNext w:val="1"/>
        <w:keepLines w:val="1"/>
        <w:spacing w:before="319" w:beforeAutospacing="off" w:after="319" w:afterAutospacing="off"/>
        <w:rPr>
          <w:rFonts w:ascii="Arial" w:hAnsi="Arial" w:eastAsia="Arial" w:cs="Arial"/>
          <w:b w:val="0"/>
          <w:bCs w:val="0"/>
          <w:i w:val="1"/>
          <w:iCs w:val="1"/>
          <w:caps w:val="0"/>
          <w:smallCaps w:val="0"/>
          <w:noProof w:val="0"/>
          <w:color w:val="0F4761" w:themeColor="accent1" w:themeTint="FF" w:themeShade="BF"/>
          <w:sz w:val="24"/>
          <w:szCs w:val="24"/>
          <w:lang w:val="en-GB"/>
        </w:rPr>
      </w:pPr>
      <w:r w:rsidRPr="4FE78457" w:rsidR="70DB4956">
        <w:rPr>
          <w:rFonts w:ascii="Arial" w:hAnsi="Arial" w:eastAsia="Arial" w:cs="Arial"/>
          <w:b w:val="1"/>
          <w:bCs w:val="1"/>
          <w:i w:val="0"/>
          <w:iCs w:val="0"/>
          <w:caps w:val="0"/>
          <w:smallCaps w:val="0"/>
          <w:noProof w:val="0"/>
          <w:color w:val="0F4761" w:themeColor="accent1" w:themeTint="FF" w:themeShade="BF"/>
          <w:sz w:val="24"/>
          <w:szCs w:val="24"/>
          <w:lang w:val="en-GB"/>
        </w:rPr>
        <w:t>Challenges applying Maslow's Theory</w:t>
      </w:r>
    </w:p>
    <w:p w:rsidR="70DB4956" w:rsidP="4FE78457" w:rsidRDefault="70DB4956" w14:paraId="5ADCA78D" w14:textId="34BB8A1B">
      <w:pPr>
        <w:rPr>
          <w:rFonts w:ascii="Arial" w:hAnsi="Arial" w:eastAsia="Arial" w:cs="Arial"/>
          <w:b w:val="0"/>
          <w:bCs w:val="0"/>
          <w:i w:val="0"/>
          <w:iCs w:val="0"/>
          <w:caps w:val="0"/>
          <w:smallCaps w:val="0"/>
          <w:noProof w:val="0"/>
          <w:color w:val="000000" w:themeColor="text1" w:themeTint="FF" w:themeShade="FF"/>
          <w:sz w:val="22"/>
          <w:szCs w:val="22"/>
          <w:lang w:val="en-GB"/>
        </w:rPr>
      </w:pPr>
      <w:r w:rsidRPr="4FE78457" w:rsidR="70DB4956">
        <w:rPr>
          <w:rFonts w:ascii="Arial" w:hAnsi="Arial" w:eastAsia="Arial" w:cs="Arial"/>
          <w:b w:val="0"/>
          <w:bCs w:val="0"/>
          <w:i w:val="0"/>
          <w:iCs w:val="0"/>
          <w:caps w:val="0"/>
          <w:smallCaps w:val="0"/>
          <w:noProof w:val="0"/>
          <w:color w:val="000000" w:themeColor="text1" w:themeTint="FF" w:themeShade="FF"/>
          <w:sz w:val="22"/>
          <w:szCs w:val="22"/>
          <w:lang w:val="en-GB"/>
        </w:rPr>
        <w:t>The Theory of Maslow when applied in a care setting may be difficult because of individual differences where a person cannot work with everyone because every person has different needs and preferences. Aging and mental deterioration among the elderly plant a challenge on the staff to comprehend their needs which are not being met. The needs of the residents may also vary daily due to health or emotional reasons, and the shortage of staff or other resources can complicate the realization of all needs. The independence and safety are conflicting positions that may be balanced, whereas the cultural differences demand personal approach. Moreover, there are also residents who are socially isolated and find it more difficult to satisfy their belonging and emotional needs.</w:t>
      </w:r>
    </w:p>
    <w:p w:rsidR="70DB4956" w:rsidP="4FE78457" w:rsidRDefault="70DB4956" w14:paraId="2E3ACA1D" w14:textId="46E72EB1">
      <w:pPr>
        <w:pStyle w:val="Heading4"/>
        <w:keepNext w:val="1"/>
        <w:keepLines w:val="1"/>
        <w:spacing w:before="319" w:beforeAutospacing="off" w:after="319" w:afterAutospacing="off"/>
        <w:rPr>
          <w:rFonts w:ascii="Arial" w:hAnsi="Arial" w:eastAsia="Arial" w:cs="Arial"/>
          <w:b w:val="0"/>
          <w:bCs w:val="0"/>
          <w:i w:val="1"/>
          <w:iCs w:val="1"/>
          <w:caps w:val="0"/>
          <w:smallCaps w:val="0"/>
          <w:noProof w:val="0"/>
          <w:color w:val="0F4761" w:themeColor="accent1" w:themeTint="FF" w:themeShade="BF"/>
          <w:sz w:val="24"/>
          <w:szCs w:val="24"/>
          <w:lang w:val="en-GB"/>
        </w:rPr>
      </w:pPr>
      <w:r w:rsidRPr="4FE78457" w:rsidR="70DB4956">
        <w:rPr>
          <w:rFonts w:ascii="Arial" w:hAnsi="Arial" w:eastAsia="Arial" w:cs="Arial"/>
          <w:b w:val="1"/>
          <w:bCs w:val="1"/>
          <w:i w:val="0"/>
          <w:iCs w:val="0"/>
          <w:caps w:val="0"/>
          <w:smallCaps w:val="0"/>
          <w:noProof w:val="0"/>
          <w:color w:val="0F4761" w:themeColor="accent1" w:themeTint="FF" w:themeShade="BF"/>
          <w:sz w:val="24"/>
          <w:szCs w:val="24"/>
          <w:lang w:val="en-GB"/>
        </w:rPr>
        <w:t>Organisational and Professional Challenges and strategies</w:t>
      </w:r>
    </w:p>
    <w:p w:rsidR="70DB4956" w:rsidP="4FE78457" w:rsidRDefault="70DB4956" w14:paraId="2EC776C3" w14:textId="7B59252E">
      <w:pPr>
        <w:pStyle w:val="ListParagraph"/>
        <w:numPr>
          <w:ilvl w:val="0"/>
          <w:numId w:val="2"/>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FE78457" w:rsidR="70DB4956">
        <w:rPr>
          <w:rFonts w:ascii="Arial" w:hAnsi="Arial" w:eastAsia="Arial" w:cs="Arial"/>
          <w:b w:val="0"/>
          <w:bCs w:val="0"/>
          <w:i w:val="0"/>
          <w:iCs w:val="0"/>
          <w:caps w:val="0"/>
          <w:smallCaps w:val="0"/>
          <w:noProof w:val="0"/>
          <w:color w:val="000000" w:themeColor="text1" w:themeTint="FF" w:themeShade="FF"/>
          <w:sz w:val="22"/>
          <w:szCs w:val="22"/>
          <w:lang w:val="en-GB"/>
        </w:rPr>
        <w:t>Structuring and sustaining long‑term interventions is demanding in residential settings.</w:t>
      </w:r>
      <w:r>
        <w:br/>
      </w:r>
      <w:r w:rsidRPr="4FE78457" w:rsidR="70DB4956">
        <w:rPr>
          <w:rFonts w:ascii="Arial" w:hAnsi="Arial" w:eastAsia="Arial" w:cs="Arial"/>
          <w:b w:val="1"/>
          <w:bCs w:val="1"/>
          <w:i w:val="0"/>
          <w:iCs w:val="0"/>
          <w:caps w:val="0"/>
          <w:smallCaps w:val="0"/>
          <w:noProof w:val="0"/>
          <w:color w:val="000000" w:themeColor="text1" w:themeTint="FF" w:themeShade="FF"/>
          <w:sz w:val="22"/>
          <w:szCs w:val="22"/>
          <w:lang w:val="en-GB"/>
        </w:rPr>
        <w:t>Strategy:</w:t>
      </w:r>
      <w:r w:rsidRPr="4FE78457" w:rsidR="70DB4956">
        <w:rPr>
          <w:rFonts w:ascii="Arial" w:hAnsi="Arial" w:eastAsia="Arial" w:cs="Arial"/>
          <w:b w:val="0"/>
          <w:bCs w:val="0"/>
          <w:i w:val="0"/>
          <w:iCs w:val="0"/>
          <w:caps w:val="0"/>
          <w:smallCaps w:val="0"/>
          <w:noProof w:val="0"/>
          <w:color w:val="000000" w:themeColor="text1" w:themeTint="FF" w:themeShade="FF"/>
          <w:sz w:val="22"/>
          <w:szCs w:val="22"/>
          <w:lang w:val="en-GB"/>
        </w:rPr>
        <w:t xml:space="preserve"> Embed theoretical interventions into routine care rather than add‑ons; allocate small, regular sessions; use volunteers/family; link with community services; apply evaluation to demonstrate benefits (which can support funding).</w:t>
      </w:r>
    </w:p>
    <w:p w:rsidR="70DB4956" w:rsidP="4FE78457" w:rsidRDefault="70DB4956" w14:paraId="6D423C61" w14:textId="5A14E75E">
      <w:pPr>
        <w:pStyle w:val="ListParagraph"/>
        <w:numPr>
          <w:ilvl w:val="0"/>
          <w:numId w:val="2"/>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FE78457" w:rsidR="70DB4956">
        <w:rPr>
          <w:rFonts w:ascii="Arial" w:hAnsi="Arial" w:eastAsia="Arial" w:cs="Arial"/>
          <w:b w:val="0"/>
          <w:bCs w:val="0"/>
          <w:i w:val="0"/>
          <w:iCs w:val="0"/>
          <w:caps w:val="0"/>
          <w:smallCaps w:val="0"/>
          <w:noProof w:val="0"/>
          <w:color w:val="000000" w:themeColor="text1" w:themeTint="FF" w:themeShade="FF"/>
          <w:sz w:val="22"/>
          <w:szCs w:val="22"/>
          <w:lang w:val="en-GB"/>
        </w:rPr>
        <w:t>It may be difficult to track impact of “inner” psychological changes like integrity or belief shifts, and to maintain long‑term commitment.</w:t>
      </w:r>
      <w:r>
        <w:br/>
      </w:r>
      <w:r w:rsidRPr="4FE78457" w:rsidR="70DB4956">
        <w:rPr>
          <w:rFonts w:ascii="Arial" w:hAnsi="Arial" w:eastAsia="Arial" w:cs="Arial"/>
          <w:b w:val="1"/>
          <w:bCs w:val="1"/>
          <w:i w:val="0"/>
          <w:iCs w:val="0"/>
          <w:caps w:val="0"/>
          <w:smallCaps w:val="0"/>
          <w:noProof w:val="0"/>
          <w:color w:val="000000" w:themeColor="text1" w:themeTint="FF" w:themeShade="FF"/>
          <w:sz w:val="22"/>
          <w:szCs w:val="22"/>
          <w:lang w:val="en-GB"/>
        </w:rPr>
        <w:t>Strategy:</w:t>
      </w:r>
      <w:r w:rsidRPr="4FE78457" w:rsidR="70DB4956">
        <w:rPr>
          <w:rFonts w:ascii="Arial" w:hAnsi="Arial" w:eastAsia="Arial" w:cs="Arial"/>
          <w:b w:val="0"/>
          <w:bCs w:val="0"/>
          <w:i w:val="0"/>
          <w:iCs w:val="0"/>
          <w:caps w:val="0"/>
          <w:smallCaps w:val="0"/>
          <w:noProof w:val="0"/>
          <w:color w:val="000000" w:themeColor="text1" w:themeTint="FF" w:themeShade="FF"/>
          <w:sz w:val="22"/>
          <w:szCs w:val="22"/>
          <w:lang w:val="en-GB"/>
        </w:rPr>
        <w:t xml:space="preserve"> Use simple outcome measures (mood ratings, participation rates, resident feedback); celebrate progress publicly; build resident/staff ownership; adapt as needed; document case studies.</w:t>
      </w:r>
    </w:p>
    <w:p w:rsidR="70DB4956" w:rsidP="4FE78457" w:rsidRDefault="70DB4956" w14:paraId="214AD382" w14:textId="2148409A">
      <w:pPr>
        <w:pStyle w:val="ListParagraph"/>
        <w:numPr>
          <w:ilvl w:val="0"/>
          <w:numId w:val="2"/>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FE78457" w:rsidR="70DB4956">
        <w:rPr>
          <w:rFonts w:ascii="Arial" w:hAnsi="Arial" w:eastAsia="Arial" w:cs="Arial"/>
          <w:b w:val="0"/>
          <w:bCs w:val="0"/>
          <w:i w:val="0"/>
          <w:iCs w:val="0"/>
          <w:caps w:val="0"/>
          <w:smallCaps w:val="0"/>
          <w:noProof w:val="0"/>
          <w:color w:val="000000" w:themeColor="text1" w:themeTint="FF" w:themeShade="FF"/>
          <w:sz w:val="22"/>
          <w:szCs w:val="22"/>
          <w:lang w:val="en-GB"/>
        </w:rPr>
        <w:t>Variation in cognitive levels, cultural background, physical health and personal history may limit “one‑size‑fits‑all” approaches.</w:t>
      </w:r>
      <w:r>
        <w:br/>
      </w:r>
      <w:r w:rsidRPr="4FE78457" w:rsidR="70DB4956">
        <w:rPr>
          <w:rFonts w:ascii="Arial" w:hAnsi="Arial" w:eastAsia="Arial" w:cs="Arial"/>
          <w:b w:val="1"/>
          <w:bCs w:val="1"/>
          <w:i w:val="0"/>
          <w:iCs w:val="0"/>
          <w:caps w:val="0"/>
          <w:smallCaps w:val="0"/>
          <w:noProof w:val="0"/>
          <w:color w:val="000000" w:themeColor="text1" w:themeTint="FF" w:themeShade="FF"/>
          <w:sz w:val="22"/>
          <w:szCs w:val="22"/>
          <w:lang w:val="en-GB"/>
        </w:rPr>
        <w:t>Strategy:</w:t>
      </w:r>
      <w:r w:rsidRPr="4FE78457" w:rsidR="70DB4956">
        <w:rPr>
          <w:rFonts w:ascii="Arial" w:hAnsi="Arial" w:eastAsia="Arial" w:cs="Arial"/>
          <w:b w:val="0"/>
          <w:bCs w:val="0"/>
          <w:i w:val="0"/>
          <w:iCs w:val="0"/>
          <w:caps w:val="0"/>
          <w:smallCaps w:val="0"/>
          <w:noProof w:val="0"/>
          <w:color w:val="000000" w:themeColor="text1" w:themeTint="FF" w:themeShade="FF"/>
          <w:sz w:val="22"/>
          <w:szCs w:val="22"/>
          <w:lang w:val="en-GB"/>
        </w:rPr>
        <w:t xml:space="preserve"> Adopt a person‑centred approach; assess each resident’s preferences, history, stage of dementia; tailor activities accordingly; maintain flexibility; involve family and multidisciplinary team.</w:t>
      </w:r>
    </w:p>
    <w:p w:rsidR="4FE78457" w:rsidP="4FE78457" w:rsidRDefault="4FE78457" w14:paraId="3C467051" w14:textId="6C70D9B9">
      <w:pPr>
        <w:spacing w:before="240" w:beforeAutospacing="off" w:after="240" w:afterAutospacing="off"/>
        <w:ind w:left="720"/>
        <w:rPr>
          <w:rFonts w:ascii="Arial" w:hAnsi="Arial" w:eastAsia="Arial" w:cs="Arial"/>
          <w:b w:val="0"/>
          <w:bCs w:val="0"/>
          <w:i w:val="0"/>
          <w:iCs w:val="0"/>
          <w:caps w:val="0"/>
          <w:smallCaps w:val="0"/>
          <w:noProof w:val="0"/>
          <w:color w:val="155F81"/>
          <w:sz w:val="24"/>
          <w:szCs w:val="24"/>
          <w:lang w:val="en-GB"/>
        </w:rPr>
      </w:pPr>
    </w:p>
    <w:p w:rsidR="70DB4956" w:rsidP="4FE78457" w:rsidRDefault="70DB4956" w14:paraId="2457DE09" w14:textId="7EC8942C">
      <w:pPr>
        <w:spacing w:before="240" w:beforeAutospacing="off" w:after="240" w:afterAutospacing="off"/>
        <w:ind w:left="0"/>
        <w:rPr>
          <w:rFonts w:ascii="Arial" w:hAnsi="Arial" w:eastAsia="Arial" w:cs="Arial"/>
          <w:b w:val="0"/>
          <w:bCs w:val="0"/>
          <w:i w:val="0"/>
          <w:iCs w:val="0"/>
          <w:caps w:val="0"/>
          <w:smallCaps w:val="0"/>
          <w:noProof w:val="0"/>
          <w:color w:val="155F81"/>
          <w:sz w:val="24"/>
          <w:szCs w:val="24"/>
          <w:lang w:val="en-GB"/>
        </w:rPr>
      </w:pPr>
      <w:r w:rsidRPr="4FE78457" w:rsidR="70DB4956">
        <w:rPr>
          <w:rFonts w:ascii="Arial" w:hAnsi="Arial" w:eastAsia="Arial" w:cs="Arial"/>
          <w:b w:val="1"/>
          <w:bCs w:val="1"/>
          <w:i w:val="0"/>
          <w:iCs w:val="0"/>
          <w:caps w:val="0"/>
          <w:smallCaps w:val="0"/>
          <w:noProof w:val="0"/>
          <w:color w:val="155F81"/>
          <w:sz w:val="24"/>
          <w:szCs w:val="24"/>
          <w:lang w:val="en-GB"/>
        </w:rPr>
        <w:t>Conclusion</w:t>
      </w:r>
    </w:p>
    <w:p w:rsidR="70DB4956" w:rsidP="4FE78457" w:rsidRDefault="70DB4956" w14:paraId="3537FB1E" w14:textId="318ABCFC">
      <w:pPr>
        <w:spacing w:before="240" w:beforeAutospacing="off" w:after="240" w:afterAutospacing="off"/>
        <w:ind w:left="0"/>
        <w:rPr>
          <w:rFonts w:ascii="Arial" w:hAnsi="Arial" w:eastAsia="Arial" w:cs="Arial"/>
          <w:b w:val="0"/>
          <w:bCs w:val="0"/>
          <w:i w:val="0"/>
          <w:iCs w:val="0"/>
          <w:caps w:val="0"/>
          <w:smallCaps w:val="0"/>
          <w:noProof w:val="0"/>
          <w:color w:val="000000" w:themeColor="text1" w:themeTint="FF" w:themeShade="FF"/>
          <w:sz w:val="22"/>
          <w:szCs w:val="22"/>
          <w:lang w:val="en-GB"/>
        </w:rPr>
      </w:pPr>
      <w:r w:rsidRPr="4FE78457" w:rsidR="70DB4956">
        <w:rPr>
          <w:rFonts w:ascii="Arial" w:hAnsi="Arial" w:eastAsia="Arial" w:cs="Arial"/>
          <w:b w:val="0"/>
          <w:bCs w:val="0"/>
          <w:i w:val="0"/>
          <w:iCs w:val="0"/>
          <w:caps w:val="0"/>
          <w:smallCaps w:val="0"/>
          <w:noProof w:val="0"/>
          <w:color w:val="000000" w:themeColor="text1" w:themeTint="FF" w:themeShade="FF"/>
          <w:sz w:val="22"/>
          <w:szCs w:val="22"/>
          <w:lang w:val="en-GB"/>
        </w:rPr>
        <w:t>The Psychosocial Theory (Integrity vs. Despair) by Erikson and Maslow's are complementary because the former is based on the existential and developmental activities in late life whereas the latter gives a perspective on cognition and beliefs as well as health behaviour. These theories can also help the residents to have a stronger sense of identity and engagement, improve their involvement in meaningful activities, and improve quality of life when carefully implemented in practice, through reminiscence and life-story work, structured cognitive and movement programmes, belief-based interventions and daily cues. However, professionals must work with real-life issues: cognitive challenges, emotional pain, resource constraints, cultural differences, literacy and changes of behaviour obstacles. These theoretical models can be applied to meaningful care that respects the dignity, value and potential of older adults with dementia by adopting person-centred, flexible, culturally sensitive, and embedded approaches and by ensuring that staff training and organisational support is provided.</w:t>
      </w:r>
    </w:p>
    <w:p w:rsidR="4FE78457" w:rsidP="4FE78457" w:rsidRDefault="4FE78457" w14:paraId="614DBA8C" w14:textId="089A0259">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4FE78457" w:rsidP="4FE78457" w:rsidRDefault="4FE78457" w14:paraId="45E7A602" w14:textId="18694B27">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p>
    <w:p w:rsidR="70DB4956" w:rsidP="4FE78457" w:rsidRDefault="70DB4956" w14:paraId="2CA5AABF" w14:textId="78837F51">
      <w:pPr>
        <w:pStyle w:val="Heading3"/>
        <w:keepNext w:val="1"/>
        <w:keepLines w:val="1"/>
        <w:spacing w:before="281" w:beforeAutospacing="off" w:after="281" w:afterAutospacing="off"/>
        <w:rPr>
          <w:rFonts w:ascii="Aptos" w:hAnsi="Aptos" w:eastAsia="Aptos" w:cs="Aptos"/>
          <w:b w:val="0"/>
          <w:bCs w:val="0"/>
          <w:i w:val="0"/>
          <w:iCs w:val="0"/>
          <w:caps w:val="0"/>
          <w:smallCaps w:val="0"/>
          <w:noProof w:val="0"/>
          <w:color w:val="0F4761" w:themeColor="accent1" w:themeTint="FF" w:themeShade="BF"/>
          <w:sz w:val="28"/>
          <w:szCs w:val="28"/>
          <w:lang w:val="en-GB"/>
        </w:rPr>
      </w:pPr>
      <w:r w:rsidRPr="4FE78457" w:rsidR="70DB4956">
        <w:rPr>
          <w:rFonts w:ascii="Aptos" w:hAnsi="Aptos" w:eastAsia="Aptos" w:cs="Aptos"/>
          <w:b w:val="1"/>
          <w:bCs w:val="1"/>
          <w:i w:val="0"/>
          <w:iCs w:val="0"/>
          <w:caps w:val="0"/>
          <w:smallCaps w:val="0"/>
          <w:noProof w:val="0"/>
          <w:color w:val="0F4761" w:themeColor="accent1" w:themeTint="FF" w:themeShade="BF"/>
          <w:sz w:val="28"/>
          <w:szCs w:val="28"/>
          <w:lang w:val="en-GB"/>
        </w:rPr>
        <w:t>References</w:t>
      </w:r>
    </w:p>
    <w:p w:rsidR="70DB4956" w:rsidP="4FE78457" w:rsidRDefault="70DB4956" w14:paraId="3CBF756D" w14:textId="0892767D">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4FE78457" w:rsidR="70DB4956">
        <w:rPr>
          <w:rFonts w:ascii="Aptos" w:hAnsi="Aptos" w:eastAsia="Aptos" w:cs="Aptos"/>
          <w:b w:val="0"/>
          <w:bCs w:val="0"/>
          <w:i w:val="0"/>
          <w:iCs w:val="0"/>
          <w:caps w:val="0"/>
          <w:smallCaps w:val="0"/>
          <w:noProof w:val="0"/>
          <w:color w:val="000000" w:themeColor="text1" w:themeTint="FF" w:themeShade="FF"/>
          <w:sz w:val="24"/>
          <w:szCs w:val="24"/>
          <w:lang w:val="en-GB"/>
        </w:rPr>
        <w:t xml:space="preserve">Barker, et al. (2016). Psychosocial Development in Older Adulthood – always developing. </w:t>
      </w:r>
      <w:r w:rsidRPr="4FE78457" w:rsidR="70DB4956">
        <w:rPr>
          <w:rFonts w:ascii="Aptos" w:hAnsi="Aptos" w:eastAsia="Aptos" w:cs="Aptos"/>
          <w:b w:val="0"/>
          <w:bCs w:val="0"/>
          <w:i w:val="1"/>
          <w:iCs w:val="1"/>
          <w:caps w:val="0"/>
          <w:smallCaps w:val="0"/>
          <w:noProof w:val="0"/>
          <w:color w:val="000000" w:themeColor="text1" w:themeTint="FF" w:themeShade="FF"/>
          <w:sz w:val="24"/>
          <w:szCs w:val="24"/>
          <w:lang w:val="en-GB"/>
        </w:rPr>
        <w:t>Pressbooks</w:t>
      </w:r>
      <w:r w:rsidRPr="4FE78457" w:rsidR="70DB4956">
        <w:rPr>
          <w:rFonts w:ascii="Aptos" w:hAnsi="Aptos" w:eastAsia="Aptos" w:cs="Aptos"/>
          <w:b w:val="0"/>
          <w:bCs w:val="0"/>
          <w:i w:val="0"/>
          <w:iCs w:val="0"/>
          <w:caps w:val="0"/>
          <w:smallCaps w:val="0"/>
          <w:noProof w:val="0"/>
          <w:color w:val="000000" w:themeColor="text1" w:themeTint="FF" w:themeShade="FF"/>
          <w:sz w:val="24"/>
          <w:szCs w:val="24"/>
          <w:lang w:val="en-GB"/>
        </w:rPr>
        <w:t xml:space="preserve">. Retrieved from </w:t>
      </w:r>
      <w:hyperlink r:id="R4740181d3a1648fc">
        <w:r w:rsidRPr="4FE78457" w:rsidR="70DB4956">
          <w:rPr>
            <w:rStyle w:val="Hyperlink"/>
            <w:rFonts w:ascii="Aptos" w:hAnsi="Aptos" w:eastAsia="Aptos" w:cs="Aptos"/>
            <w:b w:val="0"/>
            <w:bCs w:val="0"/>
            <w:i w:val="0"/>
            <w:iCs w:val="0"/>
            <w:caps w:val="0"/>
            <w:smallCaps w:val="0"/>
            <w:strike w:val="0"/>
            <w:dstrike w:val="0"/>
            <w:noProof w:val="0"/>
            <w:sz w:val="24"/>
            <w:szCs w:val="24"/>
            <w:lang w:val="en-GB"/>
          </w:rPr>
          <w:t>https://ecampusontario.pressbooks.pub/alwaysdeveloping/chapter/psychosocial-development-in-older-adulthood/</w:t>
        </w:r>
      </w:hyperlink>
      <w:r w:rsidRPr="4FE78457" w:rsidR="70DB495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hyperlink r:id="Rb62c42175a2a4358">
        <w:r w:rsidRPr="4FE78457" w:rsidR="70DB4956">
          <w:rPr>
            <w:rStyle w:val="Hyperlink"/>
            <w:rFonts w:ascii="Aptos" w:hAnsi="Aptos" w:eastAsia="Aptos" w:cs="Aptos"/>
            <w:b w:val="0"/>
            <w:bCs w:val="0"/>
            <w:i w:val="0"/>
            <w:iCs w:val="0"/>
            <w:caps w:val="0"/>
            <w:smallCaps w:val="0"/>
            <w:strike w:val="0"/>
            <w:dstrike w:val="0"/>
            <w:noProof w:val="0"/>
            <w:sz w:val="24"/>
            <w:szCs w:val="24"/>
            <w:lang w:val="en-GB"/>
          </w:rPr>
          <w:t>ecampusontario.pressbooks.pub</w:t>
        </w:r>
      </w:hyperlink>
      <w:r w:rsidRPr="4FE78457" w:rsidR="70DB4956">
        <w:rPr>
          <w:rFonts w:ascii="Aptos" w:hAnsi="Aptos" w:eastAsia="Aptos" w:cs="Aptos"/>
          <w:b w:val="0"/>
          <w:bCs w:val="0"/>
          <w:i w:val="0"/>
          <w:iCs w:val="0"/>
          <w:caps w:val="0"/>
          <w:smallCaps w:val="0"/>
          <w:noProof w:val="0"/>
          <w:color w:val="000000" w:themeColor="text1" w:themeTint="FF" w:themeShade="FF"/>
          <w:sz w:val="24"/>
          <w:szCs w:val="24"/>
          <w:lang w:val="en-GB"/>
        </w:rPr>
        <w:t xml:space="preserve"> ( Accessed 5</w:t>
      </w:r>
      <w:r w:rsidRPr="4FE78457" w:rsidR="70DB4956">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4FE78457" w:rsidR="70DB4956">
        <w:rPr>
          <w:rFonts w:ascii="Aptos" w:hAnsi="Aptos" w:eastAsia="Aptos" w:cs="Aptos"/>
          <w:b w:val="0"/>
          <w:bCs w:val="0"/>
          <w:i w:val="0"/>
          <w:iCs w:val="0"/>
          <w:caps w:val="0"/>
          <w:smallCaps w:val="0"/>
          <w:noProof w:val="0"/>
          <w:color w:val="000000" w:themeColor="text1" w:themeTint="FF" w:themeShade="FF"/>
          <w:sz w:val="24"/>
          <w:szCs w:val="24"/>
          <w:lang w:val="en-GB"/>
        </w:rPr>
        <w:t xml:space="preserve"> November 2025).</w:t>
      </w:r>
    </w:p>
    <w:p w:rsidR="70DB4956" w:rsidP="4FE78457" w:rsidRDefault="70DB4956" w14:paraId="457965AC" w14:textId="7DB05F4A">
      <w:pPr>
        <w:spacing w:before="240" w:beforeAutospacing="off" w:after="24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4FE78457" w:rsidR="70DB4956">
        <w:rPr>
          <w:rFonts w:ascii="Aptos" w:hAnsi="Aptos" w:eastAsia="Aptos" w:cs="Aptos"/>
          <w:b w:val="0"/>
          <w:bCs w:val="0"/>
          <w:i w:val="0"/>
          <w:iCs w:val="0"/>
          <w:caps w:val="0"/>
          <w:smallCaps w:val="0"/>
          <w:noProof w:val="0"/>
          <w:color w:val="000000" w:themeColor="text1" w:themeTint="FF" w:themeShade="FF"/>
          <w:sz w:val="24"/>
          <w:szCs w:val="24"/>
          <w:lang w:val="en-GB"/>
        </w:rPr>
        <w:t xml:space="preserve">Erikson, E. H. (1950). </w:t>
      </w:r>
      <w:r w:rsidRPr="4FE78457" w:rsidR="70DB4956">
        <w:rPr>
          <w:rFonts w:ascii="Aptos" w:hAnsi="Aptos" w:eastAsia="Aptos" w:cs="Aptos"/>
          <w:b w:val="0"/>
          <w:bCs w:val="0"/>
          <w:i w:val="1"/>
          <w:iCs w:val="1"/>
          <w:caps w:val="0"/>
          <w:smallCaps w:val="0"/>
          <w:noProof w:val="0"/>
          <w:color w:val="000000" w:themeColor="text1" w:themeTint="FF" w:themeShade="FF"/>
          <w:sz w:val="24"/>
          <w:szCs w:val="24"/>
          <w:lang w:val="en-GB"/>
        </w:rPr>
        <w:t>Childhood and Society.</w:t>
      </w:r>
      <w:r w:rsidRPr="4FE78457" w:rsidR="70DB4956">
        <w:rPr>
          <w:rFonts w:ascii="Aptos" w:hAnsi="Aptos" w:eastAsia="Aptos" w:cs="Aptos"/>
          <w:b w:val="0"/>
          <w:bCs w:val="0"/>
          <w:i w:val="0"/>
          <w:iCs w:val="0"/>
          <w:caps w:val="0"/>
          <w:smallCaps w:val="0"/>
          <w:noProof w:val="0"/>
          <w:color w:val="000000" w:themeColor="text1" w:themeTint="FF" w:themeShade="FF"/>
          <w:sz w:val="24"/>
          <w:szCs w:val="24"/>
          <w:lang w:val="en-GB"/>
        </w:rPr>
        <w:t xml:space="preserve"> New York: Norton. (Accessed 4</w:t>
      </w:r>
      <w:r w:rsidRPr="4FE78457" w:rsidR="70DB4956">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4FE78457" w:rsidR="70DB4956">
        <w:rPr>
          <w:rFonts w:ascii="Aptos" w:hAnsi="Aptos" w:eastAsia="Aptos" w:cs="Aptos"/>
          <w:b w:val="0"/>
          <w:bCs w:val="0"/>
          <w:i w:val="0"/>
          <w:iCs w:val="0"/>
          <w:caps w:val="0"/>
          <w:smallCaps w:val="0"/>
          <w:noProof w:val="0"/>
          <w:color w:val="000000" w:themeColor="text1" w:themeTint="FF" w:themeShade="FF"/>
          <w:sz w:val="24"/>
          <w:szCs w:val="24"/>
          <w:lang w:val="en-GB"/>
        </w:rPr>
        <w:t xml:space="preserve"> November 2025).</w:t>
      </w:r>
    </w:p>
    <w:p w:rsidR="70DB4956" w:rsidP="4FE78457" w:rsidRDefault="70DB4956" w14:paraId="6BE2781C" w14:textId="33D1EF4B">
      <w:pPr>
        <w:spacing w:before="240" w:beforeAutospacing="off" w:after="24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r>
        <w:br/>
      </w:r>
      <w:r w:rsidRPr="4FE78457" w:rsidR="70DB4956">
        <w:rPr>
          <w:rFonts w:ascii="Aptos" w:hAnsi="Aptos" w:eastAsia="Aptos" w:cs="Aptos"/>
          <w:b w:val="0"/>
          <w:bCs w:val="0"/>
          <w:i w:val="0"/>
          <w:iCs w:val="0"/>
          <w:caps w:val="0"/>
          <w:smallCaps w:val="0"/>
          <w:noProof w:val="0"/>
          <w:color w:val="000000" w:themeColor="text1" w:themeTint="FF" w:themeShade="FF"/>
          <w:sz w:val="24"/>
          <w:szCs w:val="24"/>
          <w:lang w:val="en-GB"/>
        </w:rPr>
        <w:t xml:space="preserve">Gilleard, C. (2020) ‘The final stage of human development? Erikson’s view of integrity and old age’, </w:t>
      </w:r>
      <w:r w:rsidRPr="4FE78457" w:rsidR="70DB4956">
        <w:rPr>
          <w:rFonts w:ascii="Aptos" w:hAnsi="Aptos" w:eastAsia="Aptos" w:cs="Aptos"/>
          <w:b w:val="0"/>
          <w:bCs w:val="0"/>
          <w:i w:val="1"/>
          <w:iCs w:val="1"/>
          <w:caps w:val="0"/>
          <w:smallCaps w:val="0"/>
          <w:noProof w:val="0"/>
          <w:color w:val="000000" w:themeColor="text1" w:themeTint="FF" w:themeShade="FF"/>
          <w:sz w:val="24"/>
          <w:szCs w:val="24"/>
          <w:lang w:val="en-GB"/>
        </w:rPr>
        <w:t>International Journal of Ageing and Later Life</w:t>
      </w:r>
      <w:r w:rsidRPr="4FE78457" w:rsidR="70DB4956">
        <w:rPr>
          <w:rFonts w:ascii="Aptos" w:hAnsi="Aptos" w:eastAsia="Aptos" w:cs="Aptos"/>
          <w:b w:val="0"/>
          <w:bCs w:val="0"/>
          <w:i w:val="0"/>
          <w:iCs w:val="0"/>
          <w:caps w:val="0"/>
          <w:smallCaps w:val="0"/>
          <w:noProof w:val="0"/>
          <w:color w:val="000000" w:themeColor="text1" w:themeTint="FF" w:themeShade="FF"/>
          <w:sz w:val="24"/>
          <w:szCs w:val="24"/>
          <w:lang w:val="en-GB"/>
        </w:rPr>
        <w:t>, 14(2), pp. 139‑162. doi: 10.3384/ijal.1652‑8670.1471 (Accessed 5</w:t>
      </w:r>
      <w:r w:rsidRPr="4FE78457" w:rsidR="70DB4956">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4FE78457" w:rsidR="70DB4956">
        <w:rPr>
          <w:rFonts w:ascii="Aptos" w:hAnsi="Aptos" w:eastAsia="Aptos" w:cs="Aptos"/>
          <w:b w:val="0"/>
          <w:bCs w:val="0"/>
          <w:i w:val="0"/>
          <w:iCs w:val="0"/>
          <w:caps w:val="0"/>
          <w:smallCaps w:val="0"/>
          <w:noProof w:val="0"/>
          <w:color w:val="000000" w:themeColor="text1" w:themeTint="FF" w:themeShade="FF"/>
          <w:sz w:val="24"/>
          <w:szCs w:val="24"/>
          <w:lang w:val="en-GB"/>
        </w:rPr>
        <w:t xml:space="preserve"> November 2025). </w:t>
      </w:r>
    </w:p>
    <w:p w:rsidR="70DB4956" w:rsidP="4FE78457" w:rsidRDefault="70DB4956" w14:paraId="22D1EE6C" w14:textId="2231880D">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4FE78457" w:rsidR="70DB4956">
        <w:rPr>
          <w:rFonts w:ascii="Aptos" w:hAnsi="Aptos" w:eastAsia="Aptos" w:cs="Aptos"/>
          <w:b w:val="0"/>
          <w:bCs w:val="0"/>
          <w:i w:val="0"/>
          <w:iCs w:val="0"/>
          <w:caps w:val="0"/>
          <w:smallCaps w:val="0"/>
          <w:noProof w:val="0"/>
          <w:color w:val="000000" w:themeColor="text1" w:themeTint="FF" w:themeShade="FF"/>
          <w:sz w:val="24"/>
          <w:szCs w:val="24"/>
          <w:lang w:val="en-GB"/>
        </w:rPr>
        <w:t xml:space="preserve">Maslow, A.H. (1943) </w:t>
      </w:r>
      <w:r w:rsidRPr="4FE78457" w:rsidR="70DB4956">
        <w:rPr>
          <w:rFonts w:ascii="Aptos" w:hAnsi="Aptos" w:eastAsia="Aptos" w:cs="Aptos"/>
          <w:b w:val="0"/>
          <w:bCs w:val="0"/>
          <w:i w:val="1"/>
          <w:iCs w:val="1"/>
          <w:caps w:val="0"/>
          <w:smallCaps w:val="0"/>
          <w:noProof w:val="0"/>
          <w:color w:val="000000" w:themeColor="text1" w:themeTint="FF" w:themeShade="FF"/>
          <w:sz w:val="24"/>
          <w:szCs w:val="24"/>
          <w:lang w:val="en-GB"/>
        </w:rPr>
        <w:t>A Theory of Human Motivation.</w:t>
      </w:r>
      <w:r w:rsidRPr="4FE78457" w:rsidR="70DB495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4FE78457" w:rsidR="70DB4956">
        <w:rPr>
          <w:rFonts w:ascii="Aptos" w:hAnsi="Aptos" w:eastAsia="Aptos" w:cs="Aptos"/>
          <w:b w:val="0"/>
          <w:bCs w:val="0"/>
          <w:i w:val="1"/>
          <w:iCs w:val="1"/>
          <w:caps w:val="0"/>
          <w:smallCaps w:val="0"/>
          <w:noProof w:val="0"/>
          <w:color w:val="000000" w:themeColor="text1" w:themeTint="FF" w:themeShade="FF"/>
          <w:sz w:val="24"/>
          <w:szCs w:val="24"/>
          <w:lang w:val="en-GB"/>
        </w:rPr>
        <w:t>Psychological Review,</w:t>
      </w:r>
      <w:r w:rsidRPr="4FE78457" w:rsidR="70DB4956">
        <w:rPr>
          <w:rFonts w:ascii="Aptos" w:hAnsi="Aptos" w:eastAsia="Aptos" w:cs="Aptos"/>
          <w:b w:val="0"/>
          <w:bCs w:val="0"/>
          <w:i w:val="0"/>
          <w:iCs w:val="0"/>
          <w:caps w:val="0"/>
          <w:smallCaps w:val="0"/>
          <w:noProof w:val="0"/>
          <w:color w:val="000000" w:themeColor="text1" w:themeTint="FF" w:themeShade="FF"/>
          <w:sz w:val="24"/>
          <w:szCs w:val="24"/>
          <w:lang w:val="en-GB"/>
        </w:rPr>
        <w:t xml:space="preserve"> 50(4), pp. 370–396. (Accessed 4</w:t>
      </w:r>
      <w:r w:rsidRPr="4FE78457" w:rsidR="70DB4956">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4FE78457" w:rsidR="70DB4956">
        <w:rPr>
          <w:rFonts w:ascii="Aptos" w:hAnsi="Aptos" w:eastAsia="Aptos" w:cs="Aptos"/>
          <w:b w:val="0"/>
          <w:bCs w:val="0"/>
          <w:i w:val="0"/>
          <w:iCs w:val="0"/>
          <w:caps w:val="0"/>
          <w:smallCaps w:val="0"/>
          <w:noProof w:val="0"/>
          <w:color w:val="000000" w:themeColor="text1" w:themeTint="FF" w:themeShade="FF"/>
          <w:sz w:val="24"/>
          <w:szCs w:val="24"/>
          <w:lang w:val="en-GB"/>
        </w:rPr>
        <w:t xml:space="preserve"> November2025).</w:t>
      </w:r>
    </w:p>
    <w:p w:rsidR="70DB4956" w:rsidP="4FE78457" w:rsidRDefault="70DB4956" w14:paraId="1B7423B1" w14:textId="2B95686E">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4FE78457" w:rsidR="70DB4956">
        <w:rPr>
          <w:rFonts w:ascii="Aptos" w:hAnsi="Aptos" w:eastAsia="Aptos" w:cs="Aptos"/>
          <w:b w:val="0"/>
          <w:bCs w:val="0"/>
          <w:i w:val="0"/>
          <w:iCs w:val="0"/>
          <w:caps w:val="0"/>
          <w:smallCaps w:val="0"/>
          <w:noProof w:val="0"/>
          <w:color w:val="000000" w:themeColor="text1" w:themeTint="FF" w:themeShade="FF"/>
          <w:sz w:val="24"/>
          <w:szCs w:val="24"/>
          <w:lang w:val="en-GB"/>
        </w:rPr>
        <w:t xml:space="preserve">McLeod, S. (2023) </w:t>
      </w:r>
      <w:r w:rsidRPr="4FE78457" w:rsidR="70DB4956">
        <w:rPr>
          <w:rFonts w:ascii="Aptos" w:hAnsi="Aptos" w:eastAsia="Aptos" w:cs="Aptos"/>
          <w:b w:val="0"/>
          <w:bCs w:val="0"/>
          <w:i w:val="1"/>
          <w:iCs w:val="1"/>
          <w:caps w:val="0"/>
          <w:smallCaps w:val="0"/>
          <w:noProof w:val="0"/>
          <w:color w:val="000000" w:themeColor="text1" w:themeTint="FF" w:themeShade="FF"/>
          <w:sz w:val="24"/>
          <w:szCs w:val="24"/>
          <w:lang w:val="en-GB"/>
        </w:rPr>
        <w:t>Maslow’s Hierarchy of Needs.</w:t>
      </w:r>
      <w:r w:rsidRPr="4FE78457" w:rsidR="70DB4956">
        <w:rPr>
          <w:rFonts w:ascii="Aptos" w:hAnsi="Aptos" w:eastAsia="Aptos" w:cs="Aptos"/>
          <w:b w:val="0"/>
          <w:bCs w:val="0"/>
          <w:i w:val="0"/>
          <w:iCs w:val="0"/>
          <w:caps w:val="0"/>
          <w:smallCaps w:val="0"/>
          <w:noProof w:val="0"/>
          <w:color w:val="000000" w:themeColor="text1" w:themeTint="FF" w:themeShade="FF"/>
          <w:sz w:val="24"/>
          <w:szCs w:val="24"/>
          <w:lang w:val="en-GB"/>
        </w:rPr>
        <w:t xml:space="preserve"> Simply Psychology. Available at: </w:t>
      </w:r>
      <w:hyperlink r:id="R5cc3a4af50574653">
        <w:r w:rsidRPr="4FE78457" w:rsidR="70DB4956">
          <w:rPr>
            <w:rStyle w:val="Hyperlink"/>
            <w:rFonts w:ascii="Aptos" w:hAnsi="Aptos" w:eastAsia="Aptos" w:cs="Aptos"/>
            <w:b w:val="0"/>
            <w:bCs w:val="0"/>
            <w:i w:val="0"/>
            <w:iCs w:val="0"/>
            <w:caps w:val="0"/>
            <w:smallCaps w:val="0"/>
            <w:strike w:val="0"/>
            <w:dstrike w:val="0"/>
            <w:noProof w:val="0"/>
            <w:sz w:val="24"/>
            <w:szCs w:val="24"/>
            <w:lang w:val="en-GB"/>
          </w:rPr>
          <w:t>https://www.simplypsychology.org/maslow.htm</w:t>
        </w:r>
      </w:hyperlink>
      <w:r w:rsidRPr="4FE78457" w:rsidR="70DB4956">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4</w:t>
      </w:r>
      <w:r w:rsidRPr="4FE78457" w:rsidR="70DB4956">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4FE78457" w:rsidR="70DB4956">
        <w:rPr>
          <w:rFonts w:ascii="Aptos" w:hAnsi="Aptos" w:eastAsia="Aptos" w:cs="Aptos"/>
          <w:b w:val="0"/>
          <w:bCs w:val="0"/>
          <w:i w:val="0"/>
          <w:iCs w:val="0"/>
          <w:caps w:val="0"/>
          <w:smallCaps w:val="0"/>
          <w:noProof w:val="0"/>
          <w:color w:val="000000" w:themeColor="text1" w:themeTint="FF" w:themeShade="FF"/>
          <w:sz w:val="24"/>
          <w:szCs w:val="24"/>
          <w:lang w:val="en-GB"/>
        </w:rPr>
        <w:t xml:space="preserve"> November </w:t>
      </w:r>
      <w:r w:rsidRPr="4FE78457" w:rsidR="70DB4956">
        <w:rPr>
          <w:rFonts w:ascii="Aptos" w:hAnsi="Aptos" w:eastAsia="Aptos" w:cs="Aptos"/>
          <w:b w:val="0"/>
          <w:bCs w:val="0"/>
          <w:i w:val="0"/>
          <w:iCs w:val="0"/>
          <w:caps w:val="0"/>
          <w:smallCaps w:val="0"/>
          <w:noProof w:val="0"/>
          <w:color w:val="000000" w:themeColor="text1" w:themeTint="FF" w:themeShade="FF"/>
          <w:sz w:val="24"/>
          <w:szCs w:val="24"/>
          <w:lang w:val="en-GB"/>
        </w:rPr>
        <w:t>2025).</w:t>
      </w:r>
    </w:p>
    <w:p w:rsidR="70DB4956" w:rsidP="4FE78457" w:rsidRDefault="70DB4956" w14:paraId="6A6C28A7" w14:textId="21AC6EE2">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br/>
      </w:r>
      <w:r w:rsidRPr="4FE78457" w:rsidR="70DB4956">
        <w:rPr>
          <w:rFonts w:ascii="Aptos" w:hAnsi="Aptos" w:eastAsia="Aptos" w:cs="Aptos"/>
          <w:b w:val="0"/>
          <w:bCs w:val="0"/>
          <w:i w:val="0"/>
          <w:iCs w:val="0"/>
          <w:caps w:val="0"/>
          <w:smallCaps w:val="0"/>
          <w:noProof w:val="0"/>
          <w:color w:val="000000" w:themeColor="text1" w:themeTint="FF" w:themeShade="FF"/>
          <w:sz w:val="24"/>
          <w:szCs w:val="24"/>
          <w:lang w:val="en-GB"/>
        </w:rPr>
        <w:t xml:space="preserve">Millan, et al. (2021). Psychological theories of dementia. </w:t>
      </w:r>
      <w:r w:rsidRPr="4FE78457" w:rsidR="70DB4956">
        <w:rPr>
          <w:rFonts w:ascii="Aptos" w:hAnsi="Aptos" w:eastAsia="Aptos" w:cs="Aptos"/>
          <w:b w:val="0"/>
          <w:bCs w:val="0"/>
          <w:i w:val="1"/>
          <w:iCs w:val="1"/>
          <w:caps w:val="0"/>
          <w:smallCaps w:val="0"/>
          <w:noProof w:val="0"/>
          <w:color w:val="000000" w:themeColor="text1" w:themeTint="FF" w:themeShade="FF"/>
          <w:sz w:val="24"/>
          <w:szCs w:val="24"/>
          <w:lang w:val="en-GB"/>
        </w:rPr>
        <w:t>Journal of Gerontology &amp; Geriatrics.</w:t>
      </w:r>
      <w:r w:rsidRPr="4FE78457" w:rsidR="70DB495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hyperlink r:id="R7fbbf58214f9443e">
        <w:r w:rsidRPr="4FE78457" w:rsidR="70DB4956">
          <w:rPr>
            <w:rStyle w:val="Hyperlink"/>
            <w:rFonts w:ascii="Aptos" w:hAnsi="Aptos" w:eastAsia="Aptos" w:cs="Aptos"/>
            <w:b w:val="0"/>
            <w:bCs w:val="0"/>
            <w:i w:val="0"/>
            <w:iCs w:val="0"/>
            <w:caps w:val="0"/>
            <w:smallCaps w:val="0"/>
            <w:strike w:val="0"/>
            <w:dstrike w:val="0"/>
            <w:noProof w:val="0"/>
            <w:sz w:val="24"/>
            <w:szCs w:val="24"/>
            <w:lang w:val="en-GB"/>
          </w:rPr>
          <w:t>jgerontology-geriatrics.com</w:t>
        </w:r>
      </w:hyperlink>
      <w:r w:rsidRPr="4FE78457" w:rsidR="70DB4956">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9</w:t>
      </w:r>
      <w:r w:rsidRPr="4FE78457" w:rsidR="70DB4956">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4FE78457" w:rsidR="70DB495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4FE78457" w:rsidR="70DB4956">
        <w:rPr>
          <w:rFonts w:ascii="Aptos" w:hAnsi="Aptos" w:eastAsia="Aptos" w:cs="Aptos"/>
          <w:b w:val="0"/>
          <w:bCs w:val="0"/>
          <w:i w:val="0"/>
          <w:iCs w:val="0"/>
          <w:caps w:val="0"/>
          <w:smallCaps w:val="0"/>
          <w:noProof w:val="0"/>
          <w:color w:val="000000" w:themeColor="text1" w:themeTint="FF" w:themeShade="FF"/>
          <w:sz w:val="24"/>
          <w:szCs w:val="24"/>
          <w:lang w:val="en-GB"/>
        </w:rPr>
        <w:t>November 2025).</w:t>
      </w:r>
    </w:p>
    <w:p w:rsidR="70DB4956" w:rsidP="4FE78457" w:rsidRDefault="70DB4956" w14:paraId="6C0CA30D" w14:textId="71D04B88">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4FE78457" w:rsidR="70DB4956">
        <w:rPr>
          <w:rFonts w:ascii="Aptos" w:hAnsi="Aptos" w:eastAsia="Aptos" w:cs="Aptos"/>
          <w:b w:val="0"/>
          <w:bCs w:val="0"/>
          <w:i w:val="0"/>
          <w:iCs w:val="0"/>
          <w:caps w:val="0"/>
          <w:smallCaps w:val="0"/>
          <w:noProof w:val="0"/>
          <w:color w:val="000000" w:themeColor="text1" w:themeTint="FF" w:themeShade="FF"/>
          <w:sz w:val="24"/>
          <w:szCs w:val="24"/>
          <w:lang w:val="en-GB"/>
        </w:rPr>
        <w:t xml:space="preserve">NHS (2022) </w:t>
      </w:r>
      <w:r w:rsidRPr="4FE78457" w:rsidR="70DB4956">
        <w:rPr>
          <w:rFonts w:ascii="Aptos" w:hAnsi="Aptos" w:eastAsia="Aptos" w:cs="Aptos"/>
          <w:b w:val="0"/>
          <w:bCs w:val="0"/>
          <w:i w:val="1"/>
          <w:iCs w:val="1"/>
          <w:caps w:val="0"/>
          <w:smallCaps w:val="0"/>
          <w:noProof w:val="0"/>
          <w:color w:val="000000" w:themeColor="text1" w:themeTint="FF" w:themeShade="FF"/>
          <w:sz w:val="24"/>
          <w:szCs w:val="24"/>
          <w:lang w:val="en-GB"/>
        </w:rPr>
        <w:t>Person-Centred Care in Dementia.</w:t>
      </w:r>
      <w:r w:rsidRPr="4FE78457" w:rsidR="70DB4956">
        <w:rPr>
          <w:rFonts w:ascii="Aptos" w:hAnsi="Aptos" w:eastAsia="Aptos" w:cs="Aptos"/>
          <w:b w:val="0"/>
          <w:bCs w:val="0"/>
          <w:i w:val="0"/>
          <w:iCs w:val="0"/>
          <w:caps w:val="0"/>
          <w:smallCaps w:val="0"/>
          <w:noProof w:val="0"/>
          <w:color w:val="000000" w:themeColor="text1" w:themeTint="FF" w:themeShade="FF"/>
          <w:sz w:val="24"/>
          <w:szCs w:val="24"/>
          <w:lang w:val="en-GB"/>
        </w:rPr>
        <w:t xml:space="preserve"> NHS England. Available at: </w:t>
      </w:r>
      <w:hyperlink r:id="Rb33f3a33ab2d4309">
        <w:r w:rsidRPr="4FE78457" w:rsidR="70DB4956">
          <w:rPr>
            <w:rStyle w:val="Hyperlink"/>
            <w:rFonts w:ascii="Aptos" w:hAnsi="Aptos" w:eastAsia="Aptos" w:cs="Aptos"/>
            <w:b w:val="0"/>
            <w:bCs w:val="0"/>
            <w:i w:val="0"/>
            <w:iCs w:val="0"/>
            <w:caps w:val="0"/>
            <w:smallCaps w:val="0"/>
            <w:strike w:val="0"/>
            <w:dstrike w:val="0"/>
            <w:noProof w:val="0"/>
            <w:sz w:val="24"/>
            <w:szCs w:val="24"/>
            <w:lang w:val="en-GB"/>
          </w:rPr>
          <w:t>https://www.england.nhs.uk</w:t>
        </w:r>
      </w:hyperlink>
      <w:r w:rsidRPr="4FE78457" w:rsidR="70DB495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4FE78457" w:rsidR="70DB4956">
        <w:rPr>
          <w:rFonts w:ascii="Aptos" w:hAnsi="Aptos" w:eastAsia="Aptos" w:cs="Aptos"/>
          <w:b w:val="0"/>
          <w:bCs w:val="0"/>
          <w:i w:val="0"/>
          <w:iCs w:val="0"/>
          <w:caps w:val="0"/>
          <w:smallCaps w:val="0"/>
          <w:noProof w:val="0"/>
          <w:color w:val="000000" w:themeColor="text1" w:themeTint="FF" w:themeShade="FF"/>
          <w:sz w:val="24"/>
          <w:szCs w:val="24"/>
          <w:lang w:val="en-GB"/>
        </w:rPr>
        <w:t>(Accessed: 12 November 2025).</w:t>
      </w:r>
    </w:p>
    <w:p w:rsidR="70DB4956" w:rsidP="4FE78457" w:rsidRDefault="70DB4956" w14:paraId="7E43B686" w14:textId="163FC807">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br/>
      </w:r>
      <w:r w:rsidRPr="4FE78457" w:rsidR="70DB4956">
        <w:rPr>
          <w:rFonts w:ascii="Aptos" w:hAnsi="Aptos" w:eastAsia="Aptos" w:cs="Aptos"/>
          <w:b w:val="0"/>
          <w:bCs w:val="0"/>
          <w:i w:val="0"/>
          <w:iCs w:val="0"/>
          <w:caps w:val="0"/>
          <w:smallCaps w:val="0"/>
          <w:noProof w:val="0"/>
          <w:color w:val="000000" w:themeColor="text1" w:themeTint="FF" w:themeShade="FF"/>
          <w:sz w:val="24"/>
          <w:szCs w:val="24"/>
          <w:lang w:val="en-GB"/>
        </w:rPr>
        <w:t xml:space="preserve">Van der Kaap‑Deeder, et al. (2021). The role of ego integrity and despair in older adults’ well‑being during the COVID‑19 crisis. </w:t>
      </w:r>
      <w:r w:rsidRPr="4FE78457" w:rsidR="70DB4956">
        <w:rPr>
          <w:rFonts w:ascii="Aptos" w:hAnsi="Aptos" w:eastAsia="Aptos" w:cs="Aptos"/>
          <w:b w:val="0"/>
          <w:bCs w:val="0"/>
          <w:i w:val="1"/>
          <w:iCs w:val="1"/>
          <w:caps w:val="0"/>
          <w:smallCaps w:val="0"/>
          <w:noProof w:val="0"/>
          <w:color w:val="000000" w:themeColor="text1" w:themeTint="FF" w:themeShade="FF"/>
          <w:sz w:val="24"/>
          <w:szCs w:val="24"/>
          <w:lang w:val="en-GB"/>
        </w:rPr>
        <w:t>European Journal of Ageing</w:t>
      </w:r>
      <w:r w:rsidRPr="4FE78457" w:rsidR="70DB495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hyperlink r:id="R0dade5a68374453b">
        <w:r w:rsidRPr="4FE78457" w:rsidR="70DB4956">
          <w:rPr>
            <w:rStyle w:val="Hyperlink"/>
            <w:rFonts w:ascii="Aptos" w:hAnsi="Aptos" w:eastAsia="Aptos" w:cs="Aptos"/>
            <w:b w:val="0"/>
            <w:bCs w:val="0"/>
            <w:i w:val="0"/>
            <w:iCs w:val="0"/>
            <w:caps w:val="0"/>
            <w:smallCaps w:val="0"/>
            <w:strike w:val="0"/>
            <w:dstrike w:val="0"/>
            <w:noProof w:val="0"/>
            <w:sz w:val="24"/>
            <w:szCs w:val="24"/>
            <w:lang w:val="en-GB"/>
          </w:rPr>
          <w:t>SpringerLink</w:t>
        </w:r>
      </w:hyperlink>
      <w:r w:rsidRPr="4FE78457" w:rsidR="70DB4956">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5</w:t>
      </w:r>
      <w:r w:rsidRPr="4FE78457" w:rsidR="70DB4956">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4FE78457" w:rsidR="70DB4956">
        <w:rPr>
          <w:rFonts w:ascii="Aptos" w:hAnsi="Aptos" w:eastAsia="Aptos" w:cs="Aptos"/>
          <w:b w:val="0"/>
          <w:bCs w:val="0"/>
          <w:i w:val="0"/>
          <w:iCs w:val="0"/>
          <w:caps w:val="0"/>
          <w:smallCaps w:val="0"/>
          <w:noProof w:val="0"/>
          <w:color w:val="000000" w:themeColor="text1" w:themeTint="FF" w:themeShade="FF"/>
          <w:sz w:val="24"/>
          <w:szCs w:val="24"/>
          <w:lang w:val="en-GB"/>
        </w:rPr>
        <w:t xml:space="preserve"> November 2025).</w:t>
      </w:r>
      <w:r>
        <w:br/>
      </w:r>
    </w:p>
    <w:p w:rsidR="70DB4956" w:rsidP="4FE78457" w:rsidRDefault="70DB4956" w14:paraId="4276F70B" w14:textId="75BFF692">
      <w:pPr>
        <w:spacing w:before="240" w:beforeAutospacing="off" w:after="240" w:afterAutospacing="off"/>
        <w:ind w:left="0"/>
        <w:rPr>
          <w:rFonts w:ascii="Aptos" w:hAnsi="Aptos" w:eastAsia="Aptos" w:cs="Aptos"/>
          <w:b w:val="0"/>
          <w:bCs w:val="0"/>
          <w:i w:val="0"/>
          <w:iCs w:val="0"/>
          <w:caps w:val="0"/>
          <w:smallCaps w:val="0"/>
          <w:noProof w:val="0"/>
          <w:color w:val="000000" w:themeColor="text1" w:themeTint="FF" w:themeShade="FF"/>
          <w:sz w:val="24"/>
          <w:szCs w:val="24"/>
          <w:lang w:val="en-GB"/>
        </w:rPr>
      </w:pPr>
      <w:r w:rsidRPr="4FE78457" w:rsidR="70DB4956">
        <w:rPr>
          <w:rFonts w:ascii="Aptos" w:hAnsi="Aptos" w:eastAsia="Aptos" w:cs="Aptos"/>
          <w:b w:val="0"/>
          <w:bCs w:val="0"/>
          <w:i w:val="0"/>
          <w:iCs w:val="0"/>
          <w:caps w:val="0"/>
          <w:smallCaps w:val="0"/>
          <w:noProof w:val="0"/>
          <w:color w:val="000000" w:themeColor="text1" w:themeTint="FF" w:themeShade="FF"/>
          <w:sz w:val="24"/>
          <w:szCs w:val="24"/>
          <w:lang w:val="en-GB"/>
        </w:rPr>
        <w:t xml:space="preserve">Westerhof, G. J., &amp; Bohlmeijer, E. T. (2014). Celebrating fifty years of research and applications in reminiscence and life review. </w:t>
      </w:r>
      <w:r w:rsidRPr="4FE78457" w:rsidR="70DB4956">
        <w:rPr>
          <w:rFonts w:ascii="Aptos" w:hAnsi="Aptos" w:eastAsia="Aptos" w:cs="Aptos"/>
          <w:b w:val="0"/>
          <w:bCs w:val="0"/>
          <w:i w:val="1"/>
          <w:iCs w:val="1"/>
          <w:caps w:val="0"/>
          <w:smallCaps w:val="0"/>
          <w:noProof w:val="0"/>
          <w:color w:val="000000" w:themeColor="text1" w:themeTint="FF" w:themeShade="FF"/>
          <w:sz w:val="24"/>
          <w:szCs w:val="24"/>
          <w:lang w:val="en-GB"/>
        </w:rPr>
        <w:t>Journal of Aging Studies, 29</w:t>
      </w:r>
      <w:r w:rsidRPr="4FE78457" w:rsidR="70DB4956">
        <w:rPr>
          <w:rFonts w:ascii="Aptos" w:hAnsi="Aptos" w:eastAsia="Aptos" w:cs="Aptos"/>
          <w:b w:val="0"/>
          <w:bCs w:val="0"/>
          <w:i w:val="0"/>
          <w:iCs w:val="0"/>
          <w:caps w:val="0"/>
          <w:smallCaps w:val="0"/>
          <w:noProof w:val="0"/>
          <w:color w:val="000000" w:themeColor="text1" w:themeTint="FF" w:themeShade="FF"/>
          <w:sz w:val="24"/>
          <w:szCs w:val="24"/>
          <w:lang w:val="en-GB"/>
        </w:rPr>
        <w:t>, 107–114 (Accessed 12</w:t>
      </w:r>
      <w:r w:rsidRPr="4FE78457" w:rsidR="70DB4956">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4FE78457" w:rsidR="70DB4956">
        <w:rPr>
          <w:rFonts w:ascii="Aptos" w:hAnsi="Aptos" w:eastAsia="Aptos" w:cs="Aptos"/>
          <w:b w:val="0"/>
          <w:bCs w:val="0"/>
          <w:i w:val="0"/>
          <w:iCs w:val="0"/>
          <w:caps w:val="0"/>
          <w:smallCaps w:val="0"/>
          <w:noProof w:val="0"/>
          <w:color w:val="000000" w:themeColor="text1" w:themeTint="FF" w:themeShade="FF"/>
          <w:sz w:val="24"/>
          <w:szCs w:val="24"/>
          <w:lang w:val="en-GB"/>
        </w:rPr>
        <w:t xml:space="preserve"> November 2025).</w:t>
      </w:r>
    </w:p>
    <w:p w:rsidR="70DB4956" w:rsidP="4FE78457" w:rsidRDefault="70DB4956" w14:paraId="0E58DC4F" w14:textId="36424BAA">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4FE78457" w:rsidR="70DB4956">
        <w:rPr>
          <w:rFonts w:ascii="Aptos" w:hAnsi="Aptos" w:eastAsia="Aptos" w:cs="Aptos"/>
          <w:b w:val="0"/>
          <w:bCs w:val="0"/>
          <w:i w:val="0"/>
          <w:iCs w:val="0"/>
          <w:caps w:val="0"/>
          <w:smallCaps w:val="0"/>
          <w:noProof w:val="0"/>
          <w:color w:val="000000" w:themeColor="text1" w:themeTint="FF" w:themeShade="FF"/>
          <w:sz w:val="24"/>
          <w:szCs w:val="24"/>
          <w:lang w:val="en-GB"/>
        </w:rPr>
        <w:t xml:space="preserve">WellCalm. (n.d.). What Is Erikson’s Primary Psychosocial Challenge for Older Adulthood? Retrieved from </w:t>
      </w:r>
      <w:hyperlink r:id="R44f51472d0cf48d8">
        <w:r w:rsidRPr="4FE78457" w:rsidR="70DB4956">
          <w:rPr>
            <w:rStyle w:val="Hyperlink"/>
            <w:rFonts w:ascii="Aptos" w:hAnsi="Aptos" w:eastAsia="Aptos" w:cs="Aptos"/>
            <w:b w:val="0"/>
            <w:bCs w:val="0"/>
            <w:i w:val="0"/>
            <w:iCs w:val="0"/>
            <w:caps w:val="0"/>
            <w:smallCaps w:val="0"/>
            <w:strike w:val="0"/>
            <w:dstrike w:val="0"/>
            <w:noProof w:val="0"/>
            <w:sz w:val="24"/>
            <w:szCs w:val="24"/>
            <w:lang w:val="en-GB"/>
          </w:rPr>
          <w:t>https://wellcalm.info/erikson-integrity-vs-despair-older-adulthood</w:t>
        </w:r>
      </w:hyperlink>
      <w:r w:rsidRPr="4FE78457" w:rsidR="70DB4956">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5</w:t>
      </w:r>
      <w:r w:rsidRPr="4FE78457" w:rsidR="70DB4956">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4FE78457" w:rsidR="70DB4956">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4FE78457" w:rsidR="70DB4956">
        <w:rPr>
          <w:rFonts w:ascii="Aptos" w:hAnsi="Aptos" w:eastAsia="Aptos" w:cs="Aptos"/>
          <w:b w:val="0"/>
          <w:bCs w:val="0"/>
          <w:i w:val="0"/>
          <w:iCs w:val="0"/>
          <w:caps w:val="0"/>
          <w:smallCaps w:val="0"/>
          <w:noProof w:val="0"/>
          <w:color w:val="000000" w:themeColor="text1" w:themeTint="FF" w:themeShade="FF"/>
          <w:sz w:val="24"/>
          <w:szCs w:val="24"/>
          <w:lang w:val="en-GB"/>
        </w:rPr>
        <w:t>November2025).</w:t>
      </w:r>
    </w:p>
    <w:p w:rsidR="70DB4956" w:rsidP="4FE78457" w:rsidRDefault="70DB4956" w14:paraId="66731495" w14:textId="6ECD9A59">
      <w:pPr>
        <w:rPr>
          <w:rFonts w:ascii="Aptos" w:hAnsi="Aptos" w:eastAsia="Aptos" w:cs="Aptos"/>
          <w:b w:val="0"/>
          <w:bCs w:val="0"/>
          <w:i w:val="0"/>
          <w:iCs w:val="0"/>
          <w:caps w:val="0"/>
          <w:smallCaps w:val="0"/>
          <w:noProof w:val="0"/>
          <w:color w:val="000000" w:themeColor="text1" w:themeTint="FF" w:themeShade="FF"/>
          <w:sz w:val="24"/>
          <w:szCs w:val="24"/>
          <w:lang w:val="en-GB"/>
        </w:rPr>
      </w:pPr>
      <w:r w:rsidRPr="4FE78457" w:rsidR="70DB4956">
        <w:rPr>
          <w:rFonts w:ascii="Aptos" w:hAnsi="Aptos" w:eastAsia="Aptos" w:cs="Aptos"/>
          <w:b w:val="0"/>
          <w:bCs w:val="0"/>
          <w:i w:val="0"/>
          <w:iCs w:val="0"/>
          <w:caps w:val="0"/>
          <w:smallCaps w:val="0"/>
          <w:noProof w:val="0"/>
          <w:color w:val="000000" w:themeColor="text1" w:themeTint="FF" w:themeShade="FF"/>
          <w:sz w:val="24"/>
          <w:szCs w:val="24"/>
          <w:lang w:val="en-GB"/>
        </w:rPr>
        <w:t xml:space="preserve">Woolhead, G., Calnan, M., Dieppe, P. and Tadd, W. (2004) ‘Dignity in older age: What do older people in the United Kingdom think?’, </w:t>
      </w:r>
      <w:r w:rsidRPr="4FE78457" w:rsidR="70DB4956">
        <w:rPr>
          <w:rFonts w:ascii="Aptos" w:hAnsi="Aptos" w:eastAsia="Aptos" w:cs="Aptos"/>
          <w:b w:val="0"/>
          <w:bCs w:val="0"/>
          <w:i w:val="1"/>
          <w:iCs w:val="1"/>
          <w:caps w:val="0"/>
          <w:smallCaps w:val="0"/>
          <w:noProof w:val="0"/>
          <w:color w:val="000000" w:themeColor="text1" w:themeTint="FF" w:themeShade="FF"/>
          <w:sz w:val="24"/>
          <w:szCs w:val="24"/>
          <w:lang w:val="en-GB"/>
        </w:rPr>
        <w:t>Age and Ageing,</w:t>
      </w:r>
      <w:r w:rsidRPr="4FE78457" w:rsidR="70DB4956">
        <w:rPr>
          <w:rFonts w:ascii="Aptos" w:hAnsi="Aptos" w:eastAsia="Aptos" w:cs="Aptos"/>
          <w:b w:val="0"/>
          <w:bCs w:val="0"/>
          <w:i w:val="0"/>
          <w:iCs w:val="0"/>
          <w:caps w:val="0"/>
          <w:smallCaps w:val="0"/>
          <w:noProof w:val="0"/>
          <w:color w:val="000000" w:themeColor="text1" w:themeTint="FF" w:themeShade="FF"/>
          <w:sz w:val="24"/>
          <w:szCs w:val="24"/>
          <w:lang w:val="en-GB"/>
        </w:rPr>
        <w:t xml:space="preserve"> 33(2), pp. 165–170. (Accessed 12</w:t>
      </w:r>
      <w:r w:rsidRPr="4FE78457" w:rsidR="70DB4956">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4FE78457" w:rsidR="70DB4956">
        <w:rPr>
          <w:rFonts w:ascii="Aptos" w:hAnsi="Aptos" w:eastAsia="Aptos" w:cs="Aptos"/>
          <w:b w:val="0"/>
          <w:bCs w:val="0"/>
          <w:i w:val="0"/>
          <w:iCs w:val="0"/>
          <w:caps w:val="0"/>
          <w:smallCaps w:val="0"/>
          <w:noProof w:val="0"/>
          <w:color w:val="000000" w:themeColor="text1" w:themeTint="FF" w:themeShade="FF"/>
          <w:sz w:val="24"/>
          <w:szCs w:val="24"/>
          <w:lang w:val="en-GB"/>
        </w:rPr>
        <w:t xml:space="preserve"> November 2025).</w:t>
      </w:r>
    </w:p>
    <w:p w:rsidR="4FE78457" w:rsidP="4FE78457" w:rsidRDefault="4FE78457" w14:paraId="6BDCD006" w14:textId="13E3599F">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4FE78457" w:rsidRDefault="4FE78457" w14:paraId="143B989F" w14:textId="56A653D6"/>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589daa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d640f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3CCE866"/>
    <w:rsid w:val="049A0039"/>
    <w:rsid w:val="072D9D1A"/>
    <w:rsid w:val="0A4EAA6F"/>
    <w:rsid w:val="0B5F4FE3"/>
    <w:rsid w:val="0C080742"/>
    <w:rsid w:val="1180E482"/>
    <w:rsid w:val="2AB7C4E0"/>
    <w:rsid w:val="2DF84108"/>
    <w:rsid w:val="35FFBE0E"/>
    <w:rsid w:val="474DC2BA"/>
    <w:rsid w:val="4FE7493A"/>
    <w:rsid w:val="4FE78457"/>
    <w:rsid w:val="524D7151"/>
    <w:rsid w:val="54A92A79"/>
    <w:rsid w:val="621C7A3C"/>
    <w:rsid w:val="62859790"/>
    <w:rsid w:val="63FDCA78"/>
    <w:rsid w:val="6A87ECEA"/>
    <w:rsid w:val="70DB4956"/>
    <w:rsid w:val="73CCE866"/>
    <w:rsid w:val="740662DD"/>
    <w:rsid w:val="74DA0612"/>
    <w:rsid w:val="75FECCE6"/>
    <w:rsid w:val="7E4A1F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CCE866"/>
  <w15:chartTrackingRefBased/>
  <w15:docId w15:val="{C13C255E-2D27-45FB-8FB8-223FDF81ED6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4FE78457"/>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qFormat/>
    <w:rsid w:val="4FE78457"/>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ListParagraph">
    <w:uiPriority w:val="34"/>
    <w:name w:val="List Paragraph"/>
    <w:basedOn w:val="Normal"/>
    <w:qFormat/>
    <w:rsid w:val="4FE78457"/>
    <w:pPr>
      <w:spacing/>
      <w:ind w:left="720"/>
      <w:contextualSpacing/>
    </w:pPr>
  </w:style>
  <w:style w:type="character" w:styleId="Hyperlink">
    <w:uiPriority w:val="99"/>
    <w:name w:val="Hyperlink"/>
    <w:basedOn w:val="DefaultParagraphFont"/>
    <w:unhideWhenUsed/>
    <w:rsid w:val="4FE78457"/>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ecampusontario.pressbooks.pub/alwaysdeveloping/chapter/psychosocial-development-in-older-adulthood/?utm_source=chatgpt.com" TargetMode="External" Id="R4740181d3a1648fc" /><Relationship Type="http://schemas.openxmlformats.org/officeDocument/2006/relationships/hyperlink" Target="https://ecampusontario.pressbooks.pub/alwaysdeveloping/chapter/psychosocial-development-in-older-adulthood/?utm_source=chatgpt.com" TargetMode="External" Id="Rb62c42175a2a4358" /><Relationship Type="http://schemas.openxmlformats.org/officeDocument/2006/relationships/hyperlink" Target="https://www.simplypsychology.org/maslow.html" TargetMode="External" Id="R5cc3a4af50574653" /><Relationship Type="http://schemas.openxmlformats.org/officeDocument/2006/relationships/hyperlink" Target="https://www.jgerontology-geriatrics.com/article/view/610?utm_source=chatgpt.com" TargetMode="External" Id="R7fbbf58214f9443e" /><Relationship Type="http://schemas.openxmlformats.org/officeDocument/2006/relationships/hyperlink" Target="https://www.england.nhs.uk/" TargetMode="External" Id="Rb33f3a33ab2d4309" /><Relationship Type="http://schemas.openxmlformats.org/officeDocument/2006/relationships/hyperlink" Target="https://link.springer.com/article/10.1007/s10433-021-00610-0?utm_source=chatgpt.com" TargetMode="External" Id="R0dade5a68374453b" /><Relationship Type="http://schemas.openxmlformats.org/officeDocument/2006/relationships/hyperlink" Target="https://wellcalm.info/erikson-integrity-vs-despair-older-adulthood?utm_source=chatgpt.com" TargetMode="External" Id="R44f51472d0cf48d8" /><Relationship Type="http://schemas.openxmlformats.org/officeDocument/2006/relationships/numbering" Target="/word/numbering.xml" Id="R86564587aeb7497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Ruby Begum (2422428)</dc:creator>
  <keywords/>
  <dc:description/>
  <lastModifiedBy>Ruby Begum (2422428)</lastModifiedBy>
  <revision>2</revision>
  <dcterms:created xsi:type="dcterms:W3CDTF">2025-11-13T19:28:30.0783164Z</dcterms:created>
  <dcterms:modified xsi:type="dcterms:W3CDTF">2025-11-13T19:48:13.1444534Z</dcterms:modified>
</coreProperties>
</file>