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76A5C" w14:textId="77777777" w:rsidR="00377AA0" w:rsidRDefault="00377AA0" w:rsidP="0046157A">
      <w:pPr>
        <w:rPr>
          <w:sz w:val="40"/>
          <w:szCs w:val="36"/>
        </w:rPr>
      </w:pPr>
    </w:p>
    <w:p w14:paraId="44B1FE45" w14:textId="77777777" w:rsidR="00377AA0" w:rsidRDefault="00377AA0" w:rsidP="00377AA0">
      <w:pPr>
        <w:jc w:val="center"/>
        <w:rPr>
          <w:sz w:val="40"/>
          <w:szCs w:val="36"/>
        </w:rPr>
      </w:pPr>
    </w:p>
    <w:p w14:paraId="4134E8AD" w14:textId="3C870506" w:rsidR="00377AA0" w:rsidRPr="00377AA0" w:rsidRDefault="00377AA0" w:rsidP="00377AA0">
      <w:pPr>
        <w:jc w:val="center"/>
        <w:rPr>
          <w:b/>
          <w:bCs/>
          <w:sz w:val="40"/>
          <w:szCs w:val="36"/>
        </w:rPr>
      </w:pPr>
      <w:r w:rsidRPr="00377AA0">
        <w:rPr>
          <w:b/>
          <w:bCs/>
          <w:sz w:val="40"/>
          <w:szCs w:val="36"/>
        </w:rPr>
        <w:t xml:space="preserve">Module Name: Criminal </w:t>
      </w:r>
      <w:r>
        <w:rPr>
          <w:b/>
          <w:bCs/>
          <w:sz w:val="40"/>
          <w:szCs w:val="36"/>
        </w:rPr>
        <w:t>Law</w:t>
      </w:r>
    </w:p>
    <w:p w14:paraId="7FF9B38E" w14:textId="57C26A20" w:rsidR="00377AA0" w:rsidRDefault="0046157A" w:rsidP="0046157A">
      <w:pPr>
        <w:tabs>
          <w:tab w:val="center" w:pos="4513"/>
          <w:tab w:val="left" w:pos="7460"/>
        </w:tabs>
        <w:jc w:val="left"/>
        <w:rPr>
          <w:b/>
          <w:bCs/>
          <w:sz w:val="40"/>
          <w:szCs w:val="36"/>
        </w:rPr>
      </w:pPr>
      <w:r>
        <w:rPr>
          <w:b/>
          <w:bCs/>
          <w:sz w:val="40"/>
          <w:szCs w:val="36"/>
        </w:rPr>
        <w:tab/>
      </w:r>
      <w:r w:rsidR="00377AA0" w:rsidRPr="00377AA0">
        <w:rPr>
          <w:b/>
          <w:bCs/>
          <w:sz w:val="40"/>
          <w:szCs w:val="36"/>
        </w:rPr>
        <w:t>Module Code: BMPL4009</w:t>
      </w:r>
    </w:p>
    <w:p w14:paraId="5B2EE6A7" w14:textId="7C9FB921" w:rsidR="0046157A" w:rsidRPr="00377AA0" w:rsidRDefault="0046157A" w:rsidP="00377AA0">
      <w:pPr>
        <w:jc w:val="center"/>
        <w:rPr>
          <w:b/>
          <w:bCs/>
          <w:sz w:val="40"/>
          <w:szCs w:val="36"/>
        </w:rPr>
      </w:pPr>
      <w:r>
        <w:rPr>
          <w:b/>
          <w:bCs/>
          <w:sz w:val="40"/>
          <w:szCs w:val="36"/>
        </w:rPr>
        <w:t>Examine the concept of dishonesty and the role it plays in relation to offences of theft in th UK</w:t>
      </w:r>
    </w:p>
    <w:p w14:paraId="1B050496" w14:textId="3A921526" w:rsidR="00377AA0" w:rsidRPr="00377AA0" w:rsidRDefault="00377AA0" w:rsidP="00377AA0">
      <w:pPr>
        <w:jc w:val="center"/>
        <w:rPr>
          <w:sz w:val="32"/>
          <w:szCs w:val="28"/>
        </w:rPr>
      </w:pPr>
      <w:r w:rsidRPr="00377AA0">
        <w:rPr>
          <w:sz w:val="32"/>
          <w:szCs w:val="28"/>
        </w:rPr>
        <w:t>Student Name: Anamaria Raluca Moldovan</w:t>
      </w:r>
    </w:p>
    <w:p w14:paraId="308499B2" w14:textId="132C785E" w:rsidR="00377AA0" w:rsidRPr="00377AA0" w:rsidRDefault="00377AA0" w:rsidP="00377AA0">
      <w:pPr>
        <w:jc w:val="center"/>
        <w:rPr>
          <w:sz w:val="22"/>
          <w:szCs w:val="20"/>
        </w:rPr>
      </w:pPr>
      <w:r w:rsidRPr="00377AA0">
        <w:rPr>
          <w:sz w:val="32"/>
          <w:szCs w:val="28"/>
        </w:rPr>
        <w:t>Student I</w:t>
      </w:r>
      <w:r w:rsidR="00D55B86">
        <w:rPr>
          <w:sz w:val="32"/>
          <w:szCs w:val="28"/>
        </w:rPr>
        <w:t>D</w:t>
      </w:r>
      <w:r w:rsidRPr="00377AA0">
        <w:rPr>
          <w:sz w:val="32"/>
          <w:szCs w:val="28"/>
        </w:rPr>
        <w:t>:</w:t>
      </w:r>
      <w:r w:rsidR="0046157A">
        <w:rPr>
          <w:sz w:val="32"/>
          <w:szCs w:val="28"/>
        </w:rPr>
        <w:t>2314722</w:t>
      </w:r>
      <w:r w:rsidRPr="00377AA0">
        <w:rPr>
          <w:sz w:val="22"/>
          <w:szCs w:val="20"/>
        </w:rPr>
        <w:br w:type="page"/>
      </w:r>
    </w:p>
    <w:p w14:paraId="2F2225D3" w14:textId="3F54BA87" w:rsidR="00E25FF6" w:rsidRDefault="00E25FF6" w:rsidP="00E25FF6">
      <w:pPr>
        <w:pStyle w:val="Heading1"/>
        <w:rPr>
          <w:rFonts w:cs="Times New Roman"/>
          <w:sz w:val="24"/>
          <w:lang w:val="en-IN"/>
        </w:rPr>
      </w:pPr>
      <w:r>
        <w:lastRenderedPageBreak/>
        <w:t>Introduction</w:t>
      </w:r>
    </w:p>
    <w:p w14:paraId="4C11E2BF" w14:textId="634E876C" w:rsidR="00E25FF6" w:rsidRDefault="00E25FF6" w:rsidP="00E25FF6">
      <w:r>
        <w:t xml:space="preserve">According to the Theft Act of 1968, legislation defines the idea of dishonesty and appropriation of property belonging to another with a wrong intention to permanently deprive them of it. The principal aim of the idea of theft is to acquire an individual’s property without their concern which critically includes starting from stealing and pickpocketing to more critical offences. Understanding dishonesty in criminology plays a vital role as its presence in court can drastically alter court case decisions. This also can create complex and critical business transaction issues while negatively influencing the society, growth, democracy and living conditions of </w:t>
      </w:r>
      <w:r w:rsidRPr="002453B2">
        <w:t>commoners</w:t>
      </w:r>
      <w:r w:rsidR="002453B2" w:rsidRPr="002453B2">
        <w:t xml:space="preserve"> (Griffiths, 2020)</w:t>
      </w:r>
      <w:r w:rsidRPr="002453B2">
        <w:t>. Examples</w:t>
      </w:r>
      <w:r>
        <w:t xml:space="preserve"> of dishonesty offences include blackmailing, offices of the Fraud Act of  2006, handling stolen goods, burglary, robbery and false accounting. The following essay will critically develop a vital understanding of the concept of dishonesty and the role it plays concerning offences of theft. Different arguments and perspectives will be highlighted while case studies and applications will be highlighted with the help of the Common law test of dishonesty.</w:t>
      </w:r>
    </w:p>
    <w:p w14:paraId="15BF3443" w14:textId="77777777" w:rsidR="00E25FF6" w:rsidRDefault="00E25FF6">
      <w:pPr>
        <w:spacing w:before="0" w:after="160" w:line="259" w:lineRule="auto"/>
        <w:jc w:val="left"/>
        <w:rPr>
          <w:sz w:val="28"/>
          <w:szCs w:val="28"/>
        </w:rPr>
      </w:pPr>
      <w:r>
        <w:rPr>
          <w:sz w:val="28"/>
          <w:szCs w:val="28"/>
        </w:rPr>
        <w:br w:type="page"/>
      </w:r>
    </w:p>
    <w:p w14:paraId="6534A415" w14:textId="5989C7B4" w:rsidR="00E25FF6" w:rsidRDefault="00E25FF6" w:rsidP="00E25FF6">
      <w:pPr>
        <w:pStyle w:val="Heading1"/>
      </w:pPr>
      <w:r>
        <w:lastRenderedPageBreak/>
        <w:t>Discussion</w:t>
      </w:r>
    </w:p>
    <w:p w14:paraId="2F87ACA5" w14:textId="5D0D7CF8" w:rsidR="00E25FF6" w:rsidRDefault="00E25FF6" w:rsidP="00E25FF6">
      <w:r>
        <w:t xml:space="preserve">The Ivey is a two-stage test which helps individuals in the legal justice system to effectively determine other individuals’ conduct’s nature of being dishonest or not by the standards of ordinary individuals. This test proactively replaced the Ghosh test which shows a complex infrastructure and interface causing difficulty for jurors to apply in their practices to come up with appropriate results. The Ghosh test aims to ask whether the defendant’s conduct was dishonest according to the standards of reasonable people. The Ivey test asks about the defender’s state of knowledge or belief about the factors and whether their conduct is dishonest by the standards of ordinary </w:t>
      </w:r>
      <w:r w:rsidRPr="002453B2">
        <w:t>individuals</w:t>
      </w:r>
      <w:r w:rsidR="002453B2" w:rsidRPr="002453B2">
        <w:t xml:space="preserve"> (Holmes Jr, 2020)</w:t>
      </w:r>
      <w:r w:rsidRPr="002453B2">
        <w:t xml:space="preserve"> The</w:t>
      </w:r>
      <w:r>
        <w:t xml:space="preserve"> Ivey test </w:t>
      </w:r>
      <w:r w:rsidR="002453B2">
        <w:t>plays</w:t>
      </w:r>
      <w:r>
        <w:t xml:space="preserve"> a vital role in helping in both civil and criminal jurisdictions. According to the legal perspectives traditional approach or pre-Ivey is the perspective which follows the traditional two-part test of dishonesty. It is primarily focused on the subjective and objective elements of honesty. </w:t>
      </w:r>
    </w:p>
    <w:p w14:paraId="02F708D1" w14:textId="755187B2" w:rsidR="00E25FF6" w:rsidRDefault="00E25FF6" w:rsidP="00E25FF6">
      <w:r>
        <w:t>R v Ghosh (1982) is a well-reputed English criminal law case establishing a test for dishonest conduct. The case is relevant to several offences including theft, fraud, blackmailing and benefit fraud. In the following case, the Surgeon named Dr Ghsoh was convicted of four critical offences under the legislation Theft Act of 1968. Dr Ghosh was a locum consultant and falsely claimed to have performed a surgical operation to claim payment. The individual felt that he was not dishonest as he believed that he was entitled to that payment</w:t>
      </w:r>
      <w:r w:rsidR="002453B2">
        <w:t xml:space="preserve"> </w:t>
      </w:r>
      <w:r w:rsidR="002453B2" w:rsidRPr="002453B2">
        <w:t>(Taylor and Ó Floinn, 2021)</w:t>
      </w:r>
      <w:r w:rsidRPr="002453B2">
        <w:t>.</w:t>
      </w:r>
      <w:r>
        <w:t xml:space="preserve"> The court of appeal has conducted a critical Twp-limb test on Dr Ghosh, now known as the Ghosh test for the juries. Where the test became widely well known as the procedure to understand dishonesty in English criminal law. Dr Ghosh was ultimately convicted and his appeal against the judgement was dismissed for good. The ruling of R v Ghosh (1982) has continued for 35 years since being overruled by Ivey v Genting Casinos Ltd (2017) </w:t>
      </w:r>
      <w:sdt>
        <w:sdtPr>
          <w:id w:val="-46146977"/>
          <w:citation/>
        </w:sdtPr>
        <w:sdtContent>
          <w:r>
            <w:fldChar w:fldCharType="begin"/>
          </w:r>
          <w:r>
            <w:rPr>
              <w:lang w:val="en-IN"/>
            </w:rPr>
            <w:instrText xml:space="preserve"> CITATION Law24 \l 16393 </w:instrText>
          </w:r>
          <w:r>
            <w:fldChar w:fldCharType="separate"/>
          </w:r>
          <w:r w:rsidRPr="00E25FF6">
            <w:rPr>
              <w:noProof/>
              <w:lang w:val="en-IN"/>
            </w:rPr>
            <w:t>(Lawresources, 2024)</w:t>
          </w:r>
          <w:r>
            <w:fldChar w:fldCharType="end"/>
          </w:r>
        </w:sdtContent>
      </w:sdt>
      <w:r>
        <w:t xml:space="preserve">. This was a revised approach which showed their presence as the Post-Ivey aspect. This revised approach has served several advantages to the societal content </w:t>
      </w:r>
      <w:r>
        <w:lastRenderedPageBreak/>
        <w:t xml:space="preserve">including the clarity and consistency which provided a clearer and more straightforward criterion for assessing dishonesty. Professional Gambler Phil Ivey used a technique named "edge-sorting" at Crockfords Club which exploits alight variations in playing cards. This caused him to win a sum of money yet the casino refused to pay him considering his acts as cheating. A question arose on the Supreme Court whether Ivey's edge-sorting amounted to cheating under the Gambling Act 2005. Ivey v Genting Casinos (2017) effectively replaced the Ghosh test with a primarily objective approach for determining dishonesty in civil cases </w:t>
      </w:r>
      <w:sdt>
        <w:sdtPr>
          <w:id w:val="-1879930324"/>
          <w:citation/>
        </w:sdtPr>
        <w:sdtContent>
          <w:r>
            <w:fldChar w:fldCharType="begin"/>
          </w:r>
          <w:r>
            <w:rPr>
              <w:lang w:val="en-IN"/>
            </w:rPr>
            <w:instrText xml:space="preserve"> CITATION Sup242 \l 16393 </w:instrText>
          </w:r>
          <w:r>
            <w:fldChar w:fldCharType="separate"/>
          </w:r>
          <w:r w:rsidRPr="00E25FF6">
            <w:rPr>
              <w:noProof/>
              <w:lang w:val="en-IN"/>
            </w:rPr>
            <w:t>(Supremecourt, 2024)</w:t>
          </w:r>
          <w:r>
            <w:fldChar w:fldCharType="end"/>
          </w:r>
        </w:sdtContent>
      </w:sdt>
      <w:r>
        <w:t>. </w:t>
      </w:r>
    </w:p>
    <w:p w14:paraId="5A19E95B" w14:textId="6FF13DC3" w:rsidR="00E25FF6" w:rsidRDefault="00E25FF6" w:rsidP="00E25FF6">
      <w:r>
        <w:t xml:space="preserve">This has effectively reduced the potential inconsistency and verdict by effectively focusing on the process of an ordinary person’s way of perceiving the accused’s behaviour. This sift has dismissed the critique’s argument on the lack of modernisation of R v Ghosh (1982). However, the process faces a crucial lack of subjectivity as critics argue that may overlook the factors related to the accused person’s intention and state of mind. The sir was towards objective standard dishonesty and focused on an ordinary individual’s awareness of the circumstances </w:t>
      </w:r>
      <w:r w:rsidRPr="00E25FF6">
        <w:t>(Campbell, 2020). The legal interpretation</w:t>
      </w:r>
      <w:r>
        <w:t xml:space="preserve"> of dishonesty in theft offences underwent significant shifts during the change from a subjective complex R v Ghosh (1982) to an objective Ivey v Genting Casinos UK Ltd (2017). This aligned with the contemporary modern norms in society while influencing the understanding and how dishonesty is assessed in not only theft offences but also in criminal matters. While Ghosh required proof of the accused understanding of their actions being dishonest, Ivey emphasised the accused’s own beliefs while considering the thoughts of ordinary people in the context of the </w:t>
      </w:r>
      <w:r w:rsidRPr="00E25FF6">
        <w:t>case (Jackson, 20</w:t>
      </w:r>
      <w:r>
        <w:t>20</w:t>
      </w:r>
      <w:r w:rsidRPr="00E25FF6">
        <w:t>).</w:t>
      </w:r>
    </w:p>
    <w:p w14:paraId="2F1A2114" w14:textId="1FFF8A96" w:rsidR="00E25FF6" w:rsidRDefault="00D55B86" w:rsidP="00E25FF6">
      <w:r>
        <w:t xml:space="preserve">Applicatiom of </w:t>
      </w:r>
      <w:r w:rsidR="00E25FF6">
        <w:t xml:space="preserve">both tests of understanding dishonesty, it can be clarified through a critical understanding. In case a young teenager finds a wallet full of money and believes it is lost it makes them keep it intending to return it at some point yet they never do. In the case of the Ghosh test the objective limb might define that for a responsible person this conduct can be </w:t>
      </w:r>
      <w:r w:rsidR="00E25FF6">
        <w:lastRenderedPageBreak/>
        <w:t xml:space="preserve">dishonest yet in the context of the subjective limb teenagers might argue about their intention to return it afterwards. This can create difficulty in prosecution for court. According to the Ivey standards, in the same senario, the objective stars will consider it as dishonest conduct regardless of the finder’s intention. This can come out with an outcome showing the teenager's intention to return the wallet as non-relevant charging the circumstances as theft. </w:t>
      </w:r>
      <w:r w:rsidR="00447E5F">
        <w:t xml:space="preserve">Hence, it </w:t>
      </w:r>
      <w:r w:rsidR="00E25FF6">
        <w:t>shows that the Ghosh test might be favourable for a defendant while Ivey Stadrsd can place greater emphasis on an objective nature. In the modern context, the Ivey test is primarily preferred while the accused’s perspectives are only considered in specific circumstances.</w:t>
      </w:r>
    </w:p>
    <w:p w14:paraId="1873BEA8" w14:textId="5CE59E4C" w:rsidR="00E25FF6" w:rsidRDefault="00E25FF6" w:rsidP="00E25FF6">
      <w:r>
        <w:t xml:space="preserve">R v Hughes (2013) is a case which foreshadowed the shift towards the objective case. </w:t>
      </w:r>
      <w:r w:rsidR="00447E5F">
        <w:t xml:space="preserve">The </w:t>
      </w:r>
      <w:r>
        <w:t xml:space="preserve">case dealt with the issues of death by driving while unlicensed, uninsured or disqualified. This case has emphasised the importance of the objective limb of the Ghosh test in the assessment of dishonesty </w:t>
      </w:r>
      <w:sdt>
        <w:sdtPr>
          <w:id w:val="-1328126516"/>
          <w:citation/>
        </w:sdtPr>
        <w:sdtContent>
          <w:r>
            <w:fldChar w:fldCharType="begin"/>
          </w:r>
          <w:r>
            <w:rPr>
              <w:lang w:val="en-IN"/>
            </w:rPr>
            <w:instrText xml:space="preserve"> CITATION Sup241 \l 16393 </w:instrText>
          </w:r>
          <w:r>
            <w:fldChar w:fldCharType="separate"/>
          </w:r>
          <w:r w:rsidRPr="00E25FF6">
            <w:rPr>
              <w:noProof/>
              <w:lang w:val="en-IN"/>
            </w:rPr>
            <w:t>(Supremecourt, 2024)</w:t>
          </w:r>
          <w:r>
            <w:fldChar w:fldCharType="end"/>
          </w:r>
        </w:sdtContent>
      </w:sdt>
      <w:r>
        <w:t xml:space="preserve">. On the other hand, another case is Twinsect Enterprises Ltd v Yardley (2012) which plays a significant presence as an English civil case that explored the concept of “Commercial morality”. Twinsect Enterprises Ltd a recruitment agency placed Ms Uardley with their client organsitaion while afterwards the client gas later claimed that the agency had misrepresented the individual’s qualifications. In this context, the court has acknowledged the Ghosh test. While not directly addressing the test for dishonesty Twinsect Enterprises Ltd provided an understanding of an objective approach which was adopted by the Ivey v Genting Casinos (2017) </w:t>
      </w:r>
      <w:sdt>
        <w:sdtPr>
          <w:id w:val="-101423643"/>
          <w:citation/>
        </w:sdtPr>
        <w:sdtContent>
          <w:r>
            <w:fldChar w:fldCharType="begin"/>
          </w:r>
          <w:r>
            <w:rPr>
              <w:lang w:val="en-IN"/>
            </w:rPr>
            <w:instrText xml:space="preserve"> CITATION Par245 \l 16393 </w:instrText>
          </w:r>
          <w:r>
            <w:fldChar w:fldCharType="separate"/>
          </w:r>
          <w:r w:rsidRPr="00E25FF6">
            <w:rPr>
              <w:noProof/>
              <w:lang w:val="en-IN"/>
            </w:rPr>
            <w:t>(Parliament, 2024)</w:t>
          </w:r>
          <w:r>
            <w:fldChar w:fldCharType="end"/>
          </w:r>
        </w:sdtContent>
      </w:sdt>
      <w:r>
        <w:t xml:space="preserve">. However, this case has effectively broadened the scope of what constitutes dishonesty in commercial settings. Another case of R v Adams (1996) involved a defendant who claimed their entitlement to money obtained. The court while discussing this case has felt a limitation of the subjective limb of the Ghosh test which allows them to increase their focus on objective standards of dishonesty. The case has discussed that the defendant’s mistaken belief about the honesty of their actions was not enough </w:t>
      </w:r>
      <w:r>
        <w:lastRenderedPageBreak/>
        <w:t xml:space="preserve">or sufficient defence which led them to sift their norms towards Ivey v Genting Casinos (2017) </w:t>
      </w:r>
      <w:sdt>
        <w:sdtPr>
          <w:id w:val="-459883585"/>
          <w:citation/>
        </w:sdtPr>
        <w:sdtContent>
          <w:r>
            <w:fldChar w:fldCharType="begin"/>
          </w:r>
          <w:r>
            <w:rPr>
              <w:lang w:val="en-IN"/>
            </w:rPr>
            <w:instrText xml:space="preserve"> CITATION UK241 \l 16393 </w:instrText>
          </w:r>
          <w:r>
            <w:fldChar w:fldCharType="separate"/>
          </w:r>
          <w:r w:rsidRPr="00E25FF6">
            <w:rPr>
              <w:noProof/>
              <w:lang w:val="en-IN"/>
            </w:rPr>
            <w:t>(UK, 2024)</w:t>
          </w:r>
          <w:r>
            <w:fldChar w:fldCharType="end"/>
          </w:r>
        </w:sdtContent>
      </w:sdt>
      <w:r>
        <w:t>.</w:t>
      </w:r>
    </w:p>
    <w:p w14:paraId="2B65E3F6" w14:textId="730032F3" w:rsidR="00E25FF6" w:rsidRPr="002453B2" w:rsidRDefault="00CA4B24" w:rsidP="00E25FF6">
      <w:r>
        <w:t xml:space="preserve">Several </w:t>
      </w:r>
      <w:r w:rsidR="00E25FF6">
        <w:t xml:space="preserve">supporters of the Ghosh test supported and argued the tests were being considered. The defender's state of mind while protecting defenders against unintended dishonesty. This also argued that reducing the potential for unjust outcomes should not be avoided while giving harsh punishment for technical breaches of honesty. While the opposing arguments include the critics understanding the defender's self-serving belief of honesty can be difficult to disprove, which can cause inconsistent outcomes. Some critics argue that the Ghosh test is more likely to focus on opponents' mental state over the actual dishonest act, which needs to be punished which creates potential complexity and difficulty in applying in </w:t>
      </w:r>
      <w:r w:rsidR="00E25FF6" w:rsidRPr="002453B2">
        <w:t>practice</w:t>
      </w:r>
      <w:r w:rsidR="002453B2" w:rsidRPr="002453B2">
        <w:t xml:space="preserve"> (Leggett 2020)</w:t>
      </w:r>
      <w:r w:rsidR="00E25FF6" w:rsidRPr="002453B2">
        <w:t>. On</w:t>
      </w:r>
      <w:r w:rsidR="00E25FF6">
        <w:t xml:space="preserve"> the other hand, the highway standards have focused on the reasonable person perspective, which promotes clarity and consistency in the assessment of dishonesty in the legal system. According to the supporters of Ivey standards, this helps protect the public interest by only prioritising objective standards to ensure avoiding dishonest behaviour in trust and ethical business practises. According to the supporters, this reduces the room for any kind of manipulation based on personal beliefs. However, there are opposing arguments which define that it can create potentially harsh outcomes without considering any kind of mental state of the accused. Some people believe that ignoring individual circumstances mice disguise society's living well-being, creating a unique mental state that can cause the potential for moral grey </w:t>
      </w:r>
      <w:r w:rsidR="00E25FF6" w:rsidRPr="002453B2">
        <w:t>areas</w:t>
      </w:r>
      <w:r w:rsidR="002453B2" w:rsidRPr="002453B2">
        <w:t xml:space="preserve"> (Ormerod and Laird, 2020)</w:t>
      </w:r>
      <w:r w:rsidR="00E25FF6" w:rsidRPr="002453B2">
        <w:t>.</w:t>
      </w:r>
    </w:p>
    <w:p w14:paraId="501D105A" w14:textId="77777777" w:rsidR="00E25FF6" w:rsidRDefault="00E25FF6">
      <w:pPr>
        <w:spacing w:before="0" w:after="160" w:line="259" w:lineRule="auto"/>
        <w:jc w:val="left"/>
      </w:pPr>
      <w:r>
        <w:br w:type="page"/>
      </w:r>
    </w:p>
    <w:p w14:paraId="7EE71F4B" w14:textId="0ACC065F" w:rsidR="00E25FF6" w:rsidRDefault="00E25FF6" w:rsidP="00E25FF6">
      <w:pPr>
        <w:pStyle w:val="Heading1"/>
      </w:pPr>
      <w:r>
        <w:lastRenderedPageBreak/>
        <w:t>Conclusion</w:t>
      </w:r>
    </w:p>
    <w:p w14:paraId="03A872AA" w14:textId="5A01F8E0" w:rsidR="00E25FF6" w:rsidRDefault="00E25FF6" w:rsidP="00E25FF6">
      <w:r>
        <w:t>The dynamic landscape of law and criminal justice plays a vital role in supporting society's being and includes several compounds. Understanding dishonesty in the context of theft is also an important factor in the UK's legal system of Criminology. The evaluation from the traditional R v Ghosh (1982)  test of dishonesty has promoted and crucial understanding of both objective and subjective perspectives in the context of case laws. However, the shifted changes in Ivey v Genting Casinos UK Ltd (2017) have effectively introduced the focus on objective understanding which reduced the focus on the accused’s mental state of perspective. However, according to the critics, there can be several issues for avoiding the accused perspective that can cause hast punishments. The adoption of the Ivey Standards has represented modernisation and appropriate addressing of this honesty in modern societal contacts with legal principles. This ongoing discussion has created an effective approach to understanding the balance between fairness legal clarity and justice for dishonesty in theft.</w:t>
      </w:r>
    </w:p>
    <w:p w14:paraId="18B59892" w14:textId="77777777" w:rsidR="00E25FF6" w:rsidRDefault="00E25FF6">
      <w:pPr>
        <w:spacing w:before="0" w:after="160" w:line="259" w:lineRule="auto"/>
        <w:jc w:val="left"/>
      </w:pPr>
      <w:r>
        <w:br w:type="page"/>
      </w:r>
    </w:p>
    <w:p w14:paraId="2CD7486B" w14:textId="238A284D" w:rsidR="00E25FF6" w:rsidRDefault="00E25FF6" w:rsidP="00E25FF6">
      <w:pPr>
        <w:pStyle w:val="Heading1"/>
      </w:pPr>
      <w:r>
        <w:lastRenderedPageBreak/>
        <w:t>References</w:t>
      </w:r>
    </w:p>
    <w:p w14:paraId="2634012C" w14:textId="77777777" w:rsidR="00447E5F" w:rsidRPr="00447E5F" w:rsidRDefault="00447E5F" w:rsidP="00447E5F">
      <w:pPr>
        <w:rPr>
          <w:shd w:val="clear" w:color="auto" w:fill="FFFFFF"/>
        </w:rPr>
      </w:pPr>
      <w:r w:rsidRPr="00447E5F">
        <w:rPr>
          <w:shd w:val="clear" w:color="auto" w:fill="FFFFFF"/>
        </w:rPr>
        <w:t>Campbell, K., (2020). The Test of Dishonesty in R. v. Ghosh. </w:t>
      </w:r>
      <w:r w:rsidRPr="00447E5F">
        <w:rPr>
          <w:i/>
          <w:iCs/>
          <w:shd w:val="clear" w:color="auto" w:fill="FFFFFF"/>
        </w:rPr>
        <w:t>The Cambridge Law Journal</w:t>
      </w:r>
      <w:r w:rsidRPr="00447E5F">
        <w:rPr>
          <w:shd w:val="clear" w:color="auto" w:fill="FFFFFF"/>
        </w:rPr>
        <w:t>, </w:t>
      </w:r>
      <w:r w:rsidRPr="00447E5F">
        <w:rPr>
          <w:i/>
          <w:iCs/>
          <w:shd w:val="clear" w:color="auto" w:fill="FFFFFF"/>
        </w:rPr>
        <w:t>43</w:t>
      </w:r>
      <w:r w:rsidRPr="00447E5F">
        <w:rPr>
          <w:shd w:val="clear" w:color="auto" w:fill="FFFFFF"/>
        </w:rPr>
        <w:t>(2), pp.349-360.</w:t>
      </w:r>
    </w:p>
    <w:p w14:paraId="341DAA8F" w14:textId="77777777" w:rsidR="00447E5F" w:rsidRPr="00447E5F" w:rsidRDefault="00447E5F" w:rsidP="00447E5F">
      <w:pPr>
        <w:rPr>
          <w:shd w:val="clear" w:color="auto" w:fill="FFFFFF"/>
        </w:rPr>
      </w:pPr>
      <w:r w:rsidRPr="00447E5F">
        <w:rPr>
          <w:shd w:val="clear" w:color="auto" w:fill="FFFFFF"/>
        </w:rPr>
        <w:t>Griffiths, C., (2020). The honest cheat: a timely history of cheating and fraud following Ivey v Genting Casinos (UK) Ltd t/a Crockfords [2017] UKSC 67. </w:t>
      </w:r>
      <w:r w:rsidRPr="00447E5F">
        <w:rPr>
          <w:i/>
          <w:iCs/>
          <w:shd w:val="clear" w:color="auto" w:fill="FFFFFF"/>
        </w:rPr>
        <w:t>Legal Studies</w:t>
      </w:r>
      <w:r w:rsidRPr="00447E5F">
        <w:rPr>
          <w:shd w:val="clear" w:color="auto" w:fill="FFFFFF"/>
        </w:rPr>
        <w:t>, </w:t>
      </w:r>
      <w:r w:rsidRPr="00447E5F">
        <w:rPr>
          <w:i/>
          <w:iCs/>
          <w:shd w:val="clear" w:color="auto" w:fill="FFFFFF"/>
        </w:rPr>
        <w:t>40</w:t>
      </w:r>
      <w:r w:rsidRPr="00447E5F">
        <w:rPr>
          <w:shd w:val="clear" w:color="auto" w:fill="FFFFFF"/>
        </w:rPr>
        <w:t>(2), pp.252-268.</w:t>
      </w:r>
    </w:p>
    <w:p w14:paraId="712504EA" w14:textId="77777777" w:rsidR="00447E5F" w:rsidRPr="00447E5F" w:rsidRDefault="00447E5F" w:rsidP="00447E5F">
      <w:pPr>
        <w:rPr>
          <w:shd w:val="clear" w:color="auto" w:fill="FFFFFF"/>
        </w:rPr>
      </w:pPr>
      <w:r w:rsidRPr="00447E5F">
        <w:rPr>
          <w:shd w:val="clear" w:color="auto" w:fill="FFFFFF"/>
        </w:rPr>
        <w:t>Holmes Jr, O.W., (2020). </w:t>
      </w:r>
      <w:r w:rsidRPr="00447E5F">
        <w:rPr>
          <w:i/>
          <w:iCs/>
          <w:shd w:val="clear" w:color="auto" w:fill="FFFFFF"/>
        </w:rPr>
        <w:t>The common law</w:t>
      </w:r>
      <w:r w:rsidRPr="00447E5F">
        <w:rPr>
          <w:shd w:val="clear" w:color="auto" w:fill="FFFFFF"/>
        </w:rPr>
        <w:t>. Routledge.</w:t>
      </w:r>
    </w:p>
    <w:p w14:paraId="343A8476" w14:textId="77777777" w:rsidR="00447E5F" w:rsidRPr="00447E5F" w:rsidRDefault="00447E5F" w:rsidP="00447E5F">
      <w:pPr>
        <w:rPr>
          <w:shd w:val="clear" w:color="auto" w:fill="FFFFFF"/>
        </w:rPr>
      </w:pPr>
      <w:r w:rsidRPr="00447E5F">
        <w:rPr>
          <w:shd w:val="clear" w:color="auto" w:fill="FFFFFF"/>
        </w:rPr>
        <w:t>Jackson, A., (2020). Goodbye to Ghosh: The UK Supreme Court Clarifies the Proper Test for Dishonesty to Be Applied in Criminal Proceedings. </w:t>
      </w:r>
      <w:r w:rsidRPr="00447E5F">
        <w:rPr>
          <w:i/>
          <w:iCs/>
          <w:shd w:val="clear" w:color="auto" w:fill="FFFFFF"/>
        </w:rPr>
        <w:t>J. Crim. L.</w:t>
      </w:r>
      <w:r w:rsidRPr="00447E5F">
        <w:rPr>
          <w:shd w:val="clear" w:color="auto" w:fill="FFFFFF"/>
        </w:rPr>
        <w:t>, </w:t>
      </w:r>
      <w:r w:rsidRPr="00447E5F">
        <w:rPr>
          <w:i/>
          <w:iCs/>
          <w:shd w:val="clear" w:color="auto" w:fill="FFFFFF"/>
        </w:rPr>
        <w:t>81</w:t>
      </w:r>
      <w:r w:rsidRPr="00447E5F">
        <w:rPr>
          <w:shd w:val="clear" w:color="auto" w:fill="FFFFFF"/>
        </w:rPr>
        <w:t>, p.448.</w:t>
      </w:r>
    </w:p>
    <w:p w14:paraId="43F87BA8" w14:textId="77777777" w:rsidR="00447E5F" w:rsidRPr="00447E5F" w:rsidRDefault="00447E5F" w:rsidP="00447E5F">
      <w:pPr>
        <w:rPr>
          <w:shd w:val="clear" w:color="auto" w:fill="FFFFFF"/>
        </w:rPr>
      </w:pPr>
      <w:r w:rsidRPr="00447E5F">
        <w:rPr>
          <w:shd w:val="clear" w:color="auto" w:fill="FFFFFF"/>
        </w:rPr>
        <w:t xml:space="preserve">Law resources, (2024). </w:t>
      </w:r>
      <w:r w:rsidRPr="00447E5F">
        <w:rPr>
          <w:i/>
          <w:iCs/>
          <w:shd w:val="clear" w:color="auto" w:fill="FFFFFF"/>
        </w:rPr>
        <w:t>R v Ghosh [1982] 3 WLR 110 Court of Appeal.</w:t>
      </w:r>
      <w:r w:rsidRPr="00447E5F">
        <w:rPr>
          <w:shd w:val="clear" w:color="auto" w:fill="FFFFFF"/>
        </w:rPr>
        <w:t xml:space="preserve"> [Online]  Available at: https://www.e-lawresources.co.uk/R-v-Ghosh.php [Accessed 12 April 2024].</w:t>
      </w:r>
    </w:p>
    <w:p w14:paraId="2EACBF3D" w14:textId="77777777" w:rsidR="00447E5F" w:rsidRPr="00447E5F" w:rsidRDefault="00447E5F" w:rsidP="00447E5F">
      <w:pPr>
        <w:rPr>
          <w:shd w:val="clear" w:color="auto" w:fill="FFFFFF"/>
        </w:rPr>
      </w:pPr>
      <w:r w:rsidRPr="00447E5F">
        <w:rPr>
          <w:shd w:val="clear" w:color="auto" w:fill="FFFFFF"/>
        </w:rPr>
        <w:t>Leggett, Z., (2020). The New Test for Dishonesty in Criminal Law—Lessons From the Courts of Equity?. </w:t>
      </w:r>
      <w:r w:rsidRPr="00447E5F">
        <w:rPr>
          <w:i/>
          <w:iCs/>
          <w:shd w:val="clear" w:color="auto" w:fill="FFFFFF"/>
        </w:rPr>
        <w:t>The Journal of Criminal Law</w:t>
      </w:r>
      <w:r w:rsidRPr="00447E5F">
        <w:rPr>
          <w:shd w:val="clear" w:color="auto" w:fill="FFFFFF"/>
        </w:rPr>
        <w:t>, </w:t>
      </w:r>
      <w:r w:rsidRPr="00447E5F">
        <w:rPr>
          <w:i/>
          <w:iCs/>
          <w:shd w:val="clear" w:color="auto" w:fill="FFFFFF"/>
        </w:rPr>
        <w:t>84</w:t>
      </w:r>
      <w:r w:rsidRPr="00447E5F">
        <w:rPr>
          <w:shd w:val="clear" w:color="auto" w:fill="FFFFFF"/>
        </w:rPr>
        <w:t>(1), pp.37-48.</w:t>
      </w:r>
    </w:p>
    <w:p w14:paraId="34314D85" w14:textId="77777777" w:rsidR="00447E5F" w:rsidRPr="00447E5F" w:rsidRDefault="00447E5F" w:rsidP="00447E5F">
      <w:pPr>
        <w:rPr>
          <w:shd w:val="clear" w:color="auto" w:fill="FFFFFF"/>
        </w:rPr>
      </w:pPr>
      <w:r w:rsidRPr="00447E5F">
        <w:rPr>
          <w:shd w:val="clear" w:color="auto" w:fill="FFFFFF"/>
        </w:rPr>
        <w:t>Ormerod, D. and Laird, K., (2020). The Future of Dishonesty-Some Practical Considerations. </w:t>
      </w:r>
      <w:r w:rsidRPr="00447E5F">
        <w:rPr>
          <w:i/>
          <w:iCs/>
          <w:shd w:val="clear" w:color="auto" w:fill="FFFFFF"/>
        </w:rPr>
        <w:t>Archbold Review</w:t>
      </w:r>
      <w:r w:rsidRPr="00447E5F">
        <w:rPr>
          <w:shd w:val="clear" w:color="auto" w:fill="FFFFFF"/>
        </w:rPr>
        <w:t>, </w:t>
      </w:r>
      <w:r w:rsidRPr="00447E5F">
        <w:rPr>
          <w:i/>
          <w:iCs/>
          <w:shd w:val="clear" w:color="auto" w:fill="FFFFFF"/>
        </w:rPr>
        <w:t>2020</w:t>
      </w:r>
      <w:r w:rsidRPr="00447E5F">
        <w:rPr>
          <w:shd w:val="clear" w:color="auto" w:fill="FFFFFF"/>
        </w:rPr>
        <w:t>(6), pp.8-10.</w:t>
      </w:r>
    </w:p>
    <w:p w14:paraId="6277B04B" w14:textId="77777777" w:rsidR="00447E5F" w:rsidRPr="00447E5F" w:rsidRDefault="00447E5F" w:rsidP="00447E5F">
      <w:pPr>
        <w:rPr>
          <w:shd w:val="clear" w:color="auto" w:fill="FFFFFF"/>
        </w:rPr>
      </w:pPr>
      <w:r w:rsidRPr="00447E5F">
        <w:rPr>
          <w:shd w:val="clear" w:color="auto" w:fill="FFFFFF"/>
        </w:rPr>
        <w:t xml:space="preserve">Parliament, (2024). </w:t>
      </w:r>
      <w:r w:rsidRPr="00447E5F">
        <w:rPr>
          <w:i/>
          <w:iCs/>
          <w:shd w:val="clear" w:color="auto" w:fill="FFFFFF"/>
        </w:rPr>
        <w:t>Judgments - Twinsectra Limited v Yardley and Others.</w:t>
      </w:r>
      <w:r w:rsidRPr="00447E5F">
        <w:rPr>
          <w:shd w:val="clear" w:color="auto" w:fill="FFFFFF"/>
        </w:rPr>
        <w:t xml:space="preserve"> [Online]  Available at: https://publications.parliament.uk/pa/ld200102/ldjudgmt/jd020321/yardle-3.htm [Accessed 15 April 2024].</w:t>
      </w:r>
    </w:p>
    <w:p w14:paraId="24B32A4E" w14:textId="77777777" w:rsidR="00447E5F" w:rsidRPr="00447E5F" w:rsidRDefault="00447E5F" w:rsidP="00447E5F">
      <w:pPr>
        <w:rPr>
          <w:shd w:val="clear" w:color="auto" w:fill="FFFFFF"/>
        </w:rPr>
      </w:pPr>
      <w:r w:rsidRPr="00447E5F">
        <w:rPr>
          <w:shd w:val="clear" w:color="auto" w:fill="FFFFFF"/>
        </w:rPr>
        <w:t xml:space="preserve">Supremecourt, (2024). </w:t>
      </w:r>
      <w:r w:rsidRPr="00447E5F">
        <w:rPr>
          <w:i/>
          <w:iCs/>
          <w:shd w:val="clear" w:color="auto" w:fill="FFFFFF"/>
        </w:rPr>
        <w:t xml:space="preserve">Ivey (Appellant) v Genting Casinos (UK) Ltd t/a Crockfords (Respondent). </w:t>
      </w:r>
      <w:r w:rsidRPr="00447E5F">
        <w:rPr>
          <w:shd w:val="clear" w:color="auto" w:fill="FFFFFF"/>
        </w:rPr>
        <w:t>[Online]  Available at: https://www.supremecourt.uk/cases/uksc-2016-0213.html [Accessed 12 April 2024].</w:t>
      </w:r>
    </w:p>
    <w:p w14:paraId="086AABE2" w14:textId="77777777" w:rsidR="00447E5F" w:rsidRPr="00447E5F" w:rsidRDefault="00447E5F" w:rsidP="00447E5F">
      <w:pPr>
        <w:rPr>
          <w:shd w:val="clear" w:color="auto" w:fill="FFFFFF"/>
        </w:rPr>
      </w:pPr>
      <w:r w:rsidRPr="00447E5F">
        <w:rPr>
          <w:shd w:val="clear" w:color="auto" w:fill="FFFFFF"/>
        </w:rPr>
        <w:t xml:space="preserve">Supremecourt, (2024). </w:t>
      </w:r>
      <w:r w:rsidRPr="00447E5F">
        <w:rPr>
          <w:i/>
          <w:iCs/>
          <w:shd w:val="clear" w:color="auto" w:fill="FFFFFF"/>
        </w:rPr>
        <w:t>R v Hughes (Appellant).</w:t>
      </w:r>
      <w:r w:rsidRPr="00447E5F">
        <w:rPr>
          <w:shd w:val="clear" w:color="auto" w:fill="FFFFFF"/>
        </w:rPr>
        <w:t xml:space="preserve"> [Online] Available at: https://www.supremecourt.uk/cases/uksc-2011-0240.html [Accessed 15 April 2024].</w:t>
      </w:r>
    </w:p>
    <w:p w14:paraId="7F50C3C1" w14:textId="77777777" w:rsidR="00447E5F" w:rsidRPr="00447E5F" w:rsidRDefault="00447E5F" w:rsidP="00447E5F">
      <w:pPr>
        <w:rPr>
          <w:shd w:val="clear" w:color="auto" w:fill="FFFFFF"/>
        </w:rPr>
      </w:pPr>
      <w:r w:rsidRPr="00447E5F">
        <w:rPr>
          <w:shd w:val="clear" w:color="auto" w:fill="FFFFFF"/>
        </w:rPr>
        <w:lastRenderedPageBreak/>
        <w:t>Taylor, A. and Ó Floinn, M., (2021). Bitcoin burglaries and the Theft Act 1968. </w:t>
      </w:r>
      <w:r w:rsidRPr="00447E5F">
        <w:rPr>
          <w:i/>
          <w:iCs/>
          <w:shd w:val="clear" w:color="auto" w:fill="FFFFFF"/>
        </w:rPr>
        <w:t>Criminal Law Review</w:t>
      </w:r>
      <w:r w:rsidRPr="00447E5F">
        <w:rPr>
          <w:shd w:val="clear" w:color="auto" w:fill="FFFFFF"/>
        </w:rPr>
        <w:t>, </w:t>
      </w:r>
      <w:r w:rsidRPr="00447E5F">
        <w:rPr>
          <w:i/>
          <w:iCs/>
          <w:shd w:val="clear" w:color="auto" w:fill="FFFFFF"/>
        </w:rPr>
        <w:t>2021</w:t>
      </w:r>
      <w:r w:rsidRPr="00447E5F">
        <w:rPr>
          <w:shd w:val="clear" w:color="auto" w:fill="FFFFFF"/>
        </w:rPr>
        <w:t>(3), pp.163-190.</w:t>
      </w:r>
    </w:p>
    <w:p w14:paraId="5872CE54" w14:textId="77777777" w:rsidR="00447E5F" w:rsidRPr="00447E5F" w:rsidRDefault="00447E5F" w:rsidP="00447E5F">
      <w:pPr>
        <w:rPr>
          <w:shd w:val="clear" w:color="auto" w:fill="FFFFFF"/>
        </w:rPr>
      </w:pPr>
      <w:r w:rsidRPr="00447E5F">
        <w:rPr>
          <w:shd w:val="clear" w:color="auto" w:fill="FFFFFF"/>
        </w:rPr>
        <w:t xml:space="preserve">UK, (2024). </w:t>
      </w:r>
      <w:r w:rsidRPr="00447E5F">
        <w:rPr>
          <w:i/>
          <w:iCs/>
          <w:shd w:val="clear" w:color="auto" w:fill="FFFFFF"/>
        </w:rPr>
        <w:t>R v Adams (1996).</w:t>
      </w:r>
      <w:r w:rsidRPr="00447E5F">
        <w:rPr>
          <w:shd w:val="clear" w:color="auto" w:fill="FFFFFF"/>
        </w:rPr>
        <w:t xml:space="preserve"> [Online] Available at: https://vlex.co.uk/vid/r-v-adams-807072825 [Accessed 15 April 2024].</w:t>
      </w:r>
    </w:p>
    <w:p w14:paraId="7E279E4B" w14:textId="77777777" w:rsidR="002453B2" w:rsidRPr="002453B2" w:rsidRDefault="002453B2" w:rsidP="002453B2">
      <w:pPr>
        <w:rPr>
          <w:shd w:val="clear" w:color="auto" w:fill="FFFFFF"/>
        </w:rPr>
      </w:pPr>
    </w:p>
    <w:p w14:paraId="4FC2AC7A" w14:textId="77777777" w:rsidR="002453B2" w:rsidRDefault="002453B2" w:rsidP="002453B2">
      <w:pPr>
        <w:rPr>
          <w:shd w:val="clear" w:color="auto" w:fill="FFFFFF"/>
        </w:rPr>
      </w:pPr>
    </w:p>
    <w:p w14:paraId="281B1490" w14:textId="77777777" w:rsidR="00E25FF6" w:rsidRPr="00E25FF6" w:rsidRDefault="00E25FF6" w:rsidP="00E25FF6"/>
    <w:p w14:paraId="52A60305" w14:textId="77777777" w:rsidR="00A8044C" w:rsidRDefault="00A8044C" w:rsidP="00E25FF6"/>
    <w:sectPr w:rsidR="00A8044C" w:rsidSect="00C26B3B">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69D1E" w14:textId="77777777" w:rsidR="00C26B3B" w:rsidRDefault="00C26B3B" w:rsidP="00377AA0">
      <w:pPr>
        <w:spacing w:before="0" w:after="0" w:line="240" w:lineRule="auto"/>
      </w:pPr>
      <w:r>
        <w:separator/>
      </w:r>
    </w:p>
  </w:endnote>
  <w:endnote w:type="continuationSeparator" w:id="0">
    <w:p w14:paraId="3C6FD026" w14:textId="77777777" w:rsidR="00C26B3B" w:rsidRDefault="00C26B3B" w:rsidP="00377A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2129925809"/>
      <w:docPartObj>
        <w:docPartGallery w:val="Page Numbers (Bottom of Page)"/>
        <w:docPartUnique/>
      </w:docPartObj>
    </w:sdtPr>
    <w:sdtContent>
      <w:sdt>
        <w:sdtPr>
          <w:rPr>
            <w:b/>
            <w:bCs/>
          </w:rPr>
          <w:id w:val="-1769616900"/>
          <w:docPartObj>
            <w:docPartGallery w:val="Page Numbers (Top of Page)"/>
            <w:docPartUnique/>
          </w:docPartObj>
        </w:sdtPr>
        <w:sdtContent>
          <w:p w14:paraId="455C66C4" w14:textId="05985875" w:rsidR="00377AA0" w:rsidRPr="00377AA0" w:rsidRDefault="00377AA0">
            <w:pPr>
              <w:pStyle w:val="Footer"/>
              <w:jc w:val="right"/>
              <w:rPr>
                <w:b/>
                <w:bCs/>
              </w:rPr>
            </w:pPr>
            <w:r w:rsidRPr="00377AA0">
              <w:rPr>
                <w:b/>
                <w:bCs/>
              </w:rPr>
              <w:t xml:space="preserve">Page </w:t>
            </w:r>
            <w:r w:rsidRPr="00377AA0">
              <w:rPr>
                <w:b/>
                <w:bCs/>
                <w:szCs w:val="24"/>
              </w:rPr>
              <w:fldChar w:fldCharType="begin"/>
            </w:r>
            <w:r w:rsidRPr="00377AA0">
              <w:rPr>
                <w:b/>
                <w:bCs/>
              </w:rPr>
              <w:instrText xml:space="preserve"> PAGE </w:instrText>
            </w:r>
            <w:r w:rsidRPr="00377AA0">
              <w:rPr>
                <w:b/>
                <w:bCs/>
                <w:szCs w:val="24"/>
              </w:rPr>
              <w:fldChar w:fldCharType="separate"/>
            </w:r>
            <w:r w:rsidRPr="00377AA0">
              <w:rPr>
                <w:b/>
                <w:bCs/>
                <w:noProof/>
              </w:rPr>
              <w:t>2</w:t>
            </w:r>
            <w:r w:rsidRPr="00377AA0">
              <w:rPr>
                <w:b/>
                <w:bCs/>
                <w:szCs w:val="24"/>
              </w:rPr>
              <w:fldChar w:fldCharType="end"/>
            </w:r>
            <w:r w:rsidRPr="00377AA0">
              <w:rPr>
                <w:b/>
                <w:bCs/>
              </w:rPr>
              <w:t xml:space="preserve"> of </w:t>
            </w:r>
            <w:r w:rsidRPr="00377AA0">
              <w:rPr>
                <w:b/>
                <w:bCs/>
                <w:szCs w:val="24"/>
              </w:rPr>
              <w:fldChar w:fldCharType="begin"/>
            </w:r>
            <w:r w:rsidRPr="00377AA0">
              <w:rPr>
                <w:b/>
                <w:bCs/>
              </w:rPr>
              <w:instrText xml:space="preserve"> NUMPAGES  </w:instrText>
            </w:r>
            <w:r w:rsidRPr="00377AA0">
              <w:rPr>
                <w:b/>
                <w:bCs/>
                <w:szCs w:val="24"/>
              </w:rPr>
              <w:fldChar w:fldCharType="separate"/>
            </w:r>
            <w:r w:rsidRPr="00377AA0">
              <w:rPr>
                <w:b/>
                <w:bCs/>
                <w:noProof/>
              </w:rPr>
              <w:t>2</w:t>
            </w:r>
            <w:r w:rsidRPr="00377AA0">
              <w:rPr>
                <w:b/>
                <w:bCs/>
                <w:szCs w:val="24"/>
              </w:rPr>
              <w:fldChar w:fldCharType="end"/>
            </w:r>
          </w:p>
        </w:sdtContent>
      </w:sdt>
    </w:sdtContent>
  </w:sdt>
  <w:p w14:paraId="70CA910C" w14:textId="77777777" w:rsidR="00377AA0" w:rsidRPr="00377AA0" w:rsidRDefault="00377AA0">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AB983" w14:textId="77777777" w:rsidR="00C26B3B" w:rsidRDefault="00C26B3B" w:rsidP="00377AA0">
      <w:pPr>
        <w:spacing w:before="0" w:after="0" w:line="240" w:lineRule="auto"/>
      </w:pPr>
      <w:r>
        <w:separator/>
      </w:r>
    </w:p>
  </w:footnote>
  <w:footnote w:type="continuationSeparator" w:id="0">
    <w:p w14:paraId="554F72B3" w14:textId="77777777" w:rsidR="00C26B3B" w:rsidRDefault="00C26B3B" w:rsidP="00377A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560C0" w14:textId="1DE9EB43" w:rsidR="00377AA0" w:rsidRPr="00377AA0" w:rsidRDefault="00377AA0">
    <w:pPr>
      <w:pStyle w:val="Header"/>
      <w:jc w:val="right"/>
      <w:rPr>
        <w:b/>
        <w:bCs/>
        <w:color w:val="7F7F7F" w:themeColor="text1" w:themeTint="80"/>
      </w:rPr>
    </w:pPr>
    <w:r w:rsidRPr="00377AA0">
      <w:rPr>
        <w:b/>
        <w:bCs/>
        <w:color w:val="7F7F7F" w:themeColor="text1" w:themeTint="80"/>
      </w:rPr>
      <w:t>Criminal law</w:t>
    </w:r>
  </w:p>
  <w:p w14:paraId="34F4EE7E" w14:textId="77777777" w:rsidR="00377AA0" w:rsidRPr="00377AA0" w:rsidRDefault="00377AA0">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41481A"/>
    <w:multiLevelType w:val="hybridMultilevel"/>
    <w:tmpl w:val="99969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695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FF6"/>
    <w:rsid w:val="00014C9D"/>
    <w:rsid w:val="00020C86"/>
    <w:rsid w:val="00215868"/>
    <w:rsid w:val="0024415A"/>
    <w:rsid w:val="002453B2"/>
    <w:rsid w:val="002F3186"/>
    <w:rsid w:val="00377AA0"/>
    <w:rsid w:val="00447E5F"/>
    <w:rsid w:val="0046157A"/>
    <w:rsid w:val="00464D28"/>
    <w:rsid w:val="004A0B6E"/>
    <w:rsid w:val="004B4873"/>
    <w:rsid w:val="00513B23"/>
    <w:rsid w:val="005B32FF"/>
    <w:rsid w:val="006F4189"/>
    <w:rsid w:val="0091634B"/>
    <w:rsid w:val="00974349"/>
    <w:rsid w:val="00A8044C"/>
    <w:rsid w:val="00A95D99"/>
    <w:rsid w:val="00C26B3B"/>
    <w:rsid w:val="00CA4B24"/>
    <w:rsid w:val="00D55B86"/>
    <w:rsid w:val="00E25FF6"/>
    <w:rsid w:val="00F901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452B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189"/>
    <w:pPr>
      <w:spacing w:before="120" w:after="120" w:line="480" w:lineRule="auto"/>
      <w:jc w:val="both"/>
    </w:pPr>
    <w:rPr>
      <w:rFonts w:ascii="Times New Roman" w:hAnsi="Times New Roman" w:cs="Arial"/>
      <w:sz w:val="24"/>
      <w:lang w:val=""/>
    </w:rPr>
  </w:style>
  <w:style w:type="paragraph" w:styleId="Heading1">
    <w:name w:val="heading 1"/>
    <w:basedOn w:val="Normal"/>
    <w:next w:val="Normal"/>
    <w:link w:val="Heading1Char"/>
    <w:uiPriority w:val="9"/>
    <w:qFormat/>
    <w:rsid w:val="00020C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95D99"/>
    <w:pPr>
      <w:keepNext/>
      <w:keepLines/>
      <w:spacing w:before="360"/>
      <w:outlineLvl w:val="1"/>
    </w:pPr>
    <w:rPr>
      <w:b/>
      <w:sz w:val="26"/>
      <w:szCs w:val="32"/>
      <w:lang w:val="en-GB" w:eastAsia="en-GB"/>
    </w:rPr>
  </w:style>
  <w:style w:type="paragraph" w:styleId="Heading3">
    <w:name w:val="heading 3"/>
    <w:basedOn w:val="Normal"/>
    <w:next w:val="Normal"/>
    <w:link w:val="Heading3Char"/>
    <w:uiPriority w:val="9"/>
    <w:unhideWhenUsed/>
    <w:qFormat/>
    <w:rsid w:val="004B4873"/>
    <w:pPr>
      <w:keepNext/>
      <w:keepLines/>
      <w:spacing w:before="160"/>
      <w:outlineLvl w:val="2"/>
    </w:pPr>
    <w:rPr>
      <w:rFonts w:eastAsiaTheme="majorEastAsia" w:cstheme="majorBidi"/>
      <w:b/>
      <w:i/>
      <w:szCs w:val="24"/>
      <w:u w:val="single"/>
    </w:rPr>
  </w:style>
  <w:style w:type="paragraph" w:styleId="Heading4">
    <w:name w:val="heading 4"/>
    <w:basedOn w:val="Normal"/>
    <w:next w:val="Normal"/>
    <w:link w:val="Heading4Char"/>
    <w:uiPriority w:val="9"/>
    <w:semiHidden/>
    <w:unhideWhenUsed/>
    <w:qFormat/>
    <w:rsid w:val="00E25FF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25FF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25FF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5FF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5FF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5FF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C86"/>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A95D99"/>
    <w:rPr>
      <w:rFonts w:ascii="Times New Roman" w:hAnsi="Times New Roman" w:cs="Arial"/>
      <w:b/>
      <w:sz w:val="26"/>
      <w:szCs w:val="32"/>
      <w:lang w:val="en-GB" w:eastAsia="en-GB"/>
    </w:rPr>
  </w:style>
  <w:style w:type="paragraph" w:customStyle="1" w:styleId="new3">
    <w:name w:val="new 3"/>
    <w:basedOn w:val="Normal"/>
    <w:link w:val="new3Char"/>
    <w:qFormat/>
    <w:rsid w:val="00020C86"/>
    <w:rPr>
      <w:b/>
      <w:i/>
      <w:u w:val="single"/>
    </w:rPr>
  </w:style>
  <w:style w:type="character" w:customStyle="1" w:styleId="new3Char">
    <w:name w:val="new 3 Char"/>
    <w:basedOn w:val="DefaultParagraphFont"/>
    <w:link w:val="new3"/>
    <w:rsid w:val="00020C86"/>
    <w:rPr>
      <w:rFonts w:ascii="Times New Roman" w:hAnsi="Times New Roman"/>
      <w:b/>
      <w:i/>
      <w:sz w:val="24"/>
      <w:u w:val="single"/>
      <w:lang w:val="en-GB"/>
    </w:rPr>
  </w:style>
  <w:style w:type="character" w:customStyle="1" w:styleId="Heading3Char">
    <w:name w:val="Heading 3 Char"/>
    <w:basedOn w:val="DefaultParagraphFont"/>
    <w:link w:val="Heading3"/>
    <w:uiPriority w:val="9"/>
    <w:rsid w:val="004B4873"/>
    <w:rPr>
      <w:rFonts w:ascii="Times New Roman" w:eastAsiaTheme="majorEastAsia" w:hAnsi="Times New Roman" w:cstheme="majorBidi"/>
      <w:b/>
      <w:i/>
      <w:sz w:val="24"/>
      <w:szCs w:val="24"/>
      <w:u w:val="single"/>
      <w:lang w:val="en-GB"/>
    </w:rPr>
  </w:style>
  <w:style w:type="character" w:customStyle="1" w:styleId="Heading4Char">
    <w:name w:val="Heading 4 Char"/>
    <w:basedOn w:val="DefaultParagraphFont"/>
    <w:link w:val="Heading4"/>
    <w:uiPriority w:val="9"/>
    <w:semiHidden/>
    <w:rsid w:val="00E25FF6"/>
    <w:rPr>
      <w:rFonts w:eastAsiaTheme="majorEastAsia" w:cstheme="majorBidi"/>
      <w:i/>
      <w:iCs/>
      <w:color w:val="0F4761" w:themeColor="accent1" w:themeShade="BF"/>
      <w:sz w:val="24"/>
      <w:lang w:val=""/>
    </w:rPr>
  </w:style>
  <w:style w:type="character" w:customStyle="1" w:styleId="Heading5Char">
    <w:name w:val="Heading 5 Char"/>
    <w:basedOn w:val="DefaultParagraphFont"/>
    <w:link w:val="Heading5"/>
    <w:uiPriority w:val="9"/>
    <w:semiHidden/>
    <w:rsid w:val="00E25FF6"/>
    <w:rPr>
      <w:rFonts w:eastAsiaTheme="majorEastAsia" w:cstheme="majorBidi"/>
      <w:color w:val="0F4761" w:themeColor="accent1" w:themeShade="BF"/>
      <w:sz w:val="24"/>
      <w:lang w:val=""/>
    </w:rPr>
  </w:style>
  <w:style w:type="character" w:customStyle="1" w:styleId="Heading6Char">
    <w:name w:val="Heading 6 Char"/>
    <w:basedOn w:val="DefaultParagraphFont"/>
    <w:link w:val="Heading6"/>
    <w:uiPriority w:val="9"/>
    <w:semiHidden/>
    <w:rsid w:val="00E25FF6"/>
    <w:rPr>
      <w:rFonts w:eastAsiaTheme="majorEastAsia" w:cstheme="majorBidi"/>
      <w:i/>
      <w:iCs/>
      <w:color w:val="595959" w:themeColor="text1" w:themeTint="A6"/>
      <w:sz w:val="24"/>
      <w:lang w:val=""/>
    </w:rPr>
  </w:style>
  <w:style w:type="character" w:customStyle="1" w:styleId="Heading7Char">
    <w:name w:val="Heading 7 Char"/>
    <w:basedOn w:val="DefaultParagraphFont"/>
    <w:link w:val="Heading7"/>
    <w:uiPriority w:val="9"/>
    <w:semiHidden/>
    <w:rsid w:val="00E25FF6"/>
    <w:rPr>
      <w:rFonts w:eastAsiaTheme="majorEastAsia" w:cstheme="majorBidi"/>
      <w:color w:val="595959" w:themeColor="text1" w:themeTint="A6"/>
      <w:sz w:val="24"/>
      <w:lang w:val=""/>
    </w:rPr>
  </w:style>
  <w:style w:type="character" w:customStyle="1" w:styleId="Heading8Char">
    <w:name w:val="Heading 8 Char"/>
    <w:basedOn w:val="DefaultParagraphFont"/>
    <w:link w:val="Heading8"/>
    <w:uiPriority w:val="9"/>
    <w:semiHidden/>
    <w:rsid w:val="00E25FF6"/>
    <w:rPr>
      <w:rFonts w:eastAsiaTheme="majorEastAsia" w:cstheme="majorBidi"/>
      <w:i/>
      <w:iCs/>
      <w:color w:val="272727" w:themeColor="text1" w:themeTint="D8"/>
      <w:sz w:val="24"/>
      <w:lang w:val=""/>
    </w:rPr>
  </w:style>
  <w:style w:type="character" w:customStyle="1" w:styleId="Heading9Char">
    <w:name w:val="Heading 9 Char"/>
    <w:basedOn w:val="DefaultParagraphFont"/>
    <w:link w:val="Heading9"/>
    <w:uiPriority w:val="9"/>
    <w:semiHidden/>
    <w:rsid w:val="00E25FF6"/>
    <w:rPr>
      <w:rFonts w:eastAsiaTheme="majorEastAsia" w:cstheme="majorBidi"/>
      <w:color w:val="272727" w:themeColor="text1" w:themeTint="D8"/>
      <w:sz w:val="24"/>
      <w:lang w:val=""/>
    </w:rPr>
  </w:style>
  <w:style w:type="paragraph" w:styleId="Title">
    <w:name w:val="Title"/>
    <w:basedOn w:val="Normal"/>
    <w:next w:val="Normal"/>
    <w:link w:val="TitleChar"/>
    <w:uiPriority w:val="10"/>
    <w:qFormat/>
    <w:rsid w:val="00E25FF6"/>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FF6"/>
    <w:rPr>
      <w:rFonts w:asciiTheme="majorHAnsi" w:eastAsiaTheme="majorEastAsia" w:hAnsiTheme="majorHAnsi" w:cstheme="majorBidi"/>
      <w:spacing w:val="-10"/>
      <w:kern w:val="28"/>
      <w:sz w:val="56"/>
      <w:szCs w:val="56"/>
      <w:lang w:val=""/>
    </w:rPr>
  </w:style>
  <w:style w:type="paragraph" w:styleId="Subtitle">
    <w:name w:val="Subtitle"/>
    <w:basedOn w:val="Normal"/>
    <w:next w:val="Normal"/>
    <w:link w:val="SubtitleChar"/>
    <w:uiPriority w:val="11"/>
    <w:qFormat/>
    <w:rsid w:val="00E25F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FF6"/>
    <w:rPr>
      <w:rFonts w:eastAsiaTheme="majorEastAsia" w:cstheme="majorBidi"/>
      <w:color w:val="595959" w:themeColor="text1" w:themeTint="A6"/>
      <w:spacing w:val="15"/>
      <w:sz w:val="28"/>
      <w:szCs w:val="28"/>
      <w:lang w:val=""/>
    </w:rPr>
  </w:style>
  <w:style w:type="paragraph" w:styleId="Quote">
    <w:name w:val="Quote"/>
    <w:basedOn w:val="Normal"/>
    <w:next w:val="Normal"/>
    <w:link w:val="QuoteChar"/>
    <w:uiPriority w:val="29"/>
    <w:qFormat/>
    <w:rsid w:val="00E25F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5FF6"/>
    <w:rPr>
      <w:rFonts w:ascii="Times New Roman" w:hAnsi="Times New Roman" w:cs="Arial"/>
      <w:i/>
      <w:iCs/>
      <w:color w:val="404040" w:themeColor="text1" w:themeTint="BF"/>
      <w:sz w:val="24"/>
      <w:lang w:val=""/>
    </w:rPr>
  </w:style>
  <w:style w:type="paragraph" w:styleId="ListParagraph">
    <w:name w:val="List Paragraph"/>
    <w:basedOn w:val="Normal"/>
    <w:uiPriority w:val="34"/>
    <w:qFormat/>
    <w:rsid w:val="00E25FF6"/>
    <w:pPr>
      <w:ind w:left="720"/>
      <w:contextualSpacing/>
    </w:pPr>
  </w:style>
  <w:style w:type="character" w:styleId="IntenseEmphasis">
    <w:name w:val="Intense Emphasis"/>
    <w:basedOn w:val="DefaultParagraphFont"/>
    <w:uiPriority w:val="21"/>
    <w:qFormat/>
    <w:rsid w:val="00E25FF6"/>
    <w:rPr>
      <w:i/>
      <w:iCs/>
      <w:color w:val="0F4761" w:themeColor="accent1" w:themeShade="BF"/>
    </w:rPr>
  </w:style>
  <w:style w:type="paragraph" w:styleId="IntenseQuote">
    <w:name w:val="Intense Quote"/>
    <w:basedOn w:val="Normal"/>
    <w:next w:val="Normal"/>
    <w:link w:val="IntenseQuoteChar"/>
    <w:uiPriority w:val="30"/>
    <w:qFormat/>
    <w:rsid w:val="00E25F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FF6"/>
    <w:rPr>
      <w:rFonts w:ascii="Times New Roman" w:hAnsi="Times New Roman" w:cs="Arial"/>
      <w:i/>
      <w:iCs/>
      <w:color w:val="0F4761" w:themeColor="accent1" w:themeShade="BF"/>
      <w:sz w:val="24"/>
      <w:lang w:val=""/>
    </w:rPr>
  </w:style>
  <w:style w:type="character" w:styleId="IntenseReference">
    <w:name w:val="Intense Reference"/>
    <w:basedOn w:val="DefaultParagraphFont"/>
    <w:uiPriority w:val="32"/>
    <w:qFormat/>
    <w:rsid w:val="00E25FF6"/>
    <w:rPr>
      <w:b/>
      <w:bCs/>
      <w:smallCaps/>
      <w:color w:val="0F4761" w:themeColor="accent1" w:themeShade="BF"/>
      <w:spacing w:val="5"/>
    </w:rPr>
  </w:style>
  <w:style w:type="paragraph" w:styleId="NormalWeb">
    <w:name w:val="Normal (Web)"/>
    <w:basedOn w:val="Normal"/>
    <w:uiPriority w:val="99"/>
    <w:semiHidden/>
    <w:unhideWhenUsed/>
    <w:rsid w:val="00E25FF6"/>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2453B2"/>
  </w:style>
  <w:style w:type="character" w:styleId="Hyperlink">
    <w:name w:val="Hyperlink"/>
    <w:basedOn w:val="DefaultParagraphFont"/>
    <w:uiPriority w:val="99"/>
    <w:unhideWhenUsed/>
    <w:rsid w:val="002453B2"/>
    <w:rPr>
      <w:color w:val="467886" w:themeColor="hyperlink"/>
      <w:u w:val="single"/>
    </w:rPr>
  </w:style>
  <w:style w:type="character" w:styleId="UnresolvedMention">
    <w:name w:val="Unresolved Mention"/>
    <w:basedOn w:val="DefaultParagraphFont"/>
    <w:uiPriority w:val="99"/>
    <w:semiHidden/>
    <w:unhideWhenUsed/>
    <w:rsid w:val="002453B2"/>
    <w:rPr>
      <w:color w:val="605E5C"/>
      <w:shd w:val="clear" w:color="auto" w:fill="E1DFDD"/>
    </w:rPr>
  </w:style>
  <w:style w:type="paragraph" w:styleId="Header">
    <w:name w:val="header"/>
    <w:basedOn w:val="Normal"/>
    <w:link w:val="HeaderChar"/>
    <w:uiPriority w:val="99"/>
    <w:unhideWhenUsed/>
    <w:rsid w:val="00377AA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77AA0"/>
    <w:rPr>
      <w:rFonts w:ascii="Times New Roman" w:hAnsi="Times New Roman" w:cs="Arial"/>
      <w:sz w:val="24"/>
      <w:lang w:val=""/>
    </w:rPr>
  </w:style>
  <w:style w:type="paragraph" w:styleId="Footer">
    <w:name w:val="footer"/>
    <w:basedOn w:val="Normal"/>
    <w:link w:val="FooterChar"/>
    <w:uiPriority w:val="99"/>
    <w:unhideWhenUsed/>
    <w:rsid w:val="00377AA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77AA0"/>
    <w:rPr>
      <w:rFonts w:ascii="Times New Roman" w:hAnsi="Times New Roman" w:cs="Arial"/>
      <w:sz w:val="24"/>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61891">
      <w:bodyDiv w:val="1"/>
      <w:marLeft w:val="0"/>
      <w:marRight w:val="0"/>
      <w:marTop w:val="0"/>
      <w:marBottom w:val="0"/>
      <w:divBdr>
        <w:top w:val="none" w:sz="0" w:space="0" w:color="auto"/>
        <w:left w:val="none" w:sz="0" w:space="0" w:color="auto"/>
        <w:bottom w:val="none" w:sz="0" w:space="0" w:color="auto"/>
        <w:right w:val="none" w:sz="0" w:space="0" w:color="auto"/>
      </w:divBdr>
    </w:div>
    <w:div w:id="124786110">
      <w:bodyDiv w:val="1"/>
      <w:marLeft w:val="0"/>
      <w:marRight w:val="0"/>
      <w:marTop w:val="0"/>
      <w:marBottom w:val="0"/>
      <w:divBdr>
        <w:top w:val="none" w:sz="0" w:space="0" w:color="auto"/>
        <w:left w:val="none" w:sz="0" w:space="0" w:color="auto"/>
        <w:bottom w:val="none" w:sz="0" w:space="0" w:color="auto"/>
        <w:right w:val="none" w:sz="0" w:space="0" w:color="auto"/>
      </w:divBdr>
    </w:div>
    <w:div w:id="260259616">
      <w:bodyDiv w:val="1"/>
      <w:marLeft w:val="0"/>
      <w:marRight w:val="0"/>
      <w:marTop w:val="0"/>
      <w:marBottom w:val="0"/>
      <w:divBdr>
        <w:top w:val="none" w:sz="0" w:space="0" w:color="auto"/>
        <w:left w:val="none" w:sz="0" w:space="0" w:color="auto"/>
        <w:bottom w:val="none" w:sz="0" w:space="0" w:color="auto"/>
        <w:right w:val="none" w:sz="0" w:space="0" w:color="auto"/>
      </w:divBdr>
    </w:div>
    <w:div w:id="685448170">
      <w:bodyDiv w:val="1"/>
      <w:marLeft w:val="0"/>
      <w:marRight w:val="0"/>
      <w:marTop w:val="0"/>
      <w:marBottom w:val="0"/>
      <w:divBdr>
        <w:top w:val="none" w:sz="0" w:space="0" w:color="auto"/>
        <w:left w:val="none" w:sz="0" w:space="0" w:color="auto"/>
        <w:bottom w:val="none" w:sz="0" w:space="0" w:color="auto"/>
        <w:right w:val="none" w:sz="0" w:space="0" w:color="auto"/>
      </w:divBdr>
    </w:div>
    <w:div w:id="1415971673">
      <w:bodyDiv w:val="1"/>
      <w:marLeft w:val="0"/>
      <w:marRight w:val="0"/>
      <w:marTop w:val="0"/>
      <w:marBottom w:val="0"/>
      <w:divBdr>
        <w:top w:val="none" w:sz="0" w:space="0" w:color="auto"/>
        <w:left w:val="none" w:sz="0" w:space="0" w:color="auto"/>
        <w:bottom w:val="none" w:sz="0" w:space="0" w:color="auto"/>
        <w:right w:val="none" w:sz="0" w:space="0" w:color="auto"/>
      </w:divBdr>
    </w:div>
    <w:div w:id="1591619201">
      <w:bodyDiv w:val="1"/>
      <w:marLeft w:val="0"/>
      <w:marRight w:val="0"/>
      <w:marTop w:val="0"/>
      <w:marBottom w:val="0"/>
      <w:divBdr>
        <w:top w:val="none" w:sz="0" w:space="0" w:color="auto"/>
        <w:left w:val="none" w:sz="0" w:space="0" w:color="auto"/>
        <w:bottom w:val="none" w:sz="0" w:space="0" w:color="auto"/>
        <w:right w:val="none" w:sz="0" w:space="0" w:color="auto"/>
      </w:divBdr>
    </w:div>
    <w:div w:id="1692604131">
      <w:bodyDiv w:val="1"/>
      <w:marLeft w:val="0"/>
      <w:marRight w:val="0"/>
      <w:marTop w:val="0"/>
      <w:marBottom w:val="0"/>
      <w:divBdr>
        <w:top w:val="none" w:sz="0" w:space="0" w:color="auto"/>
        <w:left w:val="none" w:sz="0" w:space="0" w:color="auto"/>
        <w:bottom w:val="none" w:sz="0" w:space="0" w:color="auto"/>
        <w:right w:val="none" w:sz="0" w:space="0" w:color="auto"/>
      </w:divBdr>
    </w:div>
    <w:div w:id="204598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UK241</b:Tag>
    <b:SourceType>InternetSite</b:SourceType>
    <b:Guid>{B5C36317-CA1C-4C92-B2C7-23616130C26A}</b:Guid>
    <b:Author>
      <b:Author>
        <b:Corporate>UK</b:Corporate>
      </b:Author>
    </b:Author>
    <b:Title>R v Adams (1996) </b:Title>
    <b:Year>2024</b:Year>
    <b:YearAccessed>2024</b:YearAccessed>
    <b:MonthAccessed>April</b:MonthAccessed>
    <b:DayAccessed>15</b:DayAccessed>
    <b:URL>https://vlex.co.uk/vid/r-v-adams-807072825</b:URL>
    <b:RefOrder>5</b:RefOrder>
  </b:Source>
  <b:Source>
    <b:Tag>Par245</b:Tag>
    <b:SourceType>InternetSite</b:SourceType>
    <b:Guid>{3ABB3AF7-F1C1-4546-BDC8-765829F0862E}</b:Guid>
    <b:Author>
      <b:Author>
        <b:Corporate>Parliament</b:Corporate>
      </b:Author>
    </b:Author>
    <b:Title>Judgments - Twinsectra Limited v Yardley and Others</b:Title>
    <b:Year>2024</b:Year>
    <b:YearAccessed>2024</b:YearAccessed>
    <b:MonthAccessed>April</b:MonthAccessed>
    <b:DayAccessed>15</b:DayAccessed>
    <b:URL>https://publications.parliament.uk/pa/ld200102/ldjudgmt/jd020321/yardle-3.htm</b:URL>
    <b:RefOrder>4</b:RefOrder>
  </b:Source>
  <b:Source>
    <b:Tag>Sup241</b:Tag>
    <b:SourceType>InternetSite</b:SourceType>
    <b:Guid>{055F6733-E83A-4E1E-B9A0-561EC70B5105}</b:Guid>
    <b:Author>
      <b:Author>
        <b:Corporate>Supremecourt</b:Corporate>
      </b:Author>
    </b:Author>
    <b:Title>R v Hughes (Appellant)</b:Title>
    <b:Year>2024</b:Year>
    <b:YearAccessed>2024</b:YearAccessed>
    <b:MonthAccessed>April</b:MonthAccessed>
    <b:DayAccessed>15</b:DayAccessed>
    <b:URL>https://www.supremecourt.uk/cases/uksc-2011-0240.html</b:URL>
    <b:RefOrder>3</b:RefOrder>
  </b:Source>
  <b:Source>
    <b:Tag>Sup242</b:Tag>
    <b:SourceType>InternetSite</b:SourceType>
    <b:Guid>{9F0F19A8-5156-41E2-8B5A-EA7D730E1C18}</b:Guid>
    <b:Author>
      <b:Author>
        <b:Corporate>Supremecourt</b:Corporate>
      </b:Author>
    </b:Author>
    <b:Title>Ivey (Appellant) v Genting Casinos (UK) Ltd t/a Crockfords (Respondent)</b:Title>
    <b:Year>2024</b:Year>
    <b:YearAccessed>2024</b:YearAccessed>
    <b:MonthAccessed>April</b:MonthAccessed>
    <b:DayAccessed>12</b:DayAccessed>
    <b:URL>https://www.supremecourt.uk/cases/uksc-2016-0213.html</b:URL>
    <b:RefOrder>2</b:RefOrder>
  </b:Source>
  <b:Source>
    <b:Tag>Law24</b:Tag>
    <b:SourceType>InternetSite</b:SourceType>
    <b:Guid>{79656790-62F7-4A17-8717-F1FB92128689}</b:Guid>
    <b:Author>
      <b:Author>
        <b:Corporate>Lawresources</b:Corporate>
      </b:Author>
    </b:Author>
    <b:Title>R v Ghosh [1982] 3 WLR 110 Court of Appeal</b:Title>
    <b:Year>2024</b:Year>
    <b:YearAccessed>2024</b:YearAccessed>
    <b:MonthAccessed>April</b:MonthAccessed>
    <b:DayAccessed>12</b:DayAccessed>
    <b:URL>https://www.e-lawresources.co.uk/R-v-Ghosh.php</b:URL>
    <b:RefOrder>1</b:RefOrder>
  </b:Source>
</b:Sources>
</file>

<file path=customXml/itemProps1.xml><?xml version="1.0" encoding="utf-8"?>
<ds:datastoreItem xmlns:ds="http://schemas.openxmlformats.org/officeDocument/2006/customXml" ds:itemID="{B0BB7B56-346E-4560-9BA8-74580D5E3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1905</Words>
  <Characters>10863</Characters>
  <Application>Microsoft Office Word</Application>
  <DocSecurity>0</DocSecurity>
  <Lines>90</Lines>
  <Paragraphs>25</Paragraphs>
  <ScaleCrop>false</ScaleCrop>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2024-05-02T21:59:00Z</dcterms:created>
  <dcterms:modified xsi:type="dcterms:W3CDTF">2024-05-02T22:01:00Z</dcterms:modified>
</cp:coreProperties>
</file>