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8330E0" w14:textId="71958C94" w:rsidR="008653C2" w:rsidRPr="009E0739" w:rsidRDefault="008653C2">
      <w:pPr>
        <w:rPr>
          <w:u w:val="single"/>
        </w:rPr>
      </w:pPr>
      <w:proofErr w:type="spellStart"/>
      <w:r w:rsidRPr="009E0739">
        <w:rPr>
          <w:b/>
          <w:u w:val="single"/>
        </w:rPr>
        <w:t>Q.i</w:t>
      </w:r>
      <w:proofErr w:type="spellEnd"/>
      <w:r w:rsidRPr="009E0739">
        <w:rPr>
          <w:u w:val="single"/>
        </w:rPr>
        <w:t xml:space="preserve"> What is meant by the “Great Vehicle” and the “Little Vehicle”? Give an example of a belief or practice associated with the “Little Vehicle”.</w:t>
      </w:r>
    </w:p>
    <w:p w14:paraId="113F0C85" w14:textId="0EBB8ECE" w:rsidR="008653C2" w:rsidRDefault="008653C2">
      <w:r>
        <w:t xml:space="preserve">Within Buddhism, the term applied to Mahayana Buddhism is that of the ‘Great Vehicle.’ This view is taken largely through this tradition on the basis that it can be accessible for many and not limited. By this, Charles </w:t>
      </w:r>
      <w:proofErr w:type="spellStart"/>
      <w:r>
        <w:t>Prebish</w:t>
      </w:r>
      <w:proofErr w:type="spellEnd"/>
      <w:r>
        <w:t xml:space="preserve"> and Damien Keown further emphasised that Mahayana Buddhism is a “broad- based movement emphasising inclusivity and an expanded role for the laity,”</w:t>
      </w:r>
      <w:r>
        <w:rPr>
          <w:rStyle w:val="FootnoteReference"/>
        </w:rPr>
        <w:footnoteReference w:id="1"/>
      </w:r>
      <w:r>
        <w:t xml:space="preserve"> which further implies how the term great was given to the broader movement within Buddhism. Compared to this is the understanding further of the ‘Little Vehicle’ within Buddhism, which is that of the early Buddhist group known as the </w:t>
      </w:r>
      <w:proofErr w:type="spellStart"/>
      <w:r>
        <w:t>Therevada</w:t>
      </w:r>
      <w:proofErr w:type="spellEnd"/>
      <w:r>
        <w:t xml:space="preserve"> movement.</w:t>
      </w:r>
      <w:r w:rsidR="00BA3F4C">
        <w:t xml:space="preserve"> Further noted by Harold Smith, he explains why the </w:t>
      </w:r>
      <w:proofErr w:type="spellStart"/>
      <w:r w:rsidR="00BA3F4C">
        <w:t>Therevada</w:t>
      </w:r>
      <w:proofErr w:type="spellEnd"/>
      <w:r w:rsidR="00BA3F4C">
        <w:t xml:space="preserve"> movement is considered as the ‘Little Vehicle’ by explaining that the “word Hinayana was originally a term of reproach given by the more advanced Buddhists to their ‘lesser’ brethren whom they had abandoned or left behind, because of their narrower teaching.”</w:t>
      </w:r>
      <w:r w:rsidR="00BA3F4C">
        <w:rPr>
          <w:rStyle w:val="FootnoteReference"/>
        </w:rPr>
        <w:footnoteReference w:id="2"/>
      </w:r>
      <w:r w:rsidR="00BA3F4C">
        <w:t xml:space="preserve"> This further illustrates the difference between the two traditions; with the Mahayana tradition being that of the most popular path to follow due to inclusivity and the </w:t>
      </w:r>
      <w:proofErr w:type="spellStart"/>
      <w:r w:rsidR="00BA3F4C">
        <w:t>Therevada</w:t>
      </w:r>
      <w:proofErr w:type="spellEnd"/>
      <w:r w:rsidR="00BA3F4C">
        <w:t xml:space="preserve"> tradition being that of the old beliefs which are kept to this day. </w:t>
      </w:r>
    </w:p>
    <w:p w14:paraId="4C6223D1" w14:textId="502994DD" w:rsidR="00BA3F4C" w:rsidRDefault="00BA3F4C">
      <w:r>
        <w:t xml:space="preserve">There are many differences between Mahayana and </w:t>
      </w:r>
      <w:proofErr w:type="spellStart"/>
      <w:r>
        <w:t>Therevada</w:t>
      </w:r>
      <w:proofErr w:type="spellEnd"/>
      <w:r>
        <w:t xml:space="preserve"> Buddhism, which separate the two different aspects but, as Ron Epstein commented, that “Mahayana and </w:t>
      </w:r>
      <w:proofErr w:type="spellStart"/>
      <w:r>
        <w:t>Therevada</w:t>
      </w:r>
      <w:proofErr w:type="spellEnd"/>
      <w:r>
        <w:t xml:space="preserve"> began </w:t>
      </w:r>
      <w:r w:rsidR="000C76E4">
        <w:t>not as separate schools but as alternative intentions and goals.”</w:t>
      </w:r>
      <w:r w:rsidR="000C76E4">
        <w:rPr>
          <w:rStyle w:val="FootnoteReference"/>
        </w:rPr>
        <w:footnoteReference w:id="3"/>
      </w:r>
      <w:r w:rsidR="000C76E4">
        <w:t xml:space="preserve"> This further illustrates the importance of understanding the distinction between the two schools of Buddhism as they once lived and practiced together however the difference in intentions caused a slight rift between the two. Smith goes on further to highlight how the two schools “often lived side by side complementary to one another on Indian soil,”</w:t>
      </w:r>
      <w:r w:rsidR="000C76E4">
        <w:rPr>
          <w:rStyle w:val="FootnoteReference"/>
        </w:rPr>
        <w:footnoteReference w:id="4"/>
      </w:r>
      <w:r w:rsidR="000C76E4">
        <w:t xml:space="preserve"> which also shows that in the past where the two have even lived together before eventually separating due to their understandings of the religion further caused this separation into the ‘Great Vehicle’ and the ‘Little Vehicle’. </w:t>
      </w:r>
    </w:p>
    <w:p w14:paraId="40E3BD53" w14:textId="0B4B0300" w:rsidR="0062631D" w:rsidRDefault="000C76E4">
      <w:r>
        <w:t xml:space="preserve">There are many beliefs that are associated with the ‘Little Vehicle’ or </w:t>
      </w:r>
      <w:proofErr w:type="spellStart"/>
      <w:r>
        <w:t>Therevada</w:t>
      </w:r>
      <w:proofErr w:type="spellEnd"/>
      <w:r>
        <w:t xml:space="preserve"> Buddhism with the most prominent of those being </w:t>
      </w:r>
      <w:r w:rsidR="0062631D">
        <w:t xml:space="preserve">that of the achievement of Nirvana or enlightenment. As explained by Epstein, the “goal of the Hinayana practitioner is that of ending attachment to self, and thereby, becoming an </w:t>
      </w:r>
      <w:proofErr w:type="spellStart"/>
      <w:r w:rsidR="0062631D">
        <w:t>Arhat</w:t>
      </w:r>
      <w:proofErr w:type="spellEnd"/>
      <w:r w:rsidR="0062631D">
        <w:t>, who undergoes no further rebirth.”</w:t>
      </w:r>
      <w:r w:rsidR="0062631D">
        <w:rPr>
          <w:rStyle w:val="FootnoteReference"/>
        </w:rPr>
        <w:footnoteReference w:id="5"/>
      </w:r>
      <w:r w:rsidR="0062631D">
        <w:t xml:space="preserve"> With this, the understanding within the </w:t>
      </w:r>
      <w:proofErr w:type="spellStart"/>
      <w:r w:rsidR="0062631D">
        <w:t>Therevada</w:t>
      </w:r>
      <w:proofErr w:type="spellEnd"/>
      <w:r w:rsidR="0062631D">
        <w:t xml:space="preserve"> tradition on achieving enlightenment is that through the path of becoming an </w:t>
      </w:r>
      <w:proofErr w:type="spellStart"/>
      <w:r w:rsidR="0062631D">
        <w:t>Arhat</w:t>
      </w:r>
      <w:proofErr w:type="spellEnd"/>
      <w:r w:rsidR="0062631D">
        <w:t xml:space="preserve">, which can be translated as being ‘noble one’ or someone with perfect knowledge. Through this, as explained further, is that “although those on the path of the </w:t>
      </w:r>
      <w:proofErr w:type="spellStart"/>
      <w:r w:rsidR="0062631D">
        <w:t>Arhat</w:t>
      </w:r>
      <w:proofErr w:type="spellEnd"/>
      <w:r w:rsidR="0062631D">
        <w:t xml:space="preserve"> help others, that help ends with the entering of Nirvana.”</w:t>
      </w:r>
      <w:r w:rsidR="0062631D">
        <w:rPr>
          <w:rStyle w:val="FootnoteReference"/>
        </w:rPr>
        <w:footnoteReference w:id="6"/>
      </w:r>
      <w:r w:rsidR="0062631D">
        <w:t xml:space="preserve"> This also suggests greatly that through the </w:t>
      </w:r>
      <w:proofErr w:type="spellStart"/>
      <w:r w:rsidR="0062631D">
        <w:t>Therevada</w:t>
      </w:r>
      <w:proofErr w:type="spellEnd"/>
      <w:r w:rsidR="0062631D">
        <w:t xml:space="preserve"> tradition, their beliefs on achieving their release from Samsara is very different from that of the beliefs within Mahayana Buddhism. Through becoming an </w:t>
      </w:r>
      <w:proofErr w:type="spellStart"/>
      <w:r w:rsidR="0062631D">
        <w:t>Arhat</w:t>
      </w:r>
      <w:proofErr w:type="spellEnd"/>
      <w:r w:rsidR="0062631D">
        <w:t xml:space="preserve"> within </w:t>
      </w:r>
      <w:proofErr w:type="spellStart"/>
      <w:r w:rsidR="0062631D">
        <w:t>Therevada</w:t>
      </w:r>
      <w:proofErr w:type="spellEnd"/>
      <w:r w:rsidR="0062631D">
        <w:t>, this further means that they will not be reborn into the cycle of Samsara</w:t>
      </w:r>
      <w:r w:rsidR="00140735">
        <w:t xml:space="preserve">. With this, it can be suggested that the main goal for </w:t>
      </w:r>
      <w:r w:rsidR="00140735">
        <w:lastRenderedPageBreak/>
        <w:t xml:space="preserve">those who follow </w:t>
      </w:r>
      <w:proofErr w:type="spellStart"/>
      <w:r w:rsidR="00140735">
        <w:t>Therevada</w:t>
      </w:r>
      <w:proofErr w:type="spellEnd"/>
      <w:r w:rsidR="00140735">
        <w:t xml:space="preserve"> Buddhism is only to be released from this cycle with nothing more, further understanding the difference of this with that of the Mahayana tradition. </w:t>
      </w:r>
    </w:p>
    <w:p w14:paraId="074F9F61" w14:textId="243D210B" w:rsidR="00140735" w:rsidRDefault="00140735">
      <w:r>
        <w:t xml:space="preserve">With this belief further comes the comparison of the belief of the followers of Mahayana Buddhism, as the goals that are achieved, although both schools aim for Nirvana, </w:t>
      </w:r>
      <w:r w:rsidR="00CC423C">
        <w:t xml:space="preserve">the difference for </w:t>
      </w:r>
      <w:r>
        <w:t xml:space="preserve">Mahayana Buddhists </w:t>
      </w:r>
      <w:r w:rsidR="00CC423C">
        <w:t xml:space="preserve">is that they </w:t>
      </w:r>
      <w:r>
        <w:t xml:space="preserve">also aim for Buddhahood through the path of Bodhisattva. As explained by Peter Harvey, Mahayana Buddhism has a “wholehearted adoption </w:t>
      </w:r>
      <w:r w:rsidR="00CC423C">
        <w:t>of the Bodhisattva path, which various early schools had outlined,”</w:t>
      </w:r>
      <w:r w:rsidR="00CC423C">
        <w:rPr>
          <w:rStyle w:val="FootnoteReference"/>
        </w:rPr>
        <w:footnoteReference w:id="7"/>
      </w:r>
      <w:r w:rsidR="00CC423C">
        <w:t xml:space="preserve"> which shows how </w:t>
      </w:r>
      <w:r w:rsidR="00814117">
        <w:t xml:space="preserve">this path is very significant within Mahayana Buddhism in achieving enlightenment and in helping others to achieve enlightenment too. Further noted by Smith is that the “more advanced Buddhists who developed, as they affirmed, the real meaning of </w:t>
      </w:r>
      <w:proofErr w:type="spellStart"/>
      <w:r w:rsidR="00814117">
        <w:t>Gotama’s</w:t>
      </w:r>
      <w:proofErr w:type="spellEnd"/>
      <w:r w:rsidR="00814117">
        <w:t xml:space="preserve"> teachings, called themselves Mahayana.”</w:t>
      </w:r>
      <w:r w:rsidR="00814117">
        <w:rPr>
          <w:rStyle w:val="FootnoteReference"/>
        </w:rPr>
        <w:footnoteReference w:id="8"/>
      </w:r>
      <w:r w:rsidR="00814117">
        <w:t xml:space="preserve"> This notes how even Buddha referred to himself as a Bodhisattva before becoming Buddha, to stay and teach others the correct way and to aid peoples understanding of achieving the ultimate goal that is Nirvana. Also, the main difference with this as compared to that of the </w:t>
      </w:r>
      <w:proofErr w:type="spellStart"/>
      <w:r w:rsidR="00814117">
        <w:t>Therevada</w:t>
      </w:r>
      <w:proofErr w:type="spellEnd"/>
      <w:r w:rsidR="00814117">
        <w:t xml:space="preserve"> tradition is through voluntarily being reborn, to endure suffering on earth, in order to help and aid others in this path. As mentioned also is that the “Mahayana practitioner does not treat </w:t>
      </w:r>
      <w:proofErr w:type="spellStart"/>
      <w:r w:rsidR="00814117">
        <w:t>Arhatship</w:t>
      </w:r>
      <w:proofErr w:type="spellEnd"/>
      <w:r w:rsidR="00814117">
        <w:t xml:space="preserve"> as an ultimate </w:t>
      </w:r>
      <w:proofErr w:type="gramStart"/>
      <w:r w:rsidR="00814117">
        <w:t>goal, and</w:t>
      </w:r>
      <w:proofErr w:type="gramEnd"/>
      <w:r w:rsidR="00814117">
        <w:t xml:space="preserve"> is on the path of the Bodhisattva; which leads to becoming a Buddha.”</w:t>
      </w:r>
      <w:r w:rsidR="00814117">
        <w:rPr>
          <w:rStyle w:val="FootnoteReference"/>
        </w:rPr>
        <w:footnoteReference w:id="9"/>
      </w:r>
      <w:r w:rsidR="00814117">
        <w:t xml:space="preserve"> This further highlights the importance of the </w:t>
      </w:r>
      <w:r w:rsidR="003C5A95">
        <w:t>two different goals within the two traditions of Buddhism, through the achievement of Nirvana which is the ultimate goal.</w:t>
      </w:r>
    </w:p>
    <w:p w14:paraId="58296827" w14:textId="27DC223D" w:rsidR="003C5A95" w:rsidRDefault="003C5A95">
      <w:r>
        <w:t xml:space="preserve">Another aspect to mention is that of the life of the monk within </w:t>
      </w:r>
      <w:proofErr w:type="spellStart"/>
      <w:r>
        <w:t>Therevada</w:t>
      </w:r>
      <w:proofErr w:type="spellEnd"/>
      <w:r>
        <w:t xml:space="preserve"> Buddhism, as this is mentioned as being the surest path to obtaining enlightenment within this tradition and is highly regarded by its followers. To also note is that “some scholars have tried to claim that Mahayana is primarily a religion for laymen and </w:t>
      </w:r>
      <w:proofErr w:type="spellStart"/>
      <w:r>
        <w:t>Therevada</w:t>
      </w:r>
      <w:proofErr w:type="spellEnd"/>
      <w:r>
        <w:t xml:space="preserve"> is a primarily monastic religion,”</w:t>
      </w:r>
      <w:r w:rsidR="00E4268F">
        <w:rPr>
          <w:rStyle w:val="FootnoteReference"/>
        </w:rPr>
        <w:footnoteReference w:id="10"/>
      </w:r>
      <w:r w:rsidR="00E4268F">
        <w:t xml:space="preserve"> which can be argued as accurate. To discuss further, as previously explained, the life of a monk within </w:t>
      </w:r>
      <w:proofErr w:type="spellStart"/>
      <w:r w:rsidR="00E4268F">
        <w:t>Therevada</w:t>
      </w:r>
      <w:proofErr w:type="spellEnd"/>
      <w:r w:rsidR="00E4268F">
        <w:t xml:space="preserve"> Buddhism is very significant in that it is the ultimate life to live in order to obtain enlightenment through this practice. Although Mahayana Buddhism also have a strong monastic community, the path of enlightenment is not restricted to only a few </w:t>
      </w:r>
      <w:r w:rsidR="00AE39B2">
        <w:t xml:space="preserve">within this tradition. With this, as explained within the Mahayana tradition, further with what </w:t>
      </w:r>
      <w:proofErr w:type="spellStart"/>
      <w:r w:rsidR="00AE39B2">
        <w:t>Prebish</w:t>
      </w:r>
      <w:proofErr w:type="spellEnd"/>
      <w:r w:rsidR="00AE39B2">
        <w:t xml:space="preserve"> and Keown explained previously is that </w:t>
      </w:r>
      <w:r w:rsidR="00724A4F">
        <w:t>Mahayana is a very broad-based movement. This further emphasises the understanding that Mahayana is more accessible to more people in achieving liberation from Dukkha but also with the further understanding of the Bodhisattva which also shows the inclusivity of this practice for all beings. Further noted by Harvey is that of the understanding of the final stage of the Bodhisattva, which he explains as the “Bodhisattva goes beyond being reborn according to Karma and becomes a ‘Great Being’ a heavenly saviour on earth.”</w:t>
      </w:r>
      <w:r w:rsidR="00724A4F">
        <w:rPr>
          <w:rStyle w:val="FootnoteReference"/>
        </w:rPr>
        <w:footnoteReference w:id="11"/>
      </w:r>
      <w:r w:rsidR="00724A4F">
        <w:t xml:space="preserve"> This further implies greatly the understanding within Mahayana Buddhism of the path of the Bodhisattva being the path that all beings can take to break free from Dukkha but to also remain on earth to aid those who have not been enlightened, which is what </w:t>
      </w:r>
      <w:proofErr w:type="spellStart"/>
      <w:r w:rsidR="00724A4F">
        <w:t>Gotama</w:t>
      </w:r>
      <w:proofErr w:type="spellEnd"/>
      <w:r w:rsidR="00724A4F">
        <w:t xml:space="preserve"> Buddha did.</w:t>
      </w:r>
    </w:p>
    <w:p w14:paraId="5A1DCEA5" w14:textId="378F2452" w:rsidR="003C5A95" w:rsidRDefault="00E4268F">
      <w:r>
        <w:lastRenderedPageBreak/>
        <w:t>To conclude, e</w:t>
      </w:r>
      <w:r w:rsidR="003C5A95">
        <w:t xml:space="preserve">ven though </w:t>
      </w:r>
      <w:proofErr w:type="spellStart"/>
      <w:r w:rsidR="003C5A95">
        <w:t>Therevada</w:t>
      </w:r>
      <w:proofErr w:type="spellEnd"/>
      <w:r w:rsidR="003C5A95">
        <w:t xml:space="preserve"> and Mahayana traditions were originally a part of the same school, differences can arise in the way that the teachings of Buddha are understood and even interpreted. With this, there can cause a separation within the tradition which, in this case, resulted in </w:t>
      </w:r>
      <w:proofErr w:type="spellStart"/>
      <w:r w:rsidR="003C5A95">
        <w:t>Therevada</w:t>
      </w:r>
      <w:proofErr w:type="spellEnd"/>
      <w:r w:rsidR="003C5A95">
        <w:t xml:space="preserve"> Buddhism and Mahayana Buddhism leading their own understandings and interpretations of text. Furthermore, the understanding within </w:t>
      </w:r>
      <w:proofErr w:type="spellStart"/>
      <w:r w:rsidR="003C5A95">
        <w:t>Therevada</w:t>
      </w:r>
      <w:proofErr w:type="spellEnd"/>
      <w:r w:rsidR="003C5A95">
        <w:t xml:space="preserve"> Buddhism of the life of a monk being the surest path to the ideal of being an </w:t>
      </w:r>
      <w:proofErr w:type="spellStart"/>
      <w:r w:rsidR="003C5A95">
        <w:t>Arhat</w:t>
      </w:r>
      <w:proofErr w:type="spellEnd"/>
      <w:r w:rsidR="003C5A95">
        <w:t xml:space="preserve"> is not regarded within the teachings of Mahayana Buddhism. With this, </w:t>
      </w:r>
      <w:r w:rsidR="008818B2">
        <w:t xml:space="preserve">as explained previously, the </w:t>
      </w:r>
      <w:proofErr w:type="gramStart"/>
      <w:r w:rsidR="008818B2">
        <w:t>main focus</w:t>
      </w:r>
      <w:proofErr w:type="gramEnd"/>
      <w:r w:rsidR="008818B2">
        <w:t xml:space="preserve"> within </w:t>
      </w:r>
      <w:proofErr w:type="spellStart"/>
      <w:r w:rsidR="008818B2">
        <w:t>Therevada</w:t>
      </w:r>
      <w:proofErr w:type="spellEnd"/>
      <w:r w:rsidR="008818B2">
        <w:t xml:space="preserve"> Buddhism is to achieve enlightenment through meditation and scripture, with the comparison to this being the way of Mahayana Buddhism who see the path of the Bodhisattva to gain Buddhahood is the path </w:t>
      </w:r>
      <w:proofErr w:type="spellStart"/>
      <w:r w:rsidR="008818B2">
        <w:t>tha</w:t>
      </w:r>
      <w:proofErr w:type="spellEnd"/>
      <w:r w:rsidR="008818B2">
        <w:t xml:space="preserve"> is highly regarded within that tradition.</w:t>
      </w:r>
    </w:p>
    <w:p w14:paraId="2A92879B" w14:textId="77777777" w:rsidR="00F84A00" w:rsidRDefault="00F84A00">
      <w:pPr>
        <w:rPr>
          <w:b/>
          <w:u w:val="single"/>
        </w:rPr>
      </w:pPr>
    </w:p>
    <w:p w14:paraId="4B4E7DE3" w14:textId="16F0AFBC" w:rsidR="008653C2" w:rsidRDefault="008653C2">
      <w:pPr>
        <w:rPr>
          <w:u w:val="single"/>
        </w:rPr>
      </w:pPr>
      <w:proofErr w:type="spellStart"/>
      <w:r w:rsidRPr="009E0739">
        <w:rPr>
          <w:b/>
          <w:u w:val="single"/>
        </w:rPr>
        <w:t>Q.iii</w:t>
      </w:r>
      <w:proofErr w:type="spellEnd"/>
      <w:r w:rsidRPr="009E0739">
        <w:rPr>
          <w:u w:val="single"/>
        </w:rPr>
        <w:t xml:space="preserve"> What is ignorance in the Buddhist view and how does this feature in the twelve steps of Dependent Origination (interdependent arising)?</w:t>
      </w:r>
    </w:p>
    <w:p w14:paraId="24EB5177" w14:textId="0CB66088" w:rsidR="00C6169B" w:rsidRDefault="00C6169B" w:rsidP="00C6169B">
      <w:r>
        <w:t xml:space="preserve">The understanding of Dependant Origination is that of the wheel of life within Buddhism which consists of twelve links that all connect to each other. With this, it is said how they all link to further allow each step to continue onto the next, almost like a never-ending loop. To understand ignorance, which is the first of these twelve links, is further to understand the rest of the cycle. In this essay, I will explain the understanding of what ignorance </w:t>
      </w:r>
      <w:r w:rsidR="008B4FD8">
        <w:t xml:space="preserve">is </w:t>
      </w:r>
      <w:r>
        <w:t xml:space="preserve">and as ignorance is also the first of the twelve steps of the Dependant Origination chain. </w:t>
      </w:r>
    </w:p>
    <w:p w14:paraId="6AC0BAFC" w14:textId="49E5B86C" w:rsidR="00C6169B" w:rsidRDefault="008B4FD8" w:rsidP="00C6169B">
      <w:r>
        <w:t>The understanding of ignorance through the Buddhist view is to understand the teachings of impermanency. This ignorance arises in many different ways, one of which is that through the “not-understanding of Dependant Arising is the root of all sorrows experienced by all beings.”</w:t>
      </w:r>
      <w:r>
        <w:rPr>
          <w:rStyle w:val="FootnoteReference"/>
        </w:rPr>
        <w:footnoteReference w:id="12"/>
      </w:r>
      <w:r>
        <w:t xml:space="preserve"> With this, it can be argued that it is the unknowing that causes us to crave for the knowing, which further causes us more suffering through the need to crave and desire knowledge. This further can be prevented as it mentions that </w:t>
      </w:r>
      <w:r w:rsidR="005E4090">
        <w:t>“he who sees Dependant Arising, sees the Dharma,”</w:t>
      </w:r>
      <w:r w:rsidR="005E4090">
        <w:rPr>
          <w:rStyle w:val="FootnoteReference"/>
        </w:rPr>
        <w:footnoteReference w:id="13"/>
      </w:r>
      <w:r w:rsidR="005E4090">
        <w:t xml:space="preserve"> which highlights the understanding of not seeking the knowledge but to understand Dependant Arising for one-self. With this also is that to be able to see Dependant Arising is to further understand why it is there, which enables individuals to further achieve Nirvana through the cessation of ignorance.</w:t>
      </w:r>
    </w:p>
    <w:p w14:paraId="60698826" w14:textId="194524C4" w:rsidR="005E4090" w:rsidRDefault="005E4090" w:rsidP="00C6169B">
      <w:r>
        <w:t>Ignorance causes suffering or Dukkha to those who cannot see what ignorance is and with this, it can prevent</w:t>
      </w:r>
      <w:r w:rsidR="00183DE6">
        <w:t xml:space="preserve"> those from</w:t>
      </w:r>
      <w:r>
        <w:t xml:space="preserve"> achieving Nirvana.</w:t>
      </w:r>
      <w:r w:rsidR="00183DE6">
        <w:t xml:space="preserve"> </w:t>
      </w:r>
      <w:r>
        <w:t>Dukkha, which is the first of the Four Noble Truths within Buddhism,</w:t>
      </w:r>
      <w:r w:rsidR="00183DE6">
        <w:t xml:space="preserve"> which </w:t>
      </w:r>
      <w:r>
        <w:t xml:space="preserve">Harvey goes on to explain further how the “cessation of Dukkha comes about due to the complete cessation of spiritual ignorance and the consequent cessation </w:t>
      </w:r>
      <w:r w:rsidR="00183DE6">
        <w:t xml:space="preserve">of each following </w:t>
      </w:r>
      <w:proofErr w:type="spellStart"/>
      <w:r w:rsidR="00183DE6">
        <w:t>Nidana</w:t>
      </w:r>
      <w:proofErr w:type="spellEnd"/>
      <w:r w:rsidR="00183DE6">
        <w:t>.”</w:t>
      </w:r>
      <w:r w:rsidR="00183DE6">
        <w:rPr>
          <w:rStyle w:val="FootnoteReference"/>
        </w:rPr>
        <w:footnoteReference w:id="14"/>
      </w:r>
      <w:r w:rsidR="00183DE6">
        <w:t xml:space="preserve"> With this, to further follow the understanding of the Four Noble Truths in the aim to cease suffering will further cease ignorance. </w:t>
      </w:r>
      <w:r w:rsidR="00B37448">
        <w:t xml:space="preserve">This can further be understood as for one to understand that there is impermanence, suffering will cease as the understanding will be achieved. </w:t>
      </w:r>
      <w:r w:rsidR="00183DE6">
        <w:t>Further noted by Smith is that “the broad idea is clear; one link broken means the whole chain broken,”</w:t>
      </w:r>
      <w:r w:rsidR="00183DE6">
        <w:rPr>
          <w:rStyle w:val="FootnoteReference"/>
        </w:rPr>
        <w:footnoteReference w:id="15"/>
      </w:r>
      <w:r w:rsidR="00183DE6">
        <w:t xml:space="preserve"> </w:t>
      </w:r>
      <w:r w:rsidR="00183DE6">
        <w:lastRenderedPageBreak/>
        <w:t xml:space="preserve">which highlights the importance of the chain of Dependant Origination and how, through understanding ignorance, one can proceed along the chain. However, this further implies that to not understand ignorance causes suffering which breaks the chain, ultimately leaving the chain broken until the next attempt. </w:t>
      </w:r>
    </w:p>
    <w:p w14:paraId="79A5EDD3" w14:textId="5A4C0AD8" w:rsidR="00183DE6" w:rsidRDefault="00183DE6" w:rsidP="00C6169B">
      <w:r>
        <w:t>Harvey compares the doctrine of Dependant Origination to that of the Four Noble Truths also, as he mentions that a “doctrine strongly related to the Four Holy (or Noble) Truths</w:t>
      </w:r>
      <w:r w:rsidR="00D60A87">
        <w:t>, particularly the second, is that of ‘conditioned arising.”</w:t>
      </w:r>
      <w:r w:rsidR="00D60A87">
        <w:rPr>
          <w:rStyle w:val="FootnoteReference"/>
        </w:rPr>
        <w:footnoteReference w:id="16"/>
      </w:r>
      <w:r w:rsidR="00B37448">
        <w:t xml:space="preserve"> With this, to </w:t>
      </w:r>
      <w:r w:rsidR="0092695A">
        <w:t>acknowledge the cause of suffering can aid in the cessation of suffering and further to becoming enlightened. Through this we can further gain knowledge of not only ceasing Dukkha but also to understand ignorance as a key aspect of the twelve steps of Dependant Origination.</w:t>
      </w:r>
    </w:p>
    <w:p w14:paraId="20D56543" w14:textId="5399C89E" w:rsidR="0092695A" w:rsidRPr="00C6169B" w:rsidRDefault="0092695A" w:rsidP="00C6169B">
      <w:r>
        <w:t xml:space="preserve">With this, another downfall to Dukkha is desire. To distinguish between selfish desires and selfless desires can aid in the attainment of Nirvana, which can further be explained as the ignorance towards understanding what is selfish or what is selfless. By doing things that we don’t want to do, this can bring about equanimity within our life, further allowing liberation. As </w:t>
      </w:r>
      <w:r w:rsidR="00010E37">
        <w:t>mentioned,</w:t>
      </w:r>
      <w:r>
        <w:t xml:space="preserve"> to further understand this concept, Harvey explains that “to strive for this, admittedly a subtle craving for it is needed, which helps </w:t>
      </w:r>
      <w:r w:rsidR="00F42505">
        <w:t>in the overcoming of other cravings.”</w:t>
      </w:r>
      <w:r w:rsidR="00F42505">
        <w:rPr>
          <w:rStyle w:val="FootnoteReference"/>
        </w:rPr>
        <w:footnoteReference w:id="17"/>
      </w:r>
      <w:r w:rsidR="00DD249F">
        <w:t xml:space="preserve"> He mentions this as to distinguish between wanting to achieve something to relieve suffering but this is not a selfish act even though it may seem like a paradox. When it is explained simply; to put an end to one</w:t>
      </w:r>
      <w:r w:rsidR="00010E37">
        <w:t>’</w:t>
      </w:r>
      <w:r w:rsidR="00DD249F">
        <w:t xml:space="preserve">s desires but in doing so has to desire to be liberated from all desires, this </w:t>
      </w:r>
      <w:proofErr w:type="gramStart"/>
      <w:r w:rsidR="00DD249F">
        <w:t>can be seen as</w:t>
      </w:r>
      <w:proofErr w:type="gramEnd"/>
      <w:r w:rsidR="00DD249F">
        <w:t xml:space="preserve"> paradoxical but at the same time it allows for the cessation of the complete suffering through selfless acts which is the desire to </w:t>
      </w:r>
      <w:r w:rsidR="00010E37">
        <w:t>achieve liberation. This may answer the question if we desire liberation, but this form of desire is not a selfish one, as through liberation one can become a Buddha as through the Mahayana tradition, and can therefore aid others on their path to liberation also.</w:t>
      </w:r>
      <w:r w:rsidR="00DD249F">
        <w:t xml:space="preserve"> </w:t>
      </w:r>
    </w:p>
    <w:p w14:paraId="0E95119A" w14:textId="537E2366" w:rsidR="00010E37" w:rsidRDefault="00010E37" w:rsidP="00C6169B">
      <w:r>
        <w:t xml:space="preserve">With this further comes the understanding of independent arising, </w:t>
      </w:r>
      <w:r w:rsidR="00D26895">
        <w:t>which leads to the idea of permanence. With this, it can lead to incorrect understandings on the self and permanence which leads to ignorance. However, this can be avoided as mentioned by Smith, that the “doctrine complements the teachings that no permanent, independent self can be found,”</w:t>
      </w:r>
      <w:r w:rsidR="00D26895">
        <w:rPr>
          <w:rStyle w:val="FootnoteReference"/>
        </w:rPr>
        <w:footnoteReference w:id="18"/>
      </w:r>
      <w:r w:rsidR="00D26895">
        <w:t xml:space="preserve"> which stresses greatly on the impact of teaching </w:t>
      </w:r>
      <w:proofErr w:type="gramStart"/>
      <w:r w:rsidR="00D26895">
        <w:t>and also</w:t>
      </w:r>
      <w:proofErr w:type="gramEnd"/>
      <w:r w:rsidR="00D26895">
        <w:t xml:space="preserve"> the understanding of the teachings through acknowledging that there is impermanence, further allowing us to understand ignorance.</w:t>
      </w:r>
    </w:p>
    <w:p w14:paraId="26E770EF" w14:textId="564AD668" w:rsidR="00C6169B" w:rsidRDefault="00D26895" w:rsidP="00C6169B">
      <w:r>
        <w:t xml:space="preserve">Another aspect of this ignorance is that of being able to see dependant arising in our own life, by evaluating what we are doing/ have done in the past as to further broaden our knowledge of this ignorance which we want to understand. </w:t>
      </w:r>
      <w:r w:rsidR="00010E37">
        <w:t xml:space="preserve">Further to mention is that </w:t>
      </w:r>
      <w:r>
        <w:t>“o</w:t>
      </w:r>
      <w:r w:rsidR="0092695A">
        <w:t>ne must see dependant arising in one</w:t>
      </w:r>
      <w:r w:rsidR="00010E37">
        <w:t>’</w:t>
      </w:r>
      <w:r w:rsidR="0092695A">
        <w:t>s own lif</w:t>
      </w:r>
      <w:r>
        <w:t>e and by coming to grips with it through calm and insight in one’s own mind and body.”</w:t>
      </w:r>
      <w:r>
        <w:rPr>
          <w:rStyle w:val="FootnoteReference"/>
        </w:rPr>
        <w:footnoteReference w:id="19"/>
      </w:r>
      <w:r>
        <w:t xml:space="preserve"> This further alludes to the way of overcoming ignorance through understanding what ignorance is and even how this can be achieved through mental and bodily acceptance in the Buddha’s teachings. </w:t>
      </w:r>
    </w:p>
    <w:p w14:paraId="29AE7486" w14:textId="375D305C" w:rsidR="00C6169B" w:rsidRDefault="00010E37" w:rsidP="00C6169B">
      <w:r>
        <w:lastRenderedPageBreak/>
        <w:t xml:space="preserve">To conclude, ignorance is the first step of the chain of Dependant Origination which must be overcome initially to further proceed onto the rest of the chain. With this, numerous barriers must also be past; which include those of the Four Seals and the Four Noble Truths. However, with this, the outcome is much greater due to the understanding of ignorance which allows us to progress onto the next step. Ignorance, as explained previously through this essay, is the non-understanding of the world and impermanence but gaining this knowledge increases the individual’s path towards liberation. The actions of our past also contribute to how we can understand ignorance </w:t>
      </w:r>
      <w:r w:rsidR="00D26895">
        <w:t xml:space="preserve">which further expresses greatly how previous actions </w:t>
      </w:r>
      <w:proofErr w:type="gramStart"/>
      <w:r w:rsidR="00D26895">
        <w:t>and also</w:t>
      </w:r>
      <w:proofErr w:type="gramEnd"/>
      <w:r w:rsidR="00D26895">
        <w:t xml:space="preserve"> current actions can contribute to the future actions that will happen. With this, the aim would be for Nirvana to be the future achievement based off the actions of the present, however the actions of the past can contribute to this which can either enable to not enable the cessation of suffering based off being unaware</w:t>
      </w:r>
      <w:r w:rsidR="000B3410">
        <w:t xml:space="preserve"> of how ignorance is seen.</w:t>
      </w:r>
      <w:r w:rsidR="00D26895">
        <w:t xml:space="preserve"> </w:t>
      </w:r>
    </w:p>
    <w:p w14:paraId="69985A8A" w14:textId="14D6564C" w:rsidR="00C6169B" w:rsidRDefault="00C6169B" w:rsidP="00C6169B"/>
    <w:p w14:paraId="7DB9663E" w14:textId="4C94410C" w:rsidR="00C6169B" w:rsidRDefault="00C6169B" w:rsidP="00C6169B"/>
    <w:p w14:paraId="6E90522E" w14:textId="31ADB356" w:rsidR="00C6169B" w:rsidRDefault="00C6169B" w:rsidP="00C6169B"/>
    <w:p w14:paraId="6FC5B132" w14:textId="0E2BCBE5" w:rsidR="00C6169B" w:rsidRDefault="00C6169B" w:rsidP="00C6169B"/>
    <w:p w14:paraId="4139C611" w14:textId="607044A7" w:rsidR="00C6169B" w:rsidRDefault="00C6169B" w:rsidP="00C6169B"/>
    <w:p w14:paraId="4E06A9A3" w14:textId="70A6AC6D" w:rsidR="00C6169B" w:rsidRDefault="00C6169B" w:rsidP="00C6169B"/>
    <w:p w14:paraId="4531C61C" w14:textId="218A0B65" w:rsidR="00C6169B" w:rsidRDefault="00C6169B" w:rsidP="00C6169B"/>
    <w:p w14:paraId="47E3F8C2" w14:textId="0FCB06DE" w:rsidR="00C6169B" w:rsidRDefault="00C6169B" w:rsidP="00C6169B"/>
    <w:p w14:paraId="7AD324B3" w14:textId="1133CDC2" w:rsidR="00C6169B" w:rsidRDefault="00C6169B" w:rsidP="00C6169B"/>
    <w:p w14:paraId="0B694028" w14:textId="5FCEE63E" w:rsidR="00C6169B" w:rsidRDefault="00C6169B" w:rsidP="00C6169B"/>
    <w:p w14:paraId="1F63BCB4" w14:textId="504B199C" w:rsidR="00C6169B" w:rsidRDefault="00C6169B" w:rsidP="00C6169B"/>
    <w:p w14:paraId="6C2255CD" w14:textId="7C429B65" w:rsidR="00C6169B" w:rsidRDefault="00C6169B" w:rsidP="00C6169B"/>
    <w:p w14:paraId="225070B2" w14:textId="03003203" w:rsidR="00C6169B" w:rsidRDefault="00C6169B" w:rsidP="00C6169B"/>
    <w:p w14:paraId="398B4C4C" w14:textId="2FFAC3B9" w:rsidR="00C6169B" w:rsidRDefault="00C6169B" w:rsidP="00C6169B"/>
    <w:p w14:paraId="42335EF5" w14:textId="47CEB32C" w:rsidR="00C6169B" w:rsidRDefault="00C6169B" w:rsidP="00C6169B"/>
    <w:p w14:paraId="5FBC747A" w14:textId="5BCD4FD3" w:rsidR="00C6169B" w:rsidRDefault="00C6169B" w:rsidP="00C6169B"/>
    <w:p w14:paraId="6E7C33E1" w14:textId="2DDF43F6" w:rsidR="00C6169B" w:rsidRDefault="00C6169B" w:rsidP="00C6169B"/>
    <w:p w14:paraId="693F0CB5" w14:textId="32D75B83" w:rsidR="00C6169B" w:rsidRDefault="00C6169B" w:rsidP="00C6169B"/>
    <w:p w14:paraId="7A04405E" w14:textId="77777777" w:rsidR="000B3410" w:rsidRDefault="000B3410" w:rsidP="00C6169B">
      <w:pPr>
        <w:rPr>
          <w:b/>
          <w:u w:val="single"/>
        </w:rPr>
      </w:pPr>
    </w:p>
    <w:p w14:paraId="2630D608" w14:textId="77777777" w:rsidR="000B3410" w:rsidRDefault="000B3410" w:rsidP="00C6169B">
      <w:pPr>
        <w:rPr>
          <w:b/>
          <w:u w:val="single"/>
        </w:rPr>
      </w:pPr>
    </w:p>
    <w:p w14:paraId="40156796" w14:textId="0A2604CC" w:rsidR="00C6169B" w:rsidRDefault="00C6169B" w:rsidP="00F84A00">
      <w:pPr>
        <w:jc w:val="center"/>
        <w:rPr>
          <w:b/>
          <w:u w:val="single"/>
        </w:rPr>
      </w:pPr>
      <w:r w:rsidRPr="00C6169B">
        <w:rPr>
          <w:b/>
          <w:u w:val="single"/>
        </w:rPr>
        <w:lastRenderedPageBreak/>
        <w:t>Bibliography</w:t>
      </w:r>
    </w:p>
    <w:p w14:paraId="57330E23" w14:textId="77777777" w:rsidR="00F84A00" w:rsidRPr="00CB7789" w:rsidRDefault="00F84A00" w:rsidP="00C6169B">
      <w:r w:rsidRPr="00B71DD9">
        <w:t xml:space="preserve">Epstein, Ron, </w:t>
      </w:r>
      <w:r w:rsidRPr="00B71DD9">
        <w:rPr>
          <w:i/>
        </w:rPr>
        <w:t>"Clearing Up Some Misconceptions About Buddhism",</w:t>
      </w:r>
      <w:r w:rsidRPr="00B71DD9">
        <w:t xml:space="preserve"> Vajra Bodhi Sea: A Monthly Journal </w:t>
      </w:r>
      <w:proofErr w:type="gramStart"/>
      <w:r w:rsidRPr="00B71DD9">
        <w:t>Of</w:t>
      </w:r>
      <w:proofErr w:type="gramEnd"/>
      <w:r w:rsidRPr="00B71DD9">
        <w:t xml:space="preserve"> Orthodox Buddhism, (1999)</w:t>
      </w:r>
    </w:p>
    <w:p w14:paraId="5CB22A95" w14:textId="77777777" w:rsidR="00F84A00" w:rsidRDefault="00F84A00" w:rsidP="00C6169B">
      <w:r w:rsidRPr="00CB7789">
        <w:t xml:space="preserve">Harvey, Peter, </w:t>
      </w:r>
      <w:r w:rsidRPr="00AA1A35">
        <w:rPr>
          <w:i/>
        </w:rPr>
        <w:t xml:space="preserve">An Introduction </w:t>
      </w:r>
      <w:proofErr w:type="gramStart"/>
      <w:r w:rsidRPr="00AA1A35">
        <w:rPr>
          <w:i/>
        </w:rPr>
        <w:t>To</w:t>
      </w:r>
      <w:proofErr w:type="gramEnd"/>
      <w:r w:rsidRPr="00AA1A35">
        <w:rPr>
          <w:i/>
        </w:rPr>
        <w:t xml:space="preserve"> Buddhism</w:t>
      </w:r>
      <w:r w:rsidRPr="00CB7789">
        <w:t xml:space="preserve"> (Cambridge: Cambridge University Press, 2011)</w:t>
      </w:r>
    </w:p>
    <w:p w14:paraId="3A18761D" w14:textId="77777777" w:rsidR="00F84A00" w:rsidRDefault="00F84A00" w:rsidP="00C6169B">
      <w:proofErr w:type="spellStart"/>
      <w:r w:rsidRPr="00CB7789">
        <w:t>Khantipalo</w:t>
      </w:r>
      <w:proofErr w:type="spellEnd"/>
      <w:r w:rsidRPr="00CB7789">
        <w:t xml:space="preserve">, Bhikkhu, </w:t>
      </w:r>
      <w:r w:rsidRPr="00CB7789">
        <w:rPr>
          <w:i/>
        </w:rPr>
        <w:t>"A Basic Buddhism Guide: Dependent Arising",</w:t>
      </w:r>
      <w:r w:rsidRPr="00CB7789">
        <w:t xml:space="preserve"> Buddhanet.Net, 1998 </w:t>
      </w:r>
      <w:hyperlink r:id="rId7" w:history="1">
        <w:r w:rsidRPr="00E57E87">
          <w:rPr>
            <w:rStyle w:val="Hyperlink"/>
          </w:rPr>
          <w:t>https://www.buddhanet.net/e-learning/depend.htm</w:t>
        </w:r>
      </w:hyperlink>
      <w:r>
        <w:t xml:space="preserve"> </w:t>
      </w:r>
      <w:r w:rsidRPr="00CB7789">
        <w:t xml:space="preserve"> [Accessed 18 December 2018]</w:t>
      </w:r>
    </w:p>
    <w:p w14:paraId="57780429" w14:textId="77777777" w:rsidR="00F84A00" w:rsidRDefault="00F84A00" w:rsidP="00C6169B">
      <w:proofErr w:type="spellStart"/>
      <w:r w:rsidRPr="00AA1A35">
        <w:t>Prebish</w:t>
      </w:r>
      <w:proofErr w:type="spellEnd"/>
      <w:r w:rsidRPr="00AA1A35">
        <w:t xml:space="preserve">, Charles S, and Damien Keown, </w:t>
      </w:r>
      <w:r w:rsidRPr="00AA1A35">
        <w:rPr>
          <w:i/>
        </w:rPr>
        <w:t>Introducing Buddhism</w:t>
      </w:r>
      <w:r w:rsidRPr="00AA1A35">
        <w:t xml:space="preserve"> (Introducing </w:t>
      </w:r>
      <w:r>
        <w:t>B</w:t>
      </w:r>
      <w:r w:rsidRPr="00AA1A35">
        <w:t>uddhism: Routledge, 2010)</w:t>
      </w:r>
    </w:p>
    <w:p w14:paraId="324479A1" w14:textId="77777777" w:rsidR="00F84A00" w:rsidRDefault="00F84A00" w:rsidP="00C6169B">
      <w:r w:rsidRPr="00AA1A35">
        <w:t xml:space="preserve">Smith, F. Harold, The Buddhist Way </w:t>
      </w:r>
      <w:proofErr w:type="gramStart"/>
      <w:r w:rsidRPr="00AA1A35">
        <w:t>Of</w:t>
      </w:r>
      <w:proofErr w:type="gramEnd"/>
      <w:r w:rsidRPr="00AA1A35">
        <w:t xml:space="preserve"> Life (London: Hu</w:t>
      </w:r>
      <w:bookmarkStart w:id="0" w:name="_GoBack"/>
      <w:bookmarkEnd w:id="0"/>
      <w:r w:rsidRPr="00AA1A35">
        <w:t>tchinson's University Library, 1951)</w:t>
      </w:r>
    </w:p>
    <w:sectPr w:rsidR="00F84A0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8193F4" w14:textId="77777777" w:rsidR="00B71DD9" w:rsidRDefault="00B71DD9" w:rsidP="008653C2">
      <w:pPr>
        <w:spacing w:after="0" w:line="240" w:lineRule="auto"/>
      </w:pPr>
      <w:r>
        <w:separator/>
      </w:r>
    </w:p>
  </w:endnote>
  <w:endnote w:type="continuationSeparator" w:id="0">
    <w:p w14:paraId="68FEBA4D" w14:textId="77777777" w:rsidR="00B71DD9" w:rsidRDefault="00B71DD9" w:rsidP="00865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34ACAA" w14:textId="77777777" w:rsidR="00B71DD9" w:rsidRDefault="00B71DD9" w:rsidP="008653C2">
      <w:pPr>
        <w:spacing w:after="0" w:line="240" w:lineRule="auto"/>
      </w:pPr>
      <w:r>
        <w:separator/>
      </w:r>
    </w:p>
  </w:footnote>
  <w:footnote w:type="continuationSeparator" w:id="0">
    <w:p w14:paraId="15EA6F82" w14:textId="77777777" w:rsidR="00B71DD9" w:rsidRDefault="00B71DD9" w:rsidP="008653C2">
      <w:pPr>
        <w:spacing w:after="0" w:line="240" w:lineRule="auto"/>
      </w:pPr>
      <w:r>
        <w:continuationSeparator/>
      </w:r>
    </w:p>
  </w:footnote>
  <w:footnote w:id="1">
    <w:p w14:paraId="771EAF64" w14:textId="4D5EFA09" w:rsidR="00B71DD9" w:rsidRDefault="00B71DD9">
      <w:pPr>
        <w:pStyle w:val="FootnoteText"/>
      </w:pPr>
      <w:r>
        <w:rPr>
          <w:rStyle w:val="FootnoteReference"/>
        </w:rPr>
        <w:footnoteRef/>
      </w:r>
      <w:r>
        <w:t xml:space="preserve"> </w:t>
      </w:r>
      <w:r w:rsidRPr="00AA1A35">
        <w:t xml:space="preserve">Charles S </w:t>
      </w:r>
      <w:proofErr w:type="spellStart"/>
      <w:r w:rsidRPr="00AA1A35">
        <w:t>Prebish</w:t>
      </w:r>
      <w:proofErr w:type="spellEnd"/>
      <w:r w:rsidRPr="00AA1A35">
        <w:t xml:space="preserve"> and Damien Keown, Introducing Buddhism (Introducing </w:t>
      </w:r>
      <w:proofErr w:type="spellStart"/>
      <w:r w:rsidRPr="00AA1A35">
        <w:t>buddhism</w:t>
      </w:r>
      <w:proofErr w:type="spellEnd"/>
      <w:r w:rsidRPr="00AA1A35">
        <w:t>: Routledge, 2010).</w:t>
      </w:r>
    </w:p>
  </w:footnote>
  <w:footnote w:id="2">
    <w:p w14:paraId="520D93CA" w14:textId="08E2E445" w:rsidR="00B71DD9" w:rsidRDefault="00B71DD9">
      <w:pPr>
        <w:pStyle w:val="FootnoteText"/>
      </w:pPr>
      <w:r>
        <w:rPr>
          <w:rStyle w:val="FootnoteReference"/>
        </w:rPr>
        <w:footnoteRef/>
      </w:r>
      <w:r>
        <w:t xml:space="preserve"> </w:t>
      </w:r>
      <w:r w:rsidRPr="00B71DD9">
        <w:t>F. Harold Smith, The Buddhist Way Of Life (London: Hutchinson's University Library, 1951</w:t>
      </w:r>
      <w:proofErr w:type="gramStart"/>
      <w:r>
        <w:t>).p.</w:t>
      </w:r>
      <w:proofErr w:type="gramEnd"/>
      <w:r>
        <w:t>88.</w:t>
      </w:r>
    </w:p>
  </w:footnote>
  <w:footnote w:id="3">
    <w:p w14:paraId="37A31F28" w14:textId="527CC078" w:rsidR="00B71DD9" w:rsidRDefault="00B71DD9">
      <w:pPr>
        <w:pStyle w:val="FootnoteText"/>
      </w:pPr>
      <w:r>
        <w:rPr>
          <w:rStyle w:val="FootnoteReference"/>
        </w:rPr>
        <w:footnoteRef/>
      </w:r>
      <w:r>
        <w:t xml:space="preserve"> </w:t>
      </w:r>
      <w:r w:rsidR="00F84A00" w:rsidRPr="00F84A00">
        <w:t>Ron Epstein, "Clearing Up Some Misconceptions About Buddhism", Vajra Bodhi Sea: A Monthly Journal Of Orthodox Buddhism, (1999</w:t>
      </w:r>
      <w:proofErr w:type="gramStart"/>
      <w:r w:rsidR="00F84A00" w:rsidRPr="00F84A00">
        <w:t>).</w:t>
      </w:r>
      <w:r>
        <w:t>p.</w:t>
      </w:r>
      <w:proofErr w:type="gramEnd"/>
      <w:r>
        <w:t>41.</w:t>
      </w:r>
    </w:p>
  </w:footnote>
  <w:footnote w:id="4">
    <w:p w14:paraId="4B25EED7" w14:textId="5EA5AEF8" w:rsidR="00B71DD9" w:rsidRDefault="00B71DD9">
      <w:pPr>
        <w:pStyle w:val="FootnoteText"/>
      </w:pPr>
      <w:r>
        <w:rPr>
          <w:rStyle w:val="FootnoteReference"/>
        </w:rPr>
        <w:footnoteRef/>
      </w:r>
      <w:r>
        <w:t xml:space="preserve"> </w:t>
      </w:r>
      <w:r w:rsidRPr="00B71DD9">
        <w:t>F. Harold Smith, The Buddhist Way Of Life (London: Hutchinson's University Library, 1951</w:t>
      </w:r>
      <w:proofErr w:type="gramStart"/>
      <w:r>
        <w:t>).p.</w:t>
      </w:r>
      <w:proofErr w:type="gramEnd"/>
      <w:r>
        <w:t>88.</w:t>
      </w:r>
    </w:p>
  </w:footnote>
  <w:footnote w:id="5">
    <w:p w14:paraId="5F17FB81" w14:textId="4F07A2B4" w:rsidR="00B71DD9" w:rsidRDefault="00B71DD9">
      <w:pPr>
        <w:pStyle w:val="FootnoteText"/>
      </w:pPr>
      <w:r>
        <w:rPr>
          <w:rStyle w:val="FootnoteReference"/>
        </w:rPr>
        <w:footnoteRef/>
      </w:r>
      <w:r>
        <w:t xml:space="preserve"> </w:t>
      </w:r>
      <w:r w:rsidR="00F84A00" w:rsidRPr="00F84A00">
        <w:t>Ron Epstein, "Clearing Up Some Misconceptions About Buddhism", Vajra Bodhi Sea: A Monthly Journal Of Orthodox Buddhism, (1999</w:t>
      </w:r>
      <w:proofErr w:type="gramStart"/>
      <w:r w:rsidR="00F84A00" w:rsidRPr="00F84A00">
        <w:t>).</w:t>
      </w:r>
      <w:r>
        <w:t>p.</w:t>
      </w:r>
      <w:proofErr w:type="gramEnd"/>
      <w:r>
        <w:t>42.</w:t>
      </w:r>
    </w:p>
  </w:footnote>
  <w:footnote w:id="6">
    <w:p w14:paraId="213E4405" w14:textId="0AAE6112" w:rsidR="00B71DD9" w:rsidRDefault="00B71DD9">
      <w:pPr>
        <w:pStyle w:val="FootnoteText"/>
      </w:pPr>
      <w:r>
        <w:rPr>
          <w:rStyle w:val="FootnoteReference"/>
        </w:rPr>
        <w:footnoteRef/>
      </w:r>
      <w:r>
        <w:t xml:space="preserve"> </w:t>
      </w:r>
      <w:r w:rsidRPr="00B71DD9">
        <w:t>Ron Epstein, "Clearing Up Some Misconceptions About Buddhism", Vajra Bodhi Sea: A Monthly Journal Of Orthodox Buddhism, (1999</w:t>
      </w:r>
      <w:proofErr w:type="gramStart"/>
      <w:r w:rsidRPr="00B71DD9">
        <w:t>).</w:t>
      </w:r>
      <w:r>
        <w:t>p.</w:t>
      </w:r>
      <w:proofErr w:type="gramEnd"/>
      <w:r>
        <w:t>42.</w:t>
      </w:r>
    </w:p>
  </w:footnote>
  <w:footnote w:id="7">
    <w:p w14:paraId="6064DA0E" w14:textId="1DFF35C9" w:rsidR="00B71DD9" w:rsidRDefault="00B71DD9">
      <w:pPr>
        <w:pStyle w:val="FootnoteText"/>
      </w:pPr>
      <w:r>
        <w:rPr>
          <w:rStyle w:val="FootnoteReference"/>
        </w:rPr>
        <w:footnoteRef/>
      </w:r>
      <w:r>
        <w:t xml:space="preserve"> </w:t>
      </w:r>
      <w:r w:rsidRPr="00AA1A35">
        <w:t xml:space="preserve">Peter Harvey, </w:t>
      </w:r>
      <w:r w:rsidRPr="00AA1A35">
        <w:rPr>
          <w:i/>
        </w:rPr>
        <w:t>An Introduction To Buddhism</w:t>
      </w:r>
      <w:r w:rsidRPr="00AA1A35">
        <w:t xml:space="preserve"> (Cambridge: Cambridge University Press, 2011</w:t>
      </w:r>
      <w:proofErr w:type="gramStart"/>
      <w:r w:rsidRPr="00AA1A35">
        <w:t>).</w:t>
      </w:r>
      <w:r>
        <w:t>p.</w:t>
      </w:r>
      <w:proofErr w:type="gramEnd"/>
      <w:r>
        <w:t>89.</w:t>
      </w:r>
    </w:p>
  </w:footnote>
  <w:footnote w:id="8">
    <w:p w14:paraId="4BBE0BB0" w14:textId="1DEC8DDC" w:rsidR="00B71DD9" w:rsidRDefault="00B71DD9">
      <w:pPr>
        <w:pStyle w:val="FootnoteText"/>
      </w:pPr>
      <w:r>
        <w:rPr>
          <w:rStyle w:val="FootnoteReference"/>
        </w:rPr>
        <w:footnoteRef/>
      </w:r>
      <w:r>
        <w:t xml:space="preserve"> </w:t>
      </w:r>
      <w:r w:rsidRPr="00AA1A35">
        <w:t>F. Harold Smith, The Buddhist Way Of Life (London: Hutchinson's University Library, 1951</w:t>
      </w:r>
      <w:proofErr w:type="gramStart"/>
      <w:r>
        <w:t>).p.</w:t>
      </w:r>
      <w:proofErr w:type="gramEnd"/>
      <w:r>
        <w:t>27.</w:t>
      </w:r>
    </w:p>
  </w:footnote>
  <w:footnote w:id="9">
    <w:p w14:paraId="3E3523D4" w14:textId="4EF3C120" w:rsidR="00B71DD9" w:rsidRDefault="00B71DD9">
      <w:pPr>
        <w:pStyle w:val="FootnoteText"/>
      </w:pPr>
      <w:r>
        <w:rPr>
          <w:rStyle w:val="FootnoteReference"/>
        </w:rPr>
        <w:footnoteRef/>
      </w:r>
      <w:r>
        <w:t xml:space="preserve"> </w:t>
      </w:r>
      <w:r w:rsidRPr="00B71DD9">
        <w:t xml:space="preserve">Ron Epstein, </w:t>
      </w:r>
      <w:r w:rsidRPr="00B71DD9">
        <w:rPr>
          <w:i/>
        </w:rPr>
        <w:t>"Clearing Up Some Misconceptions About Buddhism",</w:t>
      </w:r>
      <w:r w:rsidRPr="00B71DD9">
        <w:t xml:space="preserve"> Vajra Bodhi Sea: A Monthly Journal Of Orthodox Buddhism, (1999</w:t>
      </w:r>
      <w:proofErr w:type="gramStart"/>
      <w:r w:rsidRPr="00B71DD9">
        <w:t>).</w:t>
      </w:r>
      <w:r>
        <w:t>p.</w:t>
      </w:r>
      <w:proofErr w:type="gramEnd"/>
      <w:r>
        <w:t>42.</w:t>
      </w:r>
    </w:p>
  </w:footnote>
  <w:footnote w:id="10">
    <w:p w14:paraId="72116C51" w14:textId="17BB8E71" w:rsidR="00B71DD9" w:rsidRDefault="00B71DD9">
      <w:pPr>
        <w:pStyle w:val="FootnoteText"/>
      </w:pPr>
      <w:r>
        <w:rPr>
          <w:rStyle w:val="FootnoteReference"/>
        </w:rPr>
        <w:footnoteRef/>
      </w:r>
      <w:r>
        <w:t xml:space="preserve"> </w:t>
      </w:r>
      <w:r w:rsidRPr="00B71DD9">
        <w:t xml:space="preserve">Ron Epstein, </w:t>
      </w:r>
      <w:r w:rsidRPr="00B71DD9">
        <w:rPr>
          <w:i/>
        </w:rPr>
        <w:t>"Clearing Up Some Misconceptions About Buddhism</w:t>
      </w:r>
      <w:r w:rsidRPr="00B71DD9">
        <w:t>", Vajra Bodhi Sea: A Monthly Journal Of Orthodox Buddhism, (1999</w:t>
      </w:r>
      <w:proofErr w:type="gramStart"/>
      <w:r w:rsidRPr="00B71DD9">
        <w:t>).</w:t>
      </w:r>
      <w:r>
        <w:t>p</w:t>
      </w:r>
      <w:proofErr w:type="gramEnd"/>
      <w:r>
        <w:t>42.</w:t>
      </w:r>
    </w:p>
  </w:footnote>
  <w:footnote w:id="11">
    <w:p w14:paraId="472E05D9" w14:textId="73EA4810" w:rsidR="00B71DD9" w:rsidRDefault="00B71DD9">
      <w:pPr>
        <w:pStyle w:val="FootnoteText"/>
      </w:pPr>
      <w:r>
        <w:rPr>
          <w:rStyle w:val="FootnoteReference"/>
        </w:rPr>
        <w:footnoteRef/>
      </w:r>
      <w:r>
        <w:t xml:space="preserve"> </w:t>
      </w:r>
      <w:r w:rsidRPr="00AA1A35">
        <w:t xml:space="preserve">Peter Harvey, </w:t>
      </w:r>
      <w:r w:rsidRPr="00AA1A35">
        <w:rPr>
          <w:i/>
        </w:rPr>
        <w:t>An Introduction To Buddhism</w:t>
      </w:r>
      <w:r w:rsidRPr="00AA1A35">
        <w:t xml:space="preserve"> (Cambridge: Cambridge University Press, 2011</w:t>
      </w:r>
      <w:proofErr w:type="gramStart"/>
      <w:r w:rsidRPr="00AA1A35">
        <w:t>).</w:t>
      </w:r>
      <w:r>
        <w:t>p.</w:t>
      </w:r>
      <w:proofErr w:type="gramEnd"/>
      <w:r>
        <w:t>124.</w:t>
      </w:r>
    </w:p>
  </w:footnote>
  <w:footnote w:id="12">
    <w:p w14:paraId="56544362" w14:textId="079DA867" w:rsidR="00B71DD9" w:rsidRDefault="00B71DD9">
      <w:pPr>
        <w:pStyle w:val="FootnoteText"/>
      </w:pPr>
      <w:r>
        <w:rPr>
          <w:rStyle w:val="FootnoteReference"/>
        </w:rPr>
        <w:footnoteRef/>
      </w:r>
      <w:r>
        <w:t xml:space="preserve"> </w:t>
      </w:r>
      <w:r w:rsidRPr="00CB7789">
        <w:t xml:space="preserve">Bhikkhu </w:t>
      </w:r>
      <w:proofErr w:type="spellStart"/>
      <w:r w:rsidRPr="00CB7789">
        <w:t>Khantipalo</w:t>
      </w:r>
      <w:proofErr w:type="spellEnd"/>
      <w:r w:rsidRPr="00CB7789">
        <w:t xml:space="preserve">, </w:t>
      </w:r>
      <w:r w:rsidRPr="00CB7789">
        <w:rPr>
          <w:i/>
        </w:rPr>
        <w:t>"A Basic Buddhism Guide: Dependent Arising",</w:t>
      </w:r>
      <w:r w:rsidRPr="00CB7789">
        <w:t xml:space="preserve"> Buddhanet.Net, 1998 </w:t>
      </w:r>
      <w:hyperlink r:id="rId1" w:history="1">
        <w:r w:rsidRPr="00E57E87">
          <w:rPr>
            <w:rStyle w:val="Hyperlink"/>
          </w:rPr>
          <w:t>https://www.buddhanet.net/e-learning/depend.htm</w:t>
        </w:r>
      </w:hyperlink>
      <w:r>
        <w:t xml:space="preserve"> </w:t>
      </w:r>
      <w:r w:rsidRPr="00CB7789">
        <w:t xml:space="preserve"> [Accessed 18 December 2018].</w:t>
      </w:r>
    </w:p>
  </w:footnote>
  <w:footnote w:id="13">
    <w:p w14:paraId="28315297" w14:textId="25497BE9" w:rsidR="00B71DD9" w:rsidRDefault="00B71DD9">
      <w:pPr>
        <w:pStyle w:val="FootnoteText"/>
      </w:pPr>
      <w:r>
        <w:rPr>
          <w:rStyle w:val="FootnoteReference"/>
        </w:rPr>
        <w:footnoteRef/>
      </w:r>
      <w:r>
        <w:t xml:space="preserve"> </w:t>
      </w:r>
      <w:r w:rsidRPr="00CB7789">
        <w:t xml:space="preserve">Bhikkhu </w:t>
      </w:r>
      <w:proofErr w:type="spellStart"/>
      <w:r w:rsidRPr="00CB7789">
        <w:t>Khantipalo</w:t>
      </w:r>
      <w:proofErr w:type="spellEnd"/>
      <w:r w:rsidRPr="00CB7789">
        <w:t xml:space="preserve">, </w:t>
      </w:r>
      <w:r w:rsidRPr="00CB7789">
        <w:rPr>
          <w:i/>
        </w:rPr>
        <w:t>"A Basic Buddhism Guide: Dependent Arising",</w:t>
      </w:r>
      <w:r w:rsidRPr="00CB7789">
        <w:t xml:space="preserve"> Buddhanet.Net, 1998 </w:t>
      </w:r>
      <w:hyperlink r:id="rId2" w:history="1">
        <w:r w:rsidRPr="00E57E87">
          <w:rPr>
            <w:rStyle w:val="Hyperlink"/>
          </w:rPr>
          <w:t>https://www.buddhanet.net/e-learning/depend.htm</w:t>
        </w:r>
      </w:hyperlink>
      <w:r>
        <w:t xml:space="preserve"> </w:t>
      </w:r>
      <w:r w:rsidRPr="00CB7789">
        <w:t>[Accessed 18 December 2018].</w:t>
      </w:r>
    </w:p>
  </w:footnote>
  <w:footnote w:id="14">
    <w:p w14:paraId="77D34999" w14:textId="3FF73B68" w:rsidR="00B71DD9" w:rsidRDefault="00B71DD9">
      <w:pPr>
        <w:pStyle w:val="FootnoteText"/>
      </w:pPr>
      <w:r>
        <w:rPr>
          <w:rStyle w:val="FootnoteReference"/>
        </w:rPr>
        <w:footnoteRef/>
      </w:r>
      <w:r>
        <w:t xml:space="preserve"> </w:t>
      </w:r>
      <w:r w:rsidRPr="00AA1A35">
        <w:t xml:space="preserve">Peter Harvey, </w:t>
      </w:r>
      <w:r w:rsidRPr="00AA1A35">
        <w:rPr>
          <w:i/>
        </w:rPr>
        <w:t>An Introduction To Buddhism</w:t>
      </w:r>
      <w:r w:rsidRPr="00AA1A35">
        <w:t xml:space="preserve"> (Cambridge: Cambridge University Press, 2011</w:t>
      </w:r>
      <w:proofErr w:type="gramStart"/>
      <w:r w:rsidRPr="00AA1A35">
        <w:t>).</w:t>
      </w:r>
      <w:r>
        <w:t>p.</w:t>
      </w:r>
      <w:proofErr w:type="gramEnd"/>
      <w:r>
        <w:t>55.</w:t>
      </w:r>
    </w:p>
  </w:footnote>
  <w:footnote w:id="15">
    <w:p w14:paraId="6101AEE3" w14:textId="20CA34AF" w:rsidR="00B71DD9" w:rsidRDefault="00B71DD9">
      <w:pPr>
        <w:pStyle w:val="FootnoteText"/>
      </w:pPr>
      <w:r>
        <w:rPr>
          <w:rStyle w:val="FootnoteReference"/>
        </w:rPr>
        <w:footnoteRef/>
      </w:r>
      <w:r>
        <w:t xml:space="preserve"> </w:t>
      </w:r>
      <w:r w:rsidRPr="00AA1A35">
        <w:t>F. Harold Smith, The Buddhist Way Of Life (London: Hutchinson's University Library, 1951</w:t>
      </w:r>
      <w:proofErr w:type="gramStart"/>
      <w:r>
        <w:t>).p.p.</w:t>
      </w:r>
      <w:proofErr w:type="gramEnd"/>
      <w:r>
        <w:t>33-34.</w:t>
      </w:r>
    </w:p>
  </w:footnote>
  <w:footnote w:id="16">
    <w:p w14:paraId="390BAC37" w14:textId="068D3436" w:rsidR="00B71DD9" w:rsidRDefault="00B71DD9">
      <w:pPr>
        <w:pStyle w:val="FootnoteText"/>
      </w:pPr>
      <w:r>
        <w:rPr>
          <w:rStyle w:val="FootnoteReference"/>
        </w:rPr>
        <w:footnoteRef/>
      </w:r>
      <w:r>
        <w:t xml:space="preserve"> Peter Harvey, </w:t>
      </w:r>
      <w:r w:rsidRPr="00AA1A35">
        <w:rPr>
          <w:i/>
        </w:rPr>
        <w:t>An Introduction To Buddhism</w:t>
      </w:r>
      <w:r>
        <w:t xml:space="preserve"> (Cambridge: Cambridge University Press, 2011</w:t>
      </w:r>
      <w:proofErr w:type="gramStart"/>
      <w:r>
        <w:t>).p.</w:t>
      </w:r>
      <w:proofErr w:type="gramEnd"/>
      <w:r>
        <w:t>54.</w:t>
      </w:r>
    </w:p>
  </w:footnote>
  <w:footnote w:id="17">
    <w:p w14:paraId="5B9AB6C7" w14:textId="4D8CC6FD" w:rsidR="00B71DD9" w:rsidRDefault="00B71DD9">
      <w:pPr>
        <w:pStyle w:val="FootnoteText"/>
      </w:pPr>
      <w:r>
        <w:rPr>
          <w:rStyle w:val="FootnoteReference"/>
        </w:rPr>
        <w:footnoteRef/>
      </w:r>
      <w:r>
        <w:t xml:space="preserve"> Peter Harvey, </w:t>
      </w:r>
      <w:r w:rsidRPr="00AA1A35">
        <w:rPr>
          <w:i/>
        </w:rPr>
        <w:t>An Introduction To Buddhism</w:t>
      </w:r>
      <w:r>
        <w:t xml:space="preserve"> (Cambridge: Cambridge University Press, 2011</w:t>
      </w:r>
      <w:proofErr w:type="gramStart"/>
      <w:r>
        <w:t>).p.</w:t>
      </w:r>
      <w:proofErr w:type="gramEnd"/>
      <w:r>
        <w:t>61.</w:t>
      </w:r>
    </w:p>
  </w:footnote>
  <w:footnote w:id="18">
    <w:p w14:paraId="2920E7C2" w14:textId="3046321D" w:rsidR="00B71DD9" w:rsidRDefault="00B71DD9">
      <w:pPr>
        <w:pStyle w:val="FootnoteText"/>
      </w:pPr>
      <w:r>
        <w:rPr>
          <w:rStyle w:val="FootnoteReference"/>
        </w:rPr>
        <w:footnoteRef/>
      </w:r>
      <w:r>
        <w:t xml:space="preserve"> </w:t>
      </w:r>
      <w:r w:rsidRPr="00AA1A35">
        <w:t xml:space="preserve">Peter Harvey, </w:t>
      </w:r>
      <w:r w:rsidRPr="00AA1A35">
        <w:rPr>
          <w:i/>
        </w:rPr>
        <w:t>An Introduction To Buddhism</w:t>
      </w:r>
      <w:r w:rsidRPr="00AA1A35">
        <w:t xml:space="preserve"> (Cambridge: Cambridge University Press, 2011</w:t>
      </w:r>
      <w:proofErr w:type="gramStart"/>
      <w:r w:rsidRPr="00AA1A35">
        <w:t>)</w:t>
      </w:r>
      <w:r>
        <w:t>.p.</w:t>
      </w:r>
      <w:proofErr w:type="gramEnd"/>
      <w:r>
        <w:t>54.</w:t>
      </w:r>
    </w:p>
  </w:footnote>
  <w:footnote w:id="19">
    <w:p w14:paraId="127D8844" w14:textId="55C76648" w:rsidR="00B71DD9" w:rsidRDefault="00B71DD9">
      <w:pPr>
        <w:pStyle w:val="FootnoteText"/>
      </w:pPr>
      <w:r>
        <w:rPr>
          <w:rStyle w:val="FootnoteReference"/>
        </w:rPr>
        <w:footnoteRef/>
      </w:r>
      <w:r>
        <w:t xml:space="preserve"> </w:t>
      </w:r>
      <w:r w:rsidRPr="00CB7789">
        <w:t xml:space="preserve">Bhikkhu </w:t>
      </w:r>
      <w:proofErr w:type="spellStart"/>
      <w:r w:rsidRPr="00CB7789">
        <w:t>Khantipalo</w:t>
      </w:r>
      <w:proofErr w:type="spellEnd"/>
      <w:r w:rsidRPr="00CB7789">
        <w:t xml:space="preserve">, </w:t>
      </w:r>
      <w:r w:rsidRPr="00CB7789">
        <w:rPr>
          <w:i/>
        </w:rPr>
        <w:t>"A Basic Buddhism Guide: Dependent Arising",</w:t>
      </w:r>
      <w:r w:rsidRPr="00CB7789">
        <w:t xml:space="preserve"> Buddhanet.Net, 1998 </w:t>
      </w:r>
      <w:hyperlink r:id="rId3" w:history="1">
        <w:r w:rsidRPr="00E57E87">
          <w:rPr>
            <w:rStyle w:val="Hyperlink"/>
          </w:rPr>
          <w:t>https://www.buddhanet.net/e-learning/depend.htm</w:t>
        </w:r>
      </w:hyperlink>
      <w:r>
        <w:t xml:space="preserve"> </w:t>
      </w:r>
      <w:r w:rsidRPr="00CB7789">
        <w:t xml:space="preserve"> [Accessed 18 December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07A1B" w14:textId="2B08C1BE" w:rsidR="00B71DD9" w:rsidRDefault="00B71DD9">
    <w:pPr>
      <w:pStyle w:val="Header"/>
    </w:pPr>
    <w:r>
      <w:t>1700646</w:t>
    </w:r>
    <w:r>
      <w:tab/>
      <w:t>Buddhism Open Exam</w:t>
    </w:r>
    <w:r>
      <w:tab/>
      <w:t>HPPPH5024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3C2"/>
    <w:rsid w:val="00010E37"/>
    <w:rsid w:val="000B3410"/>
    <w:rsid w:val="000C76E4"/>
    <w:rsid w:val="00140735"/>
    <w:rsid w:val="00183DE6"/>
    <w:rsid w:val="003C5A95"/>
    <w:rsid w:val="005E4090"/>
    <w:rsid w:val="0062631D"/>
    <w:rsid w:val="006B62DF"/>
    <w:rsid w:val="00724A4F"/>
    <w:rsid w:val="00814117"/>
    <w:rsid w:val="008653C2"/>
    <w:rsid w:val="008818B2"/>
    <w:rsid w:val="008B4FD8"/>
    <w:rsid w:val="0092695A"/>
    <w:rsid w:val="009E0739"/>
    <w:rsid w:val="00AA1A35"/>
    <w:rsid w:val="00AE39B2"/>
    <w:rsid w:val="00B31D09"/>
    <w:rsid w:val="00B37448"/>
    <w:rsid w:val="00B71DD9"/>
    <w:rsid w:val="00BA3F4C"/>
    <w:rsid w:val="00BF3B2D"/>
    <w:rsid w:val="00C34689"/>
    <w:rsid w:val="00C6169B"/>
    <w:rsid w:val="00CB7789"/>
    <w:rsid w:val="00CC423C"/>
    <w:rsid w:val="00D26895"/>
    <w:rsid w:val="00D60A87"/>
    <w:rsid w:val="00DD249F"/>
    <w:rsid w:val="00E4268F"/>
    <w:rsid w:val="00F3137C"/>
    <w:rsid w:val="00F42505"/>
    <w:rsid w:val="00F84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EEAD15"/>
  <w15:chartTrackingRefBased/>
  <w15:docId w15:val="{FC4F820B-823D-4948-99CA-FE188901C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5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3C2"/>
  </w:style>
  <w:style w:type="paragraph" w:styleId="Footer">
    <w:name w:val="footer"/>
    <w:basedOn w:val="Normal"/>
    <w:link w:val="FooterChar"/>
    <w:uiPriority w:val="99"/>
    <w:unhideWhenUsed/>
    <w:rsid w:val="00865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3C2"/>
  </w:style>
  <w:style w:type="paragraph" w:styleId="FootnoteText">
    <w:name w:val="footnote text"/>
    <w:basedOn w:val="Normal"/>
    <w:link w:val="FootnoteTextChar"/>
    <w:uiPriority w:val="99"/>
    <w:semiHidden/>
    <w:unhideWhenUsed/>
    <w:rsid w:val="008653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53C2"/>
    <w:rPr>
      <w:sz w:val="20"/>
      <w:szCs w:val="20"/>
    </w:rPr>
  </w:style>
  <w:style w:type="character" w:styleId="FootnoteReference">
    <w:name w:val="footnote reference"/>
    <w:basedOn w:val="DefaultParagraphFont"/>
    <w:uiPriority w:val="99"/>
    <w:semiHidden/>
    <w:unhideWhenUsed/>
    <w:rsid w:val="008653C2"/>
    <w:rPr>
      <w:vertAlign w:val="superscript"/>
    </w:rPr>
  </w:style>
  <w:style w:type="character" w:styleId="Hyperlink">
    <w:name w:val="Hyperlink"/>
    <w:basedOn w:val="DefaultParagraphFont"/>
    <w:uiPriority w:val="99"/>
    <w:unhideWhenUsed/>
    <w:rsid w:val="00CB7789"/>
    <w:rPr>
      <w:color w:val="0000FF" w:themeColor="hyperlink"/>
      <w:u w:val="single"/>
    </w:rPr>
  </w:style>
  <w:style w:type="character" w:styleId="UnresolvedMention">
    <w:name w:val="Unresolved Mention"/>
    <w:basedOn w:val="DefaultParagraphFont"/>
    <w:uiPriority w:val="99"/>
    <w:semiHidden/>
    <w:unhideWhenUsed/>
    <w:rsid w:val="00CB7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uddhanet.net/e-learning/depend.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buddhanet.net/e-learning/depend.htm" TargetMode="External"/><Relationship Id="rId2" Type="http://schemas.openxmlformats.org/officeDocument/2006/relationships/hyperlink" Target="https://www.buddhanet.net/e-learning/depend.htm" TargetMode="External"/><Relationship Id="rId1" Type="http://schemas.openxmlformats.org/officeDocument/2006/relationships/hyperlink" Target="https://www.buddhanet.net/e-learning/depend.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C7632-CD3F-47DB-AF50-66801489A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2374</Words>
  <Characters>12450</Characters>
  <Application>Microsoft Office Word</Application>
  <DocSecurity>0</DocSecurity>
  <Lines>180</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cp:revision>
  <dcterms:created xsi:type="dcterms:W3CDTF">2018-12-18T14:21:00Z</dcterms:created>
  <dcterms:modified xsi:type="dcterms:W3CDTF">2018-12-18T14:21:00Z</dcterms:modified>
</cp:coreProperties>
</file>