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5C463F" w14:textId="77777777" w:rsidR="00621223" w:rsidRDefault="00621223" w:rsidP="00621223">
      <w:pPr>
        <w:ind w:firstLine="0"/>
        <w:jc w:val="center"/>
        <w:rPr>
          <w:b/>
        </w:rPr>
      </w:pPr>
    </w:p>
    <w:p w14:paraId="5BFFBE0B" w14:textId="489C6847" w:rsidR="00621223" w:rsidRDefault="00CA4B14" w:rsidP="00621223">
      <w:pPr>
        <w:ind w:firstLine="0"/>
        <w:jc w:val="center"/>
      </w:pPr>
      <w:r>
        <w:t xml:space="preserve">Student and ID: </w:t>
      </w:r>
      <w:r w:rsidR="00621223">
        <w:t xml:space="preserve">Izabela </w:t>
      </w:r>
      <w:proofErr w:type="spellStart"/>
      <w:r w:rsidR="00621223">
        <w:t>Ioana</w:t>
      </w:r>
      <w:proofErr w:type="spellEnd"/>
      <w:r w:rsidR="00621223">
        <w:t xml:space="preserve"> </w:t>
      </w:r>
      <w:proofErr w:type="spellStart"/>
      <w:r w:rsidR="00621223">
        <w:t>Stanescu</w:t>
      </w:r>
      <w:proofErr w:type="spellEnd"/>
      <w:r>
        <w:t xml:space="preserve"> (</w:t>
      </w:r>
      <w:r>
        <w:t>2025868</w:t>
      </w:r>
      <w:r>
        <w:t>)</w:t>
      </w:r>
    </w:p>
    <w:p w14:paraId="674B4726" w14:textId="177D18C8" w:rsidR="00621223" w:rsidRDefault="00CA4B14" w:rsidP="00CA4B14">
      <w:pPr>
        <w:ind w:firstLine="0"/>
      </w:pPr>
      <w:r>
        <w:t xml:space="preserve">                                                </w:t>
      </w:r>
      <w:r w:rsidR="00621223">
        <w:t>BA (Hons) Business Management</w:t>
      </w:r>
    </w:p>
    <w:p w14:paraId="4DF565A1" w14:textId="77777777" w:rsidR="00621223" w:rsidRDefault="00621223" w:rsidP="00621223">
      <w:pPr>
        <w:ind w:firstLine="0"/>
        <w:jc w:val="center"/>
      </w:pPr>
      <w:r>
        <w:t>LCBB 4001: Accounting Fundamentals</w:t>
      </w:r>
    </w:p>
    <w:p w14:paraId="4844B034" w14:textId="0CAAC588" w:rsidR="00621223" w:rsidRDefault="00CA4B14" w:rsidP="00621223">
      <w:pPr>
        <w:ind w:firstLine="0"/>
        <w:jc w:val="center"/>
      </w:pPr>
      <w:r>
        <w:t xml:space="preserve">Lecturer: </w:t>
      </w:r>
      <w:proofErr w:type="spellStart"/>
      <w:r w:rsidR="00621223">
        <w:t>Zameer</w:t>
      </w:r>
      <w:proofErr w:type="spellEnd"/>
      <w:r w:rsidR="00621223">
        <w:t xml:space="preserve"> Hussain</w:t>
      </w:r>
    </w:p>
    <w:p w14:paraId="471DAD40" w14:textId="163EE59D" w:rsidR="00621223" w:rsidRDefault="00CA4B14" w:rsidP="00621223">
      <w:pPr>
        <w:ind w:firstLine="0"/>
        <w:jc w:val="center"/>
      </w:pPr>
      <w:r>
        <w:t xml:space="preserve">Due date: </w:t>
      </w:r>
      <w:r w:rsidR="00621223">
        <w:t>10/07/2022</w:t>
      </w:r>
    </w:p>
    <w:p w14:paraId="196201C3" w14:textId="77777777" w:rsidR="00621223" w:rsidRDefault="00621223" w:rsidP="00621223">
      <w:pPr>
        <w:ind w:firstLine="0"/>
        <w:jc w:val="center"/>
      </w:pPr>
    </w:p>
    <w:p w14:paraId="5FEA5A53" w14:textId="77777777" w:rsidR="00621223" w:rsidRDefault="00621223" w:rsidP="00621223">
      <w:pPr>
        <w:ind w:firstLine="0"/>
        <w:jc w:val="center"/>
      </w:pPr>
    </w:p>
    <w:p w14:paraId="3C97FCBE" w14:textId="77777777" w:rsidR="00621223" w:rsidRDefault="00621223" w:rsidP="00621223">
      <w:pPr>
        <w:ind w:firstLine="0"/>
        <w:jc w:val="center"/>
      </w:pPr>
    </w:p>
    <w:p w14:paraId="2DC7CFA7" w14:textId="77777777" w:rsidR="00621223" w:rsidRDefault="00621223" w:rsidP="00621223">
      <w:pPr>
        <w:ind w:firstLine="0"/>
        <w:jc w:val="center"/>
      </w:pPr>
    </w:p>
    <w:p w14:paraId="6BC4ECEA" w14:textId="77777777" w:rsidR="00621223" w:rsidRDefault="00621223" w:rsidP="00621223">
      <w:pPr>
        <w:spacing w:after="0" w:line="240" w:lineRule="auto"/>
        <w:ind w:firstLine="0"/>
      </w:pPr>
    </w:p>
    <w:p w14:paraId="7CC1CEDB" w14:textId="77777777" w:rsidR="00621223" w:rsidRDefault="00621223" w:rsidP="00621223">
      <w:pPr>
        <w:spacing w:after="0" w:line="240" w:lineRule="auto"/>
        <w:ind w:firstLine="0"/>
      </w:pPr>
    </w:p>
    <w:p w14:paraId="32299F85" w14:textId="77777777" w:rsidR="00621223" w:rsidRDefault="00621223" w:rsidP="00621223">
      <w:pPr>
        <w:spacing w:after="0" w:line="240" w:lineRule="auto"/>
        <w:ind w:firstLine="0"/>
      </w:pPr>
    </w:p>
    <w:p w14:paraId="01D983D1" w14:textId="77777777" w:rsidR="00621223" w:rsidRDefault="00621223" w:rsidP="00621223">
      <w:pPr>
        <w:spacing w:after="0" w:line="240" w:lineRule="auto"/>
        <w:ind w:firstLine="0"/>
      </w:pPr>
    </w:p>
    <w:p w14:paraId="10A29BE1" w14:textId="77777777" w:rsidR="00621223" w:rsidRDefault="00621223" w:rsidP="00621223">
      <w:pPr>
        <w:spacing w:after="0" w:line="240" w:lineRule="auto"/>
        <w:ind w:firstLine="0"/>
      </w:pPr>
    </w:p>
    <w:p w14:paraId="4942CDFF" w14:textId="77777777" w:rsidR="00621223" w:rsidRDefault="00621223" w:rsidP="00621223">
      <w:pPr>
        <w:spacing w:after="0" w:line="240" w:lineRule="auto"/>
        <w:ind w:firstLine="0"/>
      </w:pPr>
    </w:p>
    <w:p w14:paraId="22E59684" w14:textId="77777777" w:rsidR="00621223" w:rsidRDefault="00621223" w:rsidP="00621223">
      <w:pPr>
        <w:spacing w:after="0" w:line="240" w:lineRule="auto"/>
        <w:ind w:firstLine="0"/>
      </w:pPr>
    </w:p>
    <w:p w14:paraId="5CCC087D" w14:textId="77777777" w:rsidR="00621223" w:rsidRDefault="00621223" w:rsidP="00621223">
      <w:pPr>
        <w:spacing w:after="0" w:line="240" w:lineRule="auto"/>
        <w:ind w:firstLine="0"/>
      </w:pPr>
    </w:p>
    <w:p w14:paraId="1A6E88A4" w14:textId="77777777" w:rsidR="00621223" w:rsidRDefault="00621223" w:rsidP="00621223">
      <w:pPr>
        <w:spacing w:after="0" w:line="240" w:lineRule="auto"/>
        <w:ind w:firstLine="0"/>
      </w:pPr>
    </w:p>
    <w:p w14:paraId="1D7CBE44" w14:textId="77777777" w:rsidR="00621223" w:rsidRDefault="00621223" w:rsidP="00621223">
      <w:pPr>
        <w:spacing w:after="0" w:line="240" w:lineRule="auto"/>
        <w:ind w:firstLine="0"/>
      </w:pPr>
    </w:p>
    <w:p w14:paraId="559C0381" w14:textId="77777777" w:rsidR="00621223" w:rsidRDefault="00621223" w:rsidP="00621223">
      <w:pPr>
        <w:spacing w:after="0" w:line="240" w:lineRule="auto"/>
        <w:ind w:firstLine="0"/>
      </w:pPr>
    </w:p>
    <w:p w14:paraId="5D3F4CAB" w14:textId="77777777" w:rsidR="00621223" w:rsidRDefault="00621223" w:rsidP="00621223">
      <w:pPr>
        <w:spacing w:after="0" w:line="240" w:lineRule="auto"/>
        <w:ind w:firstLine="0"/>
      </w:pPr>
    </w:p>
    <w:p w14:paraId="606D3009" w14:textId="77777777" w:rsidR="00621223" w:rsidRDefault="00621223" w:rsidP="00621223">
      <w:pPr>
        <w:spacing w:after="0" w:line="240" w:lineRule="auto"/>
        <w:ind w:firstLine="0"/>
      </w:pPr>
    </w:p>
    <w:p w14:paraId="57D8A308" w14:textId="77777777" w:rsidR="00621223" w:rsidRDefault="00621223" w:rsidP="00621223">
      <w:pPr>
        <w:spacing w:after="0" w:line="240" w:lineRule="auto"/>
        <w:ind w:firstLine="0"/>
      </w:pPr>
    </w:p>
    <w:p w14:paraId="2CF35AF9" w14:textId="77777777" w:rsidR="00621223" w:rsidRDefault="00621223" w:rsidP="00621223">
      <w:pPr>
        <w:spacing w:after="0" w:line="240" w:lineRule="auto"/>
        <w:ind w:firstLine="0"/>
      </w:pPr>
    </w:p>
    <w:p w14:paraId="27FB85C8" w14:textId="77777777" w:rsidR="00621223" w:rsidRDefault="00621223" w:rsidP="00621223">
      <w:pPr>
        <w:spacing w:after="0" w:line="240" w:lineRule="auto"/>
        <w:ind w:firstLine="0"/>
        <w:rPr>
          <w:b/>
          <w:bCs/>
          <w:szCs w:val="24"/>
        </w:rPr>
      </w:pPr>
    </w:p>
    <w:p w14:paraId="7748133C" w14:textId="77777777" w:rsidR="00621223" w:rsidRDefault="00621223" w:rsidP="00621223">
      <w:pPr>
        <w:spacing w:after="0" w:line="240" w:lineRule="auto"/>
        <w:ind w:firstLine="0"/>
        <w:rPr>
          <w:b/>
          <w:bCs/>
          <w:szCs w:val="24"/>
        </w:rPr>
      </w:pPr>
    </w:p>
    <w:p w14:paraId="2316CCE0" w14:textId="77777777" w:rsidR="00621223" w:rsidRDefault="00621223" w:rsidP="00621223">
      <w:pPr>
        <w:spacing w:after="0" w:line="240" w:lineRule="auto"/>
        <w:ind w:firstLine="0"/>
        <w:rPr>
          <w:b/>
          <w:bCs/>
          <w:szCs w:val="24"/>
        </w:rPr>
      </w:pPr>
    </w:p>
    <w:p w14:paraId="05FB74A8" w14:textId="77777777" w:rsidR="00CA4B14" w:rsidRDefault="00621223" w:rsidP="00621223">
      <w:pPr>
        <w:spacing w:after="0" w:line="240" w:lineRule="auto"/>
        <w:ind w:firstLine="0"/>
        <w:rPr>
          <w:b/>
          <w:bCs/>
          <w:szCs w:val="24"/>
        </w:rPr>
      </w:pPr>
      <w:r>
        <w:rPr>
          <w:b/>
          <w:bCs/>
          <w:szCs w:val="24"/>
        </w:rPr>
        <w:t xml:space="preserve">                                                                  </w:t>
      </w:r>
    </w:p>
    <w:p w14:paraId="79E72463" w14:textId="77777777" w:rsidR="00CA4B14" w:rsidRDefault="00CA4B14" w:rsidP="00621223">
      <w:pPr>
        <w:spacing w:after="0" w:line="240" w:lineRule="auto"/>
        <w:ind w:firstLine="0"/>
        <w:rPr>
          <w:b/>
          <w:bCs/>
          <w:szCs w:val="24"/>
        </w:rPr>
      </w:pPr>
    </w:p>
    <w:p w14:paraId="4D5F6CD0" w14:textId="77777777" w:rsidR="00CA4B14" w:rsidRDefault="00CA4B14" w:rsidP="00621223">
      <w:pPr>
        <w:spacing w:after="0" w:line="240" w:lineRule="auto"/>
        <w:ind w:firstLine="0"/>
        <w:rPr>
          <w:b/>
          <w:bCs/>
          <w:szCs w:val="24"/>
        </w:rPr>
      </w:pPr>
    </w:p>
    <w:p w14:paraId="723A80A6" w14:textId="60DE539B" w:rsidR="00621223" w:rsidRDefault="00CA4B14" w:rsidP="00621223">
      <w:pPr>
        <w:spacing w:after="0" w:line="240" w:lineRule="auto"/>
        <w:ind w:firstLine="0"/>
        <w:rPr>
          <w:b/>
          <w:bCs/>
          <w:szCs w:val="24"/>
        </w:rPr>
      </w:pPr>
      <w:r>
        <w:rPr>
          <w:b/>
          <w:bCs/>
          <w:szCs w:val="24"/>
        </w:rPr>
        <w:lastRenderedPageBreak/>
        <w:t xml:space="preserve">                                                                </w:t>
      </w:r>
      <w:bookmarkStart w:id="0" w:name="_GoBack"/>
      <w:bookmarkEnd w:id="0"/>
      <w:r w:rsidR="00621223">
        <w:rPr>
          <w:b/>
          <w:bCs/>
          <w:szCs w:val="24"/>
        </w:rPr>
        <w:t>Finance Statement</w:t>
      </w:r>
    </w:p>
    <w:p w14:paraId="49665125" w14:textId="77777777" w:rsidR="00621223" w:rsidRDefault="00621223" w:rsidP="00621223">
      <w:pPr>
        <w:spacing w:after="0" w:line="240" w:lineRule="auto"/>
        <w:rPr>
          <w:b/>
          <w:bCs/>
          <w:szCs w:val="24"/>
        </w:rPr>
      </w:pPr>
      <w:r>
        <w:rPr>
          <w:b/>
          <w:bCs/>
          <w:szCs w:val="24"/>
        </w:rPr>
        <w:t xml:space="preserve">Prepare an Income Statement </w:t>
      </w:r>
    </w:p>
    <w:p w14:paraId="7543E78F" w14:textId="77777777" w:rsidR="00621223" w:rsidRDefault="00621223" w:rsidP="00621223">
      <w:pPr>
        <w:spacing w:after="0" w:line="240" w:lineRule="auto"/>
        <w:rPr>
          <w:szCs w:val="24"/>
        </w:rPr>
      </w:pPr>
    </w:p>
    <w:tbl>
      <w:tblPr>
        <w:tblW w:w="6232" w:type="dxa"/>
        <w:tblLook w:val="04A0" w:firstRow="1" w:lastRow="0" w:firstColumn="1" w:lastColumn="0" w:noHBand="0" w:noVBand="1"/>
      </w:tblPr>
      <w:tblGrid>
        <w:gridCol w:w="2889"/>
        <w:gridCol w:w="1642"/>
        <w:gridCol w:w="1701"/>
      </w:tblGrid>
      <w:tr w:rsidR="00621223" w:rsidRPr="00CA4B14" w14:paraId="1C294881" w14:textId="77777777" w:rsidTr="00621223">
        <w:trPr>
          <w:trHeight w:val="315"/>
        </w:trPr>
        <w:tc>
          <w:tcPr>
            <w:tcW w:w="6232" w:type="dxa"/>
            <w:gridSpan w:val="3"/>
            <w:tcBorders>
              <w:top w:val="single" w:sz="4" w:space="0" w:color="auto"/>
              <w:left w:val="single" w:sz="4" w:space="0" w:color="auto"/>
              <w:bottom w:val="single" w:sz="4" w:space="0" w:color="auto"/>
              <w:right w:val="single" w:sz="4" w:space="0" w:color="auto"/>
            </w:tcBorders>
            <w:noWrap/>
            <w:vAlign w:val="bottom"/>
            <w:hideMark/>
          </w:tcPr>
          <w:p w14:paraId="49174119" w14:textId="77777777" w:rsidR="00621223" w:rsidRPr="00CA4B14" w:rsidRDefault="00621223">
            <w:pPr>
              <w:spacing w:after="0" w:line="360" w:lineRule="auto"/>
              <w:jc w:val="center"/>
              <w:rPr>
                <w:rFonts w:eastAsia="Times New Roman"/>
                <w:b/>
                <w:bCs/>
                <w:color w:val="000000"/>
                <w:szCs w:val="24"/>
              </w:rPr>
            </w:pPr>
            <w:r w:rsidRPr="00CA4B14">
              <w:rPr>
                <w:rFonts w:eastAsia="Times New Roman"/>
                <w:b/>
                <w:bCs/>
                <w:color w:val="000000"/>
                <w:szCs w:val="24"/>
              </w:rPr>
              <w:t>Income Statement</w:t>
            </w:r>
          </w:p>
        </w:tc>
      </w:tr>
      <w:tr w:rsidR="00621223" w:rsidRPr="00CA4B14" w14:paraId="0A49B40F" w14:textId="77777777" w:rsidTr="00621223">
        <w:trPr>
          <w:trHeight w:val="315"/>
        </w:trPr>
        <w:tc>
          <w:tcPr>
            <w:tcW w:w="6232" w:type="dxa"/>
            <w:gridSpan w:val="3"/>
            <w:tcBorders>
              <w:top w:val="single" w:sz="4" w:space="0" w:color="auto"/>
              <w:left w:val="single" w:sz="4" w:space="0" w:color="auto"/>
              <w:bottom w:val="single" w:sz="4" w:space="0" w:color="auto"/>
              <w:right w:val="single" w:sz="4" w:space="0" w:color="auto"/>
            </w:tcBorders>
            <w:noWrap/>
            <w:vAlign w:val="bottom"/>
            <w:hideMark/>
          </w:tcPr>
          <w:p w14:paraId="76CF5055" w14:textId="77777777" w:rsidR="00621223" w:rsidRPr="00CA4B14" w:rsidRDefault="00621223">
            <w:pPr>
              <w:spacing w:after="0" w:line="360" w:lineRule="auto"/>
              <w:jc w:val="center"/>
              <w:rPr>
                <w:rFonts w:eastAsia="Times New Roman"/>
                <w:b/>
                <w:bCs/>
                <w:color w:val="000000"/>
                <w:szCs w:val="24"/>
              </w:rPr>
            </w:pPr>
            <w:r w:rsidRPr="00CA4B14">
              <w:rPr>
                <w:rFonts w:eastAsia="Times New Roman"/>
                <w:b/>
                <w:bCs/>
                <w:color w:val="000000"/>
                <w:szCs w:val="24"/>
              </w:rPr>
              <w:t>For the year ended 31 December 2021</w:t>
            </w:r>
          </w:p>
        </w:tc>
      </w:tr>
      <w:tr w:rsidR="00621223" w:rsidRPr="00CA4B14" w14:paraId="3AAB82E0" w14:textId="77777777" w:rsidTr="00621223">
        <w:trPr>
          <w:trHeight w:val="315"/>
        </w:trPr>
        <w:tc>
          <w:tcPr>
            <w:tcW w:w="2889" w:type="dxa"/>
            <w:tcBorders>
              <w:top w:val="nil"/>
              <w:left w:val="single" w:sz="4" w:space="0" w:color="auto"/>
              <w:bottom w:val="single" w:sz="4" w:space="0" w:color="auto"/>
              <w:right w:val="single" w:sz="4" w:space="0" w:color="auto"/>
            </w:tcBorders>
            <w:noWrap/>
            <w:vAlign w:val="bottom"/>
            <w:hideMark/>
          </w:tcPr>
          <w:p w14:paraId="488D5B92" w14:textId="77777777" w:rsidR="00621223" w:rsidRPr="00CA4B14" w:rsidRDefault="00621223">
            <w:pPr>
              <w:spacing w:after="0" w:line="360" w:lineRule="auto"/>
              <w:rPr>
                <w:rFonts w:eastAsia="Times New Roman"/>
                <w:color w:val="000000"/>
                <w:szCs w:val="24"/>
              </w:rPr>
            </w:pPr>
            <w:r w:rsidRPr="00CA4B14">
              <w:rPr>
                <w:rFonts w:eastAsia="Times New Roman"/>
                <w:color w:val="000000"/>
                <w:szCs w:val="24"/>
              </w:rPr>
              <w:t>Sales</w:t>
            </w:r>
          </w:p>
        </w:tc>
        <w:tc>
          <w:tcPr>
            <w:tcW w:w="1642" w:type="dxa"/>
            <w:tcBorders>
              <w:top w:val="nil"/>
              <w:left w:val="nil"/>
              <w:bottom w:val="single" w:sz="4" w:space="0" w:color="auto"/>
              <w:right w:val="single" w:sz="4" w:space="0" w:color="auto"/>
            </w:tcBorders>
            <w:noWrap/>
            <w:vAlign w:val="bottom"/>
            <w:hideMark/>
          </w:tcPr>
          <w:p w14:paraId="71FECBC0" w14:textId="77777777" w:rsidR="00621223" w:rsidRPr="00CA4B14" w:rsidRDefault="00621223">
            <w:pPr>
              <w:spacing w:after="0" w:line="360" w:lineRule="auto"/>
              <w:rPr>
                <w:rFonts w:eastAsia="Times New Roman"/>
                <w:color w:val="000000"/>
                <w:szCs w:val="24"/>
              </w:rPr>
            </w:pPr>
            <w:r w:rsidRPr="00CA4B14">
              <w:rPr>
                <w:rFonts w:eastAsia="Times New Roman"/>
                <w:color w:val="000000"/>
                <w:szCs w:val="24"/>
              </w:rPr>
              <w:t> </w:t>
            </w:r>
          </w:p>
        </w:tc>
        <w:tc>
          <w:tcPr>
            <w:tcW w:w="1701" w:type="dxa"/>
            <w:tcBorders>
              <w:top w:val="nil"/>
              <w:left w:val="nil"/>
              <w:bottom w:val="single" w:sz="4" w:space="0" w:color="auto"/>
              <w:right w:val="single" w:sz="4" w:space="0" w:color="auto"/>
            </w:tcBorders>
            <w:noWrap/>
            <w:vAlign w:val="bottom"/>
            <w:hideMark/>
          </w:tcPr>
          <w:p w14:paraId="56DB6B2D" w14:textId="77777777" w:rsidR="00621223" w:rsidRPr="00CA4B14" w:rsidRDefault="00621223">
            <w:pPr>
              <w:spacing w:after="0" w:line="360" w:lineRule="auto"/>
              <w:rPr>
                <w:rFonts w:eastAsia="Times New Roman"/>
                <w:color w:val="000000"/>
                <w:szCs w:val="24"/>
              </w:rPr>
            </w:pPr>
            <w:r w:rsidRPr="00CA4B14">
              <w:rPr>
                <w:rFonts w:eastAsia="Times New Roman"/>
                <w:color w:val="000000"/>
                <w:szCs w:val="24"/>
              </w:rPr>
              <w:t xml:space="preserve"> £    310,423 </w:t>
            </w:r>
          </w:p>
        </w:tc>
      </w:tr>
      <w:tr w:rsidR="00621223" w:rsidRPr="00CA4B14" w14:paraId="0B482A74" w14:textId="77777777" w:rsidTr="00621223">
        <w:trPr>
          <w:trHeight w:val="315"/>
        </w:trPr>
        <w:tc>
          <w:tcPr>
            <w:tcW w:w="2889" w:type="dxa"/>
            <w:tcBorders>
              <w:top w:val="nil"/>
              <w:left w:val="single" w:sz="4" w:space="0" w:color="auto"/>
              <w:bottom w:val="single" w:sz="4" w:space="0" w:color="auto"/>
              <w:right w:val="single" w:sz="4" w:space="0" w:color="auto"/>
            </w:tcBorders>
            <w:noWrap/>
            <w:vAlign w:val="bottom"/>
            <w:hideMark/>
          </w:tcPr>
          <w:p w14:paraId="60C8A9EF" w14:textId="77777777" w:rsidR="00621223" w:rsidRPr="00CA4B14" w:rsidRDefault="00621223">
            <w:pPr>
              <w:spacing w:after="0" w:line="360" w:lineRule="auto"/>
              <w:rPr>
                <w:rFonts w:eastAsia="Times New Roman"/>
                <w:b/>
                <w:bCs/>
                <w:color w:val="000000"/>
                <w:szCs w:val="24"/>
              </w:rPr>
            </w:pPr>
            <w:r w:rsidRPr="00CA4B14">
              <w:rPr>
                <w:rFonts w:eastAsia="Times New Roman"/>
                <w:b/>
                <w:bCs/>
                <w:color w:val="000000"/>
                <w:szCs w:val="24"/>
              </w:rPr>
              <w:t>Less: Cost of goods sold</w:t>
            </w:r>
          </w:p>
        </w:tc>
        <w:tc>
          <w:tcPr>
            <w:tcW w:w="1642" w:type="dxa"/>
            <w:tcBorders>
              <w:top w:val="nil"/>
              <w:left w:val="nil"/>
              <w:bottom w:val="single" w:sz="4" w:space="0" w:color="auto"/>
              <w:right w:val="single" w:sz="4" w:space="0" w:color="auto"/>
            </w:tcBorders>
            <w:noWrap/>
            <w:vAlign w:val="bottom"/>
            <w:hideMark/>
          </w:tcPr>
          <w:p w14:paraId="0D2C1882" w14:textId="77777777" w:rsidR="00621223" w:rsidRPr="00CA4B14" w:rsidRDefault="00621223">
            <w:pPr>
              <w:spacing w:after="0" w:line="360" w:lineRule="auto"/>
              <w:rPr>
                <w:rFonts w:eastAsia="Times New Roman"/>
                <w:color w:val="000000"/>
                <w:szCs w:val="24"/>
              </w:rPr>
            </w:pPr>
            <w:r w:rsidRPr="00CA4B14">
              <w:rPr>
                <w:rFonts w:eastAsia="Times New Roman"/>
                <w:color w:val="000000"/>
                <w:szCs w:val="24"/>
              </w:rPr>
              <w:t> </w:t>
            </w:r>
          </w:p>
        </w:tc>
        <w:tc>
          <w:tcPr>
            <w:tcW w:w="1701" w:type="dxa"/>
            <w:tcBorders>
              <w:top w:val="nil"/>
              <w:left w:val="nil"/>
              <w:bottom w:val="single" w:sz="4" w:space="0" w:color="auto"/>
              <w:right w:val="single" w:sz="4" w:space="0" w:color="auto"/>
            </w:tcBorders>
            <w:noWrap/>
            <w:vAlign w:val="bottom"/>
            <w:hideMark/>
          </w:tcPr>
          <w:p w14:paraId="6FB4EF2B" w14:textId="77777777" w:rsidR="00621223" w:rsidRPr="00CA4B14" w:rsidRDefault="00621223">
            <w:pPr>
              <w:spacing w:after="0" w:line="360" w:lineRule="auto"/>
              <w:rPr>
                <w:rFonts w:eastAsia="Times New Roman"/>
                <w:color w:val="000000"/>
                <w:szCs w:val="24"/>
              </w:rPr>
            </w:pPr>
            <w:r w:rsidRPr="00CA4B14">
              <w:rPr>
                <w:rFonts w:eastAsia="Times New Roman"/>
                <w:color w:val="000000"/>
                <w:szCs w:val="24"/>
              </w:rPr>
              <w:t> </w:t>
            </w:r>
          </w:p>
        </w:tc>
      </w:tr>
      <w:tr w:rsidR="00621223" w:rsidRPr="00CA4B14" w14:paraId="1C099247" w14:textId="77777777" w:rsidTr="00621223">
        <w:trPr>
          <w:trHeight w:val="315"/>
        </w:trPr>
        <w:tc>
          <w:tcPr>
            <w:tcW w:w="2889" w:type="dxa"/>
            <w:tcBorders>
              <w:top w:val="nil"/>
              <w:left w:val="single" w:sz="4" w:space="0" w:color="auto"/>
              <w:bottom w:val="single" w:sz="4" w:space="0" w:color="auto"/>
              <w:right w:val="single" w:sz="4" w:space="0" w:color="auto"/>
            </w:tcBorders>
            <w:noWrap/>
            <w:vAlign w:val="bottom"/>
            <w:hideMark/>
          </w:tcPr>
          <w:p w14:paraId="6A9151EB" w14:textId="77777777" w:rsidR="00621223" w:rsidRPr="00CA4B14" w:rsidRDefault="00621223">
            <w:pPr>
              <w:spacing w:after="0" w:line="360" w:lineRule="auto"/>
              <w:rPr>
                <w:rFonts w:eastAsia="Times New Roman"/>
                <w:color w:val="000000"/>
                <w:szCs w:val="24"/>
              </w:rPr>
            </w:pPr>
            <w:r w:rsidRPr="00CA4B14">
              <w:rPr>
                <w:rFonts w:eastAsia="Times New Roman"/>
                <w:color w:val="000000"/>
                <w:szCs w:val="24"/>
              </w:rPr>
              <w:t>Beginning inventory</w:t>
            </w:r>
          </w:p>
        </w:tc>
        <w:tc>
          <w:tcPr>
            <w:tcW w:w="1642" w:type="dxa"/>
            <w:tcBorders>
              <w:top w:val="nil"/>
              <w:left w:val="nil"/>
              <w:bottom w:val="single" w:sz="4" w:space="0" w:color="auto"/>
              <w:right w:val="single" w:sz="4" w:space="0" w:color="auto"/>
            </w:tcBorders>
            <w:noWrap/>
            <w:vAlign w:val="bottom"/>
            <w:hideMark/>
          </w:tcPr>
          <w:p w14:paraId="6400A3E6" w14:textId="77777777" w:rsidR="00621223" w:rsidRPr="00CA4B14" w:rsidRDefault="00621223">
            <w:pPr>
              <w:spacing w:after="0" w:line="360" w:lineRule="auto"/>
              <w:rPr>
                <w:rFonts w:eastAsia="Times New Roman"/>
                <w:color w:val="000000"/>
                <w:szCs w:val="24"/>
              </w:rPr>
            </w:pPr>
            <w:r w:rsidRPr="00CA4B14">
              <w:rPr>
                <w:rFonts w:eastAsia="Times New Roman"/>
                <w:color w:val="000000"/>
                <w:szCs w:val="24"/>
              </w:rPr>
              <w:t xml:space="preserve"> £      30,222 </w:t>
            </w:r>
          </w:p>
        </w:tc>
        <w:tc>
          <w:tcPr>
            <w:tcW w:w="1701" w:type="dxa"/>
            <w:tcBorders>
              <w:top w:val="nil"/>
              <w:left w:val="nil"/>
              <w:bottom w:val="single" w:sz="4" w:space="0" w:color="auto"/>
              <w:right w:val="single" w:sz="4" w:space="0" w:color="auto"/>
            </w:tcBorders>
            <w:noWrap/>
            <w:vAlign w:val="bottom"/>
            <w:hideMark/>
          </w:tcPr>
          <w:p w14:paraId="079C8E3E" w14:textId="77777777" w:rsidR="00621223" w:rsidRPr="00CA4B14" w:rsidRDefault="00621223">
            <w:pPr>
              <w:spacing w:after="0" w:line="360" w:lineRule="auto"/>
              <w:rPr>
                <w:rFonts w:eastAsia="Times New Roman"/>
                <w:color w:val="000000"/>
                <w:szCs w:val="24"/>
              </w:rPr>
            </w:pPr>
            <w:r w:rsidRPr="00CA4B14">
              <w:rPr>
                <w:rFonts w:eastAsia="Times New Roman"/>
                <w:color w:val="000000"/>
                <w:szCs w:val="24"/>
              </w:rPr>
              <w:t> </w:t>
            </w:r>
          </w:p>
        </w:tc>
      </w:tr>
      <w:tr w:rsidR="00621223" w:rsidRPr="00CA4B14" w14:paraId="463EC949" w14:textId="77777777" w:rsidTr="00621223">
        <w:trPr>
          <w:trHeight w:val="315"/>
        </w:trPr>
        <w:tc>
          <w:tcPr>
            <w:tcW w:w="2889" w:type="dxa"/>
            <w:tcBorders>
              <w:top w:val="nil"/>
              <w:left w:val="single" w:sz="4" w:space="0" w:color="auto"/>
              <w:bottom w:val="single" w:sz="4" w:space="0" w:color="auto"/>
              <w:right w:val="single" w:sz="4" w:space="0" w:color="auto"/>
            </w:tcBorders>
            <w:noWrap/>
            <w:vAlign w:val="bottom"/>
            <w:hideMark/>
          </w:tcPr>
          <w:p w14:paraId="363D78A6" w14:textId="77777777" w:rsidR="00621223" w:rsidRPr="00CA4B14" w:rsidRDefault="00621223">
            <w:pPr>
              <w:spacing w:after="0" w:line="360" w:lineRule="auto"/>
              <w:rPr>
                <w:rFonts w:eastAsia="Times New Roman"/>
                <w:color w:val="000000"/>
                <w:szCs w:val="24"/>
              </w:rPr>
            </w:pPr>
            <w:r w:rsidRPr="00CA4B14">
              <w:rPr>
                <w:rFonts w:eastAsia="Times New Roman"/>
                <w:color w:val="000000"/>
                <w:szCs w:val="24"/>
              </w:rPr>
              <w:t>Add: Purchases</w:t>
            </w:r>
          </w:p>
        </w:tc>
        <w:tc>
          <w:tcPr>
            <w:tcW w:w="1642" w:type="dxa"/>
            <w:tcBorders>
              <w:top w:val="nil"/>
              <w:left w:val="nil"/>
              <w:bottom w:val="single" w:sz="4" w:space="0" w:color="auto"/>
              <w:right w:val="single" w:sz="4" w:space="0" w:color="auto"/>
            </w:tcBorders>
            <w:noWrap/>
            <w:vAlign w:val="bottom"/>
            <w:hideMark/>
          </w:tcPr>
          <w:p w14:paraId="6F4A3D63" w14:textId="77777777" w:rsidR="00621223" w:rsidRPr="00CA4B14" w:rsidRDefault="00621223">
            <w:pPr>
              <w:spacing w:after="0" w:line="360" w:lineRule="auto"/>
              <w:rPr>
                <w:rFonts w:eastAsia="Times New Roman"/>
                <w:color w:val="000000"/>
                <w:szCs w:val="24"/>
              </w:rPr>
            </w:pPr>
            <w:r w:rsidRPr="00CA4B14">
              <w:rPr>
                <w:rFonts w:eastAsia="Times New Roman"/>
                <w:color w:val="000000"/>
                <w:szCs w:val="24"/>
              </w:rPr>
              <w:t xml:space="preserve"> £    214,165 </w:t>
            </w:r>
          </w:p>
        </w:tc>
        <w:tc>
          <w:tcPr>
            <w:tcW w:w="1701" w:type="dxa"/>
            <w:tcBorders>
              <w:top w:val="nil"/>
              <w:left w:val="nil"/>
              <w:bottom w:val="single" w:sz="4" w:space="0" w:color="auto"/>
              <w:right w:val="single" w:sz="4" w:space="0" w:color="auto"/>
            </w:tcBorders>
            <w:noWrap/>
            <w:vAlign w:val="bottom"/>
            <w:hideMark/>
          </w:tcPr>
          <w:p w14:paraId="0E21EAF1" w14:textId="77777777" w:rsidR="00621223" w:rsidRPr="00CA4B14" w:rsidRDefault="00621223">
            <w:pPr>
              <w:spacing w:after="0" w:line="360" w:lineRule="auto"/>
              <w:rPr>
                <w:rFonts w:eastAsia="Times New Roman"/>
                <w:color w:val="000000"/>
                <w:szCs w:val="24"/>
              </w:rPr>
            </w:pPr>
            <w:r w:rsidRPr="00CA4B14">
              <w:rPr>
                <w:rFonts w:eastAsia="Times New Roman"/>
                <w:color w:val="000000"/>
                <w:szCs w:val="24"/>
              </w:rPr>
              <w:t> </w:t>
            </w:r>
          </w:p>
        </w:tc>
      </w:tr>
      <w:tr w:rsidR="00621223" w:rsidRPr="00CA4B14" w14:paraId="6F3BEA63" w14:textId="77777777" w:rsidTr="00621223">
        <w:trPr>
          <w:trHeight w:val="360"/>
        </w:trPr>
        <w:tc>
          <w:tcPr>
            <w:tcW w:w="2889" w:type="dxa"/>
            <w:tcBorders>
              <w:top w:val="nil"/>
              <w:left w:val="single" w:sz="4" w:space="0" w:color="auto"/>
              <w:bottom w:val="single" w:sz="4" w:space="0" w:color="auto"/>
              <w:right w:val="single" w:sz="4" w:space="0" w:color="auto"/>
            </w:tcBorders>
            <w:noWrap/>
            <w:vAlign w:val="bottom"/>
            <w:hideMark/>
          </w:tcPr>
          <w:p w14:paraId="71BCD606" w14:textId="77777777" w:rsidR="00621223" w:rsidRPr="00CA4B14" w:rsidRDefault="00621223">
            <w:pPr>
              <w:spacing w:after="0" w:line="360" w:lineRule="auto"/>
              <w:rPr>
                <w:rFonts w:eastAsia="Times New Roman"/>
                <w:color w:val="000000"/>
                <w:szCs w:val="24"/>
              </w:rPr>
            </w:pPr>
            <w:r w:rsidRPr="00CA4B14">
              <w:rPr>
                <w:rFonts w:eastAsia="Times New Roman"/>
                <w:color w:val="000000"/>
                <w:szCs w:val="24"/>
              </w:rPr>
              <w:t>Less: Ending inventory</w:t>
            </w:r>
          </w:p>
        </w:tc>
        <w:tc>
          <w:tcPr>
            <w:tcW w:w="1642" w:type="dxa"/>
            <w:tcBorders>
              <w:top w:val="nil"/>
              <w:left w:val="nil"/>
              <w:bottom w:val="single" w:sz="4" w:space="0" w:color="auto"/>
              <w:right w:val="single" w:sz="4" w:space="0" w:color="auto"/>
            </w:tcBorders>
            <w:noWrap/>
            <w:vAlign w:val="bottom"/>
            <w:hideMark/>
          </w:tcPr>
          <w:p w14:paraId="746BA295" w14:textId="77777777" w:rsidR="00621223" w:rsidRPr="00CA4B14" w:rsidRDefault="00621223">
            <w:pPr>
              <w:spacing w:after="0" w:line="360" w:lineRule="auto"/>
              <w:rPr>
                <w:rFonts w:eastAsia="Times New Roman"/>
                <w:color w:val="000000"/>
                <w:szCs w:val="24"/>
                <w:u w:val="single"/>
              </w:rPr>
            </w:pPr>
            <w:r w:rsidRPr="00CA4B14">
              <w:rPr>
                <w:rFonts w:eastAsia="Times New Roman"/>
                <w:color w:val="000000"/>
                <w:szCs w:val="24"/>
                <w:u w:val="single"/>
              </w:rPr>
              <w:t xml:space="preserve"> £      25,164 </w:t>
            </w:r>
          </w:p>
        </w:tc>
        <w:tc>
          <w:tcPr>
            <w:tcW w:w="1701" w:type="dxa"/>
            <w:tcBorders>
              <w:top w:val="nil"/>
              <w:left w:val="nil"/>
              <w:bottom w:val="single" w:sz="4" w:space="0" w:color="auto"/>
              <w:right w:val="single" w:sz="4" w:space="0" w:color="auto"/>
            </w:tcBorders>
            <w:noWrap/>
            <w:vAlign w:val="bottom"/>
            <w:hideMark/>
          </w:tcPr>
          <w:p w14:paraId="60491873" w14:textId="77777777" w:rsidR="00621223" w:rsidRPr="00CA4B14" w:rsidRDefault="00621223">
            <w:pPr>
              <w:spacing w:after="0" w:line="360" w:lineRule="auto"/>
              <w:rPr>
                <w:rFonts w:eastAsia="Times New Roman"/>
                <w:color w:val="000000"/>
                <w:szCs w:val="24"/>
                <w:u w:val="single"/>
              </w:rPr>
            </w:pPr>
            <w:r w:rsidRPr="00CA4B14">
              <w:rPr>
                <w:rFonts w:eastAsia="Times New Roman"/>
                <w:color w:val="000000"/>
                <w:szCs w:val="24"/>
                <w:u w:val="single"/>
              </w:rPr>
              <w:t xml:space="preserve"> £    219,223 </w:t>
            </w:r>
          </w:p>
        </w:tc>
      </w:tr>
      <w:tr w:rsidR="00621223" w:rsidRPr="00CA4B14" w14:paraId="2071A02B" w14:textId="77777777" w:rsidTr="00621223">
        <w:trPr>
          <w:trHeight w:val="315"/>
        </w:trPr>
        <w:tc>
          <w:tcPr>
            <w:tcW w:w="2889" w:type="dxa"/>
            <w:tcBorders>
              <w:top w:val="nil"/>
              <w:left w:val="single" w:sz="4" w:space="0" w:color="auto"/>
              <w:bottom w:val="single" w:sz="4" w:space="0" w:color="auto"/>
              <w:right w:val="single" w:sz="4" w:space="0" w:color="auto"/>
            </w:tcBorders>
            <w:noWrap/>
            <w:vAlign w:val="bottom"/>
            <w:hideMark/>
          </w:tcPr>
          <w:p w14:paraId="689BC668" w14:textId="77777777" w:rsidR="00621223" w:rsidRPr="00CA4B14" w:rsidRDefault="00621223">
            <w:pPr>
              <w:spacing w:after="0" w:line="360" w:lineRule="auto"/>
              <w:rPr>
                <w:rFonts w:eastAsia="Times New Roman"/>
                <w:color w:val="000000"/>
                <w:szCs w:val="24"/>
              </w:rPr>
            </w:pPr>
            <w:r w:rsidRPr="00CA4B14">
              <w:rPr>
                <w:rFonts w:eastAsia="Times New Roman"/>
                <w:color w:val="000000"/>
                <w:szCs w:val="24"/>
              </w:rPr>
              <w:t>Gross profit</w:t>
            </w:r>
          </w:p>
        </w:tc>
        <w:tc>
          <w:tcPr>
            <w:tcW w:w="1642" w:type="dxa"/>
            <w:tcBorders>
              <w:top w:val="nil"/>
              <w:left w:val="nil"/>
              <w:bottom w:val="single" w:sz="4" w:space="0" w:color="auto"/>
              <w:right w:val="single" w:sz="4" w:space="0" w:color="auto"/>
            </w:tcBorders>
            <w:noWrap/>
            <w:vAlign w:val="bottom"/>
            <w:hideMark/>
          </w:tcPr>
          <w:p w14:paraId="3B177A18" w14:textId="77777777" w:rsidR="00621223" w:rsidRPr="00CA4B14" w:rsidRDefault="00621223">
            <w:pPr>
              <w:spacing w:after="0" w:line="360" w:lineRule="auto"/>
              <w:rPr>
                <w:rFonts w:eastAsia="Times New Roman"/>
                <w:color w:val="000000"/>
                <w:szCs w:val="24"/>
              </w:rPr>
            </w:pPr>
            <w:r w:rsidRPr="00CA4B14">
              <w:rPr>
                <w:rFonts w:eastAsia="Times New Roman"/>
                <w:color w:val="000000"/>
                <w:szCs w:val="24"/>
              </w:rPr>
              <w:t> </w:t>
            </w:r>
          </w:p>
        </w:tc>
        <w:tc>
          <w:tcPr>
            <w:tcW w:w="1701" w:type="dxa"/>
            <w:tcBorders>
              <w:top w:val="nil"/>
              <w:left w:val="nil"/>
              <w:bottom w:val="single" w:sz="4" w:space="0" w:color="auto"/>
              <w:right w:val="single" w:sz="4" w:space="0" w:color="auto"/>
            </w:tcBorders>
            <w:noWrap/>
            <w:vAlign w:val="bottom"/>
            <w:hideMark/>
          </w:tcPr>
          <w:p w14:paraId="0EB3BD4B" w14:textId="77777777" w:rsidR="00621223" w:rsidRPr="00CA4B14" w:rsidRDefault="00621223">
            <w:pPr>
              <w:spacing w:after="0" w:line="360" w:lineRule="auto"/>
              <w:rPr>
                <w:rFonts w:eastAsia="Times New Roman"/>
                <w:color w:val="000000"/>
                <w:szCs w:val="24"/>
              </w:rPr>
            </w:pPr>
            <w:r w:rsidRPr="00CA4B14">
              <w:rPr>
                <w:rFonts w:eastAsia="Times New Roman"/>
                <w:color w:val="000000"/>
                <w:szCs w:val="24"/>
              </w:rPr>
              <w:t xml:space="preserve"> £      91,200 </w:t>
            </w:r>
          </w:p>
        </w:tc>
      </w:tr>
      <w:tr w:rsidR="00621223" w:rsidRPr="00CA4B14" w14:paraId="77949777" w14:textId="77777777" w:rsidTr="00621223">
        <w:trPr>
          <w:trHeight w:val="315"/>
        </w:trPr>
        <w:tc>
          <w:tcPr>
            <w:tcW w:w="2889" w:type="dxa"/>
            <w:tcBorders>
              <w:top w:val="nil"/>
              <w:left w:val="single" w:sz="4" w:space="0" w:color="auto"/>
              <w:bottom w:val="single" w:sz="4" w:space="0" w:color="auto"/>
              <w:right w:val="single" w:sz="4" w:space="0" w:color="auto"/>
            </w:tcBorders>
            <w:noWrap/>
            <w:vAlign w:val="bottom"/>
            <w:hideMark/>
          </w:tcPr>
          <w:p w14:paraId="421A54C2" w14:textId="77777777" w:rsidR="00621223" w:rsidRPr="00CA4B14" w:rsidRDefault="00621223">
            <w:pPr>
              <w:spacing w:after="0" w:line="360" w:lineRule="auto"/>
              <w:rPr>
                <w:rFonts w:eastAsia="Times New Roman"/>
                <w:b/>
                <w:bCs/>
                <w:color w:val="000000"/>
                <w:szCs w:val="24"/>
              </w:rPr>
            </w:pPr>
            <w:r w:rsidRPr="00CA4B14">
              <w:rPr>
                <w:rFonts w:eastAsia="Times New Roman"/>
                <w:b/>
                <w:bCs/>
                <w:color w:val="000000"/>
                <w:szCs w:val="24"/>
              </w:rPr>
              <w:t>Other expenses</w:t>
            </w:r>
          </w:p>
        </w:tc>
        <w:tc>
          <w:tcPr>
            <w:tcW w:w="1642" w:type="dxa"/>
            <w:tcBorders>
              <w:top w:val="nil"/>
              <w:left w:val="nil"/>
              <w:bottom w:val="single" w:sz="4" w:space="0" w:color="auto"/>
              <w:right w:val="single" w:sz="4" w:space="0" w:color="auto"/>
            </w:tcBorders>
            <w:noWrap/>
            <w:vAlign w:val="bottom"/>
            <w:hideMark/>
          </w:tcPr>
          <w:p w14:paraId="073266BB" w14:textId="77777777" w:rsidR="00621223" w:rsidRPr="00CA4B14" w:rsidRDefault="00621223">
            <w:pPr>
              <w:spacing w:after="0" w:line="360" w:lineRule="auto"/>
              <w:rPr>
                <w:rFonts w:eastAsia="Times New Roman"/>
                <w:color w:val="000000"/>
                <w:szCs w:val="24"/>
              </w:rPr>
            </w:pPr>
            <w:r w:rsidRPr="00CA4B14">
              <w:rPr>
                <w:rFonts w:eastAsia="Times New Roman"/>
                <w:color w:val="000000"/>
                <w:szCs w:val="24"/>
              </w:rPr>
              <w:t> </w:t>
            </w:r>
          </w:p>
        </w:tc>
        <w:tc>
          <w:tcPr>
            <w:tcW w:w="1701" w:type="dxa"/>
            <w:tcBorders>
              <w:top w:val="nil"/>
              <w:left w:val="nil"/>
              <w:bottom w:val="single" w:sz="4" w:space="0" w:color="auto"/>
              <w:right w:val="single" w:sz="4" w:space="0" w:color="auto"/>
            </w:tcBorders>
            <w:noWrap/>
            <w:vAlign w:val="bottom"/>
            <w:hideMark/>
          </w:tcPr>
          <w:p w14:paraId="339BB5A7" w14:textId="77777777" w:rsidR="00621223" w:rsidRPr="00CA4B14" w:rsidRDefault="00621223">
            <w:pPr>
              <w:spacing w:after="0" w:line="360" w:lineRule="auto"/>
              <w:rPr>
                <w:rFonts w:eastAsia="Times New Roman"/>
                <w:color w:val="000000"/>
                <w:szCs w:val="24"/>
              </w:rPr>
            </w:pPr>
            <w:r w:rsidRPr="00CA4B14">
              <w:rPr>
                <w:rFonts w:eastAsia="Times New Roman"/>
                <w:color w:val="000000"/>
                <w:szCs w:val="24"/>
              </w:rPr>
              <w:t> </w:t>
            </w:r>
          </w:p>
        </w:tc>
      </w:tr>
      <w:tr w:rsidR="00621223" w:rsidRPr="00CA4B14" w14:paraId="36B6BC63" w14:textId="77777777" w:rsidTr="00621223">
        <w:trPr>
          <w:trHeight w:val="315"/>
        </w:trPr>
        <w:tc>
          <w:tcPr>
            <w:tcW w:w="2889" w:type="dxa"/>
            <w:tcBorders>
              <w:top w:val="nil"/>
              <w:left w:val="single" w:sz="4" w:space="0" w:color="auto"/>
              <w:bottom w:val="single" w:sz="4" w:space="0" w:color="auto"/>
              <w:right w:val="single" w:sz="4" w:space="0" w:color="auto"/>
            </w:tcBorders>
            <w:noWrap/>
            <w:vAlign w:val="bottom"/>
            <w:hideMark/>
          </w:tcPr>
          <w:p w14:paraId="1A839B3B" w14:textId="77777777" w:rsidR="00621223" w:rsidRPr="00CA4B14" w:rsidRDefault="00621223">
            <w:pPr>
              <w:spacing w:after="0" w:line="360" w:lineRule="auto"/>
              <w:rPr>
                <w:rFonts w:eastAsia="Times New Roman"/>
                <w:color w:val="000000"/>
                <w:szCs w:val="24"/>
              </w:rPr>
            </w:pPr>
            <w:r w:rsidRPr="00CA4B14">
              <w:rPr>
                <w:rFonts w:eastAsia="Times New Roman"/>
                <w:color w:val="000000"/>
                <w:szCs w:val="24"/>
              </w:rPr>
              <w:t>Administration expenses</w:t>
            </w:r>
          </w:p>
        </w:tc>
        <w:tc>
          <w:tcPr>
            <w:tcW w:w="1642" w:type="dxa"/>
            <w:tcBorders>
              <w:top w:val="nil"/>
              <w:left w:val="nil"/>
              <w:bottom w:val="single" w:sz="4" w:space="0" w:color="auto"/>
              <w:right w:val="single" w:sz="4" w:space="0" w:color="auto"/>
            </w:tcBorders>
            <w:noWrap/>
            <w:vAlign w:val="bottom"/>
            <w:hideMark/>
          </w:tcPr>
          <w:p w14:paraId="45E6E898" w14:textId="77777777" w:rsidR="00621223" w:rsidRPr="00CA4B14" w:rsidRDefault="00621223">
            <w:pPr>
              <w:spacing w:after="0" w:line="360" w:lineRule="auto"/>
              <w:rPr>
                <w:rFonts w:eastAsia="Times New Roman"/>
                <w:color w:val="000000"/>
                <w:szCs w:val="24"/>
              </w:rPr>
            </w:pPr>
            <w:r w:rsidRPr="00CA4B14">
              <w:rPr>
                <w:rFonts w:eastAsia="Times New Roman"/>
                <w:color w:val="000000"/>
                <w:szCs w:val="24"/>
              </w:rPr>
              <w:t xml:space="preserve"> £        2,772 </w:t>
            </w:r>
          </w:p>
        </w:tc>
        <w:tc>
          <w:tcPr>
            <w:tcW w:w="1701" w:type="dxa"/>
            <w:tcBorders>
              <w:top w:val="nil"/>
              <w:left w:val="nil"/>
              <w:bottom w:val="single" w:sz="4" w:space="0" w:color="auto"/>
              <w:right w:val="single" w:sz="4" w:space="0" w:color="auto"/>
            </w:tcBorders>
            <w:noWrap/>
            <w:vAlign w:val="bottom"/>
            <w:hideMark/>
          </w:tcPr>
          <w:p w14:paraId="4675F7F8" w14:textId="77777777" w:rsidR="00621223" w:rsidRPr="00CA4B14" w:rsidRDefault="00621223">
            <w:pPr>
              <w:spacing w:after="0" w:line="360" w:lineRule="auto"/>
              <w:rPr>
                <w:rFonts w:eastAsia="Times New Roman"/>
                <w:color w:val="000000"/>
                <w:szCs w:val="24"/>
              </w:rPr>
            </w:pPr>
            <w:r w:rsidRPr="00CA4B14">
              <w:rPr>
                <w:rFonts w:eastAsia="Times New Roman"/>
                <w:color w:val="000000"/>
                <w:szCs w:val="24"/>
              </w:rPr>
              <w:t> </w:t>
            </w:r>
          </w:p>
        </w:tc>
      </w:tr>
      <w:tr w:rsidR="00621223" w:rsidRPr="00CA4B14" w14:paraId="2E5BBE46" w14:textId="77777777" w:rsidTr="00621223">
        <w:trPr>
          <w:trHeight w:val="315"/>
        </w:trPr>
        <w:tc>
          <w:tcPr>
            <w:tcW w:w="2889" w:type="dxa"/>
            <w:tcBorders>
              <w:top w:val="nil"/>
              <w:left w:val="single" w:sz="4" w:space="0" w:color="auto"/>
              <w:bottom w:val="single" w:sz="4" w:space="0" w:color="auto"/>
              <w:right w:val="single" w:sz="4" w:space="0" w:color="auto"/>
            </w:tcBorders>
            <w:noWrap/>
            <w:vAlign w:val="bottom"/>
            <w:hideMark/>
          </w:tcPr>
          <w:p w14:paraId="1B65ECE5" w14:textId="77777777" w:rsidR="00621223" w:rsidRPr="00CA4B14" w:rsidRDefault="00621223">
            <w:pPr>
              <w:spacing w:after="0" w:line="360" w:lineRule="auto"/>
              <w:rPr>
                <w:rFonts w:eastAsia="Times New Roman"/>
                <w:color w:val="000000"/>
                <w:szCs w:val="24"/>
              </w:rPr>
            </w:pPr>
            <w:r w:rsidRPr="00CA4B14">
              <w:rPr>
                <w:rFonts w:eastAsia="Times New Roman"/>
                <w:color w:val="000000"/>
                <w:szCs w:val="24"/>
              </w:rPr>
              <w:t>Salaries and wages</w:t>
            </w:r>
          </w:p>
        </w:tc>
        <w:tc>
          <w:tcPr>
            <w:tcW w:w="1642" w:type="dxa"/>
            <w:tcBorders>
              <w:top w:val="nil"/>
              <w:left w:val="nil"/>
              <w:bottom w:val="single" w:sz="4" w:space="0" w:color="auto"/>
              <w:right w:val="single" w:sz="4" w:space="0" w:color="auto"/>
            </w:tcBorders>
            <w:noWrap/>
            <w:vAlign w:val="bottom"/>
            <w:hideMark/>
          </w:tcPr>
          <w:p w14:paraId="303DD93F" w14:textId="77777777" w:rsidR="00621223" w:rsidRPr="00CA4B14" w:rsidRDefault="00621223">
            <w:pPr>
              <w:spacing w:after="0" w:line="360" w:lineRule="auto"/>
              <w:rPr>
                <w:rFonts w:eastAsia="Times New Roman"/>
                <w:color w:val="000000"/>
                <w:szCs w:val="24"/>
              </w:rPr>
            </w:pPr>
            <w:r w:rsidRPr="00CA4B14">
              <w:rPr>
                <w:rFonts w:eastAsia="Times New Roman"/>
                <w:color w:val="000000"/>
                <w:szCs w:val="24"/>
              </w:rPr>
              <w:t xml:space="preserve"> £      35,804 </w:t>
            </w:r>
          </w:p>
        </w:tc>
        <w:tc>
          <w:tcPr>
            <w:tcW w:w="1701" w:type="dxa"/>
            <w:tcBorders>
              <w:top w:val="nil"/>
              <w:left w:val="nil"/>
              <w:bottom w:val="single" w:sz="4" w:space="0" w:color="auto"/>
              <w:right w:val="single" w:sz="4" w:space="0" w:color="auto"/>
            </w:tcBorders>
            <w:noWrap/>
            <w:vAlign w:val="bottom"/>
            <w:hideMark/>
          </w:tcPr>
          <w:p w14:paraId="4FC40760" w14:textId="77777777" w:rsidR="00621223" w:rsidRPr="00CA4B14" w:rsidRDefault="00621223">
            <w:pPr>
              <w:spacing w:after="0" w:line="360" w:lineRule="auto"/>
              <w:rPr>
                <w:rFonts w:eastAsia="Times New Roman"/>
                <w:color w:val="000000"/>
                <w:szCs w:val="24"/>
              </w:rPr>
            </w:pPr>
            <w:r w:rsidRPr="00CA4B14">
              <w:rPr>
                <w:rFonts w:eastAsia="Times New Roman"/>
                <w:color w:val="000000"/>
                <w:szCs w:val="24"/>
              </w:rPr>
              <w:t> </w:t>
            </w:r>
          </w:p>
        </w:tc>
      </w:tr>
      <w:tr w:rsidR="00621223" w:rsidRPr="00CA4B14" w14:paraId="1DD2FB9C" w14:textId="77777777" w:rsidTr="00621223">
        <w:trPr>
          <w:trHeight w:val="315"/>
        </w:trPr>
        <w:tc>
          <w:tcPr>
            <w:tcW w:w="2889" w:type="dxa"/>
            <w:tcBorders>
              <w:top w:val="nil"/>
              <w:left w:val="single" w:sz="4" w:space="0" w:color="auto"/>
              <w:bottom w:val="single" w:sz="4" w:space="0" w:color="auto"/>
              <w:right w:val="single" w:sz="4" w:space="0" w:color="auto"/>
            </w:tcBorders>
            <w:noWrap/>
            <w:vAlign w:val="bottom"/>
            <w:hideMark/>
          </w:tcPr>
          <w:p w14:paraId="109F5973" w14:textId="77777777" w:rsidR="00621223" w:rsidRPr="00CA4B14" w:rsidRDefault="00621223">
            <w:pPr>
              <w:spacing w:after="0" w:line="360" w:lineRule="auto"/>
              <w:rPr>
                <w:rFonts w:eastAsia="Times New Roman"/>
                <w:color w:val="000000"/>
                <w:szCs w:val="24"/>
              </w:rPr>
            </w:pPr>
            <w:r w:rsidRPr="00CA4B14">
              <w:rPr>
                <w:rFonts w:eastAsia="Times New Roman"/>
                <w:color w:val="000000"/>
                <w:szCs w:val="24"/>
              </w:rPr>
              <w:t>Rental and insurance costs</w:t>
            </w:r>
          </w:p>
        </w:tc>
        <w:tc>
          <w:tcPr>
            <w:tcW w:w="1642" w:type="dxa"/>
            <w:tcBorders>
              <w:top w:val="nil"/>
              <w:left w:val="nil"/>
              <w:bottom w:val="single" w:sz="4" w:space="0" w:color="auto"/>
              <w:right w:val="single" w:sz="4" w:space="0" w:color="auto"/>
            </w:tcBorders>
            <w:noWrap/>
            <w:vAlign w:val="bottom"/>
            <w:hideMark/>
          </w:tcPr>
          <w:p w14:paraId="4C375855" w14:textId="77777777" w:rsidR="00621223" w:rsidRPr="00CA4B14" w:rsidRDefault="00621223">
            <w:pPr>
              <w:spacing w:after="0" w:line="360" w:lineRule="auto"/>
              <w:rPr>
                <w:rFonts w:eastAsia="Times New Roman"/>
                <w:color w:val="000000"/>
                <w:szCs w:val="24"/>
              </w:rPr>
            </w:pPr>
            <w:r w:rsidRPr="00CA4B14">
              <w:rPr>
                <w:rFonts w:eastAsia="Times New Roman"/>
                <w:color w:val="000000"/>
                <w:szCs w:val="24"/>
              </w:rPr>
              <w:t xml:space="preserve"> £      19,200 </w:t>
            </w:r>
          </w:p>
        </w:tc>
        <w:tc>
          <w:tcPr>
            <w:tcW w:w="1701" w:type="dxa"/>
            <w:tcBorders>
              <w:top w:val="nil"/>
              <w:left w:val="nil"/>
              <w:bottom w:val="single" w:sz="4" w:space="0" w:color="auto"/>
              <w:right w:val="single" w:sz="4" w:space="0" w:color="auto"/>
            </w:tcBorders>
            <w:noWrap/>
            <w:vAlign w:val="bottom"/>
            <w:hideMark/>
          </w:tcPr>
          <w:p w14:paraId="0244A0A1" w14:textId="77777777" w:rsidR="00621223" w:rsidRPr="00CA4B14" w:rsidRDefault="00621223">
            <w:pPr>
              <w:spacing w:after="0" w:line="360" w:lineRule="auto"/>
              <w:rPr>
                <w:rFonts w:eastAsia="Times New Roman"/>
                <w:color w:val="000000"/>
                <w:szCs w:val="24"/>
              </w:rPr>
            </w:pPr>
            <w:r w:rsidRPr="00CA4B14">
              <w:rPr>
                <w:rFonts w:eastAsia="Times New Roman"/>
                <w:color w:val="000000"/>
                <w:szCs w:val="24"/>
              </w:rPr>
              <w:t> </w:t>
            </w:r>
          </w:p>
        </w:tc>
      </w:tr>
      <w:tr w:rsidR="00621223" w:rsidRPr="00CA4B14" w14:paraId="5E9CA86B" w14:textId="77777777" w:rsidTr="00621223">
        <w:trPr>
          <w:trHeight w:val="315"/>
        </w:trPr>
        <w:tc>
          <w:tcPr>
            <w:tcW w:w="2889" w:type="dxa"/>
            <w:tcBorders>
              <w:top w:val="nil"/>
              <w:left w:val="single" w:sz="4" w:space="0" w:color="auto"/>
              <w:bottom w:val="single" w:sz="4" w:space="0" w:color="auto"/>
              <w:right w:val="single" w:sz="4" w:space="0" w:color="auto"/>
            </w:tcBorders>
            <w:noWrap/>
            <w:vAlign w:val="bottom"/>
            <w:hideMark/>
          </w:tcPr>
          <w:p w14:paraId="420B4F37" w14:textId="77777777" w:rsidR="00621223" w:rsidRPr="00CA4B14" w:rsidRDefault="00621223">
            <w:pPr>
              <w:spacing w:after="0" w:line="360" w:lineRule="auto"/>
              <w:rPr>
                <w:rFonts w:eastAsia="Times New Roman"/>
                <w:color w:val="000000"/>
                <w:szCs w:val="24"/>
              </w:rPr>
            </w:pPr>
            <w:r w:rsidRPr="00CA4B14">
              <w:rPr>
                <w:rFonts w:eastAsia="Times New Roman"/>
                <w:color w:val="000000"/>
                <w:szCs w:val="24"/>
              </w:rPr>
              <w:t>Sundry expenses</w:t>
            </w:r>
          </w:p>
        </w:tc>
        <w:tc>
          <w:tcPr>
            <w:tcW w:w="1642" w:type="dxa"/>
            <w:tcBorders>
              <w:top w:val="nil"/>
              <w:left w:val="nil"/>
              <w:bottom w:val="single" w:sz="4" w:space="0" w:color="auto"/>
              <w:right w:val="single" w:sz="4" w:space="0" w:color="auto"/>
            </w:tcBorders>
            <w:noWrap/>
            <w:vAlign w:val="bottom"/>
            <w:hideMark/>
          </w:tcPr>
          <w:p w14:paraId="46EABCA8" w14:textId="77777777" w:rsidR="00621223" w:rsidRPr="00CA4B14" w:rsidRDefault="00621223">
            <w:pPr>
              <w:spacing w:after="0" w:line="360" w:lineRule="auto"/>
              <w:rPr>
                <w:rFonts w:eastAsia="Times New Roman"/>
                <w:color w:val="000000"/>
                <w:szCs w:val="24"/>
              </w:rPr>
            </w:pPr>
            <w:r w:rsidRPr="00CA4B14">
              <w:rPr>
                <w:rFonts w:eastAsia="Times New Roman"/>
                <w:color w:val="000000"/>
                <w:szCs w:val="24"/>
              </w:rPr>
              <w:t xml:space="preserve"> £        2,250 </w:t>
            </w:r>
          </w:p>
        </w:tc>
        <w:tc>
          <w:tcPr>
            <w:tcW w:w="1701" w:type="dxa"/>
            <w:tcBorders>
              <w:top w:val="nil"/>
              <w:left w:val="nil"/>
              <w:bottom w:val="single" w:sz="4" w:space="0" w:color="auto"/>
              <w:right w:val="single" w:sz="4" w:space="0" w:color="auto"/>
            </w:tcBorders>
            <w:noWrap/>
            <w:vAlign w:val="bottom"/>
            <w:hideMark/>
          </w:tcPr>
          <w:p w14:paraId="36546468" w14:textId="77777777" w:rsidR="00621223" w:rsidRPr="00CA4B14" w:rsidRDefault="00621223">
            <w:pPr>
              <w:spacing w:after="0" w:line="360" w:lineRule="auto"/>
              <w:rPr>
                <w:rFonts w:eastAsia="Times New Roman"/>
                <w:color w:val="000000"/>
                <w:szCs w:val="24"/>
              </w:rPr>
            </w:pPr>
            <w:r w:rsidRPr="00CA4B14">
              <w:rPr>
                <w:rFonts w:eastAsia="Times New Roman"/>
                <w:color w:val="000000"/>
                <w:szCs w:val="24"/>
              </w:rPr>
              <w:t> </w:t>
            </w:r>
          </w:p>
        </w:tc>
      </w:tr>
      <w:tr w:rsidR="00621223" w:rsidRPr="00CA4B14" w14:paraId="36539990" w14:textId="77777777" w:rsidTr="00621223">
        <w:trPr>
          <w:trHeight w:val="315"/>
        </w:trPr>
        <w:tc>
          <w:tcPr>
            <w:tcW w:w="2889" w:type="dxa"/>
            <w:tcBorders>
              <w:top w:val="nil"/>
              <w:left w:val="single" w:sz="4" w:space="0" w:color="auto"/>
              <w:bottom w:val="single" w:sz="4" w:space="0" w:color="auto"/>
              <w:right w:val="single" w:sz="4" w:space="0" w:color="auto"/>
            </w:tcBorders>
            <w:noWrap/>
            <w:vAlign w:val="bottom"/>
            <w:hideMark/>
          </w:tcPr>
          <w:p w14:paraId="3AF60B61" w14:textId="77777777" w:rsidR="00621223" w:rsidRPr="00CA4B14" w:rsidRDefault="00621223">
            <w:pPr>
              <w:spacing w:after="0" w:line="360" w:lineRule="auto"/>
              <w:rPr>
                <w:rFonts w:eastAsia="Times New Roman"/>
                <w:color w:val="000000"/>
                <w:szCs w:val="24"/>
              </w:rPr>
            </w:pPr>
            <w:r w:rsidRPr="00CA4B14">
              <w:rPr>
                <w:rFonts w:eastAsia="Times New Roman"/>
                <w:color w:val="000000"/>
                <w:szCs w:val="24"/>
              </w:rPr>
              <w:t>Bad debt expense</w:t>
            </w:r>
          </w:p>
        </w:tc>
        <w:tc>
          <w:tcPr>
            <w:tcW w:w="1642" w:type="dxa"/>
            <w:tcBorders>
              <w:top w:val="nil"/>
              <w:left w:val="nil"/>
              <w:bottom w:val="single" w:sz="4" w:space="0" w:color="auto"/>
              <w:right w:val="single" w:sz="4" w:space="0" w:color="auto"/>
            </w:tcBorders>
            <w:noWrap/>
            <w:vAlign w:val="bottom"/>
            <w:hideMark/>
          </w:tcPr>
          <w:p w14:paraId="0C1F6168" w14:textId="77777777" w:rsidR="00621223" w:rsidRPr="00CA4B14" w:rsidRDefault="00621223">
            <w:pPr>
              <w:spacing w:after="0" w:line="360" w:lineRule="auto"/>
              <w:rPr>
                <w:rFonts w:eastAsia="Times New Roman"/>
                <w:color w:val="000000"/>
                <w:szCs w:val="24"/>
              </w:rPr>
            </w:pPr>
            <w:r w:rsidRPr="00CA4B14">
              <w:rPr>
                <w:rFonts w:eastAsia="Times New Roman"/>
                <w:color w:val="000000"/>
                <w:szCs w:val="24"/>
              </w:rPr>
              <w:t xml:space="preserve"> £           980 </w:t>
            </w:r>
          </w:p>
        </w:tc>
        <w:tc>
          <w:tcPr>
            <w:tcW w:w="1701" w:type="dxa"/>
            <w:tcBorders>
              <w:top w:val="nil"/>
              <w:left w:val="nil"/>
              <w:bottom w:val="single" w:sz="4" w:space="0" w:color="auto"/>
              <w:right w:val="single" w:sz="4" w:space="0" w:color="auto"/>
            </w:tcBorders>
            <w:noWrap/>
            <w:vAlign w:val="bottom"/>
            <w:hideMark/>
          </w:tcPr>
          <w:p w14:paraId="2AE88C1A" w14:textId="77777777" w:rsidR="00621223" w:rsidRPr="00CA4B14" w:rsidRDefault="00621223">
            <w:pPr>
              <w:spacing w:after="0" w:line="360" w:lineRule="auto"/>
              <w:rPr>
                <w:rFonts w:eastAsia="Times New Roman"/>
                <w:color w:val="000000"/>
                <w:szCs w:val="24"/>
              </w:rPr>
            </w:pPr>
            <w:r w:rsidRPr="00CA4B14">
              <w:rPr>
                <w:rFonts w:eastAsia="Times New Roman"/>
                <w:color w:val="000000"/>
                <w:szCs w:val="24"/>
              </w:rPr>
              <w:t> </w:t>
            </w:r>
          </w:p>
        </w:tc>
      </w:tr>
      <w:tr w:rsidR="00621223" w:rsidRPr="00CA4B14" w14:paraId="6B3D1ACE" w14:textId="77777777" w:rsidTr="00621223">
        <w:trPr>
          <w:trHeight w:val="360"/>
        </w:trPr>
        <w:tc>
          <w:tcPr>
            <w:tcW w:w="2889" w:type="dxa"/>
            <w:tcBorders>
              <w:top w:val="nil"/>
              <w:left w:val="single" w:sz="4" w:space="0" w:color="auto"/>
              <w:bottom w:val="single" w:sz="4" w:space="0" w:color="auto"/>
              <w:right w:val="single" w:sz="4" w:space="0" w:color="auto"/>
            </w:tcBorders>
            <w:noWrap/>
            <w:vAlign w:val="bottom"/>
            <w:hideMark/>
          </w:tcPr>
          <w:p w14:paraId="4036F42B" w14:textId="77777777" w:rsidR="00621223" w:rsidRPr="00CA4B14" w:rsidRDefault="00621223">
            <w:pPr>
              <w:spacing w:after="0" w:line="360" w:lineRule="auto"/>
              <w:rPr>
                <w:rFonts w:eastAsia="Times New Roman"/>
                <w:color w:val="000000"/>
                <w:szCs w:val="24"/>
              </w:rPr>
            </w:pPr>
            <w:r w:rsidRPr="00CA4B14">
              <w:rPr>
                <w:rFonts w:eastAsia="Times New Roman"/>
                <w:color w:val="000000"/>
                <w:szCs w:val="24"/>
              </w:rPr>
              <w:t>Depreciation expenses</w:t>
            </w:r>
          </w:p>
        </w:tc>
        <w:tc>
          <w:tcPr>
            <w:tcW w:w="1642" w:type="dxa"/>
            <w:tcBorders>
              <w:top w:val="nil"/>
              <w:left w:val="nil"/>
              <w:bottom w:val="single" w:sz="4" w:space="0" w:color="auto"/>
              <w:right w:val="single" w:sz="4" w:space="0" w:color="auto"/>
            </w:tcBorders>
            <w:noWrap/>
            <w:vAlign w:val="bottom"/>
            <w:hideMark/>
          </w:tcPr>
          <w:p w14:paraId="1741DAB5" w14:textId="77777777" w:rsidR="00621223" w:rsidRPr="00CA4B14" w:rsidRDefault="00621223">
            <w:pPr>
              <w:spacing w:after="0" w:line="360" w:lineRule="auto"/>
              <w:rPr>
                <w:rFonts w:eastAsia="Times New Roman"/>
                <w:color w:val="000000"/>
                <w:szCs w:val="24"/>
                <w:u w:val="single"/>
              </w:rPr>
            </w:pPr>
            <w:r w:rsidRPr="00CA4B14">
              <w:rPr>
                <w:rFonts w:eastAsia="Times New Roman"/>
                <w:color w:val="000000"/>
                <w:szCs w:val="24"/>
                <w:u w:val="single"/>
              </w:rPr>
              <w:t xml:space="preserve"> £        8,138 </w:t>
            </w:r>
          </w:p>
        </w:tc>
        <w:tc>
          <w:tcPr>
            <w:tcW w:w="1701" w:type="dxa"/>
            <w:tcBorders>
              <w:top w:val="nil"/>
              <w:left w:val="nil"/>
              <w:bottom w:val="single" w:sz="4" w:space="0" w:color="auto"/>
              <w:right w:val="single" w:sz="4" w:space="0" w:color="auto"/>
            </w:tcBorders>
            <w:noWrap/>
            <w:vAlign w:val="bottom"/>
            <w:hideMark/>
          </w:tcPr>
          <w:p w14:paraId="5470175D" w14:textId="77777777" w:rsidR="00621223" w:rsidRPr="00CA4B14" w:rsidRDefault="00621223">
            <w:pPr>
              <w:spacing w:after="0" w:line="360" w:lineRule="auto"/>
              <w:rPr>
                <w:rFonts w:eastAsia="Times New Roman"/>
                <w:color w:val="000000"/>
                <w:szCs w:val="24"/>
              </w:rPr>
            </w:pPr>
            <w:r w:rsidRPr="00CA4B14">
              <w:rPr>
                <w:rFonts w:eastAsia="Times New Roman"/>
                <w:color w:val="000000"/>
                <w:szCs w:val="24"/>
              </w:rPr>
              <w:t> </w:t>
            </w:r>
          </w:p>
        </w:tc>
      </w:tr>
      <w:tr w:rsidR="00621223" w:rsidRPr="00CA4B14" w14:paraId="34F3C9E0" w14:textId="77777777" w:rsidTr="00621223">
        <w:trPr>
          <w:trHeight w:val="360"/>
        </w:trPr>
        <w:tc>
          <w:tcPr>
            <w:tcW w:w="2889" w:type="dxa"/>
            <w:tcBorders>
              <w:top w:val="nil"/>
              <w:left w:val="single" w:sz="4" w:space="0" w:color="auto"/>
              <w:bottom w:val="single" w:sz="4" w:space="0" w:color="auto"/>
              <w:right w:val="single" w:sz="4" w:space="0" w:color="auto"/>
            </w:tcBorders>
            <w:noWrap/>
            <w:vAlign w:val="bottom"/>
            <w:hideMark/>
          </w:tcPr>
          <w:p w14:paraId="223A50BE" w14:textId="77777777" w:rsidR="00621223" w:rsidRPr="00CA4B14" w:rsidRDefault="00621223">
            <w:pPr>
              <w:spacing w:after="0" w:line="360" w:lineRule="auto"/>
              <w:rPr>
                <w:rFonts w:eastAsia="Times New Roman"/>
                <w:color w:val="000000"/>
                <w:szCs w:val="24"/>
              </w:rPr>
            </w:pPr>
            <w:r w:rsidRPr="00CA4B14">
              <w:rPr>
                <w:rFonts w:eastAsia="Times New Roman"/>
                <w:color w:val="000000"/>
                <w:szCs w:val="24"/>
              </w:rPr>
              <w:t xml:space="preserve">Total other </w:t>
            </w:r>
            <w:r w:rsidRPr="00CA4B14">
              <w:rPr>
                <w:rFonts w:eastAsia="Times New Roman"/>
                <w:color w:val="000000"/>
                <w:szCs w:val="24"/>
              </w:rPr>
              <w:lastRenderedPageBreak/>
              <w:t>expenses</w:t>
            </w:r>
          </w:p>
        </w:tc>
        <w:tc>
          <w:tcPr>
            <w:tcW w:w="1642" w:type="dxa"/>
            <w:tcBorders>
              <w:top w:val="nil"/>
              <w:left w:val="nil"/>
              <w:bottom w:val="single" w:sz="4" w:space="0" w:color="auto"/>
              <w:right w:val="single" w:sz="4" w:space="0" w:color="auto"/>
            </w:tcBorders>
            <w:noWrap/>
            <w:vAlign w:val="bottom"/>
            <w:hideMark/>
          </w:tcPr>
          <w:p w14:paraId="32383EE6" w14:textId="77777777" w:rsidR="00621223" w:rsidRPr="00CA4B14" w:rsidRDefault="00621223">
            <w:pPr>
              <w:spacing w:after="0" w:line="360" w:lineRule="auto"/>
              <w:rPr>
                <w:rFonts w:eastAsia="Times New Roman"/>
                <w:color w:val="000000"/>
                <w:szCs w:val="24"/>
              </w:rPr>
            </w:pPr>
            <w:r w:rsidRPr="00CA4B14">
              <w:rPr>
                <w:rFonts w:eastAsia="Times New Roman"/>
                <w:color w:val="000000"/>
                <w:szCs w:val="24"/>
              </w:rPr>
              <w:lastRenderedPageBreak/>
              <w:t> </w:t>
            </w:r>
          </w:p>
        </w:tc>
        <w:tc>
          <w:tcPr>
            <w:tcW w:w="1701" w:type="dxa"/>
            <w:tcBorders>
              <w:top w:val="nil"/>
              <w:left w:val="nil"/>
              <w:bottom w:val="single" w:sz="4" w:space="0" w:color="auto"/>
              <w:right w:val="single" w:sz="4" w:space="0" w:color="auto"/>
            </w:tcBorders>
            <w:noWrap/>
            <w:vAlign w:val="bottom"/>
            <w:hideMark/>
          </w:tcPr>
          <w:p w14:paraId="32D1C809" w14:textId="77777777" w:rsidR="00621223" w:rsidRPr="00CA4B14" w:rsidRDefault="00621223">
            <w:pPr>
              <w:spacing w:after="0" w:line="360" w:lineRule="auto"/>
              <w:rPr>
                <w:rFonts w:eastAsia="Times New Roman"/>
                <w:color w:val="000000"/>
                <w:szCs w:val="24"/>
                <w:u w:val="single"/>
              </w:rPr>
            </w:pPr>
            <w:r w:rsidRPr="00CA4B14">
              <w:rPr>
                <w:rFonts w:eastAsia="Times New Roman"/>
                <w:color w:val="000000"/>
                <w:szCs w:val="24"/>
                <w:u w:val="single"/>
              </w:rPr>
              <w:t xml:space="preserve"> £      </w:t>
            </w:r>
            <w:r w:rsidRPr="00CA4B14">
              <w:rPr>
                <w:rFonts w:eastAsia="Times New Roman"/>
                <w:color w:val="000000"/>
                <w:szCs w:val="24"/>
                <w:u w:val="single"/>
              </w:rPr>
              <w:lastRenderedPageBreak/>
              <w:t xml:space="preserve">69,144 </w:t>
            </w:r>
          </w:p>
        </w:tc>
      </w:tr>
      <w:tr w:rsidR="00621223" w:rsidRPr="00CA4B14" w14:paraId="1590F5B1" w14:textId="77777777" w:rsidTr="00621223">
        <w:trPr>
          <w:trHeight w:val="360"/>
        </w:trPr>
        <w:tc>
          <w:tcPr>
            <w:tcW w:w="2889" w:type="dxa"/>
            <w:tcBorders>
              <w:top w:val="nil"/>
              <w:left w:val="single" w:sz="4" w:space="0" w:color="auto"/>
              <w:bottom w:val="single" w:sz="4" w:space="0" w:color="auto"/>
              <w:right w:val="single" w:sz="4" w:space="0" w:color="auto"/>
            </w:tcBorders>
            <w:noWrap/>
            <w:vAlign w:val="bottom"/>
            <w:hideMark/>
          </w:tcPr>
          <w:p w14:paraId="07947098" w14:textId="77777777" w:rsidR="00621223" w:rsidRPr="00CA4B14" w:rsidRDefault="00621223">
            <w:pPr>
              <w:spacing w:after="0" w:line="360" w:lineRule="auto"/>
              <w:rPr>
                <w:rFonts w:eastAsia="Times New Roman"/>
                <w:b/>
                <w:bCs/>
                <w:color w:val="000000"/>
                <w:szCs w:val="24"/>
              </w:rPr>
            </w:pPr>
            <w:r w:rsidRPr="00CA4B14">
              <w:rPr>
                <w:rFonts w:eastAsia="Times New Roman"/>
                <w:b/>
                <w:bCs/>
                <w:color w:val="000000"/>
                <w:szCs w:val="24"/>
              </w:rPr>
              <w:lastRenderedPageBreak/>
              <w:t>Net income</w:t>
            </w:r>
          </w:p>
        </w:tc>
        <w:tc>
          <w:tcPr>
            <w:tcW w:w="1642" w:type="dxa"/>
            <w:tcBorders>
              <w:top w:val="nil"/>
              <w:left w:val="nil"/>
              <w:bottom w:val="single" w:sz="4" w:space="0" w:color="auto"/>
              <w:right w:val="single" w:sz="4" w:space="0" w:color="auto"/>
            </w:tcBorders>
            <w:noWrap/>
            <w:vAlign w:val="bottom"/>
            <w:hideMark/>
          </w:tcPr>
          <w:p w14:paraId="64B01F01" w14:textId="77777777" w:rsidR="00621223" w:rsidRPr="00CA4B14" w:rsidRDefault="00621223">
            <w:pPr>
              <w:spacing w:after="0" w:line="360" w:lineRule="auto"/>
              <w:rPr>
                <w:rFonts w:eastAsia="Times New Roman"/>
                <w:b/>
                <w:bCs/>
                <w:color w:val="000000"/>
                <w:szCs w:val="24"/>
              </w:rPr>
            </w:pPr>
            <w:r w:rsidRPr="00CA4B14">
              <w:rPr>
                <w:rFonts w:eastAsia="Times New Roman"/>
                <w:b/>
                <w:bCs/>
                <w:color w:val="000000"/>
                <w:szCs w:val="24"/>
              </w:rPr>
              <w:t> </w:t>
            </w:r>
          </w:p>
        </w:tc>
        <w:tc>
          <w:tcPr>
            <w:tcW w:w="1701" w:type="dxa"/>
            <w:tcBorders>
              <w:top w:val="nil"/>
              <w:left w:val="nil"/>
              <w:bottom w:val="single" w:sz="4" w:space="0" w:color="auto"/>
              <w:right w:val="single" w:sz="4" w:space="0" w:color="auto"/>
            </w:tcBorders>
            <w:noWrap/>
            <w:vAlign w:val="bottom"/>
            <w:hideMark/>
          </w:tcPr>
          <w:p w14:paraId="53A25483" w14:textId="77777777" w:rsidR="00621223" w:rsidRPr="00CA4B14" w:rsidRDefault="00621223">
            <w:pPr>
              <w:spacing w:after="0" w:line="360" w:lineRule="auto"/>
              <w:rPr>
                <w:rFonts w:eastAsia="Times New Roman"/>
                <w:b/>
                <w:bCs/>
                <w:color w:val="000000"/>
                <w:szCs w:val="24"/>
                <w:u w:val="double"/>
              </w:rPr>
            </w:pPr>
            <w:r w:rsidRPr="00CA4B14">
              <w:rPr>
                <w:rFonts w:eastAsia="Times New Roman"/>
                <w:b/>
                <w:bCs/>
                <w:color w:val="000000"/>
                <w:szCs w:val="24"/>
                <w:u w:val="double"/>
              </w:rPr>
              <w:t xml:space="preserve"> £      22,056 </w:t>
            </w:r>
          </w:p>
        </w:tc>
      </w:tr>
    </w:tbl>
    <w:p w14:paraId="752E4171" w14:textId="77777777" w:rsidR="00621223" w:rsidRDefault="00621223" w:rsidP="00621223">
      <w:pPr>
        <w:spacing w:after="0" w:line="240" w:lineRule="auto"/>
        <w:rPr>
          <w:szCs w:val="24"/>
        </w:rPr>
      </w:pPr>
    </w:p>
    <w:p w14:paraId="0A918A75" w14:textId="77777777" w:rsidR="00621223" w:rsidRDefault="00621223" w:rsidP="00621223">
      <w:pPr>
        <w:spacing w:after="0"/>
        <w:rPr>
          <w:b/>
          <w:bCs/>
          <w:i/>
          <w:iCs/>
          <w:szCs w:val="24"/>
        </w:rPr>
      </w:pPr>
      <w:r>
        <w:rPr>
          <w:b/>
          <w:bCs/>
          <w:i/>
          <w:iCs/>
          <w:szCs w:val="24"/>
        </w:rPr>
        <w:t>Workings:</w:t>
      </w:r>
    </w:p>
    <w:p w14:paraId="0C796E78" w14:textId="77777777" w:rsidR="00621223" w:rsidRDefault="00621223" w:rsidP="00621223">
      <w:pPr>
        <w:pStyle w:val="ListParagraph"/>
        <w:numPr>
          <w:ilvl w:val="0"/>
          <w:numId w:val="14"/>
        </w:numPr>
        <w:spacing w:after="0" w:line="360" w:lineRule="auto"/>
        <w:rPr>
          <w:szCs w:val="24"/>
        </w:rPr>
      </w:pPr>
      <w:r>
        <w:rPr>
          <w:rFonts w:eastAsia="Times New Roman"/>
          <w:color w:val="000000"/>
          <w:szCs w:val="24"/>
        </w:rPr>
        <w:t>Depreciation for 2021</w:t>
      </w:r>
    </w:p>
    <w:p w14:paraId="298F9B68" w14:textId="77777777" w:rsidR="00621223" w:rsidRDefault="00621223" w:rsidP="00621223">
      <w:pPr>
        <w:spacing w:after="0" w:line="360" w:lineRule="auto"/>
        <w:rPr>
          <w:rFonts w:eastAsia="Times New Roman"/>
          <w:color w:val="000000"/>
          <w:szCs w:val="24"/>
        </w:rPr>
      </w:pPr>
      <w:r>
        <w:rPr>
          <w:rFonts w:eastAsia="Times New Roman"/>
          <w:color w:val="000000"/>
          <w:szCs w:val="24"/>
        </w:rPr>
        <w:t>Delivery van</w:t>
      </w:r>
    </w:p>
    <w:p w14:paraId="0549A5E6" w14:textId="77777777" w:rsidR="00621223" w:rsidRDefault="00621223" w:rsidP="00621223">
      <w:pPr>
        <w:spacing w:after="0" w:line="360" w:lineRule="auto"/>
        <w:rPr>
          <w:rFonts w:eastAsia="Times New Roman"/>
          <w:color w:val="000000"/>
          <w:szCs w:val="24"/>
        </w:rPr>
      </w:pPr>
      <w:r>
        <w:rPr>
          <w:rFonts w:eastAsia="Times New Roman"/>
          <w:color w:val="000000"/>
          <w:szCs w:val="24"/>
        </w:rPr>
        <w:t xml:space="preserve">Depreciation expense </w:t>
      </w:r>
      <w:r>
        <w:rPr>
          <w:rFonts w:eastAsia="Times New Roman"/>
          <w:color w:val="000000"/>
          <w:szCs w:val="24"/>
        </w:rPr>
        <w:tab/>
      </w:r>
      <w:r>
        <w:rPr>
          <w:rFonts w:eastAsia="Times New Roman"/>
          <w:color w:val="000000"/>
          <w:szCs w:val="24"/>
        </w:rPr>
        <w:tab/>
        <w:t>= cost – accumulated depreciation) *rate</w:t>
      </w:r>
    </w:p>
    <w:p w14:paraId="756E161C" w14:textId="77777777" w:rsidR="00621223" w:rsidRDefault="00621223" w:rsidP="00621223">
      <w:pPr>
        <w:spacing w:after="0" w:line="360" w:lineRule="auto"/>
        <w:ind w:left="2160"/>
        <w:rPr>
          <w:rFonts w:eastAsia="Times New Roman"/>
          <w:color w:val="000000"/>
          <w:szCs w:val="24"/>
        </w:rPr>
      </w:pPr>
      <w:r>
        <w:rPr>
          <w:rFonts w:eastAsia="Times New Roman"/>
          <w:color w:val="000000"/>
          <w:szCs w:val="24"/>
        </w:rPr>
        <w:t>= (35,580 – 12520) *30%</w:t>
      </w:r>
    </w:p>
    <w:p w14:paraId="1B531ACC" w14:textId="77777777" w:rsidR="00621223" w:rsidRDefault="00621223" w:rsidP="00621223">
      <w:pPr>
        <w:spacing w:after="0" w:line="360" w:lineRule="auto"/>
        <w:ind w:left="2160"/>
        <w:rPr>
          <w:rFonts w:eastAsia="Times New Roman"/>
          <w:color w:val="000000"/>
          <w:szCs w:val="24"/>
        </w:rPr>
      </w:pPr>
      <w:r>
        <w:rPr>
          <w:rFonts w:eastAsia="Times New Roman"/>
          <w:color w:val="000000"/>
          <w:szCs w:val="24"/>
        </w:rPr>
        <w:t>= £6,918</w:t>
      </w:r>
    </w:p>
    <w:p w14:paraId="5E37C9DE" w14:textId="77777777" w:rsidR="00621223" w:rsidRDefault="00621223" w:rsidP="00621223">
      <w:pPr>
        <w:spacing w:after="0" w:line="360" w:lineRule="auto"/>
        <w:rPr>
          <w:rFonts w:eastAsia="Times New Roman"/>
          <w:color w:val="000000"/>
          <w:szCs w:val="24"/>
        </w:rPr>
      </w:pPr>
      <w:r>
        <w:rPr>
          <w:rFonts w:eastAsia="Times New Roman"/>
          <w:color w:val="000000"/>
          <w:szCs w:val="24"/>
        </w:rPr>
        <w:t>Shop fittings</w:t>
      </w:r>
    </w:p>
    <w:p w14:paraId="1D48279C" w14:textId="77777777" w:rsidR="00621223" w:rsidRDefault="00621223" w:rsidP="00621223">
      <w:pPr>
        <w:spacing w:after="0" w:line="360" w:lineRule="auto"/>
        <w:rPr>
          <w:rFonts w:eastAsia="Times New Roman"/>
          <w:color w:val="000000"/>
          <w:szCs w:val="24"/>
        </w:rPr>
      </w:pPr>
      <w:r>
        <w:rPr>
          <w:rFonts w:eastAsia="Times New Roman"/>
          <w:color w:val="000000"/>
          <w:szCs w:val="24"/>
        </w:rPr>
        <w:t xml:space="preserve">Depreciation expense </w:t>
      </w:r>
      <w:r>
        <w:rPr>
          <w:rFonts w:eastAsia="Times New Roman"/>
          <w:color w:val="000000"/>
          <w:szCs w:val="24"/>
        </w:rPr>
        <w:tab/>
        <w:t>= cost*rate</w:t>
      </w:r>
    </w:p>
    <w:p w14:paraId="74245CF7" w14:textId="77777777" w:rsidR="00621223" w:rsidRDefault="00621223" w:rsidP="00621223">
      <w:pPr>
        <w:spacing w:after="0" w:line="360" w:lineRule="auto"/>
        <w:ind w:left="1440"/>
        <w:rPr>
          <w:rFonts w:eastAsia="Times New Roman"/>
          <w:color w:val="000000"/>
          <w:szCs w:val="24"/>
        </w:rPr>
      </w:pPr>
      <w:r>
        <w:rPr>
          <w:rFonts w:eastAsia="Times New Roman"/>
          <w:color w:val="000000"/>
          <w:szCs w:val="24"/>
        </w:rPr>
        <w:t>= 12,200*10%</w:t>
      </w:r>
    </w:p>
    <w:p w14:paraId="320F7302" w14:textId="77777777" w:rsidR="00621223" w:rsidRDefault="00621223" w:rsidP="00621223">
      <w:pPr>
        <w:spacing w:after="0" w:line="360" w:lineRule="auto"/>
        <w:ind w:left="1440"/>
        <w:rPr>
          <w:rFonts w:eastAsia="Times New Roman"/>
          <w:color w:val="000000"/>
          <w:szCs w:val="24"/>
        </w:rPr>
      </w:pPr>
      <w:r>
        <w:rPr>
          <w:rFonts w:eastAsia="Times New Roman"/>
          <w:color w:val="000000"/>
          <w:szCs w:val="24"/>
        </w:rPr>
        <w:t>= £1,220</w:t>
      </w:r>
    </w:p>
    <w:p w14:paraId="15BBD032" w14:textId="77777777" w:rsidR="00621223" w:rsidRDefault="00621223" w:rsidP="00621223">
      <w:pPr>
        <w:spacing w:after="0" w:line="360" w:lineRule="auto"/>
        <w:rPr>
          <w:szCs w:val="24"/>
        </w:rPr>
      </w:pPr>
      <w:r>
        <w:rPr>
          <w:rFonts w:eastAsia="Times New Roman"/>
          <w:color w:val="000000"/>
          <w:szCs w:val="24"/>
        </w:rPr>
        <w:t>Total depreciation expense for 2021 = 6918 + 1220 = £8,130</w:t>
      </w:r>
    </w:p>
    <w:p w14:paraId="7C637CFB" w14:textId="77777777" w:rsidR="00621223" w:rsidRDefault="00621223" w:rsidP="00621223">
      <w:pPr>
        <w:ind w:firstLine="0"/>
        <w:jc w:val="center"/>
      </w:pPr>
    </w:p>
    <w:p w14:paraId="6FD13D33" w14:textId="77777777" w:rsidR="00621223" w:rsidRDefault="00621223" w:rsidP="00621223">
      <w:pPr>
        <w:ind w:firstLine="0"/>
        <w:jc w:val="center"/>
      </w:pPr>
    </w:p>
    <w:p w14:paraId="4925AF29" w14:textId="77777777" w:rsidR="00621223" w:rsidRDefault="00621223" w:rsidP="00621223">
      <w:pPr>
        <w:ind w:firstLine="0"/>
        <w:jc w:val="center"/>
      </w:pPr>
    </w:p>
    <w:p w14:paraId="45BD8572" w14:textId="77777777" w:rsidR="00621223" w:rsidRDefault="00621223" w:rsidP="00621223">
      <w:pPr>
        <w:ind w:firstLine="0"/>
        <w:jc w:val="center"/>
      </w:pPr>
    </w:p>
    <w:p w14:paraId="12B5402E" w14:textId="77777777" w:rsidR="00621223" w:rsidRDefault="00621223" w:rsidP="00621223">
      <w:pPr>
        <w:ind w:firstLine="0"/>
        <w:jc w:val="center"/>
      </w:pPr>
    </w:p>
    <w:p w14:paraId="4E6BEF6A" w14:textId="77777777" w:rsidR="00621223" w:rsidRDefault="00621223" w:rsidP="00621223">
      <w:pPr>
        <w:ind w:firstLine="0"/>
        <w:jc w:val="center"/>
      </w:pPr>
    </w:p>
    <w:p w14:paraId="1DCC9305" w14:textId="77777777" w:rsidR="00621223" w:rsidRDefault="00621223" w:rsidP="00621223">
      <w:pPr>
        <w:ind w:firstLine="0"/>
        <w:jc w:val="center"/>
      </w:pPr>
    </w:p>
    <w:p w14:paraId="4C30F4AB" w14:textId="77777777" w:rsidR="00621223" w:rsidRDefault="00621223" w:rsidP="00621223">
      <w:pPr>
        <w:ind w:firstLine="0"/>
        <w:jc w:val="center"/>
      </w:pPr>
    </w:p>
    <w:p w14:paraId="0D271366" w14:textId="77777777" w:rsidR="00621223" w:rsidRDefault="00621223" w:rsidP="00621223">
      <w:pPr>
        <w:ind w:firstLine="0"/>
        <w:jc w:val="center"/>
      </w:pPr>
    </w:p>
    <w:p w14:paraId="766B5E70" w14:textId="77777777" w:rsidR="00621223" w:rsidRDefault="00621223" w:rsidP="00621223">
      <w:pPr>
        <w:ind w:firstLine="0"/>
        <w:jc w:val="center"/>
      </w:pPr>
    </w:p>
    <w:p w14:paraId="1012D4D1" w14:textId="77777777" w:rsidR="00621223" w:rsidRDefault="00621223" w:rsidP="00621223">
      <w:pPr>
        <w:ind w:firstLine="0"/>
        <w:jc w:val="center"/>
      </w:pPr>
    </w:p>
    <w:p w14:paraId="36C27B2D" w14:textId="77777777" w:rsidR="00621223" w:rsidRDefault="00621223" w:rsidP="00621223">
      <w:pPr>
        <w:spacing w:after="0" w:line="240" w:lineRule="auto"/>
        <w:rPr>
          <w:b/>
          <w:bCs/>
          <w:szCs w:val="24"/>
        </w:rPr>
      </w:pPr>
      <w:r>
        <w:rPr>
          <w:b/>
          <w:bCs/>
          <w:szCs w:val="24"/>
        </w:rPr>
        <w:t>Prepare a Balance Sheet (Statement of Financial Position)</w:t>
      </w:r>
    </w:p>
    <w:p w14:paraId="5DFC4A68" w14:textId="77777777" w:rsidR="00621223" w:rsidRDefault="00621223" w:rsidP="00621223">
      <w:pPr>
        <w:spacing w:after="0" w:line="240" w:lineRule="auto"/>
        <w:rPr>
          <w:szCs w:val="24"/>
        </w:rPr>
      </w:pPr>
    </w:p>
    <w:tbl>
      <w:tblPr>
        <w:tblW w:w="8000" w:type="dxa"/>
        <w:tblLook w:val="04A0" w:firstRow="1" w:lastRow="0" w:firstColumn="1" w:lastColumn="0" w:noHBand="0" w:noVBand="1"/>
      </w:tblPr>
      <w:tblGrid>
        <w:gridCol w:w="3668"/>
        <w:gridCol w:w="1444"/>
        <w:gridCol w:w="1444"/>
        <w:gridCol w:w="1444"/>
      </w:tblGrid>
      <w:tr w:rsidR="00621223" w14:paraId="741AAADB" w14:textId="77777777" w:rsidTr="00621223">
        <w:trPr>
          <w:trHeight w:val="315"/>
        </w:trPr>
        <w:tc>
          <w:tcPr>
            <w:tcW w:w="8000" w:type="dxa"/>
            <w:gridSpan w:val="4"/>
            <w:tcBorders>
              <w:top w:val="single" w:sz="4" w:space="0" w:color="auto"/>
              <w:left w:val="single" w:sz="4" w:space="0" w:color="auto"/>
              <w:bottom w:val="single" w:sz="4" w:space="0" w:color="auto"/>
              <w:right w:val="single" w:sz="4" w:space="0" w:color="auto"/>
            </w:tcBorders>
            <w:noWrap/>
            <w:vAlign w:val="bottom"/>
            <w:hideMark/>
          </w:tcPr>
          <w:p w14:paraId="32BF688D" w14:textId="77777777" w:rsidR="00621223" w:rsidRDefault="00621223">
            <w:pPr>
              <w:spacing w:after="0" w:line="360" w:lineRule="auto"/>
              <w:jc w:val="center"/>
              <w:rPr>
                <w:rFonts w:eastAsia="Times New Roman"/>
                <w:b/>
                <w:bCs/>
                <w:color w:val="000000"/>
                <w:szCs w:val="24"/>
              </w:rPr>
            </w:pPr>
            <w:r>
              <w:rPr>
                <w:rFonts w:eastAsia="Times New Roman"/>
                <w:b/>
                <w:bCs/>
                <w:color w:val="000000"/>
                <w:szCs w:val="24"/>
              </w:rPr>
              <w:t>Balance Sheet</w:t>
            </w:r>
          </w:p>
        </w:tc>
      </w:tr>
      <w:tr w:rsidR="00621223" w14:paraId="76F2E9D3" w14:textId="77777777" w:rsidTr="00621223">
        <w:trPr>
          <w:trHeight w:val="315"/>
        </w:trPr>
        <w:tc>
          <w:tcPr>
            <w:tcW w:w="8000" w:type="dxa"/>
            <w:gridSpan w:val="4"/>
            <w:tcBorders>
              <w:top w:val="single" w:sz="4" w:space="0" w:color="auto"/>
              <w:left w:val="single" w:sz="4" w:space="0" w:color="auto"/>
              <w:bottom w:val="single" w:sz="4" w:space="0" w:color="auto"/>
              <w:right w:val="single" w:sz="4" w:space="0" w:color="auto"/>
            </w:tcBorders>
            <w:noWrap/>
            <w:vAlign w:val="bottom"/>
            <w:hideMark/>
          </w:tcPr>
          <w:p w14:paraId="3E199842" w14:textId="77777777" w:rsidR="00621223" w:rsidRDefault="00621223">
            <w:pPr>
              <w:spacing w:after="0" w:line="360" w:lineRule="auto"/>
              <w:jc w:val="center"/>
              <w:rPr>
                <w:rFonts w:eastAsia="Times New Roman"/>
                <w:b/>
                <w:bCs/>
                <w:color w:val="000000"/>
                <w:szCs w:val="24"/>
              </w:rPr>
            </w:pPr>
            <w:r>
              <w:rPr>
                <w:rFonts w:eastAsia="Times New Roman"/>
                <w:b/>
                <w:bCs/>
                <w:color w:val="000000"/>
                <w:szCs w:val="24"/>
              </w:rPr>
              <w:t>As At 31 December 2021</w:t>
            </w:r>
          </w:p>
        </w:tc>
      </w:tr>
      <w:tr w:rsidR="00621223" w14:paraId="548BD2DE" w14:textId="77777777" w:rsidTr="00621223">
        <w:trPr>
          <w:trHeight w:val="315"/>
        </w:trPr>
        <w:tc>
          <w:tcPr>
            <w:tcW w:w="3668" w:type="dxa"/>
            <w:tcBorders>
              <w:top w:val="nil"/>
              <w:left w:val="single" w:sz="4" w:space="0" w:color="auto"/>
              <w:bottom w:val="single" w:sz="4" w:space="0" w:color="auto"/>
              <w:right w:val="single" w:sz="4" w:space="0" w:color="auto"/>
            </w:tcBorders>
            <w:noWrap/>
            <w:vAlign w:val="bottom"/>
            <w:hideMark/>
          </w:tcPr>
          <w:p w14:paraId="6001394A" w14:textId="77777777" w:rsidR="00621223" w:rsidRDefault="00621223">
            <w:pPr>
              <w:spacing w:after="0" w:line="360" w:lineRule="auto"/>
              <w:jc w:val="center"/>
              <w:rPr>
                <w:rFonts w:eastAsia="Times New Roman"/>
                <w:b/>
                <w:bCs/>
                <w:color w:val="000000"/>
                <w:szCs w:val="24"/>
              </w:rPr>
            </w:pPr>
            <w:r>
              <w:rPr>
                <w:rFonts w:eastAsia="Times New Roman"/>
                <w:b/>
                <w:bCs/>
                <w:color w:val="000000"/>
                <w:szCs w:val="24"/>
              </w:rPr>
              <w:t>ASSETS</w:t>
            </w:r>
          </w:p>
        </w:tc>
        <w:tc>
          <w:tcPr>
            <w:tcW w:w="1444" w:type="dxa"/>
            <w:tcBorders>
              <w:top w:val="nil"/>
              <w:left w:val="nil"/>
              <w:bottom w:val="single" w:sz="4" w:space="0" w:color="auto"/>
              <w:right w:val="single" w:sz="4" w:space="0" w:color="auto"/>
            </w:tcBorders>
            <w:noWrap/>
            <w:vAlign w:val="bottom"/>
            <w:hideMark/>
          </w:tcPr>
          <w:p w14:paraId="29FFAC9E" w14:textId="77777777" w:rsidR="00621223" w:rsidRDefault="00621223">
            <w:pPr>
              <w:spacing w:after="0" w:line="360" w:lineRule="auto"/>
              <w:rPr>
                <w:rFonts w:eastAsia="Times New Roman"/>
                <w:color w:val="000000"/>
                <w:szCs w:val="24"/>
              </w:rPr>
            </w:pPr>
            <w:r>
              <w:rPr>
                <w:rFonts w:eastAsia="Times New Roman"/>
                <w:color w:val="000000"/>
                <w:szCs w:val="24"/>
              </w:rPr>
              <w:t> </w:t>
            </w:r>
          </w:p>
        </w:tc>
        <w:tc>
          <w:tcPr>
            <w:tcW w:w="1444" w:type="dxa"/>
            <w:tcBorders>
              <w:top w:val="nil"/>
              <w:left w:val="nil"/>
              <w:bottom w:val="single" w:sz="4" w:space="0" w:color="auto"/>
              <w:right w:val="single" w:sz="4" w:space="0" w:color="auto"/>
            </w:tcBorders>
            <w:noWrap/>
            <w:vAlign w:val="bottom"/>
            <w:hideMark/>
          </w:tcPr>
          <w:p w14:paraId="508DEFFB" w14:textId="77777777" w:rsidR="00621223" w:rsidRDefault="00621223">
            <w:pPr>
              <w:spacing w:after="0" w:line="360" w:lineRule="auto"/>
              <w:rPr>
                <w:rFonts w:eastAsia="Times New Roman"/>
                <w:color w:val="000000"/>
                <w:szCs w:val="24"/>
              </w:rPr>
            </w:pPr>
            <w:r>
              <w:rPr>
                <w:rFonts w:eastAsia="Times New Roman"/>
                <w:color w:val="000000"/>
                <w:szCs w:val="24"/>
              </w:rPr>
              <w:t> </w:t>
            </w:r>
          </w:p>
        </w:tc>
        <w:tc>
          <w:tcPr>
            <w:tcW w:w="1444" w:type="dxa"/>
            <w:tcBorders>
              <w:top w:val="nil"/>
              <w:left w:val="nil"/>
              <w:bottom w:val="single" w:sz="4" w:space="0" w:color="auto"/>
              <w:right w:val="single" w:sz="4" w:space="0" w:color="auto"/>
            </w:tcBorders>
            <w:noWrap/>
            <w:vAlign w:val="bottom"/>
            <w:hideMark/>
          </w:tcPr>
          <w:p w14:paraId="703C4E11" w14:textId="77777777" w:rsidR="00621223" w:rsidRDefault="00621223">
            <w:pPr>
              <w:spacing w:after="0" w:line="360" w:lineRule="auto"/>
              <w:rPr>
                <w:rFonts w:eastAsia="Times New Roman"/>
                <w:color w:val="000000"/>
                <w:szCs w:val="24"/>
              </w:rPr>
            </w:pPr>
            <w:r>
              <w:rPr>
                <w:rFonts w:eastAsia="Times New Roman"/>
                <w:color w:val="000000"/>
                <w:szCs w:val="24"/>
              </w:rPr>
              <w:t> </w:t>
            </w:r>
          </w:p>
        </w:tc>
      </w:tr>
      <w:tr w:rsidR="00621223" w14:paraId="5159AB2C" w14:textId="77777777" w:rsidTr="00621223">
        <w:trPr>
          <w:trHeight w:val="315"/>
        </w:trPr>
        <w:tc>
          <w:tcPr>
            <w:tcW w:w="3668" w:type="dxa"/>
            <w:tcBorders>
              <w:top w:val="nil"/>
              <w:left w:val="single" w:sz="4" w:space="0" w:color="auto"/>
              <w:bottom w:val="single" w:sz="4" w:space="0" w:color="auto"/>
              <w:right w:val="single" w:sz="4" w:space="0" w:color="auto"/>
            </w:tcBorders>
            <w:noWrap/>
            <w:vAlign w:val="bottom"/>
            <w:hideMark/>
          </w:tcPr>
          <w:p w14:paraId="13256FAF" w14:textId="77777777" w:rsidR="00621223" w:rsidRDefault="00621223">
            <w:pPr>
              <w:spacing w:after="0" w:line="360" w:lineRule="auto"/>
              <w:rPr>
                <w:rFonts w:eastAsia="Times New Roman"/>
                <w:b/>
                <w:bCs/>
                <w:color w:val="000000"/>
                <w:szCs w:val="24"/>
              </w:rPr>
            </w:pPr>
            <w:r>
              <w:rPr>
                <w:rFonts w:eastAsia="Times New Roman"/>
                <w:b/>
                <w:bCs/>
                <w:color w:val="000000"/>
                <w:szCs w:val="24"/>
              </w:rPr>
              <w:t>Current assets</w:t>
            </w:r>
          </w:p>
        </w:tc>
        <w:tc>
          <w:tcPr>
            <w:tcW w:w="1444" w:type="dxa"/>
            <w:tcBorders>
              <w:top w:val="nil"/>
              <w:left w:val="nil"/>
              <w:bottom w:val="single" w:sz="4" w:space="0" w:color="auto"/>
              <w:right w:val="single" w:sz="4" w:space="0" w:color="auto"/>
            </w:tcBorders>
            <w:noWrap/>
            <w:vAlign w:val="bottom"/>
            <w:hideMark/>
          </w:tcPr>
          <w:p w14:paraId="1E3A48AB" w14:textId="77777777" w:rsidR="00621223" w:rsidRDefault="00621223">
            <w:pPr>
              <w:spacing w:after="0" w:line="360" w:lineRule="auto"/>
              <w:rPr>
                <w:rFonts w:eastAsia="Times New Roman"/>
                <w:color w:val="000000"/>
                <w:szCs w:val="24"/>
              </w:rPr>
            </w:pPr>
            <w:r>
              <w:rPr>
                <w:rFonts w:eastAsia="Times New Roman"/>
                <w:color w:val="000000"/>
                <w:szCs w:val="24"/>
              </w:rPr>
              <w:t> </w:t>
            </w:r>
          </w:p>
        </w:tc>
        <w:tc>
          <w:tcPr>
            <w:tcW w:w="1444" w:type="dxa"/>
            <w:tcBorders>
              <w:top w:val="nil"/>
              <w:left w:val="nil"/>
              <w:bottom w:val="single" w:sz="4" w:space="0" w:color="auto"/>
              <w:right w:val="single" w:sz="4" w:space="0" w:color="auto"/>
            </w:tcBorders>
            <w:noWrap/>
            <w:vAlign w:val="bottom"/>
            <w:hideMark/>
          </w:tcPr>
          <w:p w14:paraId="3D029586" w14:textId="77777777" w:rsidR="00621223" w:rsidRDefault="00621223">
            <w:pPr>
              <w:spacing w:after="0" w:line="360" w:lineRule="auto"/>
              <w:rPr>
                <w:rFonts w:eastAsia="Times New Roman"/>
                <w:color w:val="000000"/>
                <w:szCs w:val="24"/>
              </w:rPr>
            </w:pPr>
            <w:r>
              <w:rPr>
                <w:rFonts w:eastAsia="Times New Roman"/>
                <w:color w:val="000000"/>
                <w:szCs w:val="24"/>
              </w:rPr>
              <w:t> </w:t>
            </w:r>
          </w:p>
        </w:tc>
        <w:tc>
          <w:tcPr>
            <w:tcW w:w="1444" w:type="dxa"/>
            <w:tcBorders>
              <w:top w:val="nil"/>
              <w:left w:val="nil"/>
              <w:bottom w:val="single" w:sz="4" w:space="0" w:color="auto"/>
              <w:right w:val="single" w:sz="4" w:space="0" w:color="auto"/>
            </w:tcBorders>
            <w:noWrap/>
            <w:vAlign w:val="bottom"/>
            <w:hideMark/>
          </w:tcPr>
          <w:p w14:paraId="272F0182" w14:textId="77777777" w:rsidR="00621223" w:rsidRDefault="00621223">
            <w:pPr>
              <w:spacing w:after="0" w:line="360" w:lineRule="auto"/>
              <w:rPr>
                <w:rFonts w:eastAsia="Times New Roman"/>
                <w:color w:val="000000"/>
                <w:szCs w:val="24"/>
              </w:rPr>
            </w:pPr>
            <w:r>
              <w:rPr>
                <w:rFonts w:eastAsia="Times New Roman"/>
                <w:color w:val="000000"/>
                <w:szCs w:val="24"/>
              </w:rPr>
              <w:t> </w:t>
            </w:r>
          </w:p>
        </w:tc>
      </w:tr>
      <w:tr w:rsidR="00621223" w14:paraId="4E41891C" w14:textId="77777777" w:rsidTr="00621223">
        <w:trPr>
          <w:trHeight w:val="315"/>
        </w:trPr>
        <w:tc>
          <w:tcPr>
            <w:tcW w:w="3668" w:type="dxa"/>
            <w:tcBorders>
              <w:top w:val="nil"/>
              <w:left w:val="single" w:sz="4" w:space="0" w:color="auto"/>
              <w:bottom w:val="single" w:sz="4" w:space="0" w:color="auto"/>
              <w:right w:val="single" w:sz="4" w:space="0" w:color="auto"/>
            </w:tcBorders>
            <w:noWrap/>
            <w:vAlign w:val="bottom"/>
            <w:hideMark/>
          </w:tcPr>
          <w:p w14:paraId="780893BE" w14:textId="77777777" w:rsidR="00621223" w:rsidRDefault="00621223">
            <w:pPr>
              <w:spacing w:after="0" w:line="360" w:lineRule="auto"/>
              <w:rPr>
                <w:rFonts w:eastAsia="Times New Roman"/>
                <w:color w:val="000000"/>
                <w:szCs w:val="24"/>
              </w:rPr>
            </w:pPr>
            <w:r>
              <w:rPr>
                <w:rFonts w:eastAsia="Times New Roman"/>
                <w:color w:val="000000"/>
                <w:szCs w:val="24"/>
              </w:rPr>
              <w:t>Cash at bank</w:t>
            </w:r>
          </w:p>
        </w:tc>
        <w:tc>
          <w:tcPr>
            <w:tcW w:w="1444" w:type="dxa"/>
            <w:tcBorders>
              <w:top w:val="nil"/>
              <w:left w:val="nil"/>
              <w:bottom w:val="single" w:sz="4" w:space="0" w:color="auto"/>
              <w:right w:val="single" w:sz="4" w:space="0" w:color="auto"/>
            </w:tcBorders>
            <w:noWrap/>
            <w:vAlign w:val="bottom"/>
            <w:hideMark/>
          </w:tcPr>
          <w:p w14:paraId="7C18DB47" w14:textId="77777777" w:rsidR="00621223" w:rsidRDefault="00621223">
            <w:pPr>
              <w:spacing w:after="0" w:line="360" w:lineRule="auto"/>
              <w:rPr>
                <w:rFonts w:eastAsia="Times New Roman"/>
                <w:color w:val="000000"/>
                <w:szCs w:val="24"/>
              </w:rPr>
            </w:pPr>
            <w:r>
              <w:rPr>
                <w:rFonts w:eastAsia="Times New Roman"/>
                <w:color w:val="000000"/>
                <w:szCs w:val="24"/>
              </w:rPr>
              <w:t> </w:t>
            </w:r>
          </w:p>
        </w:tc>
        <w:tc>
          <w:tcPr>
            <w:tcW w:w="1444" w:type="dxa"/>
            <w:tcBorders>
              <w:top w:val="nil"/>
              <w:left w:val="nil"/>
              <w:bottom w:val="single" w:sz="4" w:space="0" w:color="auto"/>
              <w:right w:val="single" w:sz="4" w:space="0" w:color="auto"/>
            </w:tcBorders>
            <w:noWrap/>
            <w:vAlign w:val="bottom"/>
            <w:hideMark/>
          </w:tcPr>
          <w:p w14:paraId="60A12B5A" w14:textId="77777777" w:rsidR="00621223" w:rsidRDefault="00621223">
            <w:pPr>
              <w:spacing w:after="0" w:line="360" w:lineRule="auto"/>
              <w:rPr>
                <w:rFonts w:eastAsia="Times New Roman"/>
                <w:color w:val="000000"/>
                <w:szCs w:val="24"/>
              </w:rPr>
            </w:pPr>
            <w:r>
              <w:rPr>
                <w:rFonts w:eastAsia="Times New Roman"/>
                <w:color w:val="000000"/>
                <w:szCs w:val="24"/>
              </w:rPr>
              <w:t xml:space="preserve"> £             82 </w:t>
            </w:r>
          </w:p>
        </w:tc>
        <w:tc>
          <w:tcPr>
            <w:tcW w:w="1444" w:type="dxa"/>
            <w:tcBorders>
              <w:top w:val="nil"/>
              <w:left w:val="nil"/>
              <w:bottom w:val="single" w:sz="4" w:space="0" w:color="auto"/>
              <w:right w:val="single" w:sz="4" w:space="0" w:color="auto"/>
            </w:tcBorders>
            <w:noWrap/>
            <w:vAlign w:val="bottom"/>
            <w:hideMark/>
          </w:tcPr>
          <w:p w14:paraId="2208FF94" w14:textId="77777777" w:rsidR="00621223" w:rsidRDefault="00621223">
            <w:pPr>
              <w:spacing w:after="0" w:line="360" w:lineRule="auto"/>
              <w:rPr>
                <w:rFonts w:eastAsia="Times New Roman"/>
                <w:color w:val="000000"/>
                <w:szCs w:val="24"/>
              </w:rPr>
            </w:pPr>
            <w:r>
              <w:rPr>
                <w:rFonts w:eastAsia="Times New Roman"/>
                <w:color w:val="000000"/>
                <w:szCs w:val="24"/>
              </w:rPr>
              <w:t> </w:t>
            </w:r>
          </w:p>
        </w:tc>
      </w:tr>
      <w:tr w:rsidR="00621223" w14:paraId="6F3BE752" w14:textId="77777777" w:rsidTr="00621223">
        <w:trPr>
          <w:trHeight w:val="315"/>
        </w:trPr>
        <w:tc>
          <w:tcPr>
            <w:tcW w:w="3668" w:type="dxa"/>
            <w:tcBorders>
              <w:top w:val="nil"/>
              <w:left w:val="single" w:sz="4" w:space="0" w:color="auto"/>
              <w:bottom w:val="single" w:sz="4" w:space="0" w:color="auto"/>
              <w:right w:val="single" w:sz="4" w:space="0" w:color="auto"/>
            </w:tcBorders>
            <w:noWrap/>
            <w:vAlign w:val="bottom"/>
            <w:hideMark/>
          </w:tcPr>
          <w:p w14:paraId="4335E7CA" w14:textId="77777777" w:rsidR="00621223" w:rsidRDefault="00621223">
            <w:pPr>
              <w:spacing w:after="0" w:line="360" w:lineRule="auto"/>
              <w:rPr>
                <w:rFonts w:eastAsia="Times New Roman"/>
                <w:color w:val="000000"/>
                <w:szCs w:val="24"/>
              </w:rPr>
            </w:pPr>
            <w:r>
              <w:rPr>
                <w:rFonts w:eastAsia="Times New Roman"/>
                <w:color w:val="000000"/>
                <w:szCs w:val="24"/>
              </w:rPr>
              <w:t>Trade debtors</w:t>
            </w:r>
          </w:p>
        </w:tc>
        <w:tc>
          <w:tcPr>
            <w:tcW w:w="1444" w:type="dxa"/>
            <w:tcBorders>
              <w:top w:val="nil"/>
              <w:left w:val="nil"/>
              <w:bottom w:val="single" w:sz="4" w:space="0" w:color="auto"/>
              <w:right w:val="single" w:sz="4" w:space="0" w:color="auto"/>
            </w:tcBorders>
            <w:noWrap/>
            <w:vAlign w:val="bottom"/>
            <w:hideMark/>
          </w:tcPr>
          <w:p w14:paraId="060A0A73" w14:textId="77777777" w:rsidR="00621223" w:rsidRDefault="00621223">
            <w:pPr>
              <w:spacing w:after="0" w:line="360" w:lineRule="auto"/>
              <w:rPr>
                <w:rFonts w:eastAsia="Times New Roman"/>
                <w:color w:val="000000"/>
                <w:szCs w:val="24"/>
              </w:rPr>
            </w:pPr>
            <w:r>
              <w:rPr>
                <w:rFonts w:eastAsia="Times New Roman"/>
                <w:color w:val="000000"/>
                <w:szCs w:val="24"/>
              </w:rPr>
              <w:t> </w:t>
            </w:r>
          </w:p>
        </w:tc>
        <w:tc>
          <w:tcPr>
            <w:tcW w:w="1444" w:type="dxa"/>
            <w:tcBorders>
              <w:top w:val="nil"/>
              <w:left w:val="nil"/>
              <w:bottom w:val="single" w:sz="4" w:space="0" w:color="auto"/>
              <w:right w:val="single" w:sz="4" w:space="0" w:color="auto"/>
            </w:tcBorders>
            <w:noWrap/>
            <w:vAlign w:val="bottom"/>
            <w:hideMark/>
          </w:tcPr>
          <w:p w14:paraId="4A3F9DFE" w14:textId="77777777" w:rsidR="00621223" w:rsidRDefault="00621223">
            <w:pPr>
              <w:spacing w:after="0" w:line="360" w:lineRule="auto"/>
              <w:rPr>
                <w:rFonts w:eastAsia="Times New Roman"/>
                <w:color w:val="000000"/>
                <w:szCs w:val="24"/>
              </w:rPr>
            </w:pPr>
            <w:r>
              <w:rPr>
                <w:rFonts w:eastAsia="Times New Roman"/>
                <w:color w:val="000000"/>
                <w:szCs w:val="24"/>
              </w:rPr>
              <w:t xml:space="preserve"> £        5,880 </w:t>
            </w:r>
          </w:p>
        </w:tc>
        <w:tc>
          <w:tcPr>
            <w:tcW w:w="1444" w:type="dxa"/>
            <w:tcBorders>
              <w:top w:val="nil"/>
              <w:left w:val="nil"/>
              <w:bottom w:val="single" w:sz="4" w:space="0" w:color="auto"/>
              <w:right w:val="single" w:sz="4" w:space="0" w:color="auto"/>
            </w:tcBorders>
            <w:noWrap/>
            <w:vAlign w:val="bottom"/>
            <w:hideMark/>
          </w:tcPr>
          <w:p w14:paraId="059CE64E" w14:textId="77777777" w:rsidR="00621223" w:rsidRDefault="00621223">
            <w:pPr>
              <w:spacing w:after="0" w:line="360" w:lineRule="auto"/>
              <w:rPr>
                <w:rFonts w:eastAsia="Times New Roman"/>
                <w:color w:val="000000"/>
                <w:szCs w:val="24"/>
              </w:rPr>
            </w:pPr>
            <w:r>
              <w:rPr>
                <w:rFonts w:eastAsia="Times New Roman"/>
                <w:color w:val="000000"/>
                <w:szCs w:val="24"/>
              </w:rPr>
              <w:t> </w:t>
            </w:r>
          </w:p>
        </w:tc>
      </w:tr>
      <w:tr w:rsidR="00621223" w14:paraId="777B9C11" w14:textId="77777777" w:rsidTr="00621223">
        <w:trPr>
          <w:trHeight w:val="360"/>
        </w:trPr>
        <w:tc>
          <w:tcPr>
            <w:tcW w:w="3668" w:type="dxa"/>
            <w:tcBorders>
              <w:top w:val="nil"/>
              <w:left w:val="single" w:sz="4" w:space="0" w:color="auto"/>
              <w:bottom w:val="single" w:sz="4" w:space="0" w:color="auto"/>
              <w:right w:val="single" w:sz="4" w:space="0" w:color="auto"/>
            </w:tcBorders>
            <w:noWrap/>
            <w:vAlign w:val="bottom"/>
            <w:hideMark/>
          </w:tcPr>
          <w:p w14:paraId="68261C56" w14:textId="77777777" w:rsidR="00621223" w:rsidRDefault="00621223">
            <w:pPr>
              <w:spacing w:after="0" w:line="360" w:lineRule="auto"/>
              <w:rPr>
                <w:rFonts w:eastAsia="Times New Roman"/>
                <w:color w:val="000000"/>
                <w:szCs w:val="24"/>
              </w:rPr>
            </w:pPr>
            <w:r>
              <w:rPr>
                <w:rFonts w:eastAsia="Times New Roman"/>
                <w:color w:val="000000"/>
                <w:szCs w:val="24"/>
              </w:rPr>
              <w:t>Stock</w:t>
            </w:r>
          </w:p>
        </w:tc>
        <w:tc>
          <w:tcPr>
            <w:tcW w:w="1444" w:type="dxa"/>
            <w:tcBorders>
              <w:top w:val="nil"/>
              <w:left w:val="nil"/>
              <w:bottom w:val="single" w:sz="4" w:space="0" w:color="auto"/>
              <w:right w:val="single" w:sz="4" w:space="0" w:color="auto"/>
            </w:tcBorders>
            <w:noWrap/>
            <w:vAlign w:val="bottom"/>
            <w:hideMark/>
          </w:tcPr>
          <w:p w14:paraId="191A10A5" w14:textId="77777777" w:rsidR="00621223" w:rsidRDefault="00621223">
            <w:pPr>
              <w:spacing w:after="0" w:line="360" w:lineRule="auto"/>
              <w:rPr>
                <w:rFonts w:eastAsia="Times New Roman"/>
                <w:color w:val="000000"/>
                <w:szCs w:val="24"/>
              </w:rPr>
            </w:pPr>
            <w:r>
              <w:rPr>
                <w:rFonts w:eastAsia="Times New Roman"/>
                <w:color w:val="000000"/>
                <w:szCs w:val="24"/>
              </w:rPr>
              <w:t> </w:t>
            </w:r>
          </w:p>
        </w:tc>
        <w:tc>
          <w:tcPr>
            <w:tcW w:w="1444" w:type="dxa"/>
            <w:tcBorders>
              <w:top w:val="nil"/>
              <w:left w:val="nil"/>
              <w:bottom w:val="single" w:sz="4" w:space="0" w:color="auto"/>
              <w:right w:val="single" w:sz="4" w:space="0" w:color="auto"/>
            </w:tcBorders>
            <w:noWrap/>
            <w:vAlign w:val="bottom"/>
            <w:hideMark/>
          </w:tcPr>
          <w:p w14:paraId="17FD5805" w14:textId="77777777" w:rsidR="00621223" w:rsidRDefault="00621223">
            <w:pPr>
              <w:spacing w:after="0" w:line="360" w:lineRule="auto"/>
              <w:rPr>
                <w:rFonts w:eastAsia="Times New Roman"/>
                <w:color w:val="000000"/>
                <w:szCs w:val="24"/>
                <w:u w:val="single"/>
              </w:rPr>
            </w:pPr>
            <w:r>
              <w:rPr>
                <w:rFonts w:eastAsia="Times New Roman"/>
                <w:color w:val="000000"/>
                <w:szCs w:val="24"/>
                <w:u w:val="single"/>
              </w:rPr>
              <w:t xml:space="preserve"> £      25,164 </w:t>
            </w:r>
          </w:p>
        </w:tc>
        <w:tc>
          <w:tcPr>
            <w:tcW w:w="1444" w:type="dxa"/>
            <w:tcBorders>
              <w:top w:val="nil"/>
              <w:left w:val="nil"/>
              <w:bottom w:val="single" w:sz="4" w:space="0" w:color="auto"/>
              <w:right w:val="single" w:sz="4" w:space="0" w:color="auto"/>
            </w:tcBorders>
            <w:noWrap/>
            <w:vAlign w:val="bottom"/>
            <w:hideMark/>
          </w:tcPr>
          <w:p w14:paraId="6D2675A1" w14:textId="77777777" w:rsidR="00621223" w:rsidRDefault="00621223">
            <w:pPr>
              <w:spacing w:after="0" w:line="360" w:lineRule="auto"/>
              <w:rPr>
                <w:rFonts w:eastAsia="Times New Roman"/>
                <w:color w:val="000000"/>
                <w:szCs w:val="24"/>
              </w:rPr>
            </w:pPr>
            <w:r>
              <w:rPr>
                <w:rFonts w:eastAsia="Times New Roman"/>
                <w:color w:val="000000"/>
                <w:szCs w:val="24"/>
              </w:rPr>
              <w:t> </w:t>
            </w:r>
          </w:p>
        </w:tc>
      </w:tr>
      <w:tr w:rsidR="00621223" w14:paraId="6A335816" w14:textId="77777777" w:rsidTr="00621223">
        <w:trPr>
          <w:trHeight w:val="315"/>
        </w:trPr>
        <w:tc>
          <w:tcPr>
            <w:tcW w:w="3668" w:type="dxa"/>
            <w:tcBorders>
              <w:top w:val="nil"/>
              <w:left w:val="single" w:sz="4" w:space="0" w:color="auto"/>
              <w:bottom w:val="single" w:sz="4" w:space="0" w:color="auto"/>
              <w:right w:val="single" w:sz="4" w:space="0" w:color="auto"/>
            </w:tcBorders>
            <w:noWrap/>
            <w:vAlign w:val="bottom"/>
            <w:hideMark/>
          </w:tcPr>
          <w:p w14:paraId="5C1F3EAC" w14:textId="77777777" w:rsidR="00621223" w:rsidRDefault="00621223">
            <w:pPr>
              <w:spacing w:after="0" w:line="360" w:lineRule="auto"/>
              <w:rPr>
                <w:rFonts w:eastAsia="Times New Roman"/>
                <w:color w:val="000000"/>
                <w:szCs w:val="24"/>
              </w:rPr>
            </w:pPr>
            <w:r>
              <w:rPr>
                <w:rFonts w:eastAsia="Times New Roman"/>
                <w:color w:val="000000"/>
                <w:szCs w:val="24"/>
              </w:rPr>
              <w:t>Total current assets</w:t>
            </w:r>
          </w:p>
        </w:tc>
        <w:tc>
          <w:tcPr>
            <w:tcW w:w="1444" w:type="dxa"/>
            <w:tcBorders>
              <w:top w:val="nil"/>
              <w:left w:val="nil"/>
              <w:bottom w:val="single" w:sz="4" w:space="0" w:color="auto"/>
              <w:right w:val="single" w:sz="4" w:space="0" w:color="auto"/>
            </w:tcBorders>
            <w:noWrap/>
            <w:vAlign w:val="bottom"/>
            <w:hideMark/>
          </w:tcPr>
          <w:p w14:paraId="35B4281F" w14:textId="77777777" w:rsidR="00621223" w:rsidRDefault="00621223">
            <w:pPr>
              <w:spacing w:after="0" w:line="360" w:lineRule="auto"/>
              <w:rPr>
                <w:rFonts w:eastAsia="Times New Roman"/>
                <w:color w:val="000000"/>
                <w:szCs w:val="24"/>
              </w:rPr>
            </w:pPr>
            <w:r>
              <w:rPr>
                <w:rFonts w:eastAsia="Times New Roman"/>
                <w:color w:val="000000"/>
                <w:szCs w:val="24"/>
              </w:rPr>
              <w:t> </w:t>
            </w:r>
          </w:p>
        </w:tc>
        <w:tc>
          <w:tcPr>
            <w:tcW w:w="1444" w:type="dxa"/>
            <w:tcBorders>
              <w:top w:val="nil"/>
              <w:left w:val="nil"/>
              <w:bottom w:val="single" w:sz="4" w:space="0" w:color="auto"/>
              <w:right w:val="single" w:sz="4" w:space="0" w:color="auto"/>
            </w:tcBorders>
            <w:noWrap/>
            <w:vAlign w:val="bottom"/>
            <w:hideMark/>
          </w:tcPr>
          <w:p w14:paraId="5B740CB8" w14:textId="77777777" w:rsidR="00621223" w:rsidRDefault="00621223">
            <w:pPr>
              <w:spacing w:after="0" w:line="360" w:lineRule="auto"/>
              <w:rPr>
                <w:rFonts w:eastAsia="Times New Roman"/>
                <w:color w:val="000000"/>
                <w:szCs w:val="24"/>
              </w:rPr>
            </w:pPr>
            <w:r>
              <w:rPr>
                <w:rFonts w:eastAsia="Times New Roman"/>
                <w:color w:val="000000"/>
                <w:szCs w:val="24"/>
              </w:rPr>
              <w:t> </w:t>
            </w:r>
          </w:p>
        </w:tc>
        <w:tc>
          <w:tcPr>
            <w:tcW w:w="1444" w:type="dxa"/>
            <w:tcBorders>
              <w:top w:val="nil"/>
              <w:left w:val="nil"/>
              <w:bottom w:val="single" w:sz="4" w:space="0" w:color="auto"/>
              <w:right w:val="single" w:sz="4" w:space="0" w:color="auto"/>
            </w:tcBorders>
            <w:noWrap/>
            <w:vAlign w:val="bottom"/>
            <w:hideMark/>
          </w:tcPr>
          <w:p w14:paraId="0E18D86C" w14:textId="77777777" w:rsidR="00621223" w:rsidRDefault="00621223">
            <w:pPr>
              <w:spacing w:after="0" w:line="360" w:lineRule="auto"/>
              <w:rPr>
                <w:rFonts w:eastAsia="Times New Roman"/>
                <w:color w:val="000000"/>
                <w:szCs w:val="24"/>
              </w:rPr>
            </w:pPr>
            <w:r>
              <w:rPr>
                <w:rFonts w:eastAsia="Times New Roman"/>
                <w:color w:val="000000"/>
                <w:szCs w:val="24"/>
              </w:rPr>
              <w:t xml:space="preserve"> £      31,126 </w:t>
            </w:r>
          </w:p>
        </w:tc>
      </w:tr>
      <w:tr w:rsidR="00621223" w14:paraId="5D3D71C5" w14:textId="77777777" w:rsidTr="00621223">
        <w:trPr>
          <w:trHeight w:val="315"/>
        </w:trPr>
        <w:tc>
          <w:tcPr>
            <w:tcW w:w="3668" w:type="dxa"/>
            <w:tcBorders>
              <w:top w:val="nil"/>
              <w:left w:val="single" w:sz="4" w:space="0" w:color="auto"/>
              <w:bottom w:val="single" w:sz="4" w:space="0" w:color="auto"/>
              <w:right w:val="single" w:sz="4" w:space="0" w:color="auto"/>
            </w:tcBorders>
            <w:noWrap/>
            <w:vAlign w:val="bottom"/>
            <w:hideMark/>
          </w:tcPr>
          <w:p w14:paraId="4EC72E51" w14:textId="77777777" w:rsidR="00621223" w:rsidRDefault="00621223">
            <w:pPr>
              <w:spacing w:after="0" w:line="360" w:lineRule="auto"/>
              <w:rPr>
                <w:rFonts w:eastAsia="Times New Roman"/>
                <w:color w:val="000000"/>
                <w:szCs w:val="24"/>
              </w:rPr>
            </w:pPr>
            <w:r>
              <w:rPr>
                <w:rFonts w:eastAsia="Times New Roman"/>
                <w:color w:val="000000"/>
                <w:szCs w:val="24"/>
              </w:rPr>
              <w:t> </w:t>
            </w:r>
          </w:p>
        </w:tc>
        <w:tc>
          <w:tcPr>
            <w:tcW w:w="1444" w:type="dxa"/>
            <w:tcBorders>
              <w:top w:val="nil"/>
              <w:left w:val="nil"/>
              <w:bottom w:val="single" w:sz="4" w:space="0" w:color="auto"/>
              <w:right w:val="single" w:sz="4" w:space="0" w:color="auto"/>
            </w:tcBorders>
            <w:noWrap/>
            <w:vAlign w:val="bottom"/>
            <w:hideMark/>
          </w:tcPr>
          <w:p w14:paraId="4A48A999" w14:textId="77777777" w:rsidR="00621223" w:rsidRDefault="00621223">
            <w:pPr>
              <w:spacing w:after="0" w:line="360" w:lineRule="auto"/>
              <w:rPr>
                <w:rFonts w:eastAsia="Times New Roman"/>
                <w:color w:val="000000"/>
                <w:szCs w:val="24"/>
              </w:rPr>
            </w:pPr>
            <w:r>
              <w:rPr>
                <w:rFonts w:eastAsia="Times New Roman"/>
                <w:color w:val="000000"/>
                <w:szCs w:val="24"/>
              </w:rPr>
              <w:t> </w:t>
            </w:r>
          </w:p>
        </w:tc>
        <w:tc>
          <w:tcPr>
            <w:tcW w:w="1444" w:type="dxa"/>
            <w:tcBorders>
              <w:top w:val="nil"/>
              <w:left w:val="nil"/>
              <w:bottom w:val="single" w:sz="4" w:space="0" w:color="auto"/>
              <w:right w:val="single" w:sz="4" w:space="0" w:color="auto"/>
            </w:tcBorders>
            <w:noWrap/>
            <w:vAlign w:val="bottom"/>
            <w:hideMark/>
          </w:tcPr>
          <w:p w14:paraId="609F3A0E" w14:textId="77777777" w:rsidR="00621223" w:rsidRDefault="00621223">
            <w:pPr>
              <w:spacing w:after="0" w:line="360" w:lineRule="auto"/>
              <w:rPr>
                <w:rFonts w:eastAsia="Times New Roman"/>
                <w:color w:val="000000"/>
                <w:szCs w:val="24"/>
              </w:rPr>
            </w:pPr>
            <w:r>
              <w:rPr>
                <w:rFonts w:eastAsia="Times New Roman"/>
                <w:color w:val="000000"/>
                <w:szCs w:val="24"/>
              </w:rPr>
              <w:t> </w:t>
            </w:r>
          </w:p>
        </w:tc>
        <w:tc>
          <w:tcPr>
            <w:tcW w:w="1444" w:type="dxa"/>
            <w:tcBorders>
              <w:top w:val="nil"/>
              <w:left w:val="nil"/>
              <w:bottom w:val="single" w:sz="4" w:space="0" w:color="auto"/>
              <w:right w:val="single" w:sz="4" w:space="0" w:color="auto"/>
            </w:tcBorders>
            <w:noWrap/>
            <w:vAlign w:val="bottom"/>
            <w:hideMark/>
          </w:tcPr>
          <w:p w14:paraId="5783255E" w14:textId="77777777" w:rsidR="00621223" w:rsidRDefault="00621223">
            <w:pPr>
              <w:spacing w:after="0" w:line="360" w:lineRule="auto"/>
              <w:rPr>
                <w:rFonts w:eastAsia="Times New Roman"/>
                <w:color w:val="000000"/>
                <w:szCs w:val="24"/>
              </w:rPr>
            </w:pPr>
            <w:r>
              <w:rPr>
                <w:rFonts w:eastAsia="Times New Roman"/>
                <w:color w:val="000000"/>
                <w:szCs w:val="24"/>
              </w:rPr>
              <w:t> </w:t>
            </w:r>
          </w:p>
        </w:tc>
      </w:tr>
      <w:tr w:rsidR="00621223" w14:paraId="44D91645" w14:textId="77777777" w:rsidTr="00621223">
        <w:trPr>
          <w:trHeight w:val="315"/>
        </w:trPr>
        <w:tc>
          <w:tcPr>
            <w:tcW w:w="3668" w:type="dxa"/>
            <w:tcBorders>
              <w:top w:val="nil"/>
              <w:left w:val="single" w:sz="4" w:space="0" w:color="auto"/>
              <w:bottom w:val="single" w:sz="4" w:space="0" w:color="auto"/>
              <w:right w:val="single" w:sz="4" w:space="0" w:color="auto"/>
            </w:tcBorders>
            <w:noWrap/>
            <w:vAlign w:val="bottom"/>
            <w:hideMark/>
          </w:tcPr>
          <w:p w14:paraId="19427E9E" w14:textId="77777777" w:rsidR="00621223" w:rsidRDefault="00621223">
            <w:pPr>
              <w:spacing w:after="0" w:line="360" w:lineRule="auto"/>
              <w:rPr>
                <w:rFonts w:eastAsia="Times New Roman"/>
                <w:b/>
                <w:bCs/>
                <w:color w:val="000000"/>
                <w:szCs w:val="24"/>
              </w:rPr>
            </w:pPr>
            <w:r>
              <w:rPr>
                <w:rFonts w:eastAsia="Times New Roman"/>
                <w:b/>
                <w:bCs/>
                <w:color w:val="000000"/>
                <w:szCs w:val="24"/>
              </w:rPr>
              <w:t>Non-current assets</w:t>
            </w:r>
          </w:p>
        </w:tc>
        <w:tc>
          <w:tcPr>
            <w:tcW w:w="1444" w:type="dxa"/>
            <w:tcBorders>
              <w:top w:val="nil"/>
              <w:left w:val="nil"/>
              <w:bottom w:val="single" w:sz="4" w:space="0" w:color="auto"/>
              <w:right w:val="single" w:sz="4" w:space="0" w:color="auto"/>
            </w:tcBorders>
            <w:noWrap/>
            <w:vAlign w:val="bottom"/>
            <w:hideMark/>
          </w:tcPr>
          <w:p w14:paraId="27002407" w14:textId="77777777" w:rsidR="00621223" w:rsidRDefault="00621223">
            <w:pPr>
              <w:spacing w:after="0" w:line="360" w:lineRule="auto"/>
              <w:rPr>
                <w:rFonts w:eastAsia="Times New Roman"/>
                <w:color w:val="000000"/>
                <w:szCs w:val="24"/>
              </w:rPr>
            </w:pPr>
            <w:r>
              <w:rPr>
                <w:rFonts w:eastAsia="Times New Roman"/>
                <w:color w:val="000000"/>
                <w:szCs w:val="24"/>
              </w:rPr>
              <w:t> </w:t>
            </w:r>
          </w:p>
        </w:tc>
        <w:tc>
          <w:tcPr>
            <w:tcW w:w="1444" w:type="dxa"/>
            <w:tcBorders>
              <w:top w:val="nil"/>
              <w:left w:val="nil"/>
              <w:bottom w:val="single" w:sz="4" w:space="0" w:color="auto"/>
              <w:right w:val="single" w:sz="4" w:space="0" w:color="auto"/>
            </w:tcBorders>
            <w:noWrap/>
            <w:vAlign w:val="bottom"/>
            <w:hideMark/>
          </w:tcPr>
          <w:p w14:paraId="4B72F5F6" w14:textId="77777777" w:rsidR="00621223" w:rsidRDefault="00621223">
            <w:pPr>
              <w:spacing w:after="0" w:line="360" w:lineRule="auto"/>
              <w:rPr>
                <w:rFonts w:eastAsia="Times New Roman"/>
                <w:color w:val="000000"/>
                <w:szCs w:val="24"/>
              </w:rPr>
            </w:pPr>
            <w:r>
              <w:rPr>
                <w:rFonts w:eastAsia="Times New Roman"/>
                <w:color w:val="000000"/>
                <w:szCs w:val="24"/>
              </w:rPr>
              <w:t> </w:t>
            </w:r>
          </w:p>
        </w:tc>
        <w:tc>
          <w:tcPr>
            <w:tcW w:w="1444" w:type="dxa"/>
            <w:tcBorders>
              <w:top w:val="nil"/>
              <w:left w:val="nil"/>
              <w:bottom w:val="single" w:sz="4" w:space="0" w:color="auto"/>
              <w:right w:val="single" w:sz="4" w:space="0" w:color="auto"/>
            </w:tcBorders>
            <w:noWrap/>
            <w:vAlign w:val="bottom"/>
            <w:hideMark/>
          </w:tcPr>
          <w:p w14:paraId="1452BAE8" w14:textId="77777777" w:rsidR="00621223" w:rsidRDefault="00621223">
            <w:pPr>
              <w:spacing w:after="0" w:line="360" w:lineRule="auto"/>
              <w:rPr>
                <w:rFonts w:eastAsia="Times New Roman"/>
                <w:color w:val="000000"/>
                <w:szCs w:val="24"/>
              </w:rPr>
            </w:pPr>
            <w:r>
              <w:rPr>
                <w:rFonts w:eastAsia="Times New Roman"/>
                <w:color w:val="000000"/>
                <w:szCs w:val="24"/>
              </w:rPr>
              <w:t> </w:t>
            </w:r>
          </w:p>
        </w:tc>
      </w:tr>
      <w:tr w:rsidR="00621223" w14:paraId="1C061AFC" w14:textId="77777777" w:rsidTr="00621223">
        <w:trPr>
          <w:trHeight w:val="315"/>
        </w:trPr>
        <w:tc>
          <w:tcPr>
            <w:tcW w:w="3668" w:type="dxa"/>
            <w:tcBorders>
              <w:top w:val="nil"/>
              <w:left w:val="single" w:sz="4" w:space="0" w:color="auto"/>
              <w:bottom w:val="single" w:sz="4" w:space="0" w:color="auto"/>
              <w:right w:val="single" w:sz="4" w:space="0" w:color="auto"/>
            </w:tcBorders>
            <w:noWrap/>
            <w:vAlign w:val="bottom"/>
            <w:hideMark/>
          </w:tcPr>
          <w:p w14:paraId="5738338D" w14:textId="77777777" w:rsidR="00621223" w:rsidRDefault="00621223">
            <w:pPr>
              <w:spacing w:after="0" w:line="360" w:lineRule="auto"/>
              <w:rPr>
                <w:rFonts w:eastAsia="Times New Roman"/>
                <w:color w:val="000000"/>
                <w:szCs w:val="24"/>
              </w:rPr>
            </w:pPr>
            <w:r>
              <w:rPr>
                <w:rFonts w:eastAsia="Times New Roman"/>
                <w:color w:val="000000"/>
                <w:szCs w:val="24"/>
              </w:rPr>
              <w:t>Delivery van</w:t>
            </w:r>
          </w:p>
        </w:tc>
        <w:tc>
          <w:tcPr>
            <w:tcW w:w="1444" w:type="dxa"/>
            <w:tcBorders>
              <w:top w:val="nil"/>
              <w:left w:val="nil"/>
              <w:bottom w:val="single" w:sz="4" w:space="0" w:color="auto"/>
              <w:right w:val="single" w:sz="4" w:space="0" w:color="auto"/>
            </w:tcBorders>
            <w:noWrap/>
            <w:vAlign w:val="bottom"/>
            <w:hideMark/>
          </w:tcPr>
          <w:p w14:paraId="221E83F0" w14:textId="77777777" w:rsidR="00621223" w:rsidRDefault="00621223">
            <w:pPr>
              <w:spacing w:after="0" w:line="360" w:lineRule="auto"/>
              <w:rPr>
                <w:rFonts w:eastAsia="Times New Roman"/>
                <w:color w:val="000000"/>
                <w:szCs w:val="24"/>
              </w:rPr>
            </w:pPr>
            <w:r>
              <w:rPr>
                <w:rFonts w:eastAsia="Times New Roman"/>
                <w:color w:val="000000"/>
                <w:szCs w:val="24"/>
              </w:rPr>
              <w:t xml:space="preserve"> £      35,580 </w:t>
            </w:r>
          </w:p>
        </w:tc>
        <w:tc>
          <w:tcPr>
            <w:tcW w:w="1444" w:type="dxa"/>
            <w:tcBorders>
              <w:top w:val="nil"/>
              <w:left w:val="nil"/>
              <w:bottom w:val="single" w:sz="4" w:space="0" w:color="auto"/>
              <w:right w:val="single" w:sz="4" w:space="0" w:color="auto"/>
            </w:tcBorders>
            <w:noWrap/>
            <w:vAlign w:val="bottom"/>
            <w:hideMark/>
          </w:tcPr>
          <w:p w14:paraId="07B84E41" w14:textId="77777777" w:rsidR="00621223" w:rsidRDefault="00621223">
            <w:pPr>
              <w:spacing w:after="0" w:line="360" w:lineRule="auto"/>
              <w:rPr>
                <w:rFonts w:eastAsia="Times New Roman"/>
                <w:color w:val="000000"/>
                <w:szCs w:val="24"/>
              </w:rPr>
            </w:pPr>
            <w:r>
              <w:rPr>
                <w:rFonts w:eastAsia="Times New Roman"/>
                <w:color w:val="000000"/>
                <w:szCs w:val="24"/>
              </w:rPr>
              <w:t> </w:t>
            </w:r>
          </w:p>
        </w:tc>
        <w:tc>
          <w:tcPr>
            <w:tcW w:w="1444" w:type="dxa"/>
            <w:tcBorders>
              <w:top w:val="nil"/>
              <w:left w:val="nil"/>
              <w:bottom w:val="single" w:sz="4" w:space="0" w:color="auto"/>
              <w:right w:val="single" w:sz="4" w:space="0" w:color="auto"/>
            </w:tcBorders>
            <w:noWrap/>
            <w:vAlign w:val="bottom"/>
            <w:hideMark/>
          </w:tcPr>
          <w:p w14:paraId="449ED2B4" w14:textId="77777777" w:rsidR="00621223" w:rsidRDefault="00621223">
            <w:pPr>
              <w:spacing w:after="0" w:line="360" w:lineRule="auto"/>
              <w:rPr>
                <w:rFonts w:eastAsia="Times New Roman"/>
                <w:color w:val="000000"/>
                <w:szCs w:val="24"/>
              </w:rPr>
            </w:pPr>
            <w:r>
              <w:rPr>
                <w:rFonts w:eastAsia="Times New Roman"/>
                <w:color w:val="000000"/>
                <w:szCs w:val="24"/>
              </w:rPr>
              <w:t> </w:t>
            </w:r>
          </w:p>
        </w:tc>
      </w:tr>
      <w:tr w:rsidR="00621223" w14:paraId="299A816F" w14:textId="77777777" w:rsidTr="00621223">
        <w:trPr>
          <w:trHeight w:val="315"/>
        </w:trPr>
        <w:tc>
          <w:tcPr>
            <w:tcW w:w="3668" w:type="dxa"/>
            <w:tcBorders>
              <w:top w:val="nil"/>
              <w:left w:val="single" w:sz="4" w:space="0" w:color="auto"/>
              <w:bottom w:val="single" w:sz="4" w:space="0" w:color="auto"/>
              <w:right w:val="single" w:sz="4" w:space="0" w:color="auto"/>
            </w:tcBorders>
            <w:noWrap/>
            <w:vAlign w:val="bottom"/>
            <w:hideMark/>
          </w:tcPr>
          <w:p w14:paraId="3145F5FD" w14:textId="77777777" w:rsidR="00621223" w:rsidRDefault="00621223">
            <w:pPr>
              <w:spacing w:after="0" w:line="360" w:lineRule="auto"/>
              <w:rPr>
                <w:rFonts w:eastAsia="Times New Roman"/>
                <w:color w:val="000000"/>
                <w:szCs w:val="24"/>
              </w:rPr>
            </w:pPr>
            <w:r>
              <w:rPr>
                <w:rFonts w:eastAsia="Times New Roman"/>
                <w:color w:val="000000"/>
                <w:szCs w:val="24"/>
              </w:rPr>
              <w:t>Less: Accumulated depreciation</w:t>
            </w:r>
          </w:p>
        </w:tc>
        <w:tc>
          <w:tcPr>
            <w:tcW w:w="1444" w:type="dxa"/>
            <w:tcBorders>
              <w:top w:val="nil"/>
              <w:left w:val="nil"/>
              <w:bottom w:val="single" w:sz="4" w:space="0" w:color="auto"/>
              <w:right w:val="single" w:sz="4" w:space="0" w:color="auto"/>
            </w:tcBorders>
            <w:noWrap/>
            <w:vAlign w:val="bottom"/>
            <w:hideMark/>
          </w:tcPr>
          <w:p w14:paraId="63FAA67A" w14:textId="77777777" w:rsidR="00621223" w:rsidRDefault="00621223">
            <w:pPr>
              <w:spacing w:after="0" w:line="360" w:lineRule="auto"/>
              <w:rPr>
                <w:rFonts w:eastAsia="Times New Roman"/>
                <w:color w:val="000000"/>
                <w:szCs w:val="24"/>
                <w:u w:val="single"/>
              </w:rPr>
            </w:pPr>
            <w:r>
              <w:rPr>
                <w:rFonts w:eastAsia="Times New Roman"/>
                <w:color w:val="000000"/>
                <w:szCs w:val="24"/>
                <w:u w:val="single"/>
              </w:rPr>
              <w:t xml:space="preserve"> £      19,438 </w:t>
            </w:r>
          </w:p>
        </w:tc>
        <w:tc>
          <w:tcPr>
            <w:tcW w:w="1444" w:type="dxa"/>
            <w:tcBorders>
              <w:top w:val="nil"/>
              <w:left w:val="nil"/>
              <w:bottom w:val="single" w:sz="4" w:space="0" w:color="auto"/>
              <w:right w:val="single" w:sz="4" w:space="0" w:color="auto"/>
            </w:tcBorders>
            <w:noWrap/>
            <w:vAlign w:val="bottom"/>
            <w:hideMark/>
          </w:tcPr>
          <w:p w14:paraId="21D17FAC" w14:textId="77777777" w:rsidR="00621223" w:rsidRDefault="00621223">
            <w:pPr>
              <w:spacing w:after="0" w:line="360" w:lineRule="auto"/>
              <w:rPr>
                <w:rFonts w:eastAsia="Times New Roman"/>
                <w:color w:val="000000"/>
                <w:szCs w:val="24"/>
              </w:rPr>
            </w:pPr>
            <w:r>
              <w:rPr>
                <w:rFonts w:eastAsia="Times New Roman"/>
                <w:color w:val="000000"/>
                <w:szCs w:val="24"/>
              </w:rPr>
              <w:t xml:space="preserve"> £      16,142 </w:t>
            </w:r>
          </w:p>
        </w:tc>
        <w:tc>
          <w:tcPr>
            <w:tcW w:w="1444" w:type="dxa"/>
            <w:tcBorders>
              <w:top w:val="nil"/>
              <w:left w:val="nil"/>
              <w:bottom w:val="single" w:sz="4" w:space="0" w:color="auto"/>
              <w:right w:val="single" w:sz="4" w:space="0" w:color="auto"/>
            </w:tcBorders>
            <w:noWrap/>
            <w:vAlign w:val="bottom"/>
            <w:hideMark/>
          </w:tcPr>
          <w:p w14:paraId="7D1BABCB" w14:textId="77777777" w:rsidR="00621223" w:rsidRDefault="00621223">
            <w:pPr>
              <w:spacing w:after="0" w:line="360" w:lineRule="auto"/>
              <w:rPr>
                <w:rFonts w:eastAsia="Times New Roman"/>
                <w:color w:val="000000"/>
                <w:szCs w:val="24"/>
              </w:rPr>
            </w:pPr>
            <w:r>
              <w:rPr>
                <w:rFonts w:eastAsia="Times New Roman"/>
                <w:color w:val="000000"/>
                <w:szCs w:val="24"/>
              </w:rPr>
              <w:t> </w:t>
            </w:r>
          </w:p>
        </w:tc>
      </w:tr>
      <w:tr w:rsidR="00621223" w14:paraId="18E7DADB" w14:textId="77777777" w:rsidTr="00621223">
        <w:trPr>
          <w:trHeight w:val="315"/>
        </w:trPr>
        <w:tc>
          <w:tcPr>
            <w:tcW w:w="3668" w:type="dxa"/>
            <w:tcBorders>
              <w:top w:val="nil"/>
              <w:left w:val="single" w:sz="4" w:space="0" w:color="auto"/>
              <w:bottom w:val="single" w:sz="4" w:space="0" w:color="auto"/>
              <w:right w:val="single" w:sz="4" w:space="0" w:color="auto"/>
            </w:tcBorders>
            <w:noWrap/>
            <w:vAlign w:val="bottom"/>
            <w:hideMark/>
          </w:tcPr>
          <w:p w14:paraId="27644E60" w14:textId="77777777" w:rsidR="00621223" w:rsidRDefault="00621223">
            <w:pPr>
              <w:spacing w:after="0" w:line="360" w:lineRule="auto"/>
              <w:rPr>
                <w:rFonts w:eastAsia="Times New Roman"/>
                <w:color w:val="000000"/>
                <w:szCs w:val="24"/>
              </w:rPr>
            </w:pPr>
            <w:r>
              <w:rPr>
                <w:rFonts w:eastAsia="Times New Roman"/>
                <w:color w:val="000000"/>
                <w:szCs w:val="24"/>
              </w:rPr>
              <w:t>Shop Fittings</w:t>
            </w:r>
          </w:p>
        </w:tc>
        <w:tc>
          <w:tcPr>
            <w:tcW w:w="1444" w:type="dxa"/>
            <w:tcBorders>
              <w:top w:val="nil"/>
              <w:left w:val="nil"/>
              <w:bottom w:val="single" w:sz="4" w:space="0" w:color="auto"/>
              <w:right w:val="single" w:sz="4" w:space="0" w:color="auto"/>
            </w:tcBorders>
            <w:noWrap/>
            <w:vAlign w:val="bottom"/>
            <w:hideMark/>
          </w:tcPr>
          <w:p w14:paraId="4E1F848D" w14:textId="77777777" w:rsidR="00621223" w:rsidRDefault="00621223">
            <w:pPr>
              <w:spacing w:after="0" w:line="360" w:lineRule="auto"/>
              <w:rPr>
                <w:rFonts w:eastAsia="Times New Roman"/>
                <w:color w:val="000000"/>
                <w:szCs w:val="24"/>
              </w:rPr>
            </w:pPr>
            <w:r>
              <w:rPr>
                <w:rFonts w:eastAsia="Times New Roman"/>
                <w:color w:val="000000"/>
                <w:szCs w:val="24"/>
              </w:rPr>
              <w:t xml:space="preserve"> £      12,200 </w:t>
            </w:r>
          </w:p>
        </w:tc>
        <w:tc>
          <w:tcPr>
            <w:tcW w:w="1444" w:type="dxa"/>
            <w:tcBorders>
              <w:top w:val="nil"/>
              <w:left w:val="nil"/>
              <w:bottom w:val="single" w:sz="4" w:space="0" w:color="auto"/>
              <w:right w:val="single" w:sz="4" w:space="0" w:color="auto"/>
            </w:tcBorders>
            <w:noWrap/>
            <w:vAlign w:val="bottom"/>
            <w:hideMark/>
          </w:tcPr>
          <w:p w14:paraId="2A2D0099" w14:textId="77777777" w:rsidR="00621223" w:rsidRDefault="00621223">
            <w:pPr>
              <w:spacing w:after="0" w:line="360" w:lineRule="auto"/>
              <w:rPr>
                <w:rFonts w:eastAsia="Times New Roman"/>
                <w:color w:val="000000"/>
                <w:szCs w:val="24"/>
              </w:rPr>
            </w:pPr>
            <w:r>
              <w:rPr>
                <w:rFonts w:eastAsia="Times New Roman"/>
                <w:color w:val="000000"/>
                <w:szCs w:val="24"/>
              </w:rPr>
              <w:t> </w:t>
            </w:r>
          </w:p>
        </w:tc>
        <w:tc>
          <w:tcPr>
            <w:tcW w:w="1444" w:type="dxa"/>
            <w:tcBorders>
              <w:top w:val="nil"/>
              <w:left w:val="nil"/>
              <w:bottom w:val="single" w:sz="4" w:space="0" w:color="auto"/>
              <w:right w:val="single" w:sz="4" w:space="0" w:color="auto"/>
            </w:tcBorders>
            <w:noWrap/>
            <w:vAlign w:val="bottom"/>
            <w:hideMark/>
          </w:tcPr>
          <w:p w14:paraId="1B7CAC3A" w14:textId="77777777" w:rsidR="00621223" w:rsidRDefault="00621223">
            <w:pPr>
              <w:spacing w:after="0" w:line="360" w:lineRule="auto"/>
              <w:rPr>
                <w:rFonts w:eastAsia="Times New Roman"/>
                <w:color w:val="000000"/>
                <w:szCs w:val="24"/>
              </w:rPr>
            </w:pPr>
            <w:r>
              <w:rPr>
                <w:rFonts w:eastAsia="Times New Roman"/>
                <w:color w:val="000000"/>
                <w:szCs w:val="24"/>
              </w:rPr>
              <w:t> </w:t>
            </w:r>
          </w:p>
        </w:tc>
      </w:tr>
      <w:tr w:rsidR="00621223" w14:paraId="61B9C9B9" w14:textId="77777777" w:rsidTr="00621223">
        <w:trPr>
          <w:trHeight w:val="315"/>
        </w:trPr>
        <w:tc>
          <w:tcPr>
            <w:tcW w:w="3668" w:type="dxa"/>
            <w:tcBorders>
              <w:top w:val="nil"/>
              <w:left w:val="single" w:sz="4" w:space="0" w:color="auto"/>
              <w:bottom w:val="single" w:sz="4" w:space="0" w:color="auto"/>
              <w:right w:val="single" w:sz="4" w:space="0" w:color="auto"/>
            </w:tcBorders>
            <w:noWrap/>
            <w:vAlign w:val="bottom"/>
            <w:hideMark/>
          </w:tcPr>
          <w:p w14:paraId="11C3B65D" w14:textId="77777777" w:rsidR="00621223" w:rsidRDefault="00621223">
            <w:pPr>
              <w:spacing w:after="0" w:line="360" w:lineRule="auto"/>
              <w:rPr>
                <w:rFonts w:eastAsia="Times New Roman"/>
                <w:color w:val="000000"/>
                <w:szCs w:val="24"/>
              </w:rPr>
            </w:pPr>
            <w:r>
              <w:rPr>
                <w:rFonts w:eastAsia="Times New Roman"/>
                <w:color w:val="000000"/>
                <w:szCs w:val="24"/>
              </w:rPr>
              <w:t>Less: Accumulated depreciation</w:t>
            </w:r>
          </w:p>
        </w:tc>
        <w:tc>
          <w:tcPr>
            <w:tcW w:w="1444" w:type="dxa"/>
            <w:tcBorders>
              <w:top w:val="nil"/>
              <w:left w:val="nil"/>
              <w:bottom w:val="single" w:sz="4" w:space="0" w:color="auto"/>
              <w:right w:val="single" w:sz="4" w:space="0" w:color="auto"/>
            </w:tcBorders>
            <w:noWrap/>
            <w:vAlign w:val="bottom"/>
            <w:hideMark/>
          </w:tcPr>
          <w:p w14:paraId="1C37C71C" w14:textId="77777777" w:rsidR="00621223" w:rsidRDefault="00621223">
            <w:pPr>
              <w:spacing w:after="0" w:line="360" w:lineRule="auto"/>
              <w:rPr>
                <w:rFonts w:eastAsia="Times New Roman"/>
                <w:color w:val="000000"/>
                <w:szCs w:val="24"/>
                <w:u w:val="single"/>
              </w:rPr>
            </w:pPr>
            <w:r>
              <w:rPr>
                <w:rFonts w:eastAsia="Times New Roman"/>
                <w:color w:val="000000"/>
                <w:szCs w:val="24"/>
                <w:u w:val="single"/>
              </w:rPr>
              <w:t xml:space="preserve"> £        8,540 </w:t>
            </w:r>
          </w:p>
        </w:tc>
        <w:tc>
          <w:tcPr>
            <w:tcW w:w="1444" w:type="dxa"/>
            <w:tcBorders>
              <w:top w:val="nil"/>
              <w:left w:val="nil"/>
              <w:bottom w:val="single" w:sz="4" w:space="0" w:color="auto"/>
              <w:right w:val="single" w:sz="4" w:space="0" w:color="auto"/>
            </w:tcBorders>
            <w:noWrap/>
            <w:vAlign w:val="bottom"/>
            <w:hideMark/>
          </w:tcPr>
          <w:p w14:paraId="22DE2EED" w14:textId="77777777" w:rsidR="00621223" w:rsidRDefault="00621223">
            <w:pPr>
              <w:spacing w:after="0" w:line="360" w:lineRule="auto"/>
              <w:rPr>
                <w:rFonts w:eastAsia="Times New Roman"/>
                <w:color w:val="000000"/>
                <w:szCs w:val="24"/>
              </w:rPr>
            </w:pPr>
            <w:r>
              <w:rPr>
                <w:rFonts w:eastAsia="Times New Roman"/>
                <w:color w:val="000000"/>
                <w:szCs w:val="24"/>
              </w:rPr>
              <w:t xml:space="preserve"> £        3,660 </w:t>
            </w:r>
          </w:p>
        </w:tc>
        <w:tc>
          <w:tcPr>
            <w:tcW w:w="1444" w:type="dxa"/>
            <w:tcBorders>
              <w:top w:val="nil"/>
              <w:left w:val="nil"/>
              <w:bottom w:val="single" w:sz="4" w:space="0" w:color="auto"/>
              <w:right w:val="single" w:sz="4" w:space="0" w:color="auto"/>
            </w:tcBorders>
            <w:noWrap/>
            <w:vAlign w:val="bottom"/>
            <w:hideMark/>
          </w:tcPr>
          <w:p w14:paraId="40BB04F4" w14:textId="77777777" w:rsidR="00621223" w:rsidRDefault="00621223">
            <w:pPr>
              <w:spacing w:after="0" w:line="360" w:lineRule="auto"/>
              <w:rPr>
                <w:rFonts w:eastAsia="Times New Roman"/>
                <w:color w:val="000000"/>
                <w:szCs w:val="24"/>
              </w:rPr>
            </w:pPr>
            <w:r>
              <w:rPr>
                <w:rFonts w:eastAsia="Times New Roman"/>
                <w:color w:val="000000"/>
                <w:szCs w:val="24"/>
              </w:rPr>
              <w:t> </w:t>
            </w:r>
          </w:p>
        </w:tc>
      </w:tr>
      <w:tr w:rsidR="00621223" w14:paraId="71C4DBCA" w14:textId="77777777" w:rsidTr="00621223">
        <w:trPr>
          <w:trHeight w:val="360"/>
        </w:trPr>
        <w:tc>
          <w:tcPr>
            <w:tcW w:w="3668" w:type="dxa"/>
            <w:tcBorders>
              <w:top w:val="nil"/>
              <w:left w:val="single" w:sz="4" w:space="0" w:color="auto"/>
              <w:bottom w:val="single" w:sz="4" w:space="0" w:color="auto"/>
              <w:right w:val="single" w:sz="4" w:space="0" w:color="auto"/>
            </w:tcBorders>
            <w:noWrap/>
            <w:vAlign w:val="bottom"/>
            <w:hideMark/>
          </w:tcPr>
          <w:p w14:paraId="2F7CAA2E" w14:textId="77777777" w:rsidR="00621223" w:rsidRDefault="00621223">
            <w:pPr>
              <w:spacing w:after="0" w:line="360" w:lineRule="auto"/>
              <w:rPr>
                <w:rFonts w:eastAsia="Times New Roman"/>
                <w:color w:val="000000"/>
                <w:szCs w:val="24"/>
              </w:rPr>
            </w:pPr>
            <w:r>
              <w:rPr>
                <w:rFonts w:eastAsia="Times New Roman"/>
                <w:color w:val="000000"/>
                <w:szCs w:val="24"/>
              </w:rPr>
              <w:t>Total non-current assets</w:t>
            </w:r>
          </w:p>
        </w:tc>
        <w:tc>
          <w:tcPr>
            <w:tcW w:w="1444" w:type="dxa"/>
            <w:tcBorders>
              <w:top w:val="nil"/>
              <w:left w:val="nil"/>
              <w:bottom w:val="single" w:sz="4" w:space="0" w:color="auto"/>
              <w:right w:val="single" w:sz="4" w:space="0" w:color="auto"/>
            </w:tcBorders>
            <w:noWrap/>
            <w:vAlign w:val="bottom"/>
            <w:hideMark/>
          </w:tcPr>
          <w:p w14:paraId="5C9976BC" w14:textId="77777777" w:rsidR="00621223" w:rsidRDefault="00621223">
            <w:pPr>
              <w:spacing w:after="0" w:line="360" w:lineRule="auto"/>
              <w:rPr>
                <w:rFonts w:eastAsia="Times New Roman"/>
                <w:color w:val="000000"/>
                <w:szCs w:val="24"/>
              </w:rPr>
            </w:pPr>
            <w:r>
              <w:rPr>
                <w:rFonts w:eastAsia="Times New Roman"/>
                <w:color w:val="000000"/>
                <w:szCs w:val="24"/>
              </w:rPr>
              <w:t> </w:t>
            </w:r>
          </w:p>
        </w:tc>
        <w:tc>
          <w:tcPr>
            <w:tcW w:w="1444" w:type="dxa"/>
            <w:tcBorders>
              <w:top w:val="nil"/>
              <w:left w:val="nil"/>
              <w:bottom w:val="single" w:sz="4" w:space="0" w:color="auto"/>
              <w:right w:val="single" w:sz="4" w:space="0" w:color="auto"/>
            </w:tcBorders>
            <w:noWrap/>
            <w:vAlign w:val="bottom"/>
            <w:hideMark/>
          </w:tcPr>
          <w:p w14:paraId="066CE3D7" w14:textId="77777777" w:rsidR="00621223" w:rsidRDefault="00621223">
            <w:pPr>
              <w:spacing w:after="0" w:line="360" w:lineRule="auto"/>
              <w:rPr>
                <w:rFonts w:eastAsia="Times New Roman"/>
                <w:color w:val="000000"/>
                <w:szCs w:val="24"/>
              </w:rPr>
            </w:pPr>
            <w:r>
              <w:rPr>
                <w:rFonts w:eastAsia="Times New Roman"/>
                <w:color w:val="000000"/>
                <w:szCs w:val="24"/>
              </w:rPr>
              <w:t> </w:t>
            </w:r>
          </w:p>
        </w:tc>
        <w:tc>
          <w:tcPr>
            <w:tcW w:w="1444" w:type="dxa"/>
            <w:tcBorders>
              <w:top w:val="nil"/>
              <w:left w:val="nil"/>
              <w:bottom w:val="single" w:sz="4" w:space="0" w:color="auto"/>
              <w:right w:val="single" w:sz="4" w:space="0" w:color="auto"/>
            </w:tcBorders>
            <w:noWrap/>
            <w:vAlign w:val="bottom"/>
            <w:hideMark/>
          </w:tcPr>
          <w:p w14:paraId="1A6D64E8" w14:textId="77777777" w:rsidR="00621223" w:rsidRDefault="00621223">
            <w:pPr>
              <w:spacing w:after="0" w:line="360" w:lineRule="auto"/>
              <w:rPr>
                <w:rFonts w:eastAsia="Times New Roman"/>
                <w:color w:val="000000"/>
                <w:szCs w:val="24"/>
                <w:u w:val="single"/>
              </w:rPr>
            </w:pPr>
            <w:r>
              <w:rPr>
                <w:rFonts w:eastAsia="Times New Roman"/>
                <w:color w:val="000000"/>
                <w:szCs w:val="24"/>
                <w:u w:val="single"/>
              </w:rPr>
              <w:t xml:space="preserve"> £      19,802 </w:t>
            </w:r>
          </w:p>
        </w:tc>
      </w:tr>
      <w:tr w:rsidR="00621223" w14:paraId="7B8CBD53" w14:textId="77777777" w:rsidTr="00621223">
        <w:trPr>
          <w:trHeight w:val="360"/>
        </w:trPr>
        <w:tc>
          <w:tcPr>
            <w:tcW w:w="3668" w:type="dxa"/>
            <w:tcBorders>
              <w:top w:val="nil"/>
              <w:left w:val="single" w:sz="4" w:space="0" w:color="auto"/>
              <w:bottom w:val="single" w:sz="4" w:space="0" w:color="auto"/>
              <w:right w:val="single" w:sz="4" w:space="0" w:color="auto"/>
            </w:tcBorders>
            <w:noWrap/>
            <w:vAlign w:val="bottom"/>
            <w:hideMark/>
          </w:tcPr>
          <w:p w14:paraId="2830C779" w14:textId="77777777" w:rsidR="00621223" w:rsidRDefault="00621223">
            <w:pPr>
              <w:spacing w:after="0" w:line="360" w:lineRule="auto"/>
              <w:rPr>
                <w:rFonts w:eastAsia="Times New Roman"/>
                <w:b/>
                <w:bCs/>
                <w:color w:val="000000"/>
                <w:szCs w:val="24"/>
              </w:rPr>
            </w:pPr>
            <w:r>
              <w:rPr>
                <w:rFonts w:eastAsia="Times New Roman"/>
                <w:b/>
                <w:bCs/>
                <w:color w:val="000000"/>
                <w:szCs w:val="24"/>
              </w:rPr>
              <w:t>Total assets</w:t>
            </w:r>
          </w:p>
        </w:tc>
        <w:tc>
          <w:tcPr>
            <w:tcW w:w="1444" w:type="dxa"/>
            <w:tcBorders>
              <w:top w:val="nil"/>
              <w:left w:val="nil"/>
              <w:bottom w:val="single" w:sz="4" w:space="0" w:color="auto"/>
              <w:right w:val="single" w:sz="4" w:space="0" w:color="auto"/>
            </w:tcBorders>
            <w:noWrap/>
            <w:vAlign w:val="bottom"/>
            <w:hideMark/>
          </w:tcPr>
          <w:p w14:paraId="726146CB" w14:textId="77777777" w:rsidR="00621223" w:rsidRDefault="00621223">
            <w:pPr>
              <w:spacing w:after="0" w:line="360" w:lineRule="auto"/>
              <w:rPr>
                <w:rFonts w:eastAsia="Times New Roman"/>
                <w:b/>
                <w:bCs/>
                <w:color w:val="000000"/>
                <w:szCs w:val="24"/>
              </w:rPr>
            </w:pPr>
            <w:r>
              <w:rPr>
                <w:rFonts w:eastAsia="Times New Roman"/>
                <w:b/>
                <w:bCs/>
                <w:color w:val="000000"/>
                <w:szCs w:val="24"/>
              </w:rPr>
              <w:t> </w:t>
            </w:r>
          </w:p>
        </w:tc>
        <w:tc>
          <w:tcPr>
            <w:tcW w:w="1444" w:type="dxa"/>
            <w:tcBorders>
              <w:top w:val="nil"/>
              <w:left w:val="nil"/>
              <w:bottom w:val="single" w:sz="4" w:space="0" w:color="auto"/>
              <w:right w:val="single" w:sz="4" w:space="0" w:color="auto"/>
            </w:tcBorders>
            <w:noWrap/>
            <w:vAlign w:val="bottom"/>
            <w:hideMark/>
          </w:tcPr>
          <w:p w14:paraId="18E5D1C9" w14:textId="77777777" w:rsidR="00621223" w:rsidRDefault="00621223">
            <w:pPr>
              <w:spacing w:after="0" w:line="360" w:lineRule="auto"/>
              <w:rPr>
                <w:rFonts w:eastAsia="Times New Roman"/>
                <w:b/>
                <w:bCs/>
                <w:color w:val="000000"/>
                <w:szCs w:val="24"/>
              </w:rPr>
            </w:pPr>
            <w:r>
              <w:rPr>
                <w:rFonts w:eastAsia="Times New Roman"/>
                <w:b/>
                <w:bCs/>
                <w:color w:val="000000"/>
                <w:szCs w:val="24"/>
              </w:rPr>
              <w:t> </w:t>
            </w:r>
          </w:p>
        </w:tc>
        <w:tc>
          <w:tcPr>
            <w:tcW w:w="1444" w:type="dxa"/>
            <w:tcBorders>
              <w:top w:val="nil"/>
              <w:left w:val="nil"/>
              <w:bottom w:val="single" w:sz="4" w:space="0" w:color="auto"/>
              <w:right w:val="single" w:sz="4" w:space="0" w:color="auto"/>
            </w:tcBorders>
            <w:noWrap/>
            <w:vAlign w:val="bottom"/>
            <w:hideMark/>
          </w:tcPr>
          <w:p w14:paraId="43ADBF32" w14:textId="77777777" w:rsidR="00621223" w:rsidRDefault="00621223">
            <w:pPr>
              <w:spacing w:after="0" w:line="360" w:lineRule="auto"/>
              <w:rPr>
                <w:rFonts w:eastAsia="Times New Roman"/>
                <w:b/>
                <w:bCs/>
                <w:color w:val="000000"/>
                <w:szCs w:val="24"/>
                <w:u w:val="double"/>
              </w:rPr>
            </w:pPr>
            <w:r>
              <w:rPr>
                <w:rFonts w:eastAsia="Times New Roman"/>
                <w:b/>
                <w:bCs/>
                <w:color w:val="000000"/>
                <w:szCs w:val="24"/>
                <w:u w:val="double"/>
              </w:rPr>
              <w:t xml:space="preserve"> £      50,928 </w:t>
            </w:r>
          </w:p>
        </w:tc>
      </w:tr>
      <w:tr w:rsidR="00621223" w14:paraId="3B563B3C" w14:textId="77777777" w:rsidTr="00621223">
        <w:trPr>
          <w:trHeight w:val="360"/>
        </w:trPr>
        <w:tc>
          <w:tcPr>
            <w:tcW w:w="3668" w:type="dxa"/>
            <w:tcBorders>
              <w:top w:val="nil"/>
              <w:left w:val="single" w:sz="4" w:space="0" w:color="auto"/>
              <w:bottom w:val="single" w:sz="4" w:space="0" w:color="auto"/>
              <w:right w:val="single" w:sz="4" w:space="0" w:color="auto"/>
            </w:tcBorders>
            <w:noWrap/>
            <w:vAlign w:val="bottom"/>
            <w:hideMark/>
          </w:tcPr>
          <w:p w14:paraId="61480306" w14:textId="77777777" w:rsidR="00621223" w:rsidRDefault="00621223">
            <w:pPr>
              <w:spacing w:after="0" w:line="360" w:lineRule="auto"/>
              <w:rPr>
                <w:rFonts w:eastAsia="Times New Roman"/>
                <w:color w:val="000000"/>
                <w:szCs w:val="24"/>
              </w:rPr>
            </w:pPr>
            <w:r>
              <w:rPr>
                <w:rFonts w:eastAsia="Times New Roman"/>
                <w:color w:val="000000"/>
                <w:szCs w:val="24"/>
              </w:rPr>
              <w:t> </w:t>
            </w:r>
          </w:p>
        </w:tc>
        <w:tc>
          <w:tcPr>
            <w:tcW w:w="1444" w:type="dxa"/>
            <w:tcBorders>
              <w:top w:val="nil"/>
              <w:left w:val="nil"/>
              <w:bottom w:val="single" w:sz="4" w:space="0" w:color="auto"/>
              <w:right w:val="single" w:sz="4" w:space="0" w:color="auto"/>
            </w:tcBorders>
            <w:noWrap/>
            <w:vAlign w:val="bottom"/>
            <w:hideMark/>
          </w:tcPr>
          <w:p w14:paraId="22A8F059" w14:textId="77777777" w:rsidR="00621223" w:rsidRDefault="00621223">
            <w:pPr>
              <w:spacing w:after="0" w:line="360" w:lineRule="auto"/>
              <w:rPr>
                <w:rFonts w:eastAsia="Times New Roman"/>
                <w:color w:val="000000"/>
                <w:szCs w:val="24"/>
              </w:rPr>
            </w:pPr>
            <w:r>
              <w:rPr>
                <w:rFonts w:eastAsia="Times New Roman"/>
                <w:color w:val="000000"/>
                <w:szCs w:val="24"/>
              </w:rPr>
              <w:t> </w:t>
            </w:r>
          </w:p>
        </w:tc>
        <w:tc>
          <w:tcPr>
            <w:tcW w:w="1444" w:type="dxa"/>
            <w:tcBorders>
              <w:top w:val="nil"/>
              <w:left w:val="nil"/>
              <w:bottom w:val="single" w:sz="4" w:space="0" w:color="auto"/>
              <w:right w:val="single" w:sz="4" w:space="0" w:color="auto"/>
            </w:tcBorders>
            <w:noWrap/>
            <w:vAlign w:val="bottom"/>
            <w:hideMark/>
          </w:tcPr>
          <w:p w14:paraId="461940C7" w14:textId="77777777" w:rsidR="00621223" w:rsidRDefault="00621223">
            <w:pPr>
              <w:spacing w:after="0" w:line="360" w:lineRule="auto"/>
              <w:rPr>
                <w:rFonts w:eastAsia="Times New Roman"/>
                <w:color w:val="000000"/>
                <w:szCs w:val="24"/>
              </w:rPr>
            </w:pPr>
            <w:r>
              <w:rPr>
                <w:rFonts w:eastAsia="Times New Roman"/>
                <w:color w:val="000000"/>
                <w:szCs w:val="24"/>
              </w:rPr>
              <w:t> </w:t>
            </w:r>
          </w:p>
        </w:tc>
        <w:tc>
          <w:tcPr>
            <w:tcW w:w="1444" w:type="dxa"/>
            <w:tcBorders>
              <w:top w:val="nil"/>
              <w:left w:val="nil"/>
              <w:bottom w:val="single" w:sz="4" w:space="0" w:color="auto"/>
              <w:right w:val="single" w:sz="4" w:space="0" w:color="auto"/>
            </w:tcBorders>
            <w:noWrap/>
            <w:vAlign w:val="bottom"/>
            <w:hideMark/>
          </w:tcPr>
          <w:p w14:paraId="51D6DFD8" w14:textId="77777777" w:rsidR="00621223" w:rsidRDefault="00621223">
            <w:pPr>
              <w:spacing w:after="0" w:line="360" w:lineRule="auto"/>
              <w:rPr>
                <w:rFonts w:eastAsia="Times New Roman"/>
                <w:color w:val="000000"/>
                <w:szCs w:val="24"/>
              </w:rPr>
            </w:pPr>
            <w:r>
              <w:rPr>
                <w:rFonts w:eastAsia="Times New Roman"/>
                <w:color w:val="000000"/>
                <w:szCs w:val="24"/>
              </w:rPr>
              <w:t> </w:t>
            </w:r>
          </w:p>
        </w:tc>
      </w:tr>
      <w:tr w:rsidR="00621223" w14:paraId="360D7E2E" w14:textId="77777777" w:rsidTr="00621223">
        <w:trPr>
          <w:trHeight w:val="315"/>
        </w:trPr>
        <w:tc>
          <w:tcPr>
            <w:tcW w:w="3668" w:type="dxa"/>
            <w:tcBorders>
              <w:top w:val="nil"/>
              <w:left w:val="single" w:sz="4" w:space="0" w:color="auto"/>
              <w:bottom w:val="single" w:sz="4" w:space="0" w:color="auto"/>
              <w:right w:val="single" w:sz="4" w:space="0" w:color="auto"/>
            </w:tcBorders>
            <w:noWrap/>
            <w:vAlign w:val="bottom"/>
            <w:hideMark/>
          </w:tcPr>
          <w:p w14:paraId="762B377F" w14:textId="77777777" w:rsidR="00621223" w:rsidRDefault="00621223">
            <w:pPr>
              <w:spacing w:after="0" w:line="360" w:lineRule="auto"/>
              <w:jc w:val="center"/>
              <w:rPr>
                <w:rFonts w:eastAsia="Times New Roman"/>
                <w:b/>
                <w:bCs/>
                <w:color w:val="000000"/>
                <w:szCs w:val="24"/>
              </w:rPr>
            </w:pPr>
            <w:r>
              <w:rPr>
                <w:rFonts w:eastAsia="Times New Roman"/>
                <w:b/>
                <w:bCs/>
                <w:color w:val="000000"/>
                <w:szCs w:val="24"/>
              </w:rPr>
              <w:lastRenderedPageBreak/>
              <w:t>LIABILITIES &amp; EQUITY</w:t>
            </w:r>
          </w:p>
        </w:tc>
        <w:tc>
          <w:tcPr>
            <w:tcW w:w="1444" w:type="dxa"/>
            <w:tcBorders>
              <w:top w:val="nil"/>
              <w:left w:val="nil"/>
              <w:bottom w:val="single" w:sz="4" w:space="0" w:color="auto"/>
              <w:right w:val="single" w:sz="4" w:space="0" w:color="auto"/>
            </w:tcBorders>
            <w:noWrap/>
            <w:vAlign w:val="bottom"/>
            <w:hideMark/>
          </w:tcPr>
          <w:p w14:paraId="72FD0702" w14:textId="77777777" w:rsidR="00621223" w:rsidRDefault="00621223">
            <w:pPr>
              <w:spacing w:after="0" w:line="360" w:lineRule="auto"/>
              <w:rPr>
                <w:rFonts w:eastAsia="Times New Roman"/>
                <w:color w:val="000000"/>
                <w:szCs w:val="24"/>
              </w:rPr>
            </w:pPr>
            <w:r>
              <w:rPr>
                <w:rFonts w:eastAsia="Times New Roman"/>
                <w:color w:val="000000"/>
                <w:szCs w:val="24"/>
              </w:rPr>
              <w:t> </w:t>
            </w:r>
          </w:p>
        </w:tc>
        <w:tc>
          <w:tcPr>
            <w:tcW w:w="1444" w:type="dxa"/>
            <w:tcBorders>
              <w:top w:val="nil"/>
              <w:left w:val="nil"/>
              <w:bottom w:val="single" w:sz="4" w:space="0" w:color="auto"/>
              <w:right w:val="single" w:sz="4" w:space="0" w:color="auto"/>
            </w:tcBorders>
            <w:noWrap/>
            <w:vAlign w:val="bottom"/>
            <w:hideMark/>
          </w:tcPr>
          <w:p w14:paraId="7002CBF0" w14:textId="77777777" w:rsidR="00621223" w:rsidRDefault="00621223">
            <w:pPr>
              <w:spacing w:after="0" w:line="360" w:lineRule="auto"/>
              <w:rPr>
                <w:rFonts w:eastAsia="Times New Roman"/>
                <w:color w:val="000000"/>
                <w:szCs w:val="24"/>
              </w:rPr>
            </w:pPr>
            <w:r>
              <w:rPr>
                <w:rFonts w:eastAsia="Times New Roman"/>
                <w:color w:val="000000"/>
                <w:szCs w:val="24"/>
              </w:rPr>
              <w:t> </w:t>
            </w:r>
          </w:p>
        </w:tc>
        <w:tc>
          <w:tcPr>
            <w:tcW w:w="1444" w:type="dxa"/>
            <w:tcBorders>
              <w:top w:val="nil"/>
              <w:left w:val="nil"/>
              <w:bottom w:val="single" w:sz="4" w:space="0" w:color="auto"/>
              <w:right w:val="single" w:sz="4" w:space="0" w:color="auto"/>
            </w:tcBorders>
            <w:noWrap/>
            <w:vAlign w:val="bottom"/>
            <w:hideMark/>
          </w:tcPr>
          <w:p w14:paraId="3656ABE7" w14:textId="77777777" w:rsidR="00621223" w:rsidRDefault="00621223">
            <w:pPr>
              <w:spacing w:after="0" w:line="360" w:lineRule="auto"/>
              <w:rPr>
                <w:rFonts w:eastAsia="Times New Roman"/>
                <w:color w:val="000000"/>
                <w:szCs w:val="24"/>
              </w:rPr>
            </w:pPr>
            <w:r>
              <w:rPr>
                <w:rFonts w:eastAsia="Times New Roman"/>
                <w:color w:val="000000"/>
                <w:szCs w:val="24"/>
              </w:rPr>
              <w:t> </w:t>
            </w:r>
          </w:p>
        </w:tc>
      </w:tr>
      <w:tr w:rsidR="00621223" w14:paraId="597D454B" w14:textId="77777777" w:rsidTr="00621223">
        <w:trPr>
          <w:trHeight w:val="315"/>
        </w:trPr>
        <w:tc>
          <w:tcPr>
            <w:tcW w:w="3668" w:type="dxa"/>
            <w:tcBorders>
              <w:top w:val="nil"/>
              <w:left w:val="single" w:sz="4" w:space="0" w:color="auto"/>
              <w:bottom w:val="single" w:sz="4" w:space="0" w:color="auto"/>
              <w:right w:val="single" w:sz="4" w:space="0" w:color="auto"/>
            </w:tcBorders>
            <w:noWrap/>
            <w:vAlign w:val="bottom"/>
            <w:hideMark/>
          </w:tcPr>
          <w:p w14:paraId="3EAE8C91" w14:textId="77777777" w:rsidR="00621223" w:rsidRDefault="00621223">
            <w:pPr>
              <w:spacing w:after="0" w:line="360" w:lineRule="auto"/>
              <w:rPr>
                <w:rFonts w:eastAsia="Times New Roman"/>
                <w:b/>
                <w:bCs/>
                <w:color w:val="000000"/>
                <w:szCs w:val="24"/>
              </w:rPr>
            </w:pPr>
            <w:r>
              <w:rPr>
                <w:rFonts w:eastAsia="Times New Roman"/>
                <w:b/>
                <w:bCs/>
                <w:color w:val="000000"/>
                <w:szCs w:val="24"/>
              </w:rPr>
              <w:t>Current liabilities</w:t>
            </w:r>
          </w:p>
        </w:tc>
        <w:tc>
          <w:tcPr>
            <w:tcW w:w="1444" w:type="dxa"/>
            <w:tcBorders>
              <w:top w:val="nil"/>
              <w:left w:val="nil"/>
              <w:bottom w:val="single" w:sz="4" w:space="0" w:color="auto"/>
              <w:right w:val="single" w:sz="4" w:space="0" w:color="auto"/>
            </w:tcBorders>
            <w:noWrap/>
            <w:vAlign w:val="bottom"/>
            <w:hideMark/>
          </w:tcPr>
          <w:p w14:paraId="4953790E" w14:textId="77777777" w:rsidR="00621223" w:rsidRDefault="00621223">
            <w:pPr>
              <w:spacing w:after="0" w:line="360" w:lineRule="auto"/>
              <w:rPr>
                <w:rFonts w:eastAsia="Times New Roman"/>
                <w:color w:val="000000"/>
                <w:szCs w:val="24"/>
              </w:rPr>
            </w:pPr>
            <w:r>
              <w:rPr>
                <w:rFonts w:eastAsia="Times New Roman"/>
                <w:color w:val="000000"/>
                <w:szCs w:val="24"/>
              </w:rPr>
              <w:t> </w:t>
            </w:r>
          </w:p>
        </w:tc>
        <w:tc>
          <w:tcPr>
            <w:tcW w:w="1444" w:type="dxa"/>
            <w:tcBorders>
              <w:top w:val="nil"/>
              <w:left w:val="nil"/>
              <w:bottom w:val="single" w:sz="4" w:space="0" w:color="auto"/>
              <w:right w:val="single" w:sz="4" w:space="0" w:color="auto"/>
            </w:tcBorders>
            <w:noWrap/>
            <w:vAlign w:val="bottom"/>
            <w:hideMark/>
          </w:tcPr>
          <w:p w14:paraId="2257FAE2" w14:textId="77777777" w:rsidR="00621223" w:rsidRDefault="00621223">
            <w:pPr>
              <w:spacing w:after="0" w:line="360" w:lineRule="auto"/>
              <w:rPr>
                <w:rFonts w:eastAsia="Times New Roman"/>
                <w:color w:val="000000"/>
                <w:szCs w:val="24"/>
              </w:rPr>
            </w:pPr>
            <w:r>
              <w:rPr>
                <w:rFonts w:eastAsia="Times New Roman"/>
                <w:color w:val="000000"/>
                <w:szCs w:val="24"/>
              </w:rPr>
              <w:t> </w:t>
            </w:r>
          </w:p>
        </w:tc>
        <w:tc>
          <w:tcPr>
            <w:tcW w:w="1444" w:type="dxa"/>
            <w:tcBorders>
              <w:top w:val="nil"/>
              <w:left w:val="nil"/>
              <w:bottom w:val="single" w:sz="4" w:space="0" w:color="auto"/>
              <w:right w:val="single" w:sz="4" w:space="0" w:color="auto"/>
            </w:tcBorders>
            <w:noWrap/>
            <w:vAlign w:val="bottom"/>
            <w:hideMark/>
          </w:tcPr>
          <w:p w14:paraId="2440800D" w14:textId="77777777" w:rsidR="00621223" w:rsidRDefault="00621223">
            <w:pPr>
              <w:spacing w:after="0" w:line="360" w:lineRule="auto"/>
              <w:rPr>
                <w:rFonts w:eastAsia="Times New Roman"/>
                <w:color w:val="000000"/>
                <w:szCs w:val="24"/>
              </w:rPr>
            </w:pPr>
            <w:r>
              <w:rPr>
                <w:rFonts w:eastAsia="Times New Roman"/>
                <w:color w:val="000000"/>
                <w:szCs w:val="24"/>
              </w:rPr>
              <w:t> </w:t>
            </w:r>
          </w:p>
        </w:tc>
      </w:tr>
      <w:tr w:rsidR="00621223" w14:paraId="65B63C64" w14:textId="77777777" w:rsidTr="00621223">
        <w:trPr>
          <w:trHeight w:val="315"/>
        </w:trPr>
        <w:tc>
          <w:tcPr>
            <w:tcW w:w="3668" w:type="dxa"/>
            <w:tcBorders>
              <w:top w:val="nil"/>
              <w:left w:val="single" w:sz="4" w:space="0" w:color="auto"/>
              <w:bottom w:val="single" w:sz="4" w:space="0" w:color="auto"/>
              <w:right w:val="single" w:sz="4" w:space="0" w:color="auto"/>
            </w:tcBorders>
            <w:noWrap/>
            <w:vAlign w:val="bottom"/>
            <w:hideMark/>
          </w:tcPr>
          <w:p w14:paraId="35D82E88" w14:textId="77777777" w:rsidR="00621223" w:rsidRDefault="00621223">
            <w:pPr>
              <w:spacing w:after="0" w:line="360" w:lineRule="auto"/>
              <w:rPr>
                <w:rFonts w:eastAsia="Times New Roman"/>
                <w:color w:val="000000"/>
                <w:szCs w:val="24"/>
              </w:rPr>
            </w:pPr>
            <w:r>
              <w:rPr>
                <w:rFonts w:eastAsia="Times New Roman"/>
                <w:color w:val="000000"/>
                <w:szCs w:val="24"/>
              </w:rPr>
              <w:t>Trade creditors/payables</w:t>
            </w:r>
          </w:p>
        </w:tc>
        <w:tc>
          <w:tcPr>
            <w:tcW w:w="1444" w:type="dxa"/>
            <w:tcBorders>
              <w:top w:val="nil"/>
              <w:left w:val="nil"/>
              <w:bottom w:val="single" w:sz="4" w:space="0" w:color="auto"/>
              <w:right w:val="single" w:sz="4" w:space="0" w:color="auto"/>
            </w:tcBorders>
            <w:noWrap/>
            <w:vAlign w:val="bottom"/>
            <w:hideMark/>
          </w:tcPr>
          <w:p w14:paraId="417DDA8B" w14:textId="77777777" w:rsidR="00621223" w:rsidRDefault="00621223">
            <w:pPr>
              <w:spacing w:after="0" w:line="360" w:lineRule="auto"/>
              <w:rPr>
                <w:rFonts w:eastAsia="Times New Roman"/>
                <w:color w:val="000000"/>
                <w:szCs w:val="24"/>
              </w:rPr>
            </w:pPr>
            <w:r>
              <w:rPr>
                <w:rFonts w:eastAsia="Times New Roman"/>
                <w:color w:val="000000"/>
                <w:szCs w:val="24"/>
              </w:rPr>
              <w:t> </w:t>
            </w:r>
          </w:p>
        </w:tc>
        <w:tc>
          <w:tcPr>
            <w:tcW w:w="1444" w:type="dxa"/>
            <w:tcBorders>
              <w:top w:val="nil"/>
              <w:left w:val="nil"/>
              <w:bottom w:val="single" w:sz="4" w:space="0" w:color="auto"/>
              <w:right w:val="single" w:sz="4" w:space="0" w:color="auto"/>
            </w:tcBorders>
            <w:noWrap/>
            <w:vAlign w:val="bottom"/>
            <w:hideMark/>
          </w:tcPr>
          <w:p w14:paraId="1435D6BF" w14:textId="77777777" w:rsidR="00621223" w:rsidRDefault="00621223">
            <w:pPr>
              <w:spacing w:after="0" w:line="360" w:lineRule="auto"/>
              <w:rPr>
                <w:rFonts w:eastAsia="Times New Roman"/>
                <w:color w:val="000000"/>
                <w:szCs w:val="24"/>
              </w:rPr>
            </w:pPr>
            <w:r>
              <w:rPr>
                <w:rFonts w:eastAsia="Times New Roman"/>
                <w:color w:val="000000"/>
                <w:szCs w:val="24"/>
              </w:rPr>
              <w:t xml:space="preserve"> £      34,420 </w:t>
            </w:r>
          </w:p>
        </w:tc>
        <w:tc>
          <w:tcPr>
            <w:tcW w:w="1444" w:type="dxa"/>
            <w:tcBorders>
              <w:top w:val="nil"/>
              <w:left w:val="nil"/>
              <w:bottom w:val="single" w:sz="4" w:space="0" w:color="auto"/>
              <w:right w:val="single" w:sz="4" w:space="0" w:color="auto"/>
            </w:tcBorders>
            <w:noWrap/>
            <w:vAlign w:val="bottom"/>
            <w:hideMark/>
          </w:tcPr>
          <w:p w14:paraId="707C2577" w14:textId="77777777" w:rsidR="00621223" w:rsidRDefault="00621223">
            <w:pPr>
              <w:spacing w:after="0" w:line="360" w:lineRule="auto"/>
              <w:rPr>
                <w:rFonts w:eastAsia="Times New Roman"/>
                <w:color w:val="000000"/>
                <w:szCs w:val="24"/>
              </w:rPr>
            </w:pPr>
            <w:r>
              <w:rPr>
                <w:rFonts w:eastAsia="Times New Roman"/>
                <w:color w:val="000000"/>
                <w:szCs w:val="24"/>
              </w:rPr>
              <w:t> </w:t>
            </w:r>
          </w:p>
        </w:tc>
      </w:tr>
      <w:tr w:rsidR="00621223" w14:paraId="12607FAD" w14:textId="77777777" w:rsidTr="00621223">
        <w:trPr>
          <w:trHeight w:val="315"/>
        </w:trPr>
        <w:tc>
          <w:tcPr>
            <w:tcW w:w="3668" w:type="dxa"/>
            <w:tcBorders>
              <w:top w:val="nil"/>
              <w:left w:val="single" w:sz="4" w:space="0" w:color="auto"/>
              <w:bottom w:val="single" w:sz="4" w:space="0" w:color="auto"/>
              <w:right w:val="single" w:sz="4" w:space="0" w:color="auto"/>
            </w:tcBorders>
            <w:noWrap/>
            <w:vAlign w:val="bottom"/>
            <w:hideMark/>
          </w:tcPr>
          <w:p w14:paraId="1B37B367" w14:textId="77777777" w:rsidR="00621223" w:rsidRDefault="00621223">
            <w:pPr>
              <w:spacing w:after="0" w:line="360" w:lineRule="auto"/>
              <w:rPr>
                <w:rFonts w:eastAsia="Times New Roman"/>
                <w:color w:val="000000"/>
                <w:szCs w:val="24"/>
              </w:rPr>
            </w:pPr>
            <w:r>
              <w:rPr>
                <w:rFonts w:eastAsia="Times New Roman"/>
                <w:color w:val="000000"/>
                <w:szCs w:val="24"/>
              </w:rPr>
              <w:t>Creditor for VAT</w:t>
            </w:r>
          </w:p>
        </w:tc>
        <w:tc>
          <w:tcPr>
            <w:tcW w:w="1444" w:type="dxa"/>
            <w:tcBorders>
              <w:top w:val="nil"/>
              <w:left w:val="nil"/>
              <w:bottom w:val="single" w:sz="4" w:space="0" w:color="auto"/>
              <w:right w:val="single" w:sz="4" w:space="0" w:color="auto"/>
            </w:tcBorders>
            <w:noWrap/>
            <w:vAlign w:val="bottom"/>
            <w:hideMark/>
          </w:tcPr>
          <w:p w14:paraId="42EA3F8C" w14:textId="77777777" w:rsidR="00621223" w:rsidRDefault="00621223">
            <w:pPr>
              <w:spacing w:after="0" w:line="360" w:lineRule="auto"/>
              <w:rPr>
                <w:rFonts w:eastAsia="Times New Roman"/>
                <w:color w:val="000000"/>
                <w:szCs w:val="24"/>
              </w:rPr>
            </w:pPr>
            <w:r>
              <w:rPr>
                <w:rFonts w:eastAsia="Times New Roman"/>
                <w:color w:val="000000"/>
                <w:szCs w:val="24"/>
              </w:rPr>
              <w:t> </w:t>
            </w:r>
          </w:p>
        </w:tc>
        <w:tc>
          <w:tcPr>
            <w:tcW w:w="1444" w:type="dxa"/>
            <w:tcBorders>
              <w:top w:val="nil"/>
              <w:left w:val="nil"/>
              <w:bottom w:val="single" w:sz="4" w:space="0" w:color="auto"/>
              <w:right w:val="single" w:sz="4" w:space="0" w:color="auto"/>
            </w:tcBorders>
            <w:noWrap/>
            <w:vAlign w:val="bottom"/>
            <w:hideMark/>
          </w:tcPr>
          <w:p w14:paraId="2F94C27D" w14:textId="77777777" w:rsidR="00621223" w:rsidRDefault="00621223">
            <w:pPr>
              <w:spacing w:after="0" w:line="360" w:lineRule="auto"/>
              <w:rPr>
                <w:rFonts w:eastAsia="Times New Roman"/>
                <w:color w:val="000000"/>
                <w:szCs w:val="24"/>
                <w:u w:val="single"/>
              </w:rPr>
            </w:pPr>
            <w:r>
              <w:rPr>
                <w:rFonts w:eastAsia="Times New Roman"/>
                <w:color w:val="000000"/>
                <w:szCs w:val="24"/>
                <w:u w:val="single"/>
              </w:rPr>
              <w:t xml:space="preserve"> £        7,729 </w:t>
            </w:r>
          </w:p>
        </w:tc>
        <w:tc>
          <w:tcPr>
            <w:tcW w:w="1444" w:type="dxa"/>
            <w:tcBorders>
              <w:top w:val="nil"/>
              <w:left w:val="nil"/>
              <w:bottom w:val="single" w:sz="4" w:space="0" w:color="auto"/>
              <w:right w:val="single" w:sz="4" w:space="0" w:color="auto"/>
            </w:tcBorders>
            <w:noWrap/>
            <w:vAlign w:val="bottom"/>
            <w:hideMark/>
          </w:tcPr>
          <w:p w14:paraId="78F60D13" w14:textId="77777777" w:rsidR="00621223" w:rsidRDefault="00621223">
            <w:pPr>
              <w:spacing w:after="0" w:line="360" w:lineRule="auto"/>
              <w:rPr>
                <w:rFonts w:eastAsia="Times New Roman"/>
                <w:color w:val="000000"/>
                <w:szCs w:val="24"/>
              </w:rPr>
            </w:pPr>
            <w:r>
              <w:rPr>
                <w:rFonts w:eastAsia="Times New Roman"/>
                <w:color w:val="000000"/>
                <w:szCs w:val="24"/>
              </w:rPr>
              <w:t> </w:t>
            </w:r>
          </w:p>
        </w:tc>
      </w:tr>
      <w:tr w:rsidR="00621223" w14:paraId="69C59862" w14:textId="77777777" w:rsidTr="00621223">
        <w:trPr>
          <w:trHeight w:val="315"/>
        </w:trPr>
        <w:tc>
          <w:tcPr>
            <w:tcW w:w="3668" w:type="dxa"/>
            <w:tcBorders>
              <w:top w:val="nil"/>
              <w:left w:val="single" w:sz="4" w:space="0" w:color="auto"/>
              <w:bottom w:val="single" w:sz="4" w:space="0" w:color="auto"/>
              <w:right w:val="single" w:sz="4" w:space="0" w:color="auto"/>
            </w:tcBorders>
            <w:noWrap/>
            <w:vAlign w:val="bottom"/>
            <w:hideMark/>
          </w:tcPr>
          <w:p w14:paraId="1B0EC75F" w14:textId="77777777" w:rsidR="00621223" w:rsidRDefault="00621223">
            <w:pPr>
              <w:spacing w:after="0" w:line="360" w:lineRule="auto"/>
              <w:rPr>
                <w:rFonts w:eastAsia="Times New Roman"/>
                <w:color w:val="000000"/>
                <w:szCs w:val="24"/>
              </w:rPr>
            </w:pPr>
            <w:r>
              <w:rPr>
                <w:rFonts w:eastAsia="Times New Roman"/>
                <w:color w:val="000000"/>
                <w:szCs w:val="24"/>
              </w:rPr>
              <w:t>Total current liabilities</w:t>
            </w:r>
          </w:p>
        </w:tc>
        <w:tc>
          <w:tcPr>
            <w:tcW w:w="1444" w:type="dxa"/>
            <w:tcBorders>
              <w:top w:val="nil"/>
              <w:left w:val="nil"/>
              <w:bottom w:val="single" w:sz="4" w:space="0" w:color="auto"/>
              <w:right w:val="single" w:sz="4" w:space="0" w:color="auto"/>
            </w:tcBorders>
            <w:noWrap/>
            <w:vAlign w:val="bottom"/>
            <w:hideMark/>
          </w:tcPr>
          <w:p w14:paraId="210351D8" w14:textId="77777777" w:rsidR="00621223" w:rsidRDefault="00621223">
            <w:pPr>
              <w:spacing w:after="0" w:line="360" w:lineRule="auto"/>
              <w:rPr>
                <w:rFonts w:eastAsia="Times New Roman"/>
                <w:color w:val="000000"/>
                <w:szCs w:val="24"/>
              </w:rPr>
            </w:pPr>
            <w:r>
              <w:rPr>
                <w:rFonts w:eastAsia="Times New Roman"/>
                <w:color w:val="000000"/>
                <w:szCs w:val="24"/>
              </w:rPr>
              <w:t> </w:t>
            </w:r>
          </w:p>
        </w:tc>
        <w:tc>
          <w:tcPr>
            <w:tcW w:w="1444" w:type="dxa"/>
            <w:tcBorders>
              <w:top w:val="nil"/>
              <w:left w:val="nil"/>
              <w:bottom w:val="single" w:sz="4" w:space="0" w:color="auto"/>
              <w:right w:val="single" w:sz="4" w:space="0" w:color="auto"/>
            </w:tcBorders>
            <w:noWrap/>
            <w:vAlign w:val="bottom"/>
            <w:hideMark/>
          </w:tcPr>
          <w:p w14:paraId="17678624" w14:textId="77777777" w:rsidR="00621223" w:rsidRDefault="00621223">
            <w:pPr>
              <w:spacing w:after="0" w:line="360" w:lineRule="auto"/>
              <w:rPr>
                <w:rFonts w:eastAsia="Times New Roman"/>
                <w:color w:val="000000"/>
                <w:szCs w:val="24"/>
              </w:rPr>
            </w:pPr>
            <w:r>
              <w:rPr>
                <w:rFonts w:eastAsia="Times New Roman"/>
                <w:color w:val="000000"/>
                <w:szCs w:val="24"/>
              </w:rPr>
              <w:t> </w:t>
            </w:r>
          </w:p>
        </w:tc>
        <w:tc>
          <w:tcPr>
            <w:tcW w:w="1444" w:type="dxa"/>
            <w:tcBorders>
              <w:top w:val="nil"/>
              <w:left w:val="nil"/>
              <w:bottom w:val="single" w:sz="4" w:space="0" w:color="auto"/>
              <w:right w:val="single" w:sz="4" w:space="0" w:color="auto"/>
            </w:tcBorders>
            <w:noWrap/>
            <w:vAlign w:val="bottom"/>
            <w:hideMark/>
          </w:tcPr>
          <w:p w14:paraId="7991CF2B" w14:textId="77777777" w:rsidR="00621223" w:rsidRDefault="00621223">
            <w:pPr>
              <w:spacing w:after="0" w:line="360" w:lineRule="auto"/>
              <w:rPr>
                <w:rFonts w:eastAsia="Times New Roman"/>
                <w:color w:val="000000"/>
                <w:szCs w:val="24"/>
              </w:rPr>
            </w:pPr>
            <w:r>
              <w:rPr>
                <w:rFonts w:eastAsia="Times New Roman"/>
                <w:color w:val="000000"/>
                <w:szCs w:val="24"/>
              </w:rPr>
              <w:t xml:space="preserve"> £      42,149 </w:t>
            </w:r>
          </w:p>
        </w:tc>
      </w:tr>
      <w:tr w:rsidR="00621223" w14:paraId="1D1BF53F" w14:textId="77777777" w:rsidTr="00621223">
        <w:trPr>
          <w:trHeight w:val="315"/>
        </w:trPr>
        <w:tc>
          <w:tcPr>
            <w:tcW w:w="3668" w:type="dxa"/>
            <w:tcBorders>
              <w:top w:val="nil"/>
              <w:left w:val="single" w:sz="4" w:space="0" w:color="auto"/>
              <w:bottom w:val="single" w:sz="4" w:space="0" w:color="auto"/>
              <w:right w:val="single" w:sz="4" w:space="0" w:color="auto"/>
            </w:tcBorders>
            <w:noWrap/>
            <w:vAlign w:val="bottom"/>
            <w:hideMark/>
          </w:tcPr>
          <w:p w14:paraId="5C73D9DE" w14:textId="77777777" w:rsidR="00621223" w:rsidRDefault="00621223">
            <w:pPr>
              <w:spacing w:after="0" w:line="360" w:lineRule="auto"/>
              <w:rPr>
                <w:rFonts w:eastAsia="Times New Roman"/>
                <w:color w:val="000000"/>
                <w:szCs w:val="24"/>
              </w:rPr>
            </w:pPr>
            <w:r>
              <w:rPr>
                <w:rFonts w:eastAsia="Times New Roman"/>
                <w:color w:val="000000"/>
                <w:szCs w:val="24"/>
              </w:rPr>
              <w:t> </w:t>
            </w:r>
          </w:p>
        </w:tc>
        <w:tc>
          <w:tcPr>
            <w:tcW w:w="1444" w:type="dxa"/>
            <w:tcBorders>
              <w:top w:val="nil"/>
              <w:left w:val="nil"/>
              <w:bottom w:val="single" w:sz="4" w:space="0" w:color="auto"/>
              <w:right w:val="single" w:sz="4" w:space="0" w:color="auto"/>
            </w:tcBorders>
            <w:noWrap/>
            <w:vAlign w:val="bottom"/>
            <w:hideMark/>
          </w:tcPr>
          <w:p w14:paraId="6379F390" w14:textId="77777777" w:rsidR="00621223" w:rsidRDefault="00621223">
            <w:pPr>
              <w:spacing w:after="0" w:line="360" w:lineRule="auto"/>
              <w:rPr>
                <w:rFonts w:eastAsia="Times New Roman"/>
                <w:color w:val="000000"/>
                <w:szCs w:val="24"/>
              </w:rPr>
            </w:pPr>
            <w:r>
              <w:rPr>
                <w:rFonts w:eastAsia="Times New Roman"/>
                <w:color w:val="000000"/>
                <w:szCs w:val="24"/>
              </w:rPr>
              <w:t> </w:t>
            </w:r>
          </w:p>
        </w:tc>
        <w:tc>
          <w:tcPr>
            <w:tcW w:w="1444" w:type="dxa"/>
            <w:tcBorders>
              <w:top w:val="nil"/>
              <w:left w:val="nil"/>
              <w:bottom w:val="single" w:sz="4" w:space="0" w:color="auto"/>
              <w:right w:val="single" w:sz="4" w:space="0" w:color="auto"/>
            </w:tcBorders>
            <w:noWrap/>
            <w:vAlign w:val="bottom"/>
            <w:hideMark/>
          </w:tcPr>
          <w:p w14:paraId="5881B3F4" w14:textId="77777777" w:rsidR="00621223" w:rsidRDefault="00621223">
            <w:pPr>
              <w:spacing w:after="0" w:line="360" w:lineRule="auto"/>
              <w:rPr>
                <w:rFonts w:eastAsia="Times New Roman"/>
                <w:color w:val="000000"/>
                <w:szCs w:val="24"/>
              </w:rPr>
            </w:pPr>
            <w:r>
              <w:rPr>
                <w:rFonts w:eastAsia="Times New Roman"/>
                <w:color w:val="000000"/>
                <w:szCs w:val="24"/>
              </w:rPr>
              <w:t> </w:t>
            </w:r>
          </w:p>
        </w:tc>
        <w:tc>
          <w:tcPr>
            <w:tcW w:w="1444" w:type="dxa"/>
            <w:tcBorders>
              <w:top w:val="nil"/>
              <w:left w:val="nil"/>
              <w:bottom w:val="single" w:sz="4" w:space="0" w:color="auto"/>
              <w:right w:val="single" w:sz="4" w:space="0" w:color="auto"/>
            </w:tcBorders>
            <w:noWrap/>
            <w:vAlign w:val="bottom"/>
            <w:hideMark/>
          </w:tcPr>
          <w:p w14:paraId="02E16CEA" w14:textId="77777777" w:rsidR="00621223" w:rsidRDefault="00621223">
            <w:pPr>
              <w:spacing w:after="0" w:line="360" w:lineRule="auto"/>
              <w:rPr>
                <w:rFonts w:eastAsia="Times New Roman"/>
                <w:color w:val="000000"/>
                <w:szCs w:val="24"/>
              </w:rPr>
            </w:pPr>
            <w:r>
              <w:rPr>
                <w:rFonts w:eastAsia="Times New Roman"/>
                <w:color w:val="000000"/>
                <w:szCs w:val="24"/>
              </w:rPr>
              <w:t> </w:t>
            </w:r>
          </w:p>
        </w:tc>
      </w:tr>
      <w:tr w:rsidR="00621223" w14:paraId="39847216" w14:textId="77777777" w:rsidTr="00621223">
        <w:trPr>
          <w:trHeight w:val="315"/>
        </w:trPr>
        <w:tc>
          <w:tcPr>
            <w:tcW w:w="3668" w:type="dxa"/>
            <w:tcBorders>
              <w:top w:val="nil"/>
              <w:left w:val="single" w:sz="4" w:space="0" w:color="auto"/>
              <w:bottom w:val="single" w:sz="4" w:space="0" w:color="auto"/>
              <w:right w:val="single" w:sz="4" w:space="0" w:color="auto"/>
            </w:tcBorders>
            <w:noWrap/>
            <w:vAlign w:val="bottom"/>
            <w:hideMark/>
          </w:tcPr>
          <w:p w14:paraId="549C3A1E" w14:textId="77777777" w:rsidR="00621223" w:rsidRDefault="00621223">
            <w:pPr>
              <w:spacing w:after="0" w:line="360" w:lineRule="auto"/>
              <w:rPr>
                <w:rFonts w:eastAsia="Times New Roman"/>
                <w:b/>
                <w:bCs/>
                <w:color w:val="000000"/>
                <w:szCs w:val="24"/>
              </w:rPr>
            </w:pPr>
            <w:r>
              <w:rPr>
                <w:rFonts w:eastAsia="Times New Roman"/>
                <w:b/>
                <w:bCs/>
                <w:color w:val="000000"/>
                <w:szCs w:val="24"/>
              </w:rPr>
              <w:t>Stockholders' Equity</w:t>
            </w:r>
          </w:p>
        </w:tc>
        <w:tc>
          <w:tcPr>
            <w:tcW w:w="1444" w:type="dxa"/>
            <w:tcBorders>
              <w:top w:val="nil"/>
              <w:left w:val="nil"/>
              <w:bottom w:val="single" w:sz="4" w:space="0" w:color="auto"/>
              <w:right w:val="single" w:sz="4" w:space="0" w:color="auto"/>
            </w:tcBorders>
            <w:noWrap/>
            <w:vAlign w:val="bottom"/>
            <w:hideMark/>
          </w:tcPr>
          <w:p w14:paraId="086E85A4" w14:textId="77777777" w:rsidR="00621223" w:rsidRDefault="00621223">
            <w:pPr>
              <w:spacing w:after="0" w:line="360" w:lineRule="auto"/>
              <w:rPr>
                <w:rFonts w:eastAsia="Times New Roman"/>
                <w:color w:val="000000"/>
                <w:szCs w:val="24"/>
              </w:rPr>
            </w:pPr>
            <w:r>
              <w:rPr>
                <w:rFonts w:eastAsia="Times New Roman"/>
                <w:color w:val="000000"/>
                <w:szCs w:val="24"/>
              </w:rPr>
              <w:t> </w:t>
            </w:r>
          </w:p>
        </w:tc>
        <w:tc>
          <w:tcPr>
            <w:tcW w:w="1444" w:type="dxa"/>
            <w:tcBorders>
              <w:top w:val="nil"/>
              <w:left w:val="nil"/>
              <w:bottom w:val="single" w:sz="4" w:space="0" w:color="auto"/>
              <w:right w:val="single" w:sz="4" w:space="0" w:color="auto"/>
            </w:tcBorders>
            <w:noWrap/>
            <w:vAlign w:val="bottom"/>
            <w:hideMark/>
          </w:tcPr>
          <w:p w14:paraId="130997E8" w14:textId="77777777" w:rsidR="00621223" w:rsidRDefault="00621223">
            <w:pPr>
              <w:spacing w:after="0" w:line="360" w:lineRule="auto"/>
              <w:rPr>
                <w:rFonts w:eastAsia="Times New Roman"/>
                <w:color w:val="000000"/>
                <w:szCs w:val="24"/>
              </w:rPr>
            </w:pPr>
            <w:r>
              <w:rPr>
                <w:rFonts w:eastAsia="Times New Roman"/>
                <w:color w:val="000000"/>
                <w:szCs w:val="24"/>
              </w:rPr>
              <w:t> </w:t>
            </w:r>
          </w:p>
        </w:tc>
        <w:tc>
          <w:tcPr>
            <w:tcW w:w="1444" w:type="dxa"/>
            <w:tcBorders>
              <w:top w:val="nil"/>
              <w:left w:val="nil"/>
              <w:bottom w:val="single" w:sz="4" w:space="0" w:color="auto"/>
              <w:right w:val="single" w:sz="4" w:space="0" w:color="auto"/>
            </w:tcBorders>
            <w:noWrap/>
            <w:vAlign w:val="bottom"/>
            <w:hideMark/>
          </w:tcPr>
          <w:p w14:paraId="72156304" w14:textId="77777777" w:rsidR="00621223" w:rsidRDefault="00621223">
            <w:pPr>
              <w:spacing w:after="0" w:line="360" w:lineRule="auto"/>
              <w:rPr>
                <w:rFonts w:eastAsia="Times New Roman"/>
                <w:color w:val="000000"/>
                <w:szCs w:val="24"/>
              </w:rPr>
            </w:pPr>
            <w:r>
              <w:rPr>
                <w:rFonts w:eastAsia="Times New Roman"/>
                <w:color w:val="000000"/>
                <w:szCs w:val="24"/>
              </w:rPr>
              <w:t> </w:t>
            </w:r>
          </w:p>
        </w:tc>
      </w:tr>
      <w:tr w:rsidR="00621223" w14:paraId="15277614" w14:textId="77777777" w:rsidTr="00621223">
        <w:trPr>
          <w:trHeight w:val="315"/>
        </w:trPr>
        <w:tc>
          <w:tcPr>
            <w:tcW w:w="3668" w:type="dxa"/>
            <w:tcBorders>
              <w:top w:val="nil"/>
              <w:left w:val="single" w:sz="4" w:space="0" w:color="auto"/>
              <w:bottom w:val="single" w:sz="4" w:space="0" w:color="auto"/>
              <w:right w:val="single" w:sz="4" w:space="0" w:color="auto"/>
            </w:tcBorders>
            <w:noWrap/>
            <w:vAlign w:val="bottom"/>
            <w:hideMark/>
          </w:tcPr>
          <w:p w14:paraId="2919838B" w14:textId="77777777" w:rsidR="00621223" w:rsidRDefault="00621223">
            <w:pPr>
              <w:spacing w:after="0" w:line="360" w:lineRule="auto"/>
              <w:rPr>
                <w:rFonts w:eastAsia="Times New Roman"/>
                <w:color w:val="000000"/>
                <w:szCs w:val="24"/>
              </w:rPr>
            </w:pPr>
            <w:r>
              <w:rPr>
                <w:rFonts w:eastAsia="Times New Roman"/>
                <w:color w:val="000000"/>
                <w:szCs w:val="24"/>
              </w:rPr>
              <w:t>Capital at 1 January 2021</w:t>
            </w:r>
          </w:p>
        </w:tc>
        <w:tc>
          <w:tcPr>
            <w:tcW w:w="1444" w:type="dxa"/>
            <w:tcBorders>
              <w:top w:val="nil"/>
              <w:left w:val="nil"/>
              <w:bottom w:val="single" w:sz="4" w:space="0" w:color="auto"/>
              <w:right w:val="single" w:sz="4" w:space="0" w:color="auto"/>
            </w:tcBorders>
            <w:noWrap/>
            <w:vAlign w:val="bottom"/>
            <w:hideMark/>
          </w:tcPr>
          <w:p w14:paraId="52D84542" w14:textId="77777777" w:rsidR="00621223" w:rsidRDefault="00621223">
            <w:pPr>
              <w:spacing w:after="0" w:line="360" w:lineRule="auto"/>
              <w:rPr>
                <w:rFonts w:eastAsia="Times New Roman"/>
                <w:color w:val="000000"/>
                <w:szCs w:val="24"/>
              </w:rPr>
            </w:pPr>
            <w:r>
              <w:rPr>
                <w:rFonts w:eastAsia="Times New Roman"/>
                <w:color w:val="000000"/>
                <w:szCs w:val="24"/>
              </w:rPr>
              <w:t> </w:t>
            </w:r>
          </w:p>
        </w:tc>
        <w:tc>
          <w:tcPr>
            <w:tcW w:w="1444" w:type="dxa"/>
            <w:tcBorders>
              <w:top w:val="nil"/>
              <w:left w:val="nil"/>
              <w:bottom w:val="single" w:sz="4" w:space="0" w:color="auto"/>
              <w:right w:val="single" w:sz="4" w:space="0" w:color="auto"/>
            </w:tcBorders>
            <w:noWrap/>
            <w:vAlign w:val="bottom"/>
            <w:hideMark/>
          </w:tcPr>
          <w:p w14:paraId="4DE5E60B" w14:textId="77777777" w:rsidR="00621223" w:rsidRDefault="00621223">
            <w:pPr>
              <w:spacing w:after="0" w:line="360" w:lineRule="auto"/>
              <w:rPr>
                <w:rFonts w:eastAsia="Times New Roman"/>
                <w:color w:val="000000"/>
                <w:szCs w:val="24"/>
              </w:rPr>
            </w:pPr>
            <w:r>
              <w:rPr>
                <w:rFonts w:eastAsia="Times New Roman"/>
                <w:color w:val="000000"/>
                <w:szCs w:val="24"/>
              </w:rPr>
              <w:t xml:space="preserve"> £        4,993 </w:t>
            </w:r>
          </w:p>
        </w:tc>
        <w:tc>
          <w:tcPr>
            <w:tcW w:w="1444" w:type="dxa"/>
            <w:tcBorders>
              <w:top w:val="nil"/>
              <w:left w:val="nil"/>
              <w:bottom w:val="single" w:sz="4" w:space="0" w:color="auto"/>
              <w:right w:val="single" w:sz="4" w:space="0" w:color="auto"/>
            </w:tcBorders>
            <w:noWrap/>
            <w:vAlign w:val="bottom"/>
            <w:hideMark/>
          </w:tcPr>
          <w:p w14:paraId="07B71183" w14:textId="77777777" w:rsidR="00621223" w:rsidRDefault="00621223">
            <w:pPr>
              <w:spacing w:after="0" w:line="360" w:lineRule="auto"/>
              <w:rPr>
                <w:rFonts w:eastAsia="Times New Roman"/>
                <w:color w:val="000000"/>
                <w:szCs w:val="24"/>
              </w:rPr>
            </w:pPr>
            <w:r>
              <w:rPr>
                <w:rFonts w:eastAsia="Times New Roman"/>
                <w:color w:val="000000"/>
                <w:szCs w:val="24"/>
              </w:rPr>
              <w:t> </w:t>
            </w:r>
          </w:p>
        </w:tc>
      </w:tr>
      <w:tr w:rsidR="00621223" w14:paraId="6F1809B6" w14:textId="77777777" w:rsidTr="00621223">
        <w:trPr>
          <w:trHeight w:val="315"/>
        </w:trPr>
        <w:tc>
          <w:tcPr>
            <w:tcW w:w="3668" w:type="dxa"/>
            <w:tcBorders>
              <w:top w:val="nil"/>
              <w:left w:val="single" w:sz="4" w:space="0" w:color="auto"/>
              <w:bottom w:val="single" w:sz="4" w:space="0" w:color="auto"/>
              <w:right w:val="single" w:sz="4" w:space="0" w:color="auto"/>
            </w:tcBorders>
            <w:noWrap/>
            <w:vAlign w:val="bottom"/>
            <w:hideMark/>
          </w:tcPr>
          <w:p w14:paraId="25E9AC8B" w14:textId="77777777" w:rsidR="00621223" w:rsidRDefault="00621223">
            <w:pPr>
              <w:spacing w:after="0" w:line="360" w:lineRule="auto"/>
              <w:rPr>
                <w:rFonts w:eastAsia="Times New Roman"/>
                <w:color w:val="000000"/>
                <w:szCs w:val="24"/>
              </w:rPr>
            </w:pPr>
            <w:r>
              <w:rPr>
                <w:rFonts w:eastAsia="Times New Roman"/>
                <w:color w:val="000000"/>
                <w:szCs w:val="24"/>
              </w:rPr>
              <w:t>Add: Net income</w:t>
            </w:r>
          </w:p>
        </w:tc>
        <w:tc>
          <w:tcPr>
            <w:tcW w:w="1444" w:type="dxa"/>
            <w:tcBorders>
              <w:top w:val="nil"/>
              <w:left w:val="nil"/>
              <w:bottom w:val="single" w:sz="4" w:space="0" w:color="auto"/>
              <w:right w:val="single" w:sz="4" w:space="0" w:color="auto"/>
            </w:tcBorders>
            <w:noWrap/>
            <w:vAlign w:val="bottom"/>
            <w:hideMark/>
          </w:tcPr>
          <w:p w14:paraId="108D0AB8" w14:textId="77777777" w:rsidR="00621223" w:rsidRDefault="00621223">
            <w:pPr>
              <w:spacing w:after="0" w:line="360" w:lineRule="auto"/>
              <w:rPr>
                <w:rFonts w:eastAsia="Times New Roman"/>
                <w:color w:val="000000"/>
                <w:szCs w:val="24"/>
              </w:rPr>
            </w:pPr>
            <w:r>
              <w:rPr>
                <w:rFonts w:eastAsia="Times New Roman"/>
                <w:color w:val="000000"/>
                <w:szCs w:val="24"/>
              </w:rPr>
              <w:t> </w:t>
            </w:r>
          </w:p>
        </w:tc>
        <w:tc>
          <w:tcPr>
            <w:tcW w:w="1444" w:type="dxa"/>
            <w:tcBorders>
              <w:top w:val="nil"/>
              <w:left w:val="nil"/>
              <w:bottom w:val="single" w:sz="4" w:space="0" w:color="auto"/>
              <w:right w:val="single" w:sz="4" w:space="0" w:color="auto"/>
            </w:tcBorders>
            <w:noWrap/>
            <w:vAlign w:val="bottom"/>
            <w:hideMark/>
          </w:tcPr>
          <w:p w14:paraId="0DE0ED7E" w14:textId="77777777" w:rsidR="00621223" w:rsidRDefault="00621223">
            <w:pPr>
              <w:spacing w:after="0" w:line="360" w:lineRule="auto"/>
              <w:rPr>
                <w:rFonts w:eastAsia="Times New Roman"/>
                <w:color w:val="000000"/>
                <w:szCs w:val="24"/>
              </w:rPr>
            </w:pPr>
            <w:r>
              <w:rPr>
                <w:rFonts w:eastAsia="Times New Roman"/>
                <w:color w:val="000000"/>
                <w:szCs w:val="24"/>
              </w:rPr>
              <w:t xml:space="preserve"> £      22,056 </w:t>
            </w:r>
          </w:p>
        </w:tc>
        <w:tc>
          <w:tcPr>
            <w:tcW w:w="1444" w:type="dxa"/>
            <w:tcBorders>
              <w:top w:val="nil"/>
              <w:left w:val="nil"/>
              <w:bottom w:val="single" w:sz="4" w:space="0" w:color="auto"/>
              <w:right w:val="single" w:sz="4" w:space="0" w:color="auto"/>
            </w:tcBorders>
            <w:noWrap/>
            <w:vAlign w:val="bottom"/>
            <w:hideMark/>
          </w:tcPr>
          <w:p w14:paraId="0903BA8B" w14:textId="77777777" w:rsidR="00621223" w:rsidRDefault="00621223">
            <w:pPr>
              <w:spacing w:after="0" w:line="360" w:lineRule="auto"/>
              <w:rPr>
                <w:rFonts w:eastAsia="Times New Roman"/>
                <w:color w:val="000000"/>
                <w:szCs w:val="24"/>
              </w:rPr>
            </w:pPr>
            <w:r>
              <w:rPr>
                <w:rFonts w:eastAsia="Times New Roman"/>
                <w:color w:val="000000"/>
                <w:szCs w:val="24"/>
              </w:rPr>
              <w:t> </w:t>
            </w:r>
          </w:p>
        </w:tc>
      </w:tr>
      <w:tr w:rsidR="00621223" w14:paraId="6E9A7607" w14:textId="77777777" w:rsidTr="00621223">
        <w:trPr>
          <w:trHeight w:val="315"/>
        </w:trPr>
        <w:tc>
          <w:tcPr>
            <w:tcW w:w="3668" w:type="dxa"/>
            <w:tcBorders>
              <w:top w:val="nil"/>
              <w:left w:val="single" w:sz="4" w:space="0" w:color="auto"/>
              <w:bottom w:val="single" w:sz="4" w:space="0" w:color="auto"/>
              <w:right w:val="single" w:sz="4" w:space="0" w:color="auto"/>
            </w:tcBorders>
            <w:noWrap/>
            <w:vAlign w:val="bottom"/>
            <w:hideMark/>
          </w:tcPr>
          <w:p w14:paraId="08397332" w14:textId="77777777" w:rsidR="00621223" w:rsidRDefault="00621223">
            <w:pPr>
              <w:spacing w:after="0" w:line="360" w:lineRule="auto"/>
              <w:rPr>
                <w:rFonts w:eastAsia="Times New Roman"/>
                <w:color w:val="000000"/>
                <w:szCs w:val="24"/>
              </w:rPr>
            </w:pPr>
            <w:r>
              <w:rPr>
                <w:rFonts w:eastAsia="Times New Roman"/>
                <w:color w:val="000000"/>
                <w:szCs w:val="24"/>
              </w:rPr>
              <w:t>Less: drawings</w:t>
            </w:r>
          </w:p>
        </w:tc>
        <w:tc>
          <w:tcPr>
            <w:tcW w:w="1444" w:type="dxa"/>
            <w:tcBorders>
              <w:top w:val="nil"/>
              <w:left w:val="nil"/>
              <w:bottom w:val="single" w:sz="4" w:space="0" w:color="auto"/>
              <w:right w:val="single" w:sz="4" w:space="0" w:color="auto"/>
            </w:tcBorders>
            <w:noWrap/>
            <w:vAlign w:val="bottom"/>
            <w:hideMark/>
          </w:tcPr>
          <w:p w14:paraId="1F05042E" w14:textId="77777777" w:rsidR="00621223" w:rsidRDefault="00621223">
            <w:pPr>
              <w:spacing w:after="0" w:line="360" w:lineRule="auto"/>
              <w:rPr>
                <w:rFonts w:eastAsia="Times New Roman"/>
                <w:color w:val="000000"/>
                <w:szCs w:val="24"/>
              </w:rPr>
            </w:pPr>
            <w:r>
              <w:rPr>
                <w:rFonts w:eastAsia="Times New Roman"/>
                <w:color w:val="000000"/>
                <w:szCs w:val="24"/>
              </w:rPr>
              <w:t> </w:t>
            </w:r>
          </w:p>
        </w:tc>
        <w:tc>
          <w:tcPr>
            <w:tcW w:w="1444" w:type="dxa"/>
            <w:tcBorders>
              <w:top w:val="nil"/>
              <w:left w:val="nil"/>
              <w:bottom w:val="single" w:sz="4" w:space="0" w:color="auto"/>
              <w:right w:val="single" w:sz="4" w:space="0" w:color="auto"/>
            </w:tcBorders>
            <w:noWrap/>
            <w:vAlign w:val="bottom"/>
            <w:hideMark/>
          </w:tcPr>
          <w:p w14:paraId="1E7E2956" w14:textId="77777777" w:rsidR="00621223" w:rsidRDefault="00621223">
            <w:pPr>
              <w:spacing w:after="0" w:line="360" w:lineRule="auto"/>
              <w:rPr>
                <w:rFonts w:eastAsia="Times New Roman"/>
                <w:color w:val="000000"/>
                <w:szCs w:val="24"/>
                <w:u w:val="single"/>
              </w:rPr>
            </w:pPr>
            <w:r>
              <w:rPr>
                <w:rFonts w:eastAsia="Times New Roman"/>
                <w:color w:val="000000"/>
                <w:szCs w:val="24"/>
                <w:u w:val="single"/>
              </w:rPr>
              <w:t xml:space="preserve"> £      18,270 </w:t>
            </w:r>
          </w:p>
        </w:tc>
        <w:tc>
          <w:tcPr>
            <w:tcW w:w="1444" w:type="dxa"/>
            <w:tcBorders>
              <w:top w:val="nil"/>
              <w:left w:val="nil"/>
              <w:bottom w:val="single" w:sz="4" w:space="0" w:color="auto"/>
              <w:right w:val="single" w:sz="4" w:space="0" w:color="auto"/>
            </w:tcBorders>
            <w:noWrap/>
            <w:vAlign w:val="bottom"/>
            <w:hideMark/>
          </w:tcPr>
          <w:p w14:paraId="69048CCD" w14:textId="77777777" w:rsidR="00621223" w:rsidRDefault="00621223">
            <w:pPr>
              <w:spacing w:after="0" w:line="360" w:lineRule="auto"/>
              <w:rPr>
                <w:rFonts w:eastAsia="Times New Roman"/>
                <w:color w:val="000000"/>
                <w:szCs w:val="24"/>
              </w:rPr>
            </w:pPr>
            <w:r>
              <w:rPr>
                <w:rFonts w:eastAsia="Times New Roman"/>
                <w:color w:val="000000"/>
                <w:szCs w:val="24"/>
              </w:rPr>
              <w:t> </w:t>
            </w:r>
          </w:p>
        </w:tc>
      </w:tr>
      <w:tr w:rsidR="00621223" w14:paraId="1A2810A3" w14:textId="77777777" w:rsidTr="00621223">
        <w:trPr>
          <w:trHeight w:val="360"/>
        </w:trPr>
        <w:tc>
          <w:tcPr>
            <w:tcW w:w="3668" w:type="dxa"/>
            <w:tcBorders>
              <w:top w:val="nil"/>
              <w:left w:val="single" w:sz="4" w:space="0" w:color="auto"/>
              <w:bottom w:val="single" w:sz="4" w:space="0" w:color="auto"/>
              <w:right w:val="single" w:sz="4" w:space="0" w:color="auto"/>
            </w:tcBorders>
            <w:noWrap/>
            <w:vAlign w:val="bottom"/>
            <w:hideMark/>
          </w:tcPr>
          <w:p w14:paraId="36AED76A" w14:textId="77777777" w:rsidR="00621223" w:rsidRDefault="00621223">
            <w:pPr>
              <w:spacing w:after="0" w:line="360" w:lineRule="auto"/>
              <w:rPr>
                <w:rFonts w:eastAsia="Times New Roman"/>
                <w:color w:val="000000"/>
                <w:szCs w:val="24"/>
              </w:rPr>
            </w:pPr>
            <w:r>
              <w:rPr>
                <w:rFonts w:eastAsia="Times New Roman"/>
                <w:color w:val="000000"/>
                <w:szCs w:val="24"/>
              </w:rPr>
              <w:t>Total stockholders' equity</w:t>
            </w:r>
          </w:p>
        </w:tc>
        <w:tc>
          <w:tcPr>
            <w:tcW w:w="1444" w:type="dxa"/>
            <w:tcBorders>
              <w:top w:val="nil"/>
              <w:left w:val="nil"/>
              <w:bottom w:val="single" w:sz="4" w:space="0" w:color="auto"/>
              <w:right w:val="single" w:sz="4" w:space="0" w:color="auto"/>
            </w:tcBorders>
            <w:noWrap/>
            <w:vAlign w:val="bottom"/>
            <w:hideMark/>
          </w:tcPr>
          <w:p w14:paraId="6C8AD47F" w14:textId="77777777" w:rsidR="00621223" w:rsidRDefault="00621223">
            <w:pPr>
              <w:spacing w:after="0" w:line="360" w:lineRule="auto"/>
              <w:rPr>
                <w:rFonts w:eastAsia="Times New Roman"/>
                <w:color w:val="000000"/>
                <w:szCs w:val="24"/>
              </w:rPr>
            </w:pPr>
            <w:r>
              <w:rPr>
                <w:rFonts w:eastAsia="Times New Roman"/>
                <w:color w:val="000000"/>
                <w:szCs w:val="24"/>
              </w:rPr>
              <w:t> </w:t>
            </w:r>
          </w:p>
        </w:tc>
        <w:tc>
          <w:tcPr>
            <w:tcW w:w="1444" w:type="dxa"/>
            <w:tcBorders>
              <w:top w:val="nil"/>
              <w:left w:val="nil"/>
              <w:bottom w:val="single" w:sz="4" w:space="0" w:color="auto"/>
              <w:right w:val="single" w:sz="4" w:space="0" w:color="auto"/>
            </w:tcBorders>
            <w:noWrap/>
            <w:vAlign w:val="bottom"/>
            <w:hideMark/>
          </w:tcPr>
          <w:p w14:paraId="250707EC" w14:textId="77777777" w:rsidR="00621223" w:rsidRDefault="00621223">
            <w:pPr>
              <w:spacing w:after="0" w:line="360" w:lineRule="auto"/>
              <w:rPr>
                <w:rFonts w:eastAsia="Times New Roman"/>
                <w:color w:val="000000"/>
                <w:szCs w:val="24"/>
              </w:rPr>
            </w:pPr>
            <w:r>
              <w:rPr>
                <w:rFonts w:eastAsia="Times New Roman"/>
                <w:color w:val="000000"/>
                <w:szCs w:val="24"/>
              </w:rPr>
              <w:t> </w:t>
            </w:r>
          </w:p>
        </w:tc>
        <w:tc>
          <w:tcPr>
            <w:tcW w:w="1444" w:type="dxa"/>
            <w:tcBorders>
              <w:top w:val="nil"/>
              <w:left w:val="nil"/>
              <w:bottom w:val="single" w:sz="4" w:space="0" w:color="auto"/>
              <w:right w:val="single" w:sz="4" w:space="0" w:color="auto"/>
            </w:tcBorders>
            <w:noWrap/>
            <w:vAlign w:val="bottom"/>
            <w:hideMark/>
          </w:tcPr>
          <w:p w14:paraId="19C79EE9" w14:textId="77777777" w:rsidR="00621223" w:rsidRDefault="00621223">
            <w:pPr>
              <w:spacing w:after="0" w:line="360" w:lineRule="auto"/>
              <w:rPr>
                <w:rFonts w:eastAsia="Times New Roman"/>
                <w:color w:val="000000"/>
                <w:szCs w:val="24"/>
                <w:u w:val="single"/>
              </w:rPr>
            </w:pPr>
            <w:r>
              <w:rPr>
                <w:rFonts w:eastAsia="Times New Roman"/>
                <w:color w:val="000000"/>
                <w:szCs w:val="24"/>
                <w:u w:val="single"/>
              </w:rPr>
              <w:t xml:space="preserve"> £        8,779 </w:t>
            </w:r>
          </w:p>
        </w:tc>
      </w:tr>
      <w:tr w:rsidR="00621223" w14:paraId="5E362F14" w14:textId="77777777" w:rsidTr="00621223">
        <w:trPr>
          <w:trHeight w:val="405"/>
        </w:trPr>
        <w:tc>
          <w:tcPr>
            <w:tcW w:w="3668" w:type="dxa"/>
            <w:tcBorders>
              <w:top w:val="nil"/>
              <w:left w:val="single" w:sz="4" w:space="0" w:color="auto"/>
              <w:bottom w:val="single" w:sz="4" w:space="0" w:color="auto"/>
              <w:right w:val="single" w:sz="4" w:space="0" w:color="auto"/>
            </w:tcBorders>
            <w:noWrap/>
            <w:vAlign w:val="bottom"/>
            <w:hideMark/>
          </w:tcPr>
          <w:p w14:paraId="0E12F557" w14:textId="77777777" w:rsidR="00621223" w:rsidRDefault="00621223">
            <w:pPr>
              <w:spacing w:after="0" w:line="360" w:lineRule="auto"/>
              <w:rPr>
                <w:rFonts w:eastAsia="Times New Roman"/>
                <w:b/>
                <w:bCs/>
                <w:color w:val="000000"/>
                <w:szCs w:val="24"/>
              </w:rPr>
            </w:pPr>
            <w:r>
              <w:rPr>
                <w:rFonts w:eastAsia="Times New Roman"/>
                <w:b/>
                <w:bCs/>
                <w:color w:val="000000"/>
                <w:szCs w:val="24"/>
              </w:rPr>
              <w:t>Total liabilities &amp; Equity</w:t>
            </w:r>
          </w:p>
        </w:tc>
        <w:tc>
          <w:tcPr>
            <w:tcW w:w="1444" w:type="dxa"/>
            <w:tcBorders>
              <w:top w:val="nil"/>
              <w:left w:val="nil"/>
              <w:bottom w:val="single" w:sz="4" w:space="0" w:color="auto"/>
              <w:right w:val="single" w:sz="4" w:space="0" w:color="auto"/>
            </w:tcBorders>
            <w:noWrap/>
            <w:vAlign w:val="bottom"/>
            <w:hideMark/>
          </w:tcPr>
          <w:p w14:paraId="085ABFF5" w14:textId="77777777" w:rsidR="00621223" w:rsidRDefault="00621223">
            <w:pPr>
              <w:spacing w:after="0" w:line="360" w:lineRule="auto"/>
              <w:rPr>
                <w:rFonts w:eastAsia="Times New Roman"/>
                <w:b/>
                <w:bCs/>
                <w:color w:val="000000"/>
                <w:szCs w:val="24"/>
              </w:rPr>
            </w:pPr>
            <w:r>
              <w:rPr>
                <w:rFonts w:eastAsia="Times New Roman"/>
                <w:b/>
                <w:bCs/>
                <w:color w:val="000000"/>
                <w:szCs w:val="24"/>
              </w:rPr>
              <w:t> </w:t>
            </w:r>
          </w:p>
        </w:tc>
        <w:tc>
          <w:tcPr>
            <w:tcW w:w="1444" w:type="dxa"/>
            <w:tcBorders>
              <w:top w:val="nil"/>
              <w:left w:val="nil"/>
              <w:bottom w:val="single" w:sz="4" w:space="0" w:color="auto"/>
              <w:right w:val="single" w:sz="4" w:space="0" w:color="auto"/>
            </w:tcBorders>
            <w:noWrap/>
            <w:vAlign w:val="bottom"/>
            <w:hideMark/>
          </w:tcPr>
          <w:p w14:paraId="1C82DA12" w14:textId="77777777" w:rsidR="00621223" w:rsidRDefault="00621223">
            <w:pPr>
              <w:spacing w:after="0" w:line="360" w:lineRule="auto"/>
              <w:rPr>
                <w:rFonts w:eastAsia="Times New Roman"/>
                <w:b/>
                <w:bCs/>
                <w:color w:val="000000"/>
                <w:szCs w:val="24"/>
              </w:rPr>
            </w:pPr>
            <w:r>
              <w:rPr>
                <w:rFonts w:eastAsia="Times New Roman"/>
                <w:b/>
                <w:bCs/>
                <w:color w:val="000000"/>
                <w:szCs w:val="24"/>
              </w:rPr>
              <w:t> </w:t>
            </w:r>
          </w:p>
        </w:tc>
        <w:tc>
          <w:tcPr>
            <w:tcW w:w="1444" w:type="dxa"/>
            <w:tcBorders>
              <w:top w:val="nil"/>
              <w:left w:val="nil"/>
              <w:bottom w:val="single" w:sz="4" w:space="0" w:color="auto"/>
              <w:right w:val="single" w:sz="4" w:space="0" w:color="auto"/>
            </w:tcBorders>
            <w:noWrap/>
            <w:vAlign w:val="bottom"/>
            <w:hideMark/>
          </w:tcPr>
          <w:p w14:paraId="62F4A3A0" w14:textId="77777777" w:rsidR="00621223" w:rsidRDefault="00621223">
            <w:pPr>
              <w:spacing w:after="0" w:line="360" w:lineRule="auto"/>
              <w:rPr>
                <w:rFonts w:eastAsia="Times New Roman"/>
                <w:b/>
                <w:bCs/>
                <w:color w:val="000000"/>
                <w:szCs w:val="24"/>
                <w:u w:val="single"/>
              </w:rPr>
            </w:pPr>
            <w:r>
              <w:rPr>
                <w:rFonts w:eastAsia="Times New Roman"/>
                <w:b/>
                <w:bCs/>
                <w:color w:val="000000"/>
                <w:szCs w:val="24"/>
                <w:u w:val="single"/>
              </w:rPr>
              <w:t xml:space="preserve"> £      50,928 </w:t>
            </w:r>
          </w:p>
        </w:tc>
      </w:tr>
    </w:tbl>
    <w:p w14:paraId="5FB8F911" w14:textId="77777777" w:rsidR="00621223" w:rsidRDefault="00621223" w:rsidP="00621223">
      <w:pPr>
        <w:ind w:firstLine="0"/>
      </w:pPr>
    </w:p>
    <w:p w14:paraId="2EFEED0B" w14:textId="77777777" w:rsidR="00621223" w:rsidRDefault="00621223" w:rsidP="00621223">
      <w:pPr>
        <w:spacing w:after="0" w:line="360" w:lineRule="auto"/>
        <w:rPr>
          <w:b/>
          <w:bCs/>
          <w:i/>
          <w:iCs/>
          <w:szCs w:val="24"/>
        </w:rPr>
      </w:pPr>
      <w:r>
        <w:rPr>
          <w:b/>
          <w:bCs/>
          <w:i/>
          <w:iCs/>
          <w:szCs w:val="24"/>
        </w:rPr>
        <w:t>Workings:</w:t>
      </w:r>
    </w:p>
    <w:p w14:paraId="04D887AE" w14:textId="77777777" w:rsidR="00621223" w:rsidRDefault="00621223" w:rsidP="00621223">
      <w:pPr>
        <w:pStyle w:val="ListParagraph"/>
        <w:numPr>
          <w:ilvl w:val="0"/>
          <w:numId w:val="15"/>
        </w:numPr>
        <w:spacing w:after="0" w:line="360" w:lineRule="auto"/>
        <w:rPr>
          <w:szCs w:val="24"/>
        </w:rPr>
      </w:pPr>
      <w:r>
        <w:rPr>
          <w:szCs w:val="24"/>
        </w:rPr>
        <w:t xml:space="preserve">Trade debtors </w:t>
      </w:r>
    </w:p>
    <w:p w14:paraId="01D9D909" w14:textId="77777777" w:rsidR="00621223" w:rsidRDefault="00621223" w:rsidP="00621223">
      <w:pPr>
        <w:spacing w:after="0" w:line="360" w:lineRule="auto"/>
        <w:rPr>
          <w:szCs w:val="24"/>
        </w:rPr>
      </w:pPr>
      <w:r>
        <w:rPr>
          <w:szCs w:val="24"/>
        </w:rPr>
        <w:t xml:space="preserve">Trade debtors </w:t>
      </w:r>
      <w:r>
        <w:rPr>
          <w:szCs w:val="24"/>
        </w:rPr>
        <w:tab/>
        <w:t>= original trade debtors – bad debt</w:t>
      </w:r>
    </w:p>
    <w:p w14:paraId="1D67D1F0" w14:textId="77777777" w:rsidR="00621223" w:rsidRDefault="00621223" w:rsidP="00621223">
      <w:pPr>
        <w:spacing w:after="0" w:line="360" w:lineRule="auto"/>
        <w:ind w:left="720"/>
        <w:rPr>
          <w:rFonts w:eastAsia="Times New Roman"/>
          <w:color w:val="000000"/>
          <w:szCs w:val="24"/>
        </w:rPr>
      </w:pPr>
      <w:r>
        <w:rPr>
          <w:rFonts w:eastAsia="Times New Roman"/>
          <w:color w:val="000000"/>
          <w:szCs w:val="24"/>
        </w:rPr>
        <w:t xml:space="preserve">= 6,860 – 980 </w:t>
      </w:r>
    </w:p>
    <w:p w14:paraId="32EDA95A" w14:textId="77777777" w:rsidR="00621223" w:rsidRDefault="00621223" w:rsidP="00621223">
      <w:pPr>
        <w:spacing w:after="0" w:line="360" w:lineRule="auto"/>
        <w:ind w:left="720"/>
        <w:rPr>
          <w:szCs w:val="24"/>
        </w:rPr>
      </w:pPr>
      <w:r>
        <w:rPr>
          <w:rFonts w:eastAsia="Times New Roman"/>
          <w:color w:val="000000"/>
          <w:szCs w:val="24"/>
        </w:rPr>
        <w:t>= £5,880</w:t>
      </w:r>
    </w:p>
    <w:p w14:paraId="62869EE9" w14:textId="77777777" w:rsidR="00621223" w:rsidRDefault="00621223" w:rsidP="00621223">
      <w:pPr>
        <w:pStyle w:val="ListParagraph"/>
        <w:numPr>
          <w:ilvl w:val="0"/>
          <w:numId w:val="15"/>
        </w:numPr>
        <w:spacing w:after="0" w:line="360" w:lineRule="auto"/>
        <w:rPr>
          <w:szCs w:val="24"/>
        </w:rPr>
      </w:pPr>
      <w:r>
        <w:rPr>
          <w:szCs w:val="24"/>
        </w:rPr>
        <w:t xml:space="preserve">Accumulated </w:t>
      </w:r>
      <w:r>
        <w:rPr>
          <w:rFonts w:eastAsia="Times New Roman"/>
          <w:color w:val="000000"/>
          <w:szCs w:val="24"/>
        </w:rPr>
        <w:t>depreciation</w:t>
      </w:r>
    </w:p>
    <w:p w14:paraId="618B39D8" w14:textId="77777777" w:rsidR="00621223" w:rsidRDefault="00621223" w:rsidP="00621223">
      <w:pPr>
        <w:spacing w:after="0" w:line="360" w:lineRule="auto"/>
        <w:rPr>
          <w:rFonts w:eastAsia="Times New Roman"/>
          <w:b/>
          <w:bCs/>
          <w:color w:val="000000"/>
          <w:szCs w:val="24"/>
        </w:rPr>
      </w:pPr>
      <w:r>
        <w:rPr>
          <w:rFonts w:eastAsia="Times New Roman"/>
          <w:b/>
          <w:bCs/>
          <w:color w:val="000000"/>
          <w:szCs w:val="24"/>
        </w:rPr>
        <w:t>Delivery van</w:t>
      </w:r>
    </w:p>
    <w:p w14:paraId="3536EE35" w14:textId="77777777" w:rsidR="00621223" w:rsidRDefault="00621223" w:rsidP="00621223">
      <w:pPr>
        <w:spacing w:after="0" w:line="360" w:lineRule="auto"/>
        <w:rPr>
          <w:rFonts w:eastAsia="Times New Roman"/>
          <w:color w:val="000000"/>
          <w:szCs w:val="24"/>
        </w:rPr>
      </w:pPr>
      <w:r>
        <w:rPr>
          <w:szCs w:val="24"/>
        </w:rPr>
        <w:t xml:space="preserve">Accumulated </w:t>
      </w:r>
      <w:r>
        <w:rPr>
          <w:rFonts w:eastAsia="Times New Roman"/>
          <w:color w:val="000000"/>
          <w:szCs w:val="24"/>
        </w:rPr>
        <w:t>depreciation = 12,520 + 6,918 = £19,438</w:t>
      </w:r>
    </w:p>
    <w:p w14:paraId="175D3FD2" w14:textId="77777777" w:rsidR="00621223" w:rsidRDefault="00621223" w:rsidP="00621223">
      <w:pPr>
        <w:spacing w:after="0" w:line="360" w:lineRule="auto"/>
        <w:rPr>
          <w:rFonts w:eastAsia="Times New Roman"/>
          <w:b/>
          <w:bCs/>
          <w:color w:val="000000"/>
          <w:szCs w:val="24"/>
        </w:rPr>
      </w:pPr>
      <w:r>
        <w:rPr>
          <w:rFonts w:eastAsia="Times New Roman"/>
          <w:b/>
          <w:bCs/>
          <w:color w:val="000000"/>
          <w:szCs w:val="24"/>
        </w:rPr>
        <w:lastRenderedPageBreak/>
        <w:t>Shop fittings</w:t>
      </w:r>
    </w:p>
    <w:p w14:paraId="6F662996" w14:textId="77777777" w:rsidR="00621223" w:rsidRDefault="00621223" w:rsidP="00621223">
      <w:pPr>
        <w:spacing w:after="0" w:line="360" w:lineRule="auto"/>
        <w:rPr>
          <w:rFonts w:eastAsia="Times New Roman"/>
          <w:color w:val="000000"/>
          <w:szCs w:val="24"/>
        </w:rPr>
      </w:pPr>
      <w:r>
        <w:rPr>
          <w:szCs w:val="24"/>
        </w:rPr>
        <w:t xml:space="preserve">Accumulated </w:t>
      </w:r>
      <w:r>
        <w:rPr>
          <w:rFonts w:eastAsia="Times New Roman"/>
          <w:color w:val="000000"/>
          <w:szCs w:val="24"/>
        </w:rPr>
        <w:t>depreciation = 7,320 + 1,220 = £8,540</w:t>
      </w:r>
    </w:p>
    <w:p w14:paraId="5637E31B" w14:textId="77777777" w:rsidR="00621223" w:rsidRDefault="00621223" w:rsidP="00621223">
      <w:pPr>
        <w:ind w:firstLine="0"/>
      </w:pPr>
    </w:p>
    <w:p w14:paraId="37775FCF" w14:textId="77777777" w:rsidR="00621223" w:rsidRDefault="00621223" w:rsidP="00621223">
      <w:pPr>
        <w:ind w:firstLine="0"/>
        <w:jc w:val="center"/>
      </w:pPr>
    </w:p>
    <w:p w14:paraId="79A36961" w14:textId="77777777" w:rsidR="00621223" w:rsidRDefault="00621223" w:rsidP="00621223">
      <w:pPr>
        <w:ind w:firstLine="0"/>
        <w:jc w:val="center"/>
      </w:pPr>
    </w:p>
    <w:p w14:paraId="0D0E9EA2" w14:textId="77777777" w:rsidR="00621223" w:rsidRDefault="00621223" w:rsidP="00621223">
      <w:pPr>
        <w:ind w:firstLine="0"/>
        <w:jc w:val="center"/>
      </w:pPr>
    </w:p>
    <w:p w14:paraId="04E87204" w14:textId="77777777" w:rsidR="00621223" w:rsidRDefault="00621223" w:rsidP="00621223">
      <w:pPr>
        <w:ind w:firstLine="0"/>
        <w:jc w:val="center"/>
      </w:pPr>
    </w:p>
    <w:p w14:paraId="646AA9AA" w14:textId="77777777" w:rsidR="00621223" w:rsidRDefault="00621223" w:rsidP="00621223">
      <w:pPr>
        <w:ind w:firstLine="0"/>
        <w:jc w:val="center"/>
      </w:pPr>
    </w:p>
    <w:p w14:paraId="6AFBD105" w14:textId="77777777" w:rsidR="00621223" w:rsidRDefault="00621223" w:rsidP="00621223">
      <w:pPr>
        <w:ind w:firstLine="0"/>
        <w:jc w:val="center"/>
      </w:pPr>
    </w:p>
    <w:p w14:paraId="598EAD18" w14:textId="77777777" w:rsidR="00621223" w:rsidRDefault="00621223" w:rsidP="00621223">
      <w:pPr>
        <w:ind w:firstLine="0"/>
        <w:jc w:val="center"/>
      </w:pPr>
    </w:p>
    <w:p w14:paraId="51934A5C" w14:textId="77777777" w:rsidR="00621223" w:rsidRDefault="00621223" w:rsidP="00621223">
      <w:pPr>
        <w:ind w:firstLine="0"/>
        <w:jc w:val="center"/>
      </w:pPr>
    </w:p>
    <w:p w14:paraId="0FBEA664" w14:textId="77777777" w:rsidR="00621223" w:rsidRDefault="00621223" w:rsidP="00621223">
      <w:pPr>
        <w:ind w:firstLine="0"/>
        <w:jc w:val="center"/>
      </w:pPr>
    </w:p>
    <w:p w14:paraId="200211E3" w14:textId="77777777" w:rsidR="00621223" w:rsidRDefault="00621223" w:rsidP="00621223">
      <w:pPr>
        <w:ind w:firstLine="0"/>
        <w:jc w:val="center"/>
      </w:pPr>
    </w:p>
    <w:p w14:paraId="0A74F6DA" w14:textId="77777777" w:rsidR="00621223" w:rsidRDefault="00621223" w:rsidP="00621223">
      <w:pPr>
        <w:ind w:firstLine="0"/>
        <w:jc w:val="center"/>
      </w:pPr>
    </w:p>
    <w:p w14:paraId="442EC450" w14:textId="77777777" w:rsidR="00621223" w:rsidRDefault="00621223" w:rsidP="00621223">
      <w:pPr>
        <w:ind w:firstLine="0"/>
        <w:jc w:val="center"/>
      </w:pPr>
    </w:p>
    <w:p w14:paraId="512E16F7" w14:textId="77777777" w:rsidR="00621223" w:rsidRDefault="00621223" w:rsidP="00621223">
      <w:pPr>
        <w:ind w:firstLine="0"/>
        <w:jc w:val="center"/>
      </w:pPr>
    </w:p>
    <w:p w14:paraId="7033DCC4" w14:textId="77777777" w:rsidR="00621223" w:rsidRDefault="00621223" w:rsidP="00621223">
      <w:pPr>
        <w:ind w:firstLine="0"/>
        <w:jc w:val="center"/>
      </w:pPr>
    </w:p>
    <w:p w14:paraId="10A93FA5" w14:textId="77777777" w:rsidR="00621223" w:rsidRDefault="00621223" w:rsidP="00621223">
      <w:pPr>
        <w:ind w:firstLine="0"/>
        <w:jc w:val="center"/>
      </w:pPr>
    </w:p>
    <w:p w14:paraId="47FB5AE8" w14:textId="77777777" w:rsidR="00621223" w:rsidRDefault="00621223" w:rsidP="00621223">
      <w:pPr>
        <w:ind w:firstLine="0"/>
        <w:jc w:val="center"/>
      </w:pPr>
    </w:p>
    <w:p w14:paraId="10DB5871" w14:textId="77777777" w:rsidR="00621223" w:rsidRDefault="00621223" w:rsidP="00621223">
      <w:pPr>
        <w:ind w:firstLine="0"/>
        <w:jc w:val="center"/>
      </w:pPr>
    </w:p>
    <w:p w14:paraId="49DC9894" w14:textId="77777777" w:rsidR="00621223" w:rsidRDefault="00621223" w:rsidP="00621223">
      <w:pPr>
        <w:ind w:firstLine="0"/>
        <w:jc w:val="center"/>
      </w:pPr>
    </w:p>
    <w:p w14:paraId="2ED64214" w14:textId="77777777" w:rsidR="00621223" w:rsidRDefault="00621223" w:rsidP="00621223">
      <w:pPr>
        <w:ind w:firstLine="0"/>
        <w:jc w:val="center"/>
      </w:pPr>
    </w:p>
    <w:p w14:paraId="4A48D0BB" w14:textId="124D032E" w:rsidR="00F74983" w:rsidRDefault="00F74983" w:rsidP="00621223">
      <w:pPr>
        <w:ind w:firstLine="0"/>
        <w:jc w:val="center"/>
      </w:pPr>
    </w:p>
    <w:p w14:paraId="2DF3ACFE" w14:textId="77777777" w:rsidR="00621223" w:rsidRDefault="00621223" w:rsidP="00621223">
      <w:pPr>
        <w:pStyle w:val="Title"/>
        <w:ind w:firstLine="0"/>
      </w:pPr>
      <w:r>
        <w:t>Principles of Financial Accounting</w:t>
      </w:r>
    </w:p>
    <w:p w14:paraId="5BB44624" w14:textId="77777777" w:rsidR="00621223" w:rsidRDefault="00621223" w:rsidP="00845069">
      <w:pPr>
        <w:ind w:firstLine="0"/>
        <w:jc w:val="center"/>
      </w:pPr>
    </w:p>
    <w:p w14:paraId="6490E143" w14:textId="77777777" w:rsidR="00252F1F" w:rsidRPr="00252F1F" w:rsidRDefault="00252F1F" w:rsidP="00252F1F">
      <w:pPr>
        <w:spacing w:after="0"/>
      </w:pPr>
      <w:r w:rsidRPr="00252F1F">
        <w:t>Accounting principles are set rules and standards that organizations must follow when preparing, reporting, and presenting financial information. Novel accounting rules have been generated and implemented in different companies – and these rules can vary depending on the management and company policies. They are the major backbone of financial accounting (</w:t>
      </w:r>
      <w:proofErr w:type="spellStart"/>
      <w:r w:rsidRPr="00252F1F">
        <w:t>Weygandt</w:t>
      </w:r>
      <w:proofErr w:type="spellEnd"/>
      <w:r w:rsidRPr="00252F1F">
        <w:t xml:space="preserve"> et al., 2019). This paper discusses the basic accounting principles that are universal and applicable in financial accounting and their relevance.</w:t>
      </w:r>
    </w:p>
    <w:p w14:paraId="436D2631" w14:textId="77777777" w:rsidR="00252F1F" w:rsidRPr="00252F1F" w:rsidRDefault="00252F1F" w:rsidP="00252F1F">
      <w:pPr>
        <w:pStyle w:val="ListParagraph"/>
        <w:numPr>
          <w:ilvl w:val="0"/>
          <w:numId w:val="13"/>
        </w:numPr>
        <w:spacing w:after="0"/>
        <w:jc w:val="center"/>
        <w:rPr>
          <w:b/>
          <w:bCs/>
        </w:rPr>
      </w:pPr>
      <w:r w:rsidRPr="00252F1F">
        <w:rPr>
          <w:b/>
          <w:bCs/>
        </w:rPr>
        <w:t>Accrual Principle</w:t>
      </w:r>
    </w:p>
    <w:p w14:paraId="251EAEBE" w14:textId="1639D355" w:rsidR="00252F1F" w:rsidRPr="00252F1F" w:rsidRDefault="00252F1F" w:rsidP="00252F1F">
      <w:pPr>
        <w:spacing w:after="0"/>
      </w:pPr>
      <w:r w:rsidRPr="00252F1F">
        <w:t>The principle requires that all accounting transactions need to be recorded during the accounting period when such transactions happened instead of the duration when there are certain cash flows linked to them (</w:t>
      </w:r>
      <w:proofErr w:type="spellStart"/>
      <w:r w:rsidRPr="00252F1F">
        <w:t>Weygandt</w:t>
      </w:r>
      <w:proofErr w:type="spellEnd"/>
      <w:r w:rsidRPr="00252F1F">
        <w:t xml:space="preserve"> et al., 2019). This is a major accounting principle and is associated with accruals. In any financial reporting, it is a requirement that all the figures reflect what actually occurred during the accounting period and no delay or acceleration should be done as this can impact the outcome. For instance, if the principle is ignored, there is a possibility of recording an expense only when payment is made and thus some details can miss.</w:t>
      </w:r>
    </w:p>
    <w:p w14:paraId="25227BFA" w14:textId="77777777" w:rsidR="00252F1F" w:rsidRPr="00252F1F" w:rsidRDefault="00252F1F" w:rsidP="00252F1F">
      <w:pPr>
        <w:pStyle w:val="ListParagraph"/>
        <w:numPr>
          <w:ilvl w:val="0"/>
          <w:numId w:val="13"/>
        </w:numPr>
        <w:spacing w:after="0"/>
        <w:jc w:val="center"/>
        <w:rPr>
          <w:b/>
          <w:bCs/>
        </w:rPr>
      </w:pPr>
      <w:r w:rsidRPr="00252F1F">
        <w:rPr>
          <w:b/>
          <w:bCs/>
        </w:rPr>
        <w:t>Consistency Principle</w:t>
      </w:r>
    </w:p>
    <w:p w14:paraId="36FAEE34" w14:textId="77777777" w:rsidR="00252F1F" w:rsidRPr="00252F1F" w:rsidRDefault="00252F1F" w:rsidP="00252F1F">
      <w:pPr>
        <w:spacing w:after="0"/>
      </w:pPr>
      <w:r w:rsidRPr="00252F1F">
        <w:lastRenderedPageBreak/>
        <w:t>The consistency principle requires that the accounting department or bookkeeper should apply the same accounting methods and principles throughout the accounting years (</w:t>
      </w:r>
      <w:proofErr w:type="spellStart"/>
      <w:r w:rsidRPr="00252F1F">
        <w:t>Weygandt</w:t>
      </w:r>
      <w:proofErr w:type="spellEnd"/>
      <w:r w:rsidRPr="00252F1F">
        <w:t xml:space="preserve"> et al., 2019). In this way, it enhances the verification of the information by independent observers who can obtain similar results by applying the same method or principles. The principle is relevant in that it enables the comparison of financial information over successive accounting periods or years (</w:t>
      </w:r>
      <w:proofErr w:type="spellStart"/>
      <w:r w:rsidRPr="00252F1F">
        <w:t>Weygandt</w:t>
      </w:r>
      <w:proofErr w:type="spellEnd"/>
      <w:r w:rsidRPr="00252F1F">
        <w:t xml:space="preserve"> et al., 2019). At the same time, flaws or accounting errors can be detected by analyzing variation in the results or deviation from the projections earlier made during the accounting period.</w:t>
      </w:r>
    </w:p>
    <w:p w14:paraId="53910633" w14:textId="77777777" w:rsidR="00252F1F" w:rsidRPr="00252F1F" w:rsidRDefault="00252F1F" w:rsidP="00252F1F">
      <w:pPr>
        <w:pStyle w:val="ListParagraph"/>
        <w:numPr>
          <w:ilvl w:val="0"/>
          <w:numId w:val="13"/>
        </w:numPr>
        <w:spacing w:after="0"/>
        <w:jc w:val="center"/>
        <w:rPr>
          <w:b/>
          <w:bCs/>
        </w:rPr>
      </w:pPr>
      <w:r w:rsidRPr="00252F1F">
        <w:rPr>
          <w:b/>
          <w:bCs/>
        </w:rPr>
        <w:t>Conservatism Principle</w:t>
      </w:r>
    </w:p>
    <w:p w14:paraId="7DA7AD0A" w14:textId="77777777" w:rsidR="00252F1F" w:rsidRPr="00252F1F" w:rsidRDefault="00252F1F" w:rsidP="00252F1F">
      <w:pPr>
        <w:spacing w:after="0"/>
      </w:pPr>
      <w:r w:rsidRPr="00252F1F">
        <w:t>The principle requires that liabilities and expenses should be recorded as soon as possible while the assets and revenues can only be recorded when there is assurance that they will be experienced (</w:t>
      </w:r>
      <w:proofErr w:type="spellStart"/>
      <w:r w:rsidRPr="00252F1F">
        <w:t>Sahaf</w:t>
      </w:r>
      <w:proofErr w:type="spellEnd"/>
      <w:r w:rsidRPr="00252F1F">
        <w:t>, 2018). The principle may result in lower reported profits because the assets and revenue can delay. This principle is relevant in that it provides the investors an opportunity to decide whether to invest in the company based on the reported profit. At the same time, it protects the company from misstating its financial performance by recording assets and revenue that may not be realized and hence is important in enabling visibility of the company’s financial performance.</w:t>
      </w:r>
    </w:p>
    <w:p w14:paraId="24A642A9" w14:textId="77777777" w:rsidR="00252F1F" w:rsidRPr="00252F1F" w:rsidRDefault="00252F1F" w:rsidP="00252F1F">
      <w:pPr>
        <w:pStyle w:val="ListParagraph"/>
        <w:numPr>
          <w:ilvl w:val="0"/>
          <w:numId w:val="13"/>
        </w:numPr>
        <w:spacing w:after="0"/>
        <w:jc w:val="center"/>
        <w:rPr>
          <w:b/>
          <w:bCs/>
        </w:rPr>
      </w:pPr>
      <w:r w:rsidRPr="00252F1F">
        <w:rPr>
          <w:b/>
          <w:bCs/>
        </w:rPr>
        <w:t>Materiality Principle</w:t>
      </w:r>
    </w:p>
    <w:p w14:paraId="195801C6" w14:textId="77777777" w:rsidR="00252F1F" w:rsidRPr="00252F1F" w:rsidRDefault="00252F1F" w:rsidP="00252F1F">
      <w:pPr>
        <w:spacing w:after="0"/>
      </w:pPr>
      <w:r w:rsidRPr="00252F1F">
        <w:t> The principle states that all the transactions in the company should be entered into the financial accounting records to enable accurate decision-making by an individual analyzing the company’s financial statements (</w:t>
      </w:r>
      <w:proofErr w:type="spellStart"/>
      <w:r w:rsidRPr="00252F1F">
        <w:t>Sahaf</w:t>
      </w:r>
      <w:proofErr w:type="spellEnd"/>
      <w:r w:rsidRPr="00252F1F">
        <w:t xml:space="preserve">, 2018). This implies that even the small transactions incurred in the company should be recorded for reporting purposes. Materiality is relevant to the preparation of the income, profit, and loss account and assists in balancing the balance sheet. </w:t>
      </w:r>
      <w:r w:rsidRPr="00252F1F">
        <w:lastRenderedPageBreak/>
        <w:t>Without the consideration of the materiality principle, some assets or liabilities can be misrepresented and thus can impact the balance sheet because of the unrecorded transactions. Thus, there is a need to disclose all elements that are material in the financial report.</w:t>
      </w:r>
    </w:p>
    <w:p w14:paraId="6048BB21" w14:textId="77777777" w:rsidR="00252F1F" w:rsidRPr="00252F1F" w:rsidRDefault="00252F1F" w:rsidP="00252F1F">
      <w:pPr>
        <w:pStyle w:val="ListParagraph"/>
        <w:numPr>
          <w:ilvl w:val="0"/>
          <w:numId w:val="13"/>
        </w:numPr>
        <w:spacing w:after="0"/>
        <w:jc w:val="center"/>
        <w:rPr>
          <w:b/>
          <w:bCs/>
        </w:rPr>
      </w:pPr>
      <w:r w:rsidRPr="00252F1F">
        <w:rPr>
          <w:b/>
          <w:bCs/>
        </w:rPr>
        <w:t>Principle of Monetary Unit</w:t>
      </w:r>
    </w:p>
    <w:p w14:paraId="613FD5A6" w14:textId="77777777" w:rsidR="00252F1F" w:rsidRPr="00252F1F" w:rsidRDefault="00252F1F" w:rsidP="00252F1F">
      <w:pPr>
        <w:spacing w:after="0"/>
      </w:pPr>
      <w:r w:rsidRPr="00252F1F">
        <w:t>This principle demands that the accounting officer should only enter the transactions that can be quantified in terms of currency units (</w:t>
      </w:r>
      <w:proofErr w:type="spellStart"/>
      <w:r w:rsidRPr="00252F1F">
        <w:t>Sahaf</w:t>
      </w:r>
      <w:proofErr w:type="spellEnd"/>
      <w:r w:rsidRPr="00252F1F">
        <w:t>, 2018). For example, it is possible to record the price of an asset (i.e., a chair) rather than the quality of such an asset. The principle implies that money remains the common denominator of all transactions (</w:t>
      </w:r>
      <w:proofErr w:type="spellStart"/>
      <w:r w:rsidRPr="00252F1F">
        <w:t>Weygandt</w:t>
      </w:r>
      <w:proofErr w:type="spellEnd"/>
      <w:r w:rsidRPr="00252F1F">
        <w:t xml:space="preserve"> et al., 2019). This is important in that it relieves the accounting department's excessive task of estimating the value of liabilities and assets and also is significant in the computation of the total assets and liabilities.</w:t>
      </w:r>
    </w:p>
    <w:p w14:paraId="68F43A63" w14:textId="77777777" w:rsidR="00252F1F" w:rsidRPr="00252F1F" w:rsidRDefault="00252F1F" w:rsidP="00252F1F">
      <w:pPr>
        <w:pStyle w:val="ListParagraph"/>
        <w:numPr>
          <w:ilvl w:val="0"/>
          <w:numId w:val="13"/>
        </w:numPr>
        <w:spacing w:after="0"/>
        <w:jc w:val="center"/>
        <w:rPr>
          <w:b/>
          <w:bCs/>
        </w:rPr>
      </w:pPr>
      <w:r w:rsidRPr="00252F1F">
        <w:rPr>
          <w:b/>
          <w:bCs/>
        </w:rPr>
        <w:t>Going Concerned</w:t>
      </w:r>
    </w:p>
    <w:p w14:paraId="7C70D62E" w14:textId="77777777" w:rsidR="00252F1F" w:rsidRPr="00252F1F" w:rsidRDefault="00252F1F" w:rsidP="00252F1F">
      <w:pPr>
        <w:spacing w:after="0"/>
      </w:pPr>
      <w:r w:rsidRPr="00252F1F">
        <w:t>Going concerned is another fundamental concept of the financial accounting process. The concept assumes that the company will maintain its operations and transactions for foreseeable future (</w:t>
      </w:r>
      <w:proofErr w:type="spellStart"/>
      <w:r w:rsidRPr="00252F1F">
        <w:t>Weygandt</w:t>
      </w:r>
      <w:proofErr w:type="spellEnd"/>
      <w:r w:rsidRPr="00252F1F">
        <w:t xml:space="preserve"> et al., 2019). The principle is relevant in that it provides accounting officers the discretion of delaying the recording of certain expenses such as depreciation to later times. Nonetheless, all expenses should be recognized at once, and no delay is encouraged. Furthermore, </w:t>
      </w:r>
      <w:proofErr w:type="spellStart"/>
      <w:r w:rsidRPr="00252F1F">
        <w:t>Weygandt</w:t>
      </w:r>
      <w:proofErr w:type="spellEnd"/>
      <w:r w:rsidRPr="00252F1F">
        <w:t xml:space="preserve"> et al. (2019) argued that if a company is not going concerned, “… the carrying amount will not be relevant” (p.33). Therefore, going concerned is important in enhancing the relevance of the carrying amount in the financial reports.</w:t>
      </w:r>
    </w:p>
    <w:p w14:paraId="0FD5AA56" w14:textId="77777777" w:rsidR="00252F1F" w:rsidRPr="00252F1F" w:rsidRDefault="00252F1F" w:rsidP="00252F1F">
      <w:pPr>
        <w:pStyle w:val="ListParagraph"/>
        <w:numPr>
          <w:ilvl w:val="0"/>
          <w:numId w:val="13"/>
        </w:numPr>
        <w:spacing w:after="0"/>
        <w:jc w:val="center"/>
        <w:rPr>
          <w:b/>
          <w:bCs/>
        </w:rPr>
      </w:pPr>
      <w:r w:rsidRPr="00252F1F">
        <w:rPr>
          <w:b/>
          <w:bCs/>
        </w:rPr>
        <w:t>Full Disclosure Principle</w:t>
      </w:r>
    </w:p>
    <w:p w14:paraId="12F45008" w14:textId="77777777" w:rsidR="00252F1F" w:rsidRPr="00252F1F" w:rsidRDefault="00252F1F" w:rsidP="00252F1F">
      <w:pPr>
        <w:spacing w:after="0"/>
      </w:pPr>
      <w:r w:rsidRPr="00252F1F">
        <w:t>Full disclosure demands that the company should disclose all its financial accounts and transaction as required by the law (</w:t>
      </w:r>
      <w:proofErr w:type="spellStart"/>
      <w:r w:rsidRPr="00252F1F">
        <w:t>Weygandt</w:t>
      </w:r>
      <w:proofErr w:type="spellEnd"/>
      <w:r w:rsidRPr="00252F1F">
        <w:t xml:space="preserve"> et al., 2019). Any information that is likely to impact the understanding of the audience must be included in the financial. The disclosure </w:t>
      </w:r>
      <w:r w:rsidRPr="00252F1F">
        <w:lastRenderedPageBreak/>
        <w:t>principle is important for accountability and transparency and also for the taxation purpose by the government (</w:t>
      </w:r>
      <w:proofErr w:type="spellStart"/>
      <w:r w:rsidRPr="00252F1F">
        <w:t>Sahaf</w:t>
      </w:r>
      <w:proofErr w:type="spellEnd"/>
      <w:r w:rsidRPr="00252F1F">
        <w:t>, 2018). The information presented in the financial reports should mirror the actual transactions, including minor details that the public need to access. The information is also valuable for investors to make the right decision before engaging the company in any investment ventures.</w:t>
      </w:r>
    </w:p>
    <w:p w14:paraId="41AEEB85" w14:textId="77777777" w:rsidR="00252F1F" w:rsidRPr="00252F1F" w:rsidRDefault="00252F1F" w:rsidP="00252F1F">
      <w:pPr>
        <w:pStyle w:val="ListParagraph"/>
        <w:numPr>
          <w:ilvl w:val="0"/>
          <w:numId w:val="13"/>
        </w:numPr>
        <w:spacing w:after="0"/>
        <w:jc w:val="center"/>
        <w:rPr>
          <w:b/>
          <w:bCs/>
        </w:rPr>
      </w:pPr>
      <w:r w:rsidRPr="00252F1F">
        <w:rPr>
          <w:b/>
          <w:bCs/>
        </w:rPr>
        <w:t>Revenue Recognition Principle</w:t>
      </w:r>
    </w:p>
    <w:p w14:paraId="6E8E1206" w14:textId="77777777" w:rsidR="00252F1F" w:rsidRPr="00252F1F" w:rsidRDefault="00252F1F" w:rsidP="00252F1F">
      <w:pPr>
        <w:spacing w:after="0"/>
      </w:pPr>
      <w:r w:rsidRPr="00252F1F">
        <w:t>The revenue recognition concept argues that revenue should be recorded only once it has been received, and not when any related cash has been realized (</w:t>
      </w:r>
      <w:proofErr w:type="spellStart"/>
      <w:r w:rsidRPr="00252F1F">
        <w:t>Weygandt</w:t>
      </w:r>
      <w:proofErr w:type="spellEnd"/>
      <w:r w:rsidRPr="00252F1F">
        <w:t xml:space="preserve"> et al., 2019). For example, the revenue can be recorded once the company has successfully delivered goods or services to the customer, and the customer has </w:t>
      </w:r>
      <w:proofErr w:type="gramStart"/>
      <w:r w:rsidRPr="00252F1F">
        <w:t>reneged</w:t>
      </w:r>
      <w:proofErr w:type="gramEnd"/>
      <w:r w:rsidRPr="00252F1F">
        <w:t xml:space="preserve"> its payment. On the other hand, when there is no evidence that the customer can pay for the goods, such revenue should not be recorded. Such a principle is essential in preventing the company from falsifying its revenue to attract investors or please the stakeholders for personal gains such as promotion.</w:t>
      </w:r>
    </w:p>
    <w:p w14:paraId="5B565FAC" w14:textId="77777777" w:rsidR="00252F1F" w:rsidRPr="00252F1F" w:rsidRDefault="00252F1F" w:rsidP="00252F1F">
      <w:pPr>
        <w:pStyle w:val="ListParagraph"/>
        <w:numPr>
          <w:ilvl w:val="0"/>
          <w:numId w:val="13"/>
        </w:numPr>
        <w:spacing w:after="0"/>
        <w:jc w:val="center"/>
        <w:rPr>
          <w:b/>
          <w:bCs/>
        </w:rPr>
      </w:pPr>
      <w:r w:rsidRPr="00252F1F">
        <w:rPr>
          <w:b/>
          <w:bCs/>
        </w:rPr>
        <w:t>Principle of Reliability</w:t>
      </w:r>
    </w:p>
    <w:p w14:paraId="1BA12E1E" w14:textId="77777777" w:rsidR="00252F1F" w:rsidRPr="00252F1F" w:rsidRDefault="00252F1F" w:rsidP="00252F1F">
      <w:pPr>
        <w:spacing w:after="0"/>
      </w:pPr>
      <w:r w:rsidRPr="00252F1F">
        <w:t>The principle states that only transactions that have proof should be entered in accounting books (</w:t>
      </w:r>
      <w:proofErr w:type="spellStart"/>
      <w:r w:rsidRPr="00252F1F">
        <w:t>Sahaf</w:t>
      </w:r>
      <w:proofErr w:type="spellEnd"/>
      <w:r w:rsidRPr="00252F1F">
        <w:t>, 2018). For instance, the invoice from the customer is reliable evidence that an expense has been incurred and thus should be recorded. This concept is relevant, especially to the auditors who normally require evidence that supports all the transactions in the company (</w:t>
      </w:r>
      <w:proofErr w:type="spellStart"/>
      <w:r w:rsidRPr="00252F1F">
        <w:t>Sahaf</w:t>
      </w:r>
      <w:proofErr w:type="spellEnd"/>
      <w:r w:rsidRPr="00252F1F">
        <w:t>, 2018). Auditors can verify the transactions and also check whether the figures presented in the financial accounting reports match the evidence presented in transaction documents such as invoices and receipts. Additionally, reliability is important when correcting for omission or commission errors.</w:t>
      </w:r>
    </w:p>
    <w:p w14:paraId="1172E634" w14:textId="77777777" w:rsidR="00252F1F" w:rsidRPr="00252F1F" w:rsidRDefault="00252F1F" w:rsidP="00252F1F">
      <w:pPr>
        <w:pStyle w:val="ListParagraph"/>
        <w:numPr>
          <w:ilvl w:val="0"/>
          <w:numId w:val="13"/>
        </w:numPr>
        <w:spacing w:after="0"/>
        <w:jc w:val="center"/>
        <w:rPr>
          <w:b/>
          <w:bCs/>
        </w:rPr>
      </w:pPr>
      <w:r w:rsidRPr="00252F1F">
        <w:rPr>
          <w:b/>
          <w:bCs/>
        </w:rPr>
        <w:t>Matching Principle</w:t>
      </w:r>
    </w:p>
    <w:p w14:paraId="7FF6204B" w14:textId="77777777" w:rsidR="00252F1F" w:rsidRPr="00252F1F" w:rsidRDefault="00252F1F" w:rsidP="00252F1F">
      <w:pPr>
        <w:spacing w:after="0"/>
      </w:pPr>
      <w:r w:rsidRPr="00252F1F">
        <w:lastRenderedPageBreak/>
        <w:t xml:space="preserve">The matching principle is a fundamental element of accrual accounting. The concept states that organizations and accounting personnel should match the related expenses and revenues during a certain accounting period (Flood, 2015). According to Flood (2015), the matching principle is relevant in the preparation and presentation of financial information because it provided “…. </w:t>
      </w:r>
      <w:proofErr w:type="gramStart"/>
      <w:r w:rsidRPr="00252F1F">
        <w:t>The best measure of gross profit” 1(p.326).</w:t>
      </w:r>
      <w:proofErr w:type="gramEnd"/>
      <w:r w:rsidRPr="00252F1F">
        <w:t xml:space="preserve"> For example, if a company remits a commission of 5%, and realizes a profit of $50,000 at the end of the transaction period (December), it would pay $2,500 in January and record it as an expense for the financial year. Therefore, matching is necessary in enabling the reliability of the balance sheet.</w:t>
      </w:r>
    </w:p>
    <w:p w14:paraId="2041E16C" w14:textId="77777777" w:rsidR="00252F1F" w:rsidRPr="00252F1F" w:rsidRDefault="00252F1F" w:rsidP="00252F1F">
      <w:pPr>
        <w:pStyle w:val="ListParagraph"/>
        <w:numPr>
          <w:ilvl w:val="0"/>
          <w:numId w:val="13"/>
        </w:numPr>
        <w:spacing w:after="0"/>
        <w:jc w:val="center"/>
        <w:rPr>
          <w:b/>
          <w:bCs/>
        </w:rPr>
      </w:pPr>
      <w:r w:rsidRPr="00252F1F">
        <w:rPr>
          <w:b/>
          <w:bCs/>
        </w:rPr>
        <w:t>Time-Period Principle</w:t>
      </w:r>
    </w:p>
    <w:p w14:paraId="1A71AF99" w14:textId="77777777" w:rsidR="00252F1F" w:rsidRPr="00252F1F" w:rsidRDefault="00252F1F" w:rsidP="00252F1F">
      <w:pPr>
        <w:spacing w:after="0"/>
      </w:pPr>
      <w:r w:rsidRPr="00252F1F">
        <w:t>The period concept state that accountants should divide a business’s economic life into the artificial period and report financial transactions during those times consistently (</w:t>
      </w:r>
      <w:proofErr w:type="spellStart"/>
      <w:r w:rsidRPr="00252F1F">
        <w:t>Weygandt</w:t>
      </w:r>
      <w:proofErr w:type="spellEnd"/>
      <w:r w:rsidRPr="00252F1F">
        <w:t xml:space="preserve"> et al., 2019). This is the most obvious principle adopted by all businesses as they report the financial accounting information at the end of every accounting period. In most cases, the accounting period is divided into quarterly. Each quarter will report the financial transaction for that period. At the end of the financial period – usually a year, a consolidated financial statement that carries the information for the transaction quarters is prepared for a summary purpose. Additionally, the period principle is relevant when comparing the financial performance during a particular year and for successive years.</w:t>
      </w:r>
    </w:p>
    <w:p w14:paraId="166A3F60" w14:textId="77777777" w:rsidR="00252F1F" w:rsidRPr="00252F1F" w:rsidRDefault="00252F1F" w:rsidP="00252F1F">
      <w:pPr>
        <w:pStyle w:val="ListParagraph"/>
        <w:numPr>
          <w:ilvl w:val="0"/>
          <w:numId w:val="13"/>
        </w:numPr>
        <w:spacing w:after="0"/>
        <w:jc w:val="center"/>
        <w:rPr>
          <w:b/>
          <w:bCs/>
        </w:rPr>
      </w:pPr>
      <w:r w:rsidRPr="00252F1F">
        <w:rPr>
          <w:b/>
          <w:bCs/>
        </w:rPr>
        <w:t>Principle of Economic Entity</w:t>
      </w:r>
    </w:p>
    <w:p w14:paraId="050E0199" w14:textId="77777777" w:rsidR="00252F1F" w:rsidRPr="00252F1F" w:rsidRDefault="00252F1F" w:rsidP="00252F1F">
      <w:pPr>
        <w:spacing w:after="0"/>
      </w:pPr>
      <w:r w:rsidRPr="00252F1F">
        <w:t>This principle argues for the separation of the business owners from the business itself as unrelated units. In this case, the personal transaction is separated from that of the business during financial recording and reporting (</w:t>
      </w:r>
      <w:proofErr w:type="spellStart"/>
      <w:r w:rsidRPr="00252F1F">
        <w:t>Weygandt</w:t>
      </w:r>
      <w:proofErr w:type="spellEnd"/>
      <w:r w:rsidRPr="00252F1F">
        <w:t xml:space="preserve"> et al., 2019). For example, if the owner of the business makes a financial transaction that is unrelated to the business, such transactions are not </w:t>
      </w:r>
      <w:r w:rsidRPr="00252F1F">
        <w:lastRenderedPageBreak/>
        <w:t>recorded in the business’s accounting books. The principle is relevant in preventing the mixing of assets and liabilities from different entities that can cause problems during auditing.</w:t>
      </w:r>
    </w:p>
    <w:p w14:paraId="055FF525" w14:textId="77777777" w:rsidR="00252F1F" w:rsidRPr="00252F1F" w:rsidRDefault="00252F1F" w:rsidP="00252F1F">
      <w:pPr>
        <w:pStyle w:val="ListParagraph"/>
        <w:numPr>
          <w:ilvl w:val="0"/>
          <w:numId w:val="13"/>
        </w:numPr>
        <w:spacing w:after="0"/>
        <w:jc w:val="center"/>
        <w:rPr>
          <w:b/>
          <w:bCs/>
        </w:rPr>
      </w:pPr>
      <w:r w:rsidRPr="00252F1F">
        <w:rPr>
          <w:b/>
          <w:bCs/>
        </w:rPr>
        <w:t>Cost Principle</w:t>
      </w:r>
    </w:p>
    <w:p w14:paraId="4D4C4683" w14:textId="77777777" w:rsidR="00252F1F" w:rsidRPr="00252F1F" w:rsidRDefault="00252F1F" w:rsidP="00252F1F">
      <w:pPr>
        <w:spacing w:after="0"/>
      </w:pPr>
      <w:r w:rsidRPr="00252F1F">
        <w:t>This principle argues that accountants should only record equity investments, assets, and liabilities at their initial acquisition cost (Flood, 2015). Thus, if accountants entered a revaluation value of the assets and liabilities when a partner withdraws can go against the cost principle. For example, if the purchase value of a machine was $250,000 and revaluation cost $125,000, the initial purchase value is entered and not the later value. Nonetheless, the principle is becoming outdated as some accountants and auditors are considering recording the fair value and not the acquisition cost. The depreciation and appreciation can be treated as new transactions.</w:t>
      </w:r>
    </w:p>
    <w:p w14:paraId="0239E0AB" w14:textId="77777777" w:rsidR="00252F1F" w:rsidRPr="00252F1F" w:rsidRDefault="00252F1F" w:rsidP="00252F1F">
      <w:pPr>
        <w:pStyle w:val="ListParagraph"/>
        <w:numPr>
          <w:ilvl w:val="0"/>
          <w:numId w:val="13"/>
        </w:numPr>
        <w:spacing w:after="0"/>
        <w:jc w:val="center"/>
        <w:rPr>
          <w:b/>
          <w:bCs/>
        </w:rPr>
      </w:pPr>
      <w:r w:rsidRPr="00252F1F">
        <w:rPr>
          <w:b/>
          <w:bCs/>
        </w:rPr>
        <w:t>Accountability Principle</w:t>
      </w:r>
    </w:p>
    <w:p w14:paraId="016CA1C5" w14:textId="77777777" w:rsidR="00252F1F" w:rsidRPr="00252F1F" w:rsidRDefault="00252F1F" w:rsidP="00252F1F">
      <w:pPr>
        <w:spacing w:after="0"/>
      </w:pPr>
      <w:r w:rsidRPr="00252F1F">
        <w:t>The responsibility of an accounting officer is to keep the financial information of the business transparent, clear, and true (</w:t>
      </w:r>
      <w:proofErr w:type="spellStart"/>
      <w:r w:rsidRPr="00252F1F">
        <w:t>Weygandt</w:t>
      </w:r>
      <w:proofErr w:type="spellEnd"/>
      <w:r w:rsidRPr="00252F1F">
        <w:t xml:space="preserve"> et al., 2019). The accounting officer needs to ensure that financial information recorded and presented to the public is a true reflection of the actual transaction. This principle is important in that it prevents the auditors and accounting officers from falsifying information such as total assets and revenue in the company. Additionally, accountability supports the principle of revenue recognition, accruals, and reliability (</w:t>
      </w:r>
      <w:proofErr w:type="spellStart"/>
      <w:r w:rsidRPr="00252F1F">
        <w:t>Sahaf</w:t>
      </w:r>
      <w:proofErr w:type="spellEnd"/>
      <w:r w:rsidRPr="00252F1F">
        <w:t>, 2018). Therefore, these principles are applicable as the basic foundation of all financial accounting preparations and reporting.</w:t>
      </w:r>
    </w:p>
    <w:p w14:paraId="3F86A509" w14:textId="77777777" w:rsidR="00252F1F" w:rsidRPr="00252F1F" w:rsidRDefault="00252F1F" w:rsidP="00252F1F">
      <w:pPr>
        <w:spacing w:after="0"/>
      </w:pPr>
    </w:p>
    <w:p w14:paraId="2B762A06" w14:textId="77777777" w:rsidR="00252F1F" w:rsidRPr="00252F1F" w:rsidRDefault="00252F1F" w:rsidP="00252F1F">
      <w:pPr>
        <w:spacing w:after="0"/>
      </w:pPr>
    </w:p>
    <w:p w14:paraId="6F36F428" w14:textId="77777777" w:rsidR="00252F1F" w:rsidRPr="00252F1F" w:rsidRDefault="00252F1F" w:rsidP="00252F1F">
      <w:pPr>
        <w:spacing w:after="0"/>
      </w:pPr>
    </w:p>
    <w:p w14:paraId="2A41836A" w14:textId="77777777" w:rsidR="00252F1F" w:rsidRPr="00252F1F" w:rsidRDefault="00252F1F" w:rsidP="00252F1F">
      <w:pPr>
        <w:spacing w:after="0"/>
      </w:pPr>
    </w:p>
    <w:p w14:paraId="2E5B4E1A" w14:textId="77777777" w:rsidR="00252F1F" w:rsidRPr="00252F1F" w:rsidRDefault="00252F1F" w:rsidP="00252F1F">
      <w:pPr>
        <w:spacing w:after="0"/>
      </w:pPr>
    </w:p>
    <w:p w14:paraId="7FD0180E" w14:textId="77777777" w:rsidR="00252F1F" w:rsidRPr="00252F1F" w:rsidRDefault="00252F1F" w:rsidP="00252F1F">
      <w:pPr>
        <w:spacing w:after="0"/>
      </w:pPr>
    </w:p>
    <w:p w14:paraId="6D37BE67" w14:textId="77777777" w:rsidR="00252F1F" w:rsidRPr="00252F1F" w:rsidRDefault="00252F1F" w:rsidP="00252F1F">
      <w:pPr>
        <w:spacing w:after="0"/>
      </w:pPr>
    </w:p>
    <w:p w14:paraId="0E907639" w14:textId="77777777" w:rsidR="00252F1F" w:rsidRPr="00252F1F" w:rsidRDefault="00252F1F" w:rsidP="00252F1F">
      <w:pPr>
        <w:spacing w:after="0"/>
      </w:pPr>
    </w:p>
    <w:p w14:paraId="3EAA25C7" w14:textId="51409871" w:rsidR="005A1668" w:rsidRDefault="005A1668" w:rsidP="005A1668">
      <w:pPr>
        <w:spacing w:after="0"/>
      </w:pPr>
    </w:p>
    <w:p w14:paraId="53C80F52" w14:textId="460BD9CC" w:rsidR="006309E6" w:rsidRDefault="006309E6" w:rsidP="005A1668">
      <w:pPr>
        <w:spacing w:after="0"/>
      </w:pPr>
      <w:r>
        <w:br w:type="page"/>
      </w:r>
    </w:p>
    <w:p w14:paraId="3D0097D4" w14:textId="77777777" w:rsidR="00ED52F7" w:rsidRDefault="006309E6" w:rsidP="005D1091">
      <w:pPr>
        <w:pStyle w:val="Heading2"/>
        <w:spacing w:after="0"/>
      </w:pPr>
      <w:r>
        <w:lastRenderedPageBreak/>
        <w:t>References</w:t>
      </w:r>
      <w:r w:rsidR="00ED52F7">
        <w:t xml:space="preserve"> </w:t>
      </w:r>
    </w:p>
    <w:p w14:paraId="090BE9A3" w14:textId="77777777" w:rsidR="00252F1F" w:rsidRPr="00252F1F" w:rsidRDefault="00401CAC" w:rsidP="00252F1F">
      <w:pPr>
        <w:spacing w:after="0"/>
        <w:ind w:left="720" w:hanging="720"/>
      </w:pPr>
      <w:r>
        <w:t xml:space="preserve"> </w:t>
      </w:r>
      <w:proofErr w:type="gramStart"/>
      <w:r w:rsidR="00252F1F" w:rsidRPr="00252F1F">
        <w:t>Flood, J. M. (2015).</w:t>
      </w:r>
      <w:proofErr w:type="gramEnd"/>
      <w:r w:rsidR="00252F1F" w:rsidRPr="00252F1F">
        <w:t> </w:t>
      </w:r>
      <w:r w:rsidR="00252F1F" w:rsidRPr="00252F1F">
        <w:rPr>
          <w:i/>
          <w:iCs/>
        </w:rPr>
        <w:t>Wiley GAAP 2016: Interpretation and application of generally accepted accounting principles</w:t>
      </w:r>
      <w:r w:rsidR="00252F1F" w:rsidRPr="00252F1F">
        <w:t xml:space="preserve">. </w:t>
      </w:r>
      <w:proofErr w:type="gramStart"/>
      <w:r w:rsidR="00252F1F" w:rsidRPr="00252F1F">
        <w:t>John Wiley &amp; Sons.</w:t>
      </w:r>
      <w:proofErr w:type="gramEnd"/>
    </w:p>
    <w:p w14:paraId="290EC04C" w14:textId="77777777" w:rsidR="00252F1F" w:rsidRPr="00252F1F" w:rsidRDefault="00252F1F" w:rsidP="00252F1F">
      <w:pPr>
        <w:spacing w:after="0"/>
        <w:ind w:left="720" w:hanging="720"/>
      </w:pPr>
      <w:proofErr w:type="spellStart"/>
      <w:r w:rsidRPr="00252F1F">
        <w:t>Sahaf</w:t>
      </w:r>
      <w:proofErr w:type="spellEnd"/>
      <w:r w:rsidRPr="00252F1F">
        <w:t xml:space="preserve">, M.A. (2018). </w:t>
      </w:r>
      <w:r w:rsidRPr="00252F1F">
        <w:rPr>
          <w:i/>
          <w:iCs/>
        </w:rPr>
        <w:t>Management accounting: Principles &amp; practice, 3rd edition</w:t>
      </w:r>
      <w:r w:rsidRPr="00252F1F">
        <w:t xml:space="preserve">. </w:t>
      </w:r>
      <w:proofErr w:type="spellStart"/>
      <w:r w:rsidRPr="00252F1F">
        <w:t>Vikas</w:t>
      </w:r>
      <w:proofErr w:type="spellEnd"/>
      <w:r w:rsidRPr="00252F1F">
        <w:t xml:space="preserve"> Publishing House</w:t>
      </w:r>
    </w:p>
    <w:p w14:paraId="35F3F249" w14:textId="77777777" w:rsidR="00252F1F" w:rsidRPr="00252F1F" w:rsidRDefault="00252F1F" w:rsidP="00252F1F">
      <w:pPr>
        <w:spacing w:after="0"/>
        <w:ind w:left="720" w:hanging="720"/>
      </w:pPr>
      <w:proofErr w:type="spellStart"/>
      <w:proofErr w:type="gramStart"/>
      <w:r w:rsidRPr="00252F1F">
        <w:t>Weygandt</w:t>
      </w:r>
      <w:proofErr w:type="spellEnd"/>
      <w:r w:rsidRPr="00252F1F">
        <w:t xml:space="preserve">, J.J., </w:t>
      </w:r>
      <w:proofErr w:type="spellStart"/>
      <w:r w:rsidRPr="00252F1F">
        <w:t>Kieso</w:t>
      </w:r>
      <w:proofErr w:type="spellEnd"/>
      <w:r w:rsidRPr="00252F1F">
        <w:t xml:space="preserve">, D.E., Kimmel, P.D., </w:t>
      </w:r>
      <w:proofErr w:type="spellStart"/>
      <w:r w:rsidRPr="00252F1F">
        <w:t>Trenholm</w:t>
      </w:r>
      <w:proofErr w:type="spellEnd"/>
      <w:r w:rsidRPr="00252F1F">
        <w:t>, B., Warren, V. and Novak, L. (2019).</w:t>
      </w:r>
      <w:proofErr w:type="gramEnd"/>
      <w:r w:rsidRPr="00252F1F">
        <w:t> </w:t>
      </w:r>
      <w:proofErr w:type="gramStart"/>
      <w:r w:rsidRPr="00252F1F">
        <w:rPr>
          <w:i/>
          <w:iCs/>
        </w:rPr>
        <w:t>Accounting principles, volume 2</w:t>
      </w:r>
      <w:r w:rsidRPr="00252F1F">
        <w:t>.</w:t>
      </w:r>
      <w:proofErr w:type="gramEnd"/>
      <w:r w:rsidRPr="00252F1F">
        <w:t xml:space="preserve"> </w:t>
      </w:r>
      <w:proofErr w:type="gramStart"/>
      <w:r w:rsidRPr="00252F1F">
        <w:t>John Wiley &amp; Sons.</w:t>
      </w:r>
      <w:proofErr w:type="gramEnd"/>
    </w:p>
    <w:p w14:paraId="2D48B472" w14:textId="0A48858E" w:rsidR="00AA5E3D" w:rsidRDefault="00AA5E3D" w:rsidP="005A1668">
      <w:pPr>
        <w:spacing w:after="0"/>
        <w:ind w:left="720" w:hanging="720"/>
      </w:pPr>
    </w:p>
    <w:p w14:paraId="593F40E5" w14:textId="77777777" w:rsidR="00B5198B" w:rsidRPr="006309E6" w:rsidRDefault="00B5198B" w:rsidP="005D1091">
      <w:pPr>
        <w:spacing w:after="0"/>
        <w:ind w:left="720" w:hanging="720"/>
      </w:pPr>
    </w:p>
    <w:sectPr w:rsidR="00B5198B" w:rsidRPr="006309E6" w:rsidSect="00D50C5F">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8BDA11" w14:textId="77777777" w:rsidR="003C0826" w:rsidRDefault="003C0826" w:rsidP="00C4379C">
      <w:r>
        <w:separator/>
      </w:r>
    </w:p>
    <w:p w14:paraId="65399B4F" w14:textId="77777777" w:rsidR="003C0826" w:rsidRDefault="003C0826" w:rsidP="00C4379C"/>
  </w:endnote>
  <w:endnote w:type="continuationSeparator" w:id="0">
    <w:p w14:paraId="485E0F34" w14:textId="77777777" w:rsidR="003C0826" w:rsidRDefault="003C0826" w:rsidP="00C4379C">
      <w:r>
        <w:continuationSeparator/>
      </w:r>
    </w:p>
    <w:p w14:paraId="5B7A1CAC" w14:textId="77777777" w:rsidR="003C0826" w:rsidRDefault="003C0826" w:rsidP="00C437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2BFFA6" w14:textId="77777777" w:rsidR="00EC5357" w:rsidRDefault="00EC535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27C49C" w14:textId="77777777" w:rsidR="00EC5357" w:rsidRDefault="00EC535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AF546D" w14:textId="77777777" w:rsidR="00EC5357" w:rsidRDefault="00EC53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0D881D" w14:textId="77777777" w:rsidR="003C0826" w:rsidRDefault="003C0826" w:rsidP="00C4379C">
      <w:r>
        <w:separator/>
      </w:r>
    </w:p>
    <w:p w14:paraId="1A2B9A3A" w14:textId="77777777" w:rsidR="003C0826" w:rsidRDefault="003C0826" w:rsidP="00C4379C"/>
  </w:footnote>
  <w:footnote w:type="continuationSeparator" w:id="0">
    <w:p w14:paraId="441CCE78" w14:textId="77777777" w:rsidR="003C0826" w:rsidRDefault="003C0826" w:rsidP="00C4379C">
      <w:r>
        <w:continuationSeparator/>
      </w:r>
    </w:p>
    <w:p w14:paraId="20299F12" w14:textId="77777777" w:rsidR="003C0826" w:rsidRDefault="003C0826" w:rsidP="00C4379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B946A3" w14:textId="77777777" w:rsidR="00EC5357" w:rsidRDefault="00EC535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46E53E" w14:textId="77777777" w:rsidR="00277946" w:rsidRDefault="00876BF1" w:rsidP="003E7C4B">
    <w:pPr>
      <w:pStyle w:val="Header"/>
      <w:tabs>
        <w:tab w:val="clear" w:pos="4680"/>
      </w:tabs>
      <w:ind w:firstLine="0"/>
    </w:pPr>
    <w:r w:rsidRPr="00876BF1">
      <w:tab/>
    </w:r>
    <w:sdt>
      <w:sdtPr>
        <w:id w:val="-1000262973"/>
        <w:docPartObj>
          <w:docPartGallery w:val="Page Numbers (Top of Page)"/>
          <w:docPartUnique/>
        </w:docPartObj>
      </w:sdtPr>
      <w:sdtEndPr>
        <w:rPr>
          <w:noProof/>
        </w:rPr>
      </w:sdtEndPr>
      <w:sdtContent>
        <w:r w:rsidRPr="00876BF1">
          <w:fldChar w:fldCharType="begin"/>
        </w:r>
        <w:r w:rsidRPr="00876BF1">
          <w:instrText xml:space="preserve"> PAGE   \* MERGEFORMAT </w:instrText>
        </w:r>
        <w:r w:rsidRPr="00876BF1">
          <w:fldChar w:fldCharType="separate"/>
        </w:r>
        <w:r w:rsidR="00CA4B14">
          <w:rPr>
            <w:noProof/>
          </w:rPr>
          <w:t>14</w:t>
        </w:r>
        <w:r w:rsidRPr="00876BF1">
          <w:rPr>
            <w:noProof/>
          </w:rPr>
          <w:fldChar w:fldCharType="end"/>
        </w:r>
      </w:sdtContent>
    </w:sdt>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C936C8" w14:textId="77777777" w:rsidR="00277946" w:rsidRDefault="00277946" w:rsidP="005D1091">
    <w:pPr>
      <w:pStyle w:val="Header"/>
      <w:tabs>
        <w:tab w:val="clear" w:pos="4680"/>
      </w:tabs>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4A2C1C"/>
    <w:multiLevelType w:val="multilevel"/>
    <w:tmpl w:val="EA30C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D161300"/>
    <w:multiLevelType w:val="multilevel"/>
    <w:tmpl w:val="5628B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2166CFE"/>
    <w:multiLevelType w:val="multilevel"/>
    <w:tmpl w:val="3A32E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312230F"/>
    <w:multiLevelType w:val="multilevel"/>
    <w:tmpl w:val="5928E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6C1611E"/>
    <w:multiLevelType w:val="multilevel"/>
    <w:tmpl w:val="1DA8F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92A42B4"/>
    <w:multiLevelType w:val="multilevel"/>
    <w:tmpl w:val="80801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08A2CB1"/>
    <w:multiLevelType w:val="multilevel"/>
    <w:tmpl w:val="99CA6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D2B2358"/>
    <w:multiLevelType w:val="hybridMultilevel"/>
    <w:tmpl w:val="715A0F80"/>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8">
    <w:nsid w:val="4D5E4F14"/>
    <w:multiLevelType w:val="hybridMultilevel"/>
    <w:tmpl w:val="3B58268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4E1D66A2"/>
    <w:multiLevelType w:val="multilevel"/>
    <w:tmpl w:val="37983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0DA0ACD"/>
    <w:multiLevelType w:val="multilevel"/>
    <w:tmpl w:val="299A3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1223389"/>
    <w:multiLevelType w:val="multilevel"/>
    <w:tmpl w:val="9BC43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BD92DC5"/>
    <w:multiLevelType w:val="multilevel"/>
    <w:tmpl w:val="442E0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F6248C5"/>
    <w:multiLevelType w:val="multilevel"/>
    <w:tmpl w:val="09788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A92761B"/>
    <w:multiLevelType w:val="hybridMultilevel"/>
    <w:tmpl w:val="87B6C90E"/>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num w:numId="1">
    <w:abstractNumId w:val="9"/>
  </w:num>
  <w:num w:numId="2">
    <w:abstractNumId w:val="11"/>
  </w:num>
  <w:num w:numId="3">
    <w:abstractNumId w:val="4"/>
  </w:num>
  <w:num w:numId="4">
    <w:abstractNumId w:val="5"/>
  </w:num>
  <w:num w:numId="5">
    <w:abstractNumId w:val="3"/>
  </w:num>
  <w:num w:numId="6">
    <w:abstractNumId w:val="1"/>
  </w:num>
  <w:num w:numId="7">
    <w:abstractNumId w:val="0"/>
  </w:num>
  <w:num w:numId="8">
    <w:abstractNumId w:val="2"/>
  </w:num>
  <w:num w:numId="9">
    <w:abstractNumId w:val="10"/>
  </w:num>
  <w:num w:numId="10">
    <w:abstractNumId w:val="12"/>
  </w:num>
  <w:num w:numId="11">
    <w:abstractNumId w:val="6"/>
  </w:num>
  <w:num w:numId="12">
    <w:abstractNumId w:val="13"/>
  </w:num>
  <w:num w:numId="13">
    <w:abstractNumId w:val="8"/>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MDA1MzYBUxYmBsZKOkrBqcXFmfl5IAVGtQAwpREWLAAAAA=="/>
  </w:docVars>
  <w:rsids>
    <w:rsidRoot w:val="00876BF1"/>
    <w:rsid w:val="00014F15"/>
    <w:rsid w:val="000509A6"/>
    <w:rsid w:val="00124452"/>
    <w:rsid w:val="001549EC"/>
    <w:rsid w:val="001C349A"/>
    <w:rsid w:val="001E2904"/>
    <w:rsid w:val="00252F1F"/>
    <w:rsid w:val="00277946"/>
    <w:rsid w:val="002840F2"/>
    <w:rsid w:val="00293A75"/>
    <w:rsid w:val="002D19B4"/>
    <w:rsid w:val="002E077C"/>
    <w:rsid w:val="00383BA8"/>
    <w:rsid w:val="00396021"/>
    <w:rsid w:val="003C0826"/>
    <w:rsid w:val="003E192C"/>
    <w:rsid w:val="003E7C4B"/>
    <w:rsid w:val="004007FB"/>
    <w:rsid w:val="00401CAC"/>
    <w:rsid w:val="004855B0"/>
    <w:rsid w:val="004A3287"/>
    <w:rsid w:val="00501369"/>
    <w:rsid w:val="005022FD"/>
    <w:rsid w:val="00511778"/>
    <w:rsid w:val="0056096B"/>
    <w:rsid w:val="005A1668"/>
    <w:rsid w:val="005A46DE"/>
    <w:rsid w:val="005D1091"/>
    <w:rsid w:val="005E5F45"/>
    <w:rsid w:val="00621223"/>
    <w:rsid w:val="006309E6"/>
    <w:rsid w:val="00662089"/>
    <w:rsid w:val="007A7FB9"/>
    <w:rsid w:val="007F568F"/>
    <w:rsid w:val="00845069"/>
    <w:rsid w:val="008752D8"/>
    <w:rsid w:val="00876BF1"/>
    <w:rsid w:val="008C24D4"/>
    <w:rsid w:val="008F03A0"/>
    <w:rsid w:val="00926BDB"/>
    <w:rsid w:val="0095513F"/>
    <w:rsid w:val="009575A5"/>
    <w:rsid w:val="009E58E1"/>
    <w:rsid w:val="00A01664"/>
    <w:rsid w:val="00A826C6"/>
    <w:rsid w:val="00AA5E3D"/>
    <w:rsid w:val="00AD4C95"/>
    <w:rsid w:val="00B5198B"/>
    <w:rsid w:val="00BC3F63"/>
    <w:rsid w:val="00BE0359"/>
    <w:rsid w:val="00C26F64"/>
    <w:rsid w:val="00C4379C"/>
    <w:rsid w:val="00C74123"/>
    <w:rsid w:val="00CA4B14"/>
    <w:rsid w:val="00CE087A"/>
    <w:rsid w:val="00D17C67"/>
    <w:rsid w:val="00D50C5F"/>
    <w:rsid w:val="00D83A6D"/>
    <w:rsid w:val="00DA65B3"/>
    <w:rsid w:val="00E33C69"/>
    <w:rsid w:val="00E873A1"/>
    <w:rsid w:val="00E9453A"/>
    <w:rsid w:val="00E94E0F"/>
    <w:rsid w:val="00EC5357"/>
    <w:rsid w:val="00ED4FB4"/>
    <w:rsid w:val="00ED52F7"/>
    <w:rsid w:val="00F4365A"/>
    <w:rsid w:val="00F62695"/>
    <w:rsid w:val="00F74983"/>
    <w:rsid w:val="00FC08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B3D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379C"/>
    <w:pPr>
      <w:spacing w:line="480" w:lineRule="auto"/>
      <w:ind w:firstLine="720"/>
    </w:pPr>
    <w:rPr>
      <w:rFonts w:ascii="Times New Roman" w:hAnsi="Times New Roman" w:cs="Times New Roman"/>
      <w:sz w:val="24"/>
    </w:rPr>
  </w:style>
  <w:style w:type="paragraph" w:styleId="Heading1">
    <w:name w:val="heading 1"/>
    <w:basedOn w:val="Normal"/>
    <w:next w:val="Normal"/>
    <w:link w:val="Heading1Char"/>
    <w:uiPriority w:val="9"/>
    <w:qFormat/>
    <w:rsid w:val="00C4379C"/>
    <w:pPr>
      <w:spacing w:before="3840"/>
      <w:jc w:val="center"/>
      <w:outlineLvl w:val="0"/>
    </w:pPr>
  </w:style>
  <w:style w:type="paragraph" w:styleId="Heading2">
    <w:name w:val="heading 2"/>
    <w:basedOn w:val="Normal"/>
    <w:next w:val="Normal"/>
    <w:link w:val="Heading2Char"/>
    <w:uiPriority w:val="9"/>
    <w:unhideWhenUsed/>
    <w:qFormat/>
    <w:rsid w:val="008752D8"/>
    <w:pPr>
      <w:ind w:firstLine="0"/>
      <w:jc w:val="center"/>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6B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6BF1"/>
  </w:style>
  <w:style w:type="paragraph" w:styleId="Footer">
    <w:name w:val="footer"/>
    <w:basedOn w:val="Normal"/>
    <w:link w:val="FooterChar"/>
    <w:uiPriority w:val="99"/>
    <w:unhideWhenUsed/>
    <w:rsid w:val="00876B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6BF1"/>
  </w:style>
  <w:style w:type="character" w:styleId="Hyperlink">
    <w:name w:val="Hyperlink"/>
    <w:basedOn w:val="DefaultParagraphFont"/>
    <w:uiPriority w:val="99"/>
    <w:unhideWhenUsed/>
    <w:rsid w:val="002E077C"/>
    <w:rPr>
      <w:color w:val="0563C1" w:themeColor="hyperlink"/>
      <w:u w:val="single"/>
    </w:rPr>
  </w:style>
  <w:style w:type="character" w:customStyle="1" w:styleId="Heading1Char">
    <w:name w:val="Heading 1 Char"/>
    <w:basedOn w:val="DefaultParagraphFont"/>
    <w:link w:val="Heading1"/>
    <w:uiPriority w:val="9"/>
    <w:rsid w:val="00C4379C"/>
    <w:rPr>
      <w:rFonts w:ascii="Times New Roman" w:hAnsi="Times New Roman" w:cs="Times New Roman"/>
      <w:sz w:val="24"/>
    </w:rPr>
  </w:style>
  <w:style w:type="character" w:customStyle="1" w:styleId="Heading2Char">
    <w:name w:val="Heading 2 Char"/>
    <w:basedOn w:val="DefaultParagraphFont"/>
    <w:link w:val="Heading2"/>
    <w:uiPriority w:val="9"/>
    <w:rsid w:val="008752D8"/>
    <w:rPr>
      <w:rFonts w:ascii="Times New Roman" w:hAnsi="Times New Roman" w:cs="Times New Roman"/>
      <w:b/>
      <w:sz w:val="24"/>
    </w:rPr>
  </w:style>
  <w:style w:type="paragraph" w:styleId="NoSpacing">
    <w:name w:val="No Spacing"/>
    <w:basedOn w:val="Normal"/>
    <w:uiPriority w:val="1"/>
    <w:qFormat/>
    <w:rsid w:val="00C4379C"/>
  </w:style>
  <w:style w:type="paragraph" w:styleId="Quote">
    <w:name w:val="Quote"/>
    <w:basedOn w:val="Normal"/>
    <w:next w:val="Normal"/>
    <w:link w:val="QuoteChar"/>
    <w:uiPriority w:val="29"/>
    <w:qFormat/>
    <w:rsid w:val="00501369"/>
    <w:pPr>
      <w:ind w:left="720" w:firstLine="0"/>
    </w:pPr>
  </w:style>
  <w:style w:type="character" w:customStyle="1" w:styleId="QuoteChar">
    <w:name w:val="Quote Char"/>
    <w:basedOn w:val="DefaultParagraphFont"/>
    <w:link w:val="Quote"/>
    <w:uiPriority w:val="29"/>
    <w:rsid w:val="00501369"/>
    <w:rPr>
      <w:rFonts w:ascii="Times New Roman" w:hAnsi="Times New Roman" w:cs="Times New Roman"/>
      <w:sz w:val="24"/>
    </w:rPr>
  </w:style>
  <w:style w:type="paragraph" w:styleId="Title">
    <w:name w:val="Title"/>
    <w:basedOn w:val="Normal"/>
    <w:next w:val="Normal"/>
    <w:link w:val="TitleChar"/>
    <w:uiPriority w:val="10"/>
    <w:qFormat/>
    <w:rsid w:val="005A1668"/>
    <w:pPr>
      <w:keepNext/>
      <w:keepLines/>
      <w:spacing w:after="0"/>
      <w:ind w:firstLine="708"/>
      <w:jc w:val="center"/>
    </w:pPr>
    <w:rPr>
      <w:rFonts w:eastAsia="Times New Roman"/>
      <w:b/>
      <w:szCs w:val="24"/>
      <w:lang w:val="en-GB" w:eastAsia="nl-NL"/>
    </w:rPr>
  </w:style>
  <w:style w:type="character" w:customStyle="1" w:styleId="TitleChar">
    <w:name w:val="Title Char"/>
    <w:basedOn w:val="DefaultParagraphFont"/>
    <w:link w:val="Title"/>
    <w:uiPriority w:val="10"/>
    <w:rsid w:val="005A1668"/>
    <w:rPr>
      <w:rFonts w:ascii="Times New Roman" w:eastAsia="Times New Roman" w:hAnsi="Times New Roman" w:cs="Times New Roman"/>
      <w:b/>
      <w:sz w:val="24"/>
      <w:szCs w:val="24"/>
      <w:lang w:val="en-GB" w:eastAsia="nl-NL"/>
    </w:rPr>
  </w:style>
  <w:style w:type="paragraph" w:styleId="ListParagraph">
    <w:name w:val="List Paragraph"/>
    <w:basedOn w:val="Normal"/>
    <w:uiPriority w:val="34"/>
    <w:qFormat/>
    <w:rsid w:val="00252F1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379C"/>
    <w:pPr>
      <w:spacing w:line="480" w:lineRule="auto"/>
      <w:ind w:firstLine="720"/>
    </w:pPr>
    <w:rPr>
      <w:rFonts w:ascii="Times New Roman" w:hAnsi="Times New Roman" w:cs="Times New Roman"/>
      <w:sz w:val="24"/>
    </w:rPr>
  </w:style>
  <w:style w:type="paragraph" w:styleId="Heading1">
    <w:name w:val="heading 1"/>
    <w:basedOn w:val="Normal"/>
    <w:next w:val="Normal"/>
    <w:link w:val="Heading1Char"/>
    <w:uiPriority w:val="9"/>
    <w:qFormat/>
    <w:rsid w:val="00C4379C"/>
    <w:pPr>
      <w:spacing w:before="3840"/>
      <w:jc w:val="center"/>
      <w:outlineLvl w:val="0"/>
    </w:pPr>
  </w:style>
  <w:style w:type="paragraph" w:styleId="Heading2">
    <w:name w:val="heading 2"/>
    <w:basedOn w:val="Normal"/>
    <w:next w:val="Normal"/>
    <w:link w:val="Heading2Char"/>
    <w:uiPriority w:val="9"/>
    <w:unhideWhenUsed/>
    <w:qFormat/>
    <w:rsid w:val="008752D8"/>
    <w:pPr>
      <w:ind w:firstLine="0"/>
      <w:jc w:val="center"/>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6B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6BF1"/>
  </w:style>
  <w:style w:type="paragraph" w:styleId="Footer">
    <w:name w:val="footer"/>
    <w:basedOn w:val="Normal"/>
    <w:link w:val="FooterChar"/>
    <w:uiPriority w:val="99"/>
    <w:unhideWhenUsed/>
    <w:rsid w:val="00876B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6BF1"/>
  </w:style>
  <w:style w:type="character" w:styleId="Hyperlink">
    <w:name w:val="Hyperlink"/>
    <w:basedOn w:val="DefaultParagraphFont"/>
    <w:uiPriority w:val="99"/>
    <w:unhideWhenUsed/>
    <w:rsid w:val="002E077C"/>
    <w:rPr>
      <w:color w:val="0563C1" w:themeColor="hyperlink"/>
      <w:u w:val="single"/>
    </w:rPr>
  </w:style>
  <w:style w:type="character" w:customStyle="1" w:styleId="Heading1Char">
    <w:name w:val="Heading 1 Char"/>
    <w:basedOn w:val="DefaultParagraphFont"/>
    <w:link w:val="Heading1"/>
    <w:uiPriority w:val="9"/>
    <w:rsid w:val="00C4379C"/>
    <w:rPr>
      <w:rFonts w:ascii="Times New Roman" w:hAnsi="Times New Roman" w:cs="Times New Roman"/>
      <w:sz w:val="24"/>
    </w:rPr>
  </w:style>
  <w:style w:type="character" w:customStyle="1" w:styleId="Heading2Char">
    <w:name w:val="Heading 2 Char"/>
    <w:basedOn w:val="DefaultParagraphFont"/>
    <w:link w:val="Heading2"/>
    <w:uiPriority w:val="9"/>
    <w:rsid w:val="008752D8"/>
    <w:rPr>
      <w:rFonts w:ascii="Times New Roman" w:hAnsi="Times New Roman" w:cs="Times New Roman"/>
      <w:b/>
      <w:sz w:val="24"/>
    </w:rPr>
  </w:style>
  <w:style w:type="paragraph" w:styleId="NoSpacing">
    <w:name w:val="No Spacing"/>
    <w:basedOn w:val="Normal"/>
    <w:uiPriority w:val="1"/>
    <w:qFormat/>
    <w:rsid w:val="00C4379C"/>
  </w:style>
  <w:style w:type="paragraph" w:styleId="Quote">
    <w:name w:val="Quote"/>
    <w:basedOn w:val="Normal"/>
    <w:next w:val="Normal"/>
    <w:link w:val="QuoteChar"/>
    <w:uiPriority w:val="29"/>
    <w:qFormat/>
    <w:rsid w:val="00501369"/>
    <w:pPr>
      <w:ind w:left="720" w:firstLine="0"/>
    </w:pPr>
  </w:style>
  <w:style w:type="character" w:customStyle="1" w:styleId="QuoteChar">
    <w:name w:val="Quote Char"/>
    <w:basedOn w:val="DefaultParagraphFont"/>
    <w:link w:val="Quote"/>
    <w:uiPriority w:val="29"/>
    <w:rsid w:val="00501369"/>
    <w:rPr>
      <w:rFonts w:ascii="Times New Roman" w:hAnsi="Times New Roman" w:cs="Times New Roman"/>
      <w:sz w:val="24"/>
    </w:rPr>
  </w:style>
  <w:style w:type="paragraph" w:styleId="Title">
    <w:name w:val="Title"/>
    <w:basedOn w:val="Normal"/>
    <w:next w:val="Normal"/>
    <w:link w:val="TitleChar"/>
    <w:uiPriority w:val="10"/>
    <w:qFormat/>
    <w:rsid w:val="005A1668"/>
    <w:pPr>
      <w:keepNext/>
      <w:keepLines/>
      <w:spacing w:after="0"/>
      <w:ind w:firstLine="708"/>
      <w:jc w:val="center"/>
    </w:pPr>
    <w:rPr>
      <w:rFonts w:eastAsia="Times New Roman"/>
      <w:b/>
      <w:szCs w:val="24"/>
      <w:lang w:val="en-GB" w:eastAsia="nl-NL"/>
    </w:rPr>
  </w:style>
  <w:style w:type="character" w:customStyle="1" w:styleId="TitleChar">
    <w:name w:val="Title Char"/>
    <w:basedOn w:val="DefaultParagraphFont"/>
    <w:link w:val="Title"/>
    <w:uiPriority w:val="10"/>
    <w:rsid w:val="005A1668"/>
    <w:rPr>
      <w:rFonts w:ascii="Times New Roman" w:eastAsia="Times New Roman" w:hAnsi="Times New Roman" w:cs="Times New Roman"/>
      <w:b/>
      <w:sz w:val="24"/>
      <w:szCs w:val="24"/>
      <w:lang w:val="en-GB" w:eastAsia="nl-NL"/>
    </w:rPr>
  </w:style>
  <w:style w:type="paragraph" w:styleId="ListParagraph">
    <w:name w:val="List Paragraph"/>
    <w:basedOn w:val="Normal"/>
    <w:uiPriority w:val="34"/>
    <w:qFormat/>
    <w:rsid w:val="00252F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923028">
      <w:bodyDiv w:val="1"/>
      <w:marLeft w:val="0"/>
      <w:marRight w:val="0"/>
      <w:marTop w:val="0"/>
      <w:marBottom w:val="0"/>
      <w:divBdr>
        <w:top w:val="none" w:sz="0" w:space="0" w:color="auto"/>
        <w:left w:val="none" w:sz="0" w:space="0" w:color="auto"/>
        <w:bottom w:val="none" w:sz="0" w:space="0" w:color="auto"/>
        <w:right w:val="none" w:sz="0" w:space="0" w:color="auto"/>
      </w:divBdr>
    </w:div>
    <w:div w:id="610092450">
      <w:bodyDiv w:val="1"/>
      <w:marLeft w:val="0"/>
      <w:marRight w:val="0"/>
      <w:marTop w:val="0"/>
      <w:marBottom w:val="0"/>
      <w:divBdr>
        <w:top w:val="none" w:sz="0" w:space="0" w:color="auto"/>
        <w:left w:val="none" w:sz="0" w:space="0" w:color="auto"/>
        <w:bottom w:val="none" w:sz="0" w:space="0" w:color="auto"/>
        <w:right w:val="none" w:sz="0" w:space="0" w:color="auto"/>
      </w:divBdr>
    </w:div>
    <w:div w:id="1003777427">
      <w:bodyDiv w:val="1"/>
      <w:marLeft w:val="0"/>
      <w:marRight w:val="0"/>
      <w:marTop w:val="0"/>
      <w:marBottom w:val="0"/>
      <w:divBdr>
        <w:top w:val="none" w:sz="0" w:space="0" w:color="auto"/>
        <w:left w:val="none" w:sz="0" w:space="0" w:color="auto"/>
        <w:bottom w:val="none" w:sz="0" w:space="0" w:color="auto"/>
        <w:right w:val="none" w:sz="0" w:space="0" w:color="auto"/>
      </w:divBdr>
    </w:div>
    <w:div w:id="1058893364">
      <w:bodyDiv w:val="1"/>
      <w:marLeft w:val="0"/>
      <w:marRight w:val="0"/>
      <w:marTop w:val="0"/>
      <w:marBottom w:val="0"/>
      <w:divBdr>
        <w:top w:val="none" w:sz="0" w:space="0" w:color="auto"/>
        <w:left w:val="none" w:sz="0" w:space="0" w:color="auto"/>
        <w:bottom w:val="none" w:sz="0" w:space="0" w:color="auto"/>
        <w:right w:val="none" w:sz="0" w:space="0" w:color="auto"/>
      </w:divBdr>
      <w:divsChild>
        <w:div w:id="139621713">
          <w:marLeft w:val="0"/>
          <w:marRight w:val="0"/>
          <w:marTop w:val="0"/>
          <w:marBottom w:val="0"/>
          <w:divBdr>
            <w:top w:val="none" w:sz="0" w:space="0" w:color="auto"/>
            <w:left w:val="none" w:sz="0" w:space="0" w:color="auto"/>
            <w:bottom w:val="none" w:sz="0" w:space="0" w:color="auto"/>
            <w:right w:val="none" w:sz="0" w:space="0" w:color="auto"/>
          </w:divBdr>
          <w:divsChild>
            <w:div w:id="94464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424925">
      <w:bodyDiv w:val="1"/>
      <w:marLeft w:val="0"/>
      <w:marRight w:val="0"/>
      <w:marTop w:val="0"/>
      <w:marBottom w:val="0"/>
      <w:divBdr>
        <w:top w:val="none" w:sz="0" w:space="0" w:color="auto"/>
        <w:left w:val="none" w:sz="0" w:space="0" w:color="auto"/>
        <w:bottom w:val="none" w:sz="0" w:space="0" w:color="auto"/>
        <w:right w:val="none" w:sz="0" w:space="0" w:color="auto"/>
      </w:divBdr>
    </w:div>
    <w:div w:id="1913733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429690-6605-49A2-97E9-8C6FC2B80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2003</Words>
  <Characters>11419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2022-07-08T09:59:00Z</dcterms:created>
  <dcterms:modified xsi:type="dcterms:W3CDTF">2022-07-09T15:18:00Z</dcterms:modified>
</cp:coreProperties>
</file>