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0707B5C5" w14:textId="77777777" w:rsidR="00C24CB4" w:rsidRDefault="00C24CB4"/>
    <w:p w14:paraId="0FD101A2" w14:textId="77777777" w:rsidR="00C24CB4" w:rsidRDefault="00C24CB4" w:rsidP="00C24CB4">
      <w:pPr>
        <w:spacing w:line="257" w:lineRule="auto"/>
        <w:jc w:val="center"/>
      </w:pPr>
      <w:r>
        <w:rPr>
          <w:noProof/>
        </w:rPr>
        <w:drawing>
          <wp:inline distT="0" distB="0" distL="0" distR="0" wp14:anchorId="577BC87D" wp14:editId="42DD9EB1">
            <wp:extent cx="5715294" cy="1905098"/>
            <wp:effectExtent l="0" t="0" r="0" b="0"/>
            <wp:docPr id="119173248" name="drawing" descr="A black background with white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9173248" name="drawing" descr="A black background with white text&#10;&#10;AI-generated content may be incorrect."/>
                    <pic:cNvPicPr/>
                  </pic:nvPicPr>
                  <pic:blipFill>
                    <a:blip r:embed="rId8">
                      <a:extLst>
                        <a:ext uri="{28A0092B-C50C-407E-A947-70E740481C1C}">
                          <a14:useLocalDpi xmlns:a14="http://schemas.microsoft.com/office/drawing/2010/main" val="0"/>
                        </a:ext>
                      </a:extLst>
                    </a:blip>
                    <a:stretch>
                      <a:fillRect/>
                    </a:stretch>
                  </pic:blipFill>
                  <pic:spPr>
                    <a:xfrm>
                      <a:off x="0" y="0"/>
                      <a:ext cx="5715294" cy="1905098"/>
                    </a:xfrm>
                    <a:prstGeom prst="rect">
                      <a:avLst/>
                    </a:prstGeom>
                  </pic:spPr>
                </pic:pic>
              </a:graphicData>
            </a:graphic>
          </wp:inline>
        </w:drawing>
      </w:r>
    </w:p>
    <w:p w14:paraId="60386257" w14:textId="77777777" w:rsidR="00C24CB4" w:rsidRDefault="00C24CB4" w:rsidP="00C24CB4">
      <w:pPr>
        <w:spacing w:line="257" w:lineRule="auto"/>
        <w:jc w:val="center"/>
      </w:pPr>
      <w:r w:rsidRPr="3C2C2715">
        <w:rPr>
          <w:rFonts w:ascii="Calibri" w:eastAsia="Calibri" w:hAnsi="Calibri" w:cs="Calibri"/>
          <w:sz w:val="22"/>
          <w:szCs w:val="22"/>
        </w:rPr>
        <w:t xml:space="preserve"> </w:t>
      </w:r>
    </w:p>
    <w:p w14:paraId="6E21902D" w14:textId="5275B852" w:rsidR="00C24CB4" w:rsidRDefault="00C24CB4" w:rsidP="00C24CB4">
      <w:pPr>
        <w:spacing w:line="257" w:lineRule="auto"/>
        <w:jc w:val="center"/>
      </w:pPr>
      <w:r w:rsidRPr="38DD71EF">
        <w:rPr>
          <w:rFonts w:ascii="Arial" w:eastAsia="Arial" w:hAnsi="Arial" w:cs="Arial"/>
          <w:b/>
          <w:bCs/>
          <w:sz w:val="44"/>
          <w:szCs w:val="44"/>
        </w:rPr>
        <w:t xml:space="preserve">BA (Hons) Leadership and Management </w:t>
      </w:r>
      <w:r w:rsidR="00B0460B" w:rsidRPr="00B0460B">
        <w:rPr>
          <w:rFonts w:ascii="Arial" w:eastAsia="Arial" w:hAnsi="Arial" w:cs="Arial"/>
          <w:b/>
          <w:bCs/>
          <w:sz w:val="44"/>
          <w:szCs w:val="44"/>
        </w:rPr>
        <w:t>Skills for the Workplace</w:t>
      </w:r>
    </w:p>
    <w:p w14:paraId="18A4EFC2" w14:textId="77777777" w:rsidR="00C24CB4" w:rsidRDefault="00C24CB4" w:rsidP="00C24CB4">
      <w:pPr>
        <w:spacing w:line="600" w:lineRule="auto"/>
        <w:jc w:val="center"/>
        <w:rPr>
          <w:rFonts w:ascii="Arial" w:eastAsia="Arial" w:hAnsi="Arial" w:cs="Arial"/>
          <w:i/>
          <w:iCs/>
          <w:sz w:val="22"/>
          <w:szCs w:val="22"/>
        </w:rPr>
      </w:pPr>
      <w:r w:rsidRPr="38DD71EF">
        <w:rPr>
          <w:rFonts w:ascii="Arial" w:eastAsia="Arial" w:hAnsi="Arial" w:cs="Arial"/>
          <w:i/>
          <w:iCs/>
          <w:sz w:val="22"/>
          <w:szCs w:val="22"/>
        </w:rPr>
        <w:t xml:space="preserve"> </w:t>
      </w:r>
    </w:p>
    <w:p w14:paraId="4DE66C7B" w14:textId="77777777" w:rsidR="008A3BD6" w:rsidRDefault="008A3BD6" w:rsidP="00B0460B">
      <w:pPr>
        <w:spacing w:line="600" w:lineRule="auto"/>
        <w:rPr>
          <w:rFonts w:ascii="Arial" w:eastAsia="Arial" w:hAnsi="Arial" w:cs="Arial"/>
          <w:b/>
          <w:bCs/>
        </w:rPr>
      </w:pPr>
    </w:p>
    <w:p w14:paraId="0A8E9E0D" w14:textId="35CE7EE2" w:rsidR="00C24CB4" w:rsidRDefault="00C24CB4" w:rsidP="00C24CB4">
      <w:pPr>
        <w:spacing w:line="600" w:lineRule="auto"/>
        <w:jc w:val="center"/>
        <w:rPr>
          <w:rFonts w:ascii="Arial" w:eastAsia="Arial" w:hAnsi="Arial" w:cs="Arial"/>
          <w:b/>
          <w:bCs/>
        </w:rPr>
      </w:pPr>
      <w:r w:rsidRPr="38DD71EF">
        <w:rPr>
          <w:rFonts w:ascii="Arial" w:eastAsia="Arial" w:hAnsi="Arial" w:cs="Arial"/>
          <w:b/>
          <w:bCs/>
        </w:rPr>
        <w:t xml:space="preserve">Student Name: </w:t>
      </w:r>
      <w:r w:rsidRPr="38DD71EF">
        <w:rPr>
          <w:rFonts w:ascii="Arial" w:eastAsia="Arial" w:hAnsi="Arial" w:cs="Arial"/>
        </w:rPr>
        <w:t>Senita Ghirrdra</w:t>
      </w:r>
    </w:p>
    <w:p w14:paraId="1C521185" w14:textId="77777777" w:rsidR="00C24CB4" w:rsidRDefault="00C24CB4" w:rsidP="00C24CB4">
      <w:pPr>
        <w:spacing w:line="600" w:lineRule="auto"/>
        <w:jc w:val="center"/>
        <w:rPr>
          <w:rFonts w:ascii="Arial" w:eastAsia="Arial" w:hAnsi="Arial" w:cs="Arial"/>
          <w:b/>
          <w:bCs/>
        </w:rPr>
      </w:pPr>
      <w:r w:rsidRPr="38DD71EF">
        <w:rPr>
          <w:rFonts w:ascii="Arial" w:eastAsia="Arial" w:hAnsi="Arial" w:cs="Arial"/>
          <w:b/>
          <w:bCs/>
        </w:rPr>
        <w:t xml:space="preserve">Student Number: </w:t>
      </w:r>
      <w:r w:rsidRPr="38DD71EF">
        <w:rPr>
          <w:rFonts w:ascii="Arial" w:eastAsia="Arial" w:hAnsi="Arial" w:cs="Arial"/>
        </w:rPr>
        <w:t>2336206</w:t>
      </w:r>
    </w:p>
    <w:p w14:paraId="1376E905" w14:textId="1542FB69" w:rsidR="00C24CB4" w:rsidRDefault="00D7554C" w:rsidP="00C24CB4">
      <w:pPr>
        <w:spacing w:line="600" w:lineRule="auto"/>
        <w:jc w:val="center"/>
        <w:rPr>
          <w:rFonts w:ascii="Arial" w:eastAsia="Arial" w:hAnsi="Arial" w:cs="Arial"/>
        </w:rPr>
      </w:pPr>
      <w:r>
        <w:rPr>
          <w:rFonts w:ascii="Arial" w:eastAsia="Arial" w:hAnsi="Arial" w:cs="Arial"/>
          <w:b/>
          <w:bCs/>
        </w:rPr>
        <w:t>Module</w:t>
      </w:r>
      <w:r w:rsidR="00C24CB4" w:rsidRPr="38DD71EF">
        <w:rPr>
          <w:rFonts w:ascii="Arial" w:eastAsia="Arial" w:hAnsi="Arial" w:cs="Arial"/>
          <w:b/>
          <w:bCs/>
        </w:rPr>
        <w:t>:</w:t>
      </w:r>
      <w:r w:rsidR="00C24CB4" w:rsidRPr="38DD71EF">
        <w:rPr>
          <w:rFonts w:ascii="Arial" w:eastAsia="Arial" w:hAnsi="Arial" w:cs="Arial"/>
        </w:rPr>
        <w:t xml:space="preserve"> </w:t>
      </w:r>
      <w:r w:rsidR="000D41C9">
        <w:rPr>
          <w:rFonts w:ascii="Helvetica" w:hAnsi="Helvetica" w:cs="Helvetica"/>
        </w:rPr>
        <w:t>Design Thinking and Innovation</w:t>
      </w:r>
      <w:r w:rsidR="000D41C9" w:rsidRPr="38DD71EF">
        <w:rPr>
          <w:rFonts w:ascii="Arial" w:eastAsia="Arial" w:hAnsi="Arial" w:cs="Arial"/>
        </w:rPr>
        <w:t xml:space="preserve"> </w:t>
      </w:r>
      <w:r w:rsidR="00C24CB4" w:rsidRPr="38DD71EF">
        <w:rPr>
          <w:rFonts w:ascii="Arial" w:eastAsia="Arial" w:hAnsi="Arial" w:cs="Arial"/>
        </w:rPr>
        <w:t>(LCLM</w:t>
      </w:r>
      <w:r w:rsidR="006C2A5A">
        <w:rPr>
          <w:rFonts w:ascii="Arial" w:eastAsia="Arial" w:hAnsi="Arial" w:cs="Arial"/>
        </w:rPr>
        <w:t>600</w:t>
      </w:r>
      <w:r w:rsidR="000D41C9">
        <w:rPr>
          <w:rFonts w:ascii="Arial" w:eastAsia="Arial" w:hAnsi="Arial" w:cs="Arial"/>
        </w:rPr>
        <w:t>2</w:t>
      </w:r>
      <w:r w:rsidR="00C24CB4" w:rsidRPr="38DD71EF">
        <w:rPr>
          <w:rFonts w:ascii="Arial" w:eastAsia="Arial" w:hAnsi="Arial" w:cs="Arial"/>
        </w:rPr>
        <w:t>)</w:t>
      </w:r>
    </w:p>
    <w:p w14:paraId="53D62627" w14:textId="66DAD2EB" w:rsidR="00C24CB4" w:rsidRDefault="00C24CB4" w:rsidP="00C24CB4">
      <w:pPr>
        <w:spacing w:line="600" w:lineRule="auto"/>
        <w:jc w:val="center"/>
        <w:rPr>
          <w:rFonts w:ascii="Arial" w:eastAsia="Arial" w:hAnsi="Arial" w:cs="Arial"/>
        </w:rPr>
      </w:pPr>
      <w:r w:rsidRPr="38DD71EF">
        <w:rPr>
          <w:rFonts w:ascii="Arial" w:eastAsia="Arial" w:hAnsi="Arial" w:cs="Arial"/>
          <w:b/>
          <w:bCs/>
        </w:rPr>
        <w:t>Lecturer</w:t>
      </w:r>
      <w:r w:rsidR="00440DDF">
        <w:rPr>
          <w:rFonts w:ascii="Arial" w:eastAsia="Arial" w:hAnsi="Arial" w:cs="Arial"/>
          <w:b/>
          <w:bCs/>
        </w:rPr>
        <w:t xml:space="preserve"> Name</w:t>
      </w:r>
      <w:r w:rsidRPr="38DD71EF">
        <w:rPr>
          <w:rFonts w:ascii="Arial" w:eastAsia="Arial" w:hAnsi="Arial" w:cs="Arial"/>
          <w:b/>
          <w:bCs/>
        </w:rPr>
        <w:t xml:space="preserve">: </w:t>
      </w:r>
      <w:r w:rsidR="00E0014A" w:rsidRPr="00E0014A">
        <w:rPr>
          <w:rFonts w:ascii="Arial" w:eastAsia="Arial" w:hAnsi="Arial" w:cs="Arial"/>
        </w:rPr>
        <w:t>Charles Obinwa</w:t>
      </w:r>
    </w:p>
    <w:p w14:paraId="59828EFE" w14:textId="523F551D" w:rsidR="00C24CB4" w:rsidRDefault="00C24CB4" w:rsidP="00C24CB4">
      <w:pPr>
        <w:spacing w:line="600" w:lineRule="auto"/>
        <w:jc w:val="center"/>
        <w:rPr>
          <w:rFonts w:ascii="Arial" w:eastAsia="Arial" w:hAnsi="Arial" w:cs="Arial"/>
        </w:rPr>
      </w:pPr>
      <w:r w:rsidRPr="38DD71EF">
        <w:rPr>
          <w:rFonts w:ascii="Arial" w:eastAsia="Arial" w:hAnsi="Arial" w:cs="Arial"/>
          <w:b/>
          <w:bCs/>
        </w:rPr>
        <w:t>Session</w:t>
      </w:r>
      <w:r w:rsidRPr="38DD71EF">
        <w:rPr>
          <w:rFonts w:ascii="Arial" w:eastAsia="Arial" w:hAnsi="Arial" w:cs="Arial"/>
        </w:rPr>
        <w:t xml:space="preserve">: </w:t>
      </w:r>
      <w:r w:rsidR="006C2A5A">
        <w:rPr>
          <w:rFonts w:ascii="Arial" w:eastAsia="Arial" w:hAnsi="Arial" w:cs="Arial"/>
        </w:rPr>
        <w:t>May</w:t>
      </w:r>
      <w:r w:rsidR="008B2236">
        <w:rPr>
          <w:rFonts w:ascii="Arial" w:eastAsia="Arial" w:hAnsi="Arial" w:cs="Arial"/>
        </w:rPr>
        <w:t xml:space="preserve"> </w:t>
      </w:r>
      <w:r w:rsidRPr="38DD71EF">
        <w:rPr>
          <w:rFonts w:ascii="Arial" w:eastAsia="Arial" w:hAnsi="Arial" w:cs="Arial"/>
        </w:rPr>
        <w:t>202</w:t>
      </w:r>
      <w:r w:rsidR="008B2236">
        <w:rPr>
          <w:rFonts w:ascii="Arial" w:eastAsia="Arial" w:hAnsi="Arial" w:cs="Arial"/>
        </w:rPr>
        <w:t>6</w:t>
      </w:r>
      <w:r w:rsidRPr="38DD71EF">
        <w:rPr>
          <w:rFonts w:ascii="Arial" w:eastAsia="Arial" w:hAnsi="Arial" w:cs="Arial"/>
        </w:rPr>
        <w:t xml:space="preserve"> </w:t>
      </w:r>
    </w:p>
    <w:p w14:paraId="00B4848A" w14:textId="77777777" w:rsidR="00C24CB4" w:rsidRDefault="00C24CB4" w:rsidP="00C24CB4">
      <w:pPr>
        <w:jc w:val="center"/>
        <w:rPr>
          <w:rFonts w:ascii="Arial" w:eastAsia="Arial" w:hAnsi="Arial" w:cs="Arial"/>
          <w:b/>
          <w:bCs/>
        </w:rPr>
      </w:pPr>
      <w:r w:rsidRPr="38DD71EF">
        <w:rPr>
          <w:rFonts w:ascii="Arial" w:eastAsia="Arial" w:hAnsi="Arial" w:cs="Arial"/>
          <w:b/>
          <w:bCs/>
        </w:rPr>
        <w:t>Assignment:</w:t>
      </w:r>
    </w:p>
    <w:p w14:paraId="284D4294" w14:textId="77777777" w:rsidR="00C24CB4" w:rsidRDefault="00C24CB4" w:rsidP="00C24CB4">
      <w:pPr>
        <w:jc w:val="center"/>
        <w:rPr>
          <w:rFonts w:ascii="Arial" w:eastAsia="Arial" w:hAnsi="Arial" w:cs="Arial"/>
        </w:rPr>
      </w:pPr>
      <w:r w:rsidRPr="38DD71EF">
        <w:rPr>
          <w:rFonts w:ascii="Arial" w:eastAsia="Arial" w:hAnsi="Arial" w:cs="Arial"/>
          <w:b/>
          <w:bCs/>
        </w:rPr>
        <w:t xml:space="preserve"> </w:t>
      </w:r>
    </w:p>
    <w:p w14:paraId="20CEEAEC" w14:textId="4EEBC759" w:rsidR="008B2236" w:rsidRDefault="000D41C9" w:rsidP="000D41C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center"/>
        <w:rPr>
          <w:rFonts w:ascii="Helvetica" w:hAnsi="Helvetica" w:cs="Helvetica"/>
        </w:rPr>
      </w:pPr>
      <w:r w:rsidRPr="000D41C9">
        <w:rPr>
          <w:rFonts w:ascii="Helvetica" w:hAnsi="Helvetica" w:cs="Helvetica"/>
        </w:rPr>
        <w:t>Design Thinking and Innovation through Digital Transformation</w:t>
      </w:r>
    </w:p>
    <w:p w14:paraId="3E36B784" w14:textId="77777777" w:rsidR="008B2236" w:rsidRDefault="008B2236" w:rsidP="008B2236">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rPr>
      </w:pPr>
    </w:p>
    <w:p w14:paraId="140254AC" w14:textId="77777777" w:rsidR="008B2236" w:rsidRPr="008B2236" w:rsidRDefault="008B2236" w:rsidP="008B2236">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rPr>
      </w:pPr>
    </w:p>
    <w:p w14:paraId="520D357C" w14:textId="77777777" w:rsidR="00C24CB4" w:rsidRDefault="00C24CB4" w:rsidP="00C24CB4">
      <w:pPr>
        <w:spacing w:before="200" w:after="200" w:line="276" w:lineRule="auto"/>
        <w:jc w:val="center"/>
        <w:rPr>
          <w:rFonts w:ascii="Arial" w:eastAsia="Arial" w:hAnsi="Arial" w:cs="Arial"/>
          <w:color w:val="000000" w:themeColor="text1"/>
        </w:rPr>
      </w:pPr>
    </w:p>
    <w:p w14:paraId="4FFF47FC" w14:textId="77777777" w:rsidR="00C24CB4" w:rsidRDefault="00C24CB4"/>
    <w:p w14:paraId="3D92EBBB" w14:textId="77777777" w:rsidR="00B51719" w:rsidRDefault="00B51719"/>
    <w:p w14:paraId="2D1CB8F1" w14:textId="77777777" w:rsidR="00B51719" w:rsidRDefault="00B51719"/>
    <w:p w14:paraId="7880FB92" w14:textId="77777777" w:rsidR="008A3BD6" w:rsidRDefault="008A3BD6"/>
    <w:p w14:paraId="69203D81" w14:textId="77777777" w:rsidR="00B0460B" w:rsidRDefault="00B0460B"/>
    <w:p w14:paraId="04D557B1" w14:textId="77777777" w:rsidR="000D41C9" w:rsidRDefault="000D41C9"/>
    <w:p w14:paraId="02A4F090" w14:textId="77777777" w:rsidR="000D41C9" w:rsidRDefault="000D41C9"/>
    <w:p w14:paraId="18FA94D0" w14:textId="77777777" w:rsidR="0050052B" w:rsidRDefault="0050052B" w:rsidP="00BD41AA">
      <w:pPr>
        <w:spacing w:before="100" w:beforeAutospacing="1" w:after="100" w:afterAutospacing="1" w:line="360" w:lineRule="auto"/>
        <w:rPr>
          <w:rFonts w:ascii="Arial" w:hAnsi="Arial" w:cs="Arial"/>
          <w:b/>
          <w:bCs/>
          <w:sz w:val="22"/>
          <w:szCs w:val="22"/>
        </w:rPr>
      </w:pPr>
    </w:p>
    <w:p w14:paraId="58085FF8" w14:textId="6B117D23" w:rsidR="006D0AEA" w:rsidRPr="000F09BF" w:rsidRDefault="006D0AEA" w:rsidP="00FC7517">
      <w:pPr>
        <w:spacing w:before="100" w:beforeAutospacing="1" w:line="360" w:lineRule="auto"/>
        <w:rPr>
          <w:rFonts w:ascii="Arial" w:hAnsi="Arial" w:cs="Arial"/>
          <w:b/>
          <w:bCs/>
          <w:sz w:val="22"/>
          <w:szCs w:val="22"/>
        </w:rPr>
      </w:pPr>
      <w:r w:rsidRPr="000F09BF">
        <w:rPr>
          <w:rFonts w:ascii="Arial" w:hAnsi="Arial" w:cs="Arial"/>
          <w:b/>
          <w:bCs/>
          <w:sz w:val="22"/>
          <w:szCs w:val="22"/>
        </w:rPr>
        <w:lastRenderedPageBreak/>
        <w:t>Contents</w:t>
      </w:r>
    </w:p>
    <w:tbl>
      <w:tblPr>
        <w:tblStyle w:val="TableGridLight"/>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8931"/>
        <w:gridCol w:w="805"/>
      </w:tblGrid>
      <w:tr w:rsidR="006D2D4C" w:rsidRPr="000F09BF" w14:paraId="66CF66E4" w14:textId="77777777" w:rsidTr="00C650DF">
        <w:trPr>
          <w:trHeight w:val="454"/>
        </w:trPr>
        <w:tc>
          <w:tcPr>
            <w:tcW w:w="8931" w:type="dxa"/>
            <w:vAlign w:val="center"/>
          </w:tcPr>
          <w:p w14:paraId="6F02231F" w14:textId="0102BB03" w:rsidR="006D2D4C" w:rsidRPr="000F09BF" w:rsidRDefault="007A1F70" w:rsidP="00677D1B">
            <w:pPr>
              <w:spacing w:before="100" w:beforeAutospacing="1" w:after="100" w:afterAutospacing="1"/>
              <w:rPr>
                <w:rFonts w:ascii="Arial" w:hAnsi="Arial" w:cs="Arial"/>
                <w:sz w:val="22"/>
                <w:szCs w:val="22"/>
              </w:rPr>
            </w:pPr>
            <w:r w:rsidRPr="000F09BF">
              <w:rPr>
                <w:rFonts w:ascii="Arial" w:hAnsi="Arial" w:cs="Arial"/>
                <w:sz w:val="22"/>
                <w:szCs w:val="22"/>
              </w:rPr>
              <w:t xml:space="preserve">1. </w:t>
            </w:r>
            <w:r w:rsidR="006D2D4C" w:rsidRPr="000F09BF">
              <w:rPr>
                <w:rFonts w:ascii="Arial" w:hAnsi="Arial" w:cs="Arial"/>
                <w:sz w:val="22"/>
                <w:szCs w:val="22"/>
              </w:rPr>
              <w:t>Introduction</w:t>
            </w:r>
          </w:p>
        </w:tc>
        <w:tc>
          <w:tcPr>
            <w:tcW w:w="805" w:type="dxa"/>
            <w:vAlign w:val="center"/>
          </w:tcPr>
          <w:p w14:paraId="400A50ED" w14:textId="344DD82D" w:rsidR="006D2D4C" w:rsidRPr="000F09BF" w:rsidRDefault="00864166" w:rsidP="00677D1B">
            <w:pPr>
              <w:spacing w:before="100" w:beforeAutospacing="1" w:after="100" w:afterAutospacing="1"/>
              <w:rPr>
                <w:rFonts w:ascii="Arial" w:hAnsi="Arial" w:cs="Arial"/>
                <w:sz w:val="22"/>
                <w:szCs w:val="22"/>
              </w:rPr>
            </w:pPr>
            <w:r>
              <w:rPr>
                <w:rFonts w:ascii="Arial" w:hAnsi="Arial" w:cs="Arial"/>
                <w:sz w:val="22"/>
                <w:szCs w:val="22"/>
              </w:rPr>
              <w:t>3</w:t>
            </w:r>
          </w:p>
        </w:tc>
      </w:tr>
      <w:tr w:rsidR="006D2D4C" w:rsidRPr="000F09BF" w14:paraId="0CE86E3B" w14:textId="77777777" w:rsidTr="00C650DF">
        <w:trPr>
          <w:trHeight w:val="454"/>
        </w:trPr>
        <w:tc>
          <w:tcPr>
            <w:tcW w:w="8931" w:type="dxa"/>
            <w:vAlign w:val="center"/>
          </w:tcPr>
          <w:p w14:paraId="3DAB2E04" w14:textId="01B946F6" w:rsidR="006D2D4C" w:rsidRPr="006C2A5A" w:rsidRDefault="007A1F70" w:rsidP="00677D1B">
            <w:pPr>
              <w:spacing w:before="100" w:beforeAutospacing="1" w:after="100" w:afterAutospacing="1"/>
              <w:rPr>
                <w:rFonts w:ascii="Arial" w:hAnsi="Arial" w:cs="Arial"/>
                <w:sz w:val="22"/>
                <w:szCs w:val="22"/>
                <w:highlight w:val="yellow"/>
              </w:rPr>
            </w:pPr>
            <w:r w:rsidRPr="00303234">
              <w:rPr>
                <w:rFonts w:ascii="Arial" w:hAnsi="Arial" w:cs="Arial"/>
                <w:sz w:val="22"/>
                <w:szCs w:val="22"/>
              </w:rPr>
              <w:t xml:space="preserve">2. </w:t>
            </w:r>
            <w:r w:rsidR="00303234" w:rsidRPr="00303234">
              <w:rPr>
                <w:rFonts w:ascii="Arial" w:hAnsi="Arial" w:cs="Arial"/>
                <w:sz w:val="22"/>
                <w:szCs w:val="22"/>
              </w:rPr>
              <w:t>Design Thinking and Innovation Framework</w:t>
            </w:r>
          </w:p>
        </w:tc>
        <w:tc>
          <w:tcPr>
            <w:tcW w:w="805" w:type="dxa"/>
            <w:vAlign w:val="center"/>
          </w:tcPr>
          <w:p w14:paraId="6B112C96" w14:textId="07C0FC7F" w:rsidR="006D2D4C" w:rsidRPr="000F09BF" w:rsidRDefault="00864166" w:rsidP="00677D1B">
            <w:pPr>
              <w:spacing w:before="100" w:beforeAutospacing="1" w:after="100" w:afterAutospacing="1"/>
              <w:rPr>
                <w:rFonts w:ascii="Arial" w:hAnsi="Arial" w:cs="Arial"/>
                <w:sz w:val="22"/>
                <w:szCs w:val="22"/>
              </w:rPr>
            </w:pPr>
            <w:r>
              <w:rPr>
                <w:rFonts w:ascii="Arial" w:hAnsi="Arial" w:cs="Arial"/>
                <w:sz w:val="22"/>
                <w:szCs w:val="22"/>
              </w:rPr>
              <w:t>3</w:t>
            </w:r>
          </w:p>
        </w:tc>
      </w:tr>
      <w:tr w:rsidR="00045F0B" w:rsidRPr="000F09BF" w14:paraId="48B8222A" w14:textId="77777777" w:rsidTr="00C650DF">
        <w:trPr>
          <w:trHeight w:val="454"/>
        </w:trPr>
        <w:tc>
          <w:tcPr>
            <w:tcW w:w="8931" w:type="dxa"/>
            <w:vAlign w:val="center"/>
          </w:tcPr>
          <w:p w14:paraId="44FCC0AF" w14:textId="75B54B98" w:rsidR="00045F0B" w:rsidRPr="00045F0B" w:rsidRDefault="00045F0B" w:rsidP="00677D1B">
            <w:pPr>
              <w:spacing w:before="100" w:beforeAutospacing="1" w:after="100" w:afterAutospacing="1"/>
              <w:rPr>
                <w:rFonts w:ascii="Arial" w:hAnsi="Arial" w:cs="Arial"/>
                <w:b/>
                <w:bCs/>
                <w:sz w:val="22"/>
                <w:szCs w:val="22"/>
              </w:rPr>
            </w:pPr>
            <w:r w:rsidRPr="00045F0B">
              <w:rPr>
                <w:rFonts w:ascii="Arial" w:hAnsi="Arial" w:cs="Arial"/>
                <w:b/>
                <w:bCs/>
                <w:sz w:val="22"/>
                <w:szCs w:val="22"/>
              </w:rPr>
              <w:t>Task 1: Opportunity Analysis</w:t>
            </w:r>
          </w:p>
        </w:tc>
        <w:tc>
          <w:tcPr>
            <w:tcW w:w="805" w:type="dxa"/>
            <w:vAlign w:val="center"/>
          </w:tcPr>
          <w:p w14:paraId="2F78CF5E" w14:textId="77777777" w:rsidR="00045F0B" w:rsidRDefault="00045F0B" w:rsidP="00677D1B">
            <w:pPr>
              <w:spacing w:before="100" w:beforeAutospacing="1" w:after="100" w:afterAutospacing="1"/>
              <w:rPr>
                <w:rFonts w:ascii="Arial" w:hAnsi="Arial" w:cs="Arial"/>
                <w:sz w:val="22"/>
                <w:szCs w:val="22"/>
              </w:rPr>
            </w:pPr>
          </w:p>
        </w:tc>
      </w:tr>
      <w:tr w:rsidR="006D2D4C" w:rsidRPr="000F09BF" w14:paraId="6B793629" w14:textId="77777777" w:rsidTr="00C650DF">
        <w:trPr>
          <w:trHeight w:val="454"/>
        </w:trPr>
        <w:tc>
          <w:tcPr>
            <w:tcW w:w="8931" w:type="dxa"/>
            <w:vAlign w:val="center"/>
          </w:tcPr>
          <w:p w14:paraId="4BD98AF3" w14:textId="149FDAD7" w:rsidR="006D2D4C" w:rsidRPr="00A35E88" w:rsidRDefault="007A1F70" w:rsidP="00677D1B">
            <w:pPr>
              <w:spacing w:before="100" w:beforeAutospacing="1" w:after="100" w:afterAutospacing="1"/>
              <w:rPr>
                <w:rFonts w:ascii="Arial" w:hAnsi="Arial" w:cs="Arial"/>
                <w:sz w:val="22"/>
                <w:szCs w:val="22"/>
                <w:highlight w:val="yellow"/>
              </w:rPr>
            </w:pPr>
            <w:r w:rsidRPr="00A35E88">
              <w:rPr>
                <w:rFonts w:ascii="Arial" w:hAnsi="Arial" w:cs="Arial"/>
                <w:sz w:val="22"/>
                <w:szCs w:val="22"/>
              </w:rPr>
              <w:t xml:space="preserve">3. </w:t>
            </w:r>
            <w:r w:rsidR="00A35E88" w:rsidRPr="00A35E88">
              <w:rPr>
                <w:rFonts w:ascii="Arial" w:hAnsi="Arial" w:cs="Arial"/>
                <w:sz w:val="22"/>
                <w:szCs w:val="22"/>
              </w:rPr>
              <w:t>Royal Mail and Market Context</w:t>
            </w:r>
          </w:p>
        </w:tc>
        <w:tc>
          <w:tcPr>
            <w:tcW w:w="805" w:type="dxa"/>
            <w:vAlign w:val="center"/>
          </w:tcPr>
          <w:p w14:paraId="73B46AFC" w14:textId="4215CBA7" w:rsidR="006D2D4C" w:rsidRPr="000F09BF" w:rsidRDefault="00864166" w:rsidP="00677D1B">
            <w:pPr>
              <w:spacing w:before="100" w:beforeAutospacing="1" w:after="100" w:afterAutospacing="1"/>
              <w:rPr>
                <w:rFonts w:ascii="Arial" w:hAnsi="Arial" w:cs="Arial"/>
                <w:sz w:val="22"/>
                <w:szCs w:val="22"/>
              </w:rPr>
            </w:pPr>
            <w:r>
              <w:rPr>
                <w:rFonts w:ascii="Arial" w:hAnsi="Arial" w:cs="Arial"/>
                <w:sz w:val="22"/>
                <w:szCs w:val="22"/>
              </w:rPr>
              <w:t>4</w:t>
            </w:r>
          </w:p>
        </w:tc>
      </w:tr>
      <w:tr w:rsidR="006D2D4C" w:rsidRPr="000F09BF" w14:paraId="6B91B7EF" w14:textId="77777777" w:rsidTr="00C650DF">
        <w:trPr>
          <w:trHeight w:val="454"/>
        </w:trPr>
        <w:tc>
          <w:tcPr>
            <w:tcW w:w="8931" w:type="dxa"/>
            <w:vAlign w:val="center"/>
          </w:tcPr>
          <w:p w14:paraId="241FC366" w14:textId="6E9F8BCC" w:rsidR="006D2D4C" w:rsidRPr="006C2A5A" w:rsidRDefault="007A1F70" w:rsidP="00677D1B">
            <w:pPr>
              <w:spacing w:before="100" w:beforeAutospacing="1" w:after="100" w:afterAutospacing="1"/>
              <w:rPr>
                <w:rFonts w:ascii="Arial" w:hAnsi="Arial" w:cs="Arial"/>
                <w:sz w:val="22"/>
                <w:szCs w:val="22"/>
                <w:highlight w:val="yellow"/>
              </w:rPr>
            </w:pPr>
            <w:r w:rsidRPr="00A35E88">
              <w:rPr>
                <w:rFonts w:ascii="Arial" w:hAnsi="Arial" w:cs="Arial"/>
                <w:sz w:val="22"/>
                <w:szCs w:val="22"/>
              </w:rPr>
              <w:t xml:space="preserve">4. </w:t>
            </w:r>
            <w:r w:rsidR="00A35E88" w:rsidRPr="00A35E88">
              <w:rPr>
                <w:rFonts w:ascii="Arial" w:hAnsi="Arial" w:cs="Arial"/>
                <w:sz w:val="22"/>
                <w:szCs w:val="22"/>
              </w:rPr>
              <w:t>Users and Pain Points</w:t>
            </w:r>
          </w:p>
        </w:tc>
        <w:tc>
          <w:tcPr>
            <w:tcW w:w="805" w:type="dxa"/>
            <w:vAlign w:val="center"/>
          </w:tcPr>
          <w:p w14:paraId="7197E74F" w14:textId="6258608F" w:rsidR="006D2D4C" w:rsidRPr="000F09BF" w:rsidRDefault="0060041C" w:rsidP="00677D1B">
            <w:pPr>
              <w:spacing w:before="100" w:beforeAutospacing="1" w:after="100" w:afterAutospacing="1"/>
              <w:rPr>
                <w:rFonts w:ascii="Arial" w:hAnsi="Arial" w:cs="Arial"/>
                <w:sz w:val="22"/>
                <w:szCs w:val="22"/>
              </w:rPr>
            </w:pPr>
            <w:r>
              <w:rPr>
                <w:rFonts w:ascii="Arial" w:hAnsi="Arial" w:cs="Arial"/>
                <w:sz w:val="22"/>
                <w:szCs w:val="22"/>
              </w:rPr>
              <w:t>5</w:t>
            </w:r>
          </w:p>
        </w:tc>
      </w:tr>
      <w:tr w:rsidR="008D4657" w:rsidRPr="000F09BF" w14:paraId="47CF0DA6" w14:textId="77777777" w:rsidTr="00C650DF">
        <w:trPr>
          <w:trHeight w:val="454"/>
        </w:trPr>
        <w:tc>
          <w:tcPr>
            <w:tcW w:w="8931" w:type="dxa"/>
            <w:vAlign w:val="center"/>
          </w:tcPr>
          <w:p w14:paraId="618D96F0" w14:textId="22238887" w:rsidR="008D4657" w:rsidRPr="00A35E88" w:rsidRDefault="008D4657" w:rsidP="00677D1B">
            <w:pPr>
              <w:spacing w:before="100" w:beforeAutospacing="1" w:after="100" w:afterAutospacing="1"/>
              <w:ind w:left="720"/>
              <w:rPr>
                <w:rFonts w:ascii="Arial" w:hAnsi="Arial" w:cs="Arial"/>
                <w:sz w:val="22"/>
                <w:szCs w:val="22"/>
                <w:highlight w:val="yellow"/>
              </w:rPr>
            </w:pPr>
            <w:r w:rsidRPr="00A35E88">
              <w:rPr>
                <w:rFonts w:ascii="Arial" w:hAnsi="Arial" w:cs="Arial"/>
                <w:sz w:val="22"/>
                <w:szCs w:val="22"/>
              </w:rPr>
              <w:t xml:space="preserve">4.1 </w:t>
            </w:r>
            <w:r w:rsidR="00A73CF8" w:rsidRPr="00A73CF8">
              <w:rPr>
                <w:rFonts w:ascii="Arial" w:hAnsi="Arial" w:cs="Arial"/>
                <w:sz w:val="22"/>
                <w:szCs w:val="22"/>
              </w:rPr>
              <w:t>Customer Journey and Pain-Point Map</w:t>
            </w:r>
          </w:p>
        </w:tc>
        <w:tc>
          <w:tcPr>
            <w:tcW w:w="805" w:type="dxa"/>
            <w:vAlign w:val="center"/>
          </w:tcPr>
          <w:p w14:paraId="0FE463A3" w14:textId="270CB849" w:rsidR="008D4657" w:rsidRPr="000F09BF" w:rsidRDefault="0060041C" w:rsidP="00677D1B">
            <w:pPr>
              <w:spacing w:before="100" w:beforeAutospacing="1" w:after="100" w:afterAutospacing="1"/>
              <w:rPr>
                <w:rFonts w:ascii="Arial" w:hAnsi="Arial" w:cs="Arial"/>
                <w:sz w:val="22"/>
                <w:szCs w:val="22"/>
              </w:rPr>
            </w:pPr>
            <w:r>
              <w:rPr>
                <w:rFonts w:ascii="Arial" w:hAnsi="Arial" w:cs="Arial"/>
                <w:sz w:val="22"/>
                <w:szCs w:val="22"/>
              </w:rPr>
              <w:t>5</w:t>
            </w:r>
          </w:p>
        </w:tc>
      </w:tr>
      <w:tr w:rsidR="006D2D4C" w:rsidRPr="000F09BF" w14:paraId="3E44B204" w14:textId="77777777" w:rsidTr="00C650DF">
        <w:trPr>
          <w:trHeight w:val="454"/>
        </w:trPr>
        <w:tc>
          <w:tcPr>
            <w:tcW w:w="8931" w:type="dxa"/>
            <w:vAlign w:val="center"/>
          </w:tcPr>
          <w:p w14:paraId="504A3DCA" w14:textId="3D3C8AE5" w:rsidR="00A35E88" w:rsidRPr="00A35E88" w:rsidRDefault="007A1F70" w:rsidP="00677D1B">
            <w:pPr>
              <w:spacing w:before="100" w:beforeAutospacing="1" w:after="100" w:afterAutospacing="1"/>
              <w:rPr>
                <w:rFonts w:ascii="Arial" w:hAnsi="Arial" w:cs="Arial"/>
                <w:sz w:val="22"/>
                <w:szCs w:val="22"/>
              </w:rPr>
            </w:pPr>
            <w:r w:rsidRPr="00A35E88">
              <w:rPr>
                <w:rFonts w:ascii="Arial" w:hAnsi="Arial" w:cs="Arial"/>
                <w:sz w:val="22"/>
                <w:szCs w:val="22"/>
              </w:rPr>
              <w:t xml:space="preserve">5. </w:t>
            </w:r>
            <w:r w:rsidR="00A35E88" w:rsidRPr="00A35E88">
              <w:rPr>
                <w:rFonts w:ascii="Arial" w:hAnsi="Arial" w:cs="Arial"/>
                <w:sz w:val="22"/>
                <w:szCs w:val="22"/>
              </w:rPr>
              <w:t>Key Opportunity Areas</w:t>
            </w:r>
          </w:p>
        </w:tc>
        <w:tc>
          <w:tcPr>
            <w:tcW w:w="805" w:type="dxa"/>
            <w:vAlign w:val="center"/>
          </w:tcPr>
          <w:p w14:paraId="4B3152DC" w14:textId="4620C84F" w:rsidR="006D2D4C" w:rsidRPr="000F09BF" w:rsidRDefault="002B1EEE" w:rsidP="00677D1B">
            <w:pPr>
              <w:spacing w:before="100" w:beforeAutospacing="1" w:after="100" w:afterAutospacing="1"/>
              <w:rPr>
                <w:rFonts w:ascii="Arial" w:hAnsi="Arial" w:cs="Arial"/>
                <w:sz w:val="22"/>
                <w:szCs w:val="22"/>
              </w:rPr>
            </w:pPr>
            <w:r>
              <w:rPr>
                <w:rFonts w:ascii="Arial" w:hAnsi="Arial" w:cs="Arial"/>
                <w:sz w:val="22"/>
                <w:szCs w:val="22"/>
              </w:rPr>
              <w:t>7</w:t>
            </w:r>
          </w:p>
        </w:tc>
      </w:tr>
      <w:tr w:rsidR="00A35E88" w:rsidRPr="000F09BF" w14:paraId="6E981FF5" w14:textId="77777777" w:rsidTr="00C650DF">
        <w:trPr>
          <w:trHeight w:val="454"/>
        </w:trPr>
        <w:tc>
          <w:tcPr>
            <w:tcW w:w="8931" w:type="dxa"/>
            <w:vAlign w:val="center"/>
          </w:tcPr>
          <w:p w14:paraId="7061CFA4" w14:textId="1EE9B03C" w:rsidR="00A35E88" w:rsidRPr="00A35E88" w:rsidRDefault="00A35E88" w:rsidP="00677D1B">
            <w:pPr>
              <w:spacing w:before="100" w:beforeAutospacing="1" w:after="100" w:afterAutospacing="1"/>
              <w:ind w:left="720"/>
              <w:rPr>
                <w:rFonts w:ascii="Arial" w:hAnsi="Arial" w:cs="Arial"/>
                <w:sz w:val="22"/>
                <w:szCs w:val="22"/>
              </w:rPr>
            </w:pPr>
            <w:r>
              <w:rPr>
                <w:rFonts w:ascii="Arial" w:hAnsi="Arial" w:cs="Arial"/>
                <w:sz w:val="22"/>
                <w:szCs w:val="22"/>
              </w:rPr>
              <w:t>5</w:t>
            </w:r>
            <w:r w:rsidRPr="00A35E88">
              <w:rPr>
                <w:rFonts w:ascii="Arial" w:hAnsi="Arial" w:cs="Arial"/>
                <w:sz w:val="22"/>
                <w:szCs w:val="22"/>
              </w:rPr>
              <w:t xml:space="preserve">.1 </w:t>
            </w:r>
            <w:r w:rsidR="00D24B5E" w:rsidRPr="00D24B5E">
              <w:rPr>
                <w:rFonts w:ascii="Arial" w:hAnsi="Arial" w:cs="Arial"/>
                <w:sz w:val="22"/>
                <w:szCs w:val="22"/>
              </w:rPr>
              <w:t>Integrated Fulfilment Software</w:t>
            </w:r>
          </w:p>
        </w:tc>
        <w:tc>
          <w:tcPr>
            <w:tcW w:w="805" w:type="dxa"/>
            <w:vAlign w:val="center"/>
          </w:tcPr>
          <w:p w14:paraId="7367C25B" w14:textId="3BC7844B" w:rsidR="00A35E88" w:rsidRDefault="007A569F" w:rsidP="00677D1B">
            <w:pPr>
              <w:spacing w:before="100" w:beforeAutospacing="1" w:after="100" w:afterAutospacing="1"/>
              <w:rPr>
                <w:rFonts w:ascii="Arial" w:hAnsi="Arial" w:cs="Arial"/>
                <w:sz w:val="22"/>
                <w:szCs w:val="22"/>
              </w:rPr>
            </w:pPr>
            <w:r>
              <w:rPr>
                <w:rFonts w:ascii="Arial" w:hAnsi="Arial" w:cs="Arial"/>
                <w:sz w:val="22"/>
                <w:szCs w:val="22"/>
              </w:rPr>
              <w:t>7</w:t>
            </w:r>
          </w:p>
        </w:tc>
      </w:tr>
      <w:tr w:rsidR="00A35E88" w:rsidRPr="000F09BF" w14:paraId="6BAADFFF" w14:textId="77777777" w:rsidTr="00C650DF">
        <w:trPr>
          <w:trHeight w:val="454"/>
        </w:trPr>
        <w:tc>
          <w:tcPr>
            <w:tcW w:w="8931" w:type="dxa"/>
            <w:vAlign w:val="center"/>
          </w:tcPr>
          <w:p w14:paraId="6E05C1DC" w14:textId="05216D33" w:rsidR="00A35E88" w:rsidRDefault="00A35E88" w:rsidP="00677D1B">
            <w:pPr>
              <w:spacing w:before="100" w:beforeAutospacing="1" w:after="100" w:afterAutospacing="1"/>
              <w:ind w:left="720"/>
              <w:rPr>
                <w:rFonts w:ascii="Arial" w:hAnsi="Arial" w:cs="Arial"/>
                <w:sz w:val="22"/>
                <w:szCs w:val="22"/>
              </w:rPr>
            </w:pPr>
            <w:r>
              <w:rPr>
                <w:rFonts w:ascii="Arial" w:hAnsi="Arial" w:cs="Arial"/>
                <w:sz w:val="22"/>
                <w:szCs w:val="22"/>
              </w:rPr>
              <w:t>5.2</w:t>
            </w:r>
            <w:r w:rsidR="00D24B5E">
              <w:rPr>
                <w:rFonts w:ascii="Arial" w:hAnsi="Arial" w:cs="Arial"/>
                <w:sz w:val="22"/>
                <w:szCs w:val="22"/>
              </w:rPr>
              <w:t xml:space="preserve"> </w:t>
            </w:r>
            <w:r w:rsidR="00D24B5E" w:rsidRPr="00D24B5E">
              <w:rPr>
                <w:rFonts w:ascii="Arial" w:hAnsi="Arial" w:cs="Arial"/>
                <w:sz w:val="22"/>
                <w:szCs w:val="22"/>
              </w:rPr>
              <w:t>AI-Assisted Route Planning</w:t>
            </w:r>
          </w:p>
        </w:tc>
        <w:tc>
          <w:tcPr>
            <w:tcW w:w="805" w:type="dxa"/>
            <w:vAlign w:val="center"/>
          </w:tcPr>
          <w:p w14:paraId="6DEB01A4" w14:textId="408B5BAB" w:rsidR="00A35E88" w:rsidRDefault="00A35E88" w:rsidP="00677D1B">
            <w:pPr>
              <w:spacing w:before="100" w:beforeAutospacing="1" w:after="100" w:afterAutospacing="1"/>
              <w:rPr>
                <w:rFonts w:ascii="Arial" w:hAnsi="Arial" w:cs="Arial"/>
                <w:sz w:val="22"/>
                <w:szCs w:val="22"/>
              </w:rPr>
            </w:pPr>
            <w:r>
              <w:rPr>
                <w:rFonts w:ascii="Arial" w:hAnsi="Arial" w:cs="Arial"/>
                <w:sz w:val="22"/>
                <w:szCs w:val="22"/>
              </w:rPr>
              <w:t>7</w:t>
            </w:r>
          </w:p>
        </w:tc>
      </w:tr>
      <w:tr w:rsidR="00A35E88" w:rsidRPr="000F09BF" w14:paraId="33D25AB1" w14:textId="77777777" w:rsidTr="00C650DF">
        <w:trPr>
          <w:trHeight w:val="454"/>
        </w:trPr>
        <w:tc>
          <w:tcPr>
            <w:tcW w:w="8931" w:type="dxa"/>
            <w:vAlign w:val="center"/>
          </w:tcPr>
          <w:p w14:paraId="5CFB4BD9" w14:textId="1842B82E" w:rsidR="00A35E88" w:rsidRDefault="00A35E88" w:rsidP="00677D1B">
            <w:pPr>
              <w:spacing w:before="100" w:beforeAutospacing="1" w:after="100" w:afterAutospacing="1"/>
              <w:ind w:left="720"/>
              <w:rPr>
                <w:rFonts w:ascii="Arial" w:hAnsi="Arial" w:cs="Arial"/>
                <w:sz w:val="22"/>
                <w:szCs w:val="22"/>
              </w:rPr>
            </w:pPr>
            <w:r>
              <w:rPr>
                <w:rFonts w:ascii="Arial" w:hAnsi="Arial" w:cs="Arial"/>
                <w:sz w:val="22"/>
                <w:szCs w:val="22"/>
              </w:rPr>
              <w:t>5.3</w:t>
            </w:r>
            <w:r w:rsidR="00D24B5E">
              <w:rPr>
                <w:rFonts w:ascii="Arial" w:hAnsi="Arial" w:cs="Arial"/>
                <w:sz w:val="22"/>
                <w:szCs w:val="22"/>
              </w:rPr>
              <w:t xml:space="preserve"> </w:t>
            </w:r>
            <w:r w:rsidR="00D24B5E" w:rsidRPr="00D24B5E">
              <w:rPr>
                <w:rFonts w:ascii="Arial" w:hAnsi="Arial" w:cs="Arial"/>
                <w:sz w:val="22"/>
                <w:szCs w:val="22"/>
              </w:rPr>
              <w:t>Community Parcel Consolidation</w:t>
            </w:r>
          </w:p>
        </w:tc>
        <w:tc>
          <w:tcPr>
            <w:tcW w:w="805" w:type="dxa"/>
            <w:vAlign w:val="center"/>
          </w:tcPr>
          <w:p w14:paraId="2F99A16B" w14:textId="3D4878A0" w:rsidR="00A35E88" w:rsidRDefault="00A35E88" w:rsidP="00677D1B">
            <w:pPr>
              <w:spacing w:before="100" w:beforeAutospacing="1" w:after="100" w:afterAutospacing="1"/>
              <w:rPr>
                <w:rFonts w:ascii="Arial" w:hAnsi="Arial" w:cs="Arial"/>
                <w:sz w:val="22"/>
                <w:szCs w:val="22"/>
              </w:rPr>
            </w:pPr>
            <w:r>
              <w:rPr>
                <w:rFonts w:ascii="Arial" w:hAnsi="Arial" w:cs="Arial"/>
                <w:sz w:val="22"/>
                <w:szCs w:val="22"/>
              </w:rPr>
              <w:t>7</w:t>
            </w:r>
          </w:p>
        </w:tc>
      </w:tr>
      <w:tr w:rsidR="00A35E88" w:rsidRPr="000F09BF" w14:paraId="265B95A3" w14:textId="77777777" w:rsidTr="00C650DF">
        <w:trPr>
          <w:trHeight w:val="454"/>
        </w:trPr>
        <w:tc>
          <w:tcPr>
            <w:tcW w:w="8931" w:type="dxa"/>
            <w:vAlign w:val="center"/>
          </w:tcPr>
          <w:p w14:paraId="42184C92" w14:textId="38FF5ED8" w:rsidR="00A35E88" w:rsidRDefault="00A35E88" w:rsidP="00677D1B">
            <w:pPr>
              <w:spacing w:before="100" w:beforeAutospacing="1" w:after="100" w:afterAutospacing="1"/>
              <w:ind w:left="720"/>
              <w:rPr>
                <w:rFonts w:ascii="Arial" w:hAnsi="Arial" w:cs="Arial"/>
                <w:sz w:val="22"/>
                <w:szCs w:val="22"/>
              </w:rPr>
            </w:pPr>
            <w:r>
              <w:rPr>
                <w:rFonts w:ascii="Arial" w:hAnsi="Arial" w:cs="Arial"/>
                <w:sz w:val="22"/>
                <w:szCs w:val="22"/>
              </w:rPr>
              <w:t>5.4</w:t>
            </w:r>
            <w:r w:rsidR="00D24B5E">
              <w:rPr>
                <w:rFonts w:ascii="Arial" w:hAnsi="Arial" w:cs="Arial"/>
                <w:sz w:val="22"/>
                <w:szCs w:val="22"/>
              </w:rPr>
              <w:t xml:space="preserve"> </w:t>
            </w:r>
            <w:r w:rsidR="00D24B5E" w:rsidRPr="00D24B5E">
              <w:rPr>
                <w:rFonts w:ascii="Arial" w:hAnsi="Arial" w:cs="Arial"/>
                <w:sz w:val="22"/>
                <w:szCs w:val="22"/>
              </w:rPr>
              <w:t>Integrated Returns</w:t>
            </w:r>
          </w:p>
        </w:tc>
        <w:tc>
          <w:tcPr>
            <w:tcW w:w="805" w:type="dxa"/>
            <w:vAlign w:val="center"/>
          </w:tcPr>
          <w:p w14:paraId="393E4EA3" w14:textId="2048733C" w:rsidR="00A35E88" w:rsidRDefault="00A35E88" w:rsidP="00677D1B">
            <w:pPr>
              <w:spacing w:before="100" w:beforeAutospacing="1" w:after="100" w:afterAutospacing="1"/>
              <w:rPr>
                <w:rFonts w:ascii="Arial" w:hAnsi="Arial" w:cs="Arial"/>
                <w:sz w:val="22"/>
                <w:szCs w:val="22"/>
              </w:rPr>
            </w:pPr>
            <w:r>
              <w:rPr>
                <w:rFonts w:ascii="Arial" w:hAnsi="Arial" w:cs="Arial"/>
                <w:sz w:val="22"/>
                <w:szCs w:val="22"/>
              </w:rPr>
              <w:t>7</w:t>
            </w:r>
          </w:p>
        </w:tc>
      </w:tr>
      <w:tr w:rsidR="00A35E88" w:rsidRPr="000F09BF" w14:paraId="7CB138CC" w14:textId="77777777" w:rsidTr="00C650DF">
        <w:trPr>
          <w:trHeight w:val="454"/>
        </w:trPr>
        <w:tc>
          <w:tcPr>
            <w:tcW w:w="8931" w:type="dxa"/>
            <w:vAlign w:val="center"/>
          </w:tcPr>
          <w:p w14:paraId="22886090" w14:textId="4CBE1333" w:rsidR="00A35E88" w:rsidRDefault="00A35E88" w:rsidP="00677D1B">
            <w:pPr>
              <w:spacing w:before="100" w:beforeAutospacing="1" w:after="100" w:afterAutospacing="1"/>
              <w:ind w:left="720"/>
              <w:rPr>
                <w:rFonts w:ascii="Arial" w:hAnsi="Arial" w:cs="Arial"/>
                <w:sz w:val="22"/>
                <w:szCs w:val="22"/>
              </w:rPr>
            </w:pPr>
            <w:r>
              <w:rPr>
                <w:rFonts w:ascii="Arial" w:hAnsi="Arial" w:cs="Arial"/>
                <w:sz w:val="22"/>
                <w:szCs w:val="22"/>
              </w:rPr>
              <w:t>5.5</w:t>
            </w:r>
            <w:r w:rsidR="00D24B5E">
              <w:rPr>
                <w:rFonts w:ascii="Arial" w:hAnsi="Arial" w:cs="Arial"/>
                <w:sz w:val="22"/>
                <w:szCs w:val="22"/>
              </w:rPr>
              <w:t xml:space="preserve"> </w:t>
            </w:r>
            <w:r w:rsidR="00D24B5E" w:rsidRPr="00D24B5E">
              <w:rPr>
                <w:rFonts w:ascii="Arial" w:hAnsi="Arial" w:cs="Arial"/>
                <w:sz w:val="22"/>
                <w:szCs w:val="22"/>
              </w:rPr>
              <w:t>Accessible Lockers and Parcel Points</w:t>
            </w:r>
          </w:p>
        </w:tc>
        <w:tc>
          <w:tcPr>
            <w:tcW w:w="805" w:type="dxa"/>
            <w:vAlign w:val="center"/>
          </w:tcPr>
          <w:p w14:paraId="64ED3FB0" w14:textId="3E9459D2" w:rsidR="00A35E88" w:rsidRDefault="007A569F" w:rsidP="00677D1B">
            <w:pPr>
              <w:spacing w:before="100" w:beforeAutospacing="1" w:after="100" w:afterAutospacing="1"/>
              <w:rPr>
                <w:rFonts w:ascii="Arial" w:hAnsi="Arial" w:cs="Arial"/>
                <w:sz w:val="22"/>
                <w:szCs w:val="22"/>
              </w:rPr>
            </w:pPr>
            <w:r>
              <w:rPr>
                <w:rFonts w:ascii="Arial" w:hAnsi="Arial" w:cs="Arial"/>
                <w:sz w:val="22"/>
                <w:szCs w:val="22"/>
              </w:rPr>
              <w:t>8</w:t>
            </w:r>
          </w:p>
        </w:tc>
      </w:tr>
      <w:tr w:rsidR="00A35E88" w:rsidRPr="000F09BF" w14:paraId="0076AAA2" w14:textId="77777777" w:rsidTr="00C650DF">
        <w:trPr>
          <w:trHeight w:val="454"/>
        </w:trPr>
        <w:tc>
          <w:tcPr>
            <w:tcW w:w="8931" w:type="dxa"/>
            <w:vAlign w:val="center"/>
          </w:tcPr>
          <w:p w14:paraId="6C6E1319" w14:textId="1BEC8607" w:rsidR="00A35E88" w:rsidRPr="00E22F22" w:rsidRDefault="00A35E88" w:rsidP="00677D1B">
            <w:pPr>
              <w:spacing w:before="100" w:beforeAutospacing="1" w:after="100" w:afterAutospacing="1"/>
              <w:rPr>
                <w:rFonts w:ascii="Arial" w:hAnsi="Arial" w:cs="Arial"/>
                <w:sz w:val="22"/>
                <w:szCs w:val="22"/>
                <w:highlight w:val="yellow"/>
              </w:rPr>
            </w:pPr>
            <w:r w:rsidRPr="00E22F22">
              <w:rPr>
                <w:rFonts w:ascii="Arial" w:hAnsi="Arial" w:cs="Arial"/>
                <w:sz w:val="22"/>
                <w:szCs w:val="22"/>
              </w:rPr>
              <w:t xml:space="preserve">6. </w:t>
            </w:r>
            <w:r w:rsidR="00E22F22" w:rsidRPr="00E22F22">
              <w:rPr>
                <w:rFonts w:ascii="Arial" w:hAnsi="Arial" w:cs="Arial"/>
                <w:sz w:val="22"/>
                <w:szCs w:val="22"/>
              </w:rPr>
              <w:t>Scalability and Sustainability</w:t>
            </w:r>
          </w:p>
        </w:tc>
        <w:tc>
          <w:tcPr>
            <w:tcW w:w="805" w:type="dxa"/>
            <w:vAlign w:val="center"/>
          </w:tcPr>
          <w:p w14:paraId="55DFA981" w14:textId="4A5B56B0" w:rsidR="00A35E88" w:rsidRPr="000F09BF" w:rsidRDefault="00A35E88" w:rsidP="00677D1B">
            <w:pPr>
              <w:spacing w:before="100" w:beforeAutospacing="1" w:after="100" w:afterAutospacing="1"/>
              <w:rPr>
                <w:rFonts w:ascii="Arial" w:hAnsi="Arial" w:cs="Arial"/>
                <w:sz w:val="22"/>
                <w:szCs w:val="22"/>
              </w:rPr>
            </w:pPr>
            <w:r>
              <w:rPr>
                <w:rFonts w:ascii="Arial" w:hAnsi="Arial" w:cs="Arial"/>
                <w:sz w:val="22"/>
                <w:szCs w:val="22"/>
              </w:rPr>
              <w:t>8</w:t>
            </w:r>
          </w:p>
        </w:tc>
      </w:tr>
      <w:tr w:rsidR="00045F0B" w:rsidRPr="000F09BF" w14:paraId="23189895" w14:textId="77777777" w:rsidTr="00C650DF">
        <w:trPr>
          <w:trHeight w:val="454"/>
        </w:trPr>
        <w:tc>
          <w:tcPr>
            <w:tcW w:w="8931" w:type="dxa"/>
            <w:vAlign w:val="center"/>
          </w:tcPr>
          <w:p w14:paraId="5A2BBC2A" w14:textId="150AA7AC" w:rsidR="00045F0B" w:rsidRPr="00045F0B" w:rsidRDefault="00045F0B" w:rsidP="00677D1B">
            <w:pPr>
              <w:spacing w:before="100" w:beforeAutospacing="1" w:after="100" w:afterAutospacing="1"/>
              <w:rPr>
                <w:rFonts w:ascii="Arial" w:hAnsi="Arial" w:cs="Arial"/>
                <w:b/>
                <w:bCs/>
                <w:sz w:val="22"/>
                <w:szCs w:val="22"/>
              </w:rPr>
            </w:pPr>
            <w:r w:rsidRPr="00045F0B">
              <w:rPr>
                <w:rFonts w:ascii="Arial" w:hAnsi="Arial" w:cs="Arial"/>
                <w:b/>
                <w:bCs/>
                <w:sz w:val="22"/>
                <w:szCs w:val="22"/>
              </w:rPr>
              <w:t>Task 2: Applying the Five Stages of Design Thinking</w:t>
            </w:r>
          </w:p>
        </w:tc>
        <w:tc>
          <w:tcPr>
            <w:tcW w:w="805" w:type="dxa"/>
            <w:vAlign w:val="center"/>
          </w:tcPr>
          <w:p w14:paraId="5ADE7418" w14:textId="77777777" w:rsidR="00045F0B" w:rsidRDefault="00045F0B" w:rsidP="00677D1B">
            <w:pPr>
              <w:spacing w:before="100" w:beforeAutospacing="1" w:after="100" w:afterAutospacing="1"/>
              <w:rPr>
                <w:rFonts w:ascii="Arial" w:hAnsi="Arial" w:cs="Arial"/>
                <w:sz w:val="22"/>
                <w:szCs w:val="22"/>
              </w:rPr>
            </w:pPr>
          </w:p>
        </w:tc>
      </w:tr>
      <w:tr w:rsidR="00A35E88" w:rsidRPr="000F09BF" w14:paraId="1A76A7A1" w14:textId="77777777" w:rsidTr="00C650DF">
        <w:trPr>
          <w:trHeight w:val="454"/>
        </w:trPr>
        <w:tc>
          <w:tcPr>
            <w:tcW w:w="8931" w:type="dxa"/>
            <w:vAlign w:val="center"/>
          </w:tcPr>
          <w:p w14:paraId="637CCA7D" w14:textId="0920F1BB" w:rsidR="00A35E88" w:rsidRPr="00F838E3" w:rsidRDefault="00A35E88" w:rsidP="00677D1B">
            <w:pPr>
              <w:spacing w:before="100" w:beforeAutospacing="1" w:after="100" w:afterAutospacing="1"/>
              <w:rPr>
                <w:rFonts w:ascii="Arial" w:hAnsi="Arial" w:cs="Arial"/>
                <w:sz w:val="22"/>
                <w:szCs w:val="22"/>
                <w:highlight w:val="yellow"/>
              </w:rPr>
            </w:pPr>
            <w:r w:rsidRPr="00F838E3">
              <w:rPr>
                <w:rFonts w:ascii="Arial" w:hAnsi="Arial" w:cs="Arial"/>
                <w:sz w:val="22"/>
                <w:szCs w:val="22"/>
              </w:rPr>
              <w:t xml:space="preserve">7. </w:t>
            </w:r>
            <w:r w:rsidR="00F838E3" w:rsidRPr="00F838E3">
              <w:rPr>
                <w:rFonts w:ascii="Arial" w:hAnsi="Arial" w:cs="Arial"/>
                <w:sz w:val="22"/>
                <w:szCs w:val="22"/>
              </w:rPr>
              <w:t>Empathise</w:t>
            </w:r>
          </w:p>
        </w:tc>
        <w:tc>
          <w:tcPr>
            <w:tcW w:w="805" w:type="dxa"/>
            <w:vAlign w:val="center"/>
          </w:tcPr>
          <w:p w14:paraId="4570FBBF" w14:textId="47DADF05" w:rsidR="00A35E88" w:rsidRPr="000F09BF" w:rsidRDefault="00A35E88" w:rsidP="00677D1B">
            <w:pPr>
              <w:spacing w:before="100" w:beforeAutospacing="1" w:after="100" w:afterAutospacing="1"/>
              <w:rPr>
                <w:rFonts w:ascii="Arial" w:hAnsi="Arial" w:cs="Arial"/>
                <w:sz w:val="22"/>
                <w:szCs w:val="22"/>
              </w:rPr>
            </w:pPr>
            <w:r>
              <w:rPr>
                <w:rFonts w:ascii="Arial" w:hAnsi="Arial" w:cs="Arial"/>
                <w:sz w:val="22"/>
                <w:szCs w:val="22"/>
              </w:rPr>
              <w:t>9</w:t>
            </w:r>
          </w:p>
        </w:tc>
      </w:tr>
      <w:tr w:rsidR="00F838E3" w:rsidRPr="000F09BF" w14:paraId="0B274FBD" w14:textId="77777777" w:rsidTr="00C650DF">
        <w:trPr>
          <w:trHeight w:val="454"/>
        </w:trPr>
        <w:tc>
          <w:tcPr>
            <w:tcW w:w="8931" w:type="dxa"/>
            <w:vAlign w:val="center"/>
          </w:tcPr>
          <w:p w14:paraId="7698B1EB" w14:textId="465C5DDF" w:rsidR="00F838E3" w:rsidRPr="00CD57F1" w:rsidRDefault="00F838E3" w:rsidP="00CD57F1">
            <w:pPr>
              <w:spacing w:before="100" w:beforeAutospacing="1" w:after="100" w:afterAutospacing="1"/>
              <w:ind w:left="720"/>
              <w:rPr>
                <w:rFonts w:ascii="Arial" w:hAnsi="Arial" w:cs="Arial"/>
                <w:b/>
                <w:bCs/>
                <w:sz w:val="22"/>
                <w:szCs w:val="22"/>
              </w:rPr>
            </w:pPr>
            <w:r>
              <w:rPr>
                <w:rFonts w:ascii="Arial" w:hAnsi="Arial" w:cs="Arial"/>
                <w:sz w:val="22"/>
                <w:szCs w:val="22"/>
              </w:rPr>
              <w:t>7.1</w:t>
            </w:r>
            <w:r w:rsidR="007828B5">
              <w:rPr>
                <w:rFonts w:ascii="Arial" w:hAnsi="Arial" w:cs="Arial"/>
                <w:sz w:val="22"/>
                <w:szCs w:val="22"/>
              </w:rPr>
              <w:t xml:space="preserve"> </w:t>
            </w:r>
            <w:r w:rsidR="00CD57F1" w:rsidRPr="00CD57F1">
              <w:rPr>
                <w:rFonts w:ascii="Arial" w:hAnsi="Arial" w:cs="Arial"/>
                <w:sz w:val="22"/>
                <w:szCs w:val="22"/>
              </w:rPr>
              <w:t>Proposed User Research</w:t>
            </w:r>
          </w:p>
        </w:tc>
        <w:tc>
          <w:tcPr>
            <w:tcW w:w="805" w:type="dxa"/>
            <w:vAlign w:val="center"/>
          </w:tcPr>
          <w:p w14:paraId="5AEE8313" w14:textId="37544AF9" w:rsidR="00F838E3" w:rsidRDefault="00F838E3" w:rsidP="00677D1B">
            <w:pPr>
              <w:spacing w:before="100" w:beforeAutospacing="1" w:after="100" w:afterAutospacing="1"/>
              <w:rPr>
                <w:rFonts w:ascii="Arial" w:hAnsi="Arial" w:cs="Arial"/>
                <w:sz w:val="22"/>
                <w:szCs w:val="22"/>
              </w:rPr>
            </w:pPr>
            <w:r>
              <w:rPr>
                <w:rFonts w:ascii="Arial" w:hAnsi="Arial" w:cs="Arial"/>
                <w:sz w:val="22"/>
                <w:szCs w:val="22"/>
              </w:rPr>
              <w:t>9</w:t>
            </w:r>
          </w:p>
        </w:tc>
      </w:tr>
      <w:tr w:rsidR="00F838E3" w:rsidRPr="000F09BF" w14:paraId="7642144E" w14:textId="77777777" w:rsidTr="00C650DF">
        <w:trPr>
          <w:trHeight w:val="454"/>
        </w:trPr>
        <w:tc>
          <w:tcPr>
            <w:tcW w:w="8931" w:type="dxa"/>
            <w:vAlign w:val="center"/>
          </w:tcPr>
          <w:p w14:paraId="77012C9B" w14:textId="55CBA893" w:rsidR="00F838E3" w:rsidRPr="00CD57F1" w:rsidRDefault="00F838E3" w:rsidP="00CD57F1">
            <w:pPr>
              <w:spacing w:before="100" w:beforeAutospacing="1" w:after="100" w:afterAutospacing="1"/>
              <w:ind w:left="720"/>
              <w:rPr>
                <w:rFonts w:ascii="Arial" w:hAnsi="Arial" w:cs="Arial"/>
                <w:b/>
                <w:bCs/>
                <w:sz w:val="22"/>
                <w:szCs w:val="22"/>
              </w:rPr>
            </w:pPr>
            <w:r>
              <w:rPr>
                <w:rFonts w:ascii="Arial" w:hAnsi="Arial" w:cs="Arial"/>
                <w:sz w:val="22"/>
                <w:szCs w:val="22"/>
              </w:rPr>
              <w:t>7.2</w:t>
            </w:r>
            <w:r w:rsidR="007828B5">
              <w:rPr>
                <w:rFonts w:ascii="Arial" w:hAnsi="Arial" w:cs="Arial"/>
                <w:sz w:val="22"/>
                <w:szCs w:val="22"/>
              </w:rPr>
              <w:t xml:space="preserve"> </w:t>
            </w:r>
            <w:r w:rsidR="00CD57F1" w:rsidRPr="00CD57F1">
              <w:rPr>
                <w:rFonts w:ascii="Arial" w:hAnsi="Arial" w:cs="Arial"/>
                <w:sz w:val="22"/>
                <w:szCs w:val="22"/>
              </w:rPr>
              <w:t>Define: Problem Statement and Design Question</w:t>
            </w:r>
          </w:p>
        </w:tc>
        <w:tc>
          <w:tcPr>
            <w:tcW w:w="805" w:type="dxa"/>
            <w:vAlign w:val="center"/>
          </w:tcPr>
          <w:p w14:paraId="03192236" w14:textId="37CCF512" w:rsidR="00F838E3" w:rsidRDefault="00F838E3" w:rsidP="00677D1B">
            <w:pPr>
              <w:spacing w:before="100" w:beforeAutospacing="1" w:after="100" w:afterAutospacing="1"/>
              <w:rPr>
                <w:rFonts w:ascii="Arial" w:hAnsi="Arial" w:cs="Arial"/>
                <w:sz w:val="22"/>
                <w:szCs w:val="22"/>
              </w:rPr>
            </w:pPr>
            <w:r>
              <w:rPr>
                <w:rFonts w:ascii="Arial" w:hAnsi="Arial" w:cs="Arial"/>
                <w:sz w:val="22"/>
                <w:szCs w:val="22"/>
              </w:rPr>
              <w:t>9</w:t>
            </w:r>
          </w:p>
        </w:tc>
      </w:tr>
      <w:tr w:rsidR="00CD57F1" w:rsidRPr="000F09BF" w14:paraId="2C6AB787" w14:textId="77777777" w:rsidTr="00C650DF">
        <w:trPr>
          <w:trHeight w:val="454"/>
        </w:trPr>
        <w:tc>
          <w:tcPr>
            <w:tcW w:w="8931" w:type="dxa"/>
            <w:vAlign w:val="center"/>
          </w:tcPr>
          <w:p w14:paraId="7B35805D" w14:textId="0E5EC1D6" w:rsidR="00CD57F1" w:rsidRPr="00CD57F1" w:rsidRDefault="00CD57F1" w:rsidP="00CD57F1">
            <w:pPr>
              <w:spacing w:before="100" w:beforeAutospacing="1" w:after="100" w:afterAutospacing="1"/>
              <w:ind w:left="720"/>
              <w:rPr>
                <w:rFonts w:ascii="Arial" w:hAnsi="Arial" w:cs="Arial"/>
                <w:b/>
                <w:bCs/>
                <w:sz w:val="22"/>
                <w:szCs w:val="22"/>
              </w:rPr>
            </w:pPr>
            <w:r>
              <w:rPr>
                <w:rFonts w:ascii="Arial" w:hAnsi="Arial" w:cs="Arial"/>
                <w:sz w:val="22"/>
                <w:szCs w:val="22"/>
              </w:rPr>
              <w:t xml:space="preserve">7.3 </w:t>
            </w:r>
            <w:r w:rsidRPr="00CD57F1">
              <w:rPr>
                <w:rFonts w:ascii="Arial" w:hAnsi="Arial" w:cs="Arial"/>
                <w:sz w:val="22"/>
                <w:szCs w:val="22"/>
              </w:rPr>
              <w:t>Causal Mapping Analysis</w:t>
            </w:r>
          </w:p>
        </w:tc>
        <w:tc>
          <w:tcPr>
            <w:tcW w:w="805" w:type="dxa"/>
            <w:vAlign w:val="center"/>
          </w:tcPr>
          <w:p w14:paraId="4E8A584F" w14:textId="476A3BAC" w:rsidR="00CD57F1" w:rsidRDefault="009E63D0" w:rsidP="00677D1B">
            <w:pPr>
              <w:spacing w:before="100" w:beforeAutospacing="1" w:after="100" w:afterAutospacing="1"/>
              <w:rPr>
                <w:rFonts w:ascii="Arial" w:hAnsi="Arial" w:cs="Arial"/>
                <w:sz w:val="22"/>
                <w:szCs w:val="22"/>
              </w:rPr>
            </w:pPr>
            <w:r>
              <w:rPr>
                <w:rFonts w:ascii="Arial" w:hAnsi="Arial" w:cs="Arial"/>
                <w:sz w:val="22"/>
                <w:szCs w:val="22"/>
              </w:rPr>
              <w:t>10</w:t>
            </w:r>
          </w:p>
        </w:tc>
      </w:tr>
      <w:tr w:rsidR="00A35E88" w:rsidRPr="000F09BF" w14:paraId="5357531C" w14:textId="77777777" w:rsidTr="00C650DF">
        <w:trPr>
          <w:trHeight w:val="454"/>
        </w:trPr>
        <w:tc>
          <w:tcPr>
            <w:tcW w:w="8931" w:type="dxa"/>
            <w:vAlign w:val="center"/>
          </w:tcPr>
          <w:p w14:paraId="55098BC7" w14:textId="3205BB58" w:rsidR="00A35E88" w:rsidRPr="000F09BF" w:rsidRDefault="00A35E88" w:rsidP="00677D1B">
            <w:pPr>
              <w:spacing w:before="100" w:beforeAutospacing="1" w:after="100" w:afterAutospacing="1"/>
              <w:rPr>
                <w:rFonts w:ascii="Arial" w:hAnsi="Arial" w:cs="Arial"/>
                <w:sz w:val="22"/>
                <w:szCs w:val="22"/>
              </w:rPr>
            </w:pPr>
            <w:r w:rsidRPr="000F09BF">
              <w:rPr>
                <w:rFonts w:ascii="Arial" w:hAnsi="Arial" w:cs="Arial"/>
                <w:sz w:val="22"/>
                <w:szCs w:val="22"/>
              </w:rPr>
              <w:t xml:space="preserve">8. </w:t>
            </w:r>
            <w:r w:rsidR="007828B5" w:rsidRPr="007828B5">
              <w:rPr>
                <w:rFonts w:ascii="Arial" w:hAnsi="Arial" w:cs="Arial"/>
                <w:sz w:val="22"/>
                <w:szCs w:val="22"/>
              </w:rPr>
              <w:t>Ideate and Select</w:t>
            </w:r>
          </w:p>
        </w:tc>
        <w:tc>
          <w:tcPr>
            <w:tcW w:w="805" w:type="dxa"/>
            <w:vAlign w:val="center"/>
          </w:tcPr>
          <w:p w14:paraId="6A442549" w14:textId="395A0F01" w:rsidR="00A35E88" w:rsidRPr="000F09BF" w:rsidRDefault="00A35E88" w:rsidP="00677D1B">
            <w:pPr>
              <w:spacing w:before="100" w:beforeAutospacing="1" w:after="100" w:afterAutospacing="1"/>
              <w:rPr>
                <w:rFonts w:ascii="Arial" w:hAnsi="Arial" w:cs="Arial"/>
                <w:sz w:val="22"/>
                <w:szCs w:val="22"/>
              </w:rPr>
            </w:pPr>
            <w:r>
              <w:rPr>
                <w:rFonts w:ascii="Arial" w:hAnsi="Arial" w:cs="Arial"/>
                <w:sz w:val="22"/>
                <w:szCs w:val="22"/>
              </w:rPr>
              <w:t>1</w:t>
            </w:r>
            <w:r w:rsidR="009E63D0">
              <w:rPr>
                <w:rFonts w:ascii="Arial" w:hAnsi="Arial" w:cs="Arial"/>
                <w:sz w:val="22"/>
                <w:szCs w:val="22"/>
              </w:rPr>
              <w:t>0</w:t>
            </w:r>
          </w:p>
        </w:tc>
      </w:tr>
      <w:tr w:rsidR="00045F0B" w:rsidRPr="000F09BF" w14:paraId="4E1E83E9" w14:textId="77777777" w:rsidTr="00C650DF">
        <w:trPr>
          <w:trHeight w:val="454"/>
        </w:trPr>
        <w:tc>
          <w:tcPr>
            <w:tcW w:w="8931" w:type="dxa"/>
            <w:vAlign w:val="center"/>
          </w:tcPr>
          <w:p w14:paraId="48459161" w14:textId="7510EB87" w:rsidR="00045F0B" w:rsidRPr="000F09BF" w:rsidRDefault="00045F0B" w:rsidP="00045F0B">
            <w:pPr>
              <w:spacing w:before="100" w:beforeAutospacing="1" w:after="100" w:afterAutospacing="1"/>
              <w:ind w:left="720"/>
              <w:rPr>
                <w:rFonts w:ascii="Arial" w:hAnsi="Arial" w:cs="Arial"/>
                <w:sz w:val="22"/>
                <w:szCs w:val="22"/>
              </w:rPr>
            </w:pPr>
            <w:r>
              <w:rPr>
                <w:rFonts w:ascii="Arial" w:hAnsi="Arial" w:cs="Arial"/>
                <w:sz w:val="22"/>
                <w:szCs w:val="22"/>
              </w:rPr>
              <w:t xml:space="preserve">8.1 </w:t>
            </w:r>
            <w:r w:rsidRPr="00045F0B">
              <w:rPr>
                <w:rFonts w:ascii="Arial" w:hAnsi="Arial" w:cs="Arial"/>
                <w:sz w:val="22"/>
                <w:szCs w:val="22"/>
              </w:rPr>
              <w:t>DFV/S Assessment</w:t>
            </w:r>
          </w:p>
        </w:tc>
        <w:tc>
          <w:tcPr>
            <w:tcW w:w="805" w:type="dxa"/>
            <w:vAlign w:val="center"/>
          </w:tcPr>
          <w:p w14:paraId="2FE70E5B" w14:textId="7573B57E" w:rsidR="00045F0B" w:rsidRDefault="00045F0B" w:rsidP="00677D1B">
            <w:pPr>
              <w:spacing w:before="100" w:beforeAutospacing="1" w:after="100" w:afterAutospacing="1"/>
              <w:rPr>
                <w:rFonts w:ascii="Arial" w:hAnsi="Arial" w:cs="Arial"/>
                <w:sz w:val="22"/>
                <w:szCs w:val="22"/>
              </w:rPr>
            </w:pPr>
            <w:r>
              <w:rPr>
                <w:rFonts w:ascii="Arial" w:hAnsi="Arial" w:cs="Arial"/>
                <w:sz w:val="22"/>
                <w:szCs w:val="22"/>
              </w:rPr>
              <w:t>1</w:t>
            </w:r>
            <w:r w:rsidR="003E28EE">
              <w:rPr>
                <w:rFonts w:ascii="Arial" w:hAnsi="Arial" w:cs="Arial"/>
                <w:sz w:val="22"/>
                <w:szCs w:val="22"/>
              </w:rPr>
              <w:t>2</w:t>
            </w:r>
          </w:p>
        </w:tc>
      </w:tr>
      <w:tr w:rsidR="00A35E88" w:rsidRPr="000F09BF" w14:paraId="4BF35A8A" w14:textId="77777777" w:rsidTr="00C650DF">
        <w:trPr>
          <w:trHeight w:val="454"/>
        </w:trPr>
        <w:tc>
          <w:tcPr>
            <w:tcW w:w="8931" w:type="dxa"/>
            <w:vAlign w:val="center"/>
          </w:tcPr>
          <w:p w14:paraId="57EB1935" w14:textId="6C2AB222" w:rsidR="00A35E88" w:rsidRPr="000F09BF" w:rsidRDefault="00A35E88" w:rsidP="00677D1B">
            <w:pPr>
              <w:spacing w:before="100" w:beforeAutospacing="1" w:after="100" w:afterAutospacing="1"/>
              <w:rPr>
                <w:rFonts w:ascii="Arial" w:hAnsi="Arial" w:cs="Arial"/>
                <w:sz w:val="22"/>
                <w:szCs w:val="22"/>
              </w:rPr>
            </w:pPr>
            <w:r>
              <w:rPr>
                <w:rFonts w:ascii="Arial" w:hAnsi="Arial" w:cs="Arial"/>
                <w:sz w:val="22"/>
                <w:szCs w:val="22"/>
              </w:rPr>
              <w:t>9</w:t>
            </w:r>
            <w:r w:rsidRPr="000F09BF">
              <w:rPr>
                <w:rFonts w:ascii="Arial" w:hAnsi="Arial" w:cs="Arial"/>
                <w:sz w:val="22"/>
                <w:szCs w:val="22"/>
              </w:rPr>
              <w:t xml:space="preserve">. </w:t>
            </w:r>
            <w:r w:rsidR="00677D1B" w:rsidRPr="00677D1B">
              <w:rPr>
                <w:rFonts w:ascii="Arial" w:hAnsi="Arial" w:cs="Arial"/>
                <w:sz w:val="22"/>
                <w:szCs w:val="22"/>
              </w:rPr>
              <w:t>Prototype: The MVP</w:t>
            </w:r>
          </w:p>
        </w:tc>
        <w:tc>
          <w:tcPr>
            <w:tcW w:w="805" w:type="dxa"/>
            <w:vAlign w:val="center"/>
          </w:tcPr>
          <w:p w14:paraId="7132FBD0" w14:textId="65879805" w:rsidR="00A35E88" w:rsidRDefault="00A35E88" w:rsidP="00677D1B">
            <w:pPr>
              <w:spacing w:before="100" w:beforeAutospacing="1" w:after="100" w:afterAutospacing="1"/>
              <w:rPr>
                <w:rFonts w:ascii="Arial" w:hAnsi="Arial" w:cs="Arial"/>
                <w:sz w:val="22"/>
                <w:szCs w:val="22"/>
              </w:rPr>
            </w:pPr>
            <w:r>
              <w:rPr>
                <w:rFonts w:ascii="Arial" w:hAnsi="Arial" w:cs="Arial"/>
                <w:sz w:val="22"/>
                <w:szCs w:val="22"/>
              </w:rPr>
              <w:t>1</w:t>
            </w:r>
            <w:r w:rsidR="00BF6934">
              <w:rPr>
                <w:rFonts w:ascii="Arial" w:hAnsi="Arial" w:cs="Arial"/>
                <w:sz w:val="22"/>
                <w:szCs w:val="22"/>
              </w:rPr>
              <w:t>3</w:t>
            </w:r>
          </w:p>
        </w:tc>
      </w:tr>
      <w:tr w:rsidR="00677D1B" w:rsidRPr="000F09BF" w14:paraId="7985D0B0" w14:textId="77777777" w:rsidTr="00C650DF">
        <w:trPr>
          <w:trHeight w:val="454"/>
        </w:trPr>
        <w:tc>
          <w:tcPr>
            <w:tcW w:w="8931" w:type="dxa"/>
            <w:vAlign w:val="center"/>
          </w:tcPr>
          <w:p w14:paraId="04EB54F0" w14:textId="06AE5869" w:rsidR="00677D1B" w:rsidRDefault="00677D1B" w:rsidP="00677D1B">
            <w:pPr>
              <w:spacing w:before="100" w:beforeAutospacing="1" w:after="100" w:afterAutospacing="1"/>
              <w:rPr>
                <w:rFonts w:ascii="Arial" w:hAnsi="Arial" w:cs="Arial"/>
                <w:sz w:val="22"/>
                <w:szCs w:val="22"/>
              </w:rPr>
            </w:pPr>
            <w:r>
              <w:rPr>
                <w:rFonts w:ascii="Arial" w:hAnsi="Arial" w:cs="Arial"/>
                <w:sz w:val="22"/>
                <w:szCs w:val="22"/>
              </w:rPr>
              <w:t xml:space="preserve">10. Test and </w:t>
            </w:r>
            <w:r w:rsidR="002B1544">
              <w:rPr>
                <w:rFonts w:ascii="Arial" w:hAnsi="Arial" w:cs="Arial"/>
                <w:sz w:val="22"/>
                <w:szCs w:val="22"/>
              </w:rPr>
              <w:t>R</w:t>
            </w:r>
            <w:r>
              <w:rPr>
                <w:rFonts w:ascii="Arial" w:hAnsi="Arial" w:cs="Arial"/>
                <w:sz w:val="22"/>
                <w:szCs w:val="22"/>
              </w:rPr>
              <w:t>efine</w:t>
            </w:r>
          </w:p>
        </w:tc>
        <w:tc>
          <w:tcPr>
            <w:tcW w:w="805" w:type="dxa"/>
            <w:vAlign w:val="center"/>
          </w:tcPr>
          <w:p w14:paraId="532625D2" w14:textId="330CD712" w:rsidR="00677D1B" w:rsidRDefault="00677D1B" w:rsidP="00677D1B">
            <w:pPr>
              <w:spacing w:before="100" w:beforeAutospacing="1" w:after="100" w:afterAutospacing="1"/>
              <w:rPr>
                <w:rFonts w:ascii="Arial" w:hAnsi="Arial" w:cs="Arial"/>
                <w:sz w:val="22"/>
                <w:szCs w:val="22"/>
              </w:rPr>
            </w:pPr>
            <w:r>
              <w:rPr>
                <w:rFonts w:ascii="Arial" w:hAnsi="Arial" w:cs="Arial"/>
                <w:sz w:val="22"/>
                <w:szCs w:val="22"/>
              </w:rPr>
              <w:t>1</w:t>
            </w:r>
            <w:r w:rsidR="00BF6934">
              <w:rPr>
                <w:rFonts w:ascii="Arial" w:hAnsi="Arial" w:cs="Arial"/>
                <w:sz w:val="22"/>
                <w:szCs w:val="22"/>
              </w:rPr>
              <w:t>4</w:t>
            </w:r>
          </w:p>
        </w:tc>
      </w:tr>
      <w:tr w:rsidR="002B1544" w:rsidRPr="000F09BF" w14:paraId="1D1108A5" w14:textId="77777777" w:rsidTr="00C650DF">
        <w:trPr>
          <w:trHeight w:val="454"/>
        </w:trPr>
        <w:tc>
          <w:tcPr>
            <w:tcW w:w="8931" w:type="dxa"/>
            <w:vAlign w:val="center"/>
          </w:tcPr>
          <w:p w14:paraId="296AC39A" w14:textId="7DE8D63D" w:rsidR="002B1544" w:rsidRPr="00056C41" w:rsidRDefault="002B1544" w:rsidP="00056C41">
            <w:pPr>
              <w:spacing w:before="100" w:beforeAutospacing="1" w:after="100" w:afterAutospacing="1"/>
              <w:ind w:left="720"/>
              <w:rPr>
                <w:rFonts w:ascii="Arial" w:hAnsi="Arial" w:cs="Arial"/>
                <w:b/>
                <w:bCs/>
                <w:sz w:val="22"/>
                <w:szCs w:val="22"/>
              </w:rPr>
            </w:pPr>
            <w:r>
              <w:rPr>
                <w:rFonts w:ascii="Arial" w:hAnsi="Arial" w:cs="Arial"/>
                <w:sz w:val="22"/>
                <w:szCs w:val="22"/>
              </w:rPr>
              <w:t xml:space="preserve">10.1 </w:t>
            </w:r>
            <w:r w:rsidR="00056C41" w:rsidRPr="00056C41">
              <w:rPr>
                <w:rFonts w:ascii="Arial" w:hAnsi="Arial" w:cs="Arial"/>
                <w:sz w:val="22"/>
                <w:szCs w:val="22"/>
              </w:rPr>
              <w:t>Behavioural and Operational Testing</w:t>
            </w:r>
          </w:p>
        </w:tc>
        <w:tc>
          <w:tcPr>
            <w:tcW w:w="805" w:type="dxa"/>
            <w:vAlign w:val="center"/>
          </w:tcPr>
          <w:p w14:paraId="7FDEAFF3" w14:textId="5C201E10" w:rsidR="002B1544" w:rsidRDefault="002B1544" w:rsidP="00677D1B">
            <w:pPr>
              <w:spacing w:before="100" w:beforeAutospacing="1" w:after="100" w:afterAutospacing="1"/>
              <w:rPr>
                <w:rFonts w:ascii="Arial" w:hAnsi="Arial" w:cs="Arial"/>
                <w:sz w:val="22"/>
                <w:szCs w:val="22"/>
              </w:rPr>
            </w:pPr>
            <w:r>
              <w:rPr>
                <w:rFonts w:ascii="Arial" w:hAnsi="Arial" w:cs="Arial"/>
                <w:sz w:val="22"/>
                <w:szCs w:val="22"/>
              </w:rPr>
              <w:t>1</w:t>
            </w:r>
            <w:r w:rsidR="000A1587">
              <w:rPr>
                <w:rFonts w:ascii="Arial" w:hAnsi="Arial" w:cs="Arial"/>
                <w:sz w:val="22"/>
                <w:szCs w:val="22"/>
              </w:rPr>
              <w:t>4</w:t>
            </w:r>
          </w:p>
        </w:tc>
      </w:tr>
      <w:tr w:rsidR="00056C41" w:rsidRPr="000F09BF" w14:paraId="6E7631F4" w14:textId="77777777" w:rsidTr="00C650DF">
        <w:trPr>
          <w:trHeight w:val="454"/>
        </w:trPr>
        <w:tc>
          <w:tcPr>
            <w:tcW w:w="8931" w:type="dxa"/>
            <w:vAlign w:val="center"/>
          </w:tcPr>
          <w:p w14:paraId="5E2A2D13" w14:textId="09F529CA" w:rsidR="00056C41" w:rsidRPr="00056C41" w:rsidRDefault="00056C41" w:rsidP="00056C41">
            <w:pPr>
              <w:spacing w:before="100" w:beforeAutospacing="1" w:after="100" w:afterAutospacing="1"/>
              <w:ind w:left="720"/>
              <w:rPr>
                <w:rFonts w:ascii="Arial" w:hAnsi="Arial" w:cs="Arial"/>
                <w:b/>
                <w:bCs/>
                <w:sz w:val="22"/>
                <w:szCs w:val="22"/>
              </w:rPr>
            </w:pPr>
            <w:r>
              <w:rPr>
                <w:rFonts w:ascii="Arial" w:hAnsi="Arial" w:cs="Arial"/>
                <w:sz w:val="22"/>
                <w:szCs w:val="22"/>
              </w:rPr>
              <w:t xml:space="preserve">10.2 </w:t>
            </w:r>
            <w:r w:rsidRPr="00056C41">
              <w:rPr>
                <w:rFonts w:ascii="Arial" w:hAnsi="Arial" w:cs="Arial"/>
                <w:sz w:val="22"/>
                <w:szCs w:val="22"/>
              </w:rPr>
              <w:t>Financial Testing and Decision Rules</w:t>
            </w:r>
          </w:p>
        </w:tc>
        <w:tc>
          <w:tcPr>
            <w:tcW w:w="805" w:type="dxa"/>
            <w:vAlign w:val="center"/>
          </w:tcPr>
          <w:p w14:paraId="13102C0A" w14:textId="058B5D2C" w:rsidR="00056C41" w:rsidRDefault="00056C41" w:rsidP="00677D1B">
            <w:pPr>
              <w:spacing w:before="100" w:beforeAutospacing="1" w:after="100" w:afterAutospacing="1"/>
              <w:rPr>
                <w:rFonts w:ascii="Arial" w:hAnsi="Arial" w:cs="Arial"/>
                <w:sz w:val="22"/>
                <w:szCs w:val="22"/>
              </w:rPr>
            </w:pPr>
            <w:r>
              <w:rPr>
                <w:rFonts w:ascii="Arial" w:hAnsi="Arial" w:cs="Arial"/>
                <w:sz w:val="22"/>
                <w:szCs w:val="22"/>
              </w:rPr>
              <w:t>1</w:t>
            </w:r>
            <w:r w:rsidR="00EE6635">
              <w:rPr>
                <w:rFonts w:ascii="Arial" w:hAnsi="Arial" w:cs="Arial"/>
                <w:sz w:val="22"/>
                <w:szCs w:val="22"/>
              </w:rPr>
              <w:t>4</w:t>
            </w:r>
          </w:p>
        </w:tc>
      </w:tr>
      <w:tr w:rsidR="00A35E88" w:rsidRPr="000F09BF" w14:paraId="07B996B0" w14:textId="77777777" w:rsidTr="00C650DF">
        <w:trPr>
          <w:trHeight w:val="454"/>
        </w:trPr>
        <w:tc>
          <w:tcPr>
            <w:tcW w:w="8931" w:type="dxa"/>
            <w:vAlign w:val="center"/>
          </w:tcPr>
          <w:p w14:paraId="36EBE4EC" w14:textId="18EE3CB6" w:rsidR="00A35E88" w:rsidRPr="000F09BF" w:rsidRDefault="00A35E88" w:rsidP="00677D1B">
            <w:pPr>
              <w:spacing w:before="100" w:beforeAutospacing="1" w:after="100" w:afterAutospacing="1"/>
              <w:rPr>
                <w:rFonts w:ascii="Arial" w:hAnsi="Arial" w:cs="Arial"/>
                <w:sz w:val="22"/>
                <w:szCs w:val="22"/>
              </w:rPr>
            </w:pPr>
            <w:r>
              <w:rPr>
                <w:rFonts w:ascii="Arial" w:hAnsi="Arial" w:cs="Arial"/>
                <w:sz w:val="22"/>
                <w:szCs w:val="22"/>
              </w:rPr>
              <w:t>11.</w:t>
            </w:r>
            <w:r w:rsidRPr="000F09BF">
              <w:rPr>
                <w:rFonts w:ascii="Arial" w:hAnsi="Arial" w:cs="Arial"/>
                <w:sz w:val="22"/>
                <w:szCs w:val="22"/>
              </w:rPr>
              <w:t xml:space="preserve"> </w:t>
            </w:r>
            <w:r w:rsidR="002B1544" w:rsidRPr="009A4A15">
              <w:rPr>
                <w:rFonts w:ascii="Arial" w:hAnsi="Arial" w:cs="Arial"/>
                <w:sz w:val="22"/>
                <w:szCs w:val="22"/>
              </w:rPr>
              <w:t>Critical Evaluation</w:t>
            </w:r>
          </w:p>
        </w:tc>
        <w:tc>
          <w:tcPr>
            <w:tcW w:w="805" w:type="dxa"/>
            <w:vAlign w:val="center"/>
          </w:tcPr>
          <w:p w14:paraId="12BA14B8" w14:textId="2038E025" w:rsidR="00A35E88" w:rsidRDefault="00A35E88" w:rsidP="00677D1B">
            <w:pPr>
              <w:spacing w:before="100" w:beforeAutospacing="1" w:after="100" w:afterAutospacing="1"/>
              <w:rPr>
                <w:rFonts w:ascii="Arial" w:hAnsi="Arial" w:cs="Arial"/>
                <w:sz w:val="22"/>
                <w:szCs w:val="22"/>
              </w:rPr>
            </w:pPr>
            <w:r>
              <w:rPr>
                <w:rFonts w:ascii="Arial" w:hAnsi="Arial" w:cs="Arial"/>
                <w:sz w:val="22"/>
                <w:szCs w:val="22"/>
              </w:rPr>
              <w:t>1</w:t>
            </w:r>
            <w:r w:rsidR="00424D86">
              <w:rPr>
                <w:rFonts w:ascii="Arial" w:hAnsi="Arial" w:cs="Arial"/>
                <w:sz w:val="22"/>
                <w:szCs w:val="22"/>
              </w:rPr>
              <w:t>5</w:t>
            </w:r>
          </w:p>
        </w:tc>
      </w:tr>
      <w:tr w:rsidR="00A35E88" w:rsidRPr="000F09BF" w14:paraId="43F5327F" w14:textId="77777777" w:rsidTr="00C650DF">
        <w:trPr>
          <w:trHeight w:val="454"/>
        </w:trPr>
        <w:tc>
          <w:tcPr>
            <w:tcW w:w="8931" w:type="dxa"/>
            <w:vAlign w:val="center"/>
          </w:tcPr>
          <w:p w14:paraId="61FB3185" w14:textId="3DB5C35A" w:rsidR="00A35E88" w:rsidRPr="000F09BF" w:rsidRDefault="00A35E88" w:rsidP="00677D1B">
            <w:pPr>
              <w:spacing w:before="100" w:beforeAutospacing="1" w:after="100" w:afterAutospacing="1"/>
              <w:rPr>
                <w:rFonts w:ascii="Arial" w:hAnsi="Arial" w:cs="Arial"/>
                <w:sz w:val="22"/>
                <w:szCs w:val="22"/>
              </w:rPr>
            </w:pPr>
            <w:r>
              <w:rPr>
                <w:rFonts w:ascii="Arial" w:hAnsi="Arial" w:cs="Arial"/>
                <w:sz w:val="22"/>
                <w:szCs w:val="22"/>
              </w:rPr>
              <w:t>12</w:t>
            </w:r>
            <w:r w:rsidRPr="000F09BF">
              <w:rPr>
                <w:rFonts w:ascii="Arial" w:hAnsi="Arial" w:cs="Arial"/>
                <w:sz w:val="22"/>
                <w:szCs w:val="22"/>
              </w:rPr>
              <w:t>. Conclusion</w:t>
            </w:r>
          </w:p>
        </w:tc>
        <w:tc>
          <w:tcPr>
            <w:tcW w:w="805" w:type="dxa"/>
            <w:vAlign w:val="center"/>
          </w:tcPr>
          <w:p w14:paraId="7CA79467" w14:textId="0FE150FC" w:rsidR="00A35E88" w:rsidRDefault="00A35E88" w:rsidP="00677D1B">
            <w:pPr>
              <w:spacing w:before="100" w:beforeAutospacing="1" w:after="100" w:afterAutospacing="1"/>
              <w:rPr>
                <w:rFonts w:ascii="Arial" w:hAnsi="Arial" w:cs="Arial"/>
                <w:sz w:val="22"/>
                <w:szCs w:val="22"/>
              </w:rPr>
            </w:pPr>
            <w:r>
              <w:rPr>
                <w:rFonts w:ascii="Arial" w:hAnsi="Arial" w:cs="Arial"/>
                <w:sz w:val="22"/>
                <w:szCs w:val="22"/>
              </w:rPr>
              <w:t>1</w:t>
            </w:r>
            <w:r w:rsidR="00424D86">
              <w:rPr>
                <w:rFonts w:ascii="Arial" w:hAnsi="Arial" w:cs="Arial"/>
                <w:sz w:val="22"/>
                <w:szCs w:val="22"/>
              </w:rPr>
              <w:t>6</w:t>
            </w:r>
          </w:p>
        </w:tc>
      </w:tr>
      <w:tr w:rsidR="00A35E88" w:rsidRPr="000F09BF" w14:paraId="2BA43ACB" w14:textId="77777777" w:rsidTr="00C650DF">
        <w:trPr>
          <w:trHeight w:val="454"/>
        </w:trPr>
        <w:tc>
          <w:tcPr>
            <w:tcW w:w="8931" w:type="dxa"/>
            <w:vAlign w:val="center"/>
          </w:tcPr>
          <w:p w14:paraId="52A39064" w14:textId="222376B4" w:rsidR="00A35E88" w:rsidRPr="000F09BF" w:rsidRDefault="00A35E88" w:rsidP="00C650DF">
            <w:pPr>
              <w:outlineLvl w:val="1"/>
              <w:rPr>
                <w:rFonts w:ascii="Arial" w:hAnsi="Arial" w:cs="Arial"/>
                <w:sz w:val="22"/>
                <w:szCs w:val="22"/>
              </w:rPr>
            </w:pPr>
            <w:r w:rsidRPr="000F09BF">
              <w:rPr>
                <w:rFonts w:ascii="Arial" w:hAnsi="Arial" w:cs="Arial"/>
                <w:sz w:val="22"/>
                <w:szCs w:val="22"/>
              </w:rPr>
              <w:t>Referenc</w:t>
            </w:r>
            <w:r>
              <w:rPr>
                <w:rFonts w:ascii="Arial" w:hAnsi="Arial" w:cs="Arial"/>
                <w:sz w:val="22"/>
                <w:szCs w:val="22"/>
              </w:rPr>
              <w:t>es</w:t>
            </w:r>
          </w:p>
        </w:tc>
        <w:tc>
          <w:tcPr>
            <w:tcW w:w="805" w:type="dxa"/>
            <w:vAlign w:val="center"/>
          </w:tcPr>
          <w:p w14:paraId="67E73334" w14:textId="150EDE28" w:rsidR="00A35E88" w:rsidRPr="000F09BF" w:rsidRDefault="00A35E88" w:rsidP="00677D1B">
            <w:pPr>
              <w:spacing w:before="100" w:beforeAutospacing="1" w:after="100" w:afterAutospacing="1"/>
              <w:rPr>
                <w:rFonts w:ascii="Arial" w:hAnsi="Arial" w:cs="Arial"/>
                <w:sz w:val="22"/>
                <w:szCs w:val="22"/>
              </w:rPr>
            </w:pPr>
            <w:r>
              <w:rPr>
                <w:rFonts w:ascii="Arial" w:hAnsi="Arial" w:cs="Arial"/>
                <w:sz w:val="22"/>
                <w:szCs w:val="22"/>
              </w:rPr>
              <w:t>1</w:t>
            </w:r>
            <w:r w:rsidR="00FB0F15">
              <w:rPr>
                <w:rFonts w:ascii="Arial" w:hAnsi="Arial" w:cs="Arial"/>
                <w:sz w:val="22"/>
                <w:szCs w:val="22"/>
              </w:rPr>
              <w:t>8</w:t>
            </w:r>
          </w:p>
        </w:tc>
      </w:tr>
    </w:tbl>
    <w:p w14:paraId="26FB118B" w14:textId="77777777" w:rsidR="00861F57" w:rsidRDefault="00861F57" w:rsidP="00303519">
      <w:pPr>
        <w:pStyle w:val="Heading2"/>
        <w:spacing w:before="0" w:after="0"/>
        <w:rPr>
          <w:rFonts w:ascii="Arial" w:hAnsi="Arial" w:cs="Arial"/>
          <w:b/>
          <w:bCs/>
          <w:color w:val="auto"/>
          <w:sz w:val="22"/>
          <w:szCs w:val="22"/>
        </w:rPr>
      </w:pPr>
    </w:p>
    <w:p w14:paraId="2F99DCE8" w14:textId="77777777" w:rsidR="00C650DF" w:rsidRPr="00C650DF" w:rsidRDefault="00C650DF" w:rsidP="00C650DF"/>
    <w:p w14:paraId="3B74CCBA" w14:textId="56F8EF24" w:rsidR="00394DD9" w:rsidRPr="008C13A2" w:rsidRDefault="002C5816" w:rsidP="008C13A2">
      <w:pPr>
        <w:pStyle w:val="Heading2"/>
        <w:spacing w:before="0" w:after="0" w:line="360" w:lineRule="auto"/>
        <w:rPr>
          <w:rFonts w:ascii="Arial" w:hAnsi="Arial" w:cs="Arial"/>
          <w:b/>
          <w:bCs/>
          <w:color w:val="auto"/>
          <w:sz w:val="22"/>
          <w:szCs w:val="22"/>
        </w:rPr>
      </w:pPr>
      <w:r w:rsidRPr="008C13A2">
        <w:rPr>
          <w:rFonts w:ascii="Arial" w:hAnsi="Arial" w:cs="Arial"/>
          <w:b/>
          <w:bCs/>
          <w:color w:val="auto"/>
          <w:sz w:val="22"/>
          <w:szCs w:val="22"/>
        </w:rPr>
        <w:lastRenderedPageBreak/>
        <w:t>1. Introduction</w:t>
      </w:r>
    </w:p>
    <w:p w14:paraId="34A929F0" w14:textId="77777777" w:rsidR="006A4417" w:rsidRPr="006A4417" w:rsidRDefault="006A4417" w:rsidP="006A4417">
      <w:pPr>
        <w:pStyle w:val="NormalWeb"/>
        <w:spacing w:line="360" w:lineRule="auto"/>
        <w:rPr>
          <w:rFonts w:ascii="Arial" w:hAnsi="Arial" w:cs="Arial"/>
          <w:sz w:val="22"/>
          <w:szCs w:val="22"/>
        </w:rPr>
      </w:pPr>
      <w:r w:rsidRPr="006A4417">
        <w:rPr>
          <w:rFonts w:ascii="Arial" w:hAnsi="Arial" w:cs="Arial"/>
          <w:sz w:val="22"/>
          <w:szCs w:val="22"/>
        </w:rPr>
        <w:t>The COVID-19 pandemic accelerated the growth of digital commerce in the UK. Many small and medium-sized enterprises (SMEs) adopted websites, online payments and social media selling to remain connected with customers. However, the growth of online selling also increased their dependence on parcel delivery, tracking and returns. This is particularly important in rural areas, where longer distances and lower parcel volumes can make delivery less convenient and more expensive. The Department for Environment, Food and Rural Affairs (2026) identifies transport and digital connectivity as continuing challenges for rural businesses.</w:t>
      </w:r>
    </w:p>
    <w:p w14:paraId="58BAA012" w14:textId="77777777" w:rsidR="006A4417" w:rsidRPr="006A4417" w:rsidRDefault="006A4417" w:rsidP="006A4417">
      <w:pPr>
        <w:pStyle w:val="NormalWeb"/>
        <w:spacing w:line="360" w:lineRule="auto"/>
        <w:rPr>
          <w:rFonts w:ascii="Arial" w:hAnsi="Arial" w:cs="Arial"/>
          <w:sz w:val="22"/>
          <w:szCs w:val="22"/>
        </w:rPr>
      </w:pPr>
      <w:r w:rsidRPr="006A4417">
        <w:rPr>
          <w:rFonts w:ascii="Arial" w:hAnsi="Arial" w:cs="Arial"/>
          <w:sz w:val="22"/>
          <w:szCs w:val="22"/>
        </w:rPr>
        <w:t>Royal Mail is used as the organisational lens for this report because it has nationwide coverage and operates as the UK’s Universal Service Provider. It is also moving from a predominantly letter-based business towards a parcel-led model. During 2025/26, Royal Mail handled 1.44 billion parcels, with parcels generating 53.2% of its revenue. However, its adjusted operating profit was only £5 million, demonstrating that increased parcel volumes do not automatically produce high profits (International Distribution Services Limited, 2026).</w:t>
      </w:r>
    </w:p>
    <w:p w14:paraId="6657F51A" w14:textId="2789488F" w:rsidR="006A4417" w:rsidRDefault="006A4417" w:rsidP="008C13A2">
      <w:pPr>
        <w:pStyle w:val="NormalWeb"/>
        <w:spacing w:line="360" w:lineRule="auto"/>
        <w:rPr>
          <w:rFonts w:ascii="Arial" w:hAnsi="Arial" w:cs="Arial"/>
          <w:sz w:val="22"/>
          <w:szCs w:val="22"/>
        </w:rPr>
      </w:pPr>
      <w:r w:rsidRPr="006A4417">
        <w:rPr>
          <w:rFonts w:ascii="Arial" w:hAnsi="Arial" w:cs="Arial"/>
          <w:sz w:val="22"/>
          <w:szCs w:val="22"/>
        </w:rPr>
        <w:t>Task 1 applies a Design Thinking lens to evaluate innovation and venture opportunities through the experiences of rural and suburban micro e-commerce retailers. Task 2 applies the five stages of Design Thinking: Empathise, Define, Ideate, Prototype and Test, to develop the selected opportunity into a testable venture concept. A customer journey and pain-point table, causal loop diagram, brainstorming mind map, SCAMPER analysis and desirability, feasibility, viability and sustainability (DFV/S) assessment are used to support the analysis and decisions.</w:t>
      </w:r>
    </w:p>
    <w:p w14:paraId="2A22ED7B" w14:textId="000BF8E4" w:rsidR="0064652C" w:rsidRPr="008C13A2" w:rsidRDefault="002C5816" w:rsidP="008C13A2">
      <w:pPr>
        <w:pStyle w:val="NormalWeb"/>
        <w:spacing w:line="360" w:lineRule="auto"/>
        <w:rPr>
          <w:rFonts w:ascii="Arial" w:hAnsi="Arial" w:cs="Arial"/>
          <w:b/>
          <w:bCs/>
          <w:sz w:val="22"/>
          <w:szCs w:val="22"/>
        </w:rPr>
      </w:pPr>
      <w:r w:rsidRPr="008C13A2">
        <w:rPr>
          <w:rFonts w:ascii="Arial" w:hAnsi="Arial" w:cs="Arial"/>
          <w:b/>
          <w:bCs/>
          <w:sz w:val="22"/>
          <w:szCs w:val="22"/>
        </w:rPr>
        <w:t>2. Design Thinking and Innovation Framework</w:t>
      </w:r>
    </w:p>
    <w:p w14:paraId="2FAC66B2" w14:textId="77777777" w:rsidR="0064652C" w:rsidRPr="008C13A2" w:rsidRDefault="00821CB6" w:rsidP="008C13A2">
      <w:pPr>
        <w:pStyle w:val="NormalWeb"/>
        <w:spacing w:line="360" w:lineRule="auto"/>
        <w:rPr>
          <w:rFonts w:ascii="Arial" w:hAnsi="Arial" w:cs="Arial"/>
          <w:sz w:val="22"/>
          <w:szCs w:val="22"/>
        </w:rPr>
      </w:pPr>
      <w:r w:rsidRPr="008C13A2">
        <w:rPr>
          <w:rFonts w:ascii="Arial" w:hAnsi="Arial" w:cs="Arial"/>
          <w:sz w:val="22"/>
          <w:szCs w:val="22"/>
        </w:rPr>
        <w:t>Design Thinking is a user-centred approach consisting of five stages: Empathise, Define, Ideate, Prototype and Test. Although presented as stages, it is iterative because findings from prototyping and testing may require the problem or solution to be reconsidered. Brown (2019) argues that innovation should balance user desirability, technical feasibility and commercial viability. An AI route planner may therefore be technically possible but still fail if small retailers cannot afford it or see insufficient value in changing their routines.</w:t>
      </w:r>
    </w:p>
    <w:p w14:paraId="0D730626" w14:textId="77777777" w:rsidR="0064652C" w:rsidRPr="008C13A2" w:rsidRDefault="00821CB6" w:rsidP="008C13A2">
      <w:pPr>
        <w:pStyle w:val="NormalWeb"/>
        <w:spacing w:line="360" w:lineRule="auto"/>
        <w:rPr>
          <w:rFonts w:ascii="Arial" w:hAnsi="Arial" w:cs="Arial"/>
          <w:sz w:val="22"/>
          <w:szCs w:val="22"/>
        </w:rPr>
      </w:pPr>
      <w:r w:rsidRPr="008C13A2">
        <w:rPr>
          <w:rFonts w:ascii="Arial" w:hAnsi="Arial" w:cs="Arial"/>
          <w:sz w:val="22"/>
          <w:szCs w:val="22"/>
        </w:rPr>
        <w:t>Design Thinking has limitations. A simplified understanding of rural retailers may overlook differences in parcel volume, product type and digital confidence. A convenient retailer solution may also create additional work for drivers or community venues. Responsible Design Thinking addresses this concern by including environmental, social and stakeholder consequences (Baldassarre et al., 2024). Sustainability is therefore added to the DFV/S assessment.</w:t>
      </w:r>
    </w:p>
    <w:p w14:paraId="48AACEA2" w14:textId="17C97F86" w:rsidR="00F51887" w:rsidRDefault="00F51887" w:rsidP="008C13A2">
      <w:pPr>
        <w:pStyle w:val="NormalWeb"/>
        <w:spacing w:line="360" w:lineRule="auto"/>
        <w:rPr>
          <w:rFonts w:ascii="Arial" w:hAnsi="Arial" w:cs="Arial"/>
          <w:sz w:val="22"/>
          <w:szCs w:val="22"/>
        </w:rPr>
      </w:pPr>
      <w:r w:rsidRPr="00F51887">
        <w:rPr>
          <w:rFonts w:ascii="Arial" w:hAnsi="Arial" w:cs="Arial"/>
          <w:sz w:val="22"/>
          <w:szCs w:val="22"/>
        </w:rPr>
        <w:lastRenderedPageBreak/>
        <w:t xml:space="preserve">Different methods address different aspects of the problem. The customer journey identifies pain </w:t>
      </w:r>
      <w:proofErr w:type="gramStart"/>
      <w:r w:rsidRPr="00F51887">
        <w:rPr>
          <w:rFonts w:ascii="Arial" w:hAnsi="Arial" w:cs="Arial"/>
          <w:sz w:val="22"/>
          <w:szCs w:val="22"/>
        </w:rPr>
        <w:t>points,</w:t>
      </w:r>
      <w:proofErr w:type="gramEnd"/>
      <w:r w:rsidRPr="00F51887">
        <w:rPr>
          <w:rFonts w:ascii="Arial" w:hAnsi="Arial" w:cs="Arial"/>
          <w:sz w:val="22"/>
          <w:szCs w:val="22"/>
        </w:rPr>
        <w:t xml:space="preserve"> causal mapping explains their </w:t>
      </w:r>
      <w:r w:rsidR="000F3C53" w:rsidRPr="00F51887">
        <w:rPr>
          <w:rFonts w:ascii="Arial" w:hAnsi="Arial" w:cs="Arial"/>
          <w:sz w:val="22"/>
          <w:szCs w:val="22"/>
        </w:rPr>
        <w:t>relationships and</w:t>
      </w:r>
      <w:r w:rsidRPr="00F51887">
        <w:rPr>
          <w:rFonts w:ascii="Arial" w:hAnsi="Arial" w:cs="Arial"/>
          <w:sz w:val="22"/>
          <w:szCs w:val="22"/>
        </w:rPr>
        <w:t xml:space="preserve"> brainstorming and SCAMPER generate possible solutions. DFV/S supports the selection of the strongest concept, while a Minimum Viable Product (MVP) tests assumptions that secondary research cannot confirm. These methods are complementary, although applying feasibility criteria too early could suppress more creative ideas.</w:t>
      </w:r>
    </w:p>
    <w:p w14:paraId="775A3737" w14:textId="3AD2EBBF" w:rsidR="00457EA0" w:rsidRPr="008C13A2" w:rsidRDefault="00821CB6" w:rsidP="008C13A2">
      <w:pPr>
        <w:pStyle w:val="NormalWeb"/>
        <w:spacing w:line="360" w:lineRule="auto"/>
        <w:rPr>
          <w:rFonts w:ascii="Arial" w:hAnsi="Arial" w:cs="Arial"/>
          <w:sz w:val="22"/>
          <w:szCs w:val="22"/>
        </w:rPr>
      </w:pPr>
      <w:r w:rsidRPr="008C13A2">
        <w:rPr>
          <w:rFonts w:ascii="Arial" w:hAnsi="Arial" w:cs="Arial"/>
          <w:sz w:val="22"/>
          <w:szCs w:val="22"/>
        </w:rPr>
        <w:t>Innovation may be radical, incremental, architectural or business-model based. The proposed venture rearranges existing digital tools, community facilities and carrier infrastructure while changing how partners share value. It is therefore mainly architectural and business-model innovation rather than a disruptive replacement for existing carriers.</w:t>
      </w:r>
    </w:p>
    <w:p w14:paraId="7E7B0571" w14:textId="77777777" w:rsidR="00457EA0" w:rsidRPr="008C13A2" w:rsidRDefault="002C5816" w:rsidP="008C13A2">
      <w:pPr>
        <w:pStyle w:val="NormalWeb"/>
        <w:spacing w:line="360" w:lineRule="auto"/>
        <w:rPr>
          <w:rFonts w:ascii="Arial" w:hAnsi="Arial" w:cs="Arial"/>
          <w:b/>
          <w:bCs/>
          <w:sz w:val="22"/>
          <w:szCs w:val="22"/>
          <w:u w:val="single"/>
        </w:rPr>
      </w:pPr>
      <w:r w:rsidRPr="008C13A2">
        <w:rPr>
          <w:rFonts w:ascii="Arial" w:hAnsi="Arial" w:cs="Arial"/>
          <w:b/>
          <w:bCs/>
          <w:sz w:val="22"/>
          <w:szCs w:val="22"/>
          <w:u w:val="single"/>
        </w:rPr>
        <w:t>Task 1: Opportunity Analysis</w:t>
      </w:r>
    </w:p>
    <w:p w14:paraId="61A1628E" w14:textId="77777777" w:rsidR="00A37284" w:rsidRPr="008C13A2" w:rsidRDefault="002C5816" w:rsidP="008C13A2">
      <w:pPr>
        <w:pStyle w:val="NormalWeb"/>
        <w:spacing w:line="360" w:lineRule="auto"/>
        <w:rPr>
          <w:rFonts w:ascii="Arial" w:hAnsi="Arial" w:cs="Arial"/>
          <w:sz w:val="22"/>
          <w:szCs w:val="22"/>
        </w:rPr>
      </w:pPr>
      <w:r w:rsidRPr="008C13A2">
        <w:rPr>
          <w:rFonts w:ascii="Arial" w:hAnsi="Arial" w:cs="Arial"/>
          <w:b/>
          <w:bCs/>
          <w:sz w:val="22"/>
          <w:szCs w:val="22"/>
        </w:rPr>
        <w:t>3. Royal Mail and Market Context</w:t>
      </w:r>
    </w:p>
    <w:p w14:paraId="236D7A30" w14:textId="3F393C5A" w:rsidR="002C5816" w:rsidRPr="008C13A2" w:rsidRDefault="002C5816" w:rsidP="008C13A2">
      <w:pPr>
        <w:pStyle w:val="NormalWeb"/>
        <w:spacing w:line="360" w:lineRule="auto"/>
        <w:rPr>
          <w:rFonts w:ascii="Arial" w:hAnsi="Arial" w:cs="Arial"/>
          <w:sz w:val="22"/>
          <w:szCs w:val="22"/>
        </w:rPr>
      </w:pPr>
      <w:r w:rsidRPr="008C13A2">
        <w:rPr>
          <w:rFonts w:ascii="Arial" w:hAnsi="Arial" w:cs="Arial"/>
          <w:sz w:val="22"/>
          <w:szCs w:val="22"/>
        </w:rPr>
        <w:t>Royal Mail has useful assets for innovation, including delivery offices, national routes, automated parcel hubs, electric vans, lockers, parcel shops and upgraded postboxes. Its sustainability reporting states that it operated about 8,800 electric vans in 2025</w:t>
      </w:r>
      <w:r w:rsidR="00E44994">
        <w:rPr>
          <w:rFonts w:ascii="Arial" w:hAnsi="Arial" w:cs="Arial"/>
          <w:sz w:val="22"/>
          <w:szCs w:val="22"/>
        </w:rPr>
        <w:t>-</w:t>
      </w:r>
      <w:r w:rsidRPr="008C13A2">
        <w:rPr>
          <w:rFonts w:ascii="Arial" w:hAnsi="Arial" w:cs="Arial"/>
          <w:sz w:val="22"/>
          <w:szCs w:val="22"/>
        </w:rPr>
        <w:t>26 and was continuing to expand out-of-home services (Royal Mail Group Limited, 2026). A new venture would therefore be more realistic if it connected with existing infrastructure instead of attempting to build a separate national delivery network.</w:t>
      </w:r>
    </w:p>
    <w:p w14:paraId="39F54E37" w14:textId="4D9142CF" w:rsidR="002C5816" w:rsidRPr="008C13A2" w:rsidRDefault="002C5816" w:rsidP="008C13A2">
      <w:pPr>
        <w:pStyle w:val="NormalWeb"/>
        <w:spacing w:line="360" w:lineRule="auto"/>
        <w:rPr>
          <w:rFonts w:ascii="Arial" w:hAnsi="Arial" w:cs="Arial"/>
          <w:sz w:val="22"/>
          <w:szCs w:val="22"/>
        </w:rPr>
      </w:pPr>
      <w:r w:rsidRPr="008C13A2">
        <w:rPr>
          <w:rFonts w:ascii="Arial" w:hAnsi="Arial" w:cs="Arial"/>
          <w:sz w:val="22"/>
          <w:szCs w:val="22"/>
        </w:rPr>
        <w:t>Competition is also increasing. The DHL</w:t>
      </w:r>
      <w:r w:rsidR="00E54F75">
        <w:rPr>
          <w:rFonts w:ascii="Arial" w:hAnsi="Arial" w:cs="Arial"/>
          <w:sz w:val="22"/>
          <w:szCs w:val="22"/>
        </w:rPr>
        <w:t>-</w:t>
      </w:r>
      <w:r w:rsidRPr="008C13A2">
        <w:rPr>
          <w:rFonts w:ascii="Arial" w:hAnsi="Arial" w:cs="Arial"/>
          <w:sz w:val="22"/>
          <w:szCs w:val="22"/>
        </w:rPr>
        <w:t>Evri partnership combines standard and premium services, international delivery and around 15,000 UK access points. It is promoted as a one-stop service for SMEs (DHL Group, 2025). This means that a general parcel dashboard, locker or tracking application would not be strongly differentiated.</w:t>
      </w:r>
    </w:p>
    <w:p w14:paraId="12C67876" w14:textId="1668E7FC" w:rsidR="002C5816" w:rsidRPr="008C13A2" w:rsidRDefault="002C5816" w:rsidP="008C13A2">
      <w:pPr>
        <w:pStyle w:val="NormalWeb"/>
        <w:spacing w:line="360" w:lineRule="auto"/>
        <w:rPr>
          <w:rFonts w:ascii="Arial" w:hAnsi="Arial" w:cs="Arial"/>
          <w:sz w:val="22"/>
          <w:szCs w:val="22"/>
        </w:rPr>
      </w:pPr>
      <w:r w:rsidRPr="008C13A2">
        <w:rPr>
          <w:rFonts w:ascii="Arial" w:hAnsi="Arial" w:cs="Arial"/>
          <w:sz w:val="22"/>
          <w:szCs w:val="22"/>
        </w:rPr>
        <w:t xml:space="preserve">Smaller firms nevertheless remain an </w:t>
      </w:r>
      <w:r w:rsidR="00E54F75" w:rsidRPr="008C13A2">
        <w:rPr>
          <w:rFonts w:ascii="Arial" w:hAnsi="Arial" w:cs="Arial"/>
          <w:sz w:val="22"/>
          <w:szCs w:val="22"/>
        </w:rPr>
        <w:t>important, underserved</w:t>
      </w:r>
      <w:r w:rsidRPr="008C13A2">
        <w:rPr>
          <w:rFonts w:ascii="Arial" w:hAnsi="Arial" w:cs="Arial"/>
          <w:sz w:val="22"/>
          <w:szCs w:val="22"/>
        </w:rPr>
        <w:t xml:space="preserve"> group. OECD research shows that UK microbusinesses face greater problems with the fixed cost, complexity and skills required for advanced digital systems (OECD, 2026). In addition, a survey of 328 UK retail leaders found that 53% viewed fulfilment and delivery costs as a barrier to growth. The survey was produced by a logistics company and is not specific to rural microbusinesses, but it provides useful current industry evidence (International Logistics Group, 2026).</w:t>
      </w:r>
    </w:p>
    <w:p w14:paraId="63081098" w14:textId="77777777" w:rsidR="002C5816" w:rsidRPr="008C13A2" w:rsidRDefault="002C5816" w:rsidP="008C13A2">
      <w:pPr>
        <w:pStyle w:val="NormalWeb"/>
        <w:spacing w:line="360" w:lineRule="auto"/>
        <w:rPr>
          <w:rFonts w:ascii="Arial" w:hAnsi="Arial" w:cs="Arial"/>
          <w:sz w:val="22"/>
          <w:szCs w:val="22"/>
        </w:rPr>
      </w:pPr>
      <w:r w:rsidRPr="008C13A2">
        <w:rPr>
          <w:rFonts w:ascii="Arial" w:hAnsi="Arial" w:cs="Arial"/>
          <w:sz w:val="22"/>
          <w:szCs w:val="22"/>
        </w:rPr>
        <w:t>The base is substantial but is not the venture’s addressable market. The UK had 5.64 million small businesses in 2025, including about 547,000 wholesale and retail SMEs (Department for Business and Trade, 2025). England had 526,200 registered rural businesses in 2023/24 (Department for Environment, Food and Rural Affairs, 2026). Only those selling physical goods near a viable hub are potential customers.</w:t>
      </w:r>
    </w:p>
    <w:p w14:paraId="47718D3B" w14:textId="23DDBBD6" w:rsidR="002C5816" w:rsidRPr="008C13A2" w:rsidRDefault="002C5816" w:rsidP="008C13A2">
      <w:pPr>
        <w:pStyle w:val="NormalWeb"/>
        <w:spacing w:line="360" w:lineRule="auto"/>
        <w:rPr>
          <w:rFonts w:ascii="Arial" w:hAnsi="Arial" w:cs="Arial"/>
          <w:sz w:val="22"/>
          <w:szCs w:val="22"/>
        </w:rPr>
      </w:pPr>
      <w:r w:rsidRPr="008C13A2">
        <w:rPr>
          <w:rFonts w:ascii="Arial" w:hAnsi="Arial" w:cs="Arial"/>
          <w:sz w:val="22"/>
          <w:szCs w:val="22"/>
        </w:rPr>
        <w:lastRenderedPageBreak/>
        <w:t>The serviceable market should be estimated locality by locality using retailer numbers, parcel volumes, distance from access points and willingness to share collections. This avoids turning national SME figures into a misleading sales forecast.</w:t>
      </w:r>
      <w:r w:rsidR="002F580A" w:rsidRPr="008C13A2">
        <w:rPr>
          <w:rFonts w:ascii="Arial" w:hAnsi="Arial" w:cs="Arial"/>
          <w:sz w:val="22"/>
          <w:szCs w:val="22"/>
        </w:rPr>
        <w:t xml:space="preserve"> The initial target segment should be home-based and micro-retail businesses dispatching approximately five to fifty parcels each week. Retailers below this range may not use the service frequently enough, while larger businesses may already qualify for direct carrier collections. Suitable sectors could include crafts, clothing, gifts, books, specialist foods and local produce, although products requiring temperature control or specialist handling should be excluded from the first pilot. This segmentation connects the national market evidence with a more realistic early customer group.</w:t>
      </w:r>
    </w:p>
    <w:p w14:paraId="4A0A9F86" w14:textId="77777777" w:rsidR="00A410A5" w:rsidRPr="008C13A2" w:rsidRDefault="002C5816" w:rsidP="008C13A2">
      <w:pPr>
        <w:pStyle w:val="NormalWeb"/>
        <w:spacing w:line="360" w:lineRule="auto"/>
        <w:rPr>
          <w:rFonts w:ascii="Arial" w:hAnsi="Arial" w:cs="Arial"/>
          <w:sz w:val="22"/>
          <w:szCs w:val="22"/>
        </w:rPr>
      </w:pPr>
      <w:r w:rsidRPr="008C13A2">
        <w:rPr>
          <w:rFonts w:ascii="Arial" w:hAnsi="Arial" w:cs="Arial"/>
          <w:sz w:val="22"/>
          <w:szCs w:val="22"/>
        </w:rPr>
        <w:t>Geography makes the problem more difficult. Urquhart et al. (2022) found that delivery was the main capacity constraint for 74% of the British grocery fulfilment stores in their study. Although grocery delivery differs from sending small parcels, the study demonstrates that distance, vehicle capacity and the location of fulfilment facilities influence whether e-commerce can grow efficiently. The opportunity is therefore not simply more technology. It is better coordination between small retailers, local facilities and existing carrier networks.</w:t>
      </w:r>
    </w:p>
    <w:p w14:paraId="63BF447E" w14:textId="77777777" w:rsidR="00A410A5" w:rsidRPr="008C13A2" w:rsidRDefault="002C5816" w:rsidP="008C13A2">
      <w:pPr>
        <w:pStyle w:val="NormalWeb"/>
        <w:spacing w:line="360" w:lineRule="auto"/>
        <w:rPr>
          <w:rFonts w:ascii="Arial" w:hAnsi="Arial" w:cs="Arial"/>
          <w:b/>
          <w:bCs/>
          <w:sz w:val="22"/>
          <w:szCs w:val="22"/>
        </w:rPr>
      </w:pPr>
      <w:r w:rsidRPr="008C13A2">
        <w:rPr>
          <w:rFonts w:ascii="Arial" w:hAnsi="Arial" w:cs="Arial"/>
          <w:b/>
          <w:bCs/>
          <w:sz w:val="22"/>
          <w:szCs w:val="22"/>
        </w:rPr>
        <w:t>4. Users and Pain Points</w:t>
      </w:r>
    </w:p>
    <w:p w14:paraId="179D56EF" w14:textId="77777777" w:rsidR="00A410A5" w:rsidRPr="008C13A2" w:rsidRDefault="00E84812" w:rsidP="008C13A2">
      <w:pPr>
        <w:pStyle w:val="NormalWeb"/>
        <w:spacing w:line="360" w:lineRule="auto"/>
        <w:rPr>
          <w:rFonts w:ascii="Arial" w:hAnsi="Arial" w:cs="Arial"/>
          <w:sz w:val="22"/>
          <w:szCs w:val="22"/>
        </w:rPr>
      </w:pPr>
      <w:r w:rsidRPr="008C13A2">
        <w:rPr>
          <w:rFonts w:ascii="Arial" w:hAnsi="Arial" w:cs="Arial"/>
          <w:sz w:val="22"/>
          <w:szCs w:val="22"/>
        </w:rPr>
        <w:t>The main user is a rural or suburban micro e-commerce retailer selling physical products through a website, marketplace or social-media account. The retailer purchases parcel services, prepares packages, monitors deliveries, answers enquiries and manages returns. Recipients, delivery workers, Royal Mail and community venues are also stakeholders.</w:t>
      </w:r>
    </w:p>
    <w:p w14:paraId="6DECB317" w14:textId="77777777" w:rsidR="00A410A5" w:rsidRPr="008C13A2" w:rsidRDefault="00E84812" w:rsidP="008C13A2">
      <w:pPr>
        <w:pStyle w:val="NormalWeb"/>
        <w:spacing w:line="360" w:lineRule="auto"/>
        <w:rPr>
          <w:rFonts w:ascii="Arial" w:hAnsi="Arial" w:cs="Arial"/>
          <w:sz w:val="22"/>
          <w:szCs w:val="22"/>
        </w:rPr>
      </w:pPr>
      <w:r w:rsidRPr="008C13A2">
        <w:rPr>
          <w:rFonts w:ascii="Arial" w:hAnsi="Arial" w:cs="Arial"/>
          <w:sz w:val="22"/>
          <w:szCs w:val="22"/>
        </w:rPr>
        <w:t>Retail microbusinesses face costs associated with software, knowledge, security and delivery. Many lack specialist staff or a dedicated vehicle, leaving them dependent on third-party platforms and carriers (Mkansi, 2022). Comparing services, printing labels, travelling to a parcel facility and resolving delivery problems can therefore consume a meaningful share of the owner’s time.</w:t>
      </w:r>
    </w:p>
    <w:p w14:paraId="7B8BF1E8" w14:textId="0FC0AE55" w:rsidR="00E84812" w:rsidRPr="008C13A2" w:rsidRDefault="00E84812" w:rsidP="008C13A2">
      <w:pPr>
        <w:pStyle w:val="NormalWeb"/>
        <w:spacing w:line="360" w:lineRule="auto"/>
        <w:rPr>
          <w:rFonts w:ascii="Arial" w:hAnsi="Arial" w:cs="Arial"/>
          <w:sz w:val="22"/>
          <w:szCs w:val="22"/>
        </w:rPr>
      </w:pPr>
      <w:r w:rsidRPr="008C13A2">
        <w:rPr>
          <w:rFonts w:ascii="Arial" w:hAnsi="Arial" w:cs="Arial"/>
          <w:sz w:val="22"/>
          <w:szCs w:val="22"/>
        </w:rPr>
        <w:t>Retailers remain accountable to customers after parcels enter the carrier network. Ofcom (2025) identifies reliability, tracking and problem handling as important elements of parcel experiences. Returns add authorisation, labelling, transport, refund and stock-processing activities. Microenterprise return policies are also influenced by competitive pressure and customer expectations, creating tension between convenience and cost (Church, DaSouza and Awe, 2024).</w:t>
      </w:r>
    </w:p>
    <w:p w14:paraId="49087CC9" w14:textId="14C46746" w:rsidR="002C5816" w:rsidRPr="008C13A2" w:rsidRDefault="002C5816" w:rsidP="008C13A2">
      <w:pPr>
        <w:pStyle w:val="Heading3"/>
        <w:spacing w:line="360" w:lineRule="auto"/>
        <w:rPr>
          <w:rFonts w:ascii="Arial" w:hAnsi="Arial" w:cs="Arial"/>
          <w:b/>
          <w:bCs/>
          <w:color w:val="auto"/>
          <w:sz w:val="22"/>
          <w:szCs w:val="22"/>
        </w:rPr>
      </w:pPr>
      <w:r w:rsidRPr="008C13A2">
        <w:rPr>
          <w:rFonts w:ascii="Arial" w:hAnsi="Arial" w:cs="Arial"/>
          <w:b/>
          <w:bCs/>
          <w:color w:val="auto"/>
          <w:sz w:val="22"/>
          <w:szCs w:val="22"/>
        </w:rPr>
        <w:t xml:space="preserve">4.1 </w:t>
      </w:r>
      <w:r w:rsidR="00A73CF8" w:rsidRPr="008C13A2">
        <w:rPr>
          <w:rFonts w:ascii="Arial" w:hAnsi="Arial" w:cs="Arial"/>
          <w:b/>
          <w:bCs/>
          <w:color w:val="auto"/>
          <w:sz w:val="22"/>
          <w:szCs w:val="22"/>
        </w:rPr>
        <w:t>Customer Journey and Pain-Point Map</w:t>
      </w:r>
    </w:p>
    <w:p w14:paraId="4DA47F54" w14:textId="77777777" w:rsidR="00101356" w:rsidRPr="008C13A2" w:rsidRDefault="00101356" w:rsidP="008C13A2">
      <w:pPr>
        <w:pStyle w:val="NormalWeb"/>
        <w:spacing w:line="360" w:lineRule="auto"/>
        <w:rPr>
          <w:rFonts w:ascii="Arial" w:hAnsi="Arial" w:cs="Arial"/>
          <w:sz w:val="22"/>
          <w:szCs w:val="22"/>
        </w:rPr>
      </w:pPr>
      <w:r w:rsidRPr="008C13A2">
        <w:rPr>
          <w:rFonts w:ascii="Arial" w:hAnsi="Arial" w:cs="Arial"/>
          <w:sz w:val="22"/>
          <w:szCs w:val="22"/>
        </w:rPr>
        <w:t xml:space="preserve">Table 1 maps the retailer’s journey from receiving an order to processing a return. It connects each stage with actions, touchpoints, pain points, business effects and innovation opportunities. As it is </w:t>
      </w:r>
      <w:r w:rsidRPr="008C13A2">
        <w:rPr>
          <w:rFonts w:ascii="Arial" w:hAnsi="Arial" w:cs="Arial"/>
          <w:sz w:val="22"/>
          <w:szCs w:val="22"/>
        </w:rPr>
        <w:lastRenderedPageBreak/>
        <w:t>based on secondary evidence, it represents a provisional journey that should be tested during the Empathise stage.</w:t>
      </w:r>
    </w:p>
    <w:p w14:paraId="23EB2BF1" w14:textId="2C9F6CBF" w:rsidR="00D36108" w:rsidRPr="008C13A2" w:rsidRDefault="00636200" w:rsidP="008C13A2">
      <w:pPr>
        <w:pStyle w:val="NormalWeb"/>
        <w:spacing w:line="360" w:lineRule="auto"/>
        <w:rPr>
          <w:rFonts w:ascii="Arial" w:hAnsi="Arial" w:cs="Arial"/>
          <w:b/>
          <w:bCs/>
          <w:sz w:val="22"/>
          <w:szCs w:val="22"/>
        </w:rPr>
      </w:pPr>
      <w:r w:rsidRPr="008C13A2">
        <w:rPr>
          <w:rFonts w:ascii="Arial" w:hAnsi="Arial" w:cs="Arial"/>
          <w:b/>
          <w:bCs/>
          <w:sz w:val="22"/>
          <w:szCs w:val="22"/>
        </w:rPr>
        <w:t>Table 1. Customer Journey and Pain-Point Map</w:t>
      </w:r>
    </w:p>
    <w:tbl>
      <w:tblPr>
        <w:tblStyle w:val="ListTable4-Accent2"/>
        <w:tblpPr w:leftFromText="180" w:rightFromText="180" w:vertAnchor="text" w:tblpY="1"/>
        <w:tblOverlap w:val="never"/>
        <w:tblW w:w="0" w:type="auto"/>
        <w:tblLook w:val="04A0" w:firstRow="1" w:lastRow="0" w:firstColumn="1" w:lastColumn="0" w:noHBand="0" w:noVBand="1"/>
      </w:tblPr>
      <w:tblGrid>
        <w:gridCol w:w="1365"/>
        <w:gridCol w:w="1485"/>
        <w:gridCol w:w="1322"/>
        <w:gridCol w:w="1350"/>
        <w:gridCol w:w="1313"/>
        <w:gridCol w:w="1487"/>
        <w:gridCol w:w="1420"/>
      </w:tblGrid>
      <w:tr w:rsidR="00D36108" w:rsidRPr="008C13A2" w14:paraId="698634A0" w14:textId="77777777" w:rsidTr="00623B3F">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367F3DA0" w14:textId="77777777" w:rsidR="00D36108" w:rsidRPr="008C13A2" w:rsidRDefault="00D36108" w:rsidP="008C13A2">
            <w:pPr>
              <w:spacing w:line="360" w:lineRule="auto"/>
              <w:jc w:val="center"/>
              <w:rPr>
                <w:rFonts w:ascii="Arial" w:hAnsi="Arial" w:cs="Arial"/>
              </w:rPr>
            </w:pPr>
            <w:r w:rsidRPr="008C13A2">
              <w:rPr>
                <w:rFonts w:ascii="Arial" w:hAnsi="Arial" w:cs="Arial"/>
                <w:sz w:val="20"/>
                <w:szCs w:val="20"/>
              </w:rPr>
              <w:t>Journey element</w:t>
            </w:r>
          </w:p>
        </w:tc>
        <w:tc>
          <w:tcPr>
            <w:tcW w:w="0" w:type="auto"/>
            <w:vAlign w:val="center"/>
            <w:hideMark/>
          </w:tcPr>
          <w:p w14:paraId="4A6C00EF" w14:textId="77777777" w:rsidR="00D36108" w:rsidRPr="008C13A2" w:rsidRDefault="00D36108" w:rsidP="008C13A2">
            <w:pPr>
              <w:spacing w:line="360" w:lineRule="auto"/>
              <w:jc w:val="center"/>
              <w:cnfStyle w:val="100000000000" w:firstRow="1" w:lastRow="0" w:firstColumn="0" w:lastColumn="0" w:oddVBand="0" w:evenVBand="0" w:oddHBand="0" w:evenHBand="0" w:firstRowFirstColumn="0" w:firstRowLastColumn="0" w:lastRowFirstColumn="0" w:lastRowLastColumn="0"/>
              <w:rPr>
                <w:rFonts w:ascii="Arial" w:hAnsi="Arial" w:cs="Arial"/>
                <w:sz w:val="20"/>
                <w:szCs w:val="20"/>
              </w:rPr>
            </w:pPr>
            <w:r w:rsidRPr="008C13A2">
              <w:rPr>
                <w:rFonts w:ascii="Arial" w:hAnsi="Arial" w:cs="Arial"/>
                <w:sz w:val="20"/>
                <w:szCs w:val="20"/>
              </w:rPr>
              <w:t>Order received</w:t>
            </w:r>
          </w:p>
        </w:tc>
        <w:tc>
          <w:tcPr>
            <w:tcW w:w="0" w:type="auto"/>
            <w:vAlign w:val="center"/>
            <w:hideMark/>
          </w:tcPr>
          <w:p w14:paraId="2C6CBA8D" w14:textId="77777777" w:rsidR="00D36108" w:rsidRPr="008C13A2" w:rsidRDefault="00D36108" w:rsidP="008C13A2">
            <w:pPr>
              <w:spacing w:line="360" w:lineRule="auto"/>
              <w:jc w:val="center"/>
              <w:cnfStyle w:val="100000000000" w:firstRow="1" w:lastRow="0" w:firstColumn="0" w:lastColumn="0" w:oddVBand="0" w:evenVBand="0" w:oddHBand="0" w:evenHBand="0" w:firstRowFirstColumn="0" w:firstRowLastColumn="0" w:lastRowFirstColumn="0" w:lastRowLastColumn="0"/>
              <w:rPr>
                <w:rFonts w:ascii="Arial" w:hAnsi="Arial" w:cs="Arial"/>
                <w:sz w:val="20"/>
                <w:szCs w:val="20"/>
              </w:rPr>
            </w:pPr>
            <w:r w:rsidRPr="008C13A2">
              <w:rPr>
                <w:rFonts w:ascii="Arial" w:hAnsi="Arial" w:cs="Arial"/>
                <w:sz w:val="20"/>
                <w:szCs w:val="20"/>
              </w:rPr>
              <w:t>Service selected</w:t>
            </w:r>
          </w:p>
        </w:tc>
        <w:tc>
          <w:tcPr>
            <w:tcW w:w="0" w:type="auto"/>
            <w:vAlign w:val="center"/>
            <w:hideMark/>
          </w:tcPr>
          <w:p w14:paraId="623D7203" w14:textId="77777777" w:rsidR="00D36108" w:rsidRPr="008C13A2" w:rsidRDefault="00D36108" w:rsidP="008C13A2">
            <w:pPr>
              <w:spacing w:line="360" w:lineRule="auto"/>
              <w:jc w:val="center"/>
              <w:cnfStyle w:val="100000000000" w:firstRow="1" w:lastRow="0" w:firstColumn="0" w:lastColumn="0" w:oddVBand="0" w:evenVBand="0" w:oddHBand="0" w:evenHBand="0" w:firstRowFirstColumn="0" w:firstRowLastColumn="0" w:lastRowFirstColumn="0" w:lastRowLastColumn="0"/>
              <w:rPr>
                <w:rFonts w:ascii="Arial" w:hAnsi="Arial" w:cs="Arial"/>
                <w:sz w:val="20"/>
                <w:szCs w:val="20"/>
              </w:rPr>
            </w:pPr>
            <w:r w:rsidRPr="008C13A2">
              <w:rPr>
                <w:rFonts w:ascii="Arial" w:hAnsi="Arial" w:cs="Arial"/>
                <w:sz w:val="20"/>
                <w:szCs w:val="20"/>
              </w:rPr>
              <w:t>Parcel prepared</w:t>
            </w:r>
          </w:p>
        </w:tc>
        <w:tc>
          <w:tcPr>
            <w:tcW w:w="0" w:type="auto"/>
            <w:vAlign w:val="center"/>
            <w:hideMark/>
          </w:tcPr>
          <w:p w14:paraId="6A4BBF2B" w14:textId="77777777" w:rsidR="00D36108" w:rsidRPr="008C13A2" w:rsidRDefault="00D36108" w:rsidP="008C13A2">
            <w:pPr>
              <w:spacing w:line="360" w:lineRule="auto"/>
              <w:jc w:val="center"/>
              <w:cnfStyle w:val="100000000000" w:firstRow="1" w:lastRow="0" w:firstColumn="0" w:lastColumn="0" w:oddVBand="0" w:evenVBand="0" w:oddHBand="0" w:evenHBand="0" w:firstRowFirstColumn="0" w:firstRowLastColumn="0" w:lastRowFirstColumn="0" w:lastRowLastColumn="0"/>
              <w:rPr>
                <w:rFonts w:ascii="Arial" w:hAnsi="Arial" w:cs="Arial"/>
                <w:sz w:val="20"/>
                <w:szCs w:val="20"/>
              </w:rPr>
            </w:pPr>
            <w:r w:rsidRPr="008C13A2">
              <w:rPr>
                <w:rFonts w:ascii="Arial" w:hAnsi="Arial" w:cs="Arial"/>
                <w:sz w:val="20"/>
                <w:szCs w:val="20"/>
              </w:rPr>
              <w:t>Parcel dispatched</w:t>
            </w:r>
          </w:p>
        </w:tc>
        <w:tc>
          <w:tcPr>
            <w:tcW w:w="0" w:type="auto"/>
            <w:vAlign w:val="center"/>
            <w:hideMark/>
          </w:tcPr>
          <w:p w14:paraId="76F1CBE7" w14:textId="77777777" w:rsidR="00D36108" w:rsidRPr="008C13A2" w:rsidRDefault="00D36108" w:rsidP="008C13A2">
            <w:pPr>
              <w:spacing w:line="360" w:lineRule="auto"/>
              <w:jc w:val="center"/>
              <w:cnfStyle w:val="100000000000" w:firstRow="1" w:lastRow="0" w:firstColumn="0" w:lastColumn="0" w:oddVBand="0" w:evenVBand="0" w:oddHBand="0" w:evenHBand="0" w:firstRowFirstColumn="0" w:firstRowLastColumn="0" w:lastRowFirstColumn="0" w:lastRowLastColumn="0"/>
              <w:rPr>
                <w:rFonts w:ascii="Arial" w:hAnsi="Arial" w:cs="Arial"/>
                <w:sz w:val="20"/>
                <w:szCs w:val="20"/>
              </w:rPr>
            </w:pPr>
            <w:r w:rsidRPr="008C13A2">
              <w:rPr>
                <w:rFonts w:ascii="Arial" w:hAnsi="Arial" w:cs="Arial"/>
                <w:sz w:val="20"/>
                <w:szCs w:val="20"/>
              </w:rPr>
              <w:t>Delivery monitored</w:t>
            </w:r>
          </w:p>
        </w:tc>
        <w:tc>
          <w:tcPr>
            <w:tcW w:w="0" w:type="auto"/>
            <w:vAlign w:val="center"/>
            <w:hideMark/>
          </w:tcPr>
          <w:p w14:paraId="352863B7" w14:textId="77777777" w:rsidR="00D36108" w:rsidRPr="008C13A2" w:rsidRDefault="00D36108" w:rsidP="008C13A2">
            <w:pPr>
              <w:spacing w:line="360" w:lineRule="auto"/>
              <w:jc w:val="center"/>
              <w:cnfStyle w:val="100000000000" w:firstRow="1" w:lastRow="0" w:firstColumn="0" w:lastColumn="0" w:oddVBand="0" w:evenVBand="0" w:oddHBand="0" w:evenHBand="0" w:firstRowFirstColumn="0" w:firstRowLastColumn="0" w:lastRowFirstColumn="0" w:lastRowLastColumn="0"/>
              <w:rPr>
                <w:rFonts w:ascii="Arial" w:hAnsi="Arial" w:cs="Arial"/>
                <w:sz w:val="20"/>
                <w:szCs w:val="20"/>
              </w:rPr>
            </w:pPr>
            <w:r w:rsidRPr="008C13A2">
              <w:rPr>
                <w:rFonts w:ascii="Arial" w:hAnsi="Arial" w:cs="Arial"/>
                <w:sz w:val="20"/>
                <w:szCs w:val="20"/>
              </w:rPr>
              <w:t>Return processed</w:t>
            </w:r>
          </w:p>
        </w:tc>
      </w:tr>
      <w:tr w:rsidR="00D36108" w:rsidRPr="008C13A2" w14:paraId="449E6472" w14:textId="77777777" w:rsidTr="00623B3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5C9DD376" w14:textId="77777777" w:rsidR="00D36108" w:rsidRPr="008C13A2" w:rsidRDefault="00D36108" w:rsidP="008C13A2">
            <w:pPr>
              <w:spacing w:line="360" w:lineRule="auto"/>
              <w:rPr>
                <w:rFonts w:ascii="Arial" w:hAnsi="Arial" w:cs="Arial"/>
                <w:b w:val="0"/>
                <w:bCs w:val="0"/>
                <w:sz w:val="20"/>
                <w:szCs w:val="20"/>
              </w:rPr>
            </w:pPr>
            <w:r w:rsidRPr="008C13A2">
              <w:rPr>
                <w:rStyle w:val="Strong"/>
                <w:rFonts w:ascii="Arial" w:hAnsi="Arial" w:cs="Arial"/>
                <w:b/>
                <w:bCs/>
                <w:sz w:val="20"/>
                <w:szCs w:val="20"/>
              </w:rPr>
              <w:t>Retailer action</w:t>
            </w:r>
          </w:p>
        </w:tc>
        <w:tc>
          <w:tcPr>
            <w:tcW w:w="0" w:type="auto"/>
            <w:vAlign w:val="center"/>
            <w:hideMark/>
          </w:tcPr>
          <w:p w14:paraId="2DC640F1" w14:textId="77777777" w:rsidR="00D36108" w:rsidRPr="008C13A2" w:rsidRDefault="00D36108" w:rsidP="008C13A2">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sidRPr="008C13A2">
              <w:rPr>
                <w:rFonts w:ascii="Arial" w:hAnsi="Arial" w:cs="Arial"/>
                <w:sz w:val="20"/>
                <w:szCs w:val="20"/>
              </w:rPr>
              <w:t>Confirms and processes order</w:t>
            </w:r>
          </w:p>
        </w:tc>
        <w:tc>
          <w:tcPr>
            <w:tcW w:w="0" w:type="auto"/>
            <w:vAlign w:val="center"/>
            <w:hideMark/>
          </w:tcPr>
          <w:p w14:paraId="29B626AF" w14:textId="77777777" w:rsidR="00D36108" w:rsidRPr="008C13A2" w:rsidRDefault="00D36108" w:rsidP="008C13A2">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sidRPr="008C13A2">
              <w:rPr>
                <w:rFonts w:ascii="Arial" w:hAnsi="Arial" w:cs="Arial"/>
                <w:sz w:val="20"/>
                <w:szCs w:val="20"/>
              </w:rPr>
              <w:t>Compares price and delivery speed</w:t>
            </w:r>
          </w:p>
        </w:tc>
        <w:tc>
          <w:tcPr>
            <w:tcW w:w="0" w:type="auto"/>
            <w:vAlign w:val="center"/>
            <w:hideMark/>
          </w:tcPr>
          <w:p w14:paraId="4BF6C5D7" w14:textId="77777777" w:rsidR="00D36108" w:rsidRPr="008C13A2" w:rsidRDefault="00D36108" w:rsidP="008C13A2">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sidRPr="008C13A2">
              <w:rPr>
                <w:rFonts w:ascii="Arial" w:hAnsi="Arial" w:cs="Arial"/>
                <w:sz w:val="20"/>
                <w:szCs w:val="20"/>
              </w:rPr>
              <w:t xml:space="preserve">Packs item and </w:t>
            </w:r>
            <w:proofErr w:type="gramStart"/>
            <w:r w:rsidRPr="008C13A2">
              <w:rPr>
                <w:rFonts w:ascii="Arial" w:hAnsi="Arial" w:cs="Arial"/>
                <w:sz w:val="20"/>
                <w:szCs w:val="20"/>
              </w:rPr>
              <w:t>creates</w:t>
            </w:r>
            <w:proofErr w:type="gramEnd"/>
            <w:r w:rsidRPr="008C13A2">
              <w:rPr>
                <w:rFonts w:ascii="Arial" w:hAnsi="Arial" w:cs="Arial"/>
                <w:sz w:val="20"/>
                <w:szCs w:val="20"/>
              </w:rPr>
              <w:t xml:space="preserve"> label</w:t>
            </w:r>
          </w:p>
        </w:tc>
        <w:tc>
          <w:tcPr>
            <w:tcW w:w="0" w:type="auto"/>
            <w:vAlign w:val="center"/>
            <w:hideMark/>
          </w:tcPr>
          <w:p w14:paraId="5510A0C5" w14:textId="77777777" w:rsidR="00D36108" w:rsidRPr="008C13A2" w:rsidRDefault="00D36108" w:rsidP="008C13A2">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sidRPr="008C13A2">
              <w:rPr>
                <w:rFonts w:ascii="Arial" w:hAnsi="Arial" w:cs="Arial"/>
                <w:sz w:val="20"/>
                <w:szCs w:val="20"/>
              </w:rPr>
              <w:t>Travels to drop-off point or waits</w:t>
            </w:r>
          </w:p>
        </w:tc>
        <w:tc>
          <w:tcPr>
            <w:tcW w:w="0" w:type="auto"/>
            <w:vAlign w:val="center"/>
            <w:hideMark/>
          </w:tcPr>
          <w:p w14:paraId="79F49355" w14:textId="77777777" w:rsidR="00D36108" w:rsidRPr="008C13A2" w:rsidRDefault="00D36108" w:rsidP="008C13A2">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sidRPr="008C13A2">
              <w:rPr>
                <w:rFonts w:ascii="Arial" w:hAnsi="Arial" w:cs="Arial"/>
                <w:sz w:val="20"/>
                <w:szCs w:val="20"/>
              </w:rPr>
              <w:t>Checks tracking and answers enquiries</w:t>
            </w:r>
          </w:p>
        </w:tc>
        <w:tc>
          <w:tcPr>
            <w:tcW w:w="0" w:type="auto"/>
            <w:vAlign w:val="center"/>
            <w:hideMark/>
          </w:tcPr>
          <w:p w14:paraId="36C5280E" w14:textId="77777777" w:rsidR="00D36108" w:rsidRPr="008C13A2" w:rsidRDefault="00D36108" w:rsidP="008C13A2">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sidRPr="008C13A2">
              <w:rPr>
                <w:rFonts w:ascii="Arial" w:hAnsi="Arial" w:cs="Arial"/>
                <w:sz w:val="20"/>
                <w:szCs w:val="20"/>
              </w:rPr>
              <w:t>Creates label, tracks return and refunds customer</w:t>
            </w:r>
          </w:p>
        </w:tc>
      </w:tr>
      <w:tr w:rsidR="00D36108" w:rsidRPr="008C13A2" w14:paraId="2FF5C021" w14:textId="77777777" w:rsidTr="00623B3F">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0B804E92" w14:textId="77777777" w:rsidR="00D36108" w:rsidRPr="008C13A2" w:rsidRDefault="00D36108" w:rsidP="008C13A2">
            <w:pPr>
              <w:spacing w:line="360" w:lineRule="auto"/>
              <w:rPr>
                <w:rFonts w:ascii="Arial" w:hAnsi="Arial" w:cs="Arial"/>
                <w:b w:val="0"/>
                <w:bCs w:val="0"/>
                <w:sz w:val="20"/>
                <w:szCs w:val="20"/>
              </w:rPr>
            </w:pPr>
            <w:r w:rsidRPr="008C13A2">
              <w:rPr>
                <w:rStyle w:val="Strong"/>
                <w:rFonts w:ascii="Arial" w:hAnsi="Arial" w:cs="Arial"/>
                <w:b/>
                <w:bCs/>
                <w:sz w:val="20"/>
                <w:szCs w:val="20"/>
              </w:rPr>
              <w:t>Touchpoint</w:t>
            </w:r>
          </w:p>
        </w:tc>
        <w:tc>
          <w:tcPr>
            <w:tcW w:w="0" w:type="auto"/>
            <w:vAlign w:val="center"/>
            <w:hideMark/>
          </w:tcPr>
          <w:p w14:paraId="5452F2C2" w14:textId="77777777" w:rsidR="00D36108" w:rsidRPr="008C13A2" w:rsidRDefault="00D36108" w:rsidP="008C13A2">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8C13A2">
              <w:rPr>
                <w:rFonts w:ascii="Arial" w:hAnsi="Arial" w:cs="Arial"/>
                <w:sz w:val="20"/>
                <w:szCs w:val="20"/>
              </w:rPr>
              <w:t>Website, marketplace or social media</w:t>
            </w:r>
          </w:p>
        </w:tc>
        <w:tc>
          <w:tcPr>
            <w:tcW w:w="0" w:type="auto"/>
            <w:vAlign w:val="center"/>
            <w:hideMark/>
          </w:tcPr>
          <w:p w14:paraId="0D37CD67" w14:textId="77777777" w:rsidR="00D36108" w:rsidRPr="008C13A2" w:rsidRDefault="00D36108" w:rsidP="008C13A2">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8C13A2">
              <w:rPr>
                <w:rFonts w:ascii="Arial" w:hAnsi="Arial" w:cs="Arial"/>
                <w:sz w:val="20"/>
                <w:szCs w:val="20"/>
              </w:rPr>
              <w:t>Carrier websites and shipping platforms</w:t>
            </w:r>
          </w:p>
        </w:tc>
        <w:tc>
          <w:tcPr>
            <w:tcW w:w="0" w:type="auto"/>
            <w:vAlign w:val="center"/>
            <w:hideMark/>
          </w:tcPr>
          <w:p w14:paraId="30CFA27D" w14:textId="77777777" w:rsidR="00D36108" w:rsidRPr="008C13A2" w:rsidRDefault="00D36108" w:rsidP="008C13A2">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8C13A2">
              <w:rPr>
                <w:rFonts w:ascii="Arial" w:hAnsi="Arial" w:cs="Arial"/>
                <w:sz w:val="20"/>
                <w:szCs w:val="20"/>
              </w:rPr>
              <w:t>Printer, packaging and carrier system</w:t>
            </w:r>
          </w:p>
        </w:tc>
        <w:tc>
          <w:tcPr>
            <w:tcW w:w="0" w:type="auto"/>
            <w:vAlign w:val="center"/>
            <w:hideMark/>
          </w:tcPr>
          <w:p w14:paraId="2899667C" w14:textId="77777777" w:rsidR="00D36108" w:rsidRPr="008C13A2" w:rsidRDefault="00D36108" w:rsidP="008C13A2">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8C13A2">
              <w:rPr>
                <w:rFonts w:ascii="Arial" w:hAnsi="Arial" w:cs="Arial"/>
                <w:sz w:val="20"/>
                <w:szCs w:val="20"/>
              </w:rPr>
              <w:t>Parcel shop, post office or driver</w:t>
            </w:r>
          </w:p>
        </w:tc>
        <w:tc>
          <w:tcPr>
            <w:tcW w:w="0" w:type="auto"/>
            <w:vAlign w:val="center"/>
            <w:hideMark/>
          </w:tcPr>
          <w:p w14:paraId="1FFD6B0E" w14:textId="77777777" w:rsidR="00D36108" w:rsidRPr="008C13A2" w:rsidRDefault="00D36108" w:rsidP="008C13A2">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8C13A2">
              <w:rPr>
                <w:rFonts w:ascii="Arial" w:hAnsi="Arial" w:cs="Arial"/>
                <w:sz w:val="20"/>
                <w:szCs w:val="20"/>
              </w:rPr>
              <w:t>Carrier tracking and customer messages</w:t>
            </w:r>
          </w:p>
        </w:tc>
        <w:tc>
          <w:tcPr>
            <w:tcW w:w="0" w:type="auto"/>
            <w:vAlign w:val="center"/>
            <w:hideMark/>
          </w:tcPr>
          <w:p w14:paraId="5800C0EA" w14:textId="77777777" w:rsidR="00D36108" w:rsidRPr="008C13A2" w:rsidRDefault="00D36108" w:rsidP="008C13A2">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8C13A2">
              <w:rPr>
                <w:rFonts w:ascii="Arial" w:hAnsi="Arial" w:cs="Arial"/>
                <w:sz w:val="20"/>
                <w:szCs w:val="20"/>
              </w:rPr>
              <w:t>Customer, carrier and inventory records</w:t>
            </w:r>
          </w:p>
        </w:tc>
      </w:tr>
      <w:tr w:rsidR="00D36108" w:rsidRPr="008C13A2" w14:paraId="061483D7" w14:textId="77777777" w:rsidTr="00623B3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01D873C8" w14:textId="77777777" w:rsidR="00D36108" w:rsidRPr="008C13A2" w:rsidRDefault="00D36108" w:rsidP="008C13A2">
            <w:pPr>
              <w:spacing w:line="360" w:lineRule="auto"/>
              <w:rPr>
                <w:rFonts w:ascii="Arial" w:hAnsi="Arial" w:cs="Arial"/>
                <w:b w:val="0"/>
                <w:bCs w:val="0"/>
                <w:sz w:val="20"/>
                <w:szCs w:val="20"/>
              </w:rPr>
            </w:pPr>
            <w:r w:rsidRPr="008C13A2">
              <w:rPr>
                <w:rStyle w:val="Strong"/>
                <w:rFonts w:ascii="Arial" w:hAnsi="Arial" w:cs="Arial"/>
                <w:b/>
                <w:bCs/>
                <w:sz w:val="20"/>
                <w:szCs w:val="20"/>
              </w:rPr>
              <w:t>Pain point</w:t>
            </w:r>
          </w:p>
        </w:tc>
        <w:tc>
          <w:tcPr>
            <w:tcW w:w="0" w:type="auto"/>
            <w:vAlign w:val="center"/>
            <w:hideMark/>
          </w:tcPr>
          <w:p w14:paraId="67DE5F33" w14:textId="77777777" w:rsidR="00D36108" w:rsidRPr="008C13A2" w:rsidRDefault="00D36108" w:rsidP="008C13A2">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sidRPr="008C13A2">
              <w:rPr>
                <w:rFonts w:ascii="Arial" w:hAnsi="Arial" w:cs="Arial"/>
                <w:sz w:val="20"/>
                <w:szCs w:val="20"/>
              </w:rPr>
              <w:t>Information divided across platforms</w:t>
            </w:r>
          </w:p>
        </w:tc>
        <w:tc>
          <w:tcPr>
            <w:tcW w:w="0" w:type="auto"/>
            <w:vAlign w:val="center"/>
            <w:hideMark/>
          </w:tcPr>
          <w:p w14:paraId="58F7136D" w14:textId="77777777" w:rsidR="00D36108" w:rsidRPr="008C13A2" w:rsidRDefault="00D36108" w:rsidP="008C13A2">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sidRPr="008C13A2">
              <w:rPr>
                <w:rFonts w:ascii="Arial" w:hAnsi="Arial" w:cs="Arial"/>
                <w:sz w:val="20"/>
                <w:szCs w:val="20"/>
              </w:rPr>
              <w:t>Fragmented and confusing choices</w:t>
            </w:r>
          </w:p>
        </w:tc>
        <w:tc>
          <w:tcPr>
            <w:tcW w:w="0" w:type="auto"/>
            <w:vAlign w:val="center"/>
            <w:hideMark/>
          </w:tcPr>
          <w:p w14:paraId="19B11CA9" w14:textId="77777777" w:rsidR="00D36108" w:rsidRPr="008C13A2" w:rsidRDefault="00D36108" w:rsidP="008C13A2">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sidRPr="008C13A2">
              <w:rPr>
                <w:rFonts w:ascii="Arial" w:hAnsi="Arial" w:cs="Arial"/>
                <w:sz w:val="20"/>
                <w:szCs w:val="20"/>
              </w:rPr>
              <w:t>Repeated data entry and printer dependence</w:t>
            </w:r>
          </w:p>
        </w:tc>
        <w:tc>
          <w:tcPr>
            <w:tcW w:w="0" w:type="auto"/>
            <w:vAlign w:val="center"/>
            <w:hideMark/>
          </w:tcPr>
          <w:p w14:paraId="3AA52DA0" w14:textId="77777777" w:rsidR="00D36108" w:rsidRPr="008C13A2" w:rsidRDefault="00D36108" w:rsidP="008C13A2">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sidRPr="008C13A2">
              <w:rPr>
                <w:rFonts w:ascii="Arial" w:hAnsi="Arial" w:cs="Arial"/>
                <w:sz w:val="20"/>
                <w:szCs w:val="20"/>
              </w:rPr>
              <w:t>Travel, unsuitable opening hours or missed collection</w:t>
            </w:r>
          </w:p>
        </w:tc>
        <w:tc>
          <w:tcPr>
            <w:tcW w:w="0" w:type="auto"/>
            <w:vAlign w:val="center"/>
            <w:hideMark/>
          </w:tcPr>
          <w:p w14:paraId="6DD42FBC" w14:textId="77777777" w:rsidR="00D36108" w:rsidRPr="008C13A2" w:rsidRDefault="00D36108" w:rsidP="008C13A2">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sidRPr="008C13A2">
              <w:rPr>
                <w:rFonts w:ascii="Arial" w:hAnsi="Arial" w:cs="Arial"/>
                <w:sz w:val="20"/>
                <w:szCs w:val="20"/>
              </w:rPr>
              <w:t>Responsibility for delays without operational control</w:t>
            </w:r>
          </w:p>
        </w:tc>
        <w:tc>
          <w:tcPr>
            <w:tcW w:w="0" w:type="auto"/>
            <w:vAlign w:val="center"/>
            <w:hideMark/>
          </w:tcPr>
          <w:p w14:paraId="00382C9F" w14:textId="77777777" w:rsidR="00D36108" w:rsidRPr="008C13A2" w:rsidRDefault="00D36108" w:rsidP="008C13A2">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sidRPr="008C13A2">
              <w:rPr>
                <w:rFonts w:ascii="Arial" w:hAnsi="Arial" w:cs="Arial"/>
                <w:sz w:val="20"/>
                <w:szCs w:val="20"/>
              </w:rPr>
              <w:t>Additional cost, slow confirmation and uncertainty</w:t>
            </w:r>
          </w:p>
        </w:tc>
      </w:tr>
      <w:tr w:rsidR="00D36108" w:rsidRPr="008C13A2" w14:paraId="6C3B34D4" w14:textId="77777777" w:rsidTr="00623B3F">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5C128BCC" w14:textId="77777777" w:rsidR="00D36108" w:rsidRPr="008C13A2" w:rsidRDefault="00D36108" w:rsidP="008C13A2">
            <w:pPr>
              <w:spacing w:line="360" w:lineRule="auto"/>
              <w:rPr>
                <w:rFonts w:ascii="Arial" w:hAnsi="Arial" w:cs="Arial"/>
                <w:b w:val="0"/>
                <w:bCs w:val="0"/>
                <w:sz w:val="20"/>
                <w:szCs w:val="20"/>
              </w:rPr>
            </w:pPr>
            <w:r w:rsidRPr="008C13A2">
              <w:rPr>
                <w:rStyle w:val="Strong"/>
                <w:rFonts w:ascii="Arial" w:hAnsi="Arial" w:cs="Arial"/>
                <w:b/>
                <w:bCs/>
                <w:sz w:val="20"/>
                <w:szCs w:val="20"/>
              </w:rPr>
              <w:t>Effect</w:t>
            </w:r>
          </w:p>
        </w:tc>
        <w:tc>
          <w:tcPr>
            <w:tcW w:w="0" w:type="auto"/>
            <w:vAlign w:val="center"/>
            <w:hideMark/>
          </w:tcPr>
          <w:p w14:paraId="4E89FE44" w14:textId="77777777" w:rsidR="00D36108" w:rsidRPr="008C13A2" w:rsidRDefault="00D36108" w:rsidP="008C13A2">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8C13A2">
              <w:rPr>
                <w:rFonts w:ascii="Arial" w:hAnsi="Arial" w:cs="Arial"/>
                <w:sz w:val="20"/>
                <w:szCs w:val="20"/>
              </w:rPr>
              <w:t>Repeated administration</w:t>
            </w:r>
          </w:p>
        </w:tc>
        <w:tc>
          <w:tcPr>
            <w:tcW w:w="0" w:type="auto"/>
            <w:vAlign w:val="center"/>
            <w:hideMark/>
          </w:tcPr>
          <w:p w14:paraId="1EEC52A4" w14:textId="77777777" w:rsidR="00D36108" w:rsidRPr="008C13A2" w:rsidRDefault="00D36108" w:rsidP="008C13A2">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8C13A2">
              <w:rPr>
                <w:rFonts w:ascii="Arial" w:hAnsi="Arial" w:cs="Arial"/>
                <w:sz w:val="20"/>
                <w:szCs w:val="20"/>
              </w:rPr>
              <w:t>Time spent comparing services</w:t>
            </w:r>
          </w:p>
        </w:tc>
        <w:tc>
          <w:tcPr>
            <w:tcW w:w="0" w:type="auto"/>
            <w:vAlign w:val="center"/>
            <w:hideMark/>
          </w:tcPr>
          <w:p w14:paraId="6B2B328B" w14:textId="77777777" w:rsidR="00D36108" w:rsidRPr="008C13A2" w:rsidRDefault="00D36108" w:rsidP="008C13A2">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8C13A2">
              <w:rPr>
                <w:rFonts w:ascii="Arial" w:hAnsi="Arial" w:cs="Arial"/>
                <w:sz w:val="20"/>
                <w:szCs w:val="20"/>
              </w:rPr>
              <w:t>Frustration and preparation time</w:t>
            </w:r>
          </w:p>
        </w:tc>
        <w:tc>
          <w:tcPr>
            <w:tcW w:w="0" w:type="auto"/>
            <w:vAlign w:val="center"/>
            <w:hideMark/>
          </w:tcPr>
          <w:p w14:paraId="733EFDF2" w14:textId="77777777" w:rsidR="00D36108" w:rsidRPr="008C13A2" w:rsidRDefault="00D36108" w:rsidP="008C13A2">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8C13A2">
              <w:rPr>
                <w:rFonts w:ascii="Arial" w:hAnsi="Arial" w:cs="Arial"/>
                <w:sz w:val="20"/>
                <w:szCs w:val="20"/>
              </w:rPr>
              <w:t>Lost working time and transport cost</w:t>
            </w:r>
          </w:p>
        </w:tc>
        <w:tc>
          <w:tcPr>
            <w:tcW w:w="0" w:type="auto"/>
            <w:vAlign w:val="center"/>
            <w:hideMark/>
          </w:tcPr>
          <w:p w14:paraId="52A12C11" w14:textId="77777777" w:rsidR="00D36108" w:rsidRPr="008C13A2" w:rsidRDefault="00D36108" w:rsidP="008C13A2">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8C13A2">
              <w:rPr>
                <w:rFonts w:ascii="Arial" w:hAnsi="Arial" w:cs="Arial"/>
                <w:sz w:val="20"/>
                <w:szCs w:val="20"/>
              </w:rPr>
              <w:t>Customer complaints and reputational risk</w:t>
            </w:r>
          </w:p>
        </w:tc>
        <w:tc>
          <w:tcPr>
            <w:tcW w:w="0" w:type="auto"/>
            <w:vAlign w:val="center"/>
            <w:hideMark/>
          </w:tcPr>
          <w:p w14:paraId="0C246B76" w14:textId="77777777" w:rsidR="00D36108" w:rsidRPr="008C13A2" w:rsidRDefault="00D36108" w:rsidP="008C13A2">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8C13A2">
              <w:rPr>
                <w:rFonts w:ascii="Arial" w:hAnsi="Arial" w:cs="Arial"/>
                <w:sz w:val="20"/>
                <w:szCs w:val="20"/>
              </w:rPr>
              <w:t>Delayed refunds, stock recovery and resale</w:t>
            </w:r>
          </w:p>
        </w:tc>
      </w:tr>
      <w:tr w:rsidR="00D36108" w:rsidRPr="008C13A2" w14:paraId="7483F4AF" w14:textId="77777777" w:rsidTr="00623B3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3666943D" w14:textId="77777777" w:rsidR="00D36108" w:rsidRPr="008C13A2" w:rsidRDefault="00D36108" w:rsidP="008C13A2">
            <w:pPr>
              <w:spacing w:line="360" w:lineRule="auto"/>
              <w:rPr>
                <w:rFonts w:ascii="Arial" w:hAnsi="Arial" w:cs="Arial"/>
                <w:b w:val="0"/>
                <w:bCs w:val="0"/>
                <w:sz w:val="20"/>
                <w:szCs w:val="20"/>
              </w:rPr>
            </w:pPr>
            <w:r w:rsidRPr="008C13A2">
              <w:rPr>
                <w:rStyle w:val="Strong"/>
                <w:rFonts w:ascii="Arial" w:hAnsi="Arial" w:cs="Arial"/>
                <w:b/>
                <w:bCs/>
                <w:sz w:val="20"/>
                <w:szCs w:val="20"/>
              </w:rPr>
              <w:t>Opportunity</w:t>
            </w:r>
          </w:p>
        </w:tc>
        <w:tc>
          <w:tcPr>
            <w:tcW w:w="0" w:type="auto"/>
            <w:vAlign w:val="center"/>
            <w:hideMark/>
          </w:tcPr>
          <w:p w14:paraId="1851BF4E" w14:textId="77777777" w:rsidR="00D36108" w:rsidRPr="008C13A2" w:rsidRDefault="00D36108" w:rsidP="008C13A2">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sidRPr="008C13A2">
              <w:rPr>
                <w:rFonts w:ascii="Arial" w:hAnsi="Arial" w:cs="Arial"/>
                <w:sz w:val="20"/>
                <w:szCs w:val="20"/>
              </w:rPr>
              <w:t>Shared order view</w:t>
            </w:r>
          </w:p>
        </w:tc>
        <w:tc>
          <w:tcPr>
            <w:tcW w:w="0" w:type="auto"/>
            <w:vAlign w:val="center"/>
            <w:hideMark/>
          </w:tcPr>
          <w:p w14:paraId="1324D055" w14:textId="77777777" w:rsidR="00D36108" w:rsidRPr="008C13A2" w:rsidRDefault="00D36108" w:rsidP="008C13A2">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sidRPr="008C13A2">
              <w:rPr>
                <w:rFonts w:ascii="Arial" w:hAnsi="Arial" w:cs="Arial"/>
                <w:sz w:val="20"/>
                <w:szCs w:val="20"/>
              </w:rPr>
              <w:t>Simpler service comparison</w:t>
            </w:r>
          </w:p>
        </w:tc>
        <w:tc>
          <w:tcPr>
            <w:tcW w:w="0" w:type="auto"/>
            <w:vAlign w:val="center"/>
            <w:hideMark/>
          </w:tcPr>
          <w:p w14:paraId="0658FAD0" w14:textId="77777777" w:rsidR="00D36108" w:rsidRPr="008C13A2" w:rsidRDefault="00D36108" w:rsidP="008C13A2">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sidRPr="008C13A2">
              <w:rPr>
                <w:rFonts w:ascii="Arial" w:hAnsi="Arial" w:cs="Arial"/>
                <w:sz w:val="20"/>
                <w:szCs w:val="20"/>
              </w:rPr>
              <w:t>QR labels and saved information</w:t>
            </w:r>
          </w:p>
        </w:tc>
        <w:tc>
          <w:tcPr>
            <w:tcW w:w="0" w:type="auto"/>
            <w:vAlign w:val="center"/>
            <w:hideMark/>
          </w:tcPr>
          <w:p w14:paraId="1E9ABE4E" w14:textId="77777777" w:rsidR="00D36108" w:rsidRPr="008C13A2" w:rsidRDefault="00D36108" w:rsidP="008C13A2">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sidRPr="008C13A2">
              <w:rPr>
                <w:rFonts w:ascii="Arial" w:hAnsi="Arial" w:cs="Arial"/>
                <w:sz w:val="20"/>
                <w:szCs w:val="20"/>
              </w:rPr>
              <w:t>Shared local collection</w:t>
            </w:r>
          </w:p>
        </w:tc>
        <w:tc>
          <w:tcPr>
            <w:tcW w:w="0" w:type="auto"/>
            <w:vAlign w:val="center"/>
            <w:hideMark/>
          </w:tcPr>
          <w:p w14:paraId="3183676A" w14:textId="77777777" w:rsidR="00D36108" w:rsidRPr="008C13A2" w:rsidRDefault="00D36108" w:rsidP="008C13A2">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sidRPr="008C13A2">
              <w:rPr>
                <w:rFonts w:ascii="Arial" w:hAnsi="Arial" w:cs="Arial"/>
                <w:sz w:val="20"/>
                <w:szCs w:val="20"/>
              </w:rPr>
              <w:t>Automatic status notifications</w:t>
            </w:r>
          </w:p>
        </w:tc>
        <w:tc>
          <w:tcPr>
            <w:tcW w:w="0" w:type="auto"/>
            <w:vAlign w:val="center"/>
            <w:hideMark/>
          </w:tcPr>
          <w:p w14:paraId="19232660" w14:textId="77777777" w:rsidR="00D36108" w:rsidRPr="008C13A2" w:rsidRDefault="00D36108" w:rsidP="008C13A2">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sidRPr="008C13A2">
              <w:rPr>
                <w:rFonts w:ascii="Arial" w:hAnsi="Arial" w:cs="Arial"/>
                <w:sz w:val="20"/>
                <w:szCs w:val="20"/>
              </w:rPr>
              <w:t>Consolidated returns and faster confirmation</w:t>
            </w:r>
          </w:p>
        </w:tc>
      </w:tr>
    </w:tbl>
    <w:p w14:paraId="0E78E773" w14:textId="77777777" w:rsidR="000A1BEB" w:rsidRPr="008C13A2" w:rsidRDefault="000A1BEB" w:rsidP="00E31501">
      <w:pPr>
        <w:pStyle w:val="NormalWeb"/>
        <w:spacing w:after="0" w:afterAutospacing="0" w:line="360" w:lineRule="auto"/>
        <w:rPr>
          <w:rFonts w:ascii="Arial" w:eastAsiaTheme="majorEastAsia" w:hAnsi="Arial" w:cs="Arial"/>
          <w:b/>
          <w:bCs/>
          <w:sz w:val="22"/>
          <w:szCs w:val="22"/>
        </w:rPr>
      </w:pPr>
      <w:r w:rsidRPr="008C13A2">
        <w:rPr>
          <w:rFonts w:ascii="Arial" w:eastAsiaTheme="majorEastAsia" w:hAnsi="Arial" w:cs="Arial"/>
          <w:b/>
          <w:bCs/>
          <w:sz w:val="22"/>
          <w:szCs w:val="22"/>
        </w:rPr>
        <w:t>Table 1. Customer journey and pain-point map.</w:t>
      </w:r>
    </w:p>
    <w:p w14:paraId="33A825B3" w14:textId="77777777" w:rsidR="000A1BEB" w:rsidRPr="008C13A2" w:rsidRDefault="000A1BEB" w:rsidP="00E31501">
      <w:pPr>
        <w:pStyle w:val="NormalWeb"/>
        <w:spacing w:before="0" w:beforeAutospacing="0" w:line="360" w:lineRule="auto"/>
        <w:rPr>
          <w:rFonts w:ascii="Arial" w:eastAsiaTheme="majorEastAsia" w:hAnsi="Arial" w:cs="Arial"/>
          <w:sz w:val="22"/>
          <w:szCs w:val="22"/>
        </w:rPr>
      </w:pPr>
      <w:r w:rsidRPr="008C13A2">
        <w:rPr>
          <w:rFonts w:ascii="Arial" w:eastAsiaTheme="majorEastAsia" w:hAnsi="Arial" w:cs="Arial"/>
          <w:sz w:val="22"/>
          <w:szCs w:val="22"/>
        </w:rPr>
        <w:t>Source: Author’s own construction, informed by Holz et al. (2024), Mkansi (2022) and Ofcom (2025).</w:t>
      </w:r>
    </w:p>
    <w:p w14:paraId="1AEE0290" w14:textId="61166832" w:rsidR="00D36108" w:rsidRPr="008C13A2" w:rsidRDefault="003C7EE7" w:rsidP="008C13A2">
      <w:pPr>
        <w:pStyle w:val="NormalWeb"/>
        <w:spacing w:line="360" w:lineRule="auto"/>
        <w:rPr>
          <w:rFonts w:ascii="Arial" w:eastAsiaTheme="majorEastAsia" w:hAnsi="Arial" w:cs="Arial"/>
          <w:sz w:val="22"/>
          <w:szCs w:val="22"/>
        </w:rPr>
      </w:pPr>
      <w:r w:rsidRPr="008C13A2">
        <w:rPr>
          <w:rFonts w:ascii="Arial" w:eastAsiaTheme="majorEastAsia" w:hAnsi="Arial" w:cs="Arial"/>
          <w:sz w:val="22"/>
          <w:szCs w:val="22"/>
        </w:rPr>
        <w:t xml:space="preserve">Table 1 shows that fulfilment difficulties are cumulative. Individually minor tasks create repeated administration, travel, cost, uncertainty and customer-service pressure when experienced across the whole journey. Holz et al. (2024) argue that complex journey pain points should be understood </w:t>
      </w:r>
      <w:r w:rsidRPr="008C13A2">
        <w:rPr>
          <w:rFonts w:ascii="Arial" w:eastAsiaTheme="majorEastAsia" w:hAnsi="Arial" w:cs="Arial"/>
          <w:sz w:val="22"/>
          <w:szCs w:val="22"/>
        </w:rPr>
        <w:lastRenderedPageBreak/>
        <w:t>across connected touchpoints. An AI route planner alone would therefore not address booking, preparation, dispatch, tracking and returns.</w:t>
      </w:r>
    </w:p>
    <w:p w14:paraId="1C2D8ACC" w14:textId="77777777" w:rsidR="00D36108" w:rsidRPr="008C13A2" w:rsidRDefault="003C7EE7" w:rsidP="008C13A2">
      <w:pPr>
        <w:pStyle w:val="NormalWeb"/>
        <w:spacing w:line="360" w:lineRule="auto"/>
        <w:rPr>
          <w:rFonts w:ascii="Arial" w:eastAsiaTheme="majorEastAsia" w:hAnsi="Arial" w:cs="Arial"/>
          <w:sz w:val="22"/>
          <w:szCs w:val="22"/>
        </w:rPr>
      </w:pPr>
      <w:r w:rsidRPr="008C13A2">
        <w:rPr>
          <w:rFonts w:ascii="Arial" w:eastAsiaTheme="majorEastAsia" w:hAnsi="Arial" w:cs="Arial"/>
          <w:sz w:val="22"/>
          <w:szCs w:val="22"/>
        </w:rPr>
        <w:t>The retailer is the main customer because it purchases the parcel service, but viability depends on other stakeholders. Recipients need reliable delivery and accessible returns, drivers need accurate information, venues require secure storage and fair payment, and Royal Mail needs predictable volumes. These needs can conflict. For example, a shared point may reduce carrier stops while increasing retailer travel or venue workload.</w:t>
      </w:r>
    </w:p>
    <w:p w14:paraId="32E2002C" w14:textId="77777777" w:rsidR="00D36108" w:rsidRPr="008C13A2" w:rsidRDefault="002C5816" w:rsidP="008C13A2">
      <w:pPr>
        <w:pStyle w:val="NormalWeb"/>
        <w:spacing w:line="360" w:lineRule="auto"/>
        <w:rPr>
          <w:rFonts w:ascii="Arial" w:hAnsi="Arial" w:cs="Arial"/>
          <w:b/>
          <w:bCs/>
          <w:sz w:val="22"/>
          <w:szCs w:val="22"/>
        </w:rPr>
      </w:pPr>
      <w:r w:rsidRPr="008C13A2">
        <w:rPr>
          <w:rFonts w:ascii="Arial" w:hAnsi="Arial" w:cs="Arial"/>
          <w:b/>
          <w:bCs/>
          <w:sz w:val="22"/>
          <w:szCs w:val="22"/>
        </w:rPr>
        <w:t>5. Key Opportunity Areas</w:t>
      </w:r>
    </w:p>
    <w:p w14:paraId="051EE814" w14:textId="77777777" w:rsidR="00D36108" w:rsidRPr="008C13A2" w:rsidRDefault="002C5816" w:rsidP="008C13A2">
      <w:pPr>
        <w:pStyle w:val="NormalWeb"/>
        <w:spacing w:line="360" w:lineRule="auto"/>
        <w:rPr>
          <w:rFonts w:ascii="Arial" w:hAnsi="Arial" w:cs="Arial"/>
          <w:b/>
          <w:bCs/>
          <w:sz w:val="22"/>
          <w:szCs w:val="22"/>
        </w:rPr>
      </w:pPr>
      <w:r w:rsidRPr="008C13A2">
        <w:rPr>
          <w:rFonts w:ascii="Arial" w:hAnsi="Arial" w:cs="Arial"/>
          <w:b/>
          <w:bCs/>
          <w:sz w:val="22"/>
          <w:szCs w:val="22"/>
        </w:rPr>
        <w:t>5.1 Integrated Fulfilment Software</w:t>
      </w:r>
    </w:p>
    <w:p w14:paraId="48D7A0A7" w14:textId="77777777" w:rsidR="00D36108" w:rsidRPr="008C13A2" w:rsidRDefault="00143B46" w:rsidP="008C13A2">
      <w:pPr>
        <w:pStyle w:val="NormalWeb"/>
        <w:spacing w:line="360" w:lineRule="auto"/>
        <w:rPr>
          <w:rFonts w:ascii="Arial" w:hAnsi="Arial" w:cs="Arial"/>
          <w:sz w:val="22"/>
          <w:szCs w:val="22"/>
        </w:rPr>
      </w:pPr>
      <w:r w:rsidRPr="008C13A2">
        <w:rPr>
          <w:rFonts w:ascii="Arial" w:hAnsi="Arial" w:cs="Arial"/>
          <w:sz w:val="22"/>
          <w:szCs w:val="22"/>
        </w:rPr>
        <w:t>A cloud platform could combine orders, labels, tracking and returns, reducing repeated work and supporting digital scale. However, similar platforms already exist, and a complex product may create another adoption barrier. Differentiation would depend on simplicity and a clear focus on micro-retailers.</w:t>
      </w:r>
    </w:p>
    <w:p w14:paraId="2FEFD0F5" w14:textId="77777777" w:rsidR="00D36108" w:rsidRPr="008C13A2" w:rsidRDefault="002C5816" w:rsidP="008C13A2">
      <w:pPr>
        <w:pStyle w:val="NormalWeb"/>
        <w:spacing w:line="360" w:lineRule="auto"/>
        <w:rPr>
          <w:rFonts w:ascii="Arial" w:hAnsi="Arial" w:cs="Arial"/>
          <w:b/>
          <w:bCs/>
          <w:sz w:val="22"/>
          <w:szCs w:val="22"/>
        </w:rPr>
      </w:pPr>
      <w:r w:rsidRPr="008C13A2">
        <w:rPr>
          <w:rFonts w:ascii="Arial" w:hAnsi="Arial" w:cs="Arial"/>
          <w:b/>
          <w:bCs/>
          <w:sz w:val="22"/>
          <w:szCs w:val="22"/>
        </w:rPr>
        <w:t>5.2 AI-Assisted Route Planning</w:t>
      </w:r>
    </w:p>
    <w:p w14:paraId="3FF9CD68" w14:textId="77777777" w:rsidR="00D36108" w:rsidRPr="008C13A2" w:rsidRDefault="00143B46" w:rsidP="008C13A2">
      <w:pPr>
        <w:pStyle w:val="NormalWeb"/>
        <w:spacing w:line="360" w:lineRule="auto"/>
        <w:rPr>
          <w:rFonts w:ascii="Arial" w:hAnsi="Arial" w:cs="Arial"/>
          <w:sz w:val="22"/>
          <w:szCs w:val="22"/>
        </w:rPr>
      </w:pPr>
      <w:r w:rsidRPr="008C13A2">
        <w:rPr>
          <w:rFonts w:ascii="Arial" w:hAnsi="Arial" w:cs="Arial"/>
          <w:sz w:val="22"/>
          <w:szCs w:val="22"/>
        </w:rPr>
        <w:t>AI could forecast demand, organise collections and estimate mileage, fuel, staffing and emissions. It may improve efficiency once sufficient data are available, but irregular rural volumes make early forecasts uncertain. AI is therefore better treated as a later capability than as the venture itself.</w:t>
      </w:r>
    </w:p>
    <w:p w14:paraId="16AB926E" w14:textId="77777777" w:rsidR="00D36108" w:rsidRPr="008C13A2" w:rsidRDefault="002C5816" w:rsidP="008C13A2">
      <w:pPr>
        <w:pStyle w:val="NormalWeb"/>
        <w:spacing w:line="360" w:lineRule="auto"/>
        <w:rPr>
          <w:rFonts w:ascii="Arial" w:hAnsi="Arial" w:cs="Arial"/>
          <w:b/>
          <w:bCs/>
          <w:sz w:val="22"/>
          <w:szCs w:val="22"/>
        </w:rPr>
      </w:pPr>
      <w:r w:rsidRPr="008C13A2">
        <w:rPr>
          <w:rFonts w:ascii="Arial" w:hAnsi="Arial" w:cs="Arial"/>
          <w:b/>
          <w:bCs/>
          <w:sz w:val="22"/>
          <w:szCs w:val="22"/>
        </w:rPr>
        <w:t>5.3 Community Parcel Consolidation</w:t>
      </w:r>
    </w:p>
    <w:p w14:paraId="7BF8BD5B" w14:textId="77777777" w:rsidR="00D36108" w:rsidRPr="008C13A2" w:rsidRDefault="00143B46" w:rsidP="008C13A2">
      <w:pPr>
        <w:pStyle w:val="NormalWeb"/>
        <w:spacing w:line="360" w:lineRule="auto"/>
        <w:rPr>
          <w:rFonts w:ascii="Arial" w:hAnsi="Arial" w:cs="Arial"/>
          <w:sz w:val="22"/>
          <w:szCs w:val="22"/>
        </w:rPr>
      </w:pPr>
      <w:r w:rsidRPr="008C13A2">
        <w:rPr>
          <w:rFonts w:ascii="Arial" w:hAnsi="Arial" w:cs="Arial"/>
          <w:sz w:val="22"/>
          <w:szCs w:val="22"/>
        </w:rPr>
        <w:t>Several retailers could register parcels through a basic platform and use an existing shop or community building as a shared collection point. Parcels would then be grouped for scheduled carrier collection. Rural logistics research identifies long distances, dispersed demand and limited economies of scale as key challenges, while shared routes, digital coordination and micro-hubs offer possible responses (</w:t>
      </w:r>
      <w:proofErr w:type="spellStart"/>
      <w:r w:rsidRPr="008C13A2">
        <w:rPr>
          <w:rFonts w:ascii="Arial" w:hAnsi="Arial" w:cs="Arial"/>
          <w:sz w:val="22"/>
          <w:szCs w:val="22"/>
        </w:rPr>
        <w:t>Moazzeni</w:t>
      </w:r>
      <w:proofErr w:type="spellEnd"/>
      <w:r w:rsidRPr="008C13A2">
        <w:rPr>
          <w:rFonts w:ascii="Arial" w:hAnsi="Arial" w:cs="Arial"/>
          <w:sz w:val="22"/>
          <w:szCs w:val="22"/>
        </w:rPr>
        <w:t xml:space="preserve"> and Sgarbossa, 2026).</w:t>
      </w:r>
    </w:p>
    <w:p w14:paraId="227757E8" w14:textId="77777777" w:rsidR="00D36108" w:rsidRPr="008C13A2" w:rsidRDefault="002C5816" w:rsidP="008C13A2">
      <w:pPr>
        <w:pStyle w:val="NormalWeb"/>
        <w:spacing w:line="360" w:lineRule="auto"/>
        <w:rPr>
          <w:rFonts w:ascii="Arial" w:hAnsi="Arial" w:cs="Arial"/>
          <w:b/>
          <w:bCs/>
          <w:sz w:val="22"/>
          <w:szCs w:val="22"/>
        </w:rPr>
      </w:pPr>
      <w:r w:rsidRPr="008C13A2">
        <w:rPr>
          <w:rFonts w:ascii="Arial" w:hAnsi="Arial" w:cs="Arial"/>
          <w:b/>
          <w:bCs/>
          <w:sz w:val="22"/>
          <w:szCs w:val="22"/>
        </w:rPr>
        <w:t>5.4 Integrated Returns</w:t>
      </w:r>
    </w:p>
    <w:p w14:paraId="6236898B" w14:textId="266C43F2" w:rsidR="00D36108" w:rsidRPr="008C13A2" w:rsidRDefault="00D36108" w:rsidP="008C13A2">
      <w:pPr>
        <w:pStyle w:val="NormalWeb"/>
        <w:spacing w:line="360" w:lineRule="auto"/>
        <w:rPr>
          <w:rFonts w:ascii="Arial" w:hAnsi="Arial" w:cs="Arial"/>
          <w:b/>
          <w:bCs/>
          <w:sz w:val="22"/>
          <w:szCs w:val="22"/>
        </w:rPr>
      </w:pPr>
      <w:r w:rsidRPr="008C13A2">
        <w:rPr>
          <w:rFonts w:ascii="Arial" w:hAnsi="Arial" w:cs="Arial"/>
          <w:sz w:val="22"/>
          <w:szCs w:val="22"/>
        </w:rPr>
        <w:t>The same point could accept returns, confirm receipt and consolidate them for carrier collection. Faster confirmation may help retailers issue refunds, recover stock and prepare suitable items for resale, while inspection and refund decisions remain the retailer’s responsibility. However, returns require reliable data, and environmental benefits should not be assumed merely because goods use a shared network (</w:t>
      </w:r>
      <w:proofErr w:type="spellStart"/>
      <w:r w:rsidRPr="008C13A2">
        <w:rPr>
          <w:rFonts w:ascii="Arial" w:hAnsi="Arial" w:cs="Arial"/>
          <w:sz w:val="22"/>
          <w:szCs w:val="22"/>
        </w:rPr>
        <w:t>Langenaeker</w:t>
      </w:r>
      <w:proofErr w:type="spellEnd"/>
      <w:r w:rsidRPr="008C13A2">
        <w:rPr>
          <w:rFonts w:ascii="Arial" w:hAnsi="Arial" w:cs="Arial"/>
          <w:sz w:val="22"/>
          <w:szCs w:val="22"/>
        </w:rPr>
        <w:t xml:space="preserve">, </w:t>
      </w:r>
      <w:proofErr w:type="spellStart"/>
      <w:r w:rsidRPr="008C13A2">
        <w:rPr>
          <w:rFonts w:ascii="Arial" w:hAnsi="Arial" w:cs="Arial"/>
          <w:sz w:val="22"/>
          <w:szCs w:val="22"/>
        </w:rPr>
        <w:t>Nimmegeers</w:t>
      </w:r>
      <w:proofErr w:type="spellEnd"/>
      <w:r w:rsidRPr="008C13A2">
        <w:rPr>
          <w:rFonts w:ascii="Arial" w:hAnsi="Arial" w:cs="Arial"/>
          <w:sz w:val="22"/>
          <w:szCs w:val="22"/>
        </w:rPr>
        <w:t xml:space="preserve"> and </w:t>
      </w:r>
      <w:proofErr w:type="spellStart"/>
      <w:r w:rsidRPr="008C13A2">
        <w:rPr>
          <w:rFonts w:ascii="Arial" w:hAnsi="Arial" w:cs="Arial"/>
          <w:sz w:val="22"/>
          <w:szCs w:val="22"/>
        </w:rPr>
        <w:t>Defryn</w:t>
      </w:r>
      <w:proofErr w:type="spellEnd"/>
      <w:r w:rsidRPr="008C13A2">
        <w:rPr>
          <w:rFonts w:ascii="Arial" w:hAnsi="Arial" w:cs="Arial"/>
          <w:sz w:val="22"/>
          <w:szCs w:val="22"/>
        </w:rPr>
        <w:t>, 2026).</w:t>
      </w:r>
    </w:p>
    <w:p w14:paraId="436039C4" w14:textId="77777777" w:rsidR="002C5816" w:rsidRPr="008C13A2" w:rsidRDefault="002C5816" w:rsidP="008C13A2">
      <w:pPr>
        <w:pStyle w:val="Heading3"/>
        <w:spacing w:line="360" w:lineRule="auto"/>
        <w:rPr>
          <w:rFonts w:ascii="Arial" w:hAnsi="Arial" w:cs="Arial"/>
          <w:b/>
          <w:bCs/>
          <w:color w:val="auto"/>
          <w:sz w:val="22"/>
          <w:szCs w:val="22"/>
        </w:rPr>
      </w:pPr>
      <w:r w:rsidRPr="008C13A2">
        <w:rPr>
          <w:rFonts w:ascii="Arial" w:hAnsi="Arial" w:cs="Arial"/>
          <w:b/>
          <w:bCs/>
          <w:color w:val="auto"/>
          <w:sz w:val="22"/>
          <w:szCs w:val="22"/>
        </w:rPr>
        <w:lastRenderedPageBreak/>
        <w:t>5.5 Accessible Lockers and Parcel Points</w:t>
      </w:r>
    </w:p>
    <w:p w14:paraId="278027AB" w14:textId="77777777" w:rsidR="00F80968" w:rsidRPr="008C13A2" w:rsidRDefault="002C5816" w:rsidP="008C13A2">
      <w:pPr>
        <w:pStyle w:val="NormalWeb"/>
        <w:spacing w:line="360" w:lineRule="auto"/>
        <w:rPr>
          <w:rFonts w:ascii="Arial" w:hAnsi="Arial" w:cs="Arial"/>
          <w:sz w:val="22"/>
          <w:szCs w:val="22"/>
        </w:rPr>
      </w:pPr>
      <w:r w:rsidRPr="008C13A2">
        <w:rPr>
          <w:rFonts w:ascii="Arial" w:hAnsi="Arial" w:cs="Arial"/>
          <w:sz w:val="22"/>
          <w:szCs w:val="22"/>
        </w:rPr>
        <w:t>Lockers offer extended access and can reduce failed delivery attempts. However, they require investment and are already being expanded by major carriers. Their usefulness also depends on location. Campisi and Di Ruocco (2025) show that a parcel locker may be operationally efficient but inaccessible if users must travel too far or face digital barriers.</w:t>
      </w:r>
    </w:p>
    <w:p w14:paraId="5F022103" w14:textId="77777777" w:rsidR="00F80968" w:rsidRPr="008C13A2" w:rsidRDefault="00196ACA" w:rsidP="008C13A2">
      <w:pPr>
        <w:pStyle w:val="NormalWeb"/>
        <w:spacing w:line="360" w:lineRule="auto"/>
        <w:rPr>
          <w:rFonts w:ascii="Arial" w:hAnsi="Arial" w:cs="Arial"/>
          <w:sz w:val="22"/>
          <w:szCs w:val="22"/>
        </w:rPr>
      </w:pPr>
      <w:r w:rsidRPr="008C13A2">
        <w:rPr>
          <w:rFonts w:ascii="Arial" w:hAnsi="Arial" w:cs="Arial"/>
          <w:sz w:val="22"/>
          <w:szCs w:val="22"/>
        </w:rPr>
        <w:t>The opportunities present different trade-offs. Software offers digital scalability but limited differentiation; AI depends on reliable data; mobile collection creates vehicle and staffing costs; and lockers require investment. Community consolidation grows more slowly locality by locality but addresses several pain points using existing facilities.</w:t>
      </w:r>
    </w:p>
    <w:p w14:paraId="71246E35" w14:textId="77777777" w:rsidR="00F80968" w:rsidRPr="008C13A2" w:rsidRDefault="00196ACA" w:rsidP="008C13A2">
      <w:pPr>
        <w:pStyle w:val="NormalWeb"/>
        <w:spacing w:line="360" w:lineRule="auto"/>
        <w:rPr>
          <w:rFonts w:ascii="Arial" w:hAnsi="Arial" w:cs="Arial"/>
          <w:sz w:val="22"/>
          <w:szCs w:val="22"/>
        </w:rPr>
      </w:pPr>
      <w:r w:rsidRPr="008C13A2">
        <w:rPr>
          <w:rFonts w:ascii="Arial" w:hAnsi="Arial" w:cs="Arial"/>
          <w:sz w:val="22"/>
          <w:szCs w:val="22"/>
        </w:rPr>
        <w:t>The strongest opportunity is therefore a digitally coordinated community consolidation and returns service. It combines shared parcel acceptance, scheduled collection and basic digital coordination without building a new national network. Local relationships may support differentiation, but demand, partner trust and cost sharing remain uncertain. The venture should begin with a limited service and add advanced returns or AI only when evidence supports them.</w:t>
      </w:r>
    </w:p>
    <w:p w14:paraId="7DFFD877" w14:textId="77777777" w:rsidR="00F80968" w:rsidRPr="008C13A2" w:rsidRDefault="002C5816" w:rsidP="008C13A2">
      <w:pPr>
        <w:pStyle w:val="NormalWeb"/>
        <w:spacing w:line="360" w:lineRule="auto"/>
        <w:rPr>
          <w:rFonts w:ascii="Arial" w:hAnsi="Arial" w:cs="Arial"/>
          <w:sz w:val="22"/>
          <w:szCs w:val="22"/>
        </w:rPr>
      </w:pPr>
      <w:r w:rsidRPr="008C13A2">
        <w:rPr>
          <w:rFonts w:ascii="Arial" w:hAnsi="Arial" w:cs="Arial"/>
          <w:b/>
          <w:bCs/>
          <w:sz w:val="22"/>
          <w:szCs w:val="22"/>
        </w:rPr>
        <w:t>6. Scalability and Sustainability</w:t>
      </w:r>
    </w:p>
    <w:p w14:paraId="4B30D723" w14:textId="595070AF" w:rsidR="002C5816" w:rsidRPr="008C13A2" w:rsidRDefault="002C5816" w:rsidP="008C13A2">
      <w:pPr>
        <w:pStyle w:val="NormalWeb"/>
        <w:spacing w:line="360" w:lineRule="auto"/>
        <w:rPr>
          <w:rFonts w:ascii="Arial" w:hAnsi="Arial" w:cs="Arial"/>
          <w:sz w:val="22"/>
          <w:szCs w:val="22"/>
        </w:rPr>
      </w:pPr>
      <w:r w:rsidRPr="008C13A2">
        <w:rPr>
          <w:rFonts w:ascii="Arial" w:hAnsi="Arial" w:cs="Arial"/>
          <w:sz w:val="22"/>
          <w:szCs w:val="22"/>
        </w:rPr>
        <w:t>The service could use cloud software, carrier system connections, QR codes and basic location data, while scheduling could initially remain manual. AI forecasting could then be introduced when real demand patterns are available, keeping the early system affordable and easier for microbusinesses to use.</w:t>
      </w:r>
    </w:p>
    <w:p w14:paraId="2BBA3F78" w14:textId="77777777" w:rsidR="002C5816" w:rsidRPr="008C13A2" w:rsidRDefault="002C5816" w:rsidP="008C13A2">
      <w:pPr>
        <w:pStyle w:val="NormalWeb"/>
        <w:spacing w:line="360" w:lineRule="auto"/>
        <w:rPr>
          <w:rFonts w:ascii="Arial" w:hAnsi="Arial" w:cs="Arial"/>
          <w:sz w:val="22"/>
          <w:szCs w:val="22"/>
        </w:rPr>
      </w:pPr>
      <w:r w:rsidRPr="008C13A2">
        <w:rPr>
          <w:rFonts w:ascii="Arial" w:hAnsi="Arial" w:cs="Arial"/>
          <w:sz w:val="22"/>
          <w:szCs w:val="22"/>
        </w:rPr>
        <w:t>Commercial income could come from a small parcel fee, retailer subscription, carrier contribution or a mixture of these. The digital platform could serve more users at low additional cost, but the physical model must be repeated locality by locality. Each new area would need enough retailers, an accessible venue and a carrier agreement. Digital scalability therefore does not guarantee operational scalability.</w:t>
      </w:r>
    </w:p>
    <w:p w14:paraId="2321ABB2" w14:textId="77777777" w:rsidR="002C5816" w:rsidRPr="008C13A2" w:rsidRDefault="002C5816" w:rsidP="008C13A2">
      <w:pPr>
        <w:pStyle w:val="NormalWeb"/>
        <w:spacing w:line="360" w:lineRule="auto"/>
        <w:rPr>
          <w:rFonts w:ascii="Arial" w:hAnsi="Arial" w:cs="Arial"/>
          <w:sz w:val="22"/>
          <w:szCs w:val="22"/>
        </w:rPr>
      </w:pPr>
      <w:r w:rsidRPr="008C13A2">
        <w:rPr>
          <w:rFonts w:ascii="Arial" w:hAnsi="Arial" w:cs="Arial"/>
          <w:sz w:val="22"/>
          <w:szCs w:val="22"/>
        </w:rPr>
        <w:t>Consolidation may reduce retailer journeys and carrier stops, but its environmental outcome depends on location and behaviour. Modelling by Schnieder (2024) suggests that carrier consolidation can reduce vehicle kilometres, although results vary between places. The venture should measure total journeys rather than count only carrier mileage. Social sustainability also requires simple onboarding, assisted booking and fair payment for venue work.</w:t>
      </w:r>
    </w:p>
    <w:p w14:paraId="5DC4A1FB" w14:textId="77777777" w:rsidR="002C5816" w:rsidRPr="008C13A2" w:rsidRDefault="002C5816" w:rsidP="008C13A2">
      <w:pPr>
        <w:pStyle w:val="NormalWeb"/>
        <w:spacing w:line="360" w:lineRule="auto"/>
        <w:rPr>
          <w:rFonts w:ascii="Arial" w:hAnsi="Arial" w:cs="Arial"/>
          <w:sz w:val="22"/>
          <w:szCs w:val="22"/>
        </w:rPr>
      </w:pPr>
      <w:r w:rsidRPr="008C13A2">
        <w:rPr>
          <w:rFonts w:ascii="Arial" w:hAnsi="Arial" w:cs="Arial"/>
          <w:sz w:val="22"/>
          <w:szCs w:val="22"/>
        </w:rPr>
        <w:t xml:space="preserve">Financial and environmental aims may conflict. More frequent collection may suit retailers but reduce vehicle utilisation, while fewer collections may improve density but delay dispatch. A central </w:t>
      </w:r>
      <w:r w:rsidRPr="008C13A2">
        <w:rPr>
          <w:rFonts w:ascii="Arial" w:hAnsi="Arial" w:cs="Arial"/>
          <w:sz w:val="22"/>
          <w:szCs w:val="22"/>
        </w:rPr>
        <w:lastRenderedPageBreak/>
        <w:t>venue may be cheaper for the carrier but inconvenient for home-based sellers. Sustainability is therefore treated as a measured result involving cost, emissions, accessibility and work, not as an automatic benefit of digital technology.</w:t>
      </w:r>
    </w:p>
    <w:p w14:paraId="69A2FE3C" w14:textId="77777777" w:rsidR="00092E6A" w:rsidRPr="008C13A2" w:rsidRDefault="002C5816" w:rsidP="008C13A2">
      <w:pPr>
        <w:pStyle w:val="NormalWeb"/>
        <w:spacing w:line="360" w:lineRule="auto"/>
        <w:rPr>
          <w:rFonts w:ascii="Arial" w:hAnsi="Arial" w:cs="Arial"/>
          <w:sz w:val="22"/>
          <w:szCs w:val="22"/>
        </w:rPr>
      </w:pPr>
      <w:r w:rsidRPr="008C13A2">
        <w:rPr>
          <w:rFonts w:ascii="Arial" w:hAnsi="Arial" w:cs="Arial"/>
          <w:sz w:val="22"/>
          <w:szCs w:val="22"/>
        </w:rPr>
        <w:t>A pre-pilot baseline should measure vehicle miles per parcel, journeys avoided, carrier stops, venue workload and accessibility. This would reveal whether impacts fall or are merely transferred to retailers and venue staff.</w:t>
      </w:r>
    </w:p>
    <w:p w14:paraId="62E4F91F" w14:textId="77777777" w:rsidR="00092E6A" w:rsidRPr="008C13A2" w:rsidRDefault="002C5816" w:rsidP="008C13A2">
      <w:pPr>
        <w:pStyle w:val="NormalWeb"/>
        <w:spacing w:line="360" w:lineRule="auto"/>
        <w:rPr>
          <w:rFonts w:ascii="Arial" w:hAnsi="Arial" w:cs="Arial"/>
          <w:b/>
          <w:bCs/>
          <w:sz w:val="22"/>
          <w:szCs w:val="22"/>
          <w:u w:val="single"/>
        </w:rPr>
      </w:pPr>
      <w:r w:rsidRPr="008C13A2">
        <w:rPr>
          <w:rFonts w:ascii="Arial" w:hAnsi="Arial" w:cs="Arial"/>
          <w:b/>
          <w:bCs/>
          <w:sz w:val="22"/>
          <w:szCs w:val="22"/>
          <w:u w:val="single"/>
        </w:rPr>
        <w:t xml:space="preserve">Task 2: </w:t>
      </w:r>
      <w:r w:rsidR="000E2C66" w:rsidRPr="008C13A2">
        <w:rPr>
          <w:rFonts w:ascii="Arial" w:hAnsi="Arial" w:cs="Arial"/>
          <w:b/>
          <w:bCs/>
          <w:sz w:val="22"/>
          <w:szCs w:val="22"/>
          <w:u w:val="single"/>
        </w:rPr>
        <w:t>Applying the Five Stages of Design Thinking</w:t>
      </w:r>
    </w:p>
    <w:p w14:paraId="338BB0A9" w14:textId="77777777" w:rsidR="00590F06" w:rsidRPr="008C13A2" w:rsidRDefault="00590F06" w:rsidP="008C13A2">
      <w:pPr>
        <w:spacing w:line="360" w:lineRule="auto"/>
        <w:rPr>
          <w:rFonts w:ascii="Arial" w:eastAsiaTheme="majorEastAsia" w:hAnsi="Arial" w:cs="Arial"/>
          <w:sz w:val="22"/>
          <w:szCs w:val="22"/>
        </w:rPr>
      </w:pPr>
      <w:r w:rsidRPr="008C13A2">
        <w:rPr>
          <w:rFonts w:ascii="Arial" w:eastAsiaTheme="majorEastAsia" w:hAnsi="Arial" w:cs="Arial"/>
          <w:sz w:val="22"/>
          <w:szCs w:val="22"/>
        </w:rPr>
        <w:t>Task 1 identified digitally coordinated community consolidation and returns as the strongest opportunity. Task 2 applies Empathise, Define, Ideate, Prototype and Test to develop it into a testable venture concept.</w:t>
      </w:r>
    </w:p>
    <w:p w14:paraId="5715D3F1" w14:textId="77777777" w:rsidR="00092E6A" w:rsidRPr="008C13A2" w:rsidRDefault="00EE5034" w:rsidP="008C13A2">
      <w:pPr>
        <w:pStyle w:val="NormalWeb"/>
        <w:spacing w:line="360" w:lineRule="auto"/>
        <w:rPr>
          <w:rFonts w:ascii="Arial" w:eastAsiaTheme="majorEastAsia" w:hAnsi="Arial" w:cs="Arial"/>
          <w:b/>
          <w:bCs/>
          <w:sz w:val="22"/>
          <w:szCs w:val="22"/>
        </w:rPr>
      </w:pPr>
      <w:r w:rsidRPr="008C13A2">
        <w:rPr>
          <w:rFonts w:ascii="Arial" w:eastAsiaTheme="majorEastAsia" w:hAnsi="Arial" w:cs="Arial"/>
          <w:b/>
          <w:bCs/>
          <w:sz w:val="22"/>
          <w:szCs w:val="22"/>
        </w:rPr>
        <w:t>7. Empathise</w:t>
      </w:r>
    </w:p>
    <w:p w14:paraId="44BD6D71" w14:textId="77777777" w:rsidR="00590F06" w:rsidRPr="008C13A2" w:rsidRDefault="00590F06" w:rsidP="008C13A2">
      <w:pPr>
        <w:spacing w:line="360" w:lineRule="auto"/>
        <w:rPr>
          <w:rFonts w:ascii="Arial" w:eastAsiaTheme="majorEastAsia" w:hAnsi="Arial" w:cs="Arial"/>
          <w:sz w:val="22"/>
          <w:szCs w:val="22"/>
        </w:rPr>
      </w:pPr>
      <w:r w:rsidRPr="008C13A2">
        <w:rPr>
          <w:rFonts w:ascii="Arial" w:eastAsiaTheme="majorEastAsia" w:hAnsi="Arial" w:cs="Arial"/>
          <w:sz w:val="22"/>
          <w:szCs w:val="22"/>
        </w:rPr>
        <w:t>The Empathise stage seeks to understand affected users before finalising a solution. The journey analysis provides an initial view of rural retailers but is based on secondary research and should be treated as provisional.</w:t>
      </w:r>
    </w:p>
    <w:p w14:paraId="2B36071E" w14:textId="77777777" w:rsidR="00092E6A" w:rsidRPr="008C13A2" w:rsidRDefault="00EE5034" w:rsidP="008C13A2">
      <w:pPr>
        <w:pStyle w:val="NormalWeb"/>
        <w:spacing w:line="360" w:lineRule="auto"/>
        <w:rPr>
          <w:rFonts w:ascii="Arial" w:eastAsiaTheme="majorEastAsia" w:hAnsi="Arial" w:cs="Arial"/>
          <w:b/>
          <w:bCs/>
          <w:sz w:val="22"/>
          <w:szCs w:val="22"/>
        </w:rPr>
      </w:pPr>
      <w:r w:rsidRPr="008C13A2">
        <w:rPr>
          <w:rFonts w:ascii="Arial" w:eastAsiaTheme="majorEastAsia" w:hAnsi="Arial" w:cs="Arial"/>
          <w:b/>
          <w:bCs/>
          <w:sz w:val="22"/>
          <w:szCs w:val="22"/>
        </w:rPr>
        <w:t>7.1 Proposed User Research</w:t>
      </w:r>
    </w:p>
    <w:p w14:paraId="638F1DD4" w14:textId="1263F9CD" w:rsidR="00590F06" w:rsidRPr="008C13A2" w:rsidRDefault="00590F06" w:rsidP="008C13A2">
      <w:pPr>
        <w:pStyle w:val="NormalWeb"/>
        <w:spacing w:line="360" w:lineRule="auto"/>
        <w:rPr>
          <w:rFonts w:ascii="Arial" w:eastAsiaTheme="majorEastAsia" w:hAnsi="Arial" w:cs="Arial"/>
          <w:sz w:val="22"/>
          <w:szCs w:val="22"/>
        </w:rPr>
      </w:pPr>
      <w:r w:rsidRPr="008C13A2">
        <w:rPr>
          <w:rFonts w:ascii="Arial" w:eastAsiaTheme="majorEastAsia" w:hAnsi="Arial" w:cs="Arial"/>
          <w:sz w:val="22"/>
          <w:szCs w:val="22"/>
        </w:rPr>
        <w:t>Semi-structured interviews should be conducted with 10 to 15 retailers in one pilot area. Participants should differ by product, parcel volume, sales channel and distance from a parcel facility. Observation of parcel preparation and dispatch would provide evidence about activities that participants may overlook when describing their routines.</w:t>
      </w:r>
    </w:p>
    <w:p w14:paraId="2D713588" w14:textId="77777777" w:rsidR="00D01AB2" w:rsidRPr="008C13A2" w:rsidRDefault="00590F06" w:rsidP="008C13A2">
      <w:pPr>
        <w:pStyle w:val="NormalWeb"/>
        <w:spacing w:line="360" w:lineRule="auto"/>
        <w:rPr>
          <w:rFonts w:ascii="Arial" w:eastAsiaTheme="majorEastAsia" w:hAnsi="Arial" w:cs="Arial"/>
          <w:sz w:val="22"/>
          <w:szCs w:val="22"/>
        </w:rPr>
      </w:pPr>
      <w:r w:rsidRPr="008C13A2">
        <w:rPr>
          <w:rFonts w:ascii="Arial" w:eastAsiaTheme="majorEastAsia" w:hAnsi="Arial" w:cs="Arial"/>
          <w:sz w:val="22"/>
          <w:szCs w:val="22"/>
        </w:rPr>
        <w:t>Questions would examine carrier arrangements, dispatch time, travel, returns, seasonal demand, digital confidence and willingness to share collections. Short discussions with drivers and venue operators would explore route reliability, storage, security and workload. Retailers who reject the idea should be included to identify unsuitable conditions and reduce confirmation bias.</w:t>
      </w:r>
    </w:p>
    <w:p w14:paraId="4B6F4042" w14:textId="77777777" w:rsidR="00D01AB2" w:rsidRPr="008C13A2" w:rsidRDefault="00EE5034" w:rsidP="008C13A2">
      <w:pPr>
        <w:pStyle w:val="NormalWeb"/>
        <w:spacing w:line="360" w:lineRule="auto"/>
        <w:rPr>
          <w:rFonts w:ascii="Arial" w:eastAsiaTheme="majorEastAsia" w:hAnsi="Arial" w:cs="Arial"/>
          <w:b/>
          <w:bCs/>
          <w:sz w:val="22"/>
          <w:szCs w:val="22"/>
        </w:rPr>
      </w:pPr>
      <w:r w:rsidRPr="008C13A2">
        <w:rPr>
          <w:rFonts w:ascii="Arial" w:eastAsiaTheme="majorEastAsia" w:hAnsi="Arial" w:cs="Arial"/>
          <w:b/>
          <w:bCs/>
          <w:sz w:val="22"/>
          <w:szCs w:val="22"/>
        </w:rPr>
        <w:t>7.2 Define: Problem Statement and Design Question</w:t>
      </w:r>
    </w:p>
    <w:p w14:paraId="7BED20D3" w14:textId="77777777" w:rsidR="00D01AB2" w:rsidRPr="008C13A2" w:rsidRDefault="00D01AB2" w:rsidP="008C13A2">
      <w:pPr>
        <w:pStyle w:val="NormalWeb"/>
        <w:spacing w:line="360" w:lineRule="auto"/>
        <w:rPr>
          <w:rFonts w:ascii="Arial" w:eastAsiaTheme="majorEastAsia" w:hAnsi="Arial" w:cs="Arial"/>
          <w:sz w:val="22"/>
          <w:szCs w:val="22"/>
        </w:rPr>
      </w:pPr>
      <w:r w:rsidRPr="008C13A2">
        <w:rPr>
          <w:rFonts w:ascii="Arial" w:eastAsiaTheme="majorEastAsia" w:hAnsi="Arial" w:cs="Arial"/>
          <w:sz w:val="22"/>
          <w:szCs w:val="22"/>
        </w:rPr>
        <w:t>The Define stage converts the evidence into a focused description of the user, need, causes and consequences.</w:t>
      </w:r>
    </w:p>
    <w:p w14:paraId="53112F45" w14:textId="77777777" w:rsidR="00D01AB2" w:rsidRPr="008C13A2" w:rsidRDefault="00D01AB2" w:rsidP="008C13A2">
      <w:pPr>
        <w:pStyle w:val="NormalWeb"/>
        <w:spacing w:line="360" w:lineRule="auto"/>
        <w:rPr>
          <w:rFonts w:ascii="Arial" w:eastAsiaTheme="majorEastAsia" w:hAnsi="Arial" w:cs="Arial"/>
          <w:sz w:val="22"/>
          <w:szCs w:val="22"/>
        </w:rPr>
      </w:pPr>
      <w:r w:rsidRPr="008C13A2">
        <w:rPr>
          <w:rFonts w:ascii="Arial" w:eastAsiaTheme="majorEastAsia" w:hAnsi="Arial" w:cs="Arial"/>
          <w:b/>
          <w:bCs/>
          <w:i/>
          <w:iCs/>
          <w:sz w:val="22"/>
          <w:szCs w:val="22"/>
        </w:rPr>
        <w:t>Rural and suburban micro e-commerce retailers need a more convenient and coordinated way to dispatch parcels and manage returns because fragmented carrier processes, travel to parcel facilities and irregular low volumes consume time, increase costs and restrict growth</w:t>
      </w:r>
      <w:r w:rsidRPr="008C13A2">
        <w:rPr>
          <w:rFonts w:ascii="Arial" w:eastAsiaTheme="majorEastAsia" w:hAnsi="Arial" w:cs="Arial"/>
          <w:i/>
          <w:iCs/>
          <w:sz w:val="22"/>
          <w:szCs w:val="22"/>
        </w:rPr>
        <w:t>.</w:t>
      </w:r>
    </w:p>
    <w:p w14:paraId="554F4434" w14:textId="77777777" w:rsidR="00D01AB2" w:rsidRPr="008C13A2" w:rsidRDefault="00D01AB2" w:rsidP="008C13A2">
      <w:pPr>
        <w:pStyle w:val="NormalWeb"/>
        <w:spacing w:line="360" w:lineRule="auto"/>
        <w:rPr>
          <w:rFonts w:ascii="Arial" w:eastAsiaTheme="majorEastAsia" w:hAnsi="Arial" w:cs="Arial"/>
          <w:sz w:val="22"/>
          <w:szCs w:val="22"/>
        </w:rPr>
      </w:pPr>
      <w:r w:rsidRPr="008C13A2">
        <w:rPr>
          <w:rFonts w:ascii="Arial" w:eastAsiaTheme="majorEastAsia" w:hAnsi="Arial" w:cs="Arial"/>
          <w:sz w:val="22"/>
          <w:szCs w:val="22"/>
        </w:rPr>
        <w:lastRenderedPageBreak/>
        <w:t>The statement identifies the problem without prescribing a solution. The resulting design question is:</w:t>
      </w:r>
    </w:p>
    <w:p w14:paraId="5CF86C6F" w14:textId="77777777" w:rsidR="00D01AB2" w:rsidRPr="008C13A2" w:rsidRDefault="00D01AB2" w:rsidP="008C13A2">
      <w:pPr>
        <w:pStyle w:val="NormalWeb"/>
        <w:spacing w:line="360" w:lineRule="auto"/>
        <w:rPr>
          <w:rFonts w:ascii="Arial" w:eastAsiaTheme="majorEastAsia" w:hAnsi="Arial" w:cs="Arial"/>
          <w:b/>
          <w:bCs/>
          <w:sz w:val="22"/>
          <w:szCs w:val="22"/>
        </w:rPr>
      </w:pPr>
      <w:r w:rsidRPr="008C13A2">
        <w:rPr>
          <w:rFonts w:ascii="Arial" w:eastAsiaTheme="majorEastAsia" w:hAnsi="Arial" w:cs="Arial"/>
          <w:b/>
          <w:bCs/>
          <w:i/>
          <w:iCs/>
          <w:sz w:val="22"/>
          <w:szCs w:val="22"/>
        </w:rPr>
        <w:t>How might we reduce the time, travel, cost and complexity of parcel dispatch and returns for low-volume rural retailers?</w:t>
      </w:r>
    </w:p>
    <w:p w14:paraId="6F9766C6" w14:textId="44301CCB" w:rsidR="00D01AB2" w:rsidRPr="008C13A2" w:rsidRDefault="00D01AB2" w:rsidP="008C13A2">
      <w:pPr>
        <w:pStyle w:val="NormalWeb"/>
        <w:spacing w:line="360" w:lineRule="auto"/>
        <w:rPr>
          <w:rFonts w:ascii="Arial" w:eastAsiaTheme="majorEastAsia" w:hAnsi="Arial" w:cs="Arial"/>
          <w:sz w:val="22"/>
          <w:szCs w:val="22"/>
        </w:rPr>
      </w:pPr>
      <w:r w:rsidRPr="008C13A2">
        <w:rPr>
          <w:rFonts w:ascii="Arial" w:eastAsiaTheme="majorEastAsia" w:hAnsi="Arial" w:cs="Arial"/>
          <w:sz w:val="22"/>
          <w:szCs w:val="22"/>
        </w:rPr>
        <w:t>Practicality, affordability and environmental responsibility are considered later through DFV/S, allowing the question to remain open during ideation.</w:t>
      </w:r>
    </w:p>
    <w:p w14:paraId="4B0056A9" w14:textId="317835B1" w:rsidR="00EE5034" w:rsidRPr="008C13A2" w:rsidRDefault="00BC2672" w:rsidP="008C13A2">
      <w:pPr>
        <w:pStyle w:val="NormalWeb"/>
        <w:spacing w:line="360" w:lineRule="auto"/>
        <w:rPr>
          <w:rFonts w:ascii="Arial" w:eastAsiaTheme="majorEastAsia" w:hAnsi="Arial" w:cs="Arial"/>
          <w:b/>
          <w:bCs/>
          <w:sz w:val="22"/>
          <w:szCs w:val="22"/>
        </w:rPr>
      </w:pPr>
      <w:r w:rsidRPr="008C13A2">
        <w:rPr>
          <w:rFonts w:ascii="Arial" w:hAnsi="Arial" w:cs="Arial"/>
          <w:noProof/>
        </w:rPr>
        <w:drawing>
          <wp:anchor distT="0" distB="0" distL="114300" distR="114300" simplePos="0" relativeHeight="251658240" behindDoc="0" locked="0" layoutInCell="1" allowOverlap="1" wp14:anchorId="29B948A2" wp14:editId="609A5DAD">
            <wp:simplePos x="0" y="0"/>
            <wp:positionH relativeFrom="column">
              <wp:align>center</wp:align>
            </wp:positionH>
            <wp:positionV relativeFrom="paragraph">
              <wp:posOffset>309880</wp:posOffset>
            </wp:positionV>
            <wp:extent cx="5144400" cy="2858400"/>
            <wp:effectExtent l="0" t="0" r="0" b="0"/>
            <wp:wrapSquare wrapText="bothSides"/>
            <wp:docPr id="436784058" name="Picture 4" descr="Image preview"/>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Image preview"/>
                    <pic:cNvPicPr>
                      <a:picLocks noChangeAspect="1" noChangeArrowheads="1"/>
                    </pic:cNvPicPr>
                  </pic:nvPicPr>
                  <pic:blipFill rotWithShape="1">
                    <a:blip r:embed="rId9" cstate="print">
                      <a:extLst>
                        <a:ext uri="{28A0092B-C50C-407E-A947-70E740481C1C}">
                          <a14:useLocalDpi xmlns:a14="http://schemas.microsoft.com/office/drawing/2010/main" val="0"/>
                        </a:ext>
                      </a:extLst>
                    </a:blip>
                    <a:srcRect l="2985" t="10047" r="2906" b="6303"/>
                    <a:stretch>
                      <a:fillRect/>
                    </a:stretch>
                  </pic:blipFill>
                  <pic:spPr bwMode="auto">
                    <a:xfrm>
                      <a:off x="0" y="0"/>
                      <a:ext cx="5144400" cy="285840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EE5034" w:rsidRPr="008C13A2">
        <w:rPr>
          <w:rFonts w:ascii="Arial" w:eastAsiaTheme="majorEastAsia" w:hAnsi="Arial" w:cs="Arial"/>
          <w:b/>
          <w:bCs/>
          <w:sz w:val="22"/>
          <w:szCs w:val="22"/>
        </w:rPr>
        <w:t>7.3 Causal Mapping Analysis</w:t>
      </w:r>
    </w:p>
    <w:p w14:paraId="25F58E4F" w14:textId="77777777" w:rsidR="009D6B79" w:rsidRPr="008C13A2" w:rsidRDefault="009D6B79" w:rsidP="008C13A2">
      <w:pPr>
        <w:pStyle w:val="Heading2"/>
        <w:spacing w:line="360" w:lineRule="auto"/>
        <w:rPr>
          <w:rFonts w:ascii="Arial" w:hAnsi="Arial" w:cs="Arial"/>
          <w:b/>
          <w:bCs/>
          <w:color w:val="auto"/>
          <w:sz w:val="22"/>
          <w:szCs w:val="22"/>
        </w:rPr>
      </w:pPr>
    </w:p>
    <w:p w14:paraId="675D1D22" w14:textId="0DEF6668" w:rsidR="00865F28" w:rsidRPr="008C13A2" w:rsidRDefault="00015FCE" w:rsidP="00163C6E">
      <w:pPr>
        <w:pStyle w:val="Heading2"/>
        <w:spacing w:after="0" w:line="360" w:lineRule="auto"/>
        <w:rPr>
          <w:rFonts w:ascii="Arial" w:hAnsi="Arial" w:cs="Arial"/>
          <w:b/>
          <w:bCs/>
          <w:color w:val="auto"/>
          <w:sz w:val="22"/>
          <w:szCs w:val="22"/>
        </w:rPr>
      </w:pPr>
      <w:r w:rsidRPr="008C13A2">
        <w:rPr>
          <w:rFonts w:ascii="Arial" w:hAnsi="Arial" w:cs="Arial"/>
          <w:b/>
          <w:bCs/>
          <w:color w:val="auto"/>
          <w:sz w:val="22"/>
          <w:szCs w:val="22"/>
        </w:rPr>
        <w:t>Figure 1. Causal loop diagram of rural micro-retailer fulfilment constraints and intervention points</w:t>
      </w:r>
      <w:r w:rsidR="00163C6E">
        <w:rPr>
          <w:rFonts w:ascii="Arial" w:hAnsi="Arial" w:cs="Arial"/>
          <w:b/>
          <w:bCs/>
          <w:color w:val="auto"/>
          <w:sz w:val="22"/>
          <w:szCs w:val="22"/>
        </w:rPr>
        <w:t>.</w:t>
      </w:r>
      <w:r w:rsidR="00F80968" w:rsidRPr="008C13A2">
        <w:rPr>
          <w:rFonts w:ascii="Arial" w:hAnsi="Arial" w:cs="Arial"/>
          <w:b/>
          <w:bCs/>
          <w:color w:val="auto"/>
          <w:sz w:val="22"/>
          <w:szCs w:val="22"/>
        </w:rPr>
        <w:t xml:space="preserve"> </w:t>
      </w:r>
    </w:p>
    <w:p w14:paraId="48C465A4" w14:textId="47AD4929" w:rsidR="00524A0A" w:rsidRDefault="00865F28" w:rsidP="000D59D7">
      <w:pPr>
        <w:pStyle w:val="Heading2"/>
        <w:spacing w:before="0" w:line="360" w:lineRule="auto"/>
        <w:rPr>
          <w:rFonts w:ascii="Arial" w:hAnsi="Arial" w:cs="Arial"/>
          <w:color w:val="auto"/>
          <w:sz w:val="22"/>
          <w:szCs w:val="22"/>
        </w:rPr>
      </w:pPr>
      <w:r w:rsidRPr="008C13A2">
        <w:rPr>
          <w:rFonts w:ascii="Arial" w:hAnsi="Arial" w:cs="Arial"/>
          <w:color w:val="auto"/>
          <w:sz w:val="22"/>
          <w:szCs w:val="22"/>
        </w:rPr>
        <w:t xml:space="preserve">Source: </w:t>
      </w:r>
      <w:r w:rsidR="00F80968" w:rsidRPr="008C13A2">
        <w:rPr>
          <w:rFonts w:ascii="Arial" w:hAnsi="Arial" w:cs="Arial"/>
          <w:color w:val="auto"/>
          <w:sz w:val="22"/>
          <w:szCs w:val="22"/>
        </w:rPr>
        <w:t>Author’s own construction, informed by Ackermann and Alexander (2016).</w:t>
      </w:r>
    </w:p>
    <w:p w14:paraId="779C2B95" w14:textId="77777777" w:rsidR="000D59D7" w:rsidRPr="000D59D7" w:rsidRDefault="000D59D7" w:rsidP="000D59D7"/>
    <w:p w14:paraId="3F4B5D60" w14:textId="5C6B7C34" w:rsidR="00BC2672" w:rsidRPr="008C13A2" w:rsidRDefault="00BC2672" w:rsidP="008C13A2">
      <w:pPr>
        <w:pStyle w:val="Heading2"/>
        <w:spacing w:line="360" w:lineRule="auto"/>
        <w:rPr>
          <w:rFonts w:ascii="Arial" w:hAnsi="Arial" w:cs="Arial"/>
          <w:color w:val="auto"/>
          <w:sz w:val="22"/>
          <w:szCs w:val="22"/>
        </w:rPr>
      </w:pPr>
      <w:r w:rsidRPr="008C13A2">
        <w:rPr>
          <w:rFonts w:ascii="Arial" w:hAnsi="Arial" w:cs="Arial"/>
          <w:color w:val="auto"/>
          <w:sz w:val="22"/>
          <w:szCs w:val="22"/>
        </w:rPr>
        <w:t>Figure 1 shows a reinforcing cycle. Low parcel volumes reduce route density, limiting convenient collections and increasing retailer time and travel. Higher fulfilment costs then restrict online growth, maintaining low parcel volumes.</w:t>
      </w:r>
    </w:p>
    <w:p w14:paraId="4949EF3C" w14:textId="77777777" w:rsidR="00BC2672" w:rsidRPr="008C13A2" w:rsidRDefault="00BC2672" w:rsidP="008C13A2">
      <w:pPr>
        <w:pStyle w:val="Heading2"/>
        <w:spacing w:line="360" w:lineRule="auto"/>
        <w:rPr>
          <w:rFonts w:ascii="Arial" w:hAnsi="Arial" w:cs="Arial"/>
          <w:color w:val="auto"/>
          <w:sz w:val="22"/>
          <w:szCs w:val="22"/>
        </w:rPr>
      </w:pPr>
      <w:r w:rsidRPr="008C13A2">
        <w:rPr>
          <w:rFonts w:ascii="Arial" w:hAnsi="Arial" w:cs="Arial"/>
          <w:color w:val="auto"/>
          <w:sz w:val="22"/>
          <w:szCs w:val="22"/>
        </w:rPr>
        <w:t>A community hub could intervene by pooling parcels and improving collection convenience. However, a poorly located venue could increase retailer travel. Location should therefore reflect actual travel patterns, accessibility and business concentration. The map shows why the venture must address both parcel density and access rather than depend on one technological feature.</w:t>
      </w:r>
    </w:p>
    <w:p w14:paraId="2ACF0E57" w14:textId="0BDD33D6" w:rsidR="002C5816" w:rsidRPr="008C13A2" w:rsidRDefault="002C5816" w:rsidP="008C13A2">
      <w:pPr>
        <w:pStyle w:val="Heading2"/>
        <w:spacing w:line="360" w:lineRule="auto"/>
        <w:rPr>
          <w:rFonts w:ascii="Arial" w:hAnsi="Arial" w:cs="Arial"/>
          <w:b/>
          <w:bCs/>
          <w:color w:val="auto"/>
          <w:sz w:val="22"/>
          <w:szCs w:val="22"/>
        </w:rPr>
      </w:pPr>
      <w:r w:rsidRPr="008C13A2">
        <w:rPr>
          <w:rFonts w:ascii="Arial" w:hAnsi="Arial" w:cs="Arial"/>
          <w:b/>
          <w:bCs/>
          <w:color w:val="auto"/>
          <w:sz w:val="22"/>
          <w:szCs w:val="22"/>
        </w:rPr>
        <w:t>8. Ideate and Select</w:t>
      </w:r>
    </w:p>
    <w:p w14:paraId="03F0DB4D" w14:textId="1750057C" w:rsidR="00BC2672" w:rsidRPr="008C13A2" w:rsidRDefault="00BC2672" w:rsidP="008C13A2">
      <w:pPr>
        <w:spacing w:line="360" w:lineRule="auto"/>
        <w:rPr>
          <w:rFonts w:ascii="Arial" w:hAnsi="Arial" w:cs="Arial"/>
          <w:sz w:val="22"/>
          <w:szCs w:val="22"/>
        </w:rPr>
      </w:pPr>
      <w:r w:rsidRPr="008C13A2">
        <w:rPr>
          <w:rFonts w:ascii="Arial" w:hAnsi="Arial" w:cs="Arial"/>
          <w:sz w:val="22"/>
          <w:szCs w:val="22"/>
        </w:rPr>
        <w:t>Ideation began with an unstructured mind map centred on the design question. Six branches covering digital services, collection, community facilities, returns, data and AI, and business models and sustainability were used to explore the problem.</w:t>
      </w:r>
    </w:p>
    <w:p w14:paraId="701E64F9" w14:textId="37FD751E" w:rsidR="00DB6962" w:rsidRPr="001B04DD" w:rsidRDefault="00BC2672" w:rsidP="008C13A2">
      <w:pPr>
        <w:spacing w:line="360" w:lineRule="auto"/>
        <w:rPr>
          <w:rFonts w:ascii="Arial" w:hAnsi="Arial" w:cs="Arial"/>
          <w:sz w:val="22"/>
          <w:szCs w:val="22"/>
        </w:rPr>
      </w:pPr>
      <w:r w:rsidRPr="008C13A2">
        <w:rPr>
          <w:rFonts w:ascii="Arial" w:hAnsi="Arial" w:cs="Arial"/>
          <w:sz w:val="22"/>
          <w:szCs w:val="22"/>
        </w:rPr>
        <w:lastRenderedPageBreak/>
        <w:t>Figure 2 records 31 ideas without immediate evaluation. They range from QR labels and notifications to mobile collection, micro-hubs, lockers, AI forecasting and retailer cooperatives. Prioritising quantity supported divergent thinking and reduced the risk of selecting the first familiar solution.</w:t>
      </w:r>
    </w:p>
    <w:p w14:paraId="33E03452" w14:textId="5F37E5D1" w:rsidR="00CC3CD0" w:rsidRPr="008C13A2" w:rsidRDefault="00DB6962" w:rsidP="008C13A2">
      <w:pPr>
        <w:pStyle w:val="Heading3"/>
        <w:spacing w:line="360" w:lineRule="auto"/>
        <w:jc w:val="center"/>
        <w:rPr>
          <w:rFonts w:ascii="Arial" w:hAnsi="Arial" w:cs="Arial"/>
          <w:b/>
          <w:bCs/>
          <w:color w:val="auto"/>
          <w:sz w:val="22"/>
          <w:szCs w:val="22"/>
        </w:rPr>
      </w:pPr>
      <w:r w:rsidRPr="008C13A2">
        <w:rPr>
          <w:rFonts w:ascii="Arial" w:hAnsi="Arial" w:cs="Arial"/>
          <w:b/>
          <w:bCs/>
          <w:noProof/>
          <w:color w:val="auto"/>
          <w:sz w:val="22"/>
          <w:szCs w:val="22"/>
        </w:rPr>
        <w:drawing>
          <wp:inline distT="0" distB="0" distL="0" distR="0" wp14:anchorId="7E786262" wp14:editId="1131EA0E">
            <wp:extent cx="6301322" cy="3695065"/>
            <wp:effectExtent l="12700" t="12700" r="10795" b="13335"/>
            <wp:docPr id="124585652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5856524" name="Picture 1245856524"/>
                    <pic:cNvPicPr/>
                  </pic:nvPicPr>
                  <pic:blipFill rotWithShape="1">
                    <a:blip r:embed="rId10" cstate="print">
                      <a:extLst>
                        <a:ext uri="{28A0092B-C50C-407E-A947-70E740481C1C}">
                          <a14:useLocalDpi xmlns:a14="http://schemas.microsoft.com/office/drawing/2010/main" val="0"/>
                        </a:ext>
                      </a:extLst>
                    </a:blip>
                    <a:srcRect l="2128" r="3034"/>
                    <a:stretch>
                      <a:fillRect/>
                    </a:stretch>
                  </pic:blipFill>
                  <pic:spPr bwMode="auto">
                    <a:xfrm>
                      <a:off x="0" y="0"/>
                      <a:ext cx="6361964" cy="3730625"/>
                    </a:xfrm>
                    <a:prstGeom prst="rect">
                      <a:avLst/>
                    </a:prstGeom>
                    <a:ln>
                      <a:solidFill>
                        <a:schemeClr val="bg1">
                          <a:lumMod val="50000"/>
                        </a:schemeClr>
                      </a:solidFill>
                    </a:ln>
                    <a:extLst>
                      <a:ext uri="{53640926-AAD7-44D8-BBD7-CCE9431645EC}">
                        <a14:shadowObscured xmlns:a14="http://schemas.microsoft.com/office/drawing/2010/main"/>
                      </a:ext>
                    </a:extLst>
                  </pic:spPr>
                </pic:pic>
              </a:graphicData>
            </a:graphic>
          </wp:inline>
        </w:drawing>
      </w:r>
    </w:p>
    <w:p w14:paraId="281FCEE0" w14:textId="77777777" w:rsidR="00D1010B" w:rsidRPr="008C13A2" w:rsidRDefault="00D1010B" w:rsidP="008C13A2">
      <w:pPr>
        <w:spacing w:line="360" w:lineRule="auto"/>
        <w:rPr>
          <w:rFonts w:ascii="Arial" w:eastAsiaTheme="majorEastAsia" w:hAnsi="Arial" w:cs="Arial"/>
          <w:b/>
          <w:bCs/>
          <w:sz w:val="22"/>
          <w:szCs w:val="22"/>
        </w:rPr>
      </w:pPr>
      <w:r w:rsidRPr="008C13A2">
        <w:rPr>
          <w:rFonts w:ascii="Arial" w:eastAsiaTheme="majorEastAsia" w:hAnsi="Arial" w:cs="Arial"/>
          <w:b/>
          <w:bCs/>
          <w:sz w:val="22"/>
          <w:szCs w:val="22"/>
        </w:rPr>
        <w:t>Figure 2. Initial brainstorming mind map for rural parcel dispatch and returns.</w:t>
      </w:r>
      <w:r w:rsidRPr="008C13A2">
        <w:rPr>
          <w:rFonts w:ascii="Arial" w:eastAsiaTheme="majorEastAsia" w:hAnsi="Arial" w:cs="Arial"/>
          <w:b/>
          <w:bCs/>
          <w:sz w:val="22"/>
          <w:szCs w:val="22"/>
        </w:rPr>
        <w:br/>
      </w:r>
      <w:r w:rsidRPr="008C13A2">
        <w:rPr>
          <w:rFonts w:ascii="Arial" w:eastAsiaTheme="majorEastAsia" w:hAnsi="Arial" w:cs="Arial"/>
          <w:sz w:val="22"/>
          <w:szCs w:val="22"/>
        </w:rPr>
        <w:t>Source: Author’s own construction.</w:t>
      </w:r>
    </w:p>
    <w:p w14:paraId="43CC3034" w14:textId="77777777" w:rsidR="00760A17" w:rsidRPr="008C13A2" w:rsidRDefault="00760A17" w:rsidP="008C13A2">
      <w:pPr>
        <w:spacing w:line="360" w:lineRule="auto"/>
        <w:rPr>
          <w:rFonts w:ascii="Arial" w:hAnsi="Arial" w:cs="Arial"/>
        </w:rPr>
      </w:pPr>
    </w:p>
    <w:p w14:paraId="5D7C23CC" w14:textId="27D2A245" w:rsidR="00D80B5B" w:rsidRPr="008C13A2" w:rsidRDefault="00BC2672" w:rsidP="008C13A2">
      <w:pPr>
        <w:spacing w:line="360" w:lineRule="auto"/>
        <w:rPr>
          <w:rFonts w:ascii="Arial" w:eastAsiaTheme="majorEastAsia" w:hAnsi="Arial" w:cs="Arial"/>
          <w:sz w:val="22"/>
          <w:szCs w:val="22"/>
        </w:rPr>
      </w:pPr>
      <w:r w:rsidRPr="008C13A2">
        <w:rPr>
          <w:rFonts w:ascii="Arial" w:eastAsiaTheme="majorEastAsia" w:hAnsi="Arial" w:cs="Arial"/>
          <w:sz w:val="22"/>
          <w:szCs w:val="22"/>
        </w:rPr>
        <w:t xml:space="preserve">SCAMPER was then used to develop the initial ideas through Substitute, Combine, Adapt, Modify, </w:t>
      </w:r>
      <w:proofErr w:type="gramStart"/>
      <w:r w:rsidRPr="008C13A2">
        <w:rPr>
          <w:rFonts w:ascii="Arial" w:eastAsiaTheme="majorEastAsia" w:hAnsi="Arial" w:cs="Arial"/>
          <w:sz w:val="22"/>
          <w:szCs w:val="22"/>
        </w:rPr>
        <w:t>Put</w:t>
      </w:r>
      <w:proofErr w:type="gramEnd"/>
      <w:r w:rsidRPr="008C13A2">
        <w:rPr>
          <w:rFonts w:ascii="Arial" w:eastAsiaTheme="majorEastAsia" w:hAnsi="Arial" w:cs="Arial"/>
          <w:sz w:val="22"/>
          <w:szCs w:val="22"/>
        </w:rPr>
        <w:t xml:space="preserve"> to another use, Eliminate and Rearrange. Research suggests that SCAMPER can produce more concrete entrepreneurial ideas than unstructured brainstorming (</w:t>
      </w:r>
      <w:proofErr w:type="spellStart"/>
      <w:r w:rsidRPr="008C13A2">
        <w:rPr>
          <w:rFonts w:ascii="Arial" w:eastAsiaTheme="majorEastAsia" w:hAnsi="Arial" w:cs="Arial"/>
          <w:sz w:val="22"/>
          <w:szCs w:val="22"/>
        </w:rPr>
        <w:t>Farrokhnia</w:t>
      </w:r>
      <w:proofErr w:type="spellEnd"/>
      <w:r w:rsidRPr="008C13A2">
        <w:rPr>
          <w:rFonts w:ascii="Arial" w:eastAsiaTheme="majorEastAsia" w:hAnsi="Arial" w:cs="Arial"/>
          <w:sz w:val="22"/>
          <w:szCs w:val="22"/>
        </w:rPr>
        <w:t xml:space="preserve"> et al., 2023)</w:t>
      </w:r>
      <w:r w:rsidR="009B615F" w:rsidRPr="008C13A2">
        <w:rPr>
          <w:rFonts w:ascii="Arial" w:eastAsiaTheme="majorEastAsia" w:hAnsi="Arial" w:cs="Arial"/>
          <w:sz w:val="22"/>
          <w:szCs w:val="22"/>
        </w:rPr>
        <w:t>.</w:t>
      </w:r>
    </w:p>
    <w:p w14:paraId="186C112A" w14:textId="1CBF6BA3" w:rsidR="009B615F" w:rsidRPr="008C13A2" w:rsidRDefault="00475E7A" w:rsidP="0049174A">
      <w:pPr>
        <w:spacing w:line="360" w:lineRule="auto"/>
        <w:jc w:val="center"/>
        <w:rPr>
          <w:rFonts w:ascii="Arial" w:hAnsi="Arial" w:cs="Arial"/>
          <w:color w:val="EE0000"/>
          <w:sz w:val="22"/>
          <w:szCs w:val="22"/>
        </w:rPr>
      </w:pPr>
      <w:r w:rsidRPr="008C13A2">
        <w:rPr>
          <w:rFonts w:ascii="Arial" w:hAnsi="Arial" w:cs="Arial"/>
          <w:noProof/>
        </w:rPr>
        <w:drawing>
          <wp:inline distT="0" distB="0" distL="0" distR="0" wp14:anchorId="044B962D" wp14:editId="62EE0749">
            <wp:extent cx="5243208" cy="2256717"/>
            <wp:effectExtent l="0" t="0" r="1905" b="4445"/>
            <wp:docPr id="556722171" name="Picture 3" descr="Revised neutral SCAMPER infographic"/>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Revised neutral SCAMPER infographic"/>
                    <pic:cNvPicPr>
                      <a:picLocks noChangeAspect="1" noChangeArrowheads="1"/>
                    </pic:cNvPicPr>
                  </pic:nvPicPr>
                  <pic:blipFill rotWithShape="1">
                    <a:blip r:embed="rId11" cstate="print">
                      <a:extLst>
                        <a:ext uri="{28A0092B-C50C-407E-A947-70E740481C1C}">
                          <a14:useLocalDpi xmlns:a14="http://schemas.microsoft.com/office/drawing/2010/main" val="0"/>
                        </a:ext>
                      </a:extLst>
                    </a:blip>
                    <a:srcRect l="4084" t="14282" r="4306" b="18081"/>
                    <a:stretch>
                      <a:fillRect/>
                    </a:stretch>
                  </pic:blipFill>
                  <pic:spPr bwMode="auto">
                    <a:xfrm>
                      <a:off x="0" y="0"/>
                      <a:ext cx="5279541" cy="2272355"/>
                    </a:xfrm>
                    <a:prstGeom prst="rect">
                      <a:avLst/>
                    </a:prstGeom>
                    <a:noFill/>
                    <a:ln>
                      <a:noFill/>
                    </a:ln>
                    <a:extLst>
                      <a:ext uri="{53640926-AAD7-44D8-BBD7-CCE9431645EC}">
                        <a14:shadowObscured xmlns:a14="http://schemas.microsoft.com/office/drawing/2010/main"/>
                      </a:ext>
                    </a:extLst>
                  </pic:spPr>
                </pic:pic>
              </a:graphicData>
            </a:graphic>
          </wp:inline>
        </w:drawing>
      </w:r>
    </w:p>
    <w:p w14:paraId="35DC5133" w14:textId="0F33C2F0" w:rsidR="009B615F" w:rsidRPr="008C13A2" w:rsidRDefault="00D1010B" w:rsidP="008C13A2">
      <w:pPr>
        <w:spacing w:line="360" w:lineRule="auto"/>
        <w:rPr>
          <w:rFonts w:ascii="Arial" w:hAnsi="Arial" w:cs="Arial"/>
          <w:b/>
          <w:bCs/>
          <w:sz w:val="22"/>
          <w:szCs w:val="22"/>
        </w:rPr>
      </w:pPr>
      <w:r w:rsidRPr="008C13A2">
        <w:rPr>
          <w:rFonts w:ascii="Arial" w:hAnsi="Arial" w:cs="Arial"/>
          <w:b/>
          <w:bCs/>
          <w:sz w:val="22"/>
          <w:szCs w:val="22"/>
        </w:rPr>
        <w:lastRenderedPageBreak/>
        <w:t>Figure 3. Application of SCAMPER to rural parcel fulfilment.</w:t>
      </w:r>
      <w:r w:rsidRPr="008C13A2">
        <w:rPr>
          <w:rFonts w:ascii="Arial" w:hAnsi="Arial" w:cs="Arial"/>
          <w:b/>
          <w:bCs/>
          <w:sz w:val="22"/>
          <w:szCs w:val="22"/>
        </w:rPr>
        <w:br/>
      </w:r>
      <w:r w:rsidRPr="008C13A2">
        <w:rPr>
          <w:rFonts w:ascii="Arial" w:hAnsi="Arial" w:cs="Arial"/>
          <w:sz w:val="22"/>
          <w:szCs w:val="22"/>
        </w:rPr>
        <w:t xml:space="preserve">Source: Author’s own construction, informed by </w:t>
      </w:r>
      <w:proofErr w:type="spellStart"/>
      <w:r w:rsidRPr="008C13A2">
        <w:rPr>
          <w:rFonts w:ascii="Arial" w:hAnsi="Arial" w:cs="Arial"/>
          <w:sz w:val="22"/>
          <w:szCs w:val="22"/>
        </w:rPr>
        <w:t>Farrokhnia</w:t>
      </w:r>
      <w:proofErr w:type="spellEnd"/>
      <w:r w:rsidRPr="008C13A2">
        <w:rPr>
          <w:rFonts w:ascii="Arial" w:hAnsi="Arial" w:cs="Arial"/>
          <w:sz w:val="22"/>
          <w:szCs w:val="22"/>
        </w:rPr>
        <w:t xml:space="preserve"> et al. (2023).</w:t>
      </w:r>
    </w:p>
    <w:p w14:paraId="117A7BFF" w14:textId="77777777" w:rsidR="00D1010B" w:rsidRPr="008C13A2" w:rsidRDefault="00D1010B" w:rsidP="008C13A2">
      <w:pPr>
        <w:spacing w:line="360" w:lineRule="auto"/>
        <w:rPr>
          <w:rFonts w:ascii="Arial" w:hAnsi="Arial" w:cs="Arial"/>
          <w:color w:val="EE0000"/>
          <w:sz w:val="22"/>
          <w:szCs w:val="22"/>
        </w:rPr>
      </w:pPr>
    </w:p>
    <w:p w14:paraId="3552B845" w14:textId="6515773F" w:rsidR="005267A3" w:rsidRDefault="005267A3" w:rsidP="008C13A2">
      <w:pPr>
        <w:spacing w:line="360" w:lineRule="auto"/>
        <w:rPr>
          <w:rFonts w:ascii="Arial" w:hAnsi="Arial" w:cs="Arial"/>
          <w:sz w:val="22"/>
          <w:szCs w:val="22"/>
        </w:rPr>
      </w:pPr>
      <w:r w:rsidRPr="008C13A2">
        <w:rPr>
          <w:rFonts w:ascii="Arial" w:hAnsi="Arial" w:cs="Arial"/>
          <w:sz w:val="22"/>
          <w:szCs w:val="22"/>
        </w:rPr>
        <w:t>Substitution replaced individual drop-offs with a shared point. Combination connected dispatch, tracking and returns. Adaptation applied parcel-shop models to rural venues, while modification produced mobile and scheduled collection. Existing shops and community buildings were put to another use as micro-hubs. QR codes eliminated printing and repeated entry, while rearrangement pooled parcels before collection.</w:t>
      </w:r>
    </w:p>
    <w:p w14:paraId="4470FA06" w14:textId="77777777" w:rsidR="006C25B0" w:rsidRPr="008C13A2" w:rsidRDefault="006C25B0" w:rsidP="008C13A2">
      <w:pPr>
        <w:spacing w:line="360" w:lineRule="auto"/>
        <w:rPr>
          <w:rFonts w:ascii="Arial" w:hAnsi="Arial" w:cs="Arial"/>
          <w:sz w:val="22"/>
          <w:szCs w:val="22"/>
        </w:rPr>
      </w:pPr>
    </w:p>
    <w:p w14:paraId="4173FE6A" w14:textId="77777777" w:rsidR="005267A3" w:rsidRPr="008C13A2" w:rsidRDefault="005267A3" w:rsidP="008C13A2">
      <w:pPr>
        <w:spacing w:line="360" w:lineRule="auto"/>
        <w:rPr>
          <w:rFonts w:ascii="Arial" w:hAnsi="Arial" w:cs="Arial"/>
          <w:sz w:val="22"/>
          <w:szCs w:val="22"/>
        </w:rPr>
      </w:pPr>
      <w:r w:rsidRPr="008C13A2">
        <w:rPr>
          <w:rFonts w:ascii="Arial" w:hAnsi="Arial" w:cs="Arial"/>
          <w:sz w:val="22"/>
          <w:szCs w:val="22"/>
        </w:rPr>
        <w:t>Brainstorming supported breadth, whereas SCAMPER systematically developed existing activities. However, SCAMPER may favour incremental or architectural change because it begins with an existing process. Combining it with open brainstorming reduced this limitation.</w:t>
      </w:r>
    </w:p>
    <w:p w14:paraId="19F41010" w14:textId="77777777" w:rsidR="005267A3" w:rsidRPr="008C13A2" w:rsidRDefault="005267A3" w:rsidP="008C13A2">
      <w:pPr>
        <w:spacing w:line="360" w:lineRule="auto"/>
        <w:rPr>
          <w:rFonts w:ascii="Arial" w:hAnsi="Arial" w:cs="Arial"/>
          <w:sz w:val="22"/>
          <w:szCs w:val="22"/>
        </w:rPr>
      </w:pPr>
    </w:p>
    <w:p w14:paraId="2268974C" w14:textId="0AAC83FC" w:rsidR="006C25B0" w:rsidRPr="00902F80" w:rsidRDefault="005267A3" w:rsidP="008C13A2">
      <w:pPr>
        <w:spacing w:line="360" w:lineRule="auto"/>
        <w:rPr>
          <w:rFonts w:ascii="Arial" w:hAnsi="Arial" w:cs="Arial"/>
          <w:sz w:val="22"/>
          <w:szCs w:val="22"/>
        </w:rPr>
      </w:pPr>
      <w:r w:rsidRPr="008C13A2">
        <w:rPr>
          <w:rFonts w:ascii="Arial" w:hAnsi="Arial" w:cs="Arial"/>
          <w:sz w:val="22"/>
          <w:szCs w:val="22"/>
        </w:rPr>
        <w:t>Some outputs were features rather than complete ventures. Related ideas were therefore grouped into five concepts: an integrated dashboard, AI route planning, mobile collection, community consolidation and returns, and a rural locker network. These concepts entered the DFV/S assessment, which provided the convergent selection stage.</w:t>
      </w:r>
    </w:p>
    <w:p w14:paraId="4BE71837" w14:textId="0B58B49C" w:rsidR="00997A3B" w:rsidRPr="006C25B0" w:rsidRDefault="002C5816" w:rsidP="006C25B0">
      <w:pPr>
        <w:pStyle w:val="Heading3"/>
        <w:spacing w:line="360" w:lineRule="auto"/>
        <w:rPr>
          <w:rFonts w:ascii="Arial" w:hAnsi="Arial" w:cs="Arial"/>
          <w:b/>
          <w:bCs/>
          <w:color w:val="auto"/>
          <w:sz w:val="22"/>
          <w:szCs w:val="22"/>
        </w:rPr>
      </w:pPr>
      <w:r w:rsidRPr="008C13A2">
        <w:rPr>
          <w:rFonts w:ascii="Arial" w:hAnsi="Arial" w:cs="Arial"/>
          <w:b/>
          <w:bCs/>
          <w:color w:val="auto"/>
          <w:sz w:val="22"/>
          <w:szCs w:val="22"/>
        </w:rPr>
        <w:t>8.1 DFV/S Assessment</w:t>
      </w:r>
    </w:p>
    <w:p w14:paraId="4CE0522B" w14:textId="77777777" w:rsidR="00777553" w:rsidRPr="008C13A2" w:rsidRDefault="00777553" w:rsidP="008C13A2">
      <w:pPr>
        <w:spacing w:line="360" w:lineRule="auto"/>
        <w:rPr>
          <w:rFonts w:ascii="Arial" w:hAnsi="Arial" w:cs="Arial"/>
          <w:sz w:val="22"/>
          <w:szCs w:val="22"/>
        </w:rPr>
      </w:pPr>
      <w:r w:rsidRPr="008C13A2">
        <w:rPr>
          <w:rFonts w:ascii="Arial" w:hAnsi="Arial" w:cs="Arial"/>
          <w:sz w:val="22"/>
          <w:szCs w:val="22"/>
        </w:rPr>
        <w:t>The five concepts were scored from one to five for desirability, feasibility, viability and sustainability. Table 2 presents the provisional assessment.</w:t>
      </w:r>
    </w:p>
    <w:p w14:paraId="2FA8E5A1" w14:textId="77777777" w:rsidR="00997A3B" w:rsidRPr="008C13A2" w:rsidRDefault="00997A3B" w:rsidP="008C13A2">
      <w:pPr>
        <w:spacing w:line="360" w:lineRule="auto"/>
        <w:rPr>
          <w:rFonts w:ascii="Arial" w:hAnsi="Arial" w:cs="Arial"/>
          <w:b/>
          <w:bCs/>
          <w:sz w:val="22"/>
          <w:szCs w:val="22"/>
        </w:rPr>
      </w:pPr>
    </w:p>
    <w:p w14:paraId="16B632B7" w14:textId="199BDC22" w:rsidR="007967C8" w:rsidRPr="008C13A2" w:rsidRDefault="00997A3B" w:rsidP="008C13A2">
      <w:pPr>
        <w:spacing w:line="360" w:lineRule="auto"/>
        <w:rPr>
          <w:rFonts w:ascii="Arial" w:hAnsi="Arial" w:cs="Arial"/>
          <w:b/>
          <w:bCs/>
          <w:sz w:val="22"/>
          <w:szCs w:val="22"/>
        </w:rPr>
      </w:pPr>
      <w:r w:rsidRPr="008C13A2">
        <w:rPr>
          <w:rFonts w:ascii="Arial" w:hAnsi="Arial" w:cs="Arial"/>
          <w:b/>
          <w:bCs/>
          <w:sz w:val="22"/>
          <w:szCs w:val="22"/>
        </w:rPr>
        <w:t>Table 2. DFV/S assessment of shortlisted venture concepts</w:t>
      </w:r>
    </w:p>
    <w:tbl>
      <w:tblPr>
        <w:tblStyle w:val="GridTable4-Accent1"/>
        <w:tblW w:w="9645" w:type="dxa"/>
        <w:tblLayout w:type="fixed"/>
        <w:tblLook w:val="04A0" w:firstRow="1" w:lastRow="0" w:firstColumn="1" w:lastColumn="0" w:noHBand="0" w:noVBand="1"/>
      </w:tblPr>
      <w:tblGrid>
        <w:gridCol w:w="2547"/>
        <w:gridCol w:w="1531"/>
        <w:gridCol w:w="1531"/>
        <w:gridCol w:w="1531"/>
        <w:gridCol w:w="1531"/>
        <w:gridCol w:w="974"/>
      </w:tblGrid>
      <w:tr w:rsidR="007967C8" w:rsidRPr="008C13A2" w14:paraId="1D5717ED" w14:textId="77777777" w:rsidTr="00623B3F">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547" w:type="dxa"/>
            <w:vAlign w:val="center"/>
            <w:hideMark/>
          </w:tcPr>
          <w:p w14:paraId="4A7E5CA0" w14:textId="77777777" w:rsidR="007967C8" w:rsidRPr="008C13A2" w:rsidRDefault="007967C8" w:rsidP="008C13A2">
            <w:pPr>
              <w:spacing w:line="360" w:lineRule="auto"/>
              <w:jc w:val="center"/>
              <w:rPr>
                <w:rFonts w:ascii="Arial" w:hAnsi="Arial" w:cs="Arial"/>
                <w:sz w:val="20"/>
                <w:szCs w:val="20"/>
              </w:rPr>
            </w:pPr>
            <w:r w:rsidRPr="008C13A2">
              <w:rPr>
                <w:rFonts w:ascii="Arial" w:hAnsi="Arial" w:cs="Arial"/>
                <w:sz w:val="20"/>
                <w:szCs w:val="20"/>
              </w:rPr>
              <w:t>Idea</w:t>
            </w:r>
          </w:p>
        </w:tc>
        <w:tc>
          <w:tcPr>
            <w:tcW w:w="1531" w:type="dxa"/>
            <w:vAlign w:val="center"/>
            <w:hideMark/>
          </w:tcPr>
          <w:p w14:paraId="6CB44655" w14:textId="77777777" w:rsidR="007967C8" w:rsidRPr="008C13A2" w:rsidRDefault="007967C8" w:rsidP="008C13A2">
            <w:pPr>
              <w:spacing w:line="360" w:lineRule="auto"/>
              <w:jc w:val="center"/>
              <w:cnfStyle w:val="100000000000" w:firstRow="1" w:lastRow="0" w:firstColumn="0" w:lastColumn="0" w:oddVBand="0" w:evenVBand="0" w:oddHBand="0" w:evenHBand="0" w:firstRowFirstColumn="0" w:firstRowLastColumn="0" w:lastRowFirstColumn="0" w:lastRowLastColumn="0"/>
              <w:rPr>
                <w:rFonts w:ascii="Arial" w:hAnsi="Arial" w:cs="Arial"/>
                <w:sz w:val="20"/>
                <w:szCs w:val="20"/>
              </w:rPr>
            </w:pPr>
            <w:r w:rsidRPr="008C13A2">
              <w:rPr>
                <w:rFonts w:ascii="Arial" w:hAnsi="Arial" w:cs="Arial"/>
                <w:sz w:val="20"/>
                <w:szCs w:val="20"/>
              </w:rPr>
              <w:t>Desirability</w:t>
            </w:r>
          </w:p>
        </w:tc>
        <w:tc>
          <w:tcPr>
            <w:tcW w:w="1531" w:type="dxa"/>
            <w:vAlign w:val="center"/>
            <w:hideMark/>
          </w:tcPr>
          <w:p w14:paraId="5AFB0D69" w14:textId="77777777" w:rsidR="007967C8" w:rsidRPr="008C13A2" w:rsidRDefault="007967C8" w:rsidP="008C13A2">
            <w:pPr>
              <w:spacing w:line="360" w:lineRule="auto"/>
              <w:jc w:val="center"/>
              <w:cnfStyle w:val="100000000000" w:firstRow="1" w:lastRow="0" w:firstColumn="0" w:lastColumn="0" w:oddVBand="0" w:evenVBand="0" w:oddHBand="0" w:evenHBand="0" w:firstRowFirstColumn="0" w:firstRowLastColumn="0" w:lastRowFirstColumn="0" w:lastRowLastColumn="0"/>
              <w:rPr>
                <w:rFonts w:ascii="Arial" w:hAnsi="Arial" w:cs="Arial"/>
                <w:sz w:val="20"/>
                <w:szCs w:val="20"/>
              </w:rPr>
            </w:pPr>
            <w:r w:rsidRPr="008C13A2">
              <w:rPr>
                <w:rFonts w:ascii="Arial" w:hAnsi="Arial" w:cs="Arial"/>
                <w:sz w:val="20"/>
                <w:szCs w:val="20"/>
              </w:rPr>
              <w:t>Feasibility</w:t>
            </w:r>
          </w:p>
        </w:tc>
        <w:tc>
          <w:tcPr>
            <w:tcW w:w="1531" w:type="dxa"/>
            <w:vAlign w:val="center"/>
            <w:hideMark/>
          </w:tcPr>
          <w:p w14:paraId="6C3E4996" w14:textId="77777777" w:rsidR="007967C8" w:rsidRPr="008C13A2" w:rsidRDefault="007967C8" w:rsidP="008C13A2">
            <w:pPr>
              <w:spacing w:line="360" w:lineRule="auto"/>
              <w:jc w:val="center"/>
              <w:cnfStyle w:val="100000000000" w:firstRow="1" w:lastRow="0" w:firstColumn="0" w:lastColumn="0" w:oddVBand="0" w:evenVBand="0" w:oddHBand="0" w:evenHBand="0" w:firstRowFirstColumn="0" w:firstRowLastColumn="0" w:lastRowFirstColumn="0" w:lastRowLastColumn="0"/>
              <w:rPr>
                <w:rFonts w:ascii="Arial" w:hAnsi="Arial" w:cs="Arial"/>
                <w:sz w:val="20"/>
                <w:szCs w:val="20"/>
              </w:rPr>
            </w:pPr>
            <w:r w:rsidRPr="008C13A2">
              <w:rPr>
                <w:rFonts w:ascii="Arial" w:hAnsi="Arial" w:cs="Arial"/>
                <w:sz w:val="20"/>
                <w:szCs w:val="20"/>
              </w:rPr>
              <w:t>Viability</w:t>
            </w:r>
          </w:p>
        </w:tc>
        <w:tc>
          <w:tcPr>
            <w:tcW w:w="1531" w:type="dxa"/>
            <w:vAlign w:val="center"/>
            <w:hideMark/>
          </w:tcPr>
          <w:p w14:paraId="2C99F488" w14:textId="77777777" w:rsidR="007967C8" w:rsidRPr="008C13A2" w:rsidRDefault="007967C8" w:rsidP="008C13A2">
            <w:pPr>
              <w:spacing w:line="360" w:lineRule="auto"/>
              <w:jc w:val="center"/>
              <w:cnfStyle w:val="100000000000" w:firstRow="1" w:lastRow="0" w:firstColumn="0" w:lastColumn="0" w:oddVBand="0" w:evenVBand="0" w:oddHBand="0" w:evenHBand="0" w:firstRowFirstColumn="0" w:firstRowLastColumn="0" w:lastRowFirstColumn="0" w:lastRowLastColumn="0"/>
              <w:rPr>
                <w:rFonts w:ascii="Arial" w:hAnsi="Arial" w:cs="Arial"/>
                <w:sz w:val="20"/>
                <w:szCs w:val="20"/>
              </w:rPr>
            </w:pPr>
            <w:r w:rsidRPr="008C13A2">
              <w:rPr>
                <w:rFonts w:ascii="Arial" w:hAnsi="Arial" w:cs="Arial"/>
                <w:sz w:val="20"/>
                <w:szCs w:val="20"/>
              </w:rPr>
              <w:t>Sustainability</w:t>
            </w:r>
          </w:p>
        </w:tc>
        <w:tc>
          <w:tcPr>
            <w:tcW w:w="974" w:type="dxa"/>
            <w:vAlign w:val="center"/>
            <w:hideMark/>
          </w:tcPr>
          <w:p w14:paraId="2946D49B" w14:textId="77777777" w:rsidR="007967C8" w:rsidRPr="008C13A2" w:rsidRDefault="007967C8" w:rsidP="008C13A2">
            <w:pPr>
              <w:spacing w:line="360" w:lineRule="auto"/>
              <w:jc w:val="center"/>
              <w:cnfStyle w:val="100000000000" w:firstRow="1" w:lastRow="0" w:firstColumn="0" w:lastColumn="0" w:oddVBand="0" w:evenVBand="0" w:oddHBand="0" w:evenHBand="0" w:firstRowFirstColumn="0" w:firstRowLastColumn="0" w:lastRowFirstColumn="0" w:lastRowLastColumn="0"/>
              <w:rPr>
                <w:rFonts w:ascii="Arial" w:hAnsi="Arial" w:cs="Arial"/>
                <w:sz w:val="20"/>
                <w:szCs w:val="20"/>
              </w:rPr>
            </w:pPr>
            <w:r w:rsidRPr="008C13A2">
              <w:rPr>
                <w:rFonts w:ascii="Arial" w:hAnsi="Arial" w:cs="Arial"/>
                <w:sz w:val="20"/>
                <w:szCs w:val="20"/>
              </w:rPr>
              <w:t>Total /20</w:t>
            </w:r>
          </w:p>
        </w:tc>
      </w:tr>
      <w:tr w:rsidR="007967C8" w:rsidRPr="008C13A2" w14:paraId="6A59DBC0" w14:textId="77777777" w:rsidTr="00623B3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547" w:type="dxa"/>
            <w:vAlign w:val="center"/>
            <w:hideMark/>
          </w:tcPr>
          <w:p w14:paraId="313D9BDE" w14:textId="77777777" w:rsidR="007967C8" w:rsidRPr="008C13A2" w:rsidRDefault="007967C8" w:rsidP="008C13A2">
            <w:pPr>
              <w:spacing w:line="360" w:lineRule="auto"/>
              <w:rPr>
                <w:rFonts w:ascii="Arial" w:hAnsi="Arial" w:cs="Arial"/>
                <w:sz w:val="20"/>
                <w:szCs w:val="20"/>
              </w:rPr>
            </w:pPr>
            <w:r w:rsidRPr="008C13A2">
              <w:rPr>
                <w:rFonts w:ascii="Arial" w:hAnsi="Arial" w:cs="Arial"/>
                <w:sz w:val="20"/>
                <w:szCs w:val="20"/>
              </w:rPr>
              <w:t>Integrated dashboard</w:t>
            </w:r>
          </w:p>
        </w:tc>
        <w:tc>
          <w:tcPr>
            <w:tcW w:w="1531" w:type="dxa"/>
            <w:vAlign w:val="center"/>
            <w:hideMark/>
          </w:tcPr>
          <w:p w14:paraId="2391530A" w14:textId="77777777" w:rsidR="007967C8" w:rsidRPr="008C13A2" w:rsidRDefault="007967C8" w:rsidP="008C13A2">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sidRPr="008C13A2">
              <w:rPr>
                <w:rFonts w:ascii="Arial" w:hAnsi="Arial" w:cs="Arial"/>
                <w:sz w:val="20"/>
                <w:szCs w:val="20"/>
              </w:rPr>
              <w:t>4</w:t>
            </w:r>
          </w:p>
        </w:tc>
        <w:tc>
          <w:tcPr>
            <w:tcW w:w="1531" w:type="dxa"/>
            <w:vAlign w:val="center"/>
            <w:hideMark/>
          </w:tcPr>
          <w:p w14:paraId="192B73BD" w14:textId="77777777" w:rsidR="007967C8" w:rsidRPr="008C13A2" w:rsidRDefault="007967C8" w:rsidP="008C13A2">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sidRPr="008C13A2">
              <w:rPr>
                <w:rFonts w:ascii="Arial" w:hAnsi="Arial" w:cs="Arial"/>
                <w:sz w:val="20"/>
                <w:szCs w:val="20"/>
              </w:rPr>
              <w:t>5</w:t>
            </w:r>
          </w:p>
        </w:tc>
        <w:tc>
          <w:tcPr>
            <w:tcW w:w="1531" w:type="dxa"/>
            <w:vAlign w:val="center"/>
            <w:hideMark/>
          </w:tcPr>
          <w:p w14:paraId="3303C99E" w14:textId="77777777" w:rsidR="007967C8" w:rsidRPr="008C13A2" w:rsidRDefault="007967C8" w:rsidP="008C13A2">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sidRPr="008C13A2">
              <w:rPr>
                <w:rFonts w:ascii="Arial" w:hAnsi="Arial" w:cs="Arial"/>
                <w:sz w:val="20"/>
                <w:szCs w:val="20"/>
              </w:rPr>
              <w:t>3</w:t>
            </w:r>
          </w:p>
        </w:tc>
        <w:tc>
          <w:tcPr>
            <w:tcW w:w="1531" w:type="dxa"/>
            <w:vAlign w:val="center"/>
            <w:hideMark/>
          </w:tcPr>
          <w:p w14:paraId="335A6F77" w14:textId="77777777" w:rsidR="007967C8" w:rsidRPr="008C13A2" w:rsidRDefault="007967C8" w:rsidP="008C13A2">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sidRPr="008C13A2">
              <w:rPr>
                <w:rFonts w:ascii="Arial" w:hAnsi="Arial" w:cs="Arial"/>
                <w:sz w:val="20"/>
                <w:szCs w:val="20"/>
              </w:rPr>
              <w:t>3</w:t>
            </w:r>
          </w:p>
        </w:tc>
        <w:tc>
          <w:tcPr>
            <w:tcW w:w="974" w:type="dxa"/>
            <w:vAlign w:val="center"/>
            <w:hideMark/>
          </w:tcPr>
          <w:p w14:paraId="2F73037F" w14:textId="77777777" w:rsidR="007967C8" w:rsidRPr="008C13A2" w:rsidRDefault="007967C8" w:rsidP="008C13A2">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sidRPr="008C13A2">
              <w:rPr>
                <w:rFonts w:ascii="Arial" w:hAnsi="Arial" w:cs="Arial"/>
                <w:sz w:val="20"/>
                <w:szCs w:val="20"/>
              </w:rPr>
              <w:t>15</w:t>
            </w:r>
          </w:p>
        </w:tc>
      </w:tr>
      <w:tr w:rsidR="007967C8" w:rsidRPr="008C13A2" w14:paraId="04454FE8" w14:textId="77777777" w:rsidTr="00623B3F">
        <w:tc>
          <w:tcPr>
            <w:cnfStyle w:val="001000000000" w:firstRow="0" w:lastRow="0" w:firstColumn="1" w:lastColumn="0" w:oddVBand="0" w:evenVBand="0" w:oddHBand="0" w:evenHBand="0" w:firstRowFirstColumn="0" w:firstRowLastColumn="0" w:lastRowFirstColumn="0" w:lastRowLastColumn="0"/>
            <w:tcW w:w="2547" w:type="dxa"/>
            <w:vAlign w:val="center"/>
            <w:hideMark/>
          </w:tcPr>
          <w:p w14:paraId="145052EF" w14:textId="77777777" w:rsidR="007967C8" w:rsidRPr="008C13A2" w:rsidRDefault="007967C8" w:rsidP="008C13A2">
            <w:pPr>
              <w:spacing w:line="360" w:lineRule="auto"/>
              <w:rPr>
                <w:rFonts w:ascii="Arial" w:hAnsi="Arial" w:cs="Arial"/>
                <w:sz w:val="20"/>
                <w:szCs w:val="20"/>
              </w:rPr>
            </w:pPr>
            <w:r w:rsidRPr="008C13A2">
              <w:rPr>
                <w:rFonts w:ascii="Arial" w:hAnsi="Arial" w:cs="Arial"/>
                <w:sz w:val="20"/>
                <w:szCs w:val="20"/>
              </w:rPr>
              <w:t>AI route planner</w:t>
            </w:r>
          </w:p>
        </w:tc>
        <w:tc>
          <w:tcPr>
            <w:tcW w:w="1531" w:type="dxa"/>
            <w:vAlign w:val="center"/>
            <w:hideMark/>
          </w:tcPr>
          <w:p w14:paraId="688A49CD" w14:textId="77777777" w:rsidR="007967C8" w:rsidRPr="008C13A2" w:rsidRDefault="007967C8" w:rsidP="008C13A2">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8C13A2">
              <w:rPr>
                <w:rFonts w:ascii="Arial" w:hAnsi="Arial" w:cs="Arial"/>
                <w:sz w:val="20"/>
                <w:szCs w:val="20"/>
              </w:rPr>
              <w:t>3</w:t>
            </w:r>
          </w:p>
        </w:tc>
        <w:tc>
          <w:tcPr>
            <w:tcW w:w="1531" w:type="dxa"/>
            <w:vAlign w:val="center"/>
            <w:hideMark/>
          </w:tcPr>
          <w:p w14:paraId="1C3E3968" w14:textId="77777777" w:rsidR="007967C8" w:rsidRPr="008C13A2" w:rsidRDefault="007967C8" w:rsidP="008C13A2">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8C13A2">
              <w:rPr>
                <w:rFonts w:ascii="Arial" w:hAnsi="Arial" w:cs="Arial"/>
                <w:sz w:val="20"/>
                <w:szCs w:val="20"/>
              </w:rPr>
              <w:t>2</w:t>
            </w:r>
          </w:p>
        </w:tc>
        <w:tc>
          <w:tcPr>
            <w:tcW w:w="1531" w:type="dxa"/>
            <w:vAlign w:val="center"/>
            <w:hideMark/>
          </w:tcPr>
          <w:p w14:paraId="1A2D0EE5" w14:textId="77777777" w:rsidR="007967C8" w:rsidRPr="008C13A2" w:rsidRDefault="007967C8" w:rsidP="008C13A2">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8C13A2">
              <w:rPr>
                <w:rFonts w:ascii="Arial" w:hAnsi="Arial" w:cs="Arial"/>
                <w:sz w:val="20"/>
                <w:szCs w:val="20"/>
              </w:rPr>
              <w:t>3</w:t>
            </w:r>
          </w:p>
        </w:tc>
        <w:tc>
          <w:tcPr>
            <w:tcW w:w="1531" w:type="dxa"/>
            <w:vAlign w:val="center"/>
            <w:hideMark/>
          </w:tcPr>
          <w:p w14:paraId="4DA11EF0" w14:textId="77777777" w:rsidR="007967C8" w:rsidRPr="008C13A2" w:rsidRDefault="007967C8" w:rsidP="008C13A2">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8C13A2">
              <w:rPr>
                <w:rFonts w:ascii="Arial" w:hAnsi="Arial" w:cs="Arial"/>
                <w:sz w:val="20"/>
                <w:szCs w:val="20"/>
              </w:rPr>
              <w:t>4</w:t>
            </w:r>
          </w:p>
        </w:tc>
        <w:tc>
          <w:tcPr>
            <w:tcW w:w="974" w:type="dxa"/>
            <w:vAlign w:val="center"/>
            <w:hideMark/>
          </w:tcPr>
          <w:p w14:paraId="392CBC6C" w14:textId="77777777" w:rsidR="007967C8" w:rsidRPr="008C13A2" w:rsidRDefault="007967C8" w:rsidP="008C13A2">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8C13A2">
              <w:rPr>
                <w:rFonts w:ascii="Arial" w:hAnsi="Arial" w:cs="Arial"/>
                <w:sz w:val="20"/>
                <w:szCs w:val="20"/>
              </w:rPr>
              <w:t>12</w:t>
            </w:r>
          </w:p>
        </w:tc>
      </w:tr>
      <w:tr w:rsidR="007967C8" w:rsidRPr="008C13A2" w14:paraId="7573B978" w14:textId="77777777" w:rsidTr="00623B3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547" w:type="dxa"/>
            <w:vAlign w:val="center"/>
            <w:hideMark/>
          </w:tcPr>
          <w:p w14:paraId="7217347F" w14:textId="77777777" w:rsidR="007967C8" w:rsidRPr="008C13A2" w:rsidRDefault="007967C8" w:rsidP="008C13A2">
            <w:pPr>
              <w:spacing w:line="360" w:lineRule="auto"/>
              <w:rPr>
                <w:rFonts w:ascii="Arial" w:hAnsi="Arial" w:cs="Arial"/>
                <w:sz w:val="20"/>
                <w:szCs w:val="20"/>
              </w:rPr>
            </w:pPr>
            <w:r w:rsidRPr="008C13A2">
              <w:rPr>
                <w:rFonts w:ascii="Arial" w:hAnsi="Arial" w:cs="Arial"/>
                <w:sz w:val="20"/>
                <w:szCs w:val="20"/>
              </w:rPr>
              <w:t>Mobile collection</w:t>
            </w:r>
          </w:p>
        </w:tc>
        <w:tc>
          <w:tcPr>
            <w:tcW w:w="1531" w:type="dxa"/>
            <w:vAlign w:val="center"/>
            <w:hideMark/>
          </w:tcPr>
          <w:p w14:paraId="7F45D555" w14:textId="77777777" w:rsidR="007967C8" w:rsidRPr="008C13A2" w:rsidRDefault="007967C8" w:rsidP="008C13A2">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sidRPr="008C13A2">
              <w:rPr>
                <w:rFonts w:ascii="Arial" w:hAnsi="Arial" w:cs="Arial"/>
                <w:sz w:val="20"/>
                <w:szCs w:val="20"/>
              </w:rPr>
              <w:t>4</w:t>
            </w:r>
          </w:p>
        </w:tc>
        <w:tc>
          <w:tcPr>
            <w:tcW w:w="1531" w:type="dxa"/>
            <w:vAlign w:val="center"/>
            <w:hideMark/>
          </w:tcPr>
          <w:p w14:paraId="35161EFB" w14:textId="77777777" w:rsidR="007967C8" w:rsidRPr="008C13A2" w:rsidRDefault="007967C8" w:rsidP="008C13A2">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sidRPr="008C13A2">
              <w:rPr>
                <w:rFonts w:ascii="Arial" w:hAnsi="Arial" w:cs="Arial"/>
                <w:sz w:val="20"/>
                <w:szCs w:val="20"/>
              </w:rPr>
              <w:t>3</w:t>
            </w:r>
          </w:p>
        </w:tc>
        <w:tc>
          <w:tcPr>
            <w:tcW w:w="1531" w:type="dxa"/>
            <w:vAlign w:val="center"/>
            <w:hideMark/>
          </w:tcPr>
          <w:p w14:paraId="2CAF5BD3" w14:textId="77777777" w:rsidR="007967C8" w:rsidRPr="008C13A2" w:rsidRDefault="007967C8" w:rsidP="008C13A2">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sidRPr="008C13A2">
              <w:rPr>
                <w:rFonts w:ascii="Arial" w:hAnsi="Arial" w:cs="Arial"/>
                <w:sz w:val="20"/>
                <w:szCs w:val="20"/>
              </w:rPr>
              <w:t>3</w:t>
            </w:r>
          </w:p>
        </w:tc>
        <w:tc>
          <w:tcPr>
            <w:tcW w:w="1531" w:type="dxa"/>
            <w:vAlign w:val="center"/>
            <w:hideMark/>
          </w:tcPr>
          <w:p w14:paraId="5E6282EB" w14:textId="77777777" w:rsidR="007967C8" w:rsidRPr="008C13A2" w:rsidRDefault="007967C8" w:rsidP="008C13A2">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sidRPr="008C13A2">
              <w:rPr>
                <w:rFonts w:ascii="Arial" w:hAnsi="Arial" w:cs="Arial"/>
                <w:sz w:val="20"/>
                <w:szCs w:val="20"/>
              </w:rPr>
              <w:t>4</w:t>
            </w:r>
          </w:p>
        </w:tc>
        <w:tc>
          <w:tcPr>
            <w:tcW w:w="974" w:type="dxa"/>
            <w:vAlign w:val="center"/>
            <w:hideMark/>
          </w:tcPr>
          <w:p w14:paraId="04456657" w14:textId="77777777" w:rsidR="007967C8" w:rsidRPr="008C13A2" w:rsidRDefault="007967C8" w:rsidP="008C13A2">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sidRPr="008C13A2">
              <w:rPr>
                <w:rFonts w:ascii="Arial" w:hAnsi="Arial" w:cs="Arial"/>
                <w:sz w:val="20"/>
                <w:szCs w:val="20"/>
              </w:rPr>
              <w:t>14</w:t>
            </w:r>
          </w:p>
        </w:tc>
      </w:tr>
      <w:tr w:rsidR="007967C8" w:rsidRPr="008C13A2" w14:paraId="073EAE7A" w14:textId="77777777" w:rsidTr="00623B3F">
        <w:tc>
          <w:tcPr>
            <w:cnfStyle w:val="001000000000" w:firstRow="0" w:lastRow="0" w:firstColumn="1" w:lastColumn="0" w:oddVBand="0" w:evenVBand="0" w:oddHBand="0" w:evenHBand="0" w:firstRowFirstColumn="0" w:firstRowLastColumn="0" w:lastRowFirstColumn="0" w:lastRowLastColumn="0"/>
            <w:tcW w:w="2547" w:type="dxa"/>
            <w:vAlign w:val="center"/>
            <w:hideMark/>
          </w:tcPr>
          <w:p w14:paraId="739F34B1" w14:textId="77777777" w:rsidR="007967C8" w:rsidRPr="008C13A2" w:rsidRDefault="007967C8" w:rsidP="008C13A2">
            <w:pPr>
              <w:spacing w:line="360" w:lineRule="auto"/>
              <w:rPr>
                <w:rFonts w:ascii="Arial" w:hAnsi="Arial" w:cs="Arial"/>
                <w:sz w:val="20"/>
                <w:szCs w:val="20"/>
              </w:rPr>
            </w:pPr>
            <w:r w:rsidRPr="008C13A2">
              <w:rPr>
                <w:rFonts w:ascii="Arial" w:hAnsi="Arial" w:cs="Arial"/>
                <w:sz w:val="20"/>
                <w:szCs w:val="20"/>
              </w:rPr>
              <w:t>Community consolidation and returns</w:t>
            </w:r>
          </w:p>
        </w:tc>
        <w:tc>
          <w:tcPr>
            <w:tcW w:w="1531" w:type="dxa"/>
            <w:vAlign w:val="center"/>
            <w:hideMark/>
          </w:tcPr>
          <w:p w14:paraId="3DB54D22" w14:textId="77777777" w:rsidR="007967C8" w:rsidRPr="008C13A2" w:rsidRDefault="007967C8" w:rsidP="008C13A2">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8C13A2">
              <w:rPr>
                <w:rFonts w:ascii="Arial" w:hAnsi="Arial" w:cs="Arial"/>
                <w:sz w:val="20"/>
                <w:szCs w:val="20"/>
              </w:rPr>
              <w:t>5</w:t>
            </w:r>
          </w:p>
        </w:tc>
        <w:tc>
          <w:tcPr>
            <w:tcW w:w="1531" w:type="dxa"/>
            <w:vAlign w:val="center"/>
            <w:hideMark/>
          </w:tcPr>
          <w:p w14:paraId="6F5CDB4E" w14:textId="77777777" w:rsidR="007967C8" w:rsidRPr="008C13A2" w:rsidRDefault="007967C8" w:rsidP="008C13A2">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8C13A2">
              <w:rPr>
                <w:rFonts w:ascii="Arial" w:hAnsi="Arial" w:cs="Arial"/>
                <w:sz w:val="20"/>
                <w:szCs w:val="20"/>
              </w:rPr>
              <w:t>4</w:t>
            </w:r>
          </w:p>
        </w:tc>
        <w:tc>
          <w:tcPr>
            <w:tcW w:w="1531" w:type="dxa"/>
            <w:vAlign w:val="center"/>
            <w:hideMark/>
          </w:tcPr>
          <w:p w14:paraId="585623E3" w14:textId="77777777" w:rsidR="007967C8" w:rsidRPr="008C13A2" w:rsidRDefault="007967C8" w:rsidP="008C13A2">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8C13A2">
              <w:rPr>
                <w:rFonts w:ascii="Arial" w:hAnsi="Arial" w:cs="Arial"/>
                <w:sz w:val="20"/>
                <w:szCs w:val="20"/>
              </w:rPr>
              <w:t>4</w:t>
            </w:r>
          </w:p>
        </w:tc>
        <w:tc>
          <w:tcPr>
            <w:tcW w:w="1531" w:type="dxa"/>
            <w:vAlign w:val="center"/>
            <w:hideMark/>
          </w:tcPr>
          <w:p w14:paraId="7BABB286" w14:textId="77777777" w:rsidR="007967C8" w:rsidRPr="008C13A2" w:rsidRDefault="007967C8" w:rsidP="008C13A2">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8C13A2">
              <w:rPr>
                <w:rFonts w:ascii="Arial" w:hAnsi="Arial" w:cs="Arial"/>
                <w:sz w:val="20"/>
                <w:szCs w:val="20"/>
              </w:rPr>
              <w:t>4</w:t>
            </w:r>
          </w:p>
        </w:tc>
        <w:tc>
          <w:tcPr>
            <w:tcW w:w="974" w:type="dxa"/>
            <w:vAlign w:val="center"/>
            <w:hideMark/>
          </w:tcPr>
          <w:p w14:paraId="04ECB093" w14:textId="77777777" w:rsidR="007967C8" w:rsidRPr="008C13A2" w:rsidRDefault="007967C8" w:rsidP="008C13A2">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8C13A2">
              <w:rPr>
                <w:rFonts w:ascii="Arial" w:hAnsi="Arial" w:cs="Arial"/>
                <w:sz w:val="20"/>
                <w:szCs w:val="20"/>
              </w:rPr>
              <w:t>17</w:t>
            </w:r>
          </w:p>
        </w:tc>
      </w:tr>
      <w:tr w:rsidR="007967C8" w:rsidRPr="008C13A2" w14:paraId="43867710" w14:textId="77777777" w:rsidTr="00623B3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547" w:type="dxa"/>
            <w:vAlign w:val="center"/>
            <w:hideMark/>
          </w:tcPr>
          <w:p w14:paraId="0AB84535" w14:textId="77777777" w:rsidR="007967C8" w:rsidRPr="008C13A2" w:rsidRDefault="007967C8" w:rsidP="008C13A2">
            <w:pPr>
              <w:spacing w:line="360" w:lineRule="auto"/>
              <w:rPr>
                <w:rFonts w:ascii="Arial" w:hAnsi="Arial" w:cs="Arial"/>
                <w:sz w:val="20"/>
                <w:szCs w:val="20"/>
              </w:rPr>
            </w:pPr>
            <w:r w:rsidRPr="008C13A2">
              <w:rPr>
                <w:rFonts w:ascii="Arial" w:hAnsi="Arial" w:cs="Arial"/>
                <w:sz w:val="20"/>
                <w:szCs w:val="20"/>
              </w:rPr>
              <w:t>Rural locker network</w:t>
            </w:r>
          </w:p>
        </w:tc>
        <w:tc>
          <w:tcPr>
            <w:tcW w:w="1531" w:type="dxa"/>
            <w:vAlign w:val="center"/>
            <w:hideMark/>
          </w:tcPr>
          <w:p w14:paraId="5A43AF49" w14:textId="77777777" w:rsidR="007967C8" w:rsidRPr="008C13A2" w:rsidRDefault="007967C8" w:rsidP="008C13A2">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sidRPr="008C13A2">
              <w:rPr>
                <w:rFonts w:ascii="Arial" w:hAnsi="Arial" w:cs="Arial"/>
                <w:sz w:val="20"/>
                <w:szCs w:val="20"/>
              </w:rPr>
              <w:t>3</w:t>
            </w:r>
          </w:p>
        </w:tc>
        <w:tc>
          <w:tcPr>
            <w:tcW w:w="1531" w:type="dxa"/>
            <w:vAlign w:val="center"/>
            <w:hideMark/>
          </w:tcPr>
          <w:p w14:paraId="71A863BA" w14:textId="77777777" w:rsidR="007967C8" w:rsidRPr="008C13A2" w:rsidRDefault="007967C8" w:rsidP="008C13A2">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sidRPr="008C13A2">
              <w:rPr>
                <w:rFonts w:ascii="Arial" w:hAnsi="Arial" w:cs="Arial"/>
                <w:sz w:val="20"/>
                <w:szCs w:val="20"/>
              </w:rPr>
              <w:t>2</w:t>
            </w:r>
          </w:p>
        </w:tc>
        <w:tc>
          <w:tcPr>
            <w:tcW w:w="1531" w:type="dxa"/>
            <w:vAlign w:val="center"/>
            <w:hideMark/>
          </w:tcPr>
          <w:p w14:paraId="6406B919" w14:textId="77777777" w:rsidR="007967C8" w:rsidRPr="008C13A2" w:rsidRDefault="007967C8" w:rsidP="008C13A2">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sidRPr="008C13A2">
              <w:rPr>
                <w:rFonts w:ascii="Arial" w:hAnsi="Arial" w:cs="Arial"/>
                <w:sz w:val="20"/>
                <w:szCs w:val="20"/>
              </w:rPr>
              <w:t>3</w:t>
            </w:r>
          </w:p>
        </w:tc>
        <w:tc>
          <w:tcPr>
            <w:tcW w:w="1531" w:type="dxa"/>
            <w:vAlign w:val="center"/>
            <w:hideMark/>
          </w:tcPr>
          <w:p w14:paraId="70F7EEE3" w14:textId="77777777" w:rsidR="007967C8" w:rsidRPr="008C13A2" w:rsidRDefault="007967C8" w:rsidP="008C13A2">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sidRPr="008C13A2">
              <w:rPr>
                <w:rFonts w:ascii="Arial" w:hAnsi="Arial" w:cs="Arial"/>
                <w:sz w:val="20"/>
                <w:szCs w:val="20"/>
              </w:rPr>
              <w:t>4</w:t>
            </w:r>
          </w:p>
        </w:tc>
        <w:tc>
          <w:tcPr>
            <w:tcW w:w="974" w:type="dxa"/>
            <w:vAlign w:val="center"/>
            <w:hideMark/>
          </w:tcPr>
          <w:p w14:paraId="72946F80" w14:textId="77777777" w:rsidR="007967C8" w:rsidRPr="008C13A2" w:rsidRDefault="007967C8" w:rsidP="008C13A2">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sidRPr="008C13A2">
              <w:rPr>
                <w:rFonts w:ascii="Arial" w:hAnsi="Arial" w:cs="Arial"/>
                <w:sz w:val="20"/>
                <w:szCs w:val="20"/>
              </w:rPr>
              <w:t>12</w:t>
            </w:r>
          </w:p>
        </w:tc>
      </w:tr>
    </w:tbl>
    <w:p w14:paraId="17B71B3E" w14:textId="77777777" w:rsidR="007967C8" w:rsidRPr="008C13A2" w:rsidRDefault="007967C8" w:rsidP="008C13A2">
      <w:pPr>
        <w:spacing w:line="360" w:lineRule="auto"/>
        <w:rPr>
          <w:rFonts w:ascii="Arial" w:hAnsi="Arial" w:cs="Arial"/>
          <w:b/>
          <w:bCs/>
          <w:sz w:val="22"/>
          <w:szCs w:val="22"/>
        </w:rPr>
      </w:pPr>
    </w:p>
    <w:p w14:paraId="3E772367" w14:textId="77777777" w:rsidR="00902F80" w:rsidRDefault="00A16027" w:rsidP="00902F80">
      <w:pPr>
        <w:spacing w:line="360" w:lineRule="auto"/>
        <w:rPr>
          <w:rFonts w:ascii="Arial" w:hAnsi="Arial" w:cs="Arial"/>
          <w:sz w:val="22"/>
          <w:szCs w:val="22"/>
        </w:rPr>
      </w:pPr>
      <w:r w:rsidRPr="008C13A2">
        <w:rPr>
          <w:rFonts w:ascii="Arial" w:hAnsi="Arial" w:cs="Arial"/>
          <w:b/>
          <w:bCs/>
          <w:sz w:val="22"/>
          <w:szCs w:val="22"/>
        </w:rPr>
        <w:t>Table 2. DFV/S assessment of shortlisted venture concepts.</w:t>
      </w:r>
      <w:r w:rsidRPr="008C13A2">
        <w:rPr>
          <w:rFonts w:ascii="Arial" w:hAnsi="Arial" w:cs="Arial"/>
          <w:b/>
          <w:bCs/>
          <w:sz w:val="22"/>
          <w:szCs w:val="22"/>
        </w:rPr>
        <w:br/>
      </w:r>
      <w:r w:rsidRPr="008C13A2">
        <w:rPr>
          <w:rFonts w:ascii="Arial" w:hAnsi="Arial" w:cs="Arial"/>
          <w:sz w:val="22"/>
          <w:szCs w:val="22"/>
        </w:rPr>
        <w:t>Source: Author’s own assessment, informed by Brown (2019) and Baldassarre et al. (2024).</w:t>
      </w:r>
    </w:p>
    <w:p w14:paraId="4336056D" w14:textId="77777777" w:rsidR="00902F80" w:rsidRDefault="00902F80" w:rsidP="00902F80">
      <w:pPr>
        <w:spacing w:line="360" w:lineRule="auto"/>
        <w:rPr>
          <w:rFonts w:ascii="Arial" w:hAnsi="Arial" w:cs="Arial"/>
          <w:sz w:val="22"/>
          <w:szCs w:val="22"/>
        </w:rPr>
      </w:pPr>
    </w:p>
    <w:p w14:paraId="1CD8DE33" w14:textId="7B95F71D" w:rsidR="00555C29" w:rsidRPr="00902F80" w:rsidRDefault="00555C29" w:rsidP="00902F80">
      <w:pPr>
        <w:spacing w:line="360" w:lineRule="auto"/>
        <w:rPr>
          <w:rFonts w:ascii="Arial" w:hAnsi="Arial" w:cs="Arial"/>
          <w:b/>
          <w:bCs/>
          <w:sz w:val="22"/>
          <w:szCs w:val="22"/>
        </w:rPr>
      </w:pPr>
      <w:r w:rsidRPr="00555C29">
        <w:rPr>
          <w:rFonts w:ascii="Arial" w:eastAsiaTheme="majorEastAsia" w:hAnsi="Arial" w:cs="Arial"/>
          <w:sz w:val="22"/>
          <w:szCs w:val="22"/>
        </w:rPr>
        <w:t xml:space="preserve">Community consolidation and returns scores highest because it addresses several journey pain points using existing venues and carrier networks. Its desirability score reflects its support for both </w:t>
      </w:r>
      <w:r w:rsidRPr="00555C29">
        <w:rPr>
          <w:rFonts w:ascii="Arial" w:eastAsiaTheme="majorEastAsia" w:hAnsi="Arial" w:cs="Arial"/>
          <w:sz w:val="22"/>
          <w:szCs w:val="22"/>
        </w:rPr>
        <w:lastRenderedPageBreak/>
        <w:t>dispatch and returns. Feasibility and viability receive four because partnership agreements, storage capacity and sufficient parcel density remain unproven. Sustainability also receives four because fewer carrier stops may be offset by additional retailer journeys.</w:t>
      </w:r>
    </w:p>
    <w:p w14:paraId="46D11BAD" w14:textId="77777777" w:rsidR="00555C29" w:rsidRPr="00555C29" w:rsidRDefault="00555C29" w:rsidP="00555C29">
      <w:pPr>
        <w:pStyle w:val="Heading2"/>
        <w:spacing w:line="360" w:lineRule="auto"/>
        <w:rPr>
          <w:rFonts w:ascii="Arial" w:hAnsi="Arial" w:cs="Arial"/>
          <w:color w:val="auto"/>
          <w:sz w:val="22"/>
          <w:szCs w:val="22"/>
        </w:rPr>
      </w:pPr>
      <w:r w:rsidRPr="00555C29">
        <w:rPr>
          <w:rFonts w:ascii="Arial" w:hAnsi="Arial" w:cs="Arial"/>
          <w:color w:val="auto"/>
          <w:sz w:val="22"/>
          <w:szCs w:val="22"/>
        </w:rPr>
        <w:t>Although parcel shops, lockers, business collections and multi-carrier platforms already exist, the proposed venture offers a differentiated configuration. It combines pooled parcel dispatch and returns, digital coordination, scheduled carrier collection and existing community venues specifically for low-volume rural micro-retailers. Its innovation therefore lies in integrating established components around an underserved market rather than inventing an entirely new technology.</w:t>
      </w:r>
    </w:p>
    <w:p w14:paraId="63A39C0C" w14:textId="16A6700F" w:rsidR="00F527F6" w:rsidRDefault="00555C29" w:rsidP="009C7B69">
      <w:pPr>
        <w:pStyle w:val="Heading2"/>
        <w:spacing w:line="360" w:lineRule="auto"/>
        <w:rPr>
          <w:rFonts w:ascii="Arial" w:hAnsi="Arial" w:cs="Arial"/>
          <w:color w:val="auto"/>
          <w:sz w:val="22"/>
          <w:szCs w:val="22"/>
        </w:rPr>
      </w:pPr>
      <w:r w:rsidRPr="00555C29">
        <w:rPr>
          <w:rFonts w:ascii="Arial" w:hAnsi="Arial" w:cs="Arial"/>
          <w:color w:val="auto"/>
          <w:sz w:val="22"/>
          <w:szCs w:val="22"/>
        </w:rPr>
        <w:t xml:space="preserve">The concept is mainly an architectural innovation because it combines established components in a new rural SME-focused system. </w:t>
      </w:r>
      <w:r w:rsidR="00F527F6" w:rsidRPr="00F527F6">
        <w:rPr>
          <w:rFonts w:ascii="Arial" w:hAnsi="Arial" w:cs="Arial"/>
          <w:color w:val="auto"/>
          <w:sz w:val="22"/>
          <w:szCs w:val="22"/>
        </w:rPr>
        <w:t>Shared payments also introduce business-model innovation, while cooperation with existing carriers means the concept is neither radical nor disruptive.</w:t>
      </w:r>
    </w:p>
    <w:p w14:paraId="11075121" w14:textId="3329BF7B" w:rsidR="009C7B69" w:rsidRPr="009C7B69" w:rsidRDefault="009C7B69" w:rsidP="009C7B69">
      <w:pPr>
        <w:pStyle w:val="Heading2"/>
        <w:spacing w:line="360" w:lineRule="auto"/>
        <w:rPr>
          <w:rFonts w:ascii="Arial" w:hAnsi="Arial" w:cs="Arial"/>
          <w:color w:val="auto"/>
          <w:sz w:val="22"/>
          <w:szCs w:val="22"/>
        </w:rPr>
      </w:pPr>
      <w:r w:rsidRPr="009C7B69">
        <w:rPr>
          <w:rFonts w:ascii="Arial" w:hAnsi="Arial" w:cs="Arial"/>
          <w:color w:val="auto"/>
          <w:sz w:val="22"/>
          <w:szCs w:val="22"/>
        </w:rPr>
        <w:t>The assessment is limited by equal weighting, secondary evidence and author judgement. As stakeholders may prioritise different criteria, the scores should be reviewed after interviews. The table is therefore a decision aid rather than an objective calculation.</w:t>
      </w:r>
    </w:p>
    <w:p w14:paraId="20C8B3FB" w14:textId="6ADDE430" w:rsidR="002C5816" w:rsidRPr="008C13A2" w:rsidRDefault="002C5816" w:rsidP="008C13A2">
      <w:pPr>
        <w:pStyle w:val="Heading2"/>
        <w:spacing w:line="360" w:lineRule="auto"/>
        <w:rPr>
          <w:rFonts w:ascii="Arial" w:hAnsi="Arial" w:cs="Arial"/>
          <w:b/>
          <w:bCs/>
          <w:color w:val="auto"/>
          <w:sz w:val="22"/>
          <w:szCs w:val="22"/>
        </w:rPr>
      </w:pPr>
      <w:r w:rsidRPr="008C13A2">
        <w:rPr>
          <w:rFonts w:ascii="Arial" w:hAnsi="Arial" w:cs="Arial"/>
          <w:b/>
          <w:bCs/>
          <w:color w:val="auto"/>
          <w:sz w:val="22"/>
          <w:szCs w:val="22"/>
        </w:rPr>
        <w:t>9. Prototype: The MVP</w:t>
      </w:r>
    </w:p>
    <w:p w14:paraId="4EAD73D5" w14:textId="77777777" w:rsidR="002C5816" w:rsidRPr="008C13A2" w:rsidRDefault="002C5816" w:rsidP="008C13A2">
      <w:pPr>
        <w:pStyle w:val="NormalWeb"/>
        <w:spacing w:line="360" w:lineRule="auto"/>
        <w:rPr>
          <w:rFonts w:ascii="Arial" w:hAnsi="Arial" w:cs="Arial"/>
          <w:sz w:val="22"/>
          <w:szCs w:val="22"/>
        </w:rPr>
      </w:pPr>
      <w:r w:rsidRPr="008C13A2">
        <w:rPr>
          <w:rFonts w:ascii="Arial" w:hAnsi="Arial" w:cs="Arial"/>
          <w:sz w:val="22"/>
          <w:szCs w:val="22"/>
        </w:rPr>
        <w:t>The MVP would be a four-week pilot involving one community venue, Royal Mail, 10–20 retailers and two or three weekly collections. This is a limited but tangible offer used with external users to learn through experimentation (Stevenson, Burnell and Fisher, 2024).</w:t>
      </w:r>
    </w:p>
    <w:p w14:paraId="6F418F70" w14:textId="77777777" w:rsidR="002C5816" w:rsidRPr="008C13A2" w:rsidRDefault="002C5816" w:rsidP="008C13A2">
      <w:pPr>
        <w:pStyle w:val="NormalWeb"/>
        <w:spacing w:line="360" w:lineRule="auto"/>
        <w:rPr>
          <w:rFonts w:ascii="Arial" w:hAnsi="Arial" w:cs="Arial"/>
          <w:sz w:val="22"/>
          <w:szCs w:val="22"/>
        </w:rPr>
      </w:pPr>
      <w:r w:rsidRPr="008C13A2">
        <w:rPr>
          <w:rFonts w:ascii="Arial" w:hAnsi="Arial" w:cs="Arial"/>
          <w:sz w:val="22"/>
          <w:szCs w:val="22"/>
        </w:rPr>
        <w:t>The digital interface would provide registration, parcel or return booking, a QR code, venue check-in, collection confirmation and a link to carrier tracking. Scheduling and venue records could be managed manually behind the interface. This concierge approach tests whether retailers use and value the service before money is spent on AI, proprietary tracking, lockers or a vehicle fleet.</w:t>
      </w:r>
    </w:p>
    <w:p w14:paraId="09C01BFF" w14:textId="56910009" w:rsidR="00647E5F" w:rsidRPr="008C13A2" w:rsidRDefault="00647E5F" w:rsidP="008C13A2">
      <w:pPr>
        <w:pStyle w:val="NormalWeb"/>
        <w:spacing w:line="360" w:lineRule="auto"/>
        <w:rPr>
          <w:rFonts w:ascii="Arial" w:hAnsi="Arial" w:cs="Arial"/>
          <w:sz w:val="22"/>
          <w:szCs w:val="22"/>
        </w:rPr>
      </w:pPr>
      <w:r w:rsidRPr="008C13A2">
        <w:rPr>
          <w:rFonts w:ascii="Arial" w:hAnsi="Arial" w:cs="Arial"/>
          <w:sz w:val="22"/>
          <w:szCs w:val="22"/>
        </w:rPr>
        <w:t>During the pilot, a retailer would register, enter basic parcel information and receive a QR code. Venue staff would scan the code, confirm acceptance and place the parcel in secure temporary storage. Royal Mail would collect the consolidated parcels at the agreed time, after which the retailer would receive confirmation and access normal carrier tracking. Returns would follow the same basic process in reverse. Mapping this service sequence would help identify waiting points, data failures and unclear responsibilities before more advanced software was developed.</w:t>
      </w:r>
    </w:p>
    <w:p w14:paraId="51DEBD3A" w14:textId="042C8F50" w:rsidR="00411D06" w:rsidRPr="008775CD" w:rsidRDefault="002C5816" w:rsidP="008C13A2">
      <w:pPr>
        <w:pStyle w:val="NormalWeb"/>
        <w:spacing w:line="360" w:lineRule="auto"/>
        <w:rPr>
          <w:rFonts w:ascii="Arial" w:hAnsi="Arial" w:cs="Arial"/>
          <w:sz w:val="22"/>
          <w:szCs w:val="22"/>
        </w:rPr>
      </w:pPr>
      <w:r w:rsidRPr="008C13A2">
        <w:rPr>
          <w:rFonts w:ascii="Arial" w:hAnsi="Arial" w:cs="Arial"/>
          <w:sz w:val="22"/>
          <w:szCs w:val="22"/>
        </w:rPr>
        <w:t>The venue would need suitable opening hours, secure temporary storage and clear rules for damaged, prohibited or uncollected items. It should be chosen by actual retailer travel patterns rather than footfall alone. Only the minimum customer information needed for parcel transfer should be shown to venue staff.</w:t>
      </w:r>
    </w:p>
    <w:p w14:paraId="6CC0DA5C" w14:textId="388E9B0B" w:rsidR="00393E54" w:rsidRPr="008C13A2" w:rsidRDefault="002C5816" w:rsidP="008C13A2">
      <w:pPr>
        <w:pStyle w:val="NormalWeb"/>
        <w:spacing w:line="360" w:lineRule="auto"/>
        <w:rPr>
          <w:rFonts w:ascii="Arial" w:hAnsi="Arial" w:cs="Arial"/>
          <w:b/>
          <w:bCs/>
          <w:sz w:val="22"/>
          <w:szCs w:val="22"/>
        </w:rPr>
      </w:pPr>
      <w:r w:rsidRPr="008C13A2">
        <w:rPr>
          <w:rFonts w:ascii="Arial" w:hAnsi="Arial" w:cs="Arial"/>
          <w:b/>
          <w:bCs/>
          <w:sz w:val="22"/>
          <w:szCs w:val="22"/>
        </w:rPr>
        <w:lastRenderedPageBreak/>
        <w:t>10. Test and Refine</w:t>
      </w:r>
    </w:p>
    <w:p w14:paraId="36183FDE" w14:textId="77777777" w:rsidR="00DA4BC8" w:rsidRPr="008C13A2" w:rsidRDefault="00DA4BC8" w:rsidP="008C13A2">
      <w:pPr>
        <w:pStyle w:val="NormalWeb"/>
        <w:spacing w:line="360" w:lineRule="auto"/>
        <w:rPr>
          <w:rFonts w:ascii="Arial" w:hAnsi="Arial" w:cs="Arial"/>
          <w:sz w:val="22"/>
          <w:szCs w:val="22"/>
        </w:rPr>
      </w:pPr>
      <w:r w:rsidRPr="008C13A2">
        <w:rPr>
          <w:rFonts w:ascii="Arial" w:hAnsi="Arial" w:cs="Arial"/>
          <w:sz w:val="22"/>
          <w:szCs w:val="22"/>
        </w:rPr>
        <w:t>The Test stage examines actual use, value and operational reliability. Platform data would measure bookings, repeat use and handovers, while interviews and journey diaries would explain adoption or rejection. Findings may require the prototype or problem definition to be revised.</w:t>
      </w:r>
    </w:p>
    <w:p w14:paraId="77573C30" w14:textId="7784A0C3" w:rsidR="00393E54" w:rsidRPr="008C13A2" w:rsidRDefault="00393E54" w:rsidP="008C13A2">
      <w:pPr>
        <w:pStyle w:val="NormalWeb"/>
        <w:spacing w:line="360" w:lineRule="auto"/>
        <w:rPr>
          <w:rFonts w:ascii="Arial" w:hAnsi="Arial" w:cs="Arial"/>
          <w:sz w:val="22"/>
          <w:szCs w:val="22"/>
        </w:rPr>
      </w:pPr>
      <w:r w:rsidRPr="008C13A2">
        <w:rPr>
          <w:rFonts w:ascii="Arial" w:hAnsi="Arial" w:cs="Arial"/>
          <w:b/>
          <w:bCs/>
          <w:sz w:val="22"/>
          <w:szCs w:val="22"/>
        </w:rPr>
        <w:t>10.1 Behavioural and Operational Testing</w:t>
      </w:r>
    </w:p>
    <w:p w14:paraId="7ED5CDA8" w14:textId="77777777" w:rsidR="00720580" w:rsidRPr="008C13A2" w:rsidRDefault="00720580" w:rsidP="008C13A2">
      <w:pPr>
        <w:pStyle w:val="Heading3"/>
        <w:spacing w:after="0" w:line="360" w:lineRule="auto"/>
        <w:rPr>
          <w:rFonts w:ascii="Arial" w:eastAsia="Times New Roman" w:hAnsi="Arial" w:cs="Arial"/>
          <w:color w:val="auto"/>
          <w:sz w:val="22"/>
          <w:szCs w:val="22"/>
        </w:rPr>
      </w:pPr>
      <w:r w:rsidRPr="008C13A2">
        <w:rPr>
          <w:rFonts w:ascii="Arial" w:eastAsia="Times New Roman" w:hAnsi="Arial" w:cs="Arial"/>
          <w:color w:val="auto"/>
          <w:sz w:val="22"/>
          <w:szCs w:val="22"/>
        </w:rPr>
        <w:t>Table 3 links each assumption to a measure, provisional success level and response.</w:t>
      </w:r>
    </w:p>
    <w:p w14:paraId="4FE43185" w14:textId="4CB5BA7B" w:rsidR="008C0D16" w:rsidRPr="008C13A2" w:rsidRDefault="00393E54" w:rsidP="008C13A2">
      <w:pPr>
        <w:pStyle w:val="Heading3"/>
        <w:spacing w:after="0" w:line="360" w:lineRule="auto"/>
        <w:rPr>
          <w:rFonts w:ascii="Arial" w:hAnsi="Arial" w:cs="Arial"/>
          <w:b/>
          <w:bCs/>
          <w:color w:val="auto"/>
          <w:sz w:val="22"/>
          <w:szCs w:val="22"/>
        </w:rPr>
      </w:pPr>
      <w:r w:rsidRPr="008C13A2">
        <w:rPr>
          <w:rFonts w:ascii="Arial" w:hAnsi="Arial" w:cs="Arial"/>
          <w:b/>
          <w:bCs/>
          <w:color w:val="auto"/>
          <w:sz w:val="22"/>
          <w:szCs w:val="22"/>
        </w:rPr>
        <w:t>Table 3. MVP testing plan</w:t>
      </w:r>
      <w:r w:rsidR="00732A87" w:rsidRPr="008C13A2">
        <w:rPr>
          <w:rFonts w:ascii="Arial" w:hAnsi="Arial" w:cs="Arial"/>
          <w:b/>
          <w:bCs/>
          <w:color w:val="auto"/>
          <w:sz w:val="22"/>
          <w:szCs w:val="22"/>
        </w:rPr>
        <w:t xml:space="preserve"> </w:t>
      </w:r>
      <w:r w:rsidRPr="008C13A2">
        <w:rPr>
          <w:rFonts w:ascii="Arial" w:hAnsi="Arial" w:cs="Arial"/>
          <w:b/>
          <w:bCs/>
          <w:color w:val="auto"/>
          <w:sz w:val="22"/>
          <w:szCs w:val="22"/>
        </w:rPr>
        <w:t>and provisional success criteria</w:t>
      </w:r>
    </w:p>
    <w:tbl>
      <w:tblPr>
        <w:tblStyle w:val="GridTable4-Accent3"/>
        <w:tblW w:w="0" w:type="auto"/>
        <w:tblLook w:val="04A0" w:firstRow="1" w:lastRow="0" w:firstColumn="1" w:lastColumn="0" w:noHBand="0" w:noVBand="1"/>
      </w:tblPr>
      <w:tblGrid>
        <w:gridCol w:w="2247"/>
        <w:gridCol w:w="2162"/>
        <w:gridCol w:w="2282"/>
        <w:gridCol w:w="3051"/>
      </w:tblGrid>
      <w:tr w:rsidR="00732A87" w:rsidRPr="008C13A2" w14:paraId="299D27EC" w14:textId="77777777" w:rsidTr="00732A87">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33AB53A4" w14:textId="77777777" w:rsidR="00732A87" w:rsidRPr="008C13A2" w:rsidRDefault="00732A87" w:rsidP="008C13A2">
            <w:pPr>
              <w:spacing w:line="360" w:lineRule="auto"/>
              <w:jc w:val="center"/>
              <w:rPr>
                <w:rFonts w:ascii="Arial" w:hAnsi="Arial" w:cs="Arial"/>
                <w:sz w:val="21"/>
                <w:szCs w:val="21"/>
              </w:rPr>
            </w:pPr>
            <w:r w:rsidRPr="008C13A2">
              <w:rPr>
                <w:rFonts w:ascii="Arial" w:hAnsi="Arial" w:cs="Arial"/>
                <w:sz w:val="21"/>
                <w:szCs w:val="21"/>
              </w:rPr>
              <w:t>Assumption</w:t>
            </w:r>
          </w:p>
        </w:tc>
        <w:tc>
          <w:tcPr>
            <w:tcW w:w="0" w:type="auto"/>
            <w:vAlign w:val="center"/>
            <w:hideMark/>
          </w:tcPr>
          <w:p w14:paraId="4EB48DD3" w14:textId="77777777" w:rsidR="00732A87" w:rsidRPr="008C13A2" w:rsidRDefault="00732A87" w:rsidP="008C13A2">
            <w:pPr>
              <w:spacing w:line="360" w:lineRule="auto"/>
              <w:jc w:val="center"/>
              <w:cnfStyle w:val="100000000000" w:firstRow="1" w:lastRow="0" w:firstColumn="0" w:lastColumn="0" w:oddVBand="0" w:evenVBand="0" w:oddHBand="0" w:evenHBand="0" w:firstRowFirstColumn="0" w:firstRowLastColumn="0" w:lastRowFirstColumn="0" w:lastRowLastColumn="0"/>
              <w:rPr>
                <w:rFonts w:ascii="Arial" w:hAnsi="Arial" w:cs="Arial"/>
                <w:sz w:val="21"/>
                <w:szCs w:val="21"/>
              </w:rPr>
            </w:pPr>
            <w:r w:rsidRPr="008C13A2">
              <w:rPr>
                <w:rFonts w:ascii="Arial" w:hAnsi="Arial" w:cs="Arial"/>
                <w:sz w:val="21"/>
                <w:szCs w:val="21"/>
              </w:rPr>
              <w:t>Measure</w:t>
            </w:r>
          </w:p>
        </w:tc>
        <w:tc>
          <w:tcPr>
            <w:tcW w:w="0" w:type="auto"/>
            <w:vAlign w:val="center"/>
            <w:hideMark/>
          </w:tcPr>
          <w:p w14:paraId="7FB1A9EC" w14:textId="77777777" w:rsidR="00732A87" w:rsidRPr="008C13A2" w:rsidRDefault="00732A87" w:rsidP="008C13A2">
            <w:pPr>
              <w:spacing w:line="360" w:lineRule="auto"/>
              <w:jc w:val="center"/>
              <w:cnfStyle w:val="100000000000" w:firstRow="1" w:lastRow="0" w:firstColumn="0" w:lastColumn="0" w:oddVBand="0" w:evenVBand="0" w:oddHBand="0" w:evenHBand="0" w:firstRowFirstColumn="0" w:firstRowLastColumn="0" w:lastRowFirstColumn="0" w:lastRowLastColumn="0"/>
              <w:rPr>
                <w:rFonts w:ascii="Arial" w:hAnsi="Arial" w:cs="Arial"/>
                <w:sz w:val="21"/>
                <w:szCs w:val="21"/>
              </w:rPr>
            </w:pPr>
            <w:r w:rsidRPr="008C13A2">
              <w:rPr>
                <w:rFonts w:ascii="Arial" w:hAnsi="Arial" w:cs="Arial"/>
                <w:sz w:val="21"/>
                <w:szCs w:val="21"/>
              </w:rPr>
              <w:t>Provisional success level</w:t>
            </w:r>
          </w:p>
        </w:tc>
        <w:tc>
          <w:tcPr>
            <w:tcW w:w="0" w:type="auto"/>
            <w:vAlign w:val="center"/>
            <w:hideMark/>
          </w:tcPr>
          <w:p w14:paraId="5DD0AD81" w14:textId="77777777" w:rsidR="00732A87" w:rsidRPr="008C13A2" w:rsidRDefault="00732A87" w:rsidP="008C13A2">
            <w:pPr>
              <w:spacing w:line="360" w:lineRule="auto"/>
              <w:jc w:val="center"/>
              <w:cnfStyle w:val="100000000000" w:firstRow="1" w:lastRow="0" w:firstColumn="0" w:lastColumn="0" w:oddVBand="0" w:evenVBand="0" w:oddHBand="0" w:evenHBand="0" w:firstRowFirstColumn="0" w:firstRowLastColumn="0" w:lastRowFirstColumn="0" w:lastRowLastColumn="0"/>
              <w:rPr>
                <w:rFonts w:ascii="Arial" w:hAnsi="Arial" w:cs="Arial"/>
                <w:sz w:val="21"/>
                <w:szCs w:val="21"/>
              </w:rPr>
            </w:pPr>
            <w:r w:rsidRPr="008C13A2">
              <w:rPr>
                <w:rFonts w:ascii="Arial" w:hAnsi="Arial" w:cs="Arial"/>
                <w:sz w:val="21"/>
                <w:szCs w:val="21"/>
              </w:rPr>
              <w:t>Response if unsupported</w:t>
            </w:r>
          </w:p>
        </w:tc>
      </w:tr>
      <w:tr w:rsidR="00732A87" w:rsidRPr="008C13A2" w14:paraId="4180A86A" w14:textId="77777777" w:rsidTr="00732A8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0D115E75" w14:textId="77777777" w:rsidR="00732A87" w:rsidRPr="008C13A2" w:rsidRDefault="00732A87" w:rsidP="008C13A2">
            <w:pPr>
              <w:spacing w:line="360" w:lineRule="auto"/>
              <w:rPr>
                <w:rFonts w:ascii="Arial" w:hAnsi="Arial" w:cs="Arial"/>
                <w:sz w:val="21"/>
                <w:szCs w:val="21"/>
              </w:rPr>
            </w:pPr>
            <w:r w:rsidRPr="008C13A2">
              <w:rPr>
                <w:rFonts w:ascii="Arial" w:hAnsi="Arial" w:cs="Arial"/>
                <w:sz w:val="21"/>
                <w:szCs w:val="21"/>
              </w:rPr>
              <w:t>Retailers will use the service</w:t>
            </w:r>
          </w:p>
        </w:tc>
        <w:tc>
          <w:tcPr>
            <w:tcW w:w="0" w:type="auto"/>
            <w:vAlign w:val="center"/>
            <w:hideMark/>
          </w:tcPr>
          <w:p w14:paraId="6E615A2F" w14:textId="77777777" w:rsidR="00732A87" w:rsidRPr="008C13A2" w:rsidRDefault="00732A87" w:rsidP="008C13A2">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1"/>
                <w:szCs w:val="21"/>
              </w:rPr>
            </w:pPr>
            <w:r w:rsidRPr="008C13A2">
              <w:rPr>
                <w:rFonts w:ascii="Arial" w:hAnsi="Arial" w:cs="Arial"/>
                <w:sz w:val="21"/>
                <w:szCs w:val="21"/>
              </w:rPr>
              <w:t>Repeat users</w:t>
            </w:r>
          </w:p>
        </w:tc>
        <w:tc>
          <w:tcPr>
            <w:tcW w:w="0" w:type="auto"/>
            <w:vAlign w:val="center"/>
            <w:hideMark/>
          </w:tcPr>
          <w:p w14:paraId="27CDB94F" w14:textId="77777777" w:rsidR="00732A87" w:rsidRPr="008C13A2" w:rsidRDefault="00732A87" w:rsidP="008C13A2">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1"/>
                <w:szCs w:val="21"/>
              </w:rPr>
            </w:pPr>
            <w:r w:rsidRPr="008C13A2">
              <w:rPr>
                <w:rFonts w:ascii="Arial" w:hAnsi="Arial" w:cs="Arial"/>
                <w:sz w:val="21"/>
                <w:szCs w:val="21"/>
              </w:rPr>
              <w:t>60% use it at least twice</w:t>
            </w:r>
          </w:p>
        </w:tc>
        <w:tc>
          <w:tcPr>
            <w:tcW w:w="0" w:type="auto"/>
            <w:vAlign w:val="center"/>
            <w:hideMark/>
          </w:tcPr>
          <w:p w14:paraId="1A4AC552" w14:textId="77777777" w:rsidR="00732A87" w:rsidRPr="008C13A2" w:rsidRDefault="00732A87" w:rsidP="008C13A2">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1"/>
                <w:szCs w:val="21"/>
              </w:rPr>
            </w:pPr>
            <w:r w:rsidRPr="008C13A2">
              <w:rPr>
                <w:rFonts w:ascii="Arial" w:hAnsi="Arial" w:cs="Arial"/>
                <w:sz w:val="21"/>
                <w:szCs w:val="21"/>
              </w:rPr>
              <w:t>Change the location, schedule or onboarding</w:t>
            </w:r>
          </w:p>
        </w:tc>
      </w:tr>
      <w:tr w:rsidR="00732A87" w:rsidRPr="008C13A2" w14:paraId="137DB041" w14:textId="77777777" w:rsidTr="00732A87">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7FC9CB3D" w14:textId="77777777" w:rsidR="00732A87" w:rsidRPr="008C13A2" w:rsidRDefault="00732A87" w:rsidP="008C13A2">
            <w:pPr>
              <w:spacing w:line="360" w:lineRule="auto"/>
              <w:rPr>
                <w:rFonts w:ascii="Arial" w:hAnsi="Arial" w:cs="Arial"/>
                <w:sz w:val="21"/>
                <w:szCs w:val="21"/>
              </w:rPr>
            </w:pPr>
            <w:r w:rsidRPr="008C13A2">
              <w:rPr>
                <w:rFonts w:ascii="Arial" w:hAnsi="Arial" w:cs="Arial"/>
                <w:sz w:val="21"/>
                <w:szCs w:val="21"/>
              </w:rPr>
              <w:t>Volume supports collection</w:t>
            </w:r>
          </w:p>
        </w:tc>
        <w:tc>
          <w:tcPr>
            <w:tcW w:w="0" w:type="auto"/>
            <w:vAlign w:val="center"/>
            <w:hideMark/>
          </w:tcPr>
          <w:p w14:paraId="7B86D01A" w14:textId="77777777" w:rsidR="00732A87" w:rsidRPr="008C13A2" w:rsidRDefault="00732A87" w:rsidP="008C13A2">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1"/>
                <w:szCs w:val="21"/>
              </w:rPr>
            </w:pPr>
            <w:r w:rsidRPr="008C13A2">
              <w:rPr>
                <w:rFonts w:ascii="Arial" w:hAnsi="Arial" w:cs="Arial"/>
                <w:sz w:val="21"/>
                <w:szCs w:val="21"/>
              </w:rPr>
              <w:t>Parcels per collection</w:t>
            </w:r>
          </w:p>
        </w:tc>
        <w:tc>
          <w:tcPr>
            <w:tcW w:w="0" w:type="auto"/>
            <w:vAlign w:val="center"/>
            <w:hideMark/>
          </w:tcPr>
          <w:p w14:paraId="7DEA79B1" w14:textId="77777777" w:rsidR="00732A87" w:rsidRPr="008C13A2" w:rsidRDefault="00732A87" w:rsidP="008C13A2">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1"/>
                <w:szCs w:val="21"/>
              </w:rPr>
            </w:pPr>
            <w:r w:rsidRPr="008C13A2">
              <w:rPr>
                <w:rFonts w:ascii="Arial" w:hAnsi="Arial" w:cs="Arial"/>
                <w:sz w:val="21"/>
                <w:szCs w:val="21"/>
              </w:rPr>
              <w:t>25 parcels from at least five retailers</w:t>
            </w:r>
          </w:p>
        </w:tc>
        <w:tc>
          <w:tcPr>
            <w:tcW w:w="0" w:type="auto"/>
            <w:vAlign w:val="center"/>
            <w:hideMark/>
          </w:tcPr>
          <w:p w14:paraId="274B6C12" w14:textId="77777777" w:rsidR="00732A87" w:rsidRPr="008C13A2" w:rsidRDefault="00732A87" w:rsidP="008C13A2">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1"/>
                <w:szCs w:val="21"/>
              </w:rPr>
            </w:pPr>
            <w:r w:rsidRPr="008C13A2">
              <w:rPr>
                <w:rFonts w:ascii="Arial" w:hAnsi="Arial" w:cs="Arial"/>
                <w:sz w:val="21"/>
                <w:szCs w:val="21"/>
              </w:rPr>
              <w:t>Reduce collection frequency or expand the catchment</w:t>
            </w:r>
          </w:p>
        </w:tc>
      </w:tr>
      <w:tr w:rsidR="00732A87" w:rsidRPr="008C13A2" w14:paraId="0A438AEF" w14:textId="77777777" w:rsidTr="00732A8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57DF6C8D" w14:textId="77777777" w:rsidR="00732A87" w:rsidRPr="008C13A2" w:rsidRDefault="00732A87" w:rsidP="008C13A2">
            <w:pPr>
              <w:spacing w:line="360" w:lineRule="auto"/>
              <w:rPr>
                <w:rFonts w:ascii="Arial" w:hAnsi="Arial" w:cs="Arial"/>
                <w:sz w:val="21"/>
                <w:szCs w:val="21"/>
              </w:rPr>
            </w:pPr>
            <w:r w:rsidRPr="008C13A2">
              <w:rPr>
                <w:rFonts w:ascii="Arial" w:hAnsi="Arial" w:cs="Arial"/>
                <w:sz w:val="21"/>
                <w:szCs w:val="21"/>
              </w:rPr>
              <w:t>The service saves time or travel</w:t>
            </w:r>
          </w:p>
        </w:tc>
        <w:tc>
          <w:tcPr>
            <w:tcW w:w="0" w:type="auto"/>
            <w:vAlign w:val="center"/>
            <w:hideMark/>
          </w:tcPr>
          <w:p w14:paraId="31544D3E" w14:textId="77777777" w:rsidR="00732A87" w:rsidRPr="008C13A2" w:rsidRDefault="00732A87" w:rsidP="008C13A2">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1"/>
                <w:szCs w:val="21"/>
              </w:rPr>
            </w:pPr>
            <w:r w:rsidRPr="008C13A2">
              <w:rPr>
                <w:rFonts w:ascii="Arial" w:hAnsi="Arial" w:cs="Arial"/>
                <w:sz w:val="21"/>
                <w:szCs w:val="21"/>
              </w:rPr>
              <w:t>Retailer journey diaries</w:t>
            </w:r>
          </w:p>
        </w:tc>
        <w:tc>
          <w:tcPr>
            <w:tcW w:w="0" w:type="auto"/>
            <w:vAlign w:val="center"/>
            <w:hideMark/>
          </w:tcPr>
          <w:p w14:paraId="0A240C35" w14:textId="77777777" w:rsidR="00732A87" w:rsidRPr="008C13A2" w:rsidRDefault="00732A87" w:rsidP="008C13A2">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1"/>
                <w:szCs w:val="21"/>
              </w:rPr>
            </w:pPr>
            <w:r w:rsidRPr="008C13A2">
              <w:rPr>
                <w:rFonts w:ascii="Arial" w:hAnsi="Arial" w:cs="Arial"/>
                <w:sz w:val="21"/>
                <w:szCs w:val="21"/>
              </w:rPr>
              <w:t>20% reduction</w:t>
            </w:r>
          </w:p>
        </w:tc>
        <w:tc>
          <w:tcPr>
            <w:tcW w:w="0" w:type="auto"/>
            <w:vAlign w:val="center"/>
            <w:hideMark/>
          </w:tcPr>
          <w:p w14:paraId="23F50813" w14:textId="77777777" w:rsidR="00732A87" w:rsidRPr="008C13A2" w:rsidRDefault="00732A87" w:rsidP="008C13A2">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1"/>
                <w:szCs w:val="21"/>
              </w:rPr>
            </w:pPr>
            <w:r w:rsidRPr="008C13A2">
              <w:rPr>
                <w:rFonts w:ascii="Arial" w:hAnsi="Arial" w:cs="Arial"/>
                <w:sz w:val="21"/>
                <w:szCs w:val="21"/>
              </w:rPr>
              <w:t>Move the venue or add a collection round</w:t>
            </w:r>
          </w:p>
        </w:tc>
      </w:tr>
      <w:tr w:rsidR="00732A87" w:rsidRPr="008C13A2" w14:paraId="427099A5" w14:textId="77777777" w:rsidTr="00732A87">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5C35B7FB" w14:textId="77777777" w:rsidR="00732A87" w:rsidRPr="008C13A2" w:rsidRDefault="00732A87" w:rsidP="008C13A2">
            <w:pPr>
              <w:spacing w:line="360" w:lineRule="auto"/>
              <w:rPr>
                <w:rFonts w:ascii="Arial" w:hAnsi="Arial" w:cs="Arial"/>
                <w:sz w:val="21"/>
                <w:szCs w:val="21"/>
              </w:rPr>
            </w:pPr>
            <w:r w:rsidRPr="008C13A2">
              <w:rPr>
                <w:rFonts w:ascii="Arial" w:hAnsi="Arial" w:cs="Arial"/>
                <w:sz w:val="21"/>
                <w:szCs w:val="21"/>
              </w:rPr>
              <w:t>Retailers are willing to pay</w:t>
            </w:r>
          </w:p>
        </w:tc>
        <w:tc>
          <w:tcPr>
            <w:tcW w:w="0" w:type="auto"/>
            <w:vAlign w:val="center"/>
            <w:hideMark/>
          </w:tcPr>
          <w:p w14:paraId="13E00B20" w14:textId="77777777" w:rsidR="00732A87" w:rsidRPr="008C13A2" w:rsidRDefault="00732A87" w:rsidP="008C13A2">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1"/>
                <w:szCs w:val="21"/>
              </w:rPr>
            </w:pPr>
            <w:r w:rsidRPr="008C13A2">
              <w:rPr>
                <w:rFonts w:ascii="Arial" w:hAnsi="Arial" w:cs="Arial"/>
                <w:sz w:val="21"/>
                <w:szCs w:val="21"/>
              </w:rPr>
              <w:t>Fee test</w:t>
            </w:r>
          </w:p>
        </w:tc>
        <w:tc>
          <w:tcPr>
            <w:tcW w:w="0" w:type="auto"/>
            <w:vAlign w:val="center"/>
            <w:hideMark/>
          </w:tcPr>
          <w:p w14:paraId="15179688" w14:textId="77777777" w:rsidR="00732A87" w:rsidRPr="008C13A2" w:rsidRDefault="00732A87" w:rsidP="008C13A2">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1"/>
                <w:szCs w:val="21"/>
              </w:rPr>
            </w:pPr>
            <w:r w:rsidRPr="008C13A2">
              <w:rPr>
                <w:rFonts w:ascii="Arial" w:hAnsi="Arial" w:cs="Arial"/>
                <w:sz w:val="21"/>
                <w:szCs w:val="21"/>
              </w:rPr>
              <w:t>50% accept the proposed fee</w:t>
            </w:r>
          </w:p>
        </w:tc>
        <w:tc>
          <w:tcPr>
            <w:tcW w:w="0" w:type="auto"/>
            <w:vAlign w:val="center"/>
            <w:hideMark/>
          </w:tcPr>
          <w:p w14:paraId="44F692F5" w14:textId="77777777" w:rsidR="00732A87" w:rsidRPr="008C13A2" w:rsidRDefault="00732A87" w:rsidP="008C13A2">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1"/>
                <w:szCs w:val="21"/>
              </w:rPr>
            </w:pPr>
            <w:r w:rsidRPr="008C13A2">
              <w:rPr>
                <w:rFonts w:ascii="Arial" w:hAnsi="Arial" w:cs="Arial"/>
                <w:sz w:val="21"/>
                <w:szCs w:val="21"/>
              </w:rPr>
              <w:t>Change the price or seek a partner contribution</w:t>
            </w:r>
          </w:p>
        </w:tc>
      </w:tr>
      <w:tr w:rsidR="00732A87" w:rsidRPr="008C13A2" w14:paraId="10070A3C" w14:textId="77777777" w:rsidTr="00732A8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74C32435" w14:textId="77777777" w:rsidR="00732A87" w:rsidRPr="008C13A2" w:rsidRDefault="00732A87" w:rsidP="008C13A2">
            <w:pPr>
              <w:spacing w:line="360" w:lineRule="auto"/>
              <w:rPr>
                <w:rFonts w:ascii="Arial" w:hAnsi="Arial" w:cs="Arial"/>
                <w:sz w:val="21"/>
                <w:szCs w:val="21"/>
              </w:rPr>
            </w:pPr>
            <w:r w:rsidRPr="008C13A2">
              <w:rPr>
                <w:rFonts w:ascii="Arial" w:hAnsi="Arial" w:cs="Arial"/>
                <w:sz w:val="21"/>
                <w:szCs w:val="21"/>
              </w:rPr>
              <w:t>The process is reliable</w:t>
            </w:r>
          </w:p>
        </w:tc>
        <w:tc>
          <w:tcPr>
            <w:tcW w:w="0" w:type="auto"/>
            <w:vAlign w:val="center"/>
            <w:hideMark/>
          </w:tcPr>
          <w:p w14:paraId="7D50FA37" w14:textId="77777777" w:rsidR="00732A87" w:rsidRPr="008C13A2" w:rsidRDefault="00732A87" w:rsidP="008C13A2">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1"/>
                <w:szCs w:val="21"/>
              </w:rPr>
            </w:pPr>
            <w:r w:rsidRPr="008C13A2">
              <w:rPr>
                <w:rFonts w:ascii="Arial" w:hAnsi="Arial" w:cs="Arial"/>
                <w:sz w:val="21"/>
                <w:szCs w:val="21"/>
              </w:rPr>
              <w:t>Successful parcel handovers</w:t>
            </w:r>
          </w:p>
        </w:tc>
        <w:tc>
          <w:tcPr>
            <w:tcW w:w="0" w:type="auto"/>
            <w:vAlign w:val="center"/>
            <w:hideMark/>
          </w:tcPr>
          <w:p w14:paraId="269BFEA7" w14:textId="77777777" w:rsidR="00732A87" w:rsidRPr="008C13A2" w:rsidRDefault="00732A87" w:rsidP="008C13A2">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1"/>
                <w:szCs w:val="21"/>
              </w:rPr>
            </w:pPr>
            <w:r w:rsidRPr="008C13A2">
              <w:rPr>
                <w:rFonts w:ascii="Arial" w:hAnsi="Arial" w:cs="Arial"/>
                <w:sz w:val="21"/>
                <w:szCs w:val="21"/>
              </w:rPr>
              <w:t>95% completed on schedule</w:t>
            </w:r>
          </w:p>
        </w:tc>
        <w:tc>
          <w:tcPr>
            <w:tcW w:w="0" w:type="auto"/>
            <w:vAlign w:val="center"/>
            <w:hideMark/>
          </w:tcPr>
          <w:p w14:paraId="49850B15" w14:textId="77777777" w:rsidR="00732A87" w:rsidRPr="008C13A2" w:rsidRDefault="00732A87" w:rsidP="008C13A2">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1"/>
                <w:szCs w:val="21"/>
              </w:rPr>
            </w:pPr>
            <w:r w:rsidRPr="008C13A2">
              <w:rPr>
                <w:rFonts w:ascii="Arial" w:hAnsi="Arial" w:cs="Arial"/>
                <w:sz w:val="21"/>
                <w:szCs w:val="21"/>
              </w:rPr>
              <w:t>Improve training and the carrier process</w:t>
            </w:r>
          </w:p>
        </w:tc>
      </w:tr>
      <w:tr w:rsidR="00732A87" w:rsidRPr="008C13A2" w14:paraId="2AFCB269" w14:textId="77777777" w:rsidTr="00732A87">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79205EF5" w14:textId="77777777" w:rsidR="00732A87" w:rsidRPr="008C13A2" w:rsidRDefault="00732A87" w:rsidP="008C13A2">
            <w:pPr>
              <w:spacing w:line="360" w:lineRule="auto"/>
              <w:rPr>
                <w:rFonts w:ascii="Arial" w:hAnsi="Arial" w:cs="Arial"/>
                <w:sz w:val="21"/>
                <w:szCs w:val="21"/>
              </w:rPr>
            </w:pPr>
            <w:r w:rsidRPr="008C13A2">
              <w:rPr>
                <w:rFonts w:ascii="Arial" w:hAnsi="Arial" w:cs="Arial"/>
                <w:sz w:val="21"/>
                <w:szCs w:val="21"/>
              </w:rPr>
              <w:t>The platform is accessible</w:t>
            </w:r>
          </w:p>
        </w:tc>
        <w:tc>
          <w:tcPr>
            <w:tcW w:w="0" w:type="auto"/>
            <w:vAlign w:val="center"/>
            <w:hideMark/>
          </w:tcPr>
          <w:p w14:paraId="69E7E1ED" w14:textId="77777777" w:rsidR="00732A87" w:rsidRPr="008C13A2" w:rsidRDefault="00732A87" w:rsidP="008C13A2">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1"/>
                <w:szCs w:val="21"/>
              </w:rPr>
            </w:pPr>
            <w:r w:rsidRPr="008C13A2">
              <w:rPr>
                <w:rFonts w:ascii="Arial" w:hAnsi="Arial" w:cs="Arial"/>
                <w:sz w:val="21"/>
                <w:szCs w:val="21"/>
              </w:rPr>
              <w:t>Independent booking completion</w:t>
            </w:r>
          </w:p>
        </w:tc>
        <w:tc>
          <w:tcPr>
            <w:tcW w:w="0" w:type="auto"/>
            <w:vAlign w:val="center"/>
            <w:hideMark/>
          </w:tcPr>
          <w:p w14:paraId="7FD323C6" w14:textId="77777777" w:rsidR="00732A87" w:rsidRPr="008C13A2" w:rsidRDefault="00732A87" w:rsidP="008C13A2">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1"/>
                <w:szCs w:val="21"/>
              </w:rPr>
            </w:pPr>
            <w:r w:rsidRPr="008C13A2">
              <w:rPr>
                <w:rFonts w:ascii="Arial" w:hAnsi="Arial" w:cs="Arial"/>
                <w:sz w:val="21"/>
                <w:szCs w:val="21"/>
              </w:rPr>
              <w:t>80% complete booking unaided</w:t>
            </w:r>
          </w:p>
        </w:tc>
        <w:tc>
          <w:tcPr>
            <w:tcW w:w="0" w:type="auto"/>
            <w:vAlign w:val="center"/>
            <w:hideMark/>
          </w:tcPr>
          <w:p w14:paraId="62106B99" w14:textId="77777777" w:rsidR="00732A87" w:rsidRPr="008C13A2" w:rsidRDefault="00732A87" w:rsidP="008C13A2">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1"/>
                <w:szCs w:val="21"/>
              </w:rPr>
            </w:pPr>
            <w:r w:rsidRPr="008C13A2">
              <w:rPr>
                <w:rFonts w:ascii="Arial" w:hAnsi="Arial" w:cs="Arial"/>
                <w:sz w:val="21"/>
                <w:szCs w:val="21"/>
              </w:rPr>
              <w:t>Simplify the interface or provide additional support</w:t>
            </w:r>
          </w:p>
        </w:tc>
      </w:tr>
    </w:tbl>
    <w:p w14:paraId="25CE4E75" w14:textId="77777777" w:rsidR="00660DB4" w:rsidRPr="008C13A2" w:rsidRDefault="00660DB4" w:rsidP="008C13A2">
      <w:pPr>
        <w:pStyle w:val="Heading2"/>
        <w:keepNext w:val="0"/>
        <w:keepLines w:val="0"/>
        <w:spacing w:before="0" w:after="0" w:line="360" w:lineRule="auto"/>
        <w:rPr>
          <w:rFonts w:ascii="Arial" w:hAnsi="Arial" w:cs="Arial"/>
          <w:color w:val="auto"/>
          <w:sz w:val="22"/>
          <w:szCs w:val="22"/>
        </w:rPr>
      </w:pPr>
    </w:p>
    <w:p w14:paraId="757CD0B6" w14:textId="636CC6FE" w:rsidR="00CA3A66" w:rsidRPr="008C13A2" w:rsidRDefault="008A37D6" w:rsidP="008C13A2">
      <w:pPr>
        <w:spacing w:line="360" w:lineRule="auto"/>
        <w:rPr>
          <w:rFonts w:ascii="Arial" w:eastAsiaTheme="majorEastAsia" w:hAnsi="Arial" w:cs="Arial"/>
          <w:b/>
          <w:bCs/>
          <w:sz w:val="22"/>
          <w:szCs w:val="22"/>
        </w:rPr>
      </w:pPr>
      <w:r w:rsidRPr="008C13A2">
        <w:rPr>
          <w:rFonts w:ascii="Arial" w:eastAsiaTheme="majorEastAsia" w:hAnsi="Arial" w:cs="Arial"/>
          <w:b/>
          <w:bCs/>
          <w:sz w:val="22"/>
          <w:szCs w:val="22"/>
        </w:rPr>
        <w:t>Table 3. MVP testing plan and provisional success criteria.</w:t>
      </w:r>
      <w:r w:rsidRPr="008C13A2">
        <w:rPr>
          <w:rFonts w:ascii="Arial" w:eastAsiaTheme="majorEastAsia" w:hAnsi="Arial" w:cs="Arial"/>
          <w:b/>
          <w:bCs/>
          <w:sz w:val="22"/>
          <w:szCs w:val="22"/>
        </w:rPr>
        <w:br/>
      </w:r>
      <w:r w:rsidRPr="008C13A2">
        <w:rPr>
          <w:rFonts w:ascii="Arial" w:eastAsiaTheme="majorEastAsia" w:hAnsi="Arial" w:cs="Arial"/>
          <w:sz w:val="22"/>
          <w:szCs w:val="22"/>
        </w:rPr>
        <w:t>Source: Author’s own construction, informed by Stevenson, Burnell and Fisher (2024).</w:t>
      </w:r>
    </w:p>
    <w:p w14:paraId="7E3E6C89" w14:textId="77777777" w:rsidR="008A37D6" w:rsidRPr="008C13A2" w:rsidRDefault="008A37D6" w:rsidP="008C13A2">
      <w:pPr>
        <w:spacing w:line="360" w:lineRule="auto"/>
        <w:rPr>
          <w:rFonts w:ascii="Arial" w:hAnsi="Arial" w:cs="Arial"/>
        </w:rPr>
      </w:pPr>
    </w:p>
    <w:p w14:paraId="024E1CB3" w14:textId="0272C608" w:rsidR="00660DB4" w:rsidRPr="000F5CD8" w:rsidRDefault="00067825" w:rsidP="008C13A2">
      <w:pPr>
        <w:pStyle w:val="Heading2"/>
        <w:keepNext w:val="0"/>
        <w:keepLines w:val="0"/>
        <w:spacing w:before="0" w:after="0" w:line="360" w:lineRule="auto"/>
        <w:rPr>
          <w:rFonts w:ascii="Arial" w:hAnsi="Arial" w:cs="Arial"/>
          <w:color w:val="auto"/>
          <w:sz w:val="22"/>
          <w:szCs w:val="22"/>
        </w:rPr>
      </w:pPr>
      <w:r w:rsidRPr="008C13A2">
        <w:rPr>
          <w:rFonts w:ascii="Arial" w:hAnsi="Arial" w:cs="Arial"/>
          <w:color w:val="auto"/>
          <w:sz w:val="22"/>
          <w:szCs w:val="22"/>
        </w:rPr>
        <w:t>The success levels are provisional decision rules rather than industry standards. Defining them before the pilot reduces the risk of declaring success based only on favourable comments. Results should be reviewed weekly so that collection times, onboarding or signage can be adjusted. Larger changes, such as moving the venue or changing payment, should be tested in a later cycle to separate their effects.</w:t>
      </w:r>
    </w:p>
    <w:p w14:paraId="5DC6AE8A" w14:textId="77777777" w:rsidR="00A5168A" w:rsidRDefault="00A5168A" w:rsidP="008C13A2">
      <w:pPr>
        <w:pStyle w:val="Heading2"/>
        <w:keepNext w:val="0"/>
        <w:keepLines w:val="0"/>
        <w:spacing w:before="0" w:after="0" w:line="360" w:lineRule="auto"/>
        <w:rPr>
          <w:rFonts w:ascii="Arial" w:hAnsi="Arial" w:cs="Arial"/>
          <w:b/>
          <w:bCs/>
          <w:color w:val="auto"/>
          <w:sz w:val="22"/>
          <w:szCs w:val="22"/>
        </w:rPr>
      </w:pPr>
    </w:p>
    <w:p w14:paraId="474EAB16" w14:textId="6B48AAA0" w:rsidR="00660DB4" w:rsidRPr="008C13A2" w:rsidRDefault="008C0D16" w:rsidP="008C13A2">
      <w:pPr>
        <w:pStyle w:val="Heading2"/>
        <w:keepNext w:val="0"/>
        <w:keepLines w:val="0"/>
        <w:spacing w:before="0" w:after="0" w:line="360" w:lineRule="auto"/>
        <w:rPr>
          <w:rFonts w:ascii="Arial" w:hAnsi="Arial" w:cs="Arial"/>
          <w:color w:val="auto"/>
          <w:sz w:val="22"/>
          <w:szCs w:val="22"/>
        </w:rPr>
      </w:pPr>
      <w:r w:rsidRPr="008C13A2">
        <w:rPr>
          <w:rFonts w:ascii="Arial" w:hAnsi="Arial" w:cs="Arial"/>
          <w:b/>
          <w:bCs/>
          <w:color w:val="auto"/>
          <w:sz w:val="22"/>
          <w:szCs w:val="22"/>
        </w:rPr>
        <w:t>10.2 Financial Testing and Decision Rules</w:t>
      </w:r>
    </w:p>
    <w:p w14:paraId="7C0B5B54" w14:textId="77777777" w:rsidR="00660DB4" w:rsidRPr="008C13A2" w:rsidRDefault="00660DB4" w:rsidP="008C13A2">
      <w:pPr>
        <w:pStyle w:val="Heading2"/>
        <w:keepNext w:val="0"/>
        <w:keepLines w:val="0"/>
        <w:spacing w:before="0" w:after="0" w:line="360" w:lineRule="auto"/>
        <w:rPr>
          <w:rFonts w:ascii="Arial" w:hAnsi="Arial" w:cs="Arial"/>
          <w:color w:val="auto"/>
          <w:sz w:val="22"/>
          <w:szCs w:val="22"/>
        </w:rPr>
      </w:pPr>
    </w:p>
    <w:p w14:paraId="64823C84" w14:textId="77777777" w:rsidR="00336309" w:rsidRDefault="00E91D4D" w:rsidP="008C13A2">
      <w:pPr>
        <w:pStyle w:val="Heading2"/>
        <w:keepNext w:val="0"/>
        <w:keepLines w:val="0"/>
        <w:spacing w:before="0" w:after="0" w:line="360" w:lineRule="auto"/>
        <w:rPr>
          <w:rFonts w:ascii="Arial" w:hAnsi="Arial" w:cs="Arial"/>
          <w:color w:val="auto"/>
          <w:sz w:val="22"/>
          <w:szCs w:val="22"/>
        </w:rPr>
      </w:pPr>
      <w:r w:rsidRPr="008C13A2">
        <w:rPr>
          <w:rFonts w:ascii="Arial" w:hAnsi="Arial" w:cs="Arial"/>
          <w:color w:val="auto"/>
          <w:sz w:val="22"/>
          <w:szCs w:val="22"/>
        </w:rPr>
        <w:t>Commercial viability would use the following calculation:</w:t>
      </w:r>
    </w:p>
    <w:p w14:paraId="63D9C69A" w14:textId="7DE20FBA" w:rsidR="00660DB4" w:rsidRPr="008C13A2" w:rsidRDefault="00E91D4D" w:rsidP="008C13A2">
      <w:pPr>
        <w:pStyle w:val="Heading2"/>
        <w:keepNext w:val="0"/>
        <w:keepLines w:val="0"/>
        <w:spacing w:before="0" w:after="0" w:line="360" w:lineRule="auto"/>
        <w:rPr>
          <w:rFonts w:ascii="Arial" w:hAnsi="Arial" w:cs="Arial"/>
          <w:color w:val="auto"/>
          <w:sz w:val="22"/>
          <w:szCs w:val="22"/>
        </w:rPr>
      </w:pPr>
      <w:r w:rsidRPr="008C13A2">
        <w:rPr>
          <w:rFonts w:ascii="Arial" w:hAnsi="Arial" w:cs="Arial"/>
          <w:i/>
          <w:iCs/>
          <w:color w:val="auto"/>
          <w:sz w:val="22"/>
          <w:szCs w:val="22"/>
        </w:rPr>
        <w:lastRenderedPageBreak/>
        <w:t>Contribution per parcel = retailer fee + carrier contribution − venue handling cost − payment-processing cost − collection cost per parcel.</w:t>
      </w:r>
    </w:p>
    <w:p w14:paraId="38B50476" w14:textId="77777777" w:rsidR="00660DB4" w:rsidRPr="008C13A2" w:rsidRDefault="00660DB4" w:rsidP="008C13A2">
      <w:pPr>
        <w:pStyle w:val="Heading2"/>
        <w:keepNext w:val="0"/>
        <w:keepLines w:val="0"/>
        <w:spacing w:before="0" w:after="0" w:line="360" w:lineRule="auto"/>
        <w:rPr>
          <w:rFonts w:ascii="Arial" w:hAnsi="Arial" w:cs="Arial"/>
          <w:color w:val="auto"/>
          <w:sz w:val="22"/>
          <w:szCs w:val="22"/>
        </w:rPr>
      </w:pPr>
    </w:p>
    <w:p w14:paraId="00BAEBCD" w14:textId="77777777" w:rsidR="00660DB4" w:rsidRPr="008C13A2" w:rsidRDefault="00E91D4D" w:rsidP="008C13A2">
      <w:pPr>
        <w:pStyle w:val="Heading2"/>
        <w:keepNext w:val="0"/>
        <w:keepLines w:val="0"/>
        <w:spacing w:before="0" w:after="0" w:line="360" w:lineRule="auto"/>
        <w:rPr>
          <w:rFonts w:ascii="Arial" w:hAnsi="Arial" w:cs="Arial"/>
          <w:color w:val="auto"/>
          <w:sz w:val="22"/>
          <w:szCs w:val="22"/>
        </w:rPr>
      </w:pPr>
      <w:r w:rsidRPr="008C13A2">
        <w:rPr>
          <w:rFonts w:ascii="Arial" w:hAnsi="Arial" w:cs="Arial"/>
          <w:color w:val="auto"/>
          <w:sz w:val="22"/>
          <w:szCs w:val="22"/>
        </w:rPr>
        <w:t>Inputs should come from carrier quotations, negotiated venue payments, published processing charges and pilot volumes. Break-even parcel volume would equal fixed pilot costs divided by contribution per parcel. Sensitivity analysis should test lower volumes, higher venue payments and weaker willingness to pay.</w:t>
      </w:r>
    </w:p>
    <w:p w14:paraId="510C959E" w14:textId="77777777" w:rsidR="00660DB4" w:rsidRPr="008C13A2" w:rsidRDefault="00660DB4" w:rsidP="008C13A2">
      <w:pPr>
        <w:pStyle w:val="Heading2"/>
        <w:keepNext w:val="0"/>
        <w:keepLines w:val="0"/>
        <w:spacing w:before="0" w:after="0" w:line="360" w:lineRule="auto"/>
        <w:rPr>
          <w:rFonts w:ascii="Arial" w:hAnsi="Arial" w:cs="Arial"/>
          <w:color w:val="auto"/>
          <w:sz w:val="22"/>
          <w:szCs w:val="22"/>
        </w:rPr>
      </w:pPr>
    </w:p>
    <w:p w14:paraId="40E97D26" w14:textId="77777777" w:rsidR="00876033" w:rsidRDefault="00E91D4D" w:rsidP="00876033">
      <w:pPr>
        <w:pStyle w:val="Heading2"/>
        <w:keepNext w:val="0"/>
        <w:keepLines w:val="0"/>
        <w:spacing w:before="0" w:after="0" w:line="360" w:lineRule="auto"/>
        <w:rPr>
          <w:rFonts w:ascii="Arial" w:hAnsi="Arial" w:cs="Arial"/>
          <w:color w:val="auto"/>
          <w:sz w:val="22"/>
          <w:szCs w:val="22"/>
        </w:rPr>
      </w:pPr>
      <w:r w:rsidRPr="008C13A2">
        <w:rPr>
          <w:rFonts w:ascii="Arial" w:hAnsi="Arial" w:cs="Arial"/>
          <w:color w:val="auto"/>
          <w:sz w:val="22"/>
          <w:szCs w:val="22"/>
        </w:rPr>
        <w:t>Testing must result in a decision. Low volume may require fewer collections or a wider catchment, while excessive venue workload may require process or payment changes. AI should be added only when sufficient data exist. Repeated evidence of low use, unreliable handovers or insufficient willingness to pay should result in redesign or discontinuation.</w:t>
      </w:r>
    </w:p>
    <w:p w14:paraId="4E149302" w14:textId="77777777" w:rsidR="00876033" w:rsidRDefault="00876033" w:rsidP="00876033">
      <w:pPr>
        <w:pStyle w:val="Heading2"/>
        <w:keepNext w:val="0"/>
        <w:keepLines w:val="0"/>
        <w:spacing w:before="0" w:after="0" w:line="360" w:lineRule="auto"/>
        <w:rPr>
          <w:rFonts w:ascii="Arial" w:hAnsi="Arial" w:cs="Arial"/>
          <w:color w:val="auto"/>
          <w:sz w:val="22"/>
          <w:szCs w:val="22"/>
        </w:rPr>
      </w:pPr>
    </w:p>
    <w:p w14:paraId="57C4182D" w14:textId="77777777" w:rsidR="007B5041" w:rsidRDefault="002C5816" w:rsidP="007B5041">
      <w:pPr>
        <w:pStyle w:val="Heading2"/>
        <w:keepNext w:val="0"/>
        <w:keepLines w:val="0"/>
        <w:spacing w:before="0" w:after="0" w:line="360" w:lineRule="auto"/>
        <w:rPr>
          <w:rFonts w:ascii="Arial" w:hAnsi="Arial" w:cs="Arial"/>
          <w:color w:val="auto"/>
          <w:sz w:val="22"/>
          <w:szCs w:val="22"/>
        </w:rPr>
      </w:pPr>
      <w:r w:rsidRPr="008C13A2">
        <w:rPr>
          <w:rFonts w:ascii="Arial" w:hAnsi="Arial" w:cs="Arial"/>
          <w:b/>
          <w:bCs/>
          <w:color w:val="auto"/>
          <w:sz w:val="22"/>
          <w:szCs w:val="22"/>
        </w:rPr>
        <w:t>11. Critical Evaluation</w:t>
      </w:r>
    </w:p>
    <w:p w14:paraId="71C443D9" w14:textId="77777777" w:rsidR="007B5041" w:rsidRDefault="007B5041" w:rsidP="007B5041">
      <w:pPr>
        <w:pStyle w:val="Heading2"/>
        <w:keepNext w:val="0"/>
        <w:keepLines w:val="0"/>
        <w:spacing w:before="0" w:after="0" w:line="360" w:lineRule="auto"/>
        <w:rPr>
          <w:rFonts w:ascii="Arial" w:hAnsi="Arial" w:cs="Arial"/>
          <w:color w:val="auto"/>
          <w:sz w:val="22"/>
          <w:szCs w:val="22"/>
        </w:rPr>
      </w:pPr>
    </w:p>
    <w:p w14:paraId="5BDF3B4C" w14:textId="7D8A758A" w:rsidR="007B5041" w:rsidRDefault="007B5041" w:rsidP="007B5041">
      <w:pPr>
        <w:pStyle w:val="Heading2"/>
        <w:keepNext w:val="0"/>
        <w:keepLines w:val="0"/>
        <w:spacing w:before="0" w:after="0" w:line="360" w:lineRule="auto"/>
        <w:rPr>
          <w:rFonts w:ascii="Arial" w:hAnsi="Arial" w:cs="Arial"/>
          <w:color w:val="auto"/>
          <w:sz w:val="22"/>
          <w:szCs w:val="22"/>
        </w:rPr>
      </w:pPr>
      <w:r w:rsidRPr="007B5041">
        <w:rPr>
          <w:rFonts w:ascii="Arial" w:hAnsi="Arial" w:cs="Arial"/>
          <w:color w:val="auto"/>
          <w:sz w:val="22"/>
          <w:szCs w:val="22"/>
        </w:rPr>
        <w:t>The g</w:t>
      </w:r>
      <w:r>
        <w:rPr>
          <w:rFonts w:ascii="Arial" w:hAnsi="Arial" w:cs="Arial"/>
          <w:color w:val="auto"/>
          <w:sz w:val="22"/>
          <w:szCs w:val="22"/>
        </w:rPr>
        <w:t>r</w:t>
      </w:r>
      <w:r w:rsidRPr="007B5041">
        <w:rPr>
          <w:rFonts w:ascii="Arial" w:hAnsi="Arial" w:cs="Arial"/>
          <w:color w:val="auto"/>
          <w:sz w:val="22"/>
          <w:szCs w:val="22"/>
        </w:rPr>
        <w:t>eatest commercial risk is insufficient parcel density. Retailers may express dissatisfaction with existing services but still prefer immediate dispatch or combine parcel drop-offs with other journeys. Interest in the concept would not therefore guarantee repeated use.</w:t>
      </w:r>
    </w:p>
    <w:p w14:paraId="4DBE7F96" w14:textId="77777777" w:rsidR="007B5041" w:rsidRDefault="007B5041" w:rsidP="007B5041">
      <w:pPr>
        <w:pStyle w:val="Heading2"/>
        <w:keepNext w:val="0"/>
        <w:keepLines w:val="0"/>
        <w:spacing w:before="0" w:after="0" w:line="360" w:lineRule="auto"/>
        <w:rPr>
          <w:rFonts w:ascii="Arial" w:hAnsi="Arial" w:cs="Arial"/>
          <w:color w:val="auto"/>
          <w:sz w:val="22"/>
          <w:szCs w:val="22"/>
        </w:rPr>
      </w:pPr>
    </w:p>
    <w:p w14:paraId="04F01DA4" w14:textId="0ED99F3C" w:rsidR="007B5041" w:rsidRDefault="007B5041" w:rsidP="007B5041">
      <w:pPr>
        <w:pStyle w:val="Heading2"/>
        <w:keepNext w:val="0"/>
        <w:keepLines w:val="0"/>
        <w:spacing w:before="0" w:after="0" w:line="360" w:lineRule="auto"/>
        <w:rPr>
          <w:rFonts w:ascii="Arial" w:hAnsi="Arial" w:cs="Arial"/>
          <w:color w:val="auto"/>
          <w:sz w:val="22"/>
          <w:szCs w:val="22"/>
        </w:rPr>
      </w:pPr>
      <w:r w:rsidRPr="007B5041">
        <w:rPr>
          <w:rFonts w:ascii="Arial" w:hAnsi="Arial" w:cs="Arial"/>
          <w:color w:val="auto"/>
          <w:sz w:val="22"/>
          <w:szCs w:val="22"/>
        </w:rPr>
        <w:t>Dependence on Royal Mail and a community venue also creates operational vulnerability. Royal Mail could change collection terms, increase prices or reproduce successful features, while a venue could withdraw because of inadequate payment, storage pressure or disruption to its main activities. Testing initially with one carrier is practical, but longer-term resilience may require compatibility with other delivery firms.</w:t>
      </w:r>
    </w:p>
    <w:p w14:paraId="38DCEF6B" w14:textId="77777777" w:rsidR="007B5041" w:rsidRDefault="007B5041" w:rsidP="007B5041">
      <w:pPr>
        <w:pStyle w:val="Heading2"/>
        <w:keepNext w:val="0"/>
        <w:keepLines w:val="0"/>
        <w:spacing w:before="0" w:after="0" w:line="360" w:lineRule="auto"/>
        <w:rPr>
          <w:rFonts w:ascii="Arial" w:hAnsi="Arial" w:cs="Arial"/>
          <w:color w:val="auto"/>
          <w:sz w:val="22"/>
          <w:szCs w:val="22"/>
        </w:rPr>
      </w:pPr>
    </w:p>
    <w:p w14:paraId="496EBC7B" w14:textId="618EA857" w:rsidR="007B5041" w:rsidRDefault="007B5041" w:rsidP="007B5041">
      <w:pPr>
        <w:pStyle w:val="Heading2"/>
        <w:keepNext w:val="0"/>
        <w:keepLines w:val="0"/>
        <w:spacing w:before="0" w:after="0" w:line="360" w:lineRule="auto"/>
        <w:rPr>
          <w:rFonts w:ascii="Arial" w:hAnsi="Arial" w:cs="Arial"/>
          <w:color w:val="auto"/>
          <w:sz w:val="22"/>
          <w:szCs w:val="22"/>
        </w:rPr>
      </w:pPr>
      <w:r w:rsidRPr="007B5041">
        <w:rPr>
          <w:rFonts w:ascii="Arial" w:hAnsi="Arial" w:cs="Arial"/>
          <w:color w:val="auto"/>
          <w:sz w:val="22"/>
          <w:szCs w:val="22"/>
        </w:rPr>
        <w:t xml:space="preserve">Collaboration can give SMEs access to resources they could not build independently, but it requires trust, shared incentives and clear responsibilities (Brunswicker and van de </w:t>
      </w:r>
      <w:proofErr w:type="spellStart"/>
      <w:r w:rsidRPr="007B5041">
        <w:rPr>
          <w:rFonts w:ascii="Arial" w:hAnsi="Arial" w:cs="Arial"/>
          <w:color w:val="auto"/>
          <w:sz w:val="22"/>
          <w:szCs w:val="22"/>
        </w:rPr>
        <w:t>Vrande</w:t>
      </w:r>
      <w:proofErr w:type="spellEnd"/>
      <w:r w:rsidRPr="007B5041">
        <w:rPr>
          <w:rFonts w:ascii="Arial" w:hAnsi="Arial" w:cs="Arial"/>
          <w:color w:val="auto"/>
          <w:sz w:val="22"/>
          <w:szCs w:val="22"/>
        </w:rPr>
        <w:t>, 2014). Agreements would be required for parcel security, damage, insurance, prohibited goods, data access and payment. Benefits must also be distributed fairly. If the carrier captures most efficiency savings while the venue carries additional work, the partnership is unlikely to remain stable.</w:t>
      </w:r>
    </w:p>
    <w:p w14:paraId="488997BA" w14:textId="77777777" w:rsidR="007B5041" w:rsidRDefault="007B5041" w:rsidP="007B5041">
      <w:pPr>
        <w:pStyle w:val="Heading2"/>
        <w:keepNext w:val="0"/>
        <w:keepLines w:val="0"/>
        <w:spacing w:before="0" w:after="0" w:line="360" w:lineRule="auto"/>
        <w:rPr>
          <w:rFonts w:ascii="Arial" w:hAnsi="Arial" w:cs="Arial"/>
          <w:color w:val="auto"/>
          <w:sz w:val="22"/>
          <w:szCs w:val="22"/>
        </w:rPr>
      </w:pPr>
    </w:p>
    <w:p w14:paraId="593E18A8" w14:textId="20317F93" w:rsidR="007B5041" w:rsidRPr="007B5041" w:rsidRDefault="007B5041" w:rsidP="007B5041">
      <w:pPr>
        <w:pStyle w:val="Heading2"/>
        <w:keepNext w:val="0"/>
        <w:keepLines w:val="0"/>
        <w:spacing w:before="0" w:after="0" w:line="360" w:lineRule="auto"/>
        <w:rPr>
          <w:rFonts w:ascii="Arial" w:hAnsi="Arial" w:cs="Arial"/>
          <w:color w:val="auto"/>
          <w:sz w:val="22"/>
          <w:szCs w:val="22"/>
        </w:rPr>
      </w:pPr>
      <w:r w:rsidRPr="007B5041">
        <w:rPr>
          <w:rFonts w:ascii="Arial" w:hAnsi="Arial" w:cs="Arial"/>
          <w:color w:val="auto"/>
          <w:sz w:val="22"/>
          <w:szCs w:val="22"/>
        </w:rPr>
        <w:t>Environmental benefits are also uncertain. Fewer carrier stops may be offset by separate retailer journeys to the community venue. The pilot should therefore compare total vehicle miles per parcel rather than measuring carrier mileage alone. Venue workload and driver waiting time should also be monitored so that efficiency is not achieved by transferring work to less powerful stakeholders. This reflects Responsible Design Thinking, which requires social and environmental consequences to be considered alongside customer convenience (Baldassarre et al., 2024).</w:t>
      </w:r>
    </w:p>
    <w:p w14:paraId="7257B4C5" w14:textId="25F7FB54" w:rsidR="007B5041" w:rsidRPr="007B5041" w:rsidRDefault="007B5041" w:rsidP="007B5041">
      <w:pPr>
        <w:pStyle w:val="Heading2"/>
        <w:spacing w:line="360" w:lineRule="auto"/>
        <w:rPr>
          <w:rFonts w:ascii="Arial" w:hAnsi="Arial" w:cs="Arial"/>
          <w:color w:val="auto"/>
          <w:sz w:val="22"/>
          <w:szCs w:val="22"/>
        </w:rPr>
      </w:pPr>
      <w:r w:rsidRPr="007B5041">
        <w:rPr>
          <w:rFonts w:ascii="Arial" w:hAnsi="Arial" w:cs="Arial"/>
          <w:color w:val="auto"/>
          <w:sz w:val="22"/>
          <w:szCs w:val="22"/>
        </w:rPr>
        <w:lastRenderedPageBreak/>
        <w:t>The evidence base remains incomplete. Existing research addresses rural logistics, digital adoption and delivery capacity, but little directly examines low-volume rural UK retailers sending parcels. The journey map, causal analysis and DFV/S scores are therefore evidence-informed assumptions rather than confirmed findings. Interviews, observation and pilot behaviour are necessary to test them. Design Thinking supports user understanding and experimentation, but it cannot establish market size, operational capacity or profitability on its own.</w:t>
      </w:r>
    </w:p>
    <w:p w14:paraId="1B4365F1" w14:textId="35717F96" w:rsidR="007B5041" w:rsidRPr="007B5041" w:rsidRDefault="007B5041" w:rsidP="007B5041">
      <w:pPr>
        <w:pStyle w:val="Heading2"/>
        <w:spacing w:line="360" w:lineRule="auto"/>
        <w:rPr>
          <w:rFonts w:ascii="Arial" w:hAnsi="Arial" w:cs="Arial"/>
          <w:color w:val="auto"/>
          <w:sz w:val="22"/>
          <w:szCs w:val="22"/>
        </w:rPr>
      </w:pPr>
      <w:r w:rsidRPr="007B5041">
        <w:rPr>
          <w:rFonts w:ascii="Arial" w:hAnsi="Arial" w:cs="Arial"/>
          <w:color w:val="auto"/>
          <w:sz w:val="22"/>
          <w:szCs w:val="22"/>
        </w:rPr>
        <w:t>Digital coordination creates privacy and inclusion risks. The platform should collect only the booking, handover and tracking data required to operate the service, with access limited according to each partner’s role. Assisted booking may be needed for retailers with limited digital confidence, while alternatives to smartphone-only access should be considered.</w:t>
      </w:r>
    </w:p>
    <w:p w14:paraId="7621F785" w14:textId="03AA83C1" w:rsidR="00876033" w:rsidRDefault="007B5041" w:rsidP="007B5041">
      <w:pPr>
        <w:pStyle w:val="Heading2"/>
        <w:keepNext w:val="0"/>
        <w:keepLines w:val="0"/>
        <w:spacing w:before="0" w:after="0" w:line="360" w:lineRule="auto"/>
        <w:rPr>
          <w:rFonts w:ascii="Arial" w:hAnsi="Arial" w:cs="Arial"/>
          <w:color w:val="auto"/>
          <w:sz w:val="22"/>
          <w:szCs w:val="22"/>
        </w:rPr>
      </w:pPr>
      <w:r w:rsidRPr="007B5041">
        <w:rPr>
          <w:rFonts w:ascii="Arial" w:hAnsi="Arial" w:cs="Arial"/>
          <w:color w:val="auto"/>
          <w:sz w:val="22"/>
          <w:szCs w:val="22"/>
        </w:rPr>
        <w:t>Scaling should depend on a locality-readiness assessment covering retailer numbers, weekly parcel volume, distance to existing services, venue capacity and carrier routes. The digital platform may scale relatively cheaply, but each physical location requires recruitment, trust and operational coordination. Competitive advantage would therefore come less from easily copied technology than from local partnerships, accumulated operating knowledge and evidence about which communities can sustain the model.</w:t>
      </w:r>
    </w:p>
    <w:p w14:paraId="22B934A2" w14:textId="053FA710" w:rsidR="002C5816" w:rsidRPr="008C13A2" w:rsidRDefault="002C5816" w:rsidP="008C13A2">
      <w:pPr>
        <w:pStyle w:val="Heading2"/>
        <w:spacing w:line="360" w:lineRule="auto"/>
        <w:rPr>
          <w:rFonts w:ascii="Arial" w:hAnsi="Arial" w:cs="Arial"/>
          <w:b/>
          <w:bCs/>
          <w:color w:val="auto"/>
          <w:sz w:val="22"/>
          <w:szCs w:val="22"/>
        </w:rPr>
      </w:pPr>
      <w:r w:rsidRPr="008C13A2">
        <w:rPr>
          <w:rFonts w:ascii="Arial" w:hAnsi="Arial" w:cs="Arial"/>
          <w:b/>
          <w:bCs/>
          <w:color w:val="auto"/>
          <w:sz w:val="22"/>
          <w:szCs w:val="22"/>
        </w:rPr>
        <w:t>12. Conclusion</w:t>
      </w:r>
    </w:p>
    <w:p w14:paraId="0701B0AE" w14:textId="77777777" w:rsidR="00DF192E" w:rsidRDefault="0086265F" w:rsidP="0086265F">
      <w:pPr>
        <w:pStyle w:val="NormalWeb"/>
        <w:spacing w:line="360" w:lineRule="auto"/>
        <w:rPr>
          <w:rFonts w:ascii="Arial" w:hAnsi="Arial" w:cs="Arial"/>
          <w:sz w:val="22"/>
          <w:szCs w:val="22"/>
        </w:rPr>
      </w:pPr>
      <w:r w:rsidRPr="0086265F">
        <w:rPr>
          <w:rFonts w:ascii="Arial" w:hAnsi="Arial" w:cs="Arial"/>
          <w:sz w:val="22"/>
          <w:szCs w:val="22"/>
        </w:rPr>
        <w:t xml:space="preserve">Digital transformation has expanded the markets available to small retailers but increased their dependence on fulfilment and returns. Despite Royal Mail’s national infrastructure and growing parcel activity, rural retailers continue to face fragmented systems, travel, low parcel density and limited control over delivery problems. </w:t>
      </w:r>
      <w:r w:rsidR="00DF192E" w:rsidRPr="00DF192E">
        <w:rPr>
          <w:rFonts w:ascii="Arial" w:hAnsi="Arial" w:cs="Arial"/>
          <w:sz w:val="22"/>
          <w:szCs w:val="22"/>
        </w:rPr>
        <w:t>Task 1 identified an opportunity to combine existing technology, community facilities and carrier services in a differentiated configuration for underserved, low-volume rural retailers.</w:t>
      </w:r>
    </w:p>
    <w:p w14:paraId="38BA9804" w14:textId="55F3C901" w:rsidR="0086265F" w:rsidRPr="0086265F" w:rsidRDefault="00D815C4" w:rsidP="0086265F">
      <w:pPr>
        <w:pStyle w:val="NormalWeb"/>
        <w:spacing w:line="360" w:lineRule="auto"/>
        <w:rPr>
          <w:rFonts w:ascii="Arial" w:hAnsi="Arial" w:cs="Arial"/>
          <w:sz w:val="22"/>
          <w:szCs w:val="22"/>
        </w:rPr>
      </w:pPr>
      <w:r w:rsidRPr="00D815C4">
        <w:rPr>
          <w:rFonts w:ascii="Arial" w:hAnsi="Arial" w:cs="Arial"/>
          <w:sz w:val="22"/>
          <w:szCs w:val="22"/>
        </w:rPr>
        <w:t>Task 2 developed this opportunity into a digitally coordinated community parcel-consolidation and returns service, representing architectural and business-model innovation.</w:t>
      </w:r>
      <w:r w:rsidR="0086265F" w:rsidRPr="0086265F">
        <w:rPr>
          <w:rFonts w:ascii="Arial" w:hAnsi="Arial" w:cs="Arial"/>
          <w:sz w:val="22"/>
          <w:szCs w:val="22"/>
        </w:rPr>
        <w:t xml:space="preserve"> The concept emerged from customer journey analysis, causal mapping, brainstorming, SCAMPER and DFV/S assessment. Its four-week MVP deliberately limits investment by using one locality, one venue, one carrier and manual scheduling behind a basic digital interface.</w:t>
      </w:r>
    </w:p>
    <w:p w14:paraId="6966A6F2" w14:textId="77777777" w:rsidR="0086265F" w:rsidRPr="0086265F" w:rsidRDefault="0086265F" w:rsidP="0086265F">
      <w:pPr>
        <w:pStyle w:val="NormalWeb"/>
        <w:spacing w:line="360" w:lineRule="auto"/>
        <w:rPr>
          <w:rFonts w:ascii="Arial" w:hAnsi="Arial" w:cs="Arial"/>
          <w:sz w:val="22"/>
          <w:szCs w:val="22"/>
        </w:rPr>
      </w:pPr>
      <w:r w:rsidRPr="0086265F">
        <w:rPr>
          <w:rFonts w:ascii="Arial" w:hAnsi="Arial" w:cs="Arial"/>
          <w:sz w:val="22"/>
          <w:szCs w:val="22"/>
        </w:rPr>
        <w:t xml:space="preserve">The concept is promising but remains unproven. It should progress only if pilot evidence demonstrates sufficient parcel volume, repeated retailer use, reliable handovers, willingness to pay and measurable reductions in time or travel. Environmental and social effects must also be assessed across retailers, drivers and venue operators. AI-assisted forecasting may later improve scheduling and cost control, but it should follow evidence rather than lead the venture. A workable </w:t>
      </w:r>
      <w:r w:rsidRPr="0086265F">
        <w:rPr>
          <w:rFonts w:ascii="Arial" w:hAnsi="Arial" w:cs="Arial"/>
          <w:sz w:val="22"/>
          <w:szCs w:val="22"/>
        </w:rPr>
        <w:lastRenderedPageBreak/>
        <w:t>local service model, trusted partnerships and shared stakeholder value are the essential conditions for responsible scaling.</w:t>
      </w:r>
    </w:p>
    <w:p w14:paraId="210C1FEA" w14:textId="77777777" w:rsidR="004775CA" w:rsidRDefault="004775CA" w:rsidP="004775CA">
      <w:pPr>
        <w:pStyle w:val="NormalWeb"/>
        <w:rPr>
          <w:rFonts w:ascii="Arial" w:hAnsi="Arial" w:cs="Arial"/>
          <w:sz w:val="22"/>
          <w:szCs w:val="22"/>
        </w:rPr>
      </w:pPr>
    </w:p>
    <w:p w14:paraId="1D851D58" w14:textId="77777777" w:rsidR="004775CA" w:rsidRDefault="004775CA" w:rsidP="004775CA">
      <w:pPr>
        <w:pStyle w:val="NormalWeb"/>
        <w:rPr>
          <w:rFonts w:ascii="Arial" w:hAnsi="Arial" w:cs="Arial"/>
          <w:sz w:val="22"/>
          <w:szCs w:val="22"/>
        </w:rPr>
      </w:pPr>
    </w:p>
    <w:p w14:paraId="64EA2324" w14:textId="77777777" w:rsidR="004775CA" w:rsidRDefault="004775CA" w:rsidP="004775CA">
      <w:pPr>
        <w:pStyle w:val="NormalWeb"/>
        <w:rPr>
          <w:rFonts w:ascii="Arial" w:hAnsi="Arial" w:cs="Arial"/>
          <w:sz w:val="22"/>
          <w:szCs w:val="22"/>
        </w:rPr>
      </w:pPr>
    </w:p>
    <w:p w14:paraId="69B97ECF" w14:textId="77777777" w:rsidR="003F18F4" w:rsidRDefault="003F18F4" w:rsidP="004775CA">
      <w:pPr>
        <w:pStyle w:val="NormalWeb"/>
        <w:rPr>
          <w:rFonts w:ascii="Arial" w:hAnsi="Arial" w:cs="Arial"/>
          <w:b/>
          <w:bCs/>
          <w:sz w:val="22"/>
          <w:szCs w:val="22"/>
        </w:rPr>
      </w:pPr>
    </w:p>
    <w:p w14:paraId="3FBEBCF8" w14:textId="77777777" w:rsidR="00424D86" w:rsidRDefault="00424D86" w:rsidP="004775CA">
      <w:pPr>
        <w:pStyle w:val="NormalWeb"/>
        <w:rPr>
          <w:rFonts w:ascii="Arial" w:hAnsi="Arial" w:cs="Arial"/>
          <w:b/>
          <w:bCs/>
          <w:sz w:val="22"/>
          <w:szCs w:val="22"/>
        </w:rPr>
      </w:pPr>
    </w:p>
    <w:p w14:paraId="073399D7" w14:textId="77777777" w:rsidR="00424D86" w:rsidRDefault="00424D86" w:rsidP="004775CA">
      <w:pPr>
        <w:pStyle w:val="NormalWeb"/>
        <w:rPr>
          <w:rFonts w:ascii="Arial" w:hAnsi="Arial" w:cs="Arial"/>
          <w:b/>
          <w:bCs/>
          <w:sz w:val="22"/>
          <w:szCs w:val="22"/>
        </w:rPr>
      </w:pPr>
    </w:p>
    <w:p w14:paraId="0CCE7A4B" w14:textId="77777777" w:rsidR="00424D86" w:rsidRDefault="00424D86" w:rsidP="004775CA">
      <w:pPr>
        <w:pStyle w:val="NormalWeb"/>
        <w:rPr>
          <w:rFonts w:ascii="Arial" w:hAnsi="Arial" w:cs="Arial"/>
          <w:b/>
          <w:bCs/>
          <w:sz w:val="22"/>
          <w:szCs w:val="22"/>
        </w:rPr>
      </w:pPr>
    </w:p>
    <w:p w14:paraId="0720088F" w14:textId="77777777" w:rsidR="00424D86" w:rsidRDefault="00424D86" w:rsidP="004775CA">
      <w:pPr>
        <w:pStyle w:val="NormalWeb"/>
        <w:rPr>
          <w:rFonts w:ascii="Arial" w:hAnsi="Arial" w:cs="Arial"/>
          <w:b/>
          <w:bCs/>
          <w:sz w:val="22"/>
          <w:szCs w:val="22"/>
        </w:rPr>
      </w:pPr>
    </w:p>
    <w:p w14:paraId="4020AD9F" w14:textId="77777777" w:rsidR="00424D86" w:rsidRDefault="00424D86" w:rsidP="004775CA">
      <w:pPr>
        <w:pStyle w:val="NormalWeb"/>
        <w:rPr>
          <w:rFonts w:ascii="Arial" w:hAnsi="Arial" w:cs="Arial"/>
          <w:b/>
          <w:bCs/>
          <w:sz w:val="22"/>
          <w:szCs w:val="22"/>
        </w:rPr>
      </w:pPr>
    </w:p>
    <w:p w14:paraId="72D3B2A7" w14:textId="77777777" w:rsidR="00424D86" w:rsidRDefault="00424D86" w:rsidP="004775CA">
      <w:pPr>
        <w:pStyle w:val="NormalWeb"/>
        <w:rPr>
          <w:rFonts w:ascii="Arial" w:hAnsi="Arial" w:cs="Arial"/>
          <w:b/>
          <w:bCs/>
          <w:sz w:val="22"/>
          <w:szCs w:val="22"/>
        </w:rPr>
      </w:pPr>
    </w:p>
    <w:p w14:paraId="5C2FFC04" w14:textId="77777777" w:rsidR="00424D86" w:rsidRDefault="00424D86" w:rsidP="004775CA">
      <w:pPr>
        <w:pStyle w:val="NormalWeb"/>
        <w:rPr>
          <w:rFonts w:ascii="Arial" w:hAnsi="Arial" w:cs="Arial"/>
          <w:b/>
          <w:bCs/>
          <w:sz w:val="22"/>
          <w:szCs w:val="22"/>
        </w:rPr>
      </w:pPr>
    </w:p>
    <w:p w14:paraId="45A259EB" w14:textId="77777777" w:rsidR="00424D86" w:rsidRDefault="00424D86" w:rsidP="004775CA">
      <w:pPr>
        <w:pStyle w:val="NormalWeb"/>
        <w:rPr>
          <w:rFonts w:ascii="Arial" w:hAnsi="Arial" w:cs="Arial"/>
          <w:b/>
          <w:bCs/>
          <w:sz w:val="22"/>
          <w:szCs w:val="22"/>
        </w:rPr>
      </w:pPr>
    </w:p>
    <w:p w14:paraId="0C9C8220" w14:textId="77777777" w:rsidR="0086265F" w:rsidRDefault="0086265F" w:rsidP="000A1587">
      <w:pPr>
        <w:pStyle w:val="NormalWeb"/>
        <w:spacing w:line="276" w:lineRule="auto"/>
        <w:rPr>
          <w:rFonts w:ascii="Arial" w:hAnsi="Arial" w:cs="Arial"/>
          <w:b/>
          <w:bCs/>
          <w:sz w:val="22"/>
          <w:szCs w:val="22"/>
        </w:rPr>
      </w:pPr>
    </w:p>
    <w:p w14:paraId="792AB73C" w14:textId="77777777" w:rsidR="0086265F" w:rsidRDefault="0086265F" w:rsidP="000A1587">
      <w:pPr>
        <w:pStyle w:val="NormalWeb"/>
        <w:spacing w:line="276" w:lineRule="auto"/>
        <w:rPr>
          <w:rFonts w:ascii="Arial" w:hAnsi="Arial" w:cs="Arial"/>
          <w:b/>
          <w:bCs/>
          <w:sz w:val="22"/>
          <w:szCs w:val="22"/>
        </w:rPr>
      </w:pPr>
    </w:p>
    <w:p w14:paraId="6BB037BE" w14:textId="77777777" w:rsidR="0086265F" w:rsidRDefault="0086265F" w:rsidP="000A1587">
      <w:pPr>
        <w:pStyle w:val="NormalWeb"/>
        <w:spacing w:line="276" w:lineRule="auto"/>
        <w:rPr>
          <w:rFonts w:ascii="Arial" w:hAnsi="Arial" w:cs="Arial"/>
          <w:b/>
          <w:bCs/>
          <w:sz w:val="22"/>
          <w:szCs w:val="22"/>
        </w:rPr>
      </w:pPr>
    </w:p>
    <w:p w14:paraId="4E6939F5" w14:textId="77777777" w:rsidR="0086265F" w:rsidRDefault="0086265F" w:rsidP="000A1587">
      <w:pPr>
        <w:pStyle w:val="NormalWeb"/>
        <w:spacing w:line="276" w:lineRule="auto"/>
        <w:rPr>
          <w:rFonts w:ascii="Arial" w:hAnsi="Arial" w:cs="Arial"/>
          <w:b/>
          <w:bCs/>
          <w:sz w:val="22"/>
          <w:szCs w:val="22"/>
        </w:rPr>
      </w:pPr>
    </w:p>
    <w:p w14:paraId="1EA5DC9E" w14:textId="77777777" w:rsidR="0086265F" w:rsidRDefault="0086265F" w:rsidP="000A1587">
      <w:pPr>
        <w:pStyle w:val="NormalWeb"/>
        <w:spacing w:line="276" w:lineRule="auto"/>
        <w:rPr>
          <w:rFonts w:ascii="Arial" w:hAnsi="Arial" w:cs="Arial"/>
          <w:b/>
          <w:bCs/>
          <w:sz w:val="22"/>
          <w:szCs w:val="22"/>
        </w:rPr>
      </w:pPr>
    </w:p>
    <w:p w14:paraId="069B4FEB" w14:textId="77777777" w:rsidR="0086265F" w:rsidRDefault="0086265F" w:rsidP="000A1587">
      <w:pPr>
        <w:pStyle w:val="NormalWeb"/>
        <w:spacing w:line="276" w:lineRule="auto"/>
        <w:rPr>
          <w:rFonts w:ascii="Arial" w:hAnsi="Arial" w:cs="Arial"/>
          <w:b/>
          <w:bCs/>
          <w:sz w:val="22"/>
          <w:szCs w:val="22"/>
        </w:rPr>
      </w:pPr>
    </w:p>
    <w:p w14:paraId="73697B2D" w14:textId="77777777" w:rsidR="00C1412A" w:rsidRDefault="00C1412A" w:rsidP="000A1587">
      <w:pPr>
        <w:pStyle w:val="NormalWeb"/>
        <w:spacing w:line="276" w:lineRule="auto"/>
        <w:rPr>
          <w:rFonts w:ascii="Arial" w:hAnsi="Arial" w:cs="Arial"/>
          <w:b/>
          <w:bCs/>
          <w:sz w:val="22"/>
          <w:szCs w:val="22"/>
        </w:rPr>
      </w:pPr>
    </w:p>
    <w:p w14:paraId="0847A2C4" w14:textId="77777777" w:rsidR="000F5CD8" w:rsidRDefault="000F5CD8" w:rsidP="000A1587">
      <w:pPr>
        <w:pStyle w:val="NormalWeb"/>
        <w:spacing w:line="276" w:lineRule="auto"/>
        <w:rPr>
          <w:rFonts w:ascii="Arial" w:hAnsi="Arial" w:cs="Arial"/>
          <w:b/>
          <w:bCs/>
          <w:sz w:val="22"/>
          <w:szCs w:val="22"/>
        </w:rPr>
      </w:pPr>
    </w:p>
    <w:p w14:paraId="24139FCC" w14:textId="77777777" w:rsidR="00AB3763" w:rsidRDefault="00AB3763" w:rsidP="000A1587">
      <w:pPr>
        <w:pStyle w:val="NormalWeb"/>
        <w:spacing w:line="276" w:lineRule="auto"/>
        <w:rPr>
          <w:rFonts w:ascii="Arial" w:hAnsi="Arial" w:cs="Arial"/>
          <w:b/>
          <w:bCs/>
          <w:sz w:val="22"/>
          <w:szCs w:val="22"/>
        </w:rPr>
      </w:pPr>
    </w:p>
    <w:p w14:paraId="59EC513F" w14:textId="77777777" w:rsidR="00AB3763" w:rsidRDefault="00AB3763" w:rsidP="000A1587">
      <w:pPr>
        <w:pStyle w:val="NormalWeb"/>
        <w:spacing w:line="276" w:lineRule="auto"/>
        <w:rPr>
          <w:rFonts w:ascii="Arial" w:hAnsi="Arial" w:cs="Arial"/>
          <w:b/>
          <w:bCs/>
          <w:sz w:val="22"/>
          <w:szCs w:val="22"/>
        </w:rPr>
      </w:pPr>
    </w:p>
    <w:p w14:paraId="1269863E" w14:textId="77777777" w:rsidR="00C47AF4" w:rsidRDefault="00C47AF4" w:rsidP="000A1587">
      <w:pPr>
        <w:pStyle w:val="NormalWeb"/>
        <w:spacing w:line="276" w:lineRule="auto"/>
        <w:rPr>
          <w:rFonts w:ascii="Arial" w:hAnsi="Arial" w:cs="Arial"/>
          <w:b/>
          <w:bCs/>
          <w:sz w:val="22"/>
          <w:szCs w:val="22"/>
        </w:rPr>
      </w:pPr>
    </w:p>
    <w:p w14:paraId="0E9A15C0" w14:textId="77777777" w:rsidR="00C47AF4" w:rsidRDefault="00C47AF4" w:rsidP="000A1587">
      <w:pPr>
        <w:pStyle w:val="NormalWeb"/>
        <w:spacing w:line="276" w:lineRule="auto"/>
        <w:rPr>
          <w:rFonts w:ascii="Arial" w:hAnsi="Arial" w:cs="Arial"/>
          <w:b/>
          <w:bCs/>
          <w:sz w:val="22"/>
          <w:szCs w:val="22"/>
        </w:rPr>
      </w:pPr>
    </w:p>
    <w:p w14:paraId="6A2142B4" w14:textId="754FB9DC" w:rsidR="002C5816" w:rsidRPr="004775CA" w:rsidRDefault="002C5816" w:rsidP="000A1587">
      <w:pPr>
        <w:pStyle w:val="NormalWeb"/>
        <w:spacing w:line="276" w:lineRule="auto"/>
        <w:rPr>
          <w:rFonts w:ascii="Arial" w:hAnsi="Arial" w:cs="Arial"/>
          <w:sz w:val="22"/>
          <w:szCs w:val="22"/>
        </w:rPr>
      </w:pPr>
      <w:r w:rsidRPr="00C86339">
        <w:rPr>
          <w:rFonts w:ascii="Arial" w:hAnsi="Arial" w:cs="Arial"/>
          <w:b/>
          <w:bCs/>
          <w:sz w:val="22"/>
          <w:szCs w:val="22"/>
        </w:rPr>
        <w:lastRenderedPageBreak/>
        <w:t>Reference</w:t>
      </w:r>
      <w:r w:rsidR="00F17935">
        <w:rPr>
          <w:rFonts w:ascii="Arial" w:hAnsi="Arial" w:cs="Arial"/>
          <w:b/>
          <w:bCs/>
          <w:sz w:val="22"/>
          <w:szCs w:val="22"/>
        </w:rPr>
        <w:t>s</w:t>
      </w:r>
    </w:p>
    <w:p w14:paraId="1908EFC6" w14:textId="77777777" w:rsidR="002C5816" w:rsidRPr="00394DD9" w:rsidRDefault="002C5816" w:rsidP="000A1587">
      <w:pPr>
        <w:pStyle w:val="NormalWeb"/>
        <w:spacing w:line="276" w:lineRule="auto"/>
        <w:rPr>
          <w:rFonts w:ascii="Arial" w:hAnsi="Arial" w:cs="Arial"/>
          <w:sz w:val="22"/>
          <w:szCs w:val="22"/>
        </w:rPr>
      </w:pPr>
      <w:r w:rsidRPr="00C0049A">
        <w:rPr>
          <w:rFonts w:ascii="Arial" w:hAnsi="Arial" w:cs="Arial"/>
          <w:sz w:val="22"/>
          <w:szCs w:val="22"/>
        </w:rPr>
        <w:t xml:space="preserve">Ackermann, F. and Alexander, J. (2016) ‘Researching complex projects: Using causal mapping to take a systems perspective’, </w:t>
      </w:r>
      <w:r w:rsidRPr="00C0049A">
        <w:rPr>
          <w:rStyle w:val="Emphasis"/>
          <w:rFonts w:ascii="Arial" w:hAnsi="Arial" w:cs="Arial"/>
          <w:sz w:val="22"/>
          <w:szCs w:val="22"/>
        </w:rPr>
        <w:t>International Journal of Project Management</w:t>
      </w:r>
      <w:r w:rsidRPr="00C0049A">
        <w:rPr>
          <w:rFonts w:ascii="Arial" w:hAnsi="Arial" w:cs="Arial"/>
          <w:sz w:val="22"/>
          <w:szCs w:val="22"/>
        </w:rPr>
        <w:t xml:space="preserve">, 34(6), pp. 891–901. Available at: </w:t>
      </w:r>
      <w:hyperlink r:id="rId12" w:history="1">
        <w:r w:rsidRPr="00C0049A">
          <w:rPr>
            <w:rStyle w:val="Hyperlink"/>
            <w:rFonts w:ascii="Arial" w:hAnsi="Arial" w:cs="Arial"/>
            <w:color w:val="auto"/>
            <w:sz w:val="22"/>
            <w:szCs w:val="22"/>
          </w:rPr>
          <w:t>https://doi.org/10.1016/j.ijproman.2016.04.001</w:t>
        </w:r>
      </w:hyperlink>
      <w:r w:rsidRPr="00C0049A">
        <w:rPr>
          <w:rFonts w:ascii="Arial" w:hAnsi="Arial" w:cs="Arial"/>
          <w:sz w:val="22"/>
          <w:szCs w:val="22"/>
        </w:rPr>
        <w:t>.</w:t>
      </w:r>
    </w:p>
    <w:p w14:paraId="06E3467D" w14:textId="77777777" w:rsidR="002C5816" w:rsidRPr="00394DD9" w:rsidRDefault="002C5816" w:rsidP="000A1587">
      <w:pPr>
        <w:pStyle w:val="NormalWeb"/>
        <w:spacing w:line="276" w:lineRule="auto"/>
        <w:rPr>
          <w:rFonts w:ascii="Arial" w:hAnsi="Arial" w:cs="Arial"/>
          <w:sz w:val="22"/>
          <w:szCs w:val="22"/>
        </w:rPr>
      </w:pPr>
      <w:r w:rsidRPr="00394DD9">
        <w:rPr>
          <w:rFonts w:ascii="Arial" w:hAnsi="Arial" w:cs="Arial"/>
          <w:sz w:val="22"/>
          <w:szCs w:val="22"/>
        </w:rPr>
        <w:t xml:space="preserve">Baldassarre, B., Calabretta, G., Karpen, I.O., </w:t>
      </w:r>
      <w:proofErr w:type="spellStart"/>
      <w:r w:rsidRPr="00394DD9">
        <w:rPr>
          <w:rFonts w:ascii="Arial" w:hAnsi="Arial" w:cs="Arial"/>
          <w:sz w:val="22"/>
          <w:szCs w:val="22"/>
        </w:rPr>
        <w:t>Bocken</w:t>
      </w:r>
      <w:proofErr w:type="spellEnd"/>
      <w:r w:rsidRPr="00394DD9">
        <w:rPr>
          <w:rFonts w:ascii="Arial" w:hAnsi="Arial" w:cs="Arial"/>
          <w:sz w:val="22"/>
          <w:szCs w:val="22"/>
        </w:rPr>
        <w:t xml:space="preserve">, N. and </w:t>
      </w:r>
      <w:proofErr w:type="spellStart"/>
      <w:r w:rsidRPr="00394DD9">
        <w:rPr>
          <w:rFonts w:ascii="Arial" w:hAnsi="Arial" w:cs="Arial"/>
          <w:sz w:val="22"/>
          <w:szCs w:val="22"/>
        </w:rPr>
        <w:t>Hultink</w:t>
      </w:r>
      <w:proofErr w:type="spellEnd"/>
      <w:r w:rsidRPr="00394DD9">
        <w:rPr>
          <w:rFonts w:ascii="Arial" w:hAnsi="Arial" w:cs="Arial"/>
          <w:sz w:val="22"/>
          <w:szCs w:val="22"/>
        </w:rPr>
        <w:t xml:space="preserve">, E.J. (2024) ‘Responsible Design Thinking for Sustainable Development: Critical literature review, new conceptual framework, and research agenda’, </w:t>
      </w:r>
      <w:r w:rsidRPr="00394DD9">
        <w:rPr>
          <w:rStyle w:val="Emphasis"/>
          <w:rFonts w:ascii="Arial" w:hAnsi="Arial" w:cs="Arial"/>
          <w:sz w:val="22"/>
          <w:szCs w:val="22"/>
        </w:rPr>
        <w:t>Journal of Business Ethics</w:t>
      </w:r>
      <w:r w:rsidRPr="00394DD9">
        <w:rPr>
          <w:rFonts w:ascii="Arial" w:hAnsi="Arial" w:cs="Arial"/>
          <w:sz w:val="22"/>
          <w:szCs w:val="22"/>
        </w:rPr>
        <w:t xml:space="preserve">, 195(1), pp. 25–46. Available at: </w:t>
      </w:r>
      <w:hyperlink r:id="rId13" w:history="1">
        <w:r w:rsidRPr="00394DD9">
          <w:rPr>
            <w:rStyle w:val="Hyperlink"/>
            <w:rFonts w:ascii="Arial" w:hAnsi="Arial" w:cs="Arial"/>
            <w:color w:val="auto"/>
            <w:sz w:val="22"/>
            <w:szCs w:val="22"/>
          </w:rPr>
          <w:t>https://doi.org/10.1007/s10551-023-05600-z</w:t>
        </w:r>
      </w:hyperlink>
      <w:r w:rsidRPr="00394DD9">
        <w:rPr>
          <w:rFonts w:ascii="Arial" w:hAnsi="Arial" w:cs="Arial"/>
          <w:sz w:val="22"/>
          <w:szCs w:val="22"/>
        </w:rPr>
        <w:t>.</w:t>
      </w:r>
    </w:p>
    <w:p w14:paraId="5813EECB" w14:textId="77777777" w:rsidR="002C5816" w:rsidRPr="00394DD9" w:rsidRDefault="002C5816" w:rsidP="000A1587">
      <w:pPr>
        <w:pStyle w:val="NormalWeb"/>
        <w:spacing w:line="276" w:lineRule="auto"/>
        <w:rPr>
          <w:rFonts w:ascii="Arial" w:hAnsi="Arial" w:cs="Arial"/>
          <w:sz w:val="22"/>
          <w:szCs w:val="22"/>
        </w:rPr>
      </w:pPr>
      <w:r w:rsidRPr="00394DD9">
        <w:rPr>
          <w:rFonts w:ascii="Arial" w:hAnsi="Arial" w:cs="Arial"/>
          <w:sz w:val="22"/>
          <w:szCs w:val="22"/>
        </w:rPr>
        <w:t xml:space="preserve">Brown, T. (2019) </w:t>
      </w:r>
      <w:r w:rsidRPr="00394DD9">
        <w:rPr>
          <w:rStyle w:val="Emphasis"/>
          <w:rFonts w:ascii="Arial" w:hAnsi="Arial" w:cs="Arial"/>
          <w:sz w:val="22"/>
          <w:szCs w:val="22"/>
        </w:rPr>
        <w:t>Change by Design: How Design Thinking Transforms Organizations and Inspires Innovation</w:t>
      </w:r>
      <w:r w:rsidRPr="00394DD9">
        <w:rPr>
          <w:rFonts w:ascii="Arial" w:hAnsi="Arial" w:cs="Arial"/>
          <w:sz w:val="22"/>
          <w:szCs w:val="22"/>
        </w:rPr>
        <w:t xml:space="preserve">. Revised and updated edn. New York: </w:t>
      </w:r>
      <w:proofErr w:type="spellStart"/>
      <w:r w:rsidRPr="00394DD9">
        <w:rPr>
          <w:rFonts w:ascii="Arial" w:hAnsi="Arial" w:cs="Arial"/>
          <w:sz w:val="22"/>
          <w:szCs w:val="22"/>
        </w:rPr>
        <w:t>HarperBusiness</w:t>
      </w:r>
      <w:proofErr w:type="spellEnd"/>
      <w:r w:rsidRPr="00394DD9">
        <w:rPr>
          <w:rFonts w:ascii="Arial" w:hAnsi="Arial" w:cs="Arial"/>
          <w:sz w:val="22"/>
          <w:szCs w:val="22"/>
        </w:rPr>
        <w:t>.</w:t>
      </w:r>
    </w:p>
    <w:p w14:paraId="0FBCC33B" w14:textId="77777777" w:rsidR="002C5816" w:rsidRPr="00394DD9" w:rsidRDefault="002C5816" w:rsidP="000A1587">
      <w:pPr>
        <w:pStyle w:val="NormalWeb"/>
        <w:spacing w:line="276" w:lineRule="auto"/>
        <w:rPr>
          <w:rFonts w:ascii="Arial" w:hAnsi="Arial" w:cs="Arial"/>
          <w:sz w:val="22"/>
          <w:szCs w:val="22"/>
        </w:rPr>
      </w:pPr>
      <w:r w:rsidRPr="00394DD9">
        <w:rPr>
          <w:rFonts w:ascii="Arial" w:hAnsi="Arial" w:cs="Arial"/>
          <w:sz w:val="22"/>
          <w:szCs w:val="22"/>
        </w:rPr>
        <w:t xml:space="preserve">Brunswicker, S. and van de </w:t>
      </w:r>
      <w:proofErr w:type="spellStart"/>
      <w:r w:rsidRPr="00394DD9">
        <w:rPr>
          <w:rFonts w:ascii="Arial" w:hAnsi="Arial" w:cs="Arial"/>
          <w:sz w:val="22"/>
          <w:szCs w:val="22"/>
        </w:rPr>
        <w:t>Vrande</w:t>
      </w:r>
      <w:proofErr w:type="spellEnd"/>
      <w:r w:rsidRPr="00394DD9">
        <w:rPr>
          <w:rFonts w:ascii="Arial" w:hAnsi="Arial" w:cs="Arial"/>
          <w:sz w:val="22"/>
          <w:szCs w:val="22"/>
        </w:rPr>
        <w:t xml:space="preserve">, V. (2014) ‘Exploring open innovation in small and medium-sized enterprises’, in Chesbrough, H., Vanhaverbeke, W. and West, J. (eds.) </w:t>
      </w:r>
      <w:r w:rsidRPr="00394DD9">
        <w:rPr>
          <w:rStyle w:val="Emphasis"/>
          <w:rFonts w:ascii="Arial" w:hAnsi="Arial" w:cs="Arial"/>
          <w:sz w:val="22"/>
          <w:szCs w:val="22"/>
        </w:rPr>
        <w:t>New Frontiers in Open Innovation</w:t>
      </w:r>
      <w:r w:rsidRPr="00394DD9">
        <w:rPr>
          <w:rFonts w:ascii="Arial" w:hAnsi="Arial" w:cs="Arial"/>
          <w:sz w:val="22"/>
          <w:szCs w:val="22"/>
        </w:rPr>
        <w:t>. Oxford: Oxford University Press.</w:t>
      </w:r>
    </w:p>
    <w:p w14:paraId="579A6DF9" w14:textId="77777777" w:rsidR="002C5816" w:rsidRPr="00394DD9" w:rsidRDefault="002C5816" w:rsidP="000A1587">
      <w:pPr>
        <w:pStyle w:val="NormalWeb"/>
        <w:spacing w:line="276" w:lineRule="auto"/>
        <w:rPr>
          <w:rFonts w:ascii="Arial" w:hAnsi="Arial" w:cs="Arial"/>
          <w:sz w:val="22"/>
          <w:szCs w:val="22"/>
        </w:rPr>
      </w:pPr>
      <w:r w:rsidRPr="00394DD9">
        <w:rPr>
          <w:rFonts w:ascii="Arial" w:hAnsi="Arial" w:cs="Arial"/>
          <w:sz w:val="22"/>
          <w:szCs w:val="22"/>
        </w:rPr>
        <w:t xml:space="preserve">Campisi, T. and Di Ruocco, I. (2025) ‘Accessibility and spatial location of parcel lockers in last-mile delivery: A literature review’, </w:t>
      </w:r>
      <w:r w:rsidRPr="00394DD9">
        <w:rPr>
          <w:rStyle w:val="Emphasis"/>
          <w:rFonts w:ascii="Arial" w:hAnsi="Arial" w:cs="Arial"/>
          <w:sz w:val="22"/>
          <w:szCs w:val="22"/>
        </w:rPr>
        <w:t>Open Transportation Journal</w:t>
      </w:r>
      <w:r w:rsidRPr="00394DD9">
        <w:rPr>
          <w:rFonts w:ascii="Arial" w:hAnsi="Arial" w:cs="Arial"/>
          <w:sz w:val="22"/>
          <w:szCs w:val="22"/>
        </w:rPr>
        <w:t xml:space="preserve">, 19, pp. 1–15. Available at: </w:t>
      </w:r>
      <w:hyperlink r:id="rId14" w:history="1">
        <w:r w:rsidRPr="00394DD9">
          <w:rPr>
            <w:rStyle w:val="Hyperlink"/>
            <w:rFonts w:ascii="Arial" w:hAnsi="Arial" w:cs="Arial"/>
            <w:color w:val="auto"/>
            <w:sz w:val="22"/>
            <w:szCs w:val="22"/>
          </w:rPr>
          <w:t>https://doi.org/10.2174/0126671212391037250827100344</w:t>
        </w:r>
      </w:hyperlink>
      <w:r w:rsidRPr="00394DD9">
        <w:rPr>
          <w:rFonts w:ascii="Arial" w:hAnsi="Arial" w:cs="Arial"/>
          <w:sz w:val="22"/>
          <w:szCs w:val="22"/>
        </w:rPr>
        <w:t>.</w:t>
      </w:r>
    </w:p>
    <w:p w14:paraId="5A79C47E" w14:textId="77777777" w:rsidR="002C5816" w:rsidRPr="00394DD9" w:rsidRDefault="002C5816" w:rsidP="000A1587">
      <w:pPr>
        <w:pStyle w:val="NormalWeb"/>
        <w:spacing w:line="276" w:lineRule="auto"/>
        <w:rPr>
          <w:rFonts w:ascii="Arial" w:hAnsi="Arial" w:cs="Arial"/>
          <w:sz w:val="22"/>
          <w:szCs w:val="22"/>
        </w:rPr>
      </w:pPr>
      <w:r w:rsidRPr="00394DD9">
        <w:rPr>
          <w:rFonts w:ascii="Arial" w:hAnsi="Arial" w:cs="Arial"/>
          <w:sz w:val="22"/>
          <w:szCs w:val="22"/>
        </w:rPr>
        <w:t xml:space="preserve">Church, E., DaSouza, R. and Awe, O. (2024) ‘Examining the antecedents of return policy leniency in eCommerce’, </w:t>
      </w:r>
      <w:r w:rsidRPr="00394DD9">
        <w:rPr>
          <w:rStyle w:val="Emphasis"/>
          <w:rFonts w:ascii="Arial" w:hAnsi="Arial" w:cs="Arial"/>
          <w:sz w:val="22"/>
          <w:szCs w:val="22"/>
        </w:rPr>
        <w:t>Journal of Electronic Commerce in Organizations</w:t>
      </w:r>
      <w:r w:rsidRPr="00394DD9">
        <w:rPr>
          <w:rFonts w:ascii="Arial" w:hAnsi="Arial" w:cs="Arial"/>
          <w:sz w:val="22"/>
          <w:szCs w:val="22"/>
        </w:rPr>
        <w:t xml:space="preserve">, 22(1), pp. 1–19. Available at: </w:t>
      </w:r>
      <w:hyperlink r:id="rId15" w:history="1">
        <w:r w:rsidRPr="00394DD9">
          <w:rPr>
            <w:rStyle w:val="Hyperlink"/>
            <w:rFonts w:ascii="Arial" w:hAnsi="Arial" w:cs="Arial"/>
            <w:color w:val="auto"/>
            <w:sz w:val="22"/>
            <w:szCs w:val="22"/>
          </w:rPr>
          <w:t>https://doi.org/10.4018/JECO.337362</w:t>
        </w:r>
      </w:hyperlink>
      <w:r w:rsidRPr="00394DD9">
        <w:rPr>
          <w:rFonts w:ascii="Arial" w:hAnsi="Arial" w:cs="Arial"/>
          <w:sz w:val="22"/>
          <w:szCs w:val="22"/>
        </w:rPr>
        <w:t>.</w:t>
      </w:r>
    </w:p>
    <w:p w14:paraId="0C740A37" w14:textId="4E617884" w:rsidR="002C5816" w:rsidRPr="00394DD9" w:rsidRDefault="002C5816" w:rsidP="000A1587">
      <w:pPr>
        <w:pStyle w:val="NormalWeb"/>
        <w:spacing w:line="276" w:lineRule="auto"/>
        <w:rPr>
          <w:rFonts w:ascii="Arial" w:hAnsi="Arial" w:cs="Arial"/>
          <w:sz w:val="22"/>
          <w:szCs w:val="22"/>
        </w:rPr>
      </w:pPr>
      <w:r w:rsidRPr="00394DD9">
        <w:rPr>
          <w:rFonts w:ascii="Arial" w:hAnsi="Arial" w:cs="Arial"/>
          <w:sz w:val="22"/>
          <w:szCs w:val="22"/>
        </w:rPr>
        <w:t xml:space="preserve">Department for Business and Trade (2025) </w:t>
      </w:r>
      <w:r w:rsidRPr="00394DD9">
        <w:rPr>
          <w:rStyle w:val="Emphasis"/>
          <w:rFonts w:ascii="Arial" w:hAnsi="Arial" w:cs="Arial"/>
          <w:sz w:val="22"/>
          <w:szCs w:val="22"/>
        </w:rPr>
        <w:t>Business population estimates for the UK and regions 2025: statistical release</w:t>
      </w:r>
      <w:r w:rsidRPr="00394DD9">
        <w:rPr>
          <w:rFonts w:ascii="Arial" w:hAnsi="Arial" w:cs="Arial"/>
          <w:sz w:val="22"/>
          <w:szCs w:val="22"/>
        </w:rPr>
        <w:t xml:space="preserve">. Available at: </w:t>
      </w:r>
      <w:hyperlink r:id="rId16" w:history="1">
        <w:r w:rsidRPr="00394DD9">
          <w:rPr>
            <w:rStyle w:val="Hyperlink"/>
            <w:rFonts w:ascii="Arial" w:hAnsi="Arial" w:cs="Arial"/>
            <w:color w:val="auto"/>
            <w:sz w:val="22"/>
            <w:szCs w:val="22"/>
          </w:rPr>
          <w:t>https://www.gov.uk/government/statistics/business-population-estimates-2025/business-population-estimates-for-the-uk-and-regions-2025-statistical-release</w:t>
        </w:r>
      </w:hyperlink>
      <w:r w:rsidRPr="00394DD9">
        <w:rPr>
          <w:rFonts w:ascii="Arial" w:hAnsi="Arial" w:cs="Arial"/>
          <w:sz w:val="22"/>
          <w:szCs w:val="22"/>
        </w:rPr>
        <w:t xml:space="preserve"> (Accessed: </w:t>
      </w:r>
      <w:r w:rsidR="009F503D">
        <w:rPr>
          <w:rFonts w:ascii="Arial" w:hAnsi="Arial" w:cs="Arial"/>
          <w:sz w:val="22"/>
          <w:szCs w:val="22"/>
        </w:rPr>
        <w:t>4</w:t>
      </w:r>
      <w:r w:rsidRPr="00394DD9">
        <w:rPr>
          <w:rFonts w:ascii="Arial" w:hAnsi="Arial" w:cs="Arial"/>
          <w:sz w:val="22"/>
          <w:szCs w:val="22"/>
        </w:rPr>
        <w:t xml:space="preserve"> August 2026).</w:t>
      </w:r>
    </w:p>
    <w:p w14:paraId="5AB89DCC" w14:textId="502DD677" w:rsidR="002C5816" w:rsidRPr="00394DD9" w:rsidRDefault="002C5816" w:rsidP="000A1587">
      <w:pPr>
        <w:pStyle w:val="NormalWeb"/>
        <w:spacing w:line="276" w:lineRule="auto"/>
        <w:rPr>
          <w:rFonts w:ascii="Arial" w:hAnsi="Arial" w:cs="Arial"/>
          <w:sz w:val="22"/>
          <w:szCs w:val="22"/>
        </w:rPr>
      </w:pPr>
      <w:r w:rsidRPr="00394DD9">
        <w:rPr>
          <w:rFonts w:ascii="Arial" w:hAnsi="Arial" w:cs="Arial"/>
          <w:sz w:val="22"/>
          <w:szCs w:val="22"/>
        </w:rPr>
        <w:t xml:space="preserve">Department for Environment, Food and Rural Affairs (2026) </w:t>
      </w:r>
      <w:r w:rsidRPr="00394DD9">
        <w:rPr>
          <w:rStyle w:val="Emphasis"/>
          <w:rFonts w:ascii="Arial" w:hAnsi="Arial" w:cs="Arial"/>
          <w:sz w:val="22"/>
          <w:szCs w:val="22"/>
        </w:rPr>
        <w:t>Future of Rural England report</w:t>
      </w:r>
      <w:r w:rsidRPr="00394DD9">
        <w:rPr>
          <w:rFonts w:ascii="Arial" w:hAnsi="Arial" w:cs="Arial"/>
          <w:sz w:val="22"/>
          <w:szCs w:val="22"/>
        </w:rPr>
        <w:t xml:space="preserve">. Available at: </w:t>
      </w:r>
      <w:hyperlink r:id="rId17" w:history="1">
        <w:r w:rsidRPr="00394DD9">
          <w:rPr>
            <w:rStyle w:val="Hyperlink"/>
            <w:rFonts w:ascii="Arial" w:hAnsi="Arial" w:cs="Arial"/>
            <w:color w:val="auto"/>
            <w:sz w:val="22"/>
            <w:szCs w:val="22"/>
          </w:rPr>
          <w:t>https://www.gov.uk/government/publications/future-of-rural-england-report/future-of-rural-england-report</w:t>
        </w:r>
      </w:hyperlink>
      <w:r w:rsidRPr="00394DD9">
        <w:rPr>
          <w:rFonts w:ascii="Arial" w:hAnsi="Arial" w:cs="Arial"/>
          <w:sz w:val="22"/>
          <w:szCs w:val="22"/>
        </w:rPr>
        <w:t xml:space="preserve"> (Accessed: </w:t>
      </w:r>
      <w:r w:rsidR="006E13FA">
        <w:rPr>
          <w:rFonts w:ascii="Arial" w:hAnsi="Arial" w:cs="Arial"/>
          <w:sz w:val="22"/>
          <w:szCs w:val="22"/>
        </w:rPr>
        <w:t xml:space="preserve">7 </w:t>
      </w:r>
      <w:r w:rsidRPr="00394DD9">
        <w:rPr>
          <w:rFonts w:ascii="Arial" w:hAnsi="Arial" w:cs="Arial"/>
          <w:sz w:val="22"/>
          <w:szCs w:val="22"/>
        </w:rPr>
        <w:t>August 2026).</w:t>
      </w:r>
    </w:p>
    <w:p w14:paraId="778A6F53" w14:textId="7878B9FB" w:rsidR="002C5816" w:rsidRPr="00394DD9" w:rsidRDefault="002C5816" w:rsidP="000A1587">
      <w:pPr>
        <w:pStyle w:val="NormalWeb"/>
        <w:spacing w:line="276" w:lineRule="auto"/>
        <w:rPr>
          <w:rFonts w:ascii="Arial" w:hAnsi="Arial" w:cs="Arial"/>
          <w:sz w:val="22"/>
          <w:szCs w:val="22"/>
        </w:rPr>
      </w:pPr>
      <w:r w:rsidRPr="00394DD9">
        <w:rPr>
          <w:rFonts w:ascii="Arial" w:hAnsi="Arial" w:cs="Arial"/>
          <w:sz w:val="22"/>
          <w:szCs w:val="22"/>
        </w:rPr>
        <w:t xml:space="preserve">DHL Group (2025) ‘DHL eCommerce UK to merge with Evri to create UK’s premier parcel delivery business’, 14 May. Available at: </w:t>
      </w:r>
      <w:hyperlink r:id="rId18" w:history="1">
        <w:r w:rsidRPr="00394DD9">
          <w:rPr>
            <w:rStyle w:val="Hyperlink"/>
            <w:rFonts w:ascii="Arial" w:hAnsi="Arial" w:cs="Arial"/>
            <w:color w:val="auto"/>
            <w:sz w:val="22"/>
            <w:szCs w:val="22"/>
          </w:rPr>
          <w:t>https://group.dhl.com/content/dam/deutschepostdhl/en/media-relations/press-releases/2025/pr-dhl-ecommerce-evri-partnership-uk-20250514.pdf</w:t>
        </w:r>
      </w:hyperlink>
      <w:r w:rsidRPr="00394DD9">
        <w:rPr>
          <w:rFonts w:ascii="Arial" w:hAnsi="Arial" w:cs="Arial"/>
          <w:sz w:val="22"/>
          <w:szCs w:val="22"/>
        </w:rPr>
        <w:t xml:space="preserve"> (Accessed: </w:t>
      </w:r>
      <w:r w:rsidR="009F503D">
        <w:rPr>
          <w:rFonts w:ascii="Arial" w:hAnsi="Arial" w:cs="Arial"/>
          <w:sz w:val="22"/>
          <w:szCs w:val="22"/>
        </w:rPr>
        <w:t>3</w:t>
      </w:r>
      <w:r w:rsidRPr="00394DD9">
        <w:rPr>
          <w:rFonts w:ascii="Arial" w:hAnsi="Arial" w:cs="Arial"/>
          <w:sz w:val="22"/>
          <w:szCs w:val="22"/>
        </w:rPr>
        <w:t xml:space="preserve"> August 2026).</w:t>
      </w:r>
    </w:p>
    <w:p w14:paraId="14DDC9A7" w14:textId="77777777" w:rsidR="002C5816" w:rsidRPr="00394DD9" w:rsidRDefault="002C5816" w:rsidP="000A1587">
      <w:pPr>
        <w:pStyle w:val="NormalWeb"/>
        <w:spacing w:line="276" w:lineRule="auto"/>
        <w:rPr>
          <w:rFonts w:ascii="Arial" w:hAnsi="Arial" w:cs="Arial"/>
          <w:sz w:val="22"/>
          <w:szCs w:val="22"/>
        </w:rPr>
      </w:pPr>
      <w:proofErr w:type="spellStart"/>
      <w:r w:rsidRPr="00394DD9">
        <w:rPr>
          <w:rFonts w:ascii="Arial" w:hAnsi="Arial" w:cs="Arial"/>
          <w:sz w:val="22"/>
          <w:szCs w:val="22"/>
        </w:rPr>
        <w:t>Farrokhnia</w:t>
      </w:r>
      <w:proofErr w:type="spellEnd"/>
      <w:r w:rsidRPr="00394DD9">
        <w:rPr>
          <w:rFonts w:ascii="Arial" w:hAnsi="Arial" w:cs="Arial"/>
          <w:sz w:val="22"/>
          <w:szCs w:val="22"/>
        </w:rPr>
        <w:t xml:space="preserve">, M., </w:t>
      </w:r>
      <w:proofErr w:type="spellStart"/>
      <w:r w:rsidRPr="00394DD9">
        <w:rPr>
          <w:rFonts w:ascii="Arial" w:hAnsi="Arial" w:cs="Arial"/>
          <w:sz w:val="22"/>
          <w:szCs w:val="22"/>
        </w:rPr>
        <w:t>Noroozi</w:t>
      </w:r>
      <w:proofErr w:type="spellEnd"/>
      <w:r w:rsidRPr="00394DD9">
        <w:rPr>
          <w:rFonts w:ascii="Arial" w:hAnsi="Arial" w:cs="Arial"/>
          <w:sz w:val="22"/>
          <w:szCs w:val="22"/>
        </w:rPr>
        <w:t xml:space="preserve">, O., </w:t>
      </w:r>
      <w:proofErr w:type="spellStart"/>
      <w:r w:rsidRPr="00394DD9">
        <w:rPr>
          <w:rFonts w:ascii="Arial" w:hAnsi="Arial" w:cs="Arial"/>
          <w:sz w:val="22"/>
          <w:szCs w:val="22"/>
        </w:rPr>
        <w:t>Baggen</w:t>
      </w:r>
      <w:proofErr w:type="spellEnd"/>
      <w:r w:rsidRPr="00394DD9">
        <w:rPr>
          <w:rFonts w:ascii="Arial" w:hAnsi="Arial" w:cs="Arial"/>
          <w:sz w:val="22"/>
          <w:szCs w:val="22"/>
        </w:rPr>
        <w:t>, Y. and Biemans, H.J.A. (2023) ‘Sparking creativity in entrepreneurship courses: The effect of using the SCAMPER technique in brainstorming sessions’, paper presented at the 3E Conference, Aarhus, Denmark, 10–12 May.</w:t>
      </w:r>
    </w:p>
    <w:p w14:paraId="1B8DC0F2" w14:textId="77777777" w:rsidR="002C5816" w:rsidRPr="00394DD9" w:rsidRDefault="002C5816" w:rsidP="000A1587">
      <w:pPr>
        <w:pStyle w:val="NormalWeb"/>
        <w:spacing w:line="276" w:lineRule="auto"/>
        <w:rPr>
          <w:rFonts w:ascii="Arial" w:hAnsi="Arial" w:cs="Arial"/>
          <w:sz w:val="22"/>
          <w:szCs w:val="22"/>
        </w:rPr>
      </w:pPr>
      <w:r w:rsidRPr="00394DD9">
        <w:rPr>
          <w:rFonts w:ascii="Arial" w:hAnsi="Arial" w:cs="Arial"/>
          <w:sz w:val="22"/>
          <w:szCs w:val="22"/>
        </w:rPr>
        <w:t xml:space="preserve">Holz, H.F., Becker, M., Blut, M. and Paluch, S. (2024) ‘Eliminating customer experience pain points in complex customer journeys through smart service solutions’, </w:t>
      </w:r>
      <w:r w:rsidRPr="00394DD9">
        <w:rPr>
          <w:rStyle w:val="Emphasis"/>
          <w:rFonts w:ascii="Arial" w:hAnsi="Arial" w:cs="Arial"/>
          <w:sz w:val="22"/>
          <w:szCs w:val="22"/>
        </w:rPr>
        <w:t>Psychology &amp; Marketing</w:t>
      </w:r>
      <w:r w:rsidRPr="00394DD9">
        <w:rPr>
          <w:rFonts w:ascii="Arial" w:hAnsi="Arial" w:cs="Arial"/>
          <w:sz w:val="22"/>
          <w:szCs w:val="22"/>
        </w:rPr>
        <w:t xml:space="preserve">, 41(3), pp. 592–609. Available at: </w:t>
      </w:r>
      <w:hyperlink r:id="rId19" w:history="1">
        <w:r w:rsidRPr="00394DD9">
          <w:rPr>
            <w:rStyle w:val="Hyperlink"/>
            <w:rFonts w:ascii="Arial" w:hAnsi="Arial" w:cs="Arial"/>
            <w:color w:val="auto"/>
            <w:sz w:val="22"/>
            <w:szCs w:val="22"/>
          </w:rPr>
          <w:t>https://doi.org/10.1002/mar.21938</w:t>
        </w:r>
      </w:hyperlink>
      <w:r w:rsidRPr="00394DD9">
        <w:rPr>
          <w:rFonts w:ascii="Arial" w:hAnsi="Arial" w:cs="Arial"/>
          <w:sz w:val="22"/>
          <w:szCs w:val="22"/>
        </w:rPr>
        <w:t>.</w:t>
      </w:r>
    </w:p>
    <w:p w14:paraId="282FBD03" w14:textId="16C0C4CD" w:rsidR="002C5816" w:rsidRPr="00394DD9" w:rsidRDefault="002C5816" w:rsidP="000A1587">
      <w:pPr>
        <w:pStyle w:val="NormalWeb"/>
        <w:spacing w:line="276" w:lineRule="auto"/>
        <w:rPr>
          <w:rFonts w:ascii="Arial" w:hAnsi="Arial" w:cs="Arial"/>
          <w:sz w:val="22"/>
          <w:szCs w:val="22"/>
        </w:rPr>
      </w:pPr>
      <w:r w:rsidRPr="00394DD9">
        <w:rPr>
          <w:rFonts w:ascii="Arial" w:hAnsi="Arial" w:cs="Arial"/>
          <w:sz w:val="22"/>
          <w:szCs w:val="22"/>
        </w:rPr>
        <w:lastRenderedPageBreak/>
        <w:t xml:space="preserve">International Distribution Services Limited (2026) </w:t>
      </w:r>
      <w:r w:rsidRPr="00394DD9">
        <w:rPr>
          <w:rStyle w:val="Emphasis"/>
          <w:rFonts w:ascii="Arial" w:hAnsi="Arial" w:cs="Arial"/>
          <w:sz w:val="22"/>
          <w:szCs w:val="22"/>
        </w:rPr>
        <w:t>Annual Report and Financial Statements 2025–26</w:t>
      </w:r>
      <w:r w:rsidRPr="00394DD9">
        <w:rPr>
          <w:rFonts w:ascii="Arial" w:hAnsi="Arial" w:cs="Arial"/>
          <w:sz w:val="22"/>
          <w:szCs w:val="22"/>
        </w:rPr>
        <w:t xml:space="preserve">. Available at: </w:t>
      </w:r>
      <w:hyperlink r:id="rId20" w:history="1">
        <w:r w:rsidRPr="00394DD9">
          <w:rPr>
            <w:rStyle w:val="Hyperlink"/>
            <w:rFonts w:ascii="Arial" w:hAnsi="Arial" w:cs="Arial"/>
            <w:color w:val="auto"/>
            <w:sz w:val="22"/>
            <w:szCs w:val="22"/>
          </w:rPr>
          <w:t>https://www.internationaldistributionservices.com/media/13027/ids-annual-report-2025-26.pdf</w:t>
        </w:r>
      </w:hyperlink>
      <w:r w:rsidRPr="00394DD9">
        <w:rPr>
          <w:rFonts w:ascii="Arial" w:hAnsi="Arial" w:cs="Arial"/>
          <w:sz w:val="22"/>
          <w:szCs w:val="22"/>
        </w:rPr>
        <w:t xml:space="preserve"> (Accessed: </w:t>
      </w:r>
      <w:r w:rsidR="009F503D">
        <w:rPr>
          <w:rFonts w:ascii="Arial" w:hAnsi="Arial" w:cs="Arial"/>
          <w:sz w:val="22"/>
          <w:szCs w:val="22"/>
        </w:rPr>
        <w:t>11</w:t>
      </w:r>
      <w:r w:rsidRPr="00394DD9">
        <w:rPr>
          <w:rFonts w:ascii="Arial" w:hAnsi="Arial" w:cs="Arial"/>
          <w:sz w:val="22"/>
          <w:szCs w:val="22"/>
        </w:rPr>
        <w:t xml:space="preserve"> August 2026).</w:t>
      </w:r>
    </w:p>
    <w:p w14:paraId="4A72DF4D" w14:textId="0FC567F2" w:rsidR="002C5816" w:rsidRPr="00394DD9" w:rsidRDefault="002C5816" w:rsidP="000A1587">
      <w:pPr>
        <w:pStyle w:val="NormalWeb"/>
        <w:spacing w:line="276" w:lineRule="auto"/>
        <w:rPr>
          <w:rFonts w:ascii="Arial" w:hAnsi="Arial" w:cs="Arial"/>
          <w:sz w:val="22"/>
          <w:szCs w:val="22"/>
        </w:rPr>
      </w:pPr>
      <w:r w:rsidRPr="00394DD9">
        <w:rPr>
          <w:rFonts w:ascii="Arial" w:hAnsi="Arial" w:cs="Arial"/>
          <w:sz w:val="22"/>
          <w:szCs w:val="22"/>
        </w:rPr>
        <w:t xml:space="preserve">International Logistics Group (2026) </w:t>
      </w:r>
      <w:r w:rsidRPr="00394DD9">
        <w:rPr>
          <w:rStyle w:val="Emphasis"/>
          <w:rFonts w:ascii="Arial" w:hAnsi="Arial" w:cs="Arial"/>
          <w:sz w:val="22"/>
          <w:szCs w:val="22"/>
        </w:rPr>
        <w:t>The UK Retail Growth Report 2026</w:t>
      </w:r>
      <w:r w:rsidRPr="00394DD9">
        <w:rPr>
          <w:rFonts w:ascii="Arial" w:hAnsi="Arial" w:cs="Arial"/>
          <w:sz w:val="22"/>
          <w:szCs w:val="22"/>
        </w:rPr>
        <w:t xml:space="preserve">. Available at: </w:t>
      </w:r>
      <w:hyperlink r:id="rId21" w:history="1">
        <w:r w:rsidRPr="00394DD9">
          <w:rPr>
            <w:rStyle w:val="Hyperlink"/>
            <w:rFonts w:ascii="Arial" w:hAnsi="Arial" w:cs="Arial"/>
            <w:color w:val="auto"/>
            <w:sz w:val="22"/>
            <w:szCs w:val="22"/>
          </w:rPr>
          <w:t>https://www.international-logistics-group.com/uk-en/insights/uk-omnichannel-retail-in-2026-164060/</w:t>
        </w:r>
      </w:hyperlink>
      <w:r w:rsidRPr="00394DD9">
        <w:rPr>
          <w:rFonts w:ascii="Arial" w:hAnsi="Arial" w:cs="Arial"/>
          <w:sz w:val="22"/>
          <w:szCs w:val="22"/>
        </w:rPr>
        <w:t xml:space="preserve"> (Accessed: </w:t>
      </w:r>
      <w:r w:rsidR="009F503D">
        <w:rPr>
          <w:rFonts w:ascii="Arial" w:hAnsi="Arial" w:cs="Arial"/>
          <w:sz w:val="22"/>
          <w:szCs w:val="22"/>
        </w:rPr>
        <w:t>1</w:t>
      </w:r>
      <w:r w:rsidR="002240AE">
        <w:rPr>
          <w:rFonts w:ascii="Arial" w:hAnsi="Arial" w:cs="Arial"/>
          <w:sz w:val="22"/>
          <w:szCs w:val="22"/>
        </w:rPr>
        <w:t>0</w:t>
      </w:r>
      <w:r w:rsidRPr="00394DD9">
        <w:rPr>
          <w:rFonts w:ascii="Arial" w:hAnsi="Arial" w:cs="Arial"/>
          <w:sz w:val="22"/>
          <w:szCs w:val="22"/>
        </w:rPr>
        <w:t xml:space="preserve"> August 2026).</w:t>
      </w:r>
    </w:p>
    <w:p w14:paraId="33ED6431" w14:textId="77777777" w:rsidR="002C5816" w:rsidRPr="00394DD9" w:rsidRDefault="002C5816" w:rsidP="000A1587">
      <w:pPr>
        <w:pStyle w:val="NormalWeb"/>
        <w:spacing w:line="276" w:lineRule="auto"/>
        <w:rPr>
          <w:rFonts w:ascii="Arial" w:hAnsi="Arial" w:cs="Arial"/>
          <w:sz w:val="22"/>
          <w:szCs w:val="22"/>
        </w:rPr>
      </w:pPr>
      <w:proofErr w:type="spellStart"/>
      <w:r w:rsidRPr="00394DD9">
        <w:rPr>
          <w:rFonts w:ascii="Arial" w:hAnsi="Arial" w:cs="Arial"/>
          <w:sz w:val="22"/>
          <w:szCs w:val="22"/>
        </w:rPr>
        <w:t>Langenaeker</w:t>
      </w:r>
      <w:proofErr w:type="spellEnd"/>
      <w:r w:rsidRPr="00394DD9">
        <w:rPr>
          <w:rFonts w:ascii="Arial" w:hAnsi="Arial" w:cs="Arial"/>
          <w:sz w:val="22"/>
          <w:szCs w:val="22"/>
        </w:rPr>
        <w:t xml:space="preserve">, A., </w:t>
      </w:r>
      <w:proofErr w:type="spellStart"/>
      <w:r w:rsidRPr="00394DD9">
        <w:rPr>
          <w:rFonts w:ascii="Arial" w:hAnsi="Arial" w:cs="Arial"/>
          <w:sz w:val="22"/>
          <w:szCs w:val="22"/>
        </w:rPr>
        <w:t>Nimmegeers</w:t>
      </w:r>
      <w:proofErr w:type="spellEnd"/>
      <w:r w:rsidRPr="00394DD9">
        <w:rPr>
          <w:rFonts w:ascii="Arial" w:hAnsi="Arial" w:cs="Arial"/>
          <w:sz w:val="22"/>
          <w:szCs w:val="22"/>
        </w:rPr>
        <w:t xml:space="preserve">, P. and </w:t>
      </w:r>
      <w:proofErr w:type="spellStart"/>
      <w:r w:rsidRPr="00394DD9">
        <w:rPr>
          <w:rFonts w:ascii="Arial" w:hAnsi="Arial" w:cs="Arial"/>
          <w:sz w:val="22"/>
          <w:szCs w:val="22"/>
        </w:rPr>
        <w:t>Defryn</w:t>
      </w:r>
      <w:proofErr w:type="spellEnd"/>
      <w:r w:rsidRPr="00394DD9">
        <w:rPr>
          <w:rFonts w:ascii="Arial" w:hAnsi="Arial" w:cs="Arial"/>
          <w:sz w:val="22"/>
          <w:szCs w:val="22"/>
        </w:rPr>
        <w:t xml:space="preserve">, C. (2026) ‘Circular supply chain design and optimisation through operations research: A systematic review with a process-based perspective and research priorities’, </w:t>
      </w:r>
      <w:r w:rsidRPr="00394DD9">
        <w:rPr>
          <w:rStyle w:val="Emphasis"/>
          <w:rFonts w:ascii="Arial" w:hAnsi="Arial" w:cs="Arial"/>
          <w:sz w:val="22"/>
          <w:szCs w:val="22"/>
        </w:rPr>
        <w:t>Cleaner Logistics and Supply Chain</w:t>
      </w:r>
      <w:r w:rsidRPr="00394DD9">
        <w:rPr>
          <w:rFonts w:ascii="Arial" w:hAnsi="Arial" w:cs="Arial"/>
          <w:sz w:val="22"/>
          <w:szCs w:val="22"/>
        </w:rPr>
        <w:t xml:space="preserve">, 19, article 100334. Available at: </w:t>
      </w:r>
      <w:hyperlink r:id="rId22" w:history="1">
        <w:r w:rsidRPr="00394DD9">
          <w:rPr>
            <w:rStyle w:val="Hyperlink"/>
            <w:rFonts w:ascii="Arial" w:hAnsi="Arial" w:cs="Arial"/>
            <w:color w:val="auto"/>
            <w:sz w:val="22"/>
            <w:szCs w:val="22"/>
          </w:rPr>
          <w:t>https://doi.org/10.1016/j.clscn.2026.100334</w:t>
        </w:r>
      </w:hyperlink>
      <w:r w:rsidRPr="00394DD9">
        <w:rPr>
          <w:rFonts w:ascii="Arial" w:hAnsi="Arial" w:cs="Arial"/>
          <w:sz w:val="22"/>
          <w:szCs w:val="22"/>
        </w:rPr>
        <w:t>.</w:t>
      </w:r>
    </w:p>
    <w:p w14:paraId="35296FC3" w14:textId="77777777" w:rsidR="002C5816" w:rsidRPr="00394DD9" w:rsidRDefault="002C5816" w:rsidP="000A1587">
      <w:pPr>
        <w:pStyle w:val="NormalWeb"/>
        <w:spacing w:line="276" w:lineRule="auto"/>
        <w:rPr>
          <w:rFonts w:ascii="Arial" w:hAnsi="Arial" w:cs="Arial"/>
          <w:sz w:val="22"/>
          <w:szCs w:val="22"/>
        </w:rPr>
      </w:pPr>
      <w:r w:rsidRPr="00394DD9">
        <w:rPr>
          <w:rFonts w:ascii="Arial" w:hAnsi="Arial" w:cs="Arial"/>
          <w:sz w:val="22"/>
          <w:szCs w:val="22"/>
        </w:rPr>
        <w:t xml:space="preserve">Mkansi, M. (2022) ‘E-business adoption costs and strategies for retail micro businesses’, </w:t>
      </w:r>
      <w:r w:rsidRPr="00394DD9">
        <w:rPr>
          <w:rStyle w:val="Emphasis"/>
          <w:rFonts w:ascii="Arial" w:hAnsi="Arial" w:cs="Arial"/>
          <w:sz w:val="22"/>
          <w:szCs w:val="22"/>
        </w:rPr>
        <w:t>Electronic Commerce Research</w:t>
      </w:r>
      <w:r w:rsidRPr="00394DD9">
        <w:rPr>
          <w:rFonts w:ascii="Arial" w:hAnsi="Arial" w:cs="Arial"/>
          <w:sz w:val="22"/>
          <w:szCs w:val="22"/>
        </w:rPr>
        <w:t xml:space="preserve">, 22, pp. 1153–1193. Available at: </w:t>
      </w:r>
      <w:hyperlink r:id="rId23" w:history="1">
        <w:r w:rsidRPr="00394DD9">
          <w:rPr>
            <w:rStyle w:val="Hyperlink"/>
            <w:rFonts w:ascii="Arial" w:hAnsi="Arial" w:cs="Arial"/>
            <w:color w:val="auto"/>
            <w:sz w:val="22"/>
            <w:szCs w:val="22"/>
          </w:rPr>
          <w:t>https://doi.org/10.1007/s10660-020-09448-7</w:t>
        </w:r>
      </w:hyperlink>
      <w:r w:rsidRPr="00394DD9">
        <w:rPr>
          <w:rFonts w:ascii="Arial" w:hAnsi="Arial" w:cs="Arial"/>
          <w:sz w:val="22"/>
          <w:szCs w:val="22"/>
        </w:rPr>
        <w:t>.</w:t>
      </w:r>
    </w:p>
    <w:p w14:paraId="11B15C04" w14:textId="77777777" w:rsidR="002C5816" w:rsidRPr="00394DD9" w:rsidRDefault="002C5816" w:rsidP="000A1587">
      <w:pPr>
        <w:pStyle w:val="NormalWeb"/>
        <w:spacing w:line="276" w:lineRule="auto"/>
        <w:rPr>
          <w:rFonts w:ascii="Arial" w:hAnsi="Arial" w:cs="Arial"/>
          <w:sz w:val="22"/>
          <w:szCs w:val="22"/>
        </w:rPr>
      </w:pPr>
      <w:proofErr w:type="spellStart"/>
      <w:r w:rsidRPr="00394DD9">
        <w:rPr>
          <w:rFonts w:ascii="Arial" w:hAnsi="Arial" w:cs="Arial"/>
          <w:sz w:val="22"/>
          <w:szCs w:val="22"/>
        </w:rPr>
        <w:t>Moazzeni</w:t>
      </w:r>
      <w:proofErr w:type="spellEnd"/>
      <w:r w:rsidRPr="00394DD9">
        <w:rPr>
          <w:rFonts w:ascii="Arial" w:hAnsi="Arial" w:cs="Arial"/>
          <w:sz w:val="22"/>
          <w:szCs w:val="22"/>
        </w:rPr>
        <w:t xml:space="preserve">, S. and Sgarbossa, F. (2026) ‘Enabling collaborative logistics in rural contexts with digital technologies: A systematic literature review’, </w:t>
      </w:r>
      <w:r w:rsidRPr="00394DD9">
        <w:rPr>
          <w:rStyle w:val="Emphasis"/>
          <w:rFonts w:ascii="Arial" w:hAnsi="Arial" w:cs="Arial"/>
          <w:sz w:val="22"/>
          <w:szCs w:val="22"/>
        </w:rPr>
        <w:t>International Journal of Production Research</w:t>
      </w:r>
      <w:r w:rsidRPr="00394DD9">
        <w:rPr>
          <w:rFonts w:ascii="Arial" w:hAnsi="Arial" w:cs="Arial"/>
          <w:sz w:val="22"/>
          <w:szCs w:val="22"/>
        </w:rPr>
        <w:t xml:space="preserve">, 64(7), pp. 2805–2828. Available at: </w:t>
      </w:r>
      <w:hyperlink r:id="rId24" w:history="1">
        <w:r w:rsidRPr="00394DD9">
          <w:rPr>
            <w:rStyle w:val="Hyperlink"/>
            <w:rFonts w:ascii="Arial" w:hAnsi="Arial" w:cs="Arial"/>
            <w:color w:val="auto"/>
            <w:sz w:val="22"/>
            <w:szCs w:val="22"/>
          </w:rPr>
          <w:t>https://doi.org/10.1080/00207543.2025.2610764</w:t>
        </w:r>
      </w:hyperlink>
      <w:r w:rsidRPr="00394DD9">
        <w:rPr>
          <w:rFonts w:ascii="Arial" w:hAnsi="Arial" w:cs="Arial"/>
          <w:sz w:val="22"/>
          <w:szCs w:val="22"/>
        </w:rPr>
        <w:t>.</w:t>
      </w:r>
    </w:p>
    <w:p w14:paraId="5C23C690" w14:textId="62659227" w:rsidR="002C5816" w:rsidRPr="00394DD9" w:rsidRDefault="002C5816" w:rsidP="000A1587">
      <w:pPr>
        <w:pStyle w:val="NormalWeb"/>
        <w:spacing w:line="276" w:lineRule="auto"/>
        <w:rPr>
          <w:rFonts w:ascii="Arial" w:hAnsi="Arial" w:cs="Arial"/>
          <w:sz w:val="22"/>
          <w:szCs w:val="22"/>
        </w:rPr>
      </w:pPr>
      <w:r w:rsidRPr="00394DD9">
        <w:rPr>
          <w:rFonts w:ascii="Arial" w:hAnsi="Arial" w:cs="Arial"/>
          <w:sz w:val="22"/>
          <w:szCs w:val="22"/>
        </w:rPr>
        <w:t xml:space="preserve">OECD (2026) </w:t>
      </w:r>
      <w:r w:rsidRPr="00394DD9">
        <w:rPr>
          <w:rStyle w:val="Emphasis"/>
          <w:rFonts w:ascii="Arial" w:hAnsi="Arial" w:cs="Arial"/>
          <w:sz w:val="22"/>
          <w:szCs w:val="22"/>
        </w:rPr>
        <w:t>SME Technology Adoption in the United Kingdom</w:t>
      </w:r>
      <w:r w:rsidRPr="00394DD9">
        <w:rPr>
          <w:rFonts w:ascii="Arial" w:hAnsi="Arial" w:cs="Arial"/>
          <w:sz w:val="22"/>
          <w:szCs w:val="22"/>
        </w:rPr>
        <w:t xml:space="preserve">. Paris: OECD Publishing. Available at: </w:t>
      </w:r>
      <w:hyperlink r:id="rId25" w:history="1">
        <w:r w:rsidRPr="00394DD9">
          <w:rPr>
            <w:rStyle w:val="Hyperlink"/>
            <w:rFonts w:ascii="Arial" w:hAnsi="Arial" w:cs="Arial"/>
            <w:color w:val="auto"/>
            <w:sz w:val="22"/>
            <w:szCs w:val="22"/>
          </w:rPr>
          <w:t>https://doi.org/10.1787/5f25ce2a-en</w:t>
        </w:r>
      </w:hyperlink>
      <w:r w:rsidRPr="00394DD9">
        <w:rPr>
          <w:rFonts w:ascii="Arial" w:hAnsi="Arial" w:cs="Arial"/>
          <w:sz w:val="22"/>
          <w:szCs w:val="22"/>
        </w:rPr>
        <w:t>.</w:t>
      </w:r>
    </w:p>
    <w:p w14:paraId="1309BDD8" w14:textId="7DAEEAFE" w:rsidR="002C5816" w:rsidRPr="00394DD9" w:rsidRDefault="002C5816" w:rsidP="000A1587">
      <w:pPr>
        <w:pStyle w:val="NormalWeb"/>
        <w:spacing w:line="276" w:lineRule="auto"/>
        <w:rPr>
          <w:rFonts w:ascii="Arial" w:hAnsi="Arial" w:cs="Arial"/>
          <w:sz w:val="22"/>
          <w:szCs w:val="22"/>
        </w:rPr>
      </w:pPr>
      <w:r w:rsidRPr="00394DD9">
        <w:rPr>
          <w:rFonts w:ascii="Arial" w:hAnsi="Arial" w:cs="Arial"/>
          <w:sz w:val="22"/>
          <w:szCs w:val="22"/>
        </w:rPr>
        <w:t xml:space="preserve">Ofcom (2025) ‘Best and worst parcel firms for customer satisfaction revealed’. Available at: </w:t>
      </w:r>
      <w:hyperlink r:id="rId26" w:history="1">
        <w:r w:rsidRPr="00394DD9">
          <w:rPr>
            <w:rStyle w:val="Hyperlink"/>
            <w:rFonts w:ascii="Arial" w:hAnsi="Arial" w:cs="Arial"/>
            <w:color w:val="auto"/>
            <w:sz w:val="22"/>
            <w:szCs w:val="22"/>
          </w:rPr>
          <w:t>https://www.ofcom.org.uk/post/deliveries-and-charges/best-and-worst-parcel-firms-for-customer-satisfaction-revealed-2025</w:t>
        </w:r>
      </w:hyperlink>
      <w:r w:rsidRPr="00394DD9">
        <w:rPr>
          <w:rFonts w:ascii="Arial" w:hAnsi="Arial" w:cs="Arial"/>
          <w:sz w:val="22"/>
          <w:szCs w:val="22"/>
        </w:rPr>
        <w:t xml:space="preserve"> (Accessed: </w:t>
      </w:r>
      <w:r w:rsidR="008858DF">
        <w:rPr>
          <w:rFonts w:ascii="Arial" w:hAnsi="Arial" w:cs="Arial"/>
          <w:sz w:val="22"/>
          <w:szCs w:val="22"/>
        </w:rPr>
        <w:t>5</w:t>
      </w:r>
      <w:r w:rsidRPr="00394DD9">
        <w:rPr>
          <w:rFonts w:ascii="Arial" w:hAnsi="Arial" w:cs="Arial"/>
          <w:sz w:val="22"/>
          <w:szCs w:val="22"/>
        </w:rPr>
        <w:t xml:space="preserve"> August 2026).</w:t>
      </w:r>
    </w:p>
    <w:p w14:paraId="77C4CD26" w14:textId="6051DD27" w:rsidR="002C5816" w:rsidRPr="00394DD9" w:rsidRDefault="002C5816" w:rsidP="000A1587">
      <w:pPr>
        <w:pStyle w:val="NormalWeb"/>
        <w:spacing w:line="276" w:lineRule="auto"/>
        <w:rPr>
          <w:rFonts w:ascii="Arial" w:hAnsi="Arial" w:cs="Arial"/>
          <w:sz w:val="22"/>
          <w:szCs w:val="22"/>
        </w:rPr>
      </w:pPr>
      <w:r w:rsidRPr="00394DD9">
        <w:rPr>
          <w:rFonts w:ascii="Arial" w:hAnsi="Arial" w:cs="Arial"/>
          <w:sz w:val="22"/>
          <w:szCs w:val="22"/>
        </w:rPr>
        <w:t xml:space="preserve">Royal Mail Group Limited (2026) </w:t>
      </w:r>
      <w:r w:rsidRPr="00394DD9">
        <w:rPr>
          <w:rStyle w:val="Emphasis"/>
          <w:rFonts w:ascii="Arial" w:hAnsi="Arial" w:cs="Arial"/>
          <w:sz w:val="22"/>
          <w:szCs w:val="22"/>
        </w:rPr>
        <w:t>Sustainability Report 2025–26</w:t>
      </w:r>
      <w:r w:rsidRPr="00394DD9">
        <w:rPr>
          <w:rFonts w:ascii="Arial" w:hAnsi="Arial" w:cs="Arial"/>
          <w:sz w:val="22"/>
          <w:szCs w:val="22"/>
        </w:rPr>
        <w:t xml:space="preserve">. Available at: </w:t>
      </w:r>
      <w:hyperlink r:id="rId27" w:history="1">
        <w:r w:rsidRPr="00394DD9">
          <w:rPr>
            <w:rStyle w:val="Hyperlink"/>
            <w:rFonts w:ascii="Arial" w:hAnsi="Arial" w:cs="Arial"/>
            <w:color w:val="auto"/>
            <w:sz w:val="22"/>
            <w:szCs w:val="22"/>
          </w:rPr>
          <w:t>https://www.royalmail.com/sustainability</w:t>
        </w:r>
      </w:hyperlink>
      <w:r w:rsidRPr="00394DD9">
        <w:rPr>
          <w:rFonts w:ascii="Arial" w:hAnsi="Arial" w:cs="Arial"/>
          <w:sz w:val="22"/>
          <w:szCs w:val="22"/>
        </w:rPr>
        <w:t xml:space="preserve"> (Accessed: </w:t>
      </w:r>
      <w:r w:rsidR="008858DF">
        <w:rPr>
          <w:rFonts w:ascii="Arial" w:hAnsi="Arial" w:cs="Arial"/>
          <w:sz w:val="22"/>
          <w:szCs w:val="22"/>
        </w:rPr>
        <w:t>12</w:t>
      </w:r>
      <w:r w:rsidRPr="00394DD9">
        <w:rPr>
          <w:rFonts w:ascii="Arial" w:hAnsi="Arial" w:cs="Arial"/>
          <w:sz w:val="22"/>
          <w:szCs w:val="22"/>
        </w:rPr>
        <w:t xml:space="preserve"> August 2026).</w:t>
      </w:r>
    </w:p>
    <w:p w14:paraId="53FF2829" w14:textId="77777777" w:rsidR="002C5816" w:rsidRPr="00394DD9" w:rsidRDefault="002C5816" w:rsidP="000A1587">
      <w:pPr>
        <w:pStyle w:val="NormalWeb"/>
        <w:spacing w:line="276" w:lineRule="auto"/>
        <w:rPr>
          <w:rFonts w:ascii="Arial" w:hAnsi="Arial" w:cs="Arial"/>
          <w:sz w:val="22"/>
          <w:szCs w:val="22"/>
        </w:rPr>
      </w:pPr>
      <w:r w:rsidRPr="00394DD9">
        <w:rPr>
          <w:rFonts w:ascii="Arial" w:hAnsi="Arial" w:cs="Arial"/>
          <w:sz w:val="22"/>
          <w:szCs w:val="22"/>
        </w:rPr>
        <w:t xml:space="preserve">Schnieder, M. (2024) ‘Visualising carrier consolidation and alternative delivery locations: A digital model of last-mile delivery in England and Wales’, </w:t>
      </w:r>
      <w:r w:rsidRPr="00394DD9">
        <w:rPr>
          <w:rStyle w:val="Emphasis"/>
          <w:rFonts w:ascii="Arial" w:hAnsi="Arial" w:cs="Arial"/>
          <w:sz w:val="22"/>
          <w:szCs w:val="22"/>
        </w:rPr>
        <w:t>Logistics</w:t>
      </w:r>
      <w:r w:rsidRPr="00394DD9">
        <w:rPr>
          <w:rFonts w:ascii="Arial" w:hAnsi="Arial" w:cs="Arial"/>
          <w:sz w:val="22"/>
          <w:szCs w:val="22"/>
        </w:rPr>
        <w:t xml:space="preserve">, 8(3), article 77. Available at: </w:t>
      </w:r>
      <w:hyperlink r:id="rId28" w:history="1">
        <w:r w:rsidRPr="00394DD9">
          <w:rPr>
            <w:rStyle w:val="Hyperlink"/>
            <w:rFonts w:ascii="Arial" w:hAnsi="Arial" w:cs="Arial"/>
            <w:color w:val="auto"/>
            <w:sz w:val="22"/>
            <w:szCs w:val="22"/>
          </w:rPr>
          <w:t>https://doi.org/10.3390/logistics8030077</w:t>
        </w:r>
      </w:hyperlink>
      <w:r w:rsidRPr="00394DD9">
        <w:rPr>
          <w:rFonts w:ascii="Arial" w:hAnsi="Arial" w:cs="Arial"/>
          <w:sz w:val="22"/>
          <w:szCs w:val="22"/>
        </w:rPr>
        <w:t>.</w:t>
      </w:r>
    </w:p>
    <w:p w14:paraId="7EB48262" w14:textId="77777777" w:rsidR="002C5816" w:rsidRPr="00394DD9" w:rsidRDefault="002C5816" w:rsidP="000A1587">
      <w:pPr>
        <w:pStyle w:val="NormalWeb"/>
        <w:spacing w:line="276" w:lineRule="auto"/>
        <w:rPr>
          <w:rFonts w:ascii="Arial" w:hAnsi="Arial" w:cs="Arial"/>
          <w:sz w:val="22"/>
          <w:szCs w:val="22"/>
        </w:rPr>
      </w:pPr>
      <w:r w:rsidRPr="00394DD9">
        <w:rPr>
          <w:rFonts w:ascii="Arial" w:hAnsi="Arial" w:cs="Arial"/>
          <w:sz w:val="22"/>
          <w:szCs w:val="22"/>
        </w:rPr>
        <w:t xml:space="preserve">Stevenson, R., Burnell, D. and Fisher, G. (2024) ‘The minimum viable product (MVP): Theory and practice’, </w:t>
      </w:r>
      <w:r w:rsidRPr="00394DD9">
        <w:rPr>
          <w:rStyle w:val="Emphasis"/>
          <w:rFonts w:ascii="Arial" w:hAnsi="Arial" w:cs="Arial"/>
          <w:sz w:val="22"/>
          <w:szCs w:val="22"/>
        </w:rPr>
        <w:t>Journal of Management</w:t>
      </w:r>
      <w:r w:rsidRPr="00394DD9">
        <w:rPr>
          <w:rFonts w:ascii="Arial" w:hAnsi="Arial" w:cs="Arial"/>
          <w:sz w:val="22"/>
          <w:szCs w:val="22"/>
        </w:rPr>
        <w:t xml:space="preserve">, 50(8), pp. 3202–3231. Available at: </w:t>
      </w:r>
      <w:hyperlink r:id="rId29" w:history="1">
        <w:r w:rsidRPr="00394DD9">
          <w:rPr>
            <w:rStyle w:val="Hyperlink"/>
            <w:rFonts w:ascii="Arial" w:hAnsi="Arial" w:cs="Arial"/>
            <w:color w:val="auto"/>
            <w:sz w:val="22"/>
            <w:szCs w:val="22"/>
          </w:rPr>
          <w:t>https://doi.org/10.1177/01492063241227154</w:t>
        </w:r>
      </w:hyperlink>
      <w:r w:rsidRPr="00394DD9">
        <w:rPr>
          <w:rFonts w:ascii="Arial" w:hAnsi="Arial" w:cs="Arial"/>
          <w:sz w:val="22"/>
          <w:szCs w:val="22"/>
        </w:rPr>
        <w:t>.</w:t>
      </w:r>
    </w:p>
    <w:p w14:paraId="30740AC1" w14:textId="3F9E0E90" w:rsidR="002C5816" w:rsidRPr="00A40786" w:rsidRDefault="002C5816" w:rsidP="008858DF">
      <w:pPr>
        <w:pStyle w:val="NormalWeb"/>
        <w:spacing w:line="276" w:lineRule="auto"/>
        <w:rPr>
          <w:rFonts w:ascii="Arial" w:hAnsi="Arial" w:cs="Arial"/>
          <w:sz w:val="22"/>
          <w:szCs w:val="22"/>
        </w:rPr>
      </w:pPr>
      <w:r w:rsidRPr="00394DD9">
        <w:rPr>
          <w:rFonts w:ascii="Arial" w:hAnsi="Arial" w:cs="Arial"/>
          <w:sz w:val="22"/>
          <w:szCs w:val="22"/>
        </w:rPr>
        <w:t xml:space="preserve">Urquhart, R., </w:t>
      </w:r>
      <w:proofErr w:type="spellStart"/>
      <w:r w:rsidRPr="00394DD9">
        <w:rPr>
          <w:rFonts w:ascii="Arial" w:hAnsi="Arial" w:cs="Arial"/>
          <w:sz w:val="22"/>
          <w:szCs w:val="22"/>
        </w:rPr>
        <w:t>Newing</w:t>
      </w:r>
      <w:proofErr w:type="spellEnd"/>
      <w:r w:rsidRPr="00394DD9">
        <w:rPr>
          <w:rFonts w:ascii="Arial" w:hAnsi="Arial" w:cs="Arial"/>
          <w:sz w:val="22"/>
          <w:szCs w:val="22"/>
        </w:rPr>
        <w:t xml:space="preserve">, A., Hood, N. and Heppenstall, A. (2022) ‘Last-mile capacity constraints in online grocery fulfilment in Great Britain’, </w:t>
      </w:r>
      <w:r w:rsidRPr="00394DD9">
        <w:rPr>
          <w:rStyle w:val="Emphasis"/>
          <w:rFonts w:ascii="Arial" w:hAnsi="Arial" w:cs="Arial"/>
          <w:sz w:val="22"/>
          <w:szCs w:val="22"/>
        </w:rPr>
        <w:t>Journal of Theoretical and Applied Electronic Commerce Research</w:t>
      </w:r>
      <w:r w:rsidRPr="00394DD9">
        <w:rPr>
          <w:rFonts w:ascii="Arial" w:hAnsi="Arial" w:cs="Arial"/>
          <w:sz w:val="22"/>
          <w:szCs w:val="22"/>
        </w:rPr>
        <w:t xml:space="preserve">, 17(2), pp. 636–651. Available at: </w:t>
      </w:r>
      <w:hyperlink r:id="rId30" w:history="1">
        <w:r w:rsidRPr="00394DD9">
          <w:rPr>
            <w:rStyle w:val="Hyperlink"/>
            <w:rFonts w:ascii="Arial" w:hAnsi="Arial" w:cs="Arial"/>
            <w:color w:val="auto"/>
            <w:sz w:val="22"/>
            <w:szCs w:val="22"/>
          </w:rPr>
          <w:t>https://doi.org/10.3390/jtaer17020033</w:t>
        </w:r>
      </w:hyperlink>
      <w:r w:rsidRPr="00394DD9">
        <w:rPr>
          <w:rFonts w:ascii="Arial" w:hAnsi="Arial" w:cs="Arial"/>
          <w:sz w:val="22"/>
          <w:szCs w:val="22"/>
        </w:rPr>
        <w:t>.</w:t>
      </w:r>
    </w:p>
    <w:sectPr w:rsidR="002C5816" w:rsidRPr="00A40786" w:rsidSect="006812ED">
      <w:headerReference w:type="default" r:id="rId31"/>
      <w:footerReference w:type="even" r:id="rId32"/>
      <w:footerReference w:type="default" r:id="rId33"/>
      <w:pgSz w:w="11906" w:h="16838"/>
      <w:pgMar w:top="1361" w:right="1077" w:bottom="1361" w:left="1077" w:header="397" w:footer="284" w:gutter="0"/>
      <w:pgBorders w:display="firstPage" w:offsetFrom="page">
        <w:top w:val="single" w:sz="18" w:space="24" w:color="auto"/>
        <w:left w:val="single" w:sz="18" w:space="24" w:color="auto"/>
        <w:bottom w:val="single" w:sz="18" w:space="24" w:color="auto"/>
        <w:right w:val="single" w:sz="18" w:space="24" w:color="auto"/>
      </w:pgBorders>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15C3EECE" w14:textId="77777777" w:rsidR="00E532DC" w:rsidRDefault="00E532DC" w:rsidP="007F7F87">
      <w:r>
        <w:separator/>
      </w:r>
    </w:p>
  </w:endnote>
  <w:endnote w:type="continuationSeparator" w:id="0">
    <w:p w14:paraId="423E6A10" w14:textId="77777777" w:rsidR="00E532DC" w:rsidRDefault="00E532DC" w:rsidP="007F7F8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Helvetica">
    <w:panose1 w:val="00000000000000000000"/>
    <w:charset w:val="00"/>
    <w:family w:val="auto"/>
    <w:pitch w:val="variable"/>
    <w:sig w:usb0="E00002FF" w:usb1="5000785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sdt>
    <w:sdtPr>
      <w:rPr>
        <w:rStyle w:val="PageNumber"/>
      </w:rPr>
      <w:id w:val="-1063248744"/>
      <w:docPartObj>
        <w:docPartGallery w:val="Page Numbers (Bottom of Page)"/>
        <w:docPartUnique/>
      </w:docPartObj>
    </w:sdtPr>
    <w:sdtContent>
      <w:p w14:paraId="0153AD29" w14:textId="21B17836" w:rsidR="007F7F87" w:rsidRDefault="007F7F87" w:rsidP="00B23264">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250664BF" w14:textId="77777777" w:rsidR="007F7F87" w:rsidRDefault="007F7F8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sdt>
    <w:sdtPr>
      <w:rPr>
        <w:rStyle w:val="PageNumber"/>
      </w:rPr>
      <w:id w:val="-976837922"/>
      <w:docPartObj>
        <w:docPartGallery w:val="Page Numbers (Bottom of Page)"/>
        <w:docPartUnique/>
      </w:docPartObj>
    </w:sdtPr>
    <w:sdtContent>
      <w:p w14:paraId="195B5D9A" w14:textId="3BCC6F48" w:rsidR="007F7F87" w:rsidRDefault="007F7F87" w:rsidP="00B23264">
        <w:pPr>
          <w:pStyle w:val="Footer"/>
          <w:framePr w:wrap="none" w:vAnchor="text" w:hAnchor="margin" w:xAlign="center" w:y="1"/>
          <w:rPr>
            <w:rStyle w:val="PageNumber"/>
          </w:rPr>
        </w:pPr>
        <w:r w:rsidRPr="00E432DC">
          <w:rPr>
            <w:rStyle w:val="PageNumber"/>
            <w:rFonts w:ascii="Arial" w:hAnsi="Arial" w:cs="Arial"/>
            <w:sz w:val="20"/>
            <w:szCs w:val="20"/>
          </w:rPr>
          <w:fldChar w:fldCharType="begin"/>
        </w:r>
        <w:r w:rsidRPr="00E432DC">
          <w:rPr>
            <w:rStyle w:val="PageNumber"/>
            <w:rFonts w:ascii="Arial" w:hAnsi="Arial" w:cs="Arial"/>
            <w:sz w:val="20"/>
            <w:szCs w:val="20"/>
          </w:rPr>
          <w:instrText xml:space="preserve"> PAGE </w:instrText>
        </w:r>
        <w:r w:rsidRPr="00E432DC">
          <w:rPr>
            <w:rStyle w:val="PageNumber"/>
            <w:rFonts w:ascii="Arial" w:hAnsi="Arial" w:cs="Arial"/>
            <w:sz w:val="20"/>
            <w:szCs w:val="20"/>
          </w:rPr>
          <w:fldChar w:fldCharType="separate"/>
        </w:r>
        <w:r w:rsidRPr="00E432DC">
          <w:rPr>
            <w:rStyle w:val="PageNumber"/>
            <w:rFonts w:ascii="Arial" w:hAnsi="Arial" w:cs="Arial"/>
            <w:noProof/>
            <w:sz w:val="20"/>
            <w:szCs w:val="20"/>
          </w:rPr>
          <w:t>3</w:t>
        </w:r>
        <w:r w:rsidRPr="00E432DC">
          <w:rPr>
            <w:rStyle w:val="PageNumber"/>
            <w:rFonts w:ascii="Arial" w:hAnsi="Arial" w:cs="Arial"/>
            <w:sz w:val="20"/>
            <w:szCs w:val="20"/>
          </w:rPr>
          <w:fldChar w:fldCharType="end"/>
        </w:r>
      </w:p>
    </w:sdtContent>
  </w:sdt>
  <w:p w14:paraId="2243AD48" w14:textId="77777777" w:rsidR="007F7F87" w:rsidRDefault="007F7F8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4DF491CF" w14:textId="77777777" w:rsidR="00E532DC" w:rsidRDefault="00E532DC" w:rsidP="007F7F87">
      <w:r>
        <w:separator/>
      </w:r>
    </w:p>
  </w:footnote>
  <w:footnote w:type="continuationSeparator" w:id="0">
    <w:p w14:paraId="72531479" w14:textId="77777777" w:rsidR="00E532DC" w:rsidRDefault="00E532DC" w:rsidP="007F7F8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18344F37" w14:textId="55C742BE" w:rsidR="00E605B0" w:rsidRPr="00E605B0" w:rsidRDefault="00E605B0" w:rsidP="00E605B0">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sz w:val="20"/>
        <w:szCs w:val="20"/>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14F936D0"/>
    <w:multiLevelType w:val="multilevel"/>
    <w:tmpl w:val="1D767FBE"/>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488558E2"/>
    <w:multiLevelType w:val="multilevel"/>
    <w:tmpl w:val="51F21B66"/>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58BE2E02"/>
    <w:multiLevelType w:val="multilevel"/>
    <w:tmpl w:val="6B80A852"/>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659C538E"/>
    <w:multiLevelType w:val="multilevel"/>
    <w:tmpl w:val="84FA0576"/>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872110944">
    <w:abstractNumId w:val="1"/>
  </w:num>
  <w:num w:numId="2" w16cid:durableId="1986740728">
    <w:abstractNumId w:val="3"/>
  </w:num>
  <w:num w:numId="3" w16cid:durableId="118110427">
    <w:abstractNumId w:val="0"/>
  </w:num>
  <w:num w:numId="4" w16cid:durableId="1808431730">
    <w:abstractNumId w:val="2"/>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74AE7"/>
    <w:rsid w:val="00007894"/>
    <w:rsid w:val="00007A2E"/>
    <w:rsid w:val="00015FCE"/>
    <w:rsid w:val="00023D92"/>
    <w:rsid w:val="00024894"/>
    <w:rsid w:val="0002587C"/>
    <w:rsid w:val="000276B7"/>
    <w:rsid w:val="00043A85"/>
    <w:rsid w:val="00045F0B"/>
    <w:rsid w:val="000469F7"/>
    <w:rsid w:val="00054802"/>
    <w:rsid w:val="00056C41"/>
    <w:rsid w:val="00067825"/>
    <w:rsid w:val="0007176A"/>
    <w:rsid w:val="00092E6A"/>
    <w:rsid w:val="000A1587"/>
    <w:rsid w:val="000A1BEB"/>
    <w:rsid w:val="000A4ED1"/>
    <w:rsid w:val="000C2994"/>
    <w:rsid w:val="000C7313"/>
    <w:rsid w:val="000D41C9"/>
    <w:rsid w:val="000D59D7"/>
    <w:rsid w:val="000E025B"/>
    <w:rsid w:val="000E1890"/>
    <w:rsid w:val="000E2C66"/>
    <w:rsid w:val="000F09BF"/>
    <w:rsid w:val="000F3C53"/>
    <w:rsid w:val="000F5CD8"/>
    <w:rsid w:val="000F63D1"/>
    <w:rsid w:val="00100EB4"/>
    <w:rsid w:val="00101356"/>
    <w:rsid w:val="00110D07"/>
    <w:rsid w:val="0013234D"/>
    <w:rsid w:val="00140FA7"/>
    <w:rsid w:val="00143B46"/>
    <w:rsid w:val="00161CD7"/>
    <w:rsid w:val="0016338B"/>
    <w:rsid w:val="00163C6E"/>
    <w:rsid w:val="00173C73"/>
    <w:rsid w:val="0018049C"/>
    <w:rsid w:val="00191CC0"/>
    <w:rsid w:val="00196ACA"/>
    <w:rsid w:val="001979FC"/>
    <w:rsid w:val="001A026B"/>
    <w:rsid w:val="001A44D3"/>
    <w:rsid w:val="001A5108"/>
    <w:rsid w:val="001B04DD"/>
    <w:rsid w:val="001B652E"/>
    <w:rsid w:val="001B747B"/>
    <w:rsid w:val="001C20CF"/>
    <w:rsid w:val="001C3425"/>
    <w:rsid w:val="001C35C6"/>
    <w:rsid w:val="001C47E2"/>
    <w:rsid w:val="001E18DF"/>
    <w:rsid w:val="001E32FC"/>
    <w:rsid w:val="001E4A6C"/>
    <w:rsid w:val="00202C04"/>
    <w:rsid w:val="002240AE"/>
    <w:rsid w:val="0022593B"/>
    <w:rsid w:val="00230F77"/>
    <w:rsid w:val="002353BC"/>
    <w:rsid w:val="002440C8"/>
    <w:rsid w:val="00257620"/>
    <w:rsid w:val="002628E9"/>
    <w:rsid w:val="00272865"/>
    <w:rsid w:val="00286AFF"/>
    <w:rsid w:val="002A3846"/>
    <w:rsid w:val="002A5DA8"/>
    <w:rsid w:val="002B1544"/>
    <w:rsid w:val="002B1EEE"/>
    <w:rsid w:val="002C195B"/>
    <w:rsid w:val="002C5816"/>
    <w:rsid w:val="002D47A3"/>
    <w:rsid w:val="002D68E2"/>
    <w:rsid w:val="002F580A"/>
    <w:rsid w:val="00300D43"/>
    <w:rsid w:val="003023F5"/>
    <w:rsid w:val="00303234"/>
    <w:rsid w:val="00303519"/>
    <w:rsid w:val="00304D3A"/>
    <w:rsid w:val="00311AE8"/>
    <w:rsid w:val="00315B19"/>
    <w:rsid w:val="003233C8"/>
    <w:rsid w:val="00324504"/>
    <w:rsid w:val="00336309"/>
    <w:rsid w:val="003805FC"/>
    <w:rsid w:val="00393E54"/>
    <w:rsid w:val="00394DD9"/>
    <w:rsid w:val="003A39CF"/>
    <w:rsid w:val="003B0DB0"/>
    <w:rsid w:val="003C4485"/>
    <w:rsid w:val="003C7EE7"/>
    <w:rsid w:val="003E28EE"/>
    <w:rsid w:val="003F18F4"/>
    <w:rsid w:val="003F2CCF"/>
    <w:rsid w:val="00411D06"/>
    <w:rsid w:val="00413A45"/>
    <w:rsid w:val="00424D86"/>
    <w:rsid w:val="004304A2"/>
    <w:rsid w:val="00440DDF"/>
    <w:rsid w:val="00457EA0"/>
    <w:rsid w:val="00474AE7"/>
    <w:rsid w:val="00475E7A"/>
    <w:rsid w:val="004775CA"/>
    <w:rsid w:val="0049174A"/>
    <w:rsid w:val="004B0012"/>
    <w:rsid w:val="004B3159"/>
    <w:rsid w:val="004B50EA"/>
    <w:rsid w:val="004B69E8"/>
    <w:rsid w:val="004B7760"/>
    <w:rsid w:val="004C1518"/>
    <w:rsid w:val="004E0205"/>
    <w:rsid w:val="004E0453"/>
    <w:rsid w:val="004F01BE"/>
    <w:rsid w:val="004F5732"/>
    <w:rsid w:val="0050052B"/>
    <w:rsid w:val="00523CB3"/>
    <w:rsid w:val="00524A0A"/>
    <w:rsid w:val="005267A3"/>
    <w:rsid w:val="00526C50"/>
    <w:rsid w:val="00527E94"/>
    <w:rsid w:val="0053545E"/>
    <w:rsid w:val="0054379E"/>
    <w:rsid w:val="00555C29"/>
    <w:rsid w:val="005573E0"/>
    <w:rsid w:val="00590F06"/>
    <w:rsid w:val="00591541"/>
    <w:rsid w:val="005A22B8"/>
    <w:rsid w:val="005A706E"/>
    <w:rsid w:val="005A7134"/>
    <w:rsid w:val="005B1746"/>
    <w:rsid w:val="005B573B"/>
    <w:rsid w:val="005C0610"/>
    <w:rsid w:val="005C1504"/>
    <w:rsid w:val="005C48DD"/>
    <w:rsid w:val="005C72F4"/>
    <w:rsid w:val="005E5999"/>
    <w:rsid w:val="005E65A4"/>
    <w:rsid w:val="006002B8"/>
    <w:rsid w:val="0060041C"/>
    <w:rsid w:val="00603E9F"/>
    <w:rsid w:val="00606123"/>
    <w:rsid w:val="0060764D"/>
    <w:rsid w:val="0061513F"/>
    <w:rsid w:val="006276A8"/>
    <w:rsid w:val="00630648"/>
    <w:rsid w:val="00636200"/>
    <w:rsid w:val="0064652C"/>
    <w:rsid w:val="00647E5F"/>
    <w:rsid w:val="006555CC"/>
    <w:rsid w:val="00660DB4"/>
    <w:rsid w:val="00664F27"/>
    <w:rsid w:val="00674B19"/>
    <w:rsid w:val="00677D1B"/>
    <w:rsid w:val="006812ED"/>
    <w:rsid w:val="006A4417"/>
    <w:rsid w:val="006B16D3"/>
    <w:rsid w:val="006B1B8D"/>
    <w:rsid w:val="006B67DB"/>
    <w:rsid w:val="006C25B0"/>
    <w:rsid w:val="006C2A5A"/>
    <w:rsid w:val="006D0AEA"/>
    <w:rsid w:val="006D2D4C"/>
    <w:rsid w:val="006E0902"/>
    <w:rsid w:val="006E13FA"/>
    <w:rsid w:val="006F08C9"/>
    <w:rsid w:val="006F6758"/>
    <w:rsid w:val="006F7420"/>
    <w:rsid w:val="006F7E83"/>
    <w:rsid w:val="00701FAA"/>
    <w:rsid w:val="00713B57"/>
    <w:rsid w:val="007174C8"/>
    <w:rsid w:val="00720580"/>
    <w:rsid w:val="007218AE"/>
    <w:rsid w:val="00723EC5"/>
    <w:rsid w:val="00732A87"/>
    <w:rsid w:val="00733F55"/>
    <w:rsid w:val="0073653B"/>
    <w:rsid w:val="00746A9E"/>
    <w:rsid w:val="00760A17"/>
    <w:rsid w:val="007617FC"/>
    <w:rsid w:val="00766C12"/>
    <w:rsid w:val="00777553"/>
    <w:rsid w:val="00777B2C"/>
    <w:rsid w:val="00780C5E"/>
    <w:rsid w:val="007828B5"/>
    <w:rsid w:val="007967C8"/>
    <w:rsid w:val="0079693C"/>
    <w:rsid w:val="007A1F70"/>
    <w:rsid w:val="007A569F"/>
    <w:rsid w:val="007A5D4D"/>
    <w:rsid w:val="007B5041"/>
    <w:rsid w:val="007B5679"/>
    <w:rsid w:val="007C2ACA"/>
    <w:rsid w:val="007C6121"/>
    <w:rsid w:val="007D237A"/>
    <w:rsid w:val="007D5420"/>
    <w:rsid w:val="007D5B2C"/>
    <w:rsid w:val="007F7F87"/>
    <w:rsid w:val="008033F7"/>
    <w:rsid w:val="00811337"/>
    <w:rsid w:val="00821CB6"/>
    <w:rsid w:val="00822B73"/>
    <w:rsid w:val="00834578"/>
    <w:rsid w:val="00861F57"/>
    <w:rsid w:val="0086265F"/>
    <w:rsid w:val="00864166"/>
    <w:rsid w:val="00865F28"/>
    <w:rsid w:val="00876033"/>
    <w:rsid w:val="008775CD"/>
    <w:rsid w:val="008858DF"/>
    <w:rsid w:val="00886896"/>
    <w:rsid w:val="008871F4"/>
    <w:rsid w:val="008A02B3"/>
    <w:rsid w:val="008A1F47"/>
    <w:rsid w:val="008A37D6"/>
    <w:rsid w:val="008A3BD6"/>
    <w:rsid w:val="008A7405"/>
    <w:rsid w:val="008B2236"/>
    <w:rsid w:val="008B45A1"/>
    <w:rsid w:val="008C0D16"/>
    <w:rsid w:val="008C13A2"/>
    <w:rsid w:val="008D09D0"/>
    <w:rsid w:val="008D4657"/>
    <w:rsid w:val="008E0832"/>
    <w:rsid w:val="008E3A2D"/>
    <w:rsid w:val="008E5721"/>
    <w:rsid w:val="008F3C1F"/>
    <w:rsid w:val="00902F80"/>
    <w:rsid w:val="00926685"/>
    <w:rsid w:val="00935B7F"/>
    <w:rsid w:val="00951FD3"/>
    <w:rsid w:val="00966055"/>
    <w:rsid w:val="00976F0F"/>
    <w:rsid w:val="009831ED"/>
    <w:rsid w:val="00997A3B"/>
    <w:rsid w:val="009A4A15"/>
    <w:rsid w:val="009B615F"/>
    <w:rsid w:val="009B6C60"/>
    <w:rsid w:val="009C3945"/>
    <w:rsid w:val="009C5B7C"/>
    <w:rsid w:val="009C7B69"/>
    <w:rsid w:val="009D4F36"/>
    <w:rsid w:val="009D6B79"/>
    <w:rsid w:val="009E422C"/>
    <w:rsid w:val="009E63D0"/>
    <w:rsid w:val="009F503D"/>
    <w:rsid w:val="00A052E6"/>
    <w:rsid w:val="00A14D38"/>
    <w:rsid w:val="00A16027"/>
    <w:rsid w:val="00A20AF3"/>
    <w:rsid w:val="00A27CF2"/>
    <w:rsid w:val="00A35E88"/>
    <w:rsid w:val="00A37284"/>
    <w:rsid w:val="00A40786"/>
    <w:rsid w:val="00A410A5"/>
    <w:rsid w:val="00A4315A"/>
    <w:rsid w:val="00A51201"/>
    <w:rsid w:val="00A5168A"/>
    <w:rsid w:val="00A73CF8"/>
    <w:rsid w:val="00A80240"/>
    <w:rsid w:val="00A96F13"/>
    <w:rsid w:val="00AB3763"/>
    <w:rsid w:val="00AC2D09"/>
    <w:rsid w:val="00AC775B"/>
    <w:rsid w:val="00AD3C42"/>
    <w:rsid w:val="00AD7A7E"/>
    <w:rsid w:val="00AE4AAA"/>
    <w:rsid w:val="00AE7341"/>
    <w:rsid w:val="00B01514"/>
    <w:rsid w:val="00B0460B"/>
    <w:rsid w:val="00B07F82"/>
    <w:rsid w:val="00B20F86"/>
    <w:rsid w:val="00B24465"/>
    <w:rsid w:val="00B43F01"/>
    <w:rsid w:val="00B46BE7"/>
    <w:rsid w:val="00B500FF"/>
    <w:rsid w:val="00B51719"/>
    <w:rsid w:val="00B66548"/>
    <w:rsid w:val="00B941E3"/>
    <w:rsid w:val="00BC063A"/>
    <w:rsid w:val="00BC2672"/>
    <w:rsid w:val="00BD1E4F"/>
    <w:rsid w:val="00BD41AA"/>
    <w:rsid w:val="00BD6045"/>
    <w:rsid w:val="00BD6EB8"/>
    <w:rsid w:val="00BD75E8"/>
    <w:rsid w:val="00BF0B50"/>
    <w:rsid w:val="00BF6934"/>
    <w:rsid w:val="00C0049A"/>
    <w:rsid w:val="00C02DD4"/>
    <w:rsid w:val="00C03406"/>
    <w:rsid w:val="00C04A29"/>
    <w:rsid w:val="00C1412A"/>
    <w:rsid w:val="00C24CB4"/>
    <w:rsid w:val="00C32B9D"/>
    <w:rsid w:val="00C341C4"/>
    <w:rsid w:val="00C47AF4"/>
    <w:rsid w:val="00C61072"/>
    <w:rsid w:val="00C650DF"/>
    <w:rsid w:val="00C768D4"/>
    <w:rsid w:val="00C77E76"/>
    <w:rsid w:val="00C86339"/>
    <w:rsid w:val="00C91BF6"/>
    <w:rsid w:val="00C9636B"/>
    <w:rsid w:val="00CA3A66"/>
    <w:rsid w:val="00CB111B"/>
    <w:rsid w:val="00CC3CD0"/>
    <w:rsid w:val="00CD026C"/>
    <w:rsid w:val="00CD0CD9"/>
    <w:rsid w:val="00CD3E05"/>
    <w:rsid w:val="00CD57F1"/>
    <w:rsid w:val="00CE01DC"/>
    <w:rsid w:val="00D01AB2"/>
    <w:rsid w:val="00D07CA7"/>
    <w:rsid w:val="00D1010B"/>
    <w:rsid w:val="00D11415"/>
    <w:rsid w:val="00D15925"/>
    <w:rsid w:val="00D24B5E"/>
    <w:rsid w:val="00D270C3"/>
    <w:rsid w:val="00D32F70"/>
    <w:rsid w:val="00D36108"/>
    <w:rsid w:val="00D633D3"/>
    <w:rsid w:val="00D726C8"/>
    <w:rsid w:val="00D7554C"/>
    <w:rsid w:val="00D80B5B"/>
    <w:rsid w:val="00D815C4"/>
    <w:rsid w:val="00D83FD7"/>
    <w:rsid w:val="00DA4BC8"/>
    <w:rsid w:val="00DB2225"/>
    <w:rsid w:val="00DB6962"/>
    <w:rsid w:val="00DD66EF"/>
    <w:rsid w:val="00DE20A9"/>
    <w:rsid w:val="00DF1536"/>
    <w:rsid w:val="00DF192E"/>
    <w:rsid w:val="00DF5B2F"/>
    <w:rsid w:val="00E0014A"/>
    <w:rsid w:val="00E034DB"/>
    <w:rsid w:val="00E22F22"/>
    <w:rsid w:val="00E31501"/>
    <w:rsid w:val="00E432DC"/>
    <w:rsid w:val="00E4361E"/>
    <w:rsid w:val="00E44994"/>
    <w:rsid w:val="00E532DC"/>
    <w:rsid w:val="00E54F75"/>
    <w:rsid w:val="00E605B0"/>
    <w:rsid w:val="00E708B9"/>
    <w:rsid w:val="00E74267"/>
    <w:rsid w:val="00E74BD5"/>
    <w:rsid w:val="00E821E2"/>
    <w:rsid w:val="00E83CC4"/>
    <w:rsid w:val="00E84812"/>
    <w:rsid w:val="00E91B9B"/>
    <w:rsid w:val="00E91D4D"/>
    <w:rsid w:val="00E94252"/>
    <w:rsid w:val="00EA2193"/>
    <w:rsid w:val="00EA75BC"/>
    <w:rsid w:val="00EC3C80"/>
    <w:rsid w:val="00EC5043"/>
    <w:rsid w:val="00EC7B2E"/>
    <w:rsid w:val="00EE5034"/>
    <w:rsid w:val="00EE6635"/>
    <w:rsid w:val="00EF55BE"/>
    <w:rsid w:val="00F0374C"/>
    <w:rsid w:val="00F07A5E"/>
    <w:rsid w:val="00F1002B"/>
    <w:rsid w:val="00F11B8F"/>
    <w:rsid w:val="00F17935"/>
    <w:rsid w:val="00F51887"/>
    <w:rsid w:val="00F527F6"/>
    <w:rsid w:val="00F5428F"/>
    <w:rsid w:val="00F65D54"/>
    <w:rsid w:val="00F661C8"/>
    <w:rsid w:val="00F678FC"/>
    <w:rsid w:val="00F72175"/>
    <w:rsid w:val="00F80968"/>
    <w:rsid w:val="00F838E3"/>
    <w:rsid w:val="00FA112E"/>
    <w:rsid w:val="00FA3300"/>
    <w:rsid w:val="00FA3A63"/>
    <w:rsid w:val="00FB0F15"/>
    <w:rsid w:val="00FB4437"/>
    <w:rsid w:val="00FB5777"/>
    <w:rsid w:val="00FC49A1"/>
    <w:rsid w:val="00FC7517"/>
    <w:rsid w:val="00FE359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4EB0DD"/>
  <w15:chartTrackingRefBased/>
  <w15:docId w15:val="{069D5637-C171-EA40-9665-F756FA501C4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1010B"/>
    <w:rPr>
      <w:rFonts w:ascii="Times New Roman" w:eastAsia="Times New Roman" w:hAnsi="Times New Roman" w:cs="Times New Roman"/>
      <w:kern w:val="0"/>
      <w:lang w:eastAsia="en-GB"/>
      <w14:ligatures w14:val="none"/>
    </w:rPr>
  </w:style>
  <w:style w:type="paragraph" w:styleId="Heading1">
    <w:name w:val="heading 1"/>
    <w:basedOn w:val="Normal"/>
    <w:next w:val="Normal"/>
    <w:link w:val="Heading1Char"/>
    <w:uiPriority w:val="9"/>
    <w:qFormat/>
    <w:rsid w:val="00474AE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474AE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474AE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74AE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74AE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74AE7"/>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74AE7"/>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74AE7"/>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74AE7"/>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74AE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474AE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474AE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74AE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74AE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74AE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74AE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74AE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74AE7"/>
    <w:rPr>
      <w:rFonts w:eastAsiaTheme="majorEastAsia" w:cstheme="majorBidi"/>
      <w:color w:val="272727" w:themeColor="text1" w:themeTint="D8"/>
    </w:rPr>
  </w:style>
  <w:style w:type="paragraph" w:styleId="Title">
    <w:name w:val="Title"/>
    <w:basedOn w:val="Normal"/>
    <w:next w:val="Normal"/>
    <w:link w:val="TitleChar"/>
    <w:uiPriority w:val="10"/>
    <w:qFormat/>
    <w:rsid w:val="00474AE7"/>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74AE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74AE7"/>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74AE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74AE7"/>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474AE7"/>
    <w:rPr>
      <w:i/>
      <w:iCs/>
      <w:color w:val="404040" w:themeColor="text1" w:themeTint="BF"/>
    </w:rPr>
  </w:style>
  <w:style w:type="paragraph" w:styleId="ListParagraph">
    <w:name w:val="List Paragraph"/>
    <w:basedOn w:val="Normal"/>
    <w:uiPriority w:val="34"/>
    <w:qFormat/>
    <w:rsid w:val="00474AE7"/>
    <w:pPr>
      <w:ind w:left="720"/>
      <w:contextualSpacing/>
    </w:pPr>
  </w:style>
  <w:style w:type="character" w:styleId="IntenseEmphasis">
    <w:name w:val="Intense Emphasis"/>
    <w:basedOn w:val="DefaultParagraphFont"/>
    <w:uiPriority w:val="21"/>
    <w:qFormat/>
    <w:rsid w:val="00474AE7"/>
    <w:rPr>
      <w:i/>
      <w:iCs/>
      <w:color w:val="0F4761" w:themeColor="accent1" w:themeShade="BF"/>
    </w:rPr>
  </w:style>
  <w:style w:type="paragraph" w:styleId="IntenseQuote">
    <w:name w:val="Intense Quote"/>
    <w:basedOn w:val="Normal"/>
    <w:next w:val="Normal"/>
    <w:link w:val="IntenseQuoteChar"/>
    <w:uiPriority w:val="30"/>
    <w:qFormat/>
    <w:rsid w:val="00474AE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74AE7"/>
    <w:rPr>
      <w:i/>
      <w:iCs/>
      <w:color w:val="0F4761" w:themeColor="accent1" w:themeShade="BF"/>
    </w:rPr>
  </w:style>
  <w:style w:type="character" w:styleId="IntenseReference">
    <w:name w:val="Intense Reference"/>
    <w:basedOn w:val="DefaultParagraphFont"/>
    <w:uiPriority w:val="32"/>
    <w:qFormat/>
    <w:rsid w:val="00474AE7"/>
    <w:rPr>
      <w:b/>
      <w:bCs/>
      <w:smallCaps/>
      <w:color w:val="0F4761" w:themeColor="accent1" w:themeShade="BF"/>
      <w:spacing w:val="5"/>
    </w:rPr>
  </w:style>
  <w:style w:type="paragraph" w:styleId="NoSpacing">
    <w:name w:val="No Spacing"/>
    <w:basedOn w:val="Normal"/>
    <w:link w:val="NoSpacingChar"/>
    <w:uiPriority w:val="1"/>
    <w:qFormat/>
    <w:rsid w:val="00474AE7"/>
    <w:rPr>
      <w:rFonts w:asciiTheme="majorHAnsi" w:eastAsiaTheme="majorEastAsia" w:hAnsiTheme="majorHAnsi" w:cstheme="majorBidi"/>
      <w:sz w:val="22"/>
      <w:szCs w:val="22"/>
    </w:rPr>
  </w:style>
  <w:style w:type="character" w:customStyle="1" w:styleId="NoSpacingChar">
    <w:name w:val="No Spacing Char"/>
    <w:basedOn w:val="DefaultParagraphFont"/>
    <w:link w:val="NoSpacing"/>
    <w:uiPriority w:val="1"/>
    <w:rsid w:val="00474AE7"/>
    <w:rPr>
      <w:rFonts w:asciiTheme="majorHAnsi" w:eastAsiaTheme="majorEastAsia" w:hAnsiTheme="majorHAnsi" w:cstheme="majorBidi"/>
      <w:kern w:val="0"/>
      <w:sz w:val="22"/>
      <w:szCs w:val="22"/>
      <w14:ligatures w14:val="none"/>
    </w:rPr>
  </w:style>
  <w:style w:type="paragraph" w:customStyle="1" w:styleId="p1">
    <w:name w:val="p1"/>
    <w:basedOn w:val="Normal"/>
    <w:rsid w:val="008E0832"/>
    <w:pPr>
      <w:spacing w:before="100" w:beforeAutospacing="1" w:after="100" w:afterAutospacing="1"/>
    </w:pPr>
  </w:style>
  <w:style w:type="character" w:customStyle="1" w:styleId="s1">
    <w:name w:val="s1"/>
    <w:basedOn w:val="DefaultParagraphFont"/>
    <w:rsid w:val="008E0832"/>
  </w:style>
  <w:style w:type="paragraph" w:customStyle="1" w:styleId="p2">
    <w:name w:val="p2"/>
    <w:basedOn w:val="Normal"/>
    <w:rsid w:val="008E0832"/>
    <w:pPr>
      <w:spacing w:before="100" w:beforeAutospacing="1" w:after="100" w:afterAutospacing="1"/>
    </w:pPr>
  </w:style>
  <w:style w:type="paragraph" w:customStyle="1" w:styleId="p3">
    <w:name w:val="p3"/>
    <w:basedOn w:val="Normal"/>
    <w:rsid w:val="008E0832"/>
    <w:pPr>
      <w:spacing w:before="100" w:beforeAutospacing="1" w:after="100" w:afterAutospacing="1"/>
    </w:pPr>
  </w:style>
  <w:style w:type="table" w:styleId="GridTable2-Accent1">
    <w:name w:val="Grid Table 2 Accent 1"/>
    <w:basedOn w:val="TableNormal"/>
    <w:uiPriority w:val="47"/>
    <w:rsid w:val="000469F7"/>
    <w:tblPr>
      <w:tblStyleRowBandSize w:val="1"/>
      <w:tblStyleColBandSize w:val="1"/>
      <w:tblBorders>
        <w:top w:val="single" w:sz="2" w:space="0" w:color="45B0E1" w:themeColor="accent1" w:themeTint="99"/>
        <w:bottom w:val="single" w:sz="2" w:space="0" w:color="45B0E1" w:themeColor="accent1" w:themeTint="99"/>
        <w:insideH w:val="single" w:sz="2" w:space="0" w:color="45B0E1" w:themeColor="accent1" w:themeTint="99"/>
        <w:insideV w:val="single" w:sz="2" w:space="0" w:color="45B0E1" w:themeColor="accent1" w:themeTint="99"/>
      </w:tblBorders>
    </w:tblPr>
    <w:tblStylePr w:type="firstRow">
      <w:rPr>
        <w:b/>
        <w:bCs/>
      </w:rPr>
      <w:tblPr/>
      <w:tcPr>
        <w:tcBorders>
          <w:top w:val="nil"/>
          <w:bottom w:val="single" w:sz="12" w:space="0" w:color="45B0E1" w:themeColor="accent1" w:themeTint="99"/>
          <w:insideH w:val="nil"/>
          <w:insideV w:val="nil"/>
        </w:tcBorders>
        <w:shd w:val="clear" w:color="auto" w:fill="FFFFFF" w:themeFill="background1"/>
      </w:tcPr>
    </w:tblStylePr>
    <w:tblStylePr w:type="lastRow">
      <w:rPr>
        <w:b/>
        <w:bCs/>
      </w:rPr>
      <w:tblPr/>
      <w:tcPr>
        <w:tcBorders>
          <w:top w:val="double" w:sz="2" w:space="0" w:color="45B0E1" w:themeColor="accent1"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C1E4F5" w:themeFill="accent1" w:themeFillTint="33"/>
      </w:tcPr>
    </w:tblStylePr>
    <w:tblStylePr w:type="band1Horz">
      <w:tblPr/>
      <w:tcPr>
        <w:shd w:val="clear" w:color="auto" w:fill="C1E4F5" w:themeFill="accent1" w:themeFillTint="33"/>
      </w:tcPr>
    </w:tblStylePr>
  </w:style>
  <w:style w:type="table" w:styleId="GridTable1Light-Accent4">
    <w:name w:val="Grid Table 1 Light Accent 4"/>
    <w:basedOn w:val="TableNormal"/>
    <w:uiPriority w:val="46"/>
    <w:rsid w:val="000469F7"/>
    <w:tblPr>
      <w:tblStyleRowBandSize w:val="1"/>
      <w:tblStyleColBandSize w:val="1"/>
      <w:tblBorders>
        <w:top w:val="single" w:sz="4" w:space="0" w:color="95DCF7" w:themeColor="accent4" w:themeTint="66"/>
        <w:left w:val="single" w:sz="4" w:space="0" w:color="95DCF7" w:themeColor="accent4" w:themeTint="66"/>
        <w:bottom w:val="single" w:sz="4" w:space="0" w:color="95DCF7" w:themeColor="accent4" w:themeTint="66"/>
        <w:right w:val="single" w:sz="4" w:space="0" w:color="95DCF7" w:themeColor="accent4" w:themeTint="66"/>
        <w:insideH w:val="single" w:sz="4" w:space="0" w:color="95DCF7" w:themeColor="accent4" w:themeTint="66"/>
        <w:insideV w:val="single" w:sz="4" w:space="0" w:color="95DCF7" w:themeColor="accent4" w:themeTint="66"/>
      </w:tblBorders>
    </w:tblPr>
    <w:tblStylePr w:type="firstRow">
      <w:rPr>
        <w:b/>
        <w:bCs/>
      </w:rPr>
      <w:tblPr/>
      <w:tcPr>
        <w:tcBorders>
          <w:bottom w:val="single" w:sz="12" w:space="0" w:color="60CAF3" w:themeColor="accent4" w:themeTint="99"/>
        </w:tcBorders>
      </w:tcPr>
    </w:tblStylePr>
    <w:tblStylePr w:type="lastRow">
      <w:rPr>
        <w:b/>
        <w:bCs/>
      </w:rPr>
      <w:tblPr/>
      <w:tcPr>
        <w:tcBorders>
          <w:top w:val="double" w:sz="2" w:space="0" w:color="60CAF3" w:themeColor="accent4" w:themeTint="99"/>
        </w:tcBorders>
      </w:tcPr>
    </w:tblStylePr>
    <w:tblStylePr w:type="firstCol">
      <w:rPr>
        <w:b/>
        <w:bCs/>
      </w:rPr>
    </w:tblStylePr>
    <w:tblStylePr w:type="lastCol">
      <w:rPr>
        <w:b/>
        <w:bCs/>
      </w:rPr>
    </w:tblStylePr>
  </w:style>
  <w:style w:type="table" w:styleId="GridTable4-Accent1">
    <w:name w:val="Grid Table 4 Accent 1"/>
    <w:basedOn w:val="TableNormal"/>
    <w:uiPriority w:val="49"/>
    <w:rsid w:val="000469F7"/>
    <w:tblPr>
      <w:tblStyleRowBandSize w:val="1"/>
      <w:tblStyleColBandSize w:val="1"/>
      <w:tblBorders>
        <w:top w:val="single" w:sz="4" w:space="0" w:color="45B0E1" w:themeColor="accent1" w:themeTint="99"/>
        <w:left w:val="single" w:sz="4" w:space="0" w:color="45B0E1" w:themeColor="accent1" w:themeTint="99"/>
        <w:bottom w:val="single" w:sz="4" w:space="0" w:color="45B0E1" w:themeColor="accent1" w:themeTint="99"/>
        <w:right w:val="single" w:sz="4" w:space="0" w:color="45B0E1" w:themeColor="accent1" w:themeTint="99"/>
        <w:insideH w:val="single" w:sz="4" w:space="0" w:color="45B0E1" w:themeColor="accent1" w:themeTint="99"/>
        <w:insideV w:val="single" w:sz="4" w:space="0" w:color="45B0E1" w:themeColor="accent1" w:themeTint="99"/>
      </w:tblBorders>
    </w:tblPr>
    <w:tblStylePr w:type="firstRow">
      <w:rPr>
        <w:b/>
        <w:bCs/>
        <w:color w:val="FFFFFF" w:themeColor="background1"/>
      </w:rPr>
      <w:tblPr/>
      <w:tcPr>
        <w:tcBorders>
          <w:top w:val="single" w:sz="4" w:space="0" w:color="156082" w:themeColor="accent1"/>
          <w:left w:val="single" w:sz="4" w:space="0" w:color="156082" w:themeColor="accent1"/>
          <w:bottom w:val="single" w:sz="4" w:space="0" w:color="156082" w:themeColor="accent1"/>
          <w:right w:val="single" w:sz="4" w:space="0" w:color="156082" w:themeColor="accent1"/>
          <w:insideH w:val="nil"/>
          <w:insideV w:val="nil"/>
        </w:tcBorders>
        <w:shd w:val="clear" w:color="auto" w:fill="156082" w:themeFill="accent1"/>
      </w:tcPr>
    </w:tblStylePr>
    <w:tblStylePr w:type="lastRow">
      <w:rPr>
        <w:b/>
        <w:bCs/>
      </w:rPr>
      <w:tblPr/>
      <w:tcPr>
        <w:tcBorders>
          <w:top w:val="double" w:sz="4" w:space="0" w:color="156082" w:themeColor="accent1"/>
        </w:tcBorders>
      </w:tcPr>
    </w:tblStylePr>
    <w:tblStylePr w:type="firstCol">
      <w:rPr>
        <w:b/>
        <w:bCs/>
      </w:rPr>
    </w:tblStylePr>
    <w:tblStylePr w:type="lastCol">
      <w:rPr>
        <w:b/>
        <w:bCs/>
      </w:rPr>
    </w:tblStylePr>
    <w:tblStylePr w:type="band1Vert">
      <w:tblPr/>
      <w:tcPr>
        <w:shd w:val="clear" w:color="auto" w:fill="C1E4F5" w:themeFill="accent1" w:themeFillTint="33"/>
      </w:tcPr>
    </w:tblStylePr>
    <w:tblStylePr w:type="band1Horz">
      <w:tblPr/>
      <w:tcPr>
        <w:shd w:val="clear" w:color="auto" w:fill="C1E4F5" w:themeFill="accent1" w:themeFillTint="33"/>
      </w:tcPr>
    </w:tblStylePr>
  </w:style>
  <w:style w:type="character" w:customStyle="1" w:styleId="apple-converted-space">
    <w:name w:val="apple-converted-space"/>
    <w:basedOn w:val="DefaultParagraphFont"/>
    <w:rsid w:val="0013234D"/>
  </w:style>
  <w:style w:type="character" w:styleId="Hyperlink">
    <w:name w:val="Hyperlink"/>
    <w:basedOn w:val="DefaultParagraphFont"/>
    <w:uiPriority w:val="99"/>
    <w:unhideWhenUsed/>
    <w:rsid w:val="008A1F47"/>
    <w:rPr>
      <w:color w:val="467886" w:themeColor="hyperlink"/>
      <w:u w:val="single"/>
    </w:rPr>
  </w:style>
  <w:style w:type="character" w:styleId="UnresolvedMention">
    <w:name w:val="Unresolved Mention"/>
    <w:basedOn w:val="DefaultParagraphFont"/>
    <w:uiPriority w:val="99"/>
    <w:semiHidden/>
    <w:unhideWhenUsed/>
    <w:rsid w:val="008A1F47"/>
    <w:rPr>
      <w:color w:val="605E5C"/>
      <w:shd w:val="clear" w:color="auto" w:fill="E1DFDD"/>
    </w:rPr>
  </w:style>
  <w:style w:type="paragraph" w:styleId="Footer">
    <w:name w:val="footer"/>
    <w:basedOn w:val="Normal"/>
    <w:link w:val="FooterChar"/>
    <w:uiPriority w:val="99"/>
    <w:unhideWhenUsed/>
    <w:rsid w:val="007F7F87"/>
    <w:pPr>
      <w:tabs>
        <w:tab w:val="center" w:pos="4513"/>
        <w:tab w:val="right" w:pos="9026"/>
      </w:tabs>
    </w:pPr>
  </w:style>
  <w:style w:type="character" w:customStyle="1" w:styleId="FooterChar">
    <w:name w:val="Footer Char"/>
    <w:basedOn w:val="DefaultParagraphFont"/>
    <w:link w:val="Footer"/>
    <w:uiPriority w:val="99"/>
    <w:rsid w:val="007F7F87"/>
  </w:style>
  <w:style w:type="character" w:styleId="PageNumber">
    <w:name w:val="page number"/>
    <w:basedOn w:val="DefaultParagraphFont"/>
    <w:uiPriority w:val="99"/>
    <w:semiHidden/>
    <w:unhideWhenUsed/>
    <w:rsid w:val="007F7F87"/>
  </w:style>
  <w:style w:type="paragraph" w:styleId="Header">
    <w:name w:val="header"/>
    <w:basedOn w:val="Normal"/>
    <w:link w:val="HeaderChar"/>
    <w:uiPriority w:val="99"/>
    <w:unhideWhenUsed/>
    <w:rsid w:val="00E432DC"/>
    <w:pPr>
      <w:tabs>
        <w:tab w:val="center" w:pos="4513"/>
        <w:tab w:val="right" w:pos="9026"/>
      </w:tabs>
    </w:pPr>
  </w:style>
  <w:style w:type="character" w:customStyle="1" w:styleId="HeaderChar">
    <w:name w:val="Header Char"/>
    <w:basedOn w:val="DefaultParagraphFont"/>
    <w:link w:val="Header"/>
    <w:uiPriority w:val="99"/>
    <w:rsid w:val="00E432DC"/>
  </w:style>
  <w:style w:type="character" w:styleId="FollowedHyperlink">
    <w:name w:val="FollowedHyperlink"/>
    <w:basedOn w:val="DefaultParagraphFont"/>
    <w:uiPriority w:val="99"/>
    <w:semiHidden/>
    <w:unhideWhenUsed/>
    <w:rsid w:val="00976F0F"/>
    <w:rPr>
      <w:color w:val="96607D" w:themeColor="followedHyperlink"/>
      <w:u w:val="single"/>
    </w:rPr>
  </w:style>
  <w:style w:type="table" w:styleId="TableGrid">
    <w:name w:val="Table Grid"/>
    <w:basedOn w:val="TableNormal"/>
    <w:uiPriority w:val="39"/>
    <w:rsid w:val="006D2D4C"/>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Light">
    <w:name w:val="Grid Table Light"/>
    <w:basedOn w:val="TableNormal"/>
    <w:uiPriority w:val="40"/>
    <w:rsid w:val="008D4657"/>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styleId="NormalWeb">
    <w:name w:val="Normal (Web)"/>
    <w:basedOn w:val="Normal"/>
    <w:uiPriority w:val="99"/>
    <w:unhideWhenUsed/>
    <w:rsid w:val="002C5816"/>
    <w:pPr>
      <w:spacing w:before="100" w:beforeAutospacing="1" w:after="100" w:afterAutospacing="1"/>
    </w:pPr>
  </w:style>
  <w:style w:type="character" w:styleId="Strong">
    <w:name w:val="Strong"/>
    <w:basedOn w:val="DefaultParagraphFont"/>
    <w:uiPriority w:val="22"/>
    <w:qFormat/>
    <w:rsid w:val="002C5816"/>
    <w:rPr>
      <w:b/>
      <w:bCs/>
    </w:rPr>
  </w:style>
  <w:style w:type="character" w:styleId="Emphasis">
    <w:name w:val="Emphasis"/>
    <w:basedOn w:val="DefaultParagraphFont"/>
    <w:uiPriority w:val="20"/>
    <w:qFormat/>
    <w:rsid w:val="002C5816"/>
    <w:rPr>
      <w:i/>
      <w:iCs/>
    </w:rPr>
  </w:style>
  <w:style w:type="table" w:styleId="GridTable2">
    <w:name w:val="Grid Table 2"/>
    <w:basedOn w:val="TableNormal"/>
    <w:uiPriority w:val="47"/>
    <w:rsid w:val="00202C04"/>
    <w:tblPr>
      <w:tblStyleRowBandSize w:val="1"/>
      <w:tblStyleColBandSize w:val="1"/>
      <w:tblBorders>
        <w:top w:val="single" w:sz="2" w:space="0" w:color="666666" w:themeColor="text1" w:themeTint="99"/>
        <w:bottom w:val="single" w:sz="2" w:space="0" w:color="666666" w:themeColor="text1" w:themeTint="99"/>
        <w:insideH w:val="single" w:sz="2" w:space="0" w:color="666666" w:themeColor="text1" w:themeTint="99"/>
        <w:insideV w:val="single" w:sz="2" w:space="0" w:color="666666" w:themeColor="text1" w:themeTint="99"/>
      </w:tblBorders>
    </w:tblPr>
    <w:tblStylePr w:type="firstRow">
      <w:rPr>
        <w:b/>
        <w:bCs/>
      </w:rPr>
      <w:tblPr/>
      <w:tcPr>
        <w:tcBorders>
          <w:top w:val="nil"/>
          <w:bottom w:val="single" w:sz="12" w:space="0" w:color="666666" w:themeColor="text1" w:themeTint="99"/>
          <w:insideH w:val="nil"/>
          <w:insideV w:val="nil"/>
        </w:tcBorders>
        <w:shd w:val="clear" w:color="auto" w:fill="FFFFFF" w:themeFill="background1"/>
      </w:tcPr>
    </w:tblStylePr>
    <w:tblStylePr w:type="lastRow">
      <w:rPr>
        <w:b/>
        <w:bCs/>
      </w:rPr>
      <w:tblPr/>
      <w:tcPr>
        <w:tcBorders>
          <w:top w:val="double" w:sz="2" w:space="0" w:color="666666" w:themeColor="text1"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GridTable4">
    <w:name w:val="Grid Table 4"/>
    <w:basedOn w:val="TableNormal"/>
    <w:uiPriority w:val="49"/>
    <w:rsid w:val="00202C04"/>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insideV w:val="nil"/>
        </w:tcBorders>
        <w:shd w:val="clear" w:color="auto" w:fill="000000" w:themeFill="text1"/>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GridTable4-Accent3">
    <w:name w:val="Grid Table 4 Accent 3"/>
    <w:basedOn w:val="TableNormal"/>
    <w:uiPriority w:val="49"/>
    <w:rsid w:val="00BF0B50"/>
    <w:tblPr>
      <w:tblStyleRowBandSize w:val="1"/>
      <w:tblStyleColBandSize w:val="1"/>
      <w:tblBorders>
        <w:top w:val="single" w:sz="4" w:space="0" w:color="47D459" w:themeColor="accent3" w:themeTint="99"/>
        <w:left w:val="single" w:sz="4" w:space="0" w:color="47D459" w:themeColor="accent3" w:themeTint="99"/>
        <w:bottom w:val="single" w:sz="4" w:space="0" w:color="47D459" w:themeColor="accent3" w:themeTint="99"/>
        <w:right w:val="single" w:sz="4" w:space="0" w:color="47D459" w:themeColor="accent3" w:themeTint="99"/>
        <w:insideH w:val="single" w:sz="4" w:space="0" w:color="47D459" w:themeColor="accent3" w:themeTint="99"/>
        <w:insideV w:val="single" w:sz="4" w:space="0" w:color="47D459" w:themeColor="accent3" w:themeTint="99"/>
      </w:tblBorders>
    </w:tblPr>
    <w:tblStylePr w:type="firstRow">
      <w:rPr>
        <w:b/>
        <w:bCs/>
        <w:color w:val="FFFFFF" w:themeColor="background1"/>
      </w:rPr>
      <w:tblPr/>
      <w:tcPr>
        <w:tcBorders>
          <w:top w:val="single" w:sz="4" w:space="0" w:color="196B24" w:themeColor="accent3"/>
          <w:left w:val="single" w:sz="4" w:space="0" w:color="196B24" w:themeColor="accent3"/>
          <w:bottom w:val="single" w:sz="4" w:space="0" w:color="196B24" w:themeColor="accent3"/>
          <w:right w:val="single" w:sz="4" w:space="0" w:color="196B24" w:themeColor="accent3"/>
          <w:insideH w:val="nil"/>
          <w:insideV w:val="nil"/>
        </w:tcBorders>
        <w:shd w:val="clear" w:color="auto" w:fill="196B24" w:themeFill="accent3"/>
      </w:tcPr>
    </w:tblStylePr>
    <w:tblStylePr w:type="lastRow">
      <w:rPr>
        <w:b/>
        <w:bCs/>
      </w:rPr>
      <w:tblPr/>
      <w:tcPr>
        <w:tcBorders>
          <w:top w:val="double" w:sz="4" w:space="0" w:color="196B24" w:themeColor="accent3"/>
        </w:tcBorders>
      </w:tcPr>
    </w:tblStylePr>
    <w:tblStylePr w:type="firstCol">
      <w:rPr>
        <w:b/>
        <w:bCs/>
      </w:rPr>
    </w:tblStylePr>
    <w:tblStylePr w:type="lastCol">
      <w:rPr>
        <w:b/>
        <w:bCs/>
      </w:rPr>
    </w:tblStylePr>
    <w:tblStylePr w:type="band1Vert">
      <w:tblPr/>
      <w:tcPr>
        <w:shd w:val="clear" w:color="auto" w:fill="C1F0C7" w:themeFill="accent3" w:themeFillTint="33"/>
      </w:tcPr>
    </w:tblStylePr>
    <w:tblStylePr w:type="band1Horz">
      <w:tblPr/>
      <w:tcPr>
        <w:shd w:val="clear" w:color="auto" w:fill="C1F0C7" w:themeFill="accent3" w:themeFillTint="33"/>
      </w:tcPr>
    </w:tblStylePr>
  </w:style>
  <w:style w:type="table" w:styleId="ListTable4-Accent5">
    <w:name w:val="List Table 4 Accent 5"/>
    <w:basedOn w:val="TableNormal"/>
    <w:uiPriority w:val="49"/>
    <w:rsid w:val="00D80B5B"/>
    <w:tblPr>
      <w:tblStyleRowBandSize w:val="1"/>
      <w:tblStyleColBandSize w:val="1"/>
      <w:tblBorders>
        <w:top w:val="single" w:sz="4" w:space="0" w:color="D86DCB" w:themeColor="accent5" w:themeTint="99"/>
        <w:left w:val="single" w:sz="4" w:space="0" w:color="D86DCB" w:themeColor="accent5" w:themeTint="99"/>
        <w:bottom w:val="single" w:sz="4" w:space="0" w:color="D86DCB" w:themeColor="accent5" w:themeTint="99"/>
        <w:right w:val="single" w:sz="4" w:space="0" w:color="D86DCB" w:themeColor="accent5" w:themeTint="99"/>
        <w:insideH w:val="single" w:sz="4" w:space="0" w:color="D86DCB" w:themeColor="accent5" w:themeTint="99"/>
      </w:tblBorders>
    </w:tblPr>
    <w:tblStylePr w:type="firstRow">
      <w:rPr>
        <w:b/>
        <w:bCs/>
        <w:color w:val="FFFFFF" w:themeColor="background1"/>
      </w:rPr>
      <w:tblPr/>
      <w:tcPr>
        <w:tcBorders>
          <w:top w:val="single" w:sz="4" w:space="0" w:color="A02B93" w:themeColor="accent5"/>
          <w:left w:val="single" w:sz="4" w:space="0" w:color="A02B93" w:themeColor="accent5"/>
          <w:bottom w:val="single" w:sz="4" w:space="0" w:color="A02B93" w:themeColor="accent5"/>
          <w:right w:val="single" w:sz="4" w:space="0" w:color="A02B93" w:themeColor="accent5"/>
          <w:insideH w:val="nil"/>
        </w:tcBorders>
        <w:shd w:val="clear" w:color="auto" w:fill="A02B93" w:themeFill="accent5"/>
      </w:tcPr>
    </w:tblStylePr>
    <w:tblStylePr w:type="lastRow">
      <w:rPr>
        <w:b/>
        <w:bCs/>
      </w:rPr>
      <w:tblPr/>
      <w:tcPr>
        <w:tcBorders>
          <w:top w:val="double" w:sz="4" w:space="0" w:color="D86DCB" w:themeColor="accent5" w:themeTint="99"/>
        </w:tcBorders>
      </w:tcPr>
    </w:tblStylePr>
    <w:tblStylePr w:type="firstCol">
      <w:rPr>
        <w:b/>
        <w:bCs/>
      </w:rPr>
    </w:tblStylePr>
    <w:tblStylePr w:type="lastCol">
      <w:rPr>
        <w:b/>
        <w:bCs/>
      </w:rPr>
    </w:tblStylePr>
    <w:tblStylePr w:type="band1Vert">
      <w:tblPr/>
      <w:tcPr>
        <w:shd w:val="clear" w:color="auto" w:fill="F2CEED" w:themeFill="accent5" w:themeFillTint="33"/>
      </w:tcPr>
    </w:tblStylePr>
    <w:tblStylePr w:type="band1Horz">
      <w:tblPr/>
      <w:tcPr>
        <w:shd w:val="clear" w:color="auto" w:fill="F2CEED" w:themeFill="accent5" w:themeFillTint="33"/>
      </w:tcPr>
    </w:tblStylePr>
  </w:style>
  <w:style w:type="table" w:styleId="GridTable2-Accent5">
    <w:name w:val="Grid Table 2 Accent 5"/>
    <w:basedOn w:val="TableNormal"/>
    <w:uiPriority w:val="47"/>
    <w:rsid w:val="009C5B7C"/>
    <w:tblPr>
      <w:tblStyleRowBandSize w:val="1"/>
      <w:tblStyleColBandSize w:val="1"/>
      <w:tblBorders>
        <w:top w:val="single" w:sz="2" w:space="0" w:color="D86DCB" w:themeColor="accent5" w:themeTint="99"/>
        <w:bottom w:val="single" w:sz="2" w:space="0" w:color="D86DCB" w:themeColor="accent5" w:themeTint="99"/>
        <w:insideH w:val="single" w:sz="2" w:space="0" w:color="D86DCB" w:themeColor="accent5" w:themeTint="99"/>
        <w:insideV w:val="single" w:sz="2" w:space="0" w:color="D86DCB" w:themeColor="accent5" w:themeTint="99"/>
      </w:tblBorders>
    </w:tblPr>
    <w:tblStylePr w:type="firstRow">
      <w:rPr>
        <w:b/>
        <w:bCs/>
      </w:rPr>
      <w:tblPr/>
      <w:tcPr>
        <w:tcBorders>
          <w:top w:val="nil"/>
          <w:bottom w:val="single" w:sz="12" w:space="0" w:color="D86DCB" w:themeColor="accent5" w:themeTint="99"/>
          <w:insideH w:val="nil"/>
          <w:insideV w:val="nil"/>
        </w:tcBorders>
        <w:shd w:val="clear" w:color="auto" w:fill="FFFFFF" w:themeFill="background1"/>
      </w:tcPr>
    </w:tblStylePr>
    <w:tblStylePr w:type="lastRow">
      <w:rPr>
        <w:b/>
        <w:bCs/>
      </w:rPr>
      <w:tblPr/>
      <w:tcPr>
        <w:tcBorders>
          <w:top w:val="double" w:sz="2" w:space="0" w:color="D86DCB" w:themeColor="accent5"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F2CEED" w:themeFill="accent5" w:themeFillTint="33"/>
      </w:tcPr>
    </w:tblStylePr>
    <w:tblStylePr w:type="band1Horz">
      <w:tblPr/>
      <w:tcPr>
        <w:shd w:val="clear" w:color="auto" w:fill="F2CEED" w:themeFill="accent5" w:themeFillTint="33"/>
      </w:tcPr>
    </w:tblStylePr>
  </w:style>
  <w:style w:type="table" w:styleId="GridTable2-Accent4">
    <w:name w:val="Grid Table 2 Accent 4"/>
    <w:basedOn w:val="TableNormal"/>
    <w:uiPriority w:val="47"/>
    <w:rsid w:val="009C5B7C"/>
    <w:tblPr>
      <w:tblStyleRowBandSize w:val="1"/>
      <w:tblStyleColBandSize w:val="1"/>
      <w:tblBorders>
        <w:top w:val="single" w:sz="2" w:space="0" w:color="60CAF3" w:themeColor="accent4" w:themeTint="99"/>
        <w:bottom w:val="single" w:sz="2" w:space="0" w:color="60CAF3" w:themeColor="accent4" w:themeTint="99"/>
        <w:insideH w:val="single" w:sz="2" w:space="0" w:color="60CAF3" w:themeColor="accent4" w:themeTint="99"/>
        <w:insideV w:val="single" w:sz="2" w:space="0" w:color="60CAF3" w:themeColor="accent4" w:themeTint="99"/>
      </w:tblBorders>
    </w:tblPr>
    <w:tblStylePr w:type="firstRow">
      <w:rPr>
        <w:b/>
        <w:bCs/>
      </w:rPr>
      <w:tblPr/>
      <w:tcPr>
        <w:tcBorders>
          <w:top w:val="nil"/>
          <w:bottom w:val="single" w:sz="12" w:space="0" w:color="60CAF3" w:themeColor="accent4" w:themeTint="99"/>
          <w:insideH w:val="nil"/>
          <w:insideV w:val="nil"/>
        </w:tcBorders>
        <w:shd w:val="clear" w:color="auto" w:fill="FFFFFF" w:themeFill="background1"/>
      </w:tcPr>
    </w:tblStylePr>
    <w:tblStylePr w:type="lastRow">
      <w:rPr>
        <w:b/>
        <w:bCs/>
      </w:rPr>
      <w:tblPr/>
      <w:tcPr>
        <w:tcBorders>
          <w:top w:val="double" w:sz="2" w:space="0" w:color="60CAF3" w:themeColor="accent4"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CAEDFB" w:themeFill="accent4" w:themeFillTint="33"/>
      </w:tcPr>
    </w:tblStylePr>
    <w:tblStylePr w:type="band1Horz">
      <w:tblPr/>
      <w:tcPr>
        <w:shd w:val="clear" w:color="auto" w:fill="CAEDFB" w:themeFill="accent4" w:themeFillTint="33"/>
      </w:tcPr>
    </w:tblStylePr>
  </w:style>
  <w:style w:type="table" w:styleId="GridTable5Dark-Accent4">
    <w:name w:val="Grid Table 5 Dark Accent 4"/>
    <w:basedOn w:val="TableNormal"/>
    <w:uiPriority w:val="50"/>
    <w:rsid w:val="009C5B7C"/>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CAEDFB" w:themeFill="accent4"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0F9ED5" w:themeFill="accent4"/>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0F9ED5" w:themeFill="accent4"/>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0F9ED5" w:themeFill="accent4"/>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0F9ED5" w:themeFill="accent4"/>
      </w:tcPr>
    </w:tblStylePr>
    <w:tblStylePr w:type="band1Vert">
      <w:tblPr/>
      <w:tcPr>
        <w:shd w:val="clear" w:color="auto" w:fill="95DCF7" w:themeFill="accent4" w:themeFillTint="66"/>
      </w:tcPr>
    </w:tblStylePr>
    <w:tblStylePr w:type="band1Horz">
      <w:tblPr/>
      <w:tcPr>
        <w:shd w:val="clear" w:color="auto" w:fill="95DCF7" w:themeFill="accent4" w:themeFillTint="66"/>
      </w:tcPr>
    </w:tblStylePr>
  </w:style>
  <w:style w:type="table" w:styleId="GridTable6ColourfulAccent5">
    <w:name w:val="Grid Table 6 Colorful Accent 5"/>
    <w:basedOn w:val="TableNormal"/>
    <w:uiPriority w:val="51"/>
    <w:rsid w:val="009C5B7C"/>
    <w:rPr>
      <w:color w:val="77206D" w:themeColor="accent5" w:themeShade="BF"/>
    </w:rPr>
    <w:tblPr>
      <w:tblStyleRowBandSize w:val="1"/>
      <w:tblStyleColBandSize w:val="1"/>
      <w:tblBorders>
        <w:top w:val="single" w:sz="4" w:space="0" w:color="D86DCB" w:themeColor="accent5" w:themeTint="99"/>
        <w:left w:val="single" w:sz="4" w:space="0" w:color="D86DCB" w:themeColor="accent5" w:themeTint="99"/>
        <w:bottom w:val="single" w:sz="4" w:space="0" w:color="D86DCB" w:themeColor="accent5" w:themeTint="99"/>
        <w:right w:val="single" w:sz="4" w:space="0" w:color="D86DCB" w:themeColor="accent5" w:themeTint="99"/>
        <w:insideH w:val="single" w:sz="4" w:space="0" w:color="D86DCB" w:themeColor="accent5" w:themeTint="99"/>
        <w:insideV w:val="single" w:sz="4" w:space="0" w:color="D86DCB" w:themeColor="accent5" w:themeTint="99"/>
      </w:tblBorders>
    </w:tblPr>
    <w:tblStylePr w:type="firstRow">
      <w:rPr>
        <w:b/>
        <w:bCs/>
      </w:rPr>
      <w:tblPr/>
      <w:tcPr>
        <w:tcBorders>
          <w:bottom w:val="single" w:sz="12" w:space="0" w:color="D86DCB" w:themeColor="accent5" w:themeTint="99"/>
        </w:tcBorders>
      </w:tcPr>
    </w:tblStylePr>
    <w:tblStylePr w:type="lastRow">
      <w:rPr>
        <w:b/>
        <w:bCs/>
      </w:rPr>
      <w:tblPr/>
      <w:tcPr>
        <w:tcBorders>
          <w:top w:val="double" w:sz="4" w:space="0" w:color="D86DCB" w:themeColor="accent5" w:themeTint="99"/>
        </w:tcBorders>
      </w:tcPr>
    </w:tblStylePr>
    <w:tblStylePr w:type="firstCol">
      <w:rPr>
        <w:b/>
        <w:bCs/>
      </w:rPr>
    </w:tblStylePr>
    <w:tblStylePr w:type="lastCol">
      <w:rPr>
        <w:b/>
        <w:bCs/>
      </w:rPr>
    </w:tblStylePr>
    <w:tblStylePr w:type="band1Vert">
      <w:tblPr/>
      <w:tcPr>
        <w:shd w:val="clear" w:color="auto" w:fill="F2CEED" w:themeFill="accent5" w:themeFillTint="33"/>
      </w:tcPr>
    </w:tblStylePr>
    <w:tblStylePr w:type="band1Horz">
      <w:tblPr/>
      <w:tcPr>
        <w:shd w:val="clear" w:color="auto" w:fill="F2CEED" w:themeFill="accent5" w:themeFillTint="33"/>
      </w:tcPr>
    </w:tblStylePr>
  </w:style>
  <w:style w:type="table" w:styleId="GridTable6ColourfulAccent6">
    <w:name w:val="Grid Table 6 Colorful Accent 6"/>
    <w:basedOn w:val="TableNormal"/>
    <w:uiPriority w:val="51"/>
    <w:rsid w:val="009C5B7C"/>
    <w:rPr>
      <w:color w:val="3A7C22" w:themeColor="accent6" w:themeShade="BF"/>
    </w:rPr>
    <w:tblPr>
      <w:tblStyleRowBandSize w:val="1"/>
      <w:tblStyleColBandSize w:val="1"/>
      <w:tblBorders>
        <w:top w:val="single" w:sz="4" w:space="0" w:color="8DD873" w:themeColor="accent6" w:themeTint="99"/>
        <w:left w:val="single" w:sz="4" w:space="0" w:color="8DD873" w:themeColor="accent6" w:themeTint="99"/>
        <w:bottom w:val="single" w:sz="4" w:space="0" w:color="8DD873" w:themeColor="accent6" w:themeTint="99"/>
        <w:right w:val="single" w:sz="4" w:space="0" w:color="8DD873" w:themeColor="accent6" w:themeTint="99"/>
        <w:insideH w:val="single" w:sz="4" w:space="0" w:color="8DD873" w:themeColor="accent6" w:themeTint="99"/>
        <w:insideV w:val="single" w:sz="4" w:space="0" w:color="8DD873" w:themeColor="accent6" w:themeTint="99"/>
      </w:tblBorders>
    </w:tblPr>
    <w:tblStylePr w:type="firstRow">
      <w:rPr>
        <w:b/>
        <w:bCs/>
      </w:rPr>
      <w:tblPr/>
      <w:tcPr>
        <w:tcBorders>
          <w:bottom w:val="single" w:sz="12" w:space="0" w:color="8DD873" w:themeColor="accent6" w:themeTint="99"/>
        </w:tcBorders>
      </w:tcPr>
    </w:tblStylePr>
    <w:tblStylePr w:type="lastRow">
      <w:rPr>
        <w:b/>
        <w:bCs/>
      </w:rPr>
      <w:tblPr/>
      <w:tcPr>
        <w:tcBorders>
          <w:top w:val="double" w:sz="4" w:space="0" w:color="8DD873" w:themeColor="accent6" w:themeTint="99"/>
        </w:tcBorders>
      </w:tcPr>
    </w:tblStylePr>
    <w:tblStylePr w:type="firstCol">
      <w:rPr>
        <w:b/>
        <w:bCs/>
      </w:rPr>
    </w:tblStylePr>
    <w:tblStylePr w:type="lastCol">
      <w:rPr>
        <w:b/>
        <w:bCs/>
      </w:rPr>
    </w:tblStylePr>
    <w:tblStylePr w:type="band1Vert">
      <w:tblPr/>
      <w:tcPr>
        <w:shd w:val="clear" w:color="auto" w:fill="D9F2D0" w:themeFill="accent6" w:themeFillTint="33"/>
      </w:tcPr>
    </w:tblStylePr>
    <w:tblStylePr w:type="band1Horz">
      <w:tblPr/>
      <w:tcPr>
        <w:shd w:val="clear" w:color="auto" w:fill="D9F2D0" w:themeFill="accent6" w:themeFillTint="33"/>
      </w:tcPr>
    </w:tblStylePr>
  </w:style>
  <w:style w:type="table" w:styleId="GridTable6ColourfulAccent3">
    <w:name w:val="Grid Table 6 Colorful Accent 3"/>
    <w:basedOn w:val="TableNormal"/>
    <w:uiPriority w:val="51"/>
    <w:rsid w:val="009C5B7C"/>
    <w:rPr>
      <w:color w:val="124F1A" w:themeColor="accent3" w:themeShade="BF"/>
    </w:rPr>
    <w:tblPr>
      <w:tblStyleRowBandSize w:val="1"/>
      <w:tblStyleColBandSize w:val="1"/>
      <w:tblBorders>
        <w:top w:val="single" w:sz="4" w:space="0" w:color="47D459" w:themeColor="accent3" w:themeTint="99"/>
        <w:left w:val="single" w:sz="4" w:space="0" w:color="47D459" w:themeColor="accent3" w:themeTint="99"/>
        <w:bottom w:val="single" w:sz="4" w:space="0" w:color="47D459" w:themeColor="accent3" w:themeTint="99"/>
        <w:right w:val="single" w:sz="4" w:space="0" w:color="47D459" w:themeColor="accent3" w:themeTint="99"/>
        <w:insideH w:val="single" w:sz="4" w:space="0" w:color="47D459" w:themeColor="accent3" w:themeTint="99"/>
        <w:insideV w:val="single" w:sz="4" w:space="0" w:color="47D459" w:themeColor="accent3" w:themeTint="99"/>
      </w:tblBorders>
    </w:tblPr>
    <w:tblStylePr w:type="firstRow">
      <w:rPr>
        <w:b/>
        <w:bCs/>
      </w:rPr>
      <w:tblPr/>
      <w:tcPr>
        <w:tcBorders>
          <w:bottom w:val="single" w:sz="12" w:space="0" w:color="47D459" w:themeColor="accent3" w:themeTint="99"/>
        </w:tcBorders>
      </w:tcPr>
    </w:tblStylePr>
    <w:tblStylePr w:type="lastRow">
      <w:rPr>
        <w:b/>
        <w:bCs/>
      </w:rPr>
      <w:tblPr/>
      <w:tcPr>
        <w:tcBorders>
          <w:top w:val="double" w:sz="4" w:space="0" w:color="47D459" w:themeColor="accent3" w:themeTint="99"/>
        </w:tcBorders>
      </w:tcPr>
    </w:tblStylePr>
    <w:tblStylePr w:type="firstCol">
      <w:rPr>
        <w:b/>
        <w:bCs/>
      </w:rPr>
    </w:tblStylePr>
    <w:tblStylePr w:type="lastCol">
      <w:rPr>
        <w:b/>
        <w:bCs/>
      </w:rPr>
    </w:tblStylePr>
    <w:tblStylePr w:type="band1Vert">
      <w:tblPr/>
      <w:tcPr>
        <w:shd w:val="clear" w:color="auto" w:fill="C1F0C7" w:themeFill="accent3" w:themeFillTint="33"/>
      </w:tcPr>
    </w:tblStylePr>
    <w:tblStylePr w:type="band1Horz">
      <w:tblPr/>
      <w:tcPr>
        <w:shd w:val="clear" w:color="auto" w:fill="C1F0C7" w:themeFill="accent3" w:themeFillTint="33"/>
      </w:tcPr>
    </w:tblStylePr>
  </w:style>
  <w:style w:type="table" w:styleId="GridTable5Dark-Accent6">
    <w:name w:val="Grid Table 5 Dark Accent 6"/>
    <w:basedOn w:val="TableNormal"/>
    <w:uiPriority w:val="50"/>
    <w:rsid w:val="009C5B7C"/>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9F2D0" w:themeFill="accent6"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4EA72E" w:themeFill="accent6"/>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4EA72E" w:themeFill="accent6"/>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4EA72E" w:themeFill="accent6"/>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4EA72E" w:themeFill="accent6"/>
      </w:tcPr>
    </w:tblStylePr>
    <w:tblStylePr w:type="band1Vert">
      <w:tblPr/>
      <w:tcPr>
        <w:shd w:val="clear" w:color="auto" w:fill="B3E5A1" w:themeFill="accent6" w:themeFillTint="66"/>
      </w:tcPr>
    </w:tblStylePr>
    <w:tblStylePr w:type="band1Horz">
      <w:tblPr/>
      <w:tcPr>
        <w:shd w:val="clear" w:color="auto" w:fill="B3E5A1" w:themeFill="accent6" w:themeFillTint="66"/>
      </w:tcPr>
    </w:tblStylePr>
  </w:style>
  <w:style w:type="table" w:styleId="ListTable4-Accent2">
    <w:name w:val="List Table 4 Accent 2"/>
    <w:basedOn w:val="TableNormal"/>
    <w:uiPriority w:val="49"/>
    <w:rsid w:val="009C5B7C"/>
    <w:tblPr>
      <w:tblStyleRowBandSize w:val="1"/>
      <w:tblStyleColBandSize w:val="1"/>
      <w:tblBorders>
        <w:top w:val="single" w:sz="4" w:space="0" w:color="F1A983" w:themeColor="accent2" w:themeTint="99"/>
        <w:left w:val="single" w:sz="4" w:space="0" w:color="F1A983" w:themeColor="accent2" w:themeTint="99"/>
        <w:bottom w:val="single" w:sz="4" w:space="0" w:color="F1A983" w:themeColor="accent2" w:themeTint="99"/>
        <w:right w:val="single" w:sz="4" w:space="0" w:color="F1A983" w:themeColor="accent2" w:themeTint="99"/>
        <w:insideH w:val="single" w:sz="4" w:space="0" w:color="F1A983" w:themeColor="accent2" w:themeTint="99"/>
      </w:tblBorders>
    </w:tblPr>
    <w:tblStylePr w:type="firstRow">
      <w:rPr>
        <w:b/>
        <w:bCs/>
        <w:color w:val="FFFFFF" w:themeColor="background1"/>
      </w:rPr>
      <w:tblPr/>
      <w:tcPr>
        <w:tcBorders>
          <w:top w:val="single" w:sz="4" w:space="0" w:color="E97132" w:themeColor="accent2"/>
          <w:left w:val="single" w:sz="4" w:space="0" w:color="E97132" w:themeColor="accent2"/>
          <w:bottom w:val="single" w:sz="4" w:space="0" w:color="E97132" w:themeColor="accent2"/>
          <w:right w:val="single" w:sz="4" w:space="0" w:color="E97132" w:themeColor="accent2"/>
          <w:insideH w:val="nil"/>
        </w:tcBorders>
        <w:shd w:val="clear" w:color="auto" w:fill="E97132" w:themeFill="accent2"/>
      </w:tcPr>
    </w:tblStylePr>
    <w:tblStylePr w:type="lastRow">
      <w:rPr>
        <w:b/>
        <w:bCs/>
      </w:rPr>
      <w:tblPr/>
      <w:tcPr>
        <w:tcBorders>
          <w:top w:val="double" w:sz="4" w:space="0" w:color="F1A983" w:themeColor="accent2" w:themeTint="99"/>
        </w:tcBorders>
      </w:tcPr>
    </w:tblStylePr>
    <w:tblStylePr w:type="firstCol">
      <w:rPr>
        <w:b/>
        <w:bCs/>
      </w:rPr>
    </w:tblStylePr>
    <w:tblStylePr w:type="lastCol">
      <w:rPr>
        <w:b/>
        <w:bCs/>
      </w:rPr>
    </w:tblStylePr>
    <w:tblStylePr w:type="band1Vert">
      <w:tblPr/>
      <w:tcPr>
        <w:shd w:val="clear" w:color="auto" w:fill="FAE2D5" w:themeFill="accent2" w:themeFillTint="33"/>
      </w:tcPr>
    </w:tblStylePr>
    <w:tblStylePr w:type="band1Horz">
      <w:tblPr/>
      <w:tcPr>
        <w:shd w:val="clear" w:color="auto" w:fill="FAE2D5" w:themeFill="accent2" w:themeFillTint="33"/>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oi.org/10.1007/s10551-023-05600-z" TargetMode="External"/><Relationship Id="rId18" Type="http://schemas.openxmlformats.org/officeDocument/2006/relationships/hyperlink" Target="https://group.dhl.com/content/dam/deutschepostdhl/en/media-relations/press-releases/2025/pr-dhl-ecommerce-evri-partnership-uk-20250514.pdf" TargetMode="External"/><Relationship Id="rId26" Type="http://schemas.openxmlformats.org/officeDocument/2006/relationships/hyperlink" Target="https://www.ofcom.org.uk/post/deliveries-and-charges/best-and-worst-parcel-firms-for-customer-satisfaction-revealed-2025" TargetMode="External"/><Relationship Id="rId3" Type="http://schemas.openxmlformats.org/officeDocument/2006/relationships/styles" Target="styles.xml"/><Relationship Id="rId21" Type="http://schemas.openxmlformats.org/officeDocument/2006/relationships/hyperlink" Target="https://www.international-logistics-group.com/uk-en/insights/uk-omnichannel-retail-in-2026-164060/" TargetMode="External"/><Relationship Id="rId34"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hyperlink" Target="https://doi.org/10.1016/j.ijproman.2016.04.001" TargetMode="External"/><Relationship Id="rId17" Type="http://schemas.openxmlformats.org/officeDocument/2006/relationships/hyperlink" Target="https://www.gov.uk/government/publications/future-of-rural-england-report/future-of-rural-england-report" TargetMode="External"/><Relationship Id="rId25" Type="http://schemas.openxmlformats.org/officeDocument/2006/relationships/hyperlink" Target="https://doi.org/10.1787/5f25ce2a-en" TargetMode="External"/><Relationship Id="rId33" Type="http://schemas.openxmlformats.org/officeDocument/2006/relationships/footer" Target="footer2.xml"/><Relationship Id="rId2" Type="http://schemas.openxmlformats.org/officeDocument/2006/relationships/numbering" Target="numbering.xml"/><Relationship Id="rId16" Type="http://schemas.openxmlformats.org/officeDocument/2006/relationships/hyperlink" Target="https://www.gov.uk/government/statistics/business-population-estimates-2025/business-population-estimates-for-the-uk-and-regions-2025-statistical-release" TargetMode="External"/><Relationship Id="rId20" Type="http://schemas.openxmlformats.org/officeDocument/2006/relationships/hyperlink" Target="https://www.internationaldistributionservices.com/media/13027/ids-annual-report-2025-26.pdf" TargetMode="External"/><Relationship Id="rId29" Type="http://schemas.openxmlformats.org/officeDocument/2006/relationships/hyperlink" Target="https://doi.org/10.1177/01492063241227154"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doi.org/10.1080/00207543.2025.2610764" TargetMode="External"/><Relationship Id="rId32"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hyperlink" Target="https://doi.org/10.4018/JECO.337362" TargetMode="External"/><Relationship Id="rId23" Type="http://schemas.openxmlformats.org/officeDocument/2006/relationships/hyperlink" Target="https://doi.org/10.1007/s10660-020-09448-7" TargetMode="External"/><Relationship Id="rId28" Type="http://schemas.openxmlformats.org/officeDocument/2006/relationships/hyperlink" Target="https://doi.org/10.3390/logistics8030077" TargetMode="External"/><Relationship Id="rId10" Type="http://schemas.openxmlformats.org/officeDocument/2006/relationships/image" Target="media/image3.png"/><Relationship Id="rId19" Type="http://schemas.openxmlformats.org/officeDocument/2006/relationships/hyperlink" Target="https://doi.org/10.1002/mar.21938" TargetMode="External"/><Relationship Id="rId31"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doi.org/10.2174/0126671212391037250827100344" TargetMode="External"/><Relationship Id="rId22" Type="http://schemas.openxmlformats.org/officeDocument/2006/relationships/hyperlink" Target="https://doi.org/10.1016/j.clscn.2026.100334" TargetMode="External"/><Relationship Id="rId27" Type="http://schemas.openxmlformats.org/officeDocument/2006/relationships/hyperlink" Target="https://www.royalmail.com/sustainability" TargetMode="External"/><Relationship Id="rId30" Type="http://schemas.openxmlformats.org/officeDocument/2006/relationships/hyperlink" Target="https://doi.org/10.3390/jtaer17020033" TargetMode="External"/><Relationship Id="rId35" Type="http://schemas.openxmlformats.org/officeDocument/2006/relationships/theme" Target="theme/theme1.xml"/><Relationship Id="rId8"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22F4F6D3-A2A2-9640-9509-E98C7C5693E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156</TotalTime>
  <Pages>19</Pages>
  <Words>5934</Words>
  <Characters>33828</Characters>
  <Application>Microsoft Office Word</Application>
  <DocSecurity>0</DocSecurity>
  <Lines>281</Lines>
  <Paragraphs>79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39683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senita ghirrdra</dc:creator>
  <cp:keywords/>
  <dc:description/>
  <cp:lastModifiedBy>senita ghirrdra</cp:lastModifiedBy>
  <cp:revision>202</cp:revision>
  <cp:lastPrinted>2026-04-20T23:07:00Z</cp:lastPrinted>
  <dcterms:created xsi:type="dcterms:W3CDTF">2026-04-20T23:07:00Z</dcterms:created>
  <dcterms:modified xsi:type="dcterms:W3CDTF">2026-08-21T10:10:00Z</dcterms:modified>
</cp:coreProperties>
</file>