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dTable1Light-Accent31"/>
        <w:tblW w:w="9350" w:type="dxa"/>
        <w:tblLayout w:type="fixed"/>
        <w:tblLook w:val="04A0" w:firstRow="1" w:lastRow="0" w:firstColumn="1" w:lastColumn="0" w:noHBand="0" w:noVBand="1"/>
      </w:tblPr>
      <w:tblGrid>
        <w:gridCol w:w="2546"/>
        <w:gridCol w:w="6804"/>
      </w:tblGrid>
      <w:tr w:rsidR="00210333" w14:paraId="65F77BCF" w14:textId="77777777" w:rsidTr="00210333">
        <w:trPr>
          <w:cnfStyle w:val="100000000000" w:firstRow="1" w:lastRow="0" w:firstColumn="0" w:lastColumn="0" w:oddVBand="0" w:evenVBand="0" w:oddHBand="0"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2546" w:type="dxa"/>
            <w:tcBorders>
              <w:bottom w:val="single" w:sz="12" w:space="0" w:color="C9C9C9"/>
            </w:tcBorders>
          </w:tcPr>
          <w:p w14:paraId="080CBA1A" w14:textId="77777777" w:rsidR="00210333" w:rsidRDefault="00FD0613">
            <w:pPr>
              <w:spacing w:after="0" w:line="240" w:lineRule="auto"/>
              <w:jc w:val="both"/>
              <w:rPr>
                <w:rFonts w:ascii="Times New Roman" w:hAnsi="Times New Roman" w:cs="Times New Roman"/>
                <w:b w:val="0"/>
                <w:sz w:val="24"/>
                <w:szCs w:val="24"/>
              </w:rPr>
            </w:pPr>
            <w:r>
              <w:rPr>
                <w:rFonts w:ascii="Times New Roman" w:eastAsia="Calibri" w:hAnsi="Times New Roman" w:cs="Times New Roman"/>
                <w:sz w:val="24"/>
                <w:szCs w:val="24"/>
              </w:rPr>
              <w:t>NAME:</w:t>
            </w:r>
          </w:p>
        </w:tc>
        <w:tc>
          <w:tcPr>
            <w:tcW w:w="6803" w:type="dxa"/>
            <w:tcBorders>
              <w:bottom w:val="single" w:sz="12" w:space="0" w:color="C9C9C9"/>
            </w:tcBorders>
          </w:tcPr>
          <w:p w14:paraId="6B4C376F" w14:textId="77777777" w:rsidR="00210333" w:rsidRDefault="0043296F">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eastAsia="Calibri" w:hAnsi="Times New Roman" w:cs="Times New Roman"/>
                <w:sz w:val="24"/>
                <w:szCs w:val="24"/>
              </w:rPr>
              <w:t>Jainaba Jum</w:t>
            </w:r>
          </w:p>
        </w:tc>
      </w:tr>
      <w:tr w:rsidR="00210333" w14:paraId="137B35E3" w14:textId="77777777" w:rsidTr="00210333">
        <w:trPr>
          <w:trHeight w:val="484"/>
        </w:trPr>
        <w:tc>
          <w:tcPr>
            <w:cnfStyle w:val="001000000000" w:firstRow="0" w:lastRow="0" w:firstColumn="1" w:lastColumn="0" w:oddVBand="0" w:evenVBand="0" w:oddHBand="0" w:evenHBand="0" w:firstRowFirstColumn="0" w:firstRowLastColumn="0" w:lastRowFirstColumn="0" w:lastRowLastColumn="0"/>
            <w:tcW w:w="2546" w:type="dxa"/>
          </w:tcPr>
          <w:p w14:paraId="62558FFC" w14:textId="77777777" w:rsidR="00210333" w:rsidRDefault="0043296F">
            <w:pPr>
              <w:spacing w:after="0" w:line="240" w:lineRule="auto"/>
              <w:jc w:val="both"/>
              <w:rPr>
                <w:rFonts w:ascii="Times New Roman" w:hAnsi="Times New Roman" w:cs="Times New Roman"/>
                <w:b w:val="0"/>
                <w:sz w:val="24"/>
                <w:szCs w:val="24"/>
              </w:rPr>
            </w:pPr>
            <w:r>
              <w:rPr>
                <w:rFonts w:ascii="Times New Roman" w:eastAsia="Calibri" w:hAnsi="Times New Roman" w:cs="Times New Roman"/>
                <w:sz w:val="24"/>
                <w:szCs w:val="24"/>
              </w:rPr>
              <w:t>STUDENT ID</w:t>
            </w:r>
            <w:r w:rsidR="00FD0613">
              <w:rPr>
                <w:rFonts w:ascii="Times New Roman" w:eastAsia="Calibri" w:hAnsi="Times New Roman" w:cs="Times New Roman"/>
                <w:sz w:val="24"/>
                <w:szCs w:val="24"/>
              </w:rPr>
              <w:t>:</w:t>
            </w:r>
          </w:p>
        </w:tc>
        <w:tc>
          <w:tcPr>
            <w:tcW w:w="6803" w:type="dxa"/>
          </w:tcPr>
          <w:p w14:paraId="0781A3F2" w14:textId="77777777" w:rsidR="00210333" w:rsidRDefault="00FD0613">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Pr>
                <w:rFonts w:ascii="Times New Roman" w:eastAsia="Calibri" w:hAnsi="Times New Roman" w:cs="Times New Roman"/>
                <w:b/>
                <w:sz w:val="24"/>
                <w:szCs w:val="24"/>
              </w:rPr>
              <w:t>1917571</w:t>
            </w:r>
          </w:p>
        </w:tc>
      </w:tr>
      <w:tr w:rsidR="00210333" w14:paraId="2A0E97E8" w14:textId="77777777" w:rsidTr="00210333">
        <w:trPr>
          <w:trHeight w:val="504"/>
        </w:trPr>
        <w:tc>
          <w:tcPr>
            <w:cnfStyle w:val="001000000000" w:firstRow="0" w:lastRow="0" w:firstColumn="1" w:lastColumn="0" w:oddVBand="0" w:evenVBand="0" w:oddHBand="0" w:evenHBand="0" w:firstRowFirstColumn="0" w:firstRowLastColumn="0" w:lastRowFirstColumn="0" w:lastRowLastColumn="0"/>
            <w:tcW w:w="2546" w:type="dxa"/>
          </w:tcPr>
          <w:p w14:paraId="78CEF710" w14:textId="77777777" w:rsidR="00210333" w:rsidRDefault="0043296F">
            <w:pPr>
              <w:spacing w:after="0" w:line="240" w:lineRule="auto"/>
              <w:jc w:val="both"/>
              <w:rPr>
                <w:rFonts w:ascii="Times New Roman" w:hAnsi="Times New Roman" w:cs="Times New Roman"/>
                <w:b w:val="0"/>
                <w:sz w:val="24"/>
                <w:szCs w:val="24"/>
              </w:rPr>
            </w:pPr>
            <w:r>
              <w:rPr>
                <w:rFonts w:ascii="Times New Roman" w:eastAsia="Calibri" w:hAnsi="Times New Roman" w:cs="Times New Roman"/>
                <w:sz w:val="24"/>
                <w:szCs w:val="24"/>
              </w:rPr>
              <w:t>MODULE TITLE</w:t>
            </w:r>
            <w:r w:rsidR="00FD0613">
              <w:rPr>
                <w:rFonts w:ascii="Times New Roman" w:eastAsia="Calibri" w:hAnsi="Times New Roman" w:cs="Times New Roman"/>
                <w:sz w:val="24"/>
                <w:szCs w:val="24"/>
              </w:rPr>
              <w:t xml:space="preserve">:  </w:t>
            </w:r>
          </w:p>
        </w:tc>
        <w:tc>
          <w:tcPr>
            <w:tcW w:w="6803" w:type="dxa"/>
          </w:tcPr>
          <w:p w14:paraId="36E92A75" w14:textId="77777777" w:rsidR="00210333" w:rsidRDefault="00FD0613">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Pr>
                <w:rFonts w:ascii="Times New Roman" w:eastAsia="Calibri" w:hAnsi="Times New Roman" w:cs="Times New Roman"/>
                <w:b/>
                <w:sz w:val="24"/>
                <w:szCs w:val="24"/>
              </w:rPr>
              <w:t>BMHP4003_LON</w:t>
            </w:r>
          </w:p>
        </w:tc>
      </w:tr>
      <w:tr w:rsidR="00210333" w14:paraId="09E72FAA" w14:textId="77777777" w:rsidTr="00210333">
        <w:trPr>
          <w:trHeight w:val="484"/>
        </w:trPr>
        <w:tc>
          <w:tcPr>
            <w:cnfStyle w:val="001000000000" w:firstRow="0" w:lastRow="0" w:firstColumn="1" w:lastColumn="0" w:oddVBand="0" w:evenVBand="0" w:oddHBand="0" w:evenHBand="0" w:firstRowFirstColumn="0" w:firstRowLastColumn="0" w:lastRowFirstColumn="0" w:lastRowLastColumn="0"/>
            <w:tcW w:w="2546" w:type="dxa"/>
          </w:tcPr>
          <w:p w14:paraId="0CE66B1D" w14:textId="77777777" w:rsidR="00210333" w:rsidRDefault="00FD0613">
            <w:pPr>
              <w:spacing w:after="0" w:line="240" w:lineRule="auto"/>
              <w:jc w:val="both"/>
              <w:rPr>
                <w:rFonts w:ascii="Times New Roman" w:hAnsi="Times New Roman" w:cs="Times New Roman"/>
                <w:b w:val="0"/>
                <w:sz w:val="24"/>
                <w:szCs w:val="24"/>
              </w:rPr>
            </w:pPr>
            <w:r>
              <w:rPr>
                <w:rFonts w:ascii="Times New Roman" w:eastAsia="Calibri" w:hAnsi="Times New Roman" w:cs="Times New Roman"/>
                <w:sz w:val="24"/>
                <w:szCs w:val="24"/>
              </w:rPr>
              <w:t>MODULE:</w:t>
            </w:r>
          </w:p>
        </w:tc>
        <w:tc>
          <w:tcPr>
            <w:tcW w:w="6803" w:type="dxa"/>
          </w:tcPr>
          <w:p w14:paraId="7EA7E41D" w14:textId="77777777" w:rsidR="00210333" w:rsidRDefault="00FD0613">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Pr>
                <w:rFonts w:ascii="Times New Roman" w:eastAsia="Calibri" w:hAnsi="Times New Roman" w:cs="Times New Roman"/>
                <w:b/>
                <w:sz w:val="24"/>
                <w:szCs w:val="24"/>
              </w:rPr>
              <w:t>Psychology</w:t>
            </w:r>
          </w:p>
        </w:tc>
      </w:tr>
      <w:tr w:rsidR="00210333" w14:paraId="3B98CEFB" w14:textId="77777777" w:rsidTr="00210333">
        <w:trPr>
          <w:trHeight w:val="484"/>
        </w:trPr>
        <w:tc>
          <w:tcPr>
            <w:cnfStyle w:val="001000000000" w:firstRow="0" w:lastRow="0" w:firstColumn="1" w:lastColumn="0" w:oddVBand="0" w:evenVBand="0" w:oddHBand="0" w:evenHBand="0" w:firstRowFirstColumn="0" w:firstRowLastColumn="0" w:lastRowFirstColumn="0" w:lastRowLastColumn="0"/>
            <w:tcW w:w="2546" w:type="dxa"/>
          </w:tcPr>
          <w:p w14:paraId="051C3B71" w14:textId="77777777" w:rsidR="00210333" w:rsidRDefault="00F93E9E">
            <w:pPr>
              <w:spacing w:after="0" w:line="240" w:lineRule="auto"/>
              <w:jc w:val="both"/>
              <w:rPr>
                <w:rFonts w:ascii="Times New Roman" w:hAnsi="Times New Roman" w:cs="Times New Roman"/>
                <w:b w:val="0"/>
                <w:sz w:val="24"/>
                <w:szCs w:val="24"/>
              </w:rPr>
            </w:pPr>
            <w:r>
              <w:rPr>
                <w:rFonts w:ascii="Times New Roman" w:eastAsia="Calibri" w:hAnsi="Times New Roman" w:cs="Times New Roman"/>
                <w:sz w:val="24"/>
                <w:szCs w:val="24"/>
              </w:rPr>
              <w:t>LECTURER NAME</w:t>
            </w:r>
            <w:r w:rsidR="00FD0613">
              <w:rPr>
                <w:rFonts w:ascii="Times New Roman" w:eastAsia="Calibri" w:hAnsi="Times New Roman" w:cs="Times New Roman"/>
                <w:sz w:val="24"/>
                <w:szCs w:val="24"/>
              </w:rPr>
              <w:t xml:space="preserve">:  </w:t>
            </w:r>
          </w:p>
        </w:tc>
        <w:tc>
          <w:tcPr>
            <w:tcW w:w="6803" w:type="dxa"/>
          </w:tcPr>
          <w:p w14:paraId="272117BF" w14:textId="77777777" w:rsidR="00210333" w:rsidRDefault="00FD0613">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Pr>
                <w:rFonts w:ascii="Times New Roman" w:eastAsia="Calibri" w:hAnsi="Times New Roman" w:cs="Times New Roman"/>
                <w:b/>
                <w:sz w:val="24"/>
                <w:szCs w:val="24"/>
              </w:rPr>
              <w:t xml:space="preserve">Diya </w:t>
            </w:r>
            <w:proofErr w:type="spellStart"/>
            <w:r>
              <w:rPr>
                <w:rFonts w:ascii="Times New Roman" w:eastAsia="Calibri" w:hAnsi="Times New Roman" w:cs="Times New Roman"/>
                <w:b/>
                <w:sz w:val="24"/>
                <w:szCs w:val="24"/>
              </w:rPr>
              <w:t>Ganguly</w:t>
            </w:r>
            <w:proofErr w:type="spellEnd"/>
          </w:p>
        </w:tc>
      </w:tr>
    </w:tbl>
    <w:p w14:paraId="70494FCB" w14:textId="77777777" w:rsidR="00210333" w:rsidRDefault="00FD0613">
      <w:pPr>
        <w:jc w:val="both"/>
        <w:rPr>
          <w:rFonts w:cstheme="minorHAnsi"/>
          <w:b/>
          <w:sz w:val="24"/>
          <w:szCs w:val="24"/>
          <w:u w:val="single"/>
        </w:rPr>
      </w:pPr>
      <w:r>
        <w:rPr>
          <w:rFonts w:cstheme="minorHAnsi"/>
          <w:b/>
          <w:noProof/>
          <w:sz w:val="24"/>
          <w:szCs w:val="24"/>
          <w:u w:val="single"/>
        </w:rPr>
        <w:drawing>
          <wp:anchor distT="0" distB="0" distL="114300" distR="114300" simplePos="0" relativeHeight="251658240" behindDoc="0" locked="0" layoutInCell="0" allowOverlap="1" wp14:anchorId="4B181B46" wp14:editId="76DB22F8">
            <wp:simplePos x="0" y="0"/>
            <wp:positionH relativeFrom="column">
              <wp:posOffset>-525780</wp:posOffset>
            </wp:positionH>
            <wp:positionV relativeFrom="paragraph">
              <wp:posOffset>360045</wp:posOffset>
            </wp:positionV>
            <wp:extent cx="6934200" cy="573786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tretch>
                      <a:fillRect/>
                    </a:stretch>
                  </pic:blipFill>
                  <pic:spPr bwMode="auto">
                    <a:xfrm>
                      <a:off x="0" y="0"/>
                      <a:ext cx="6934200" cy="5737860"/>
                    </a:xfrm>
                    <a:prstGeom prst="rect">
                      <a:avLst/>
                    </a:prstGeom>
                  </pic:spPr>
                </pic:pic>
              </a:graphicData>
            </a:graphic>
          </wp:anchor>
        </w:drawing>
      </w:r>
    </w:p>
    <w:p w14:paraId="47870C11" w14:textId="77777777" w:rsidR="00210333" w:rsidRDefault="00210333">
      <w:pPr>
        <w:jc w:val="both"/>
        <w:rPr>
          <w:rFonts w:cstheme="minorHAnsi"/>
          <w:b/>
          <w:sz w:val="24"/>
          <w:szCs w:val="24"/>
          <w:u w:val="single"/>
        </w:rPr>
      </w:pPr>
    </w:p>
    <w:p w14:paraId="22E6C29E" w14:textId="77777777" w:rsidR="00210333" w:rsidRDefault="00210333">
      <w:pPr>
        <w:jc w:val="both"/>
        <w:rPr>
          <w:rFonts w:cstheme="minorHAnsi"/>
          <w:b/>
          <w:sz w:val="24"/>
          <w:szCs w:val="24"/>
          <w:u w:val="single"/>
        </w:rPr>
      </w:pPr>
    </w:p>
    <w:p w14:paraId="09C4E418" w14:textId="77777777" w:rsidR="00210333" w:rsidRDefault="00FD0613">
      <w:pPr>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Introduction:</w:t>
      </w:r>
    </w:p>
    <w:p w14:paraId="616F2523" w14:textId="77777777" w:rsidR="00210333" w:rsidRDefault="00FD0613">
      <w:pPr>
        <w:jc w:val="both"/>
      </w:pPr>
      <w:r>
        <w:rPr>
          <w:rFonts w:ascii="Times New Roman" w:hAnsi="Times New Roman" w:cs="Times New Roman"/>
          <w:sz w:val="24"/>
          <w:szCs w:val="24"/>
        </w:rPr>
        <w:t>The process of inhaling has seemingly suggested that one is alive. Living allows for language acquisition which is often assimilated during infancy.</w:t>
      </w:r>
    </w:p>
    <w:p w14:paraId="7FF0A74C" w14:textId="77777777" w:rsidR="00210333" w:rsidRDefault="00FD0613">
      <w:pPr>
        <w:jc w:val="both"/>
      </w:pPr>
      <w:r>
        <w:rPr>
          <w:rFonts w:ascii="Times New Roman" w:hAnsi="Times New Roman" w:cs="Times New Roman"/>
          <w:sz w:val="24"/>
          <w:szCs w:val="24"/>
        </w:rPr>
        <w:t xml:space="preserve">Interestingly, living requires humans to also place great emphasis on the interacting and measuring of various psychological factors within the confines of traditional health and social care settings. Particularly, creating great emphasis on identification of each previously mentioned stage. Leaning towards </w:t>
      </w:r>
      <w:r>
        <w:rPr>
          <w:rFonts w:ascii="Times New Roman" w:eastAsia="Times New Roman" w:hAnsi="Times New Roman" w:cs="Times New Roman"/>
          <w:sz w:val="24"/>
          <w:szCs w:val="24"/>
        </w:rPr>
        <w:t xml:space="preserve">exploring various aspects of a human </w:t>
      </w:r>
      <w:r w:rsidR="00F93E9E">
        <w:rPr>
          <w:rFonts w:ascii="Times New Roman" w:eastAsia="Times New Roman" w:hAnsi="Times New Roman" w:cs="Times New Roman"/>
          <w:sz w:val="24"/>
          <w:szCs w:val="24"/>
        </w:rPr>
        <w:t>being’s</w:t>
      </w:r>
      <w:r>
        <w:rPr>
          <w:rFonts w:ascii="Times New Roman" w:eastAsia="Times New Roman" w:hAnsi="Times New Roman" w:cs="Times New Roman"/>
          <w:sz w:val="24"/>
          <w:szCs w:val="24"/>
        </w:rPr>
        <w:t xml:space="preserve"> life span. </w:t>
      </w:r>
    </w:p>
    <w:p w14:paraId="4E4F0AEA" w14:textId="77777777" w:rsidR="00210333" w:rsidRDefault="00FD0613">
      <w:pPr>
        <w:jc w:val="both"/>
        <w:rPr>
          <w:rFonts w:ascii="Times New Roman" w:hAnsi="Times New Roman" w:cs="Times New Roman"/>
          <w:sz w:val="24"/>
          <w:szCs w:val="24"/>
        </w:rPr>
      </w:pPr>
      <w:r>
        <w:rPr>
          <w:rFonts w:ascii="Times New Roman" w:eastAsia="Times New Roman" w:hAnsi="Times New Roman" w:cs="Times New Roman"/>
          <w:sz w:val="24"/>
          <w:szCs w:val="24"/>
        </w:rPr>
        <w:t xml:space="preserve">Therefore, ensuring infancy can be interpreted and lessons can be learnt from a </w:t>
      </w:r>
      <w:r w:rsidR="00F93E9E">
        <w:rPr>
          <w:rFonts w:ascii="Times New Roman" w:eastAsia="Times New Roman" w:hAnsi="Times New Roman" w:cs="Times New Roman"/>
          <w:sz w:val="24"/>
          <w:szCs w:val="24"/>
        </w:rPr>
        <w:t>behavioral</w:t>
      </w:r>
      <w:r>
        <w:rPr>
          <w:rFonts w:ascii="Times New Roman" w:eastAsia="Times New Roman" w:hAnsi="Times New Roman" w:cs="Times New Roman"/>
          <w:sz w:val="24"/>
          <w:szCs w:val="24"/>
        </w:rPr>
        <w:t>, cognitive and emotional trident of human development.</w:t>
      </w:r>
    </w:p>
    <w:p w14:paraId="49629A09" w14:textId="77777777" w:rsidR="00210333" w:rsidRDefault="00210333">
      <w:pPr>
        <w:jc w:val="both"/>
        <w:rPr>
          <w:rFonts w:ascii="Times New Roman" w:hAnsi="Times New Roman" w:cs="Times New Roman"/>
          <w:sz w:val="24"/>
          <w:szCs w:val="24"/>
        </w:rPr>
      </w:pPr>
      <w:bookmarkStart w:id="0" w:name="_Hlk56916289"/>
      <w:bookmarkEnd w:id="0"/>
    </w:p>
    <w:p w14:paraId="66BC1BBE" w14:textId="77777777" w:rsidR="00210333" w:rsidRDefault="00FD0613">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Stages of Human Development Across Lifespan </w:t>
      </w:r>
    </w:p>
    <w:p w14:paraId="59812502" w14:textId="77777777" w:rsidR="00210333" w:rsidRDefault="00FD0613">
      <w:pPr>
        <w:jc w:val="both"/>
      </w:pPr>
      <w:r>
        <w:rPr>
          <w:rFonts w:ascii="Times New Roman" w:eastAsia="Times New Roman" w:hAnsi="Times New Roman" w:cs="Times New Roman"/>
          <w:sz w:val="24"/>
          <w:szCs w:val="24"/>
        </w:rPr>
        <w:t>Bogartz, Shinskey and Schilling (2000), introduces the pivotal stages of child development and the need to aid children in better understanding the changes that occur within parts of their respective human anatomy.</w:t>
      </w:r>
    </w:p>
    <w:p w14:paraId="4A75A786" w14:textId="77777777" w:rsidR="00210333" w:rsidRDefault="00FD0613">
      <w:pPr>
        <w:jc w:val="both"/>
        <w:rPr>
          <w:rFonts w:ascii="Times New Roman" w:hAnsi="Times New Roman" w:cs="Times New Roman"/>
          <w:sz w:val="24"/>
          <w:szCs w:val="24"/>
        </w:rPr>
      </w:pPr>
      <w:r>
        <w:rPr>
          <w:rFonts w:ascii="Times New Roman" w:eastAsia="Times New Roman" w:hAnsi="Times New Roman" w:cs="Times New Roman"/>
          <w:sz w:val="24"/>
          <w:szCs w:val="24"/>
        </w:rPr>
        <w:t xml:space="preserve">Infancy is the most important stage of human development (Bogartz et al, 2000) which begins from birth to two years old. Motor activities and sensory perceptions are limited at this stage of a child’s development. And this does make create opportunities for children to collectively think about their interactions and how each form of interaction can be manipulated. Manipulation of this form does however, require children to </w:t>
      </w:r>
      <w:r w:rsidR="005D6D02">
        <w:rPr>
          <w:rFonts w:ascii="Times New Roman" w:eastAsia="Times New Roman" w:hAnsi="Times New Roman" w:cs="Times New Roman"/>
          <w:sz w:val="24"/>
          <w:szCs w:val="24"/>
        </w:rPr>
        <w:t>utilize</w:t>
      </w:r>
      <w:r>
        <w:rPr>
          <w:rFonts w:ascii="Times New Roman" w:eastAsia="Times New Roman" w:hAnsi="Times New Roman" w:cs="Times New Roman"/>
          <w:sz w:val="24"/>
          <w:szCs w:val="24"/>
        </w:rPr>
        <w:t xml:space="preserve"> each of the five senses (hearing, seeing, touching, tasting and smelling).</w:t>
      </w:r>
    </w:p>
    <w:p w14:paraId="1EA8ABCE" w14:textId="07C88434" w:rsidR="00210333" w:rsidRDefault="00FD0613">
      <w:pPr>
        <w:jc w:val="both"/>
        <w:rPr>
          <w:rFonts w:ascii="Times New Roman" w:hAnsi="Times New Roman" w:cs="Times New Roman"/>
          <w:sz w:val="24"/>
          <w:szCs w:val="24"/>
        </w:rPr>
      </w:pPr>
      <w:r>
        <w:rPr>
          <w:rFonts w:ascii="Times New Roman" w:eastAsia="Times New Roman" w:hAnsi="Times New Roman" w:cs="Times New Roman"/>
          <w:sz w:val="24"/>
          <w:szCs w:val="24"/>
        </w:rPr>
        <w:t xml:space="preserve">From 5 months to 8 months old, children generally develop an ability for recognizing that objects exist even if they are never seen. Consequently, learning is undertaken as a </w:t>
      </w:r>
      <w:r w:rsidR="00A9752F">
        <w:rPr>
          <w:rFonts w:ascii="Times New Roman" w:eastAsia="Times New Roman" w:hAnsi="Times New Roman" w:cs="Times New Roman"/>
          <w:sz w:val="24"/>
          <w:szCs w:val="24"/>
        </w:rPr>
        <w:t>byproduct</w:t>
      </w:r>
      <w:r>
        <w:rPr>
          <w:rFonts w:ascii="Times New Roman" w:eastAsia="Times New Roman" w:hAnsi="Times New Roman" w:cs="Times New Roman"/>
          <w:sz w:val="24"/>
          <w:szCs w:val="24"/>
        </w:rPr>
        <w:t xml:space="preserve"> of socio-cultural interactions from parent to child in the form of breastfeeding (or formula</w:t>
      </w:r>
      <w:r w:rsidR="00C034FE">
        <w:rPr>
          <w:rFonts w:ascii="Times New Roman" w:eastAsia="Times New Roman" w:hAnsi="Times New Roman" w:cs="Times New Roman"/>
          <w:sz w:val="24"/>
          <w:szCs w:val="24"/>
        </w:rPr>
        <w:t>); sleeping</w:t>
      </w:r>
      <w:r>
        <w:rPr>
          <w:rFonts w:ascii="Times New Roman" w:eastAsia="Times New Roman" w:hAnsi="Times New Roman" w:cs="Times New Roman"/>
          <w:sz w:val="24"/>
          <w:szCs w:val="24"/>
        </w:rPr>
        <w:t xml:space="preserve"> with parents (or solely in a crib</w:t>
      </w:r>
      <w:r w:rsidR="00930015">
        <w:rPr>
          <w:rFonts w:ascii="Times New Roman" w:eastAsia="Times New Roman" w:hAnsi="Times New Roman" w:cs="Times New Roman"/>
          <w:sz w:val="24"/>
          <w:szCs w:val="24"/>
        </w:rPr>
        <w:t>); using</w:t>
      </w:r>
      <w:r>
        <w:rPr>
          <w:rFonts w:ascii="Times New Roman" w:eastAsia="Times New Roman" w:hAnsi="Times New Roman" w:cs="Times New Roman"/>
          <w:sz w:val="24"/>
          <w:szCs w:val="24"/>
        </w:rPr>
        <w:t xml:space="preserve"> a toilet; and deciding when to vaccinate (or not to). This ensures that cognitive development occurs in a fairly short period of time.</w:t>
      </w:r>
    </w:p>
    <w:p w14:paraId="47D3B56F" w14:textId="77777777" w:rsidR="00210333" w:rsidRDefault="00FD0613">
      <w:pPr>
        <w:jc w:val="both"/>
        <w:rPr>
          <w:rFonts w:ascii="Times New Roman" w:hAnsi="Times New Roman" w:cs="Times New Roman"/>
          <w:sz w:val="24"/>
          <w:szCs w:val="24"/>
        </w:rPr>
      </w:pPr>
      <w:r>
        <w:rPr>
          <w:rFonts w:ascii="Times New Roman" w:eastAsia="Times New Roman" w:hAnsi="Times New Roman" w:cs="Times New Roman"/>
          <w:sz w:val="24"/>
          <w:szCs w:val="24"/>
        </w:rPr>
        <w:t xml:space="preserve">Interaction for children normally entails learning to crawl then to creep. As a result, they are able to interact and to deal with the intricacies of language easily. This series of thought processes will begin between ages two and seven. This leads to children learning to think symbolically and to being able to distinguish words from pictures, resulting objects being interpreted clearly. </w:t>
      </w:r>
    </w:p>
    <w:p w14:paraId="1FE434A0" w14:textId="77777777" w:rsidR="00210333" w:rsidRDefault="00FD0613">
      <w:pPr>
        <w:jc w:val="both"/>
        <w:rPr>
          <w:rFonts w:ascii="Times New Roman" w:hAnsi="Times New Roman" w:cs="Times New Roman"/>
          <w:sz w:val="24"/>
          <w:szCs w:val="24"/>
        </w:rPr>
      </w:pPr>
      <w:r>
        <w:rPr>
          <w:rFonts w:ascii="Times New Roman" w:eastAsia="Times New Roman" w:hAnsi="Times New Roman" w:cs="Times New Roman"/>
          <w:sz w:val="24"/>
          <w:szCs w:val="24"/>
        </w:rPr>
        <w:t xml:space="preserve">There begins a struggle for children at the aforementioned stage due to </w:t>
      </w:r>
      <w:r w:rsidR="00A9752F">
        <w:rPr>
          <w:rFonts w:ascii="Times New Roman" w:eastAsia="Times New Roman" w:hAnsi="Times New Roman" w:cs="Times New Roman"/>
          <w:sz w:val="24"/>
          <w:szCs w:val="24"/>
        </w:rPr>
        <w:t>self-centered</w:t>
      </w:r>
      <w:r>
        <w:rPr>
          <w:rFonts w:ascii="Times New Roman" w:eastAsia="Times New Roman" w:hAnsi="Times New Roman" w:cs="Times New Roman"/>
          <w:sz w:val="24"/>
          <w:szCs w:val="24"/>
        </w:rPr>
        <w:t xml:space="preserve"> manner in which they perceive each interaction. And it is this selfish focus that aids children to think in clear context. Though being able to pretend while playing, children struggle to understand how other people view things and how important it is for them to think logically.</w:t>
      </w:r>
    </w:p>
    <w:p w14:paraId="10C394AD" w14:textId="77777777" w:rsidR="00210333" w:rsidRDefault="00210333">
      <w:pPr>
        <w:jc w:val="both"/>
        <w:rPr>
          <w:rFonts w:ascii="Times New Roman" w:hAnsi="Times New Roman" w:cs="Times New Roman"/>
          <w:sz w:val="24"/>
          <w:szCs w:val="24"/>
        </w:rPr>
      </w:pPr>
    </w:p>
    <w:p w14:paraId="3A2B6D51" w14:textId="77777777" w:rsidR="00210333" w:rsidRDefault="00210333">
      <w:pPr>
        <w:jc w:val="both"/>
        <w:rPr>
          <w:rFonts w:ascii="Times New Roman" w:hAnsi="Times New Roman" w:cs="Times New Roman"/>
          <w:sz w:val="24"/>
          <w:szCs w:val="24"/>
        </w:rPr>
      </w:pPr>
    </w:p>
    <w:p w14:paraId="2F0D864E" w14:textId="77777777" w:rsidR="00210333" w:rsidRDefault="00FD0613">
      <w:pPr>
        <w:jc w:val="both"/>
        <w:rPr>
          <w:rFonts w:ascii="Times New Roman" w:hAnsi="Times New Roman" w:cs="Times New Roman"/>
          <w:b/>
          <w:bCs/>
          <w:sz w:val="24"/>
          <w:szCs w:val="24"/>
        </w:rPr>
      </w:pPr>
      <w:r>
        <w:rPr>
          <w:rFonts w:ascii="Times New Roman" w:hAnsi="Times New Roman" w:cs="Times New Roman"/>
          <w:b/>
          <w:bCs/>
          <w:sz w:val="24"/>
          <w:szCs w:val="24"/>
        </w:rPr>
        <w:t>Freud and Piaget Theory to Infancy</w:t>
      </w:r>
    </w:p>
    <w:p w14:paraId="34E63BEC" w14:textId="77777777" w:rsidR="00210333" w:rsidRDefault="00210333">
      <w:pPr>
        <w:jc w:val="both"/>
        <w:rPr>
          <w:rFonts w:ascii="Times New Roman" w:hAnsi="Times New Roman" w:cs="Times New Roman"/>
          <w:b/>
          <w:bCs/>
          <w:sz w:val="24"/>
          <w:szCs w:val="24"/>
        </w:rPr>
      </w:pPr>
    </w:p>
    <w:p w14:paraId="7F95A18D" w14:textId="77777777" w:rsidR="00210333" w:rsidRDefault="00FD0613">
      <w:pPr>
        <w:jc w:val="both"/>
      </w:pPr>
      <w:r>
        <w:rPr>
          <w:rFonts w:ascii="Times New Roman" w:hAnsi="Times New Roman" w:cs="Times New Roman"/>
          <w:sz w:val="24"/>
          <w:szCs w:val="24"/>
        </w:rPr>
        <w:lastRenderedPageBreak/>
        <w:t xml:space="preserve">Papalia et </w:t>
      </w:r>
      <w:r w:rsidR="00A9752F">
        <w:rPr>
          <w:rFonts w:ascii="Times New Roman" w:hAnsi="Times New Roman" w:cs="Times New Roman"/>
          <w:sz w:val="24"/>
          <w:szCs w:val="24"/>
        </w:rPr>
        <w:t>al,</w:t>
      </w:r>
      <w:r>
        <w:rPr>
          <w:rFonts w:ascii="Times New Roman" w:hAnsi="Times New Roman" w:cs="Times New Roman"/>
          <w:sz w:val="24"/>
          <w:szCs w:val="24"/>
        </w:rPr>
        <w:t xml:space="preserve"> 2008 extends Freuds theory of sequences constituting personality development from infancy to adolescence by emphasizing on the primary stage of a child’s life (birth to a year and a half). Having done so, they discovered that not only did babies acquired maximum pleasure from feeding but gratification must be balances to avoid oral fixation and or oral personality </w:t>
      </w:r>
      <w:proofErr w:type="gramStart"/>
      <w:r>
        <w:rPr>
          <w:rFonts w:ascii="Times New Roman" w:hAnsi="Times New Roman" w:cs="Times New Roman"/>
          <w:sz w:val="24"/>
          <w:szCs w:val="24"/>
        </w:rPr>
        <w:t>( Papalia</w:t>
      </w:r>
      <w:proofErr w:type="gramEnd"/>
      <w:r>
        <w:rPr>
          <w:rFonts w:ascii="Times New Roman" w:hAnsi="Times New Roman" w:cs="Times New Roman"/>
          <w:sz w:val="24"/>
          <w:szCs w:val="24"/>
        </w:rPr>
        <w:t xml:space="preserve"> et al, 2008; Heffner, 2001).</w:t>
      </w:r>
    </w:p>
    <w:p w14:paraId="2A638FBE" w14:textId="77777777" w:rsidR="00210333" w:rsidRDefault="00FD0613">
      <w:pPr>
        <w:jc w:val="both"/>
      </w:pPr>
      <w:r>
        <w:rPr>
          <w:rFonts w:ascii="Times New Roman" w:hAnsi="Times New Roman" w:cs="Times New Roman"/>
          <w:sz w:val="24"/>
          <w:szCs w:val="24"/>
        </w:rPr>
        <w:t xml:space="preserve">As a child approaches a year and a half up to three years old, then tend to develop a keen sense of satisfaction resulting from </w:t>
      </w:r>
      <w:r w:rsidR="00962B00">
        <w:rPr>
          <w:rFonts w:ascii="Times New Roman" w:hAnsi="Times New Roman" w:cs="Times New Roman"/>
          <w:sz w:val="24"/>
          <w:szCs w:val="24"/>
        </w:rPr>
        <w:t>faces</w:t>
      </w:r>
      <w:r>
        <w:rPr>
          <w:rFonts w:ascii="Times New Roman" w:hAnsi="Times New Roman" w:cs="Times New Roman"/>
          <w:sz w:val="24"/>
          <w:szCs w:val="24"/>
        </w:rPr>
        <w:t xml:space="preserve"> elimination. This form of satisfaction is considered to be the secondary stage of a child’s development from infancy to </w:t>
      </w:r>
      <w:r w:rsidR="00CD587F">
        <w:rPr>
          <w:rFonts w:ascii="Times New Roman" w:hAnsi="Times New Roman" w:cs="Times New Roman"/>
          <w:sz w:val="24"/>
          <w:szCs w:val="24"/>
        </w:rPr>
        <w:t>adolescence.</w:t>
      </w:r>
    </w:p>
    <w:p w14:paraId="488E26B1" w14:textId="77777777" w:rsidR="0059489F" w:rsidRDefault="00FD0613">
      <w:pPr>
        <w:spacing w:beforeAutospacing="1"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Thirdly, there is a stage, denoted as the phallic phase and occurs between 3to 6 </w:t>
      </w:r>
      <w:r w:rsidR="00962B00">
        <w:rPr>
          <w:rFonts w:ascii="Times New Roman" w:eastAsia="Times New Roman" w:hAnsi="Times New Roman" w:cs="Times New Roman"/>
          <w:sz w:val="24"/>
          <w:szCs w:val="24"/>
        </w:rPr>
        <w:t xml:space="preserve">years </w:t>
      </w:r>
      <w:r w:rsidR="00C3576A">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f age.  Gratification at this phase of a </w:t>
      </w:r>
      <w:r w:rsidR="00C3576A">
        <w:rPr>
          <w:rFonts w:ascii="Times New Roman" w:eastAsia="Times New Roman" w:hAnsi="Times New Roman" w:cs="Times New Roman"/>
          <w:sz w:val="24"/>
          <w:szCs w:val="24"/>
        </w:rPr>
        <w:t>child’s</w:t>
      </w:r>
      <w:r>
        <w:rPr>
          <w:rFonts w:ascii="Times New Roman" w:eastAsia="Times New Roman" w:hAnsi="Times New Roman" w:cs="Times New Roman"/>
          <w:sz w:val="24"/>
          <w:szCs w:val="24"/>
        </w:rPr>
        <w:t xml:space="preserve"> development will allow children to </w:t>
      </w:r>
      <w:r w:rsidR="00962B00">
        <w:rPr>
          <w:rFonts w:ascii="Times New Roman" w:eastAsia="Times New Roman" w:hAnsi="Times New Roman" w:cs="Times New Roman"/>
          <w:sz w:val="24"/>
          <w:szCs w:val="24"/>
        </w:rPr>
        <w:t>become</w:t>
      </w:r>
      <w:r>
        <w:rPr>
          <w:rFonts w:ascii="Times New Roman" w:eastAsia="Times New Roman" w:hAnsi="Times New Roman" w:cs="Times New Roman"/>
          <w:sz w:val="24"/>
          <w:szCs w:val="24"/>
        </w:rPr>
        <w:t xml:space="preserve"> more aware of</w:t>
      </w:r>
    </w:p>
    <w:p w14:paraId="106F36C3" w14:textId="77777777" w:rsidR="0059489F" w:rsidRDefault="00FD0613">
      <w:pPr>
        <w:spacing w:beforeAutospacing="1"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their genitalia. This is achieved owing to kids being able to differentiate each new skill set </w:t>
      </w:r>
    </w:p>
    <w:p w14:paraId="15947DE1" w14:textId="77777777" w:rsidR="0059489F" w:rsidRDefault="0059489F">
      <w:pPr>
        <w:spacing w:beforeAutospacing="1" w:afterAutospacing="1" w:line="240" w:lineRule="auto"/>
        <w:jc w:val="both"/>
        <w:rPr>
          <w:rFonts w:ascii="Times New Roman" w:eastAsia="Times New Roman" w:hAnsi="Times New Roman" w:cs="Times New Roman"/>
          <w:sz w:val="24"/>
          <w:szCs w:val="24"/>
        </w:rPr>
      </w:pPr>
    </w:p>
    <w:p w14:paraId="7CADEC90" w14:textId="77777777" w:rsidR="00210333" w:rsidRDefault="00FD0613">
      <w:pPr>
        <w:spacing w:beforeAutospacing="1"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acquired and also being able to measure small changes as </w:t>
      </w:r>
      <w:r w:rsidR="00C3576A">
        <w:rPr>
          <w:rFonts w:ascii="Times New Roman" w:eastAsia="Times New Roman" w:hAnsi="Times New Roman" w:cs="Times New Roman"/>
          <w:sz w:val="24"/>
          <w:szCs w:val="24"/>
        </w:rPr>
        <w:t>their</w:t>
      </w:r>
      <w:r>
        <w:rPr>
          <w:rFonts w:ascii="Times New Roman" w:eastAsia="Times New Roman" w:hAnsi="Times New Roman" w:cs="Times New Roman"/>
          <w:sz w:val="24"/>
          <w:szCs w:val="24"/>
        </w:rPr>
        <w:t xml:space="preserve"> bodies develop from six years to puberty.  </w:t>
      </w:r>
    </w:p>
    <w:p w14:paraId="3759499F" w14:textId="77777777" w:rsidR="00210333" w:rsidRDefault="00C3576A">
      <w:pPr>
        <w:spacing w:beforeAutospacing="1"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w:t>
      </w:r>
      <w:r w:rsidR="00FD0613">
        <w:rPr>
          <w:rFonts w:ascii="Times New Roman" w:eastAsia="Times New Roman" w:hAnsi="Times New Roman" w:cs="Times New Roman"/>
          <w:sz w:val="24"/>
          <w:szCs w:val="24"/>
        </w:rPr>
        <w:t xml:space="preserve"> as children embrace adolescence a greater emphasis is placed on understanding </w:t>
      </w:r>
      <w:r w:rsidR="00A523E2">
        <w:rPr>
          <w:rFonts w:ascii="Times New Roman" w:eastAsia="Times New Roman" w:hAnsi="Times New Roman" w:cs="Times New Roman"/>
          <w:sz w:val="24"/>
          <w:szCs w:val="24"/>
        </w:rPr>
        <w:t>their</w:t>
      </w:r>
      <w:r w:rsidR="00FD0613">
        <w:rPr>
          <w:rFonts w:ascii="Times New Roman" w:eastAsia="Times New Roman" w:hAnsi="Times New Roman" w:cs="Times New Roman"/>
          <w:sz w:val="24"/>
          <w:szCs w:val="24"/>
        </w:rPr>
        <w:t xml:space="preserve"> respective genitalia. Adolescence will facilitate children becoming more aware of developing their individuality. This individuality assists children generally to create a distinctive personality.</w:t>
      </w:r>
    </w:p>
    <w:p w14:paraId="776A3598" w14:textId="77777777" w:rsidR="00210333" w:rsidRDefault="00FD0613">
      <w:pPr>
        <w:spacing w:beforeAutospacing="1"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Qualitative changes in thinking often occurring between infancy and adolescence are referred to as “active initiators” (Papalia et al, 2008). Active initiators consist of four key stages of </w:t>
      </w:r>
      <w:r w:rsidR="00320AF1">
        <w:rPr>
          <w:rFonts w:ascii="Times New Roman" w:eastAsia="Times New Roman" w:hAnsi="Times New Roman" w:cs="Times New Roman"/>
          <w:sz w:val="24"/>
          <w:szCs w:val="24"/>
        </w:rPr>
        <w:t>children’s</w:t>
      </w:r>
      <w:r>
        <w:rPr>
          <w:rFonts w:ascii="Times New Roman" w:eastAsia="Times New Roman" w:hAnsi="Times New Roman" w:cs="Times New Roman"/>
          <w:sz w:val="24"/>
          <w:szCs w:val="24"/>
        </w:rPr>
        <w:t xml:space="preserve"> cognitive development. Concrete, formal, pre-operational and sensorimotor are the four stages of active initiators used for developing cognition. Together they are formally referred to as Piaget’s cognitive-stage theory.</w:t>
      </w:r>
    </w:p>
    <w:p w14:paraId="40970A72" w14:textId="77777777" w:rsidR="00210333" w:rsidRDefault="00FD0613">
      <w:pPr>
        <w:spacing w:beforeAutospacing="1"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childbirth to two years </w:t>
      </w:r>
      <w:r w:rsidR="00C3576A">
        <w:rPr>
          <w:rFonts w:ascii="Times New Roman" w:eastAsia="Times New Roman" w:hAnsi="Times New Roman" w:cs="Times New Roman"/>
          <w:sz w:val="24"/>
          <w:szCs w:val="24"/>
        </w:rPr>
        <w:t>old,</w:t>
      </w:r>
      <w:r>
        <w:rPr>
          <w:rFonts w:ascii="Times New Roman" w:eastAsia="Times New Roman" w:hAnsi="Times New Roman" w:cs="Times New Roman"/>
          <w:sz w:val="24"/>
          <w:szCs w:val="24"/>
        </w:rPr>
        <w:t xml:space="preserve"> Piaget has indicated that children will adapt to </w:t>
      </w:r>
      <w:r w:rsidR="006622C8">
        <w:rPr>
          <w:rFonts w:ascii="Times New Roman" w:eastAsia="Times New Roman" w:hAnsi="Times New Roman" w:cs="Times New Roman"/>
          <w:sz w:val="24"/>
          <w:szCs w:val="24"/>
        </w:rPr>
        <w:t>their</w:t>
      </w:r>
      <w:r>
        <w:rPr>
          <w:rFonts w:ascii="Times New Roman" w:eastAsia="Times New Roman" w:hAnsi="Times New Roman" w:cs="Times New Roman"/>
          <w:sz w:val="24"/>
          <w:szCs w:val="24"/>
        </w:rPr>
        <w:t xml:space="preserve"> respective environment by harnessing </w:t>
      </w:r>
      <w:r w:rsidR="003B4599">
        <w:rPr>
          <w:rFonts w:ascii="Times New Roman" w:eastAsia="Times New Roman" w:hAnsi="Times New Roman" w:cs="Times New Roman"/>
          <w:sz w:val="24"/>
          <w:szCs w:val="24"/>
        </w:rPr>
        <w:t>their</w:t>
      </w:r>
      <w:r>
        <w:rPr>
          <w:rFonts w:ascii="Times New Roman" w:eastAsia="Times New Roman" w:hAnsi="Times New Roman" w:cs="Times New Roman"/>
          <w:sz w:val="24"/>
          <w:szCs w:val="24"/>
        </w:rPr>
        <w:t xml:space="preserve"> respective </w:t>
      </w:r>
      <w:r w:rsidR="00A523E2">
        <w:rPr>
          <w:rFonts w:ascii="Times New Roman" w:eastAsia="Times New Roman" w:hAnsi="Times New Roman" w:cs="Times New Roman"/>
          <w:sz w:val="24"/>
          <w:szCs w:val="24"/>
        </w:rPr>
        <w:t>motor</w:t>
      </w:r>
      <w:r>
        <w:rPr>
          <w:rFonts w:ascii="Times New Roman" w:eastAsia="Times New Roman" w:hAnsi="Times New Roman" w:cs="Times New Roman"/>
          <w:sz w:val="24"/>
          <w:szCs w:val="24"/>
        </w:rPr>
        <w:t xml:space="preserve"> and sensory activities over a set period of time. Whereas between </w:t>
      </w:r>
      <w:r w:rsidR="00A523E2">
        <w:rPr>
          <w:rFonts w:ascii="Times New Roman" w:eastAsia="Times New Roman" w:hAnsi="Times New Roman" w:cs="Times New Roman"/>
          <w:sz w:val="24"/>
          <w:szCs w:val="24"/>
        </w:rPr>
        <w:t>two- and seven-years</w:t>
      </w:r>
      <w:r>
        <w:rPr>
          <w:rFonts w:ascii="Times New Roman" w:eastAsia="Times New Roman" w:hAnsi="Times New Roman" w:cs="Times New Roman"/>
          <w:sz w:val="24"/>
          <w:szCs w:val="24"/>
        </w:rPr>
        <w:t xml:space="preserve"> old children tend to utilize a form of symbol representation for distinguishing </w:t>
      </w:r>
      <w:r w:rsidR="00A523E2">
        <w:rPr>
          <w:rFonts w:ascii="Times New Roman" w:eastAsia="Times New Roman" w:hAnsi="Times New Roman" w:cs="Times New Roman"/>
          <w:sz w:val="24"/>
          <w:szCs w:val="24"/>
        </w:rPr>
        <w:t>people,</w:t>
      </w:r>
      <w:r>
        <w:rPr>
          <w:rFonts w:ascii="Times New Roman" w:eastAsia="Times New Roman" w:hAnsi="Times New Roman" w:cs="Times New Roman"/>
          <w:sz w:val="24"/>
          <w:szCs w:val="24"/>
        </w:rPr>
        <w:t xml:space="preserve"> events and places. Therefore, language incorporation and imaginative forms of play assist children to materialize each representation formed easily.</w:t>
      </w:r>
    </w:p>
    <w:p w14:paraId="7D788590" w14:textId="77777777" w:rsidR="00210333" w:rsidRDefault="00FD0613">
      <w:pPr>
        <w:spacing w:beforeAutospacing="1"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between 7 and 11 </w:t>
      </w:r>
      <w:r w:rsidR="006622C8">
        <w:rPr>
          <w:rFonts w:ascii="Times New Roman" w:eastAsia="Times New Roman" w:hAnsi="Times New Roman" w:cs="Times New Roman"/>
          <w:sz w:val="24"/>
          <w:szCs w:val="24"/>
        </w:rPr>
        <w:t xml:space="preserve">year </w:t>
      </w:r>
      <w:r>
        <w:rPr>
          <w:rFonts w:ascii="Times New Roman" w:eastAsia="Times New Roman" w:hAnsi="Times New Roman" w:cs="Times New Roman"/>
          <w:sz w:val="24"/>
          <w:szCs w:val="24"/>
        </w:rPr>
        <w:t>of age children begin to think more and as a result are able to solve most problems posed in a logical manner. This is the third stage of the active initiator cognitive development process.</w:t>
      </w:r>
    </w:p>
    <w:p w14:paraId="13A8D077" w14:textId="77777777" w:rsidR="00210333" w:rsidRDefault="00FD0613">
      <w:pPr>
        <w:spacing w:beforeAutospacing="1"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Abstract thinking is the fourth and final stage and is undertaken by children starting from eleven </w:t>
      </w:r>
      <w:r w:rsidR="003B4599">
        <w:rPr>
          <w:rFonts w:ascii="Times New Roman" w:eastAsia="Times New Roman" w:hAnsi="Times New Roman" w:cs="Times New Roman"/>
          <w:sz w:val="24"/>
          <w:szCs w:val="24"/>
        </w:rPr>
        <w:t>year</w:t>
      </w:r>
      <w:r w:rsidR="00F41BA0">
        <w:rPr>
          <w:rFonts w:ascii="Times New Roman" w:eastAsia="Times New Roman" w:hAnsi="Times New Roman" w:cs="Times New Roman"/>
          <w:sz w:val="24"/>
          <w:szCs w:val="24"/>
        </w:rPr>
        <w:t xml:space="preserve"> u</w:t>
      </w:r>
      <w:r>
        <w:rPr>
          <w:rFonts w:ascii="Times New Roman" w:eastAsia="Times New Roman" w:hAnsi="Times New Roman" w:cs="Times New Roman"/>
          <w:sz w:val="24"/>
          <w:szCs w:val="24"/>
        </w:rPr>
        <w:t>p-to adulthood. You will normally see, members of this stage being able to hypothesize and to think about possible scenarios.</w:t>
      </w:r>
    </w:p>
    <w:p w14:paraId="4E520F1D" w14:textId="77777777" w:rsidR="00210333" w:rsidRDefault="00210333">
      <w:pPr>
        <w:spacing w:beforeAutospacing="1" w:afterAutospacing="1" w:line="240" w:lineRule="auto"/>
        <w:jc w:val="both"/>
        <w:rPr>
          <w:rFonts w:ascii="Times New Roman" w:eastAsia="Times New Roman" w:hAnsi="Times New Roman" w:cs="Times New Roman"/>
          <w:sz w:val="24"/>
          <w:szCs w:val="24"/>
        </w:rPr>
      </w:pPr>
    </w:p>
    <w:p w14:paraId="3D1AB9FB" w14:textId="77777777" w:rsidR="00210333" w:rsidRDefault="00FD0613">
      <w:pPr>
        <w:spacing w:beforeAutospacing="1"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Each stage mentioned above is to be considered useful for cognitive development owing to the demonstrated need for children to not only learn but being equipped with modifying how one thinks and adopting to the challenges this may produce. </w:t>
      </w:r>
    </w:p>
    <w:p w14:paraId="455DA1FB" w14:textId="77777777" w:rsidR="00210333" w:rsidRDefault="00FD0613">
      <w:pPr>
        <w:pStyle w:val="NormalWeb"/>
        <w:shd w:val="clear" w:color="auto" w:fill="FFFFFF"/>
        <w:spacing w:after="0"/>
        <w:jc w:val="both"/>
        <w:textAlignment w:val="baseline"/>
      </w:pPr>
      <w:r>
        <w:t>According to Waters, Merrick, Treboux, Crowell, and Albersheim (2000), newborn children normally weigh 3.4kg (7.5 pounds) and possesses a height of 51cm (20) inches on average. In this study babies grow on average 170 to 200g (6 to 7 ounces) per week. However, this growth rate does decline on average of 60 g per week after a child’s first twelve months. Patterns of attachment, therefore can be greatly measured and so follow-up studies are suggested to be undertaken owing the findings from Waters et al.</w:t>
      </w:r>
    </w:p>
    <w:p w14:paraId="341C052F" w14:textId="77777777" w:rsidR="00210333" w:rsidRDefault="004A267E">
      <w:pPr>
        <w:pStyle w:val="NormalWeb"/>
        <w:shd w:val="clear" w:color="auto" w:fill="FFFFFF"/>
        <w:spacing w:after="0"/>
        <w:jc w:val="both"/>
        <w:textAlignment w:val="baseline"/>
      </w:pPr>
      <w:r>
        <w:t>Emotional</w:t>
      </w:r>
      <w:r w:rsidR="00254B74">
        <w:t>:</w:t>
      </w:r>
    </w:p>
    <w:p w14:paraId="31FF9E3D" w14:textId="77777777" w:rsidR="00210333" w:rsidRDefault="00FD0613">
      <w:pPr>
        <w:pStyle w:val="Default"/>
        <w:shd w:val="clear" w:color="auto" w:fill="FFFFFF"/>
        <w:jc w:val="both"/>
        <w:textAlignment w:val="baseline"/>
        <w:rPr>
          <w:rFonts w:ascii="Times New Roman" w:hAnsi="Times New Roman" w:cs="Times New Roman"/>
        </w:rPr>
      </w:pPr>
      <w:r>
        <w:rPr>
          <w:rFonts w:ascii="Times New Roman" w:hAnsi="Times New Roman" w:cs="Times New Roman"/>
        </w:rPr>
        <w:t xml:space="preserve">Some findings highlighted that more than seventy percent of all participants garnered some form of secure or insecure attachment classification within an early adulthood context. </w:t>
      </w:r>
      <w:r w:rsidR="000F7041">
        <w:rPr>
          <w:rFonts w:ascii="Times New Roman" w:hAnsi="Times New Roman" w:cs="Times New Roman"/>
        </w:rPr>
        <w:t>Similarly,</w:t>
      </w:r>
      <w:r>
        <w:rPr>
          <w:rFonts w:ascii="Times New Roman" w:hAnsi="Times New Roman" w:cs="Times New Roman"/>
        </w:rPr>
        <w:t xml:space="preserve"> to what was received in infancy. As adults however, there is a changing of categorization (security becomes insecurity) especially if participants experienced any form of a traumatic event. Some forms of traumatic events shown were death and or divorce of parents; illness severity by parents and or children themselves; physical and or sexual abuse by a member of </w:t>
      </w:r>
      <w:r w:rsidR="000F7041">
        <w:rPr>
          <w:rFonts w:ascii="Times New Roman" w:hAnsi="Times New Roman" w:cs="Times New Roman"/>
        </w:rPr>
        <w:t>their</w:t>
      </w:r>
      <w:r>
        <w:rPr>
          <w:rFonts w:ascii="Times New Roman" w:hAnsi="Times New Roman" w:cs="Times New Roman"/>
        </w:rPr>
        <w:t xml:space="preserve"> respective family members.</w:t>
      </w:r>
    </w:p>
    <w:p w14:paraId="36664C8C" w14:textId="77777777" w:rsidR="00210333" w:rsidRDefault="00210333">
      <w:pPr>
        <w:pStyle w:val="Default"/>
        <w:shd w:val="clear" w:color="auto" w:fill="FFFFFF"/>
        <w:jc w:val="both"/>
        <w:textAlignment w:val="baseline"/>
        <w:rPr>
          <w:rFonts w:ascii="Times New Roman" w:hAnsi="Times New Roman" w:cs="Times New Roman"/>
        </w:rPr>
      </w:pPr>
    </w:p>
    <w:p w14:paraId="0D936E27" w14:textId="77777777" w:rsidR="000E5092" w:rsidRDefault="000E5092">
      <w:pPr>
        <w:pStyle w:val="NormalWeb"/>
        <w:shd w:val="clear" w:color="auto" w:fill="FFFFFF"/>
        <w:spacing w:after="0"/>
        <w:jc w:val="both"/>
        <w:textAlignment w:val="baseline"/>
      </w:pPr>
    </w:p>
    <w:p w14:paraId="6BF59918" w14:textId="77777777" w:rsidR="00C515A2" w:rsidRDefault="00C515A2">
      <w:pPr>
        <w:pStyle w:val="NormalWeb"/>
        <w:shd w:val="clear" w:color="auto" w:fill="FFFFFF"/>
        <w:spacing w:after="0"/>
        <w:jc w:val="both"/>
        <w:textAlignment w:val="baseline"/>
      </w:pPr>
      <w:r>
        <w:t xml:space="preserve">Behavior </w:t>
      </w:r>
    </w:p>
    <w:p w14:paraId="47FF2022" w14:textId="77777777" w:rsidR="00C515A2" w:rsidRDefault="00C515A2">
      <w:pPr>
        <w:pStyle w:val="NormalWeb"/>
        <w:shd w:val="clear" w:color="auto" w:fill="FFFFFF"/>
        <w:spacing w:after="0"/>
        <w:jc w:val="both"/>
        <w:textAlignment w:val="baseline"/>
      </w:pPr>
    </w:p>
    <w:p w14:paraId="2180A047" w14:textId="77777777" w:rsidR="00210333" w:rsidRDefault="00FD0613">
      <w:pPr>
        <w:pStyle w:val="NormalWeb"/>
        <w:shd w:val="clear" w:color="auto" w:fill="FFFFFF"/>
        <w:spacing w:after="0"/>
        <w:jc w:val="both"/>
        <w:textAlignment w:val="baseline"/>
      </w:pPr>
      <w:r>
        <w:t xml:space="preserve">Visual patterns developed at the onset of a child’s life will ensure that sleep occurs. Though this </w:t>
      </w:r>
      <w:r w:rsidR="000F7041">
        <w:t>decreases</w:t>
      </w:r>
      <w:r>
        <w:t xml:space="preserve"> over a set period of time, it does greatly aid the stimulation of innate reflexes. These reflexes constitute suckling, grasping, blinking and limb withdrawal. As children continue to grow and adapt to </w:t>
      </w:r>
      <w:r w:rsidR="008F3665">
        <w:t>their</w:t>
      </w:r>
      <w:r>
        <w:t xml:space="preserve"> respective surroundings and family </w:t>
      </w:r>
      <w:r w:rsidR="008F3665">
        <w:t>generally,</w:t>
      </w:r>
      <w:r>
        <w:t xml:space="preserve"> you will find that they develop a keen sensitivity to certain forms of tomes, sounds and rhythm that filters into adulthood.</w:t>
      </w:r>
    </w:p>
    <w:p w14:paraId="5E919B28" w14:textId="77777777" w:rsidR="00210333" w:rsidRDefault="00210333">
      <w:pPr>
        <w:pStyle w:val="NormalWeb"/>
        <w:shd w:val="clear" w:color="auto" w:fill="FFFFFF"/>
        <w:spacing w:after="0"/>
        <w:jc w:val="both"/>
        <w:textAlignment w:val="baseline"/>
      </w:pPr>
    </w:p>
    <w:p w14:paraId="12FA45CB" w14:textId="77777777" w:rsidR="00210333" w:rsidRDefault="00FD0613">
      <w:pPr>
        <w:pStyle w:val="NormalWeb"/>
        <w:shd w:val="clear" w:color="auto" w:fill="FFFFFF"/>
        <w:spacing w:after="0"/>
        <w:jc w:val="both"/>
        <w:textAlignment w:val="baseline"/>
      </w:pPr>
      <w:r>
        <w:rPr>
          <w:b/>
          <w:bCs/>
        </w:rPr>
        <w:t>Cognitive development</w:t>
      </w:r>
      <w:r>
        <w:t xml:space="preserve"> occurs quickly throughout a child’s upbringing. This can be attributed to each child’s ability to learn and adapt to a changing environment. Therefore, learning to control </w:t>
      </w:r>
      <w:r w:rsidR="008F3665">
        <w:t>one’s</w:t>
      </w:r>
      <w:r>
        <w:t xml:space="preserve"> bladder and bowel movements will be learnt over a period of time from the implications of not having control of each function and the feeling that arising from a lack of control (Walters et al.2000).</w:t>
      </w:r>
    </w:p>
    <w:p w14:paraId="265444AE" w14:textId="77777777" w:rsidR="00210333" w:rsidRDefault="00210333">
      <w:pPr>
        <w:pStyle w:val="NormalWeb"/>
        <w:shd w:val="clear" w:color="auto" w:fill="FFFFFF"/>
        <w:spacing w:after="0"/>
        <w:jc w:val="both"/>
        <w:textAlignment w:val="baseline"/>
      </w:pPr>
    </w:p>
    <w:p w14:paraId="09DB8914" w14:textId="77777777" w:rsidR="00210333" w:rsidRDefault="00210333">
      <w:pPr>
        <w:pStyle w:val="Default"/>
        <w:jc w:val="both"/>
        <w:rPr>
          <w:rFonts w:ascii="Times New Roman" w:hAnsi="Times New Roman" w:cs="Times New Roman"/>
        </w:rPr>
      </w:pPr>
    </w:p>
    <w:p w14:paraId="46266AC7" w14:textId="77777777" w:rsidR="00210333" w:rsidRDefault="00210333">
      <w:pPr>
        <w:pStyle w:val="Default"/>
        <w:jc w:val="both"/>
        <w:rPr>
          <w:rFonts w:ascii="Times New Roman" w:hAnsi="Times New Roman" w:cs="Times New Roman"/>
        </w:rPr>
      </w:pPr>
    </w:p>
    <w:p w14:paraId="4ADB3C11" w14:textId="77777777" w:rsidR="00210333" w:rsidRDefault="00210333">
      <w:pPr>
        <w:pStyle w:val="Default"/>
        <w:jc w:val="both"/>
        <w:rPr>
          <w:rFonts w:ascii="Times New Roman" w:hAnsi="Times New Roman" w:cs="Times New Roman"/>
        </w:rPr>
      </w:pPr>
    </w:p>
    <w:p w14:paraId="579C47F8" w14:textId="77777777" w:rsidR="00210333" w:rsidRDefault="00210333">
      <w:pPr>
        <w:pStyle w:val="Default"/>
        <w:jc w:val="both"/>
        <w:rPr>
          <w:rFonts w:ascii="Times New Roman" w:hAnsi="Times New Roman" w:cs="Times New Roman"/>
        </w:rPr>
      </w:pPr>
    </w:p>
    <w:p w14:paraId="2181CF3C" w14:textId="77777777" w:rsidR="00210333" w:rsidRDefault="00210333">
      <w:pPr>
        <w:pStyle w:val="Default"/>
        <w:jc w:val="both"/>
        <w:rPr>
          <w:rFonts w:ascii="Times New Roman" w:hAnsi="Times New Roman" w:cs="Times New Roman"/>
        </w:rPr>
      </w:pPr>
    </w:p>
    <w:p w14:paraId="0BF7F7FB" w14:textId="77777777" w:rsidR="00210333" w:rsidRDefault="00210333">
      <w:pPr>
        <w:pStyle w:val="Default"/>
        <w:jc w:val="both"/>
        <w:rPr>
          <w:rFonts w:ascii="Times New Roman" w:hAnsi="Times New Roman" w:cs="Times New Roman"/>
        </w:rPr>
      </w:pPr>
    </w:p>
    <w:p w14:paraId="42F12117" w14:textId="77777777" w:rsidR="00210333" w:rsidRDefault="00210333">
      <w:pPr>
        <w:pStyle w:val="Default"/>
        <w:jc w:val="both"/>
        <w:rPr>
          <w:rFonts w:ascii="Times New Roman" w:hAnsi="Times New Roman" w:cs="Times New Roman"/>
        </w:rPr>
      </w:pPr>
    </w:p>
    <w:p w14:paraId="378F3F14" w14:textId="77777777" w:rsidR="00210333" w:rsidRDefault="00210333">
      <w:pPr>
        <w:pStyle w:val="Default"/>
        <w:jc w:val="both"/>
        <w:rPr>
          <w:rFonts w:ascii="Times New Roman" w:hAnsi="Times New Roman" w:cs="Times New Roman"/>
        </w:rPr>
      </w:pPr>
    </w:p>
    <w:p w14:paraId="0D73C64C" w14:textId="77777777" w:rsidR="00210333" w:rsidRDefault="00210333">
      <w:pPr>
        <w:pStyle w:val="Default"/>
        <w:jc w:val="both"/>
        <w:rPr>
          <w:rFonts w:ascii="Times New Roman" w:hAnsi="Times New Roman" w:cs="Times New Roman"/>
        </w:rPr>
      </w:pPr>
    </w:p>
    <w:p w14:paraId="2D8B17E5" w14:textId="77777777" w:rsidR="00210333" w:rsidRDefault="00210333">
      <w:pPr>
        <w:pStyle w:val="Default"/>
        <w:jc w:val="both"/>
        <w:rPr>
          <w:rFonts w:ascii="Times New Roman" w:hAnsi="Times New Roman" w:cs="Times New Roman"/>
        </w:rPr>
      </w:pPr>
    </w:p>
    <w:p w14:paraId="4C206E34" w14:textId="77777777" w:rsidR="00210333" w:rsidRDefault="00210333">
      <w:pPr>
        <w:pStyle w:val="Default"/>
        <w:jc w:val="both"/>
        <w:rPr>
          <w:rFonts w:ascii="Times New Roman" w:hAnsi="Times New Roman" w:cs="Times New Roman"/>
        </w:rPr>
      </w:pPr>
    </w:p>
    <w:p w14:paraId="13309BB5" w14:textId="77777777" w:rsidR="00210333" w:rsidRDefault="00210333">
      <w:pPr>
        <w:pStyle w:val="Default"/>
        <w:jc w:val="both"/>
        <w:rPr>
          <w:rFonts w:ascii="Times New Roman" w:hAnsi="Times New Roman" w:cs="Times New Roman"/>
        </w:rPr>
      </w:pPr>
    </w:p>
    <w:p w14:paraId="4AD227ED" w14:textId="77777777" w:rsidR="00210333" w:rsidRDefault="00210333">
      <w:pPr>
        <w:pStyle w:val="Default"/>
        <w:jc w:val="both"/>
        <w:rPr>
          <w:rFonts w:ascii="Times New Roman" w:hAnsi="Times New Roman" w:cs="Times New Roman"/>
        </w:rPr>
      </w:pPr>
    </w:p>
    <w:p w14:paraId="7B527946" w14:textId="77777777" w:rsidR="00210333" w:rsidRDefault="00210333">
      <w:pPr>
        <w:pStyle w:val="Default"/>
        <w:jc w:val="both"/>
        <w:rPr>
          <w:rFonts w:ascii="Times New Roman" w:hAnsi="Times New Roman" w:cs="Times New Roman"/>
        </w:rPr>
      </w:pPr>
    </w:p>
    <w:p w14:paraId="26036BE4" w14:textId="77777777" w:rsidR="00210333" w:rsidRDefault="00210333">
      <w:pPr>
        <w:pStyle w:val="Default"/>
        <w:jc w:val="both"/>
        <w:rPr>
          <w:rFonts w:ascii="Times New Roman" w:hAnsi="Times New Roman" w:cs="Times New Roman"/>
        </w:rPr>
      </w:pPr>
    </w:p>
    <w:p w14:paraId="6C4ECE3C" w14:textId="77777777" w:rsidR="00210333" w:rsidRDefault="00FD0613">
      <w:pPr>
        <w:spacing w:afterAutospacing="1"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Recent Research Studies in Health and Social Care</w:t>
      </w:r>
    </w:p>
    <w:p w14:paraId="264ACDC8" w14:textId="77777777" w:rsidR="00210333" w:rsidRDefault="00FD0613">
      <w:pPr>
        <w:pStyle w:val="Heading1"/>
        <w:jc w:val="both"/>
        <w:rPr>
          <w:rFonts w:ascii="Times New Roman" w:hAnsi="Times New Roman"/>
          <w:sz w:val="24"/>
          <w:szCs w:val="24"/>
        </w:rPr>
      </w:pPr>
      <w:r>
        <w:rPr>
          <w:rFonts w:ascii="Times New Roman" w:hAnsi="Times New Roman"/>
          <w:sz w:val="24"/>
          <w:szCs w:val="24"/>
        </w:rPr>
        <w:t xml:space="preserve">The Role of Psychologists in Health Care Delivery by </w:t>
      </w:r>
      <w:r>
        <w:rPr>
          <w:rFonts w:ascii="Times New Roman" w:hAnsi="Times New Roman"/>
          <w:sz w:val="24"/>
          <w:szCs w:val="24"/>
          <w:lang w:eastAsia="en-GB"/>
        </w:rPr>
        <w:t xml:space="preserve">Dr Saeed H. </w:t>
      </w:r>
      <w:proofErr w:type="spellStart"/>
      <w:r>
        <w:rPr>
          <w:rFonts w:ascii="Times New Roman" w:hAnsi="Times New Roman"/>
          <w:sz w:val="24"/>
          <w:szCs w:val="24"/>
          <w:lang w:eastAsia="en-GB"/>
        </w:rPr>
        <w:t>Wahass</w:t>
      </w:r>
      <w:proofErr w:type="spellEnd"/>
      <w:r>
        <w:rPr>
          <w:rFonts w:ascii="Times New Roman" w:hAnsi="Times New Roman"/>
          <w:sz w:val="24"/>
          <w:szCs w:val="24"/>
          <w:lang w:eastAsia="en-GB"/>
        </w:rPr>
        <w:t xml:space="preserve"> in the</w:t>
      </w:r>
      <w:r>
        <w:rPr>
          <w:rFonts w:ascii="Times New Roman" w:hAnsi="Times New Roman"/>
          <w:sz w:val="24"/>
          <w:szCs w:val="24"/>
        </w:rPr>
        <w:t xml:space="preserve"> Journal of Family and Community Medicine, 2005; 12(2):63-70</w:t>
      </w:r>
    </w:p>
    <w:p w14:paraId="1EC54069" w14:textId="77777777" w:rsidR="00210333" w:rsidRDefault="00210333">
      <w:pPr>
        <w:rPr>
          <w:rFonts w:ascii="Times New Roman" w:hAnsi="Times New Roman" w:cs="Times New Roman"/>
        </w:rPr>
      </w:pPr>
    </w:p>
    <w:p w14:paraId="1044ABF4" w14:textId="77777777" w:rsidR="00134284" w:rsidRDefault="00FD0613">
      <w:pPr>
        <w:spacing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sz w:val="24"/>
          <w:szCs w:val="24"/>
          <w:lang w:eastAsia="en-GB"/>
        </w:rPr>
        <w:t xml:space="preserve">Introduction: </w:t>
      </w:r>
      <w:r w:rsidR="00134284">
        <w:rPr>
          <w:rFonts w:ascii="Times New Roman" w:eastAsia="Times New Roman" w:hAnsi="Times New Roman" w:cs="Times New Roman"/>
          <w:sz w:val="24"/>
          <w:szCs w:val="24"/>
          <w:lang w:eastAsia="en-GB"/>
        </w:rPr>
        <w:t>Health and illness and now view in a different way, due to more complex research in psychological, medical and physiology</w:t>
      </w:r>
    </w:p>
    <w:p w14:paraId="35855EC6" w14:textId="77777777" w:rsidR="00B9513F" w:rsidRDefault="00FD0613">
      <w:pPr>
        <w:spacing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sz w:val="24"/>
          <w:szCs w:val="24"/>
          <w:lang w:eastAsia="en-GB"/>
        </w:rPr>
        <w:t xml:space="preserve">The Clinical sub-fields of Psychology: </w:t>
      </w:r>
      <w:r w:rsidR="00B9513F">
        <w:rPr>
          <w:rFonts w:ascii="Times New Roman" w:eastAsia="Times New Roman" w:hAnsi="Times New Roman" w:cs="Times New Roman"/>
          <w:sz w:val="24"/>
          <w:szCs w:val="24"/>
          <w:lang w:eastAsia="en-GB"/>
        </w:rPr>
        <w:t>There are different clinical psychology segments which could be classified as follows, clinical neuropsychology, pediatric psychology with subspecialties, rehabilitation psychology, counseling psychology, health psychology and community psychology</w:t>
      </w:r>
    </w:p>
    <w:p w14:paraId="58918F12" w14:textId="77777777" w:rsidR="00134284" w:rsidRDefault="00134284">
      <w:pPr>
        <w:spacing w:afterAutospacing="1" w:line="240" w:lineRule="auto"/>
        <w:jc w:val="both"/>
        <w:rPr>
          <w:rFonts w:ascii="Times New Roman" w:eastAsia="Times New Roman" w:hAnsi="Times New Roman" w:cs="Times New Roman"/>
          <w:b/>
          <w:sz w:val="24"/>
          <w:szCs w:val="24"/>
          <w:lang w:eastAsia="en-GB"/>
        </w:rPr>
      </w:pPr>
    </w:p>
    <w:p w14:paraId="632A87C5" w14:textId="18E3FFB0" w:rsidR="00B9513F" w:rsidRPr="00CB0C53" w:rsidRDefault="00FD0613">
      <w:pPr>
        <w:spacing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sz w:val="24"/>
          <w:szCs w:val="24"/>
          <w:lang w:eastAsia="en-GB"/>
        </w:rPr>
        <w:t xml:space="preserve">Psychologists and the Health Care: </w:t>
      </w:r>
      <w:r w:rsidR="00B9513F">
        <w:rPr>
          <w:rFonts w:ascii="Times New Roman" w:eastAsia="Times New Roman" w:hAnsi="Times New Roman" w:cs="Times New Roman"/>
          <w:sz w:val="24"/>
          <w:szCs w:val="24"/>
          <w:lang w:eastAsia="en-GB"/>
        </w:rPr>
        <w:t xml:space="preserve">Health psychology is required in primary, secondary and tertiary care, </w:t>
      </w:r>
      <w:r w:rsidR="00CB0C53">
        <w:rPr>
          <w:rFonts w:ascii="Times New Roman" w:eastAsia="Times New Roman" w:hAnsi="Times New Roman" w:cs="Times New Roman"/>
          <w:sz w:val="24"/>
          <w:szCs w:val="24"/>
          <w:lang w:eastAsia="en-GB"/>
        </w:rPr>
        <w:t xml:space="preserve">it is used in primary care to diagnose and prevent illness, in the secondary care it is mainly </w:t>
      </w:r>
      <w:r w:rsidR="00716D99">
        <w:rPr>
          <w:rFonts w:ascii="Times New Roman" w:eastAsia="Times New Roman" w:hAnsi="Times New Roman" w:cs="Times New Roman"/>
          <w:sz w:val="24"/>
          <w:szCs w:val="24"/>
          <w:lang w:eastAsia="en-GB"/>
        </w:rPr>
        <w:t>use to</w:t>
      </w:r>
      <w:r w:rsidR="00CB0C53">
        <w:rPr>
          <w:rFonts w:ascii="Times New Roman" w:eastAsia="Times New Roman" w:hAnsi="Times New Roman" w:cs="Times New Roman"/>
          <w:sz w:val="24"/>
          <w:szCs w:val="24"/>
          <w:lang w:eastAsia="en-GB"/>
        </w:rPr>
        <w:t xml:space="preserve"> diagnose, rehabilitation, and to asses someone psychology. The individual who is part of a treatment team and an expert in psychology, capable of providing treatment on a </w:t>
      </w:r>
      <w:r w:rsidR="00716D99">
        <w:rPr>
          <w:rFonts w:ascii="Times New Roman" w:eastAsia="Times New Roman" w:hAnsi="Times New Roman" w:cs="Times New Roman"/>
          <w:sz w:val="24"/>
          <w:szCs w:val="24"/>
          <w:lang w:eastAsia="en-GB"/>
        </w:rPr>
        <w:t>psychological issue</w:t>
      </w:r>
      <w:r w:rsidR="00CB0C53">
        <w:rPr>
          <w:rFonts w:ascii="Times New Roman" w:eastAsia="Times New Roman" w:hAnsi="Times New Roman" w:cs="Times New Roman"/>
          <w:sz w:val="24"/>
          <w:szCs w:val="24"/>
          <w:lang w:eastAsia="en-GB"/>
        </w:rPr>
        <w:t xml:space="preserve"> is tertiary care</w:t>
      </w:r>
    </w:p>
    <w:p w14:paraId="71A76F6C" w14:textId="77777777" w:rsidR="00CB0C53" w:rsidRDefault="00FD0613">
      <w:pPr>
        <w:spacing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sz w:val="24"/>
          <w:szCs w:val="24"/>
          <w:lang w:eastAsia="en-GB"/>
        </w:rPr>
        <w:t xml:space="preserve">Recommendations: </w:t>
      </w:r>
      <w:r w:rsidR="00317C6E">
        <w:rPr>
          <w:rFonts w:ascii="Times New Roman" w:eastAsia="Times New Roman" w:hAnsi="Times New Roman" w:cs="Times New Roman"/>
          <w:sz w:val="24"/>
          <w:szCs w:val="24"/>
          <w:lang w:eastAsia="en-GB"/>
        </w:rPr>
        <w:t xml:space="preserve">Biometric and </w:t>
      </w:r>
      <w:r w:rsidR="00CB0C53">
        <w:rPr>
          <w:rFonts w:ascii="Times New Roman" w:eastAsia="Times New Roman" w:hAnsi="Times New Roman" w:cs="Times New Roman"/>
          <w:sz w:val="24"/>
          <w:szCs w:val="24"/>
          <w:lang w:eastAsia="en-GB"/>
        </w:rPr>
        <w:t>behavioral science are now big part of medical education</w:t>
      </w:r>
      <w:r w:rsidR="00317C6E">
        <w:rPr>
          <w:rFonts w:ascii="Times New Roman" w:eastAsia="Times New Roman" w:hAnsi="Times New Roman" w:cs="Times New Roman"/>
          <w:sz w:val="24"/>
          <w:szCs w:val="24"/>
          <w:lang w:eastAsia="en-GB"/>
        </w:rPr>
        <w:t>, bio-psychology play a major role in both community, and individual health and suffering.</w:t>
      </w:r>
    </w:p>
    <w:p w14:paraId="3F6A80CA" w14:textId="77777777" w:rsidR="00317C6E" w:rsidRDefault="00FD0613">
      <w:pPr>
        <w:spacing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sz w:val="24"/>
          <w:szCs w:val="24"/>
          <w:lang w:eastAsia="en-GB"/>
        </w:rPr>
        <w:t xml:space="preserve">Conclusion: </w:t>
      </w:r>
      <w:r w:rsidR="00317C6E">
        <w:rPr>
          <w:rFonts w:ascii="Times New Roman" w:eastAsia="Times New Roman" w:hAnsi="Times New Roman" w:cs="Times New Roman"/>
          <w:sz w:val="24"/>
          <w:szCs w:val="24"/>
          <w:lang w:eastAsia="en-GB"/>
        </w:rPr>
        <w:t xml:space="preserve">Psychologist level of knowledge development on behavioral and psychological factors in maintenance of dysfunctions, diagnosing and treatment of behavioral aspects of illness, has made them more of a health care provider instead of a mental health care </w:t>
      </w:r>
      <w:proofErr w:type="gramStart"/>
      <w:r w:rsidR="00317C6E">
        <w:rPr>
          <w:rFonts w:ascii="Times New Roman" w:eastAsia="Times New Roman" w:hAnsi="Times New Roman" w:cs="Times New Roman"/>
          <w:sz w:val="24"/>
          <w:szCs w:val="24"/>
          <w:lang w:eastAsia="en-GB"/>
        </w:rPr>
        <w:t>providers</w:t>
      </w:r>
      <w:proofErr w:type="gramEnd"/>
    </w:p>
    <w:p w14:paraId="73DB9747" w14:textId="77777777" w:rsidR="00210333" w:rsidRDefault="00FD0613">
      <w:pPr>
        <w:pStyle w:val="Heading1"/>
        <w:jc w:val="both"/>
        <w:rPr>
          <w:rFonts w:ascii="Times New Roman" w:eastAsia="Arial" w:hAnsi="Times New Roman"/>
          <w:b/>
          <w:bCs/>
          <w:sz w:val="24"/>
          <w:szCs w:val="24"/>
        </w:rPr>
      </w:pPr>
      <w:bookmarkStart w:id="1" w:name="_Toc49541609"/>
      <w:r>
        <w:rPr>
          <w:rFonts w:ascii="Times New Roman" w:hAnsi="Times New Roman"/>
          <w:sz w:val="24"/>
          <w:szCs w:val="24"/>
        </w:rPr>
        <w:t>The dilemma of patient responsibility for lifestyle change</w:t>
      </w:r>
      <w:bookmarkEnd w:id="1"/>
      <w:r>
        <w:rPr>
          <w:rFonts w:ascii="Times New Roman" w:hAnsi="Times New Roman"/>
          <w:sz w:val="24"/>
          <w:szCs w:val="24"/>
        </w:rPr>
        <w:t xml:space="preserve">: Perceptions among Primary Care Physicians and nurses by </w:t>
      </w:r>
      <w:r>
        <w:rPr>
          <w:rFonts w:ascii="Times New Roman" w:hAnsi="Times New Roman"/>
          <w:sz w:val="24"/>
          <w:szCs w:val="24"/>
          <w:lang w:eastAsia="en-GB"/>
        </w:rPr>
        <w:t>Dr Piia Jallinoja et al in the</w:t>
      </w:r>
      <w:r>
        <w:rPr>
          <w:rFonts w:ascii="Times New Roman" w:hAnsi="Times New Roman"/>
          <w:sz w:val="24"/>
          <w:szCs w:val="24"/>
        </w:rPr>
        <w:t xml:space="preserve"> Scandinavian Journal of Primary Health Care, 2007; 25:244-249</w:t>
      </w:r>
    </w:p>
    <w:p w14:paraId="4A476D16" w14:textId="77777777" w:rsidR="00210333" w:rsidRDefault="00210333">
      <w:pPr>
        <w:spacing w:after="0" w:line="276" w:lineRule="auto"/>
        <w:jc w:val="both"/>
        <w:rPr>
          <w:rFonts w:ascii="Times New Roman" w:eastAsia="Arial" w:hAnsi="Times New Roman" w:cs="Times New Roman"/>
          <w:sz w:val="24"/>
          <w:szCs w:val="24"/>
        </w:rPr>
      </w:pPr>
    </w:p>
    <w:p w14:paraId="3130CD38" w14:textId="77777777" w:rsidR="00210333" w:rsidRDefault="00FD0613">
      <w:pPr>
        <w:spacing w:after="0" w:line="276" w:lineRule="auto"/>
        <w:jc w:val="both"/>
        <w:rPr>
          <w:rFonts w:ascii="Times New Roman" w:eastAsia="Arial" w:hAnsi="Times New Roman" w:cs="Times New Roman"/>
          <w:sz w:val="24"/>
          <w:szCs w:val="24"/>
        </w:rPr>
      </w:pPr>
      <w:r>
        <w:rPr>
          <w:rFonts w:ascii="Times New Roman" w:eastAsia="Arial" w:hAnsi="Times New Roman" w:cs="Times New Roman"/>
          <w:b/>
          <w:sz w:val="24"/>
          <w:szCs w:val="24"/>
        </w:rPr>
        <w:t xml:space="preserve">Introduction: </w:t>
      </w:r>
      <w:r>
        <w:rPr>
          <w:rFonts w:ascii="Times New Roman" w:eastAsia="Arial" w:hAnsi="Times New Roman" w:cs="Times New Roman"/>
          <w:sz w:val="24"/>
          <w:szCs w:val="24"/>
        </w:rPr>
        <w:t>This article tries to enquire about what physicians and nurses have to say about patients and their responsibilities to their lifestyle changes and also what the patients thinks about job roles of the healthcare professionals.</w:t>
      </w:r>
    </w:p>
    <w:p w14:paraId="383DAA39" w14:textId="77777777" w:rsidR="00210333" w:rsidRDefault="00210333">
      <w:pPr>
        <w:spacing w:after="0" w:line="276" w:lineRule="auto"/>
        <w:jc w:val="both"/>
        <w:rPr>
          <w:rFonts w:ascii="Times New Roman" w:eastAsia="Arial" w:hAnsi="Times New Roman" w:cs="Times New Roman"/>
          <w:sz w:val="24"/>
          <w:szCs w:val="24"/>
        </w:rPr>
      </w:pPr>
    </w:p>
    <w:p w14:paraId="30B80E1F" w14:textId="77777777" w:rsidR="00210333" w:rsidRDefault="00FD0613">
      <w:pPr>
        <w:spacing w:after="0" w:line="276" w:lineRule="auto"/>
        <w:jc w:val="both"/>
        <w:rPr>
          <w:rFonts w:ascii="Times New Roman" w:eastAsia="Arial" w:hAnsi="Times New Roman" w:cs="Times New Roman"/>
          <w:sz w:val="24"/>
          <w:szCs w:val="24"/>
        </w:rPr>
      </w:pPr>
      <w:r>
        <w:rPr>
          <w:rFonts w:ascii="Times New Roman" w:eastAsia="Arial" w:hAnsi="Times New Roman" w:cs="Times New Roman"/>
          <w:b/>
          <w:bCs/>
          <w:sz w:val="24"/>
          <w:szCs w:val="24"/>
        </w:rPr>
        <w:lastRenderedPageBreak/>
        <w:t xml:space="preserve">Design: </w:t>
      </w:r>
      <w:r>
        <w:rPr>
          <w:rFonts w:ascii="Times New Roman" w:eastAsia="Arial" w:hAnsi="Times New Roman" w:cs="Times New Roman"/>
          <w:sz w:val="24"/>
          <w:szCs w:val="24"/>
        </w:rPr>
        <w:t xml:space="preserve">The study used questionnaire which was design and handed out to patients and doctors to get feedbacks on adult obesity, </w:t>
      </w:r>
      <w:r w:rsidR="006B73DB">
        <w:rPr>
          <w:rFonts w:ascii="Times New Roman" w:eastAsia="Arial" w:hAnsi="Times New Roman" w:cs="Times New Roman"/>
          <w:sz w:val="24"/>
          <w:szCs w:val="24"/>
        </w:rPr>
        <w:t>dyslipidemia</w:t>
      </w:r>
      <w:r>
        <w:rPr>
          <w:rFonts w:ascii="Times New Roman" w:eastAsia="Arial" w:hAnsi="Times New Roman" w:cs="Times New Roman"/>
          <w:sz w:val="24"/>
          <w:szCs w:val="24"/>
        </w:rPr>
        <w:t>, high blood pressure, type 2 diabetics and smoking.</w:t>
      </w:r>
    </w:p>
    <w:p w14:paraId="200284B2" w14:textId="77777777" w:rsidR="00210333" w:rsidRDefault="00210333">
      <w:pPr>
        <w:spacing w:after="0" w:line="276" w:lineRule="auto"/>
        <w:jc w:val="both"/>
        <w:rPr>
          <w:rFonts w:ascii="Times New Roman" w:eastAsia="Arial" w:hAnsi="Times New Roman" w:cs="Times New Roman"/>
          <w:sz w:val="24"/>
          <w:szCs w:val="24"/>
        </w:rPr>
      </w:pPr>
    </w:p>
    <w:p w14:paraId="1BA95471" w14:textId="77777777" w:rsidR="00210333" w:rsidRDefault="00FD0613">
      <w:pPr>
        <w:spacing w:after="0" w:line="276" w:lineRule="auto"/>
        <w:jc w:val="both"/>
        <w:rPr>
          <w:rFonts w:ascii="Times New Roman" w:eastAsia="Arial" w:hAnsi="Times New Roman" w:cs="Times New Roman"/>
          <w:sz w:val="24"/>
          <w:szCs w:val="24"/>
        </w:rPr>
      </w:pPr>
      <w:r>
        <w:rPr>
          <w:rFonts w:ascii="Times New Roman" w:eastAsia="Arial" w:hAnsi="Times New Roman" w:cs="Times New Roman"/>
          <w:b/>
          <w:bCs/>
          <w:sz w:val="24"/>
          <w:szCs w:val="24"/>
        </w:rPr>
        <w:t xml:space="preserve">Main outcome measures: </w:t>
      </w:r>
      <w:r>
        <w:rPr>
          <w:rFonts w:ascii="Times New Roman" w:eastAsia="Arial" w:hAnsi="Times New Roman" w:cs="Times New Roman"/>
          <w:sz w:val="24"/>
          <w:szCs w:val="24"/>
        </w:rPr>
        <w:t>The study found out what patients thinks about the level of care and duties of physicians and nurses. This includes perceptions of barriers to treatment of lifestyle-related conditions, patients’ responsibility in self-care and awkwardness in intervening in obesity and smoking.</w:t>
      </w:r>
    </w:p>
    <w:p w14:paraId="4A193A3B" w14:textId="77777777" w:rsidR="00210333" w:rsidRDefault="00210333">
      <w:pPr>
        <w:spacing w:after="0" w:line="276" w:lineRule="auto"/>
        <w:jc w:val="both"/>
        <w:rPr>
          <w:rFonts w:ascii="Times New Roman" w:eastAsia="Arial" w:hAnsi="Times New Roman" w:cs="Times New Roman"/>
          <w:sz w:val="24"/>
          <w:szCs w:val="24"/>
        </w:rPr>
      </w:pPr>
    </w:p>
    <w:p w14:paraId="44DBD8B4" w14:textId="103D3408" w:rsidR="00210333" w:rsidRDefault="00FD0613">
      <w:pPr>
        <w:spacing w:after="0" w:line="276" w:lineRule="auto"/>
        <w:jc w:val="both"/>
        <w:rPr>
          <w:rFonts w:ascii="Times New Roman" w:hAnsi="Times New Roman" w:cs="Times New Roman"/>
          <w:color w:val="000000"/>
          <w:sz w:val="24"/>
          <w:szCs w:val="24"/>
          <w:lang w:eastAsia="en-GB"/>
        </w:rPr>
      </w:pPr>
      <w:r>
        <w:rPr>
          <w:rFonts w:ascii="Times New Roman" w:eastAsia="Arial" w:hAnsi="Times New Roman" w:cs="Times New Roman"/>
          <w:b/>
          <w:bCs/>
          <w:sz w:val="24"/>
          <w:szCs w:val="24"/>
        </w:rPr>
        <w:t xml:space="preserve">Results: </w:t>
      </w:r>
      <w:r w:rsidR="00A27043">
        <w:rPr>
          <w:rFonts w:ascii="Times New Roman" w:eastAsia="Arial" w:hAnsi="Times New Roman" w:cs="Times New Roman"/>
          <w:bCs/>
          <w:sz w:val="24"/>
          <w:szCs w:val="24"/>
        </w:rPr>
        <w:t>Most</w:t>
      </w:r>
      <w:r>
        <w:rPr>
          <w:rFonts w:ascii="Times New Roman" w:eastAsia="Arial" w:hAnsi="Times New Roman" w:cs="Times New Roman"/>
          <w:sz w:val="24"/>
          <w:szCs w:val="24"/>
        </w:rPr>
        <w:t xml:space="preserve"> of the respondents </w:t>
      </w:r>
      <w:r w:rsidR="00B643B2">
        <w:rPr>
          <w:rFonts w:ascii="Times New Roman" w:eastAsia="Arial" w:hAnsi="Times New Roman" w:cs="Times New Roman"/>
          <w:sz w:val="24"/>
          <w:szCs w:val="24"/>
        </w:rPr>
        <w:t>accept that</w:t>
      </w:r>
      <w:r>
        <w:rPr>
          <w:rFonts w:ascii="Times New Roman" w:eastAsia="Arial" w:hAnsi="Times New Roman" w:cs="Times New Roman"/>
          <w:sz w:val="24"/>
          <w:szCs w:val="24"/>
        </w:rPr>
        <w:t xml:space="preserve"> a major barrier is </w:t>
      </w:r>
      <w:r w:rsidR="00530BA4">
        <w:rPr>
          <w:rFonts w:ascii="Times New Roman" w:eastAsia="Arial" w:hAnsi="Times New Roman" w:cs="Times New Roman"/>
          <w:sz w:val="24"/>
          <w:szCs w:val="24"/>
        </w:rPr>
        <w:t>patients</w:t>
      </w:r>
      <w:r>
        <w:rPr>
          <w:rFonts w:ascii="Times New Roman" w:eastAsia="Arial" w:hAnsi="Times New Roman" w:cs="Times New Roman"/>
          <w:sz w:val="24"/>
          <w:szCs w:val="24"/>
        </w:rPr>
        <w:t xml:space="preserve"> </w:t>
      </w:r>
      <w:r w:rsidR="00AA7012">
        <w:rPr>
          <w:rFonts w:ascii="Times New Roman" w:eastAsia="Arial" w:hAnsi="Times New Roman" w:cs="Times New Roman"/>
          <w:sz w:val="24"/>
          <w:szCs w:val="24"/>
        </w:rPr>
        <w:t>are not ready t</w:t>
      </w:r>
      <w:r>
        <w:rPr>
          <w:rFonts w:ascii="Times New Roman" w:eastAsia="Arial" w:hAnsi="Times New Roman" w:cs="Times New Roman"/>
          <w:sz w:val="24"/>
          <w:szCs w:val="24"/>
        </w:rPr>
        <w:t xml:space="preserve">o change their habits due </w:t>
      </w:r>
      <w:r w:rsidR="006103AE">
        <w:rPr>
          <w:rFonts w:ascii="Times New Roman" w:eastAsia="Arial" w:hAnsi="Times New Roman" w:cs="Times New Roman"/>
          <w:sz w:val="24"/>
          <w:szCs w:val="24"/>
        </w:rPr>
        <w:t xml:space="preserve">to lack of enough </w:t>
      </w:r>
      <w:r>
        <w:rPr>
          <w:rFonts w:ascii="Times New Roman" w:eastAsia="Arial" w:hAnsi="Times New Roman" w:cs="Times New Roman"/>
          <w:sz w:val="24"/>
          <w:szCs w:val="24"/>
        </w:rPr>
        <w:t xml:space="preserve">knowledge. </w:t>
      </w:r>
      <w:r>
        <w:rPr>
          <w:rFonts w:ascii="Times New Roman" w:hAnsi="Times New Roman" w:cs="Times New Roman"/>
          <w:color w:val="000000"/>
          <w:sz w:val="24"/>
          <w:szCs w:val="24"/>
          <w:lang w:eastAsia="en-GB"/>
        </w:rPr>
        <w:t>M</w:t>
      </w:r>
      <w:r w:rsidR="00B643B2">
        <w:rPr>
          <w:rFonts w:ascii="Times New Roman" w:hAnsi="Times New Roman" w:cs="Times New Roman"/>
          <w:color w:val="000000"/>
          <w:sz w:val="24"/>
          <w:szCs w:val="24"/>
          <w:lang w:eastAsia="en-GB"/>
        </w:rPr>
        <w:t xml:space="preserve">ost </w:t>
      </w:r>
      <w:r>
        <w:rPr>
          <w:rFonts w:ascii="Times New Roman" w:hAnsi="Times New Roman" w:cs="Times New Roman"/>
          <w:color w:val="000000"/>
          <w:sz w:val="24"/>
          <w:szCs w:val="24"/>
          <w:lang w:eastAsia="en-GB"/>
        </w:rPr>
        <w:t xml:space="preserve">of physicians and nurses agreed that providing information to patients in lifestyle change are part of their </w:t>
      </w:r>
      <w:r w:rsidR="00530BA4">
        <w:rPr>
          <w:rFonts w:ascii="Times New Roman" w:hAnsi="Times New Roman" w:cs="Times New Roman"/>
          <w:color w:val="000000"/>
          <w:sz w:val="24"/>
          <w:szCs w:val="24"/>
          <w:lang w:eastAsia="en-GB"/>
        </w:rPr>
        <w:t>duties</w:t>
      </w:r>
      <w:r>
        <w:rPr>
          <w:rFonts w:ascii="Times New Roman" w:hAnsi="Times New Roman" w:cs="Times New Roman"/>
          <w:color w:val="000000"/>
          <w:sz w:val="24"/>
          <w:szCs w:val="24"/>
          <w:lang w:eastAsia="en-GB"/>
        </w:rPr>
        <w:t>. Two-thirds of the respondents reported that they had help many patients to change their lifestyles into healthier ones.</w:t>
      </w:r>
    </w:p>
    <w:p w14:paraId="4115411D" w14:textId="77777777" w:rsidR="00210333" w:rsidRDefault="00210333">
      <w:pPr>
        <w:spacing w:after="0" w:line="276" w:lineRule="auto"/>
        <w:jc w:val="both"/>
        <w:rPr>
          <w:rFonts w:ascii="Times New Roman" w:eastAsia="Arial" w:hAnsi="Times New Roman" w:cs="Times New Roman"/>
          <w:sz w:val="24"/>
          <w:szCs w:val="24"/>
        </w:rPr>
      </w:pPr>
    </w:p>
    <w:p w14:paraId="676FD990" w14:textId="341D1841" w:rsidR="00210333" w:rsidRDefault="00FD0613">
      <w:pPr>
        <w:spacing w:after="0" w:line="276" w:lineRule="auto"/>
        <w:jc w:val="both"/>
        <w:rPr>
          <w:rFonts w:ascii="Times New Roman" w:eastAsia="Arial" w:hAnsi="Times New Roman" w:cs="Times New Roman"/>
          <w:sz w:val="24"/>
          <w:szCs w:val="24"/>
        </w:rPr>
      </w:pPr>
      <w:r>
        <w:rPr>
          <w:rFonts w:ascii="Times New Roman" w:eastAsia="Arial" w:hAnsi="Times New Roman" w:cs="Times New Roman"/>
          <w:b/>
          <w:bCs/>
          <w:sz w:val="24"/>
          <w:szCs w:val="24"/>
        </w:rPr>
        <w:t xml:space="preserve">Conclusion: </w:t>
      </w:r>
      <w:r>
        <w:rPr>
          <w:rFonts w:ascii="Times New Roman" w:eastAsia="Arial" w:hAnsi="Times New Roman" w:cs="Times New Roman"/>
          <w:sz w:val="24"/>
          <w:szCs w:val="24"/>
        </w:rPr>
        <w:t xml:space="preserve">The healthcare professionals come across a predicament in the patient's treatment and because some patients were not </w:t>
      </w:r>
      <w:r w:rsidR="00256529">
        <w:rPr>
          <w:rFonts w:ascii="Times New Roman" w:eastAsia="Arial" w:hAnsi="Times New Roman" w:cs="Times New Roman"/>
          <w:sz w:val="24"/>
          <w:szCs w:val="24"/>
        </w:rPr>
        <w:t>ready</w:t>
      </w:r>
      <w:r>
        <w:rPr>
          <w:rFonts w:ascii="Times New Roman" w:eastAsia="Arial" w:hAnsi="Times New Roman" w:cs="Times New Roman"/>
          <w:sz w:val="24"/>
          <w:szCs w:val="24"/>
        </w:rPr>
        <w:t xml:space="preserve"> to change makes it </w:t>
      </w:r>
      <w:r w:rsidR="00256529">
        <w:rPr>
          <w:rFonts w:ascii="Times New Roman" w:eastAsia="Arial" w:hAnsi="Times New Roman" w:cs="Times New Roman"/>
          <w:sz w:val="24"/>
          <w:szCs w:val="24"/>
        </w:rPr>
        <w:t>hard</w:t>
      </w:r>
      <w:r>
        <w:rPr>
          <w:rFonts w:ascii="Times New Roman" w:eastAsia="Arial" w:hAnsi="Times New Roman" w:cs="Times New Roman"/>
          <w:sz w:val="24"/>
          <w:szCs w:val="24"/>
        </w:rPr>
        <w:t xml:space="preserve"> for them.</w:t>
      </w:r>
    </w:p>
    <w:p w14:paraId="48FA55F5" w14:textId="77777777" w:rsidR="00210333" w:rsidRDefault="00210333">
      <w:pPr>
        <w:jc w:val="both"/>
        <w:rPr>
          <w:rFonts w:ascii="Times New Roman" w:hAnsi="Times New Roman" w:cs="Times New Roman"/>
          <w:b/>
          <w:bCs/>
          <w:sz w:val="24"/>
          <w:szCs w:val="24"/>
        </w:rPr>
      </w:pPr>
    </w:p>
    <w:p w14:paraId="46C08061" w14:textId="77777777" w:rsidR="00210333" w:rsidRDefault="00FD0613">
      <w:pPr>
        <w:pStyle w:val="Heading1"/>
        <w:jc w:val="both"/>
        <w:rPr>
          <w:rFonts w:ascii="Times New Roman" w:hAnsi="Times New Roman"/>
          <w:sz w:val="24"/>
          <w:szCs w:val="24"/>
        </w:rPr>
      </w:pPr>
      <w:r>
        <w:rPr>
          <w:rFonts w:ascii="Times New Roman" w:hAnsi="Times New Roman"/>
          <w:sz w:val="24"/>
          <w:szCs w:val="24"/>
        </w:rPr>
        <w:t>Applying Psychological Theories to Promote Healthy Lifestyles by Sarah Elizabeth Linke et al in the American Journal of Lifestyle Medicine January 2013</w:t>
      </w:r>
    </w:p>
    <w:p w14:paraId="6209E40D" w14:textId="77777777" w:rsidR="00210333" w:rsidRDefault="00210333">
      <w:pPr>
        <w:rPr>
          <w:rFonts w:ascii="SourceSansPro-Regular" w:hAnsi="SourceSansPro-Regular" w:cs="SourceSansPro-Regular"/>
          <w:color w:val="222222"/>
          <w:sz w:val="13"/>
          <w:szCs w:val="13"/>
        </w:rPr>
      </w:pPr>
    </w:p>
    <w:p w14:paraId="307EA642" w14:textId="0BF2122B" w:rsidR="00210333" w:rsidRDefault="00FD0613">
      <w:pPr>
        <w:spacing w:after="0" w:line="240" w:lineRule="auto"/>
        <w:jc w:val="both"/>
        <w:rPr>
          <w:rFonts w:ascii="Times New Roman" w:hAnsi="Times New Roman" w:cs="Times New Roman"/>
          <w:i/>
          <w:iCs/>
          <w:color w:val="000000"/>
          <w:sz w:val="24"/>
          <w:szCs w:val="24"/>
        </w:rPr>
      </w:pPr>
      <w:r>
        <w:rPr>
          <w:rFonts w:ascii="Times New Roman" w:hAnsi="Times New Roman" w:cs="Times New Roman"/>
          <w:iCs/>
          <w:color w:val="000000"/>
          <w:sz w:val="24"/>
          <w:szCs w:val="24"/>
        </w:rPr>
        <w:t xml:space="preserve">The </w:t>
      </w:r>
      <w:r w:rsidR="00CB64EA">
        <w:rPr>
          <w:rFonts w:ascii="Times New Roman" w:hAnsi="Times New Roman" w:cs="Times New Roman"/>
          <w:iCs/>
          <w:color w:val="000000"/>
          <w:sz w:val="24"/>
          <w:szCs w:val="24"/>
        </w:rPr>
        <w:t>aim</w:t>
      </w:r>
      <w:r>
        <w:rPr>
          <w:rFonts w:ascii="Times New Roman" w:hAnsi="Times New Roman" w:cs="Times New Roman"/>
          <w:iCs/>
          <w:color w:val="000000"/>
          <w:sz w:val="24"/>
          <w:szCs w:val="24"/>
        </w:rPr>
        <w:t xml:space="preserve"> of this research </w:t>
      </w:r>
      <w:r w:rsidR="00CB64EA">
        <w:rPr>
          <w:rFonts w:ascii="Times New Roman" w:hAnsi="Times New Roman" w:cs="Times New Roman"/>
          <w:iCs/>
          <w:color w:val="000000"/>
          <w:sz w:val="24"/>
          <w:szCs w:val="24"/>
        </w:rPr>
        <w:t>is</w:t>
      </w:r>
      <w:r>
        <w:rPr>
          <w:rFonts w:ascii="Times New Roman" w:hAnsi="Times New Roman" w:cs="Times New Roman"/>
          <w:iCs/>
          <w:color w:val="000000"/>
          <w:sz w:val="24"/>
          <w:szCs w:val="24"/>
        </w:rPr>
        <w:t xml:space="preserve"> to highlight psychological theories and models and describe their application to various public health </w:t>
      </w:r>
      <w:r w:rsidR="002E53B0">
        <w:rPr>
          <w:rFonts w:ascii="Times New Roman" w:hAnsi="Times New Roman" w:cs="Times New Roman"/>
          <w:iCs/>
          <w:color w:val="000000"/>
          <w:sz w:val="24"/>
          <w:szCs w:val="24"/>
        </w:rPr>
        <w:t>matters and</w:t>
      </w:r>
      <w:r>
        <w:rPr>
          <w:rFonts w:ascii="Times New Roman" w:hAnsi="Times New Roman" w:cs="Times New Roman"/>
          <w:iCs/>
          <w:color w:val="000000"/>
          <w:sz w:val="24"/>
          <w:szCs w:val="24"/>
        </w:rPr>
        <w:t xml:space="preserve"> </w:t>
      </w:r>
      <w:r w:rsidR="006B73DB">
        <w:rPr>
          <w:rFonts w:ascii="Times New Roman" w:hAnsi="Times New Roman" w:cs="Times New Roman"/>
          <w:iCs/>
          <w:color w:val="000000"/>
          <w:sz w:val="24"/>
          <w:szCs w:val="24"/>
        </w:rPr>
        <w:t>behaviors</w:t>
      </w:r>
      <w:r>
        <w:rPr>
          <w:rFonts w:ascii="Times New Roman" w:hAnsi="Times New Roman" w:cs="Times New Roman"/>
          <w:iCs/>
          <w:color w:val="000000"/>
          <w:sz w:val="24"/>
          <w:szCs w:val="24"/>
        </w:rPr>
        <w:t xml:space="preserve">. The development and refining of psychological theories and models have help to provide solid </w:t>
      </w:r>
      <w:r w:rsidR="00091733">
        <w:rPr>
          <w:rFonts w:ascii="Times New Roman" w:hAnsi="Times New Roman" w:cs="Times New Roman"/>
          <w:iCs/>
          <w:color w:val="000000"/>
          <w:sz w:val="24"/>
          <w:szCs w:val="24"/>
        </w:rPr>
        <w:t>behavioral</w:t>
      </w:r>
      <w:r>
        <w:rPr>
          <w:rFonts w:ascii="Times New Roman" w:hAnsi="Times New Roman" w:cs="Times New Roman"/>
          <w:iCs/>
          <w:color w:val="000000"/>
          <w:sz w:val="24"/>
          <w:szCs w:val="24"/>
        </w:rPr>
        <w:t xml:space="preserve"> frameworks and some appear to have withstood the test of time and continue to be </w:t>
      </w:r>
      <w:r w:rsidR="002E53B0">
        <w:rPr>
          <w:rFonts w:ascii="Times New Roman" w:hAnsi="Times New Roman" w:cs="Times New Roman"/>
          <w:iCs/>
          <w:color w:val="000000"/>
          <w:sz w:val="24"/>
          <w:szCs w:val="24"/>
        </w:rPr>
        <w:t xml:space="preserve">often </w:t>
      </w:r>
      <w:r>
        <w:rPr>
          <w:rFonts w:ascii="Times New Roman" w:hAnsi="Times New Roman" w:cs="Times New Roman"/>
          <w:iCs/>
          <w:color w:val="000000"/>
          <w:sz w:val="24"/>
          <w:szCs w:val="24"/>
        </w:rPr>
        <w:t xml:space="preserve">utilized. These theories and models include the health belief model, theory of reasoned action/planned </w:t>
      </w:r>
      <w:r w:rsidR="00091733">
        <w:rPr>
          <w:rFonts w:ascii="Times New Roman" w:hAnsi="Times New Roman" w:cs="Times New Roman"/>
          <w:iCs/>
          <w:color w:val="000000"/>
          <w:sz w:val="24"/>
          <w:szCs w:val="24"/>
        </w:rPr>
        <w:t>behavior</w:t>
      </w:r>
      <w:r>
        <w:rPr>
          <w:rFonts w:ascii="Times New Roman" w:hAnsi="Times New Roman" w:cs="Times New Roman"/>
          <w:iCs/>
          <w:color w:val="000000"/>
          <w:sz w:val="24"/>
          <w:szCs w:val="24"/>
        </w:rPr>
        <w:t>, social cognitive theory, trans-theoretical model, and socio-ecological model</w:t>
      </w:r>
      <w:r>
        <w:rPr>
          <w:rFonts w:ascii="Times New Roman" w:hAnsi="Times New Roman" w:cs="Times New Roman"/>
          <w:i/>
          <w:iCs/>
          <w:color w:val="000000"/>
          <w:sz w:val="24"/>
          <w:szCs w:val="24"/>
        </w:rPr>
        <w:t>.</w:t>
      </w:r>
    </w:p>
    <w:p w14:paraId="05BCFC29" w14:textId="77777777" w:rsidR="00210333" w:rsidRDefault="00210333">
      <w:pPr>
        <w:spacing w:after="0" w:line="240" w:lineRule="auto"/>
        <w:jc w:val="both"/>
        <w:rPr>
          <w:rFonts w:ascii="Times New Roman" w:hAnsi="Times New Roman" w:cs="Times New Roman"/>
          <w:i/>
          <w:iCs/>
          <w:color w:val="000000"/>
          <w:sz w:val="24"/>
          <w:szCs w:val="24"/>
        </w:rPr>
      </w:pPr>
    </w:p>
    <w:p w14:paraId="3E225DA1" w14:textId="7BB86644" w:rsidR="00210333" w:rsidRDefault="00FD0613">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The application of psychological theories and models to health </w:t>
      </w:r>
      <w:r w:rsidR="00091733">
        <w:rPr>
          <w:rFonts w:ascii="Times New Roman" w:hAnsi="Times New Roman" w:cs="Times New Roman"/>
          <w:color w:val="000000"/>
          <w:sz w:val="24"/>
          <w:szCs w:val="24"/>
        </w:rPr>
        <w:t>behavior</w:t>
      </w:r>
      <w:r>
        <w:rPr>
          <w:rFonts w:ascii="Times New Roman" w:hAnsi="Times New Roman" w:cs="Times New Roman"/>
          <w:color w:val="000000"/>
          <w:sz w:val="24"/>
          <w:szCs w:val="24"/>
        </w:rPr>
        <w:t xml:space="preserve"> have helped to change research, program development, and policy. Theories and models provide structure for identifying and examining problems, choosing and developing appropriate interventions, and assessing results. </w:t>
      </w:r>
      <w:r>
        <w:rPr>
          <w:rFonts w:ascii="Times New Roman" w:hAnsi="Times New Roman" w:cs="Times New Roman"/>
          <w:sz w:val="24"/>
          <w:szCs w:val="24"/>
        </w:rPr>
        <w:t xml:space="preserve">Theories and models are often described as being explanatory theories. Explanatory theories serve as a framework to discover </w:t>
      </w:r>
      <w:r w:rsidR="00436604">
        <w:rPr>
          <w:rFonts w:ascii="Times New Roman" w:hAnsi="Times New Roman" w:cs="Times New Roman"/>
          <w:iCs/>
          <w:sz w:val="24"/>
          <w:szCs w:val="24"/>
        </w:rPr>
        <w:t>why</w:t>
      </w:r>
      <w:r w:rsidR="00436604">
        <w:rPr>
          <w:rFonts w:ascii="Times New Roman" w:hAnsi="Times New Roman" w:cs="Times New Roman"/>
          <w:sz w:val="24"/>
          <w:szCs w:val="24"/>
        </w:rPr>
        <w:t xml:space="preserve"> the</w:t>
      </w:r>
      <w:r>
        <w:rPr>
          <w:rFonts w:ascii="Times New Roman" w:hAnsi="Times New Roman" w:cs="Times New Roman"/>
          <w:sz w:val="24"/>
          <w:szCs w:val="24"/>
        </w:rPr>
        <w:t xml:space="preserve"> problem exists, search for contributing factors, and help determine </w:t>
      </w:r>
      <w:r>
        <w:rPr>
          <w:rFonts w:ascii="Times New Roman" w:hAnsi="Times New Roman" w:cs="Times New Roman"/>
          <w:iCs/>
          <w:sz w:val="24"/>
          <w:szCs w:val="24"/>
        </w:rPr>
        <w:t>what</w:t>
      </w:r>
      <w:r w:rsidR="00436604">
        <w:rPr>
          <w:rFonts w:ascii="Times New Roman" w:hAnsi="Times New Roman" w:cs="Times New Roman"/>
          <w:iCs/>
          <w:sz w:val="24"/>
          <w:szCs w:val="24"/>
        </w:rPr>
        <w:t xml:space="preserve"> </w:t>
      </w:r>
      <w:r>
        <w:rPr>
          <w:rFonts w:ascii="Times New Roman" w:hAnsi="Times New Roman" w:cs="Times New Roman"/>
          <w:sz w:val="24"/>
          <w:szCs w:val="24"/>
        </w:rPr>
        <w:t xml:space="preserve">can be changed. Change or action theories provide frameworks that guide the development of interventions, translate concepts to messages and strategies, and form a basis for evaluation. Similarities can be found among the frequently used theories and models; however, their differences set them apart from one other and make them relatively more or less useful as frameworks through which to understand and/or modify different types of health behaviors. </w:t>
      </w:r>
    </w:p>
    <w:p w14:paraId="476EADD3" w14:textId="77777777" w:rsidR="00210333" w:rsidRDefault="00210333">
      <w:pPr>
        <w:jc w:val="both"/>
        <w:rPr>
          <w:rFonts w:cstheme="minorHAnsi"/>
          <w:sz w:val="24"/>
          <w:szCs w:val="24"/>
        </w:rPr>
      </w:pPr>
    </w:p>
    <w:p w14:paraId="7C0F444D" w14:textId="77777777" w:rsidR="00210333" w:rsidRDefault="00FD0613">
      <w:pPr>
        <w:jc w:val="both"/>
        <w:rPr>
          <w:rFonts w:ascii="Times New Roman" w:hAnsi="Times New Roman" w:cs="Times New Roman"/>
          <w:b/>
          <w:bCs/>
          <w:sz w:val="24"/>
          <w:szCs w:val="24"/>
        </w:rPr>
      </w:pPr>
      <w:r>
        <w:rPr>
          <w:rFonts w:ascii="Times New Roman" w:hAnsi="Times New Roman" w:cs="Times New Roman"/>
          <w:b/>
          <w:bCs/>
          <w:sz w:val="24"/>
          <w:szCs w:val="24"/>
        </w:rPr>
        <w:t>Conclusion:</w:t>
      </w:r>
    </w:p>
    <w:p w14:paraId="70BC3734" w14:textId="7AF44434" w:rsidR="00210333" w:rsidRDefault="00FD0613">
      <w:pPr>
        <w:jc w:val="both"/>
        <w:rPr>
          <w:rFonts w:eastAsia="Calibri" w:cstheme="minorHAnsi"/>
          <w:sz w:val="24"/>
          <w:szCs w:val="24"/>
        </w:rPr>
      </w:pPr>
      <w:r>
        <w:rPr>
          <w:rFonts w:ascii="Times New Roman" w:eastAsia="Calibri" w:hAnsi="Times New Roman" w:cs="Times New Roman"/>
          <w:sz w:val="24"/>
          <w:szCs w:val="24"/>
        </w:rPr>
        <w:t xml:space="preserve">The lifespan development of a child </w:t>
      </w:r>
      <w:r w:rsidR="00400750">
        <w:rPr>
          <w:rFonts w:ascii="Times New Roman" w:eastAsia="Calibri" w:hAnsi="Times New Roman" w:cs="Times New Roman"/>
          <w:sz w:val="24"/>
          <w:szCs w:val="24"/>
        </w:rPr>
        <w:t xml:space="preserve">begins when the child is in </w:t>
      </w:r>
      <w:r w:rsidR="003F0F58">
        <w:rPr>
          <w:rFonts w:ascii="Times New Roman" w:eastAsia="Calibri" w:hAnsi="Times New Roman" w:cs="Times New Roman"/>
          <w:sz w:val="24"/>
          <w:szCs w:val="24"/>
        </w:rPr>
        <w:t xml:space="preserve">the </w:t>
      </w:r>
      <w:r w:rsidR="002C0A4B">
        <w:rPr>
          <w:rFonts w:ascii="Times New Roman" w:eastAsia="Calibri" w:hAnsi="Times New Roman" w:cs="Times New Roman"/>
          <w:sz w:val="24"/>
          <w:szCs w:val="24"/>
        </w:rPr>
        <w:t>womb, through</w:t>
      </w:r>
      <w:r>
        <w:rPr>
          <w:rFonts w:ascii="Times New Roman" w:eastAsia="Calibri" w:hAnsi="Times New Roman" w:cs="Times New Roman"/>
          <w:sz w:val="24"/>
          <w:szCs w:val="24"/>
        </w:rPr>
        <w:t xml:space="preserve"> adolescence, the </w:t>
      </w:r>
      <w:r w:rsidR="00F47C08">
        <w:rPr>
          <w:rFonts w:ascii="Times New Roman" w:eastAsia="Calibri" w:hAnsi="Times New Roman" w:cs="Times New Roman"/>
          <w:sz w:val="24"/>
          <w:szCs w:val="24"/>
        </w:rPr>
        <w:t>procedure</w:t>
      </w:r>
      <w:r>
        <w:rPr>
          <w:rFonts w:ascii="Times New Roman" w:eastAsia="Calibri" w:hAnsi="Times New Roman" w:cs="Times New Roman"/>
          <w:sz w:val="24"/>
          <w:szCs w:val="24"/>
        </w:rPr>
        <w:t xml:space="preserve"> through which they exert that influence, and the </w:t>
      </w:r>
      <w:r w:rsidR="00165BC5">
        <w:rPr>
          <w:rFonts w:ascii="Times New Roman" w:eastAsia="Calibri" w:hAnsi="Times New Roman" w:cs="Times New Roman"/>
          <w:sz w:val="24"/>
          <w:szCs w:val="24"/>
        </w:rPr>
        <w:t xml:space="preserve">intricate </w:t>
      </w:r>
      <w:r>
        <w:rPr>
          <w:rFonts w:ascii="Times New Roman" w:eastAsia="Calibri" w:hAnsi="Times New Roman" w:cs="Times New Roman"/>
          <w:sz w:val="24"/>
          <w:szCs w:val="24"/>
        </w:rPr>
        <w:t xml:space="preserve">interactions </w:t>
      </w:r>
      <w:r w:rsidR="00926F12">
        <w:rPr>
          <w:rFonts w:ascii="Times New Roman" w:eastAsia="Calibri" w:hAnsi="Times New Roman" w:cs="Times New Roman"/>
          <w:sz w:val="24"/>
          <w:szCs w:val="24"/>
        </w:rPr>
        <w:t xml:space="preserve">between </w:t>
      </w:r>
      <w:r>
        <w:rPr>
          <w:rFonts w:ascii="Times New Roman" w:eastAsia="Calibri" w:hAnsi="Times New Roman" w:cs="Times New Roman"/>
          <w:sz w:val="24"/>
          <w:szCs w:val="24"/>
        </w:rPr>
        <w:t xml:space="preserve">them. It has long been understood that </w:t>
      </w:r>
      <w:r w:rsidR="002C0A4B">
        <w:rPr>
          <w:rFonts w:ascii="Times New Roman" w:eastAsia="Calibri" w:hAnsi="Times New Roman" w:cs="Times New Roman"/>
          <w:sz w:val="24"/>
          <w:szCs w:val="24"/>
        </w:rPr>
        <w:t xml:space="preserve">components </w:t>
      </w:r>
      <w:r>
        <w:rPr>
          <w:rFonts w:ascii="Times New Roman" w:eastAsia="Calibri" w:hAnsi="Times New Roman" w:cs="Times New Roman"/>
          <w:sz w:val="24"/>
          <w:szCs w:val="24"/>
        </w:rPr>
        <w:t xml:space="preserve">the individual, family, community (including school and health care systems), and societal levels have profound effects on children's development. There is, however, growing </w:t>
      </w:r>
      <w:r w:rsidR="009653E8">
        <w:rPr>
          <w:rFonts w:ascii="Times New Roman" w:eastAsia="Calibri" w:hAnsi="Times New Roman" w:cs="Times New Roman"/>
          <w:sz w:val="24"/>
          <w:szCs w:val="24"/>
        </w:rPr>
        <w:t xml:space="preserve">proofs </w:t>
      </w:r>
      <w:r>
        <w:rPr>
          <w:rFonts w:ascii="Times New Roman" w:eastAsia="Calibri" w:hAnsi="Times New Roman" w:cs="Times New Roman"/>
          <w:sz w:val="24"/>
          <w:szCs w:val="24"/>
        </w:rPr>
        <w:t xml:space="preserve">of </w:t>
      </w:r>
      <w:r>
        <w:rPr>
          <w:rFonts w:ascii="Times New Roman" w:eastAsia="Calibri" w:hAnsi="Times New Roman" w:cs="Times New Roman"/>
          <w:iCs/>
          <w:sz w:val="24"/>
          <w:szCs w:val="24"/>
        </w:rPr>
        <w:t>how</w:t>
      </w:r>
      <w:r>
        <w:rPr>
          <w:rFonts w:ascii="Times New Roman" w:eastAsia="Calibri" w:hAnsi="Times New Roman" w:cs="Times New Roman"/>
          <w:sz w:val="24"/>
          <w:szCs w:val="24"/>
        </w:rPr>
        <w:t xml:space="preserve"> and </w:t>
      </w:r>
      <w:r>
        <w:rPr>
          <w:rFonts w:ascii="Times New Roman" w:eastAsia="Calibri" w:hAnsi="Times New Roman" w:cs="Times New Roman"/>
          <w:iCs/>
          <w:sz w:val="24"/>
          <w:szCs w:val="24"/>
        </w:rPr>
        <w:t>when</w:t>
      </w:r>
      <w:r>
        <w:rPr>
          <w:rFonts w:ascii="Times New Roman" w:eastAsia="Calibri" w:hAnsi="Times New Roman" w:cs="Times New Roman"/>
          <w:sz w:val="24"/>
          <w:szCs w:val="24"/>
        </w:rPr>
        <w:t xml:space="preserve"> these influences, which begin before </w:t>
      </w:r>
      <w:r>
        <w:rPr>
          <w:rFonts w:ascii="Times New Roman" w:eastAsia="Calibri" w:hAnsi="Times New Roman" w:cs="Times New Roman"/>
          <w:sz w:val="24"/>
          <w:szCs w:val="24"/>
        </w:rPr>
        <w:lastRenderedPageBreak/>
        <w:t>conception, promote or impede positive development, and how they play out across communities and generations.</w:t>
      </w:r>
    </w:p>
    <w:p w14:paraId="7F9EC231" w14:textId="77777777" w:rsidR="00210333" w:rsidRDefault="00210333">
      <w:pPr>
        <w:jc w:val="both"/>
        <w:rPr>
          <w:rFonts w:cstheme="minorHAnsi"/>
          <w:b/>
          <w:sz w:val="24"/>
          <w:szCs w:val="24"/>
        </w:rPr>
      </w:pPr>
    </w:p>
    <w:p w14:paraId="088CDF32" w14:textId="77777777" w:rsidR="00210333" w:rsidRDefault="00FD0613">
      <w:pPr>
        <w:jc w:val="both"/>
        <w:rPr>
          <w:rFonts w:eastAsia="Calibri" w:cstheme="minorHAnsi"/>
          <w:b/>
          <w:bCs/>
          <w:sz w:val="24"/>
          <w:szCs w:val="24"/>
        </w:rPr>
      </w:pPr>
      <w:r>
        <w:rPr>
          <w:rFonts w:eastAsia="Calibri" w:cstheme="minorHAnsi"/>
          <w:b/>
          <w:bCs/>
          <w:sz w:val="24"/>
          <w:szCs w:val="24"/>
        </w:rPr>
        <w:t>References:</w:t>
      </w:r>
    </w:p>
    <w:p w14:paraId="1F5B2B5A" w14:textId="77777777" w:rsidR="00210333" w:rsidRDefault="00FD0613">
      <w:pPr>
        <w:pStyle w:val="ListParagraph"/>
        <w:numPr>
          <w:ilvl w:val="0"/>
          <w:numId w:val="1"/>
        </w:numPr>
        <w:jc w:val="both"/>
        <w:rPr>
          <w:rFonts w:cstheme="minorHAnsi"/>
          <w:color w:val="373D3F"/>
          <w:sz w:val="24"/>
          <w:szCs w:val="24"/>
        </w:rPr>
      </w:pPr>
      <w:r>
        <w:rPr>
          <w:rFonts w:cstheme="minorHAnsi"/>
          <w:color w:val="373D3F"/>
          <w:sz w:val="24"/>
          <w:szCs w:val="24"/>
        </w:rPr>
        <w:t>Attachment Security in Infancy and Early Adulthood: A Twenty‐Year Longitudinal Study, May 2000</w:t>
      </w:r>
      <w:r>
        <w:rPr>
          <w:rFonts w:cstheme="minorHAnsi"/>
          <w:color w:val="373D3F"/>
          <w:sz w:val="24"/>
          <w:szCs w:val="24"/>
          <w:u w:val="single"/>
        </w:rPr>
        <w:t xml:space="preserve">. </w:t>
      </w:r>
    </w:p>
    <w:p w14:paraId="079AD94A" w14:textId="77777777" w:rsidR="00210333" w:rsidRDefault="00210333">
      <w:pPr>
        <w:pStyle w:val="ListParagraph"/>
        <w:jc w:val="both"/>
        <w:rPr>
          <w:rFonts w:cstheme="minorHAnsi"/>
          <w:color w:val="373D3F"/>
          <w:sz w:val="24"/>
          <w:szCs w:val="24"/>
        </w:rPr>
      </w:pPr>
    </w:p>
    <w:p w14:paraId="5A8EAB32" w14:textId="77777777" w:rsidR="00210333" w:rsidRDefault="00FD0613">
      <w:pPr>
        <w:pStyle w:val="ListParagraph"/>
        <w:numPr>
          <w:ilvl w:val="0"/>
          <w:numId w:val="1"/>
        </w:numPr>
        <w:jc w:val="both"/>
        <w:rPr>
          <w:rFonts w:cstheme="minorHAnsi"/>
          <w:color w:val="373D3F"/>
          <w:sz w:val="24"/>
          <w:szCs w:val="24"/>
        </w:rPr>
      </w:pPr>
      <w:r>
        <w:rPr>
          <w:rFonts w:cstheme="minorHAnsi"/>
          <w:color w:val="373D3F"/>
          <w:sz w:val="24"/>
          <w:szCs w:val="24"/>
        </w:rPr>
        <w:t>Bogartz R, Shinskey L, Schilling T. 2000. Object permanence in five-and-a-half-month-old infants? Infancy.</w:t>
      </w:r>
    </w:p>
    <w:p w14:paraId="2E4A89A9" w14:textId="77777777" w:rsidR="00210333" w:rsidRDefault="00210333">
      <w:pPr>
        <w:pStyle w:val="ListParagraph"/>
        <w:rPr>
          <w:rFonts w:cstheme="minorHAnsi"/>
          <w:color w:val="373D3F"/>
          <w:sz w:val="24"/>
          <w:szCs w:val="24"/>
        </w:rPr>
      </w:pPr>
    </w:p>
    <w:p w14:paraId="7C8FF2D4" w14:textId="77777777" w:rsidR="00210333" w:rsidRDefault="00FD0613">
      <w:pPr>
        <w:pStyle w:val="ListParagraph"/>
        <w:numPr>
          <w:ilvl w:val="0"/>
          <w:numId w:val="1"/>
        </w:numPr>
        <w:jc w:val="both"/>
        <w:rPr>
          <w:rFonts w:cstheme="minorHAnsi"/>
          <w:color w:val="373D3F"/>
          <w:sz w:val="24"/>
          <w:szCs w:val="24"/>
        </w:rPr>
      </w:pPr>
      <w:r>
        <w:rPr>
          <w:rFonts w:cstheme="minorHAnsi"/>
          <w:color w:val="373D3F"/>
          <w:sz w:val="24"/>
          <w:szCs w:val="24"/>
        </w:rPr>
        <w:t>Cashon C, Cohen L. 2000. Eight-month-old infants’ perception of possible and impossible events. Infancy.</w:t>
      </w:r>
    </w:p>
    <w:p w14:paraId="3963B86F" w14:textId="77777777" w:rsidR="00210333" w:rsidRDefault="00210333">
      <w:pPr>
        <w:pStyle w:val="ListParagraph"/>
        <w:jc w:val="both"/>
        <w:rPr>
          <w:rFonts w:cstheme="minorHAnsi"/>
          <w:color w:val="373D3F"/>
          <w:sz w:val="24"/>
          <w:szCs w:val="24"/>
        </w:rPr>
      </w:pPr>
    </w:p>
    <w:p w14:paraId="41A75942" w14:textId="77777777" w:rsidR="00210333" w:rsidRDefault="00FD0613">
      <w:pPr>
        <w:pStyle w:val="ListParagraph"/>
        <w:numPr>
          <w:ilvl w:val="0"/>
          <w:numId w:val="1"/>
        </w:numPr>
        <w:jc w:val="both"/>
        <w:rPr>
          <w:rFonts w:cstheme="minorHAnsi"/>
          <w:color w:val="373D3F"/>
          <w:sz w:val="24"/>
          <w:szCs w:val="24"/>
        </w:rPr>
      </w:pPr>
      <w:r>
        <w:rPr>
          <w:rFonts w:cstheme="minorHAnsi"/>
          <w:color w:val="373D3F"/>
          <w:sz w:val="24"/>
          <w:szCs w:val="24"/>
        </w:rPr>
        <w:t>Fantz R. 1958. Pattern vision in young infants. The Psychological Record.</w:t>
      </w:r>
    </w:p>
    <w:p w14:paraId="4C181823" w14:textId="77777777" w:rsidR="00210333" w:rsidRDefault="00210333">
      <w:pPr>
        <w:pStyle w:val="ListParagraph"/>
        <w:rPr>
          <w:rFonts w:cstheme="minorHAnsi"/>
          <w:color w:val="373D3F"/>
          <w:sz w:val="24"/>
          <w:szCs w:val="24"/>
        </w:rPr>
      </w:pPr>
    </w:p>
    <w:p w14:paraId="5362C46A" w14:textId="77777777" w:rsidR="00210333" w:rsidRDefault="00FD0613">
      <w:pPr>
        <w:pStyle w:val="ListParagraph"/>
        <w:numPr>
          <w:ilvl w:val="0"/>
          <w:numId w:val="1"/>
        </w:numPr>
        <w:jc w:val="both"/>
        <w:rPr>
          <w:rFonts w:cstheme="minorHAnsi"/>
          <w:sz w:val="24"/>
          <w:szCs w:val="24"/>
        </w:rPr>
      </w:pPr>
      <w:r>
        <w:rPr>
          <w:rFonts w:cstheme="minorHAnsi"/>
          <w:sz w:val="24"/>
          <w:szCs w:val="24"/>
        </w:rPr>
        <w:t>Papalia, D.E., Olds, S.W., &amp; Feldman, R.D. (2008). A Child’s world: infancy through adolescence 11th edition. United States of America: McGraw-Hill Companies, Inc.</w:t>
      </w:r>
    </w:p>
    <w:p w14:paraId="0F15FE36" w14:textId="77777777" w:rsidR="00210333" w:rsidRDefault="00210333">
      <w:pPr>
        <w:pStyle w:val="ListParagraph"/>
        <w:rPr>
          <w:rFonts w:cstheme="minorHAnsi"/>
          <w:sz w:val="24"/>
          <w:szCs w:val="24"/>
        </w:rPr>
      </w:pPr>
    </w:p>
    <w:p w14:paraId="59C62014" w14:textId="77777777" w:rsidR="00210333" w:rsidRDefault="00FD0613">
      <w:pPr>
        <w:pStyle w:val="ListParagraph"/>
        <w:numPr>
          <w:ilvl w:val="0"/>
          <w:numId w:val="1"/>
        </w:numPr>
        <w:jc w:val="both"/>
        <w:rPr>
          <w:rFonts w:cstheme="minorHAnsi"/>
          <w:color w:val="373D3F"/>
          <w:sz w:val="24"/>
          <w:szCs w:val="24"/>
        </w:rPr>
      </w:pPr>
      <w:r>
        <w:rPr>
          <w:rFonts w:cstheme="minorHAnsi"/>
          <w:color w:val="373D3F"/>
          <w:sz w:val="24"/>
          <w:szCs w:val="24"/>
        </w:rPr>
        <w:t>Piia Jallinoja et al, (2007) The dilemma of patient responsibility for lifestyle change: Perceptions among Primary Care Physicians and Nurses; Scandinavian Journal of Primary Health Care, 207; 25:244-249</w:t>
      </w:r>
    </w:p>
    <w:p w14:paraId="20C97D87" w14:textId="77777777" w:rsidR="00210333" w:rsidRDefault="00210333">
      <w:pPr>
        <w:pStyle w:val="ListParagraph"/>
        <w:rPr>
          <w:rFonts w:cstheme="minorHAnsi"/>
          <w:color w:val="373D3F"/>
          <w:sz w:val="24"/>
          <w:szCs w:val="24"/>
        </w:rPr>
      </w:pPr>
    </w:p>
    <w:p w14:paraId="6CE16AD9" w14:textId="77777777" w:rsidR="00210333" w:rsidRDefault="00FD0613">
      <w:pPr>
        <w:pStyle w:val="ListParagraph"/>
        <w:numPr>
          <w:ilvl w:val="0"/>
          <w:numId w:val="1"/>
        </w:numPr>
        <w:jc w:val="both"/>
        <w:rPr>
          <w:rFonts w:cstheme="minorHAnsi"/>
          <w:color w:val="373D3F"/>
          <w:sz w:val="24"/>
          <w:szCs w:val="24"/>
        </w:rPr>
      </w:pPr>
      <w:r>
        <w:rPr>
          <w:rFonts w:cstheme="minorHAnsi"/>
          <w:color w:val="373D3F"/>
          <w:sz w:val="24"/>
          <w:szCs w:val="24"/>
        </w:rPr>
        <w:t>Sarah E. Linke et al (2013) Applying Psychological Theories to Promote Healthy Lifestyles; The American Journal of Lifestyle Medicine; January 2013</w:t>
      </w:r>
    </w:p>
    <w:p w14:paraId="1ECCF9A0" w14:textId="77777777" w:rsidR="00210333" w:rsidRDefault="00210333">
      <w:pPr>
        <w:pStyle w:val="ListParagraph"/>
        <w:rPr>
          <w:rFonts w:cstheme="minorHAnsi"/>
          <w:color w:val="373D3F"/>
          <w:sz w:val="24"/>
          <w:szCs w:val="24"/>
        </w:rPr>
      </w:pPr>
    </w:p>
    <w:p w14:paraId="38912D17" w14:textId="77777777" w:rsidR="00210333" w:rsidRDefault="00FD0613">
      <w:pPr>
        <w:pStyle w:val="ListParagraph"/>
        <w:numPr>
          <w:ilvl w:val="0"/>
          <w:numId w:val="1"/>
        </w:numPr>
        <w:jc w:val="both"/>
        <w:rPr>
          <w:rFonts w:cstheme="minorHAnsi"/>
          <w:color w:val="373D3F"/>
          <w:sz w:val="24"/>
          <w:szCs w:val="24"/>
        </w:rPr>
      </w:pPr>
      <w:r>
        <w:rPr>
          <w:rFonts w:cstheme="minorHAnsi"/>
          <w:color w:val="373D3F"/>
          <w:sz w:val="24"/>
          <w:szCs w:val="24"/>
        </w:rPr>
        <w:t>Saeed H. Wahass (2005) The Role of Psychologists in Health Care Delivery; Journal of Family and Community Medicine, 2005; 12(2):63-70</w:t>
      </w:r>
    </w:p>
    <w:p w14:paraId="347BAD83" w14:textId="77777777" w:rsidR="00210333" w:rsidRDefault="00210333">
      <w:pPr>
        <w:pStyle w:val="ListParagraph"/>
        <w:rPr>
          <w:rFonts w:cstheme="minorHAnsi"/>
          <w:color w:val="373D3F"/>
          <w:sz w:val="24"/>
          <w:szCs w:val="24"/>
        </w:rPr>
      </w:pPr>
    </w:p>
    <w:p w14:paraId="07BC527C" w14:textId="77777777" w:rsidR="00210333" w:rsidRDefault="00FD0613">
      <w:pPr>
        <w:pStyle w:val="ListParagraph"/>
        <w:numPr>
          <w:ilvl w:val="0"/>
          <w:numId w:val="1"/>
        </w:numPr>
        <w:jc w:val="both"/>
        <w:rPr>
          <w:rFonts w:cstheme="minorHAnsi"/>
          <w:color w:val="373D3F"/>
          <w:sz w:val="24"/>
          <w:szCs w:val="24"/>
        </w:rPr>
      </w:pPr>
      <w:r>
        <w:rPr>
          <w:rFonts w:cstheme="minorHAnsi"/>
          <w:color w:val="373D3F"/>
          <w:sz w:val="24"/>
          <w:szCs w:val="24"/>
        </w:rPr>
        <w:t>Thiam et al infant and child mental health and parental illness, 2017.</w:t>
      </w:r>
    </w:p>
    <w:p w14:paraId="5EB514FE" w14:textId="77777777" w:rsidR="00210333" w:rsidRDefault="00210333">
      <w:pPr>
        <w:pStyle w:val="ListParagraph"/>
        <w:rPr>
          <w:rFonts w:cstheme="minorHAnsi"/>
          <w:color w:val="373D3F"/>
          <w:sz w:val="24"/>
          <w:szCs w:val="24"/>
        </w:rPr>
      </w:pPr>
    </w:p>
    <w:p w14:paraId="63F34C15" w14:textId="77777777" w:rsidR="00210333" w:rsidRDefault="00FD0613">
      <w:pPr>
        <w:pStyle w:val="ListParagraph"/>
        <w:numPr>
          <w:ilvl w:val="0"/>
          <w:numId w:val="1"/>
        </w:numPr>
        <w:jc w:val="both"/>
        <w:rPr>
          <w:rFonts w:cstheme="minorHAnsi"/>
          <w:color w:val="373D3F"/>
          <w:sz w:val="24"/>
          <w:szCs w:val="24"/>
        </w:rPr>
      </w:pPr>
      <w:r>
        <w:rPr>
          <w:rFonts w:cstheme="minorHAnsi"/>
          <w:color w:val="373D3F"/>
          <w:sz w:val="24"/>
          <w:szCs w:val="24"/>
        </w:rPr>
        <w:t>Wood, S.E., Wood, E.G., &amp; Boyd, D. (2007). The World of psychology. The United States of America: Pearson Education, Inc.</w:t>
      </w:r>
    </w:p>
    <w:p w14:paraId="07BAAC7B" w14:textId="77777777" w:rsidR="00210333" w:rsidRDefault="00210333">
      <w:pPr>
        <w:ind w:left="360"/>
        <w:jc w:val="both"/>
        <w:rPr>
          <w:rFonts w:cstheme="minorHAnsi"/>
          <w:color w:val="373D3F"/>
          <w:sz w:val="24"/>
          <w:szCs w:val="24"/>
        </w:rPr>
      </w:pPr>
    </w:p>
    <w:p w14:paraId="1F779EE9" w14:textId="77777777" w:rsidR="00210333" w:rsidRDefault="00210333">
      <w:pPr>
        <w:jc w:val="both"/>
        <w:rPr>
          <w:rFonts w:cstheme="minorHAnsi"/>
          <w:b/>
          <w:bCs/>
          <w:sz w:val="24"/>
          <w:szCs w:val="24"/>
        </w:rPr>
      </w:pPr>
    </w:p>
    <w:sectPr w:rsidR="00210333" w:rsidSect="00CF335F">
      <w:footerReference w:type="default" r:id="rId8"/>
      <w:pgSz w:w="12240" w:h="15840"/>
      <w:pgMar w:top="1440" w:right="1440" w:bottom="1440" w:left="1440" w:header="0" w:footer="720" w:gutter="0"/>
      <w:pgNumType w:start="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09B376" w14:textId="77777777" w:rsidR="00F157CD" w:rsidRDefault="00F157CD">
      <w:pPr>
        <w:spacing w:after="0" w:line="240" w:lineRule="auto"/>
      </w:pPr>
      <w:r>
        <w:separator/>
      </w:r>
    </w:p>
  </w:endnote>
  <w:endnote w:type="continuationSeparator" w:id="0">
    <w:p w14:paraId="24DB4AF8" w14:textId="77777777" w:rsidR="00F157CD" w:rsidRDefault="00F157CD">
      <w:pPr>
        <w:spacing w:after="0" w:line="240" w:lineRule="auto"/>
      </w:pPr>
      <w:r>
        <w:continuationSeparator/>
      </w:r>
    </w:p>
  </w:endnote>
  <w:endnote w:type="continuationNotice" w:id="1">
    <w:p w14:paraId="6EDD15B5" w14:textId="77777777" w:rsidR="00F157CD" w:rsidRDefault="00F157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ourceSansPro-Regular">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086B6" w14:textId="77777777" w:rsidR="00210333" w:rsidRDefault="00210333">
    <w:pPr>
      <w:pStyle w:val="Footer"/>
      <w:jc w:val="center"/>
    </w:pPr>
  </w:p>
  <w:p w14:paraId="120CB5FB" w14:textId="77777777" w:rsidR="00210333" w:rsidRDefault="00210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46BAB" w14:textId="77777777" w:rsidR="00F157CD" w:rsidRDefault="00F157CD">
      <w:pPr>
        <w:spacing w:after="0" w:line="240" w:lineRule="auto"/>
      </w:pPr>
      <w:r>
        <w:separator/>
      </w:r>
    </w:p>
  </w:footnote>
  <w:footnote w:type="continuationSeparator" w:id="0">
    <w:p w14:paraId="3829C0E8" w14:textId="77777777" w:rsidR="00F157CD" w:rsidRDefault="00F157CD">
      <w:pPr>
        <w:spacing w:after="0" w:line="240" w:lineRule="auto"/>
      </w:pPr>
      <w:r>
        <w:continuationSeparator/>
      </w:r>
    </w:p>
  </w:footnote>
  <w:footnote w:type="continuationNotice" w:id="1">
    <w:p w14:paraId="35517FDA" w14:textId="77777777" w:rsidR="00F157CD" w:rsidRDefault="00F157C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407FAA"/>
    <w:multiLevelType w:val="multilevel"/>
    <w:tmpl w:val="FFFFFFFF"/>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5F8531A0"/>
    <w:multiLevelType w:val="multilevel"/>
    <w:tmpl w:val="FFFFFFFF"/>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333"/>
    <w:rsid w:val="00091733"/>
    <w:rsid w:val="000E5092"/>
    <w:rsid w:val="000F7041"/>
    <w:rsid w:val="00134284"/>
    <w:rsid w:val="00141EB4"/>
    <w:rsid w:val="00165BC5"/>
    <w:rsid w:val="001E2FBE"/>
    <w:rsid w:val="00210333"/>
    <w:rsid w:val="00220E26"/>
    <w:rsid w:val="00236E22"/>
    <w:rsid w:val="00254B74"/>
    <w:rsid w:val="00256529"/>
    <w:rsid w:val="002C0A4B"/>
    <w:rsid w:val="002E3AE5"/>
    <w:rsid w:val="002E53B0"/>
    <w:rsid w:val="00317C6E"/>
    <w:rsid w:val="00320AF1"/>
    <w:rsid w:val="003B4599"/>
    <w:rsid w:val="003E2C90"/>
    <w:rsid w:val="003F0F58"/>
    <w:rsid w:val="00400750"/>
    <w:rsid w:val="00416CBC"/>
    <w:rsid w:val="0043296F"/>
    <w:rsid w:val="00436604"/>
    <w:rsid w:val="00456433"/>
    <w:rsid w:val="00464DCD"/>
    <w:rsid w:val="004A267E"/>
    <w:rsid w:val="004B37BF"/>
    <w:rsid w:val="004B7294"/>
    <w:rsid w:val="005170FA"/>
    <w:rsid w:val="00530BA4"/>
    <w:rsid w:val="0059489F"/>
    <w:rsid w:val="005B6F35"/>
    <w:rsid w:val="005B736B"/>
    <w:rsid w:val="005D6D02"/>
    <w:rsid w:val="006103AE"/>
    <w:rsid w:val="006622C8"/>
    <w:rsid w:val="00676304"/>
    <w:rsid w:val="00680413"/>
    <w:rsid w:val="006842A0"/>
    <w:rsid w:val="006B73DB"/>
    <w:rsid w:val="00716D99"/>
    <w:rsid w:val="007C4127"/>
    <w:rsid w:val="0084326B"/>
    <w:rsid w:val="0088287A"/>
    <w:rsid w:val="008F3665"/>
    <w:rsid w:val="00926F12"/>
    <w:rsid w:val="00930015"/>
    <w:rsid w:val="0094256C"/>
    <w:rsid w:val="00962B00"/>
    <w:rsid w:val="009653E8"/>
    <w:rsid w:val="009B08D2"/>
    <w:rsid w:val="009C551F"/>
    <w:rsid w:val="00A134BD"/>
    <w:rsid w:val="00A26763"/>
    <w:rsid w:val="00A27043"/>
    <w:rsid w:val="00A32E7C"/>
    <w:rsid w:val="00A523E2"/>
    <w:rsid w:val="00A9752F"/>
    <w:rsid w:val="00AA33EE"/>
    <w:rsid w:val="00AA7012"/>
    <w:rsid w:val="00B37D42"/>
    <w:rsid w:val="00B40737"/>
    <w:rsid w:val="00B45924"/>
    <w:rsid w:val="00B643B2"/>
    <w:rsid w:val="00B8213C"/>
    <w:rsid w:val="00B9513F"/>
    <w:rsid w:val="00C034FE"/>
    <w:rsid w:val="00C3576A"/>
    <w:rsid w:val="00C41C84"/>
    <w:rsid w:val="00C515A2"/>
    <w:rsid w:val="00C51DA6"/>
    <w:rsid w:val="00CB0C53"/>
    <w:rsid w:val="00CB64EA"/>
    <w:rsid w:val="00CD01B6"/>
    <w:rsid w:val="00CD587F"/>
    <w:rsid w:val="00CF335F"/>
    <w:rsid w:val="00D13AF7"/>
    <w:rsid w:val="00DD1905"/>
    <w:rsid w:val="00F10481"/>
    <w:rsid w:val="00F157CD"/>
    <w:rsid w:val="00F41BA0"/>
    <w:rsid w:val="00F47C08"/>
    <w:rsid w:val="00F93E9E"/>
    <w:rsid w:val="00FD06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8D0A3"/>
  <w15:docId w15:val="{CA36670B-9F91-E549-B9D4-91D2A2D9F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35F"/>
    <w:pPr>
      <w:spacing w:after="160" w:line="259" w:lineRule="auto"/>
    </w:pPr>
  </w:style>
  <w:style w:type="paragraph" w:styleId="Heading1">
    <w:name w:val="heading 1"/>
    <w:basedOn w:val="Normal"/>
    <w:next w:val="Normal"/>
    <w:link w:val="Heading1Char"/>
    <w:uiPriority w:val="9"/>
    <w:qFormat/>
    <w:rsid w:val="005D4CE3"/>
    <w:pPr>
      <w:keepNext/>
      <w:keepLines/>
      <w:spacing w:before="240" w:after="0"/>
      <w:outlineLvl w:val="0"/>
    </w:pPr>
    <w:rPr>
      <w:rFonts w:ascii="Calibri Light" w:eastAsia="Yu Gothic Light" w:hAnsi="Calibri Light" w:cs="Times New Roman"/>
      <w:color w:val="2F5496"/>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ntl-inline-citation">
    <w:name w:val="mntl-inline-citation"/>
    <w:basedOn w:val="DefaultParagraphFont"/>
    <w:qFormat/>
    <w:rsid w:val="007C4929"/>
  </w:style>
  <w:style w:type="character" w:styleId="Strong">
    <w:name w:val="Strong"/>
    <w:basedOn w:val="DefaultParagraphFont"/>
    <w:uiPriority w:val="22"/>
    <w:qFormat/>
    <w:rsid w:val="008B2AC2"/>
    <w:rPr>
      <w:b/>
      <w:bCs/>
    </w:rPr>
  </w:style>
  <w:style w:type="character" w:styleId="Hyperlink">
    <w:name w:val="Hyperlink"/>
    <w:basedOn w:val="DefaultParagraphFont"/>
    <w:uiPriority w:val="99"/>
    <w:unhideWhenUsed/>
    <w:rsid w:val="008B2AC2"/>
    <w:rPr>
      <w:color w:val="0000FF"/>
      <w:u w:val="single"/>
    </w:rPr>
  </w:style>
  <w:style w:type="character" w:customStyle="1" w:styleId="HeaderChar">
    <w:name w:val="Header Char"/>
    <w:basedOn w:val="DefaultParagraphFont"/>
    <w:link w:val="Header"/>
    <w:uiPriority w:val="99"/>
    <w:qFormat/>
    <w:rsid w:val="001F3B66"/>
  </w:style>
  <w:style w:type="character" w:customStyle="1" w:styleId="FooterChar">
    <w:name w:val="Footer Char"/>
    <w:basedOn w:val="DefaultParagraphFont"/>
    <w:link w:val="Footer"/>
    <w:uiPriority w:val="99"/>
    <w:qFormat/>
    <w:rsid w:val="001F3B66"/>
  </w:style>
  <w:style w:type="character" w:styleId="Emphasis">
    <w:name w:val="Emphasis"/>
    <w:basedOn w:val="DefaultParagraphFont"/>
    <w:uiPriority w:val="20"/>
    <w:qFormat/>
    <w:rsid w:val="00E46AA9"/>
    <w:rPr>
      <w:i/>
      <w:iCs/>
    </w:rPr>
  </w:style>
  <w:style w:type="character" w:customStyle="1" w:styleId="BalloonTextChar">
    <w:name w:val="Balloon Text Char"/>
    <w:basedOn w:val="DefaultParagraphFont"/>
    <w:link w:val="BalloonText"/>
    <w:uiPriority w:val="99"/>
    <w:semiHidden/>
    <w:qFormat/>
    <w:rsid w:val="00884DED"/>
    <w:rPr>
      <w:rFonts w:ascii="Segoe UI" w:hAnsi="Segoe UI" w:cs="Segoe UI"/>
      <w:sz w:val="18"/>
      <w:szCs w:val="18"/>
    </w:rPr>
  </w:style>
  <w:style w:type="character" w:customStyle="1" w:styleId="UnresolvedMention1">
    <w:name w:val="Unresolved Mention1"/>
    <w:basedOn w:val="DefaultParagraphFont"/>
    <w:uiPriority w:val="99"/>
    <w:semiHidden/>
    <w:unhideWhenUsed/>
    <w:qFormat/>
    <w:rsid w:val="007C7328"/>
    <w:rPr>
      <w:color w:val="605E5C"/>
      <w:shd w:val="clear" w:color="auto" w:fill="E1DFDD"/>
    </w:rPr>
  </w:style>
  <w:style w:type="character" w:styleId="FollowedHyperlink">
    <w:name w:val="FollowedHyperlink"/>
    <w:basedOn w:val="DefaultParagraphFont"/>
    <w:uiPriority w:val="99"/>
    <w:semiHidden/>
    <w:unhideWhenUsed/>
    <w:rsid w:val="007C7328"/>
    <w:rPr>
      <w:color w:val="954F72" w:themeColor="followedHyperlink"/>
      <w:u w:val="single"/>
    </w:rPr>
  </w:style>
  <w:style w:type="character" w:customStyle="1" w:styleId="Heading1Char">
    <w:name w:val="Heading 1 Char"/>
    <w:basedOn w:val="DefaultParagraphFont"/>
    <w:link w:val="Heading1"/>
    <w:uiPriority w:val="9"/>
    <w:qFormat/>
    <w:rsid w:val="005D4CE3"/>
    <w:rPr>
      <w:rFonts w:ascii="Calibri Light" w:eastAsia="Yu Gothic Light" w:hAnsi="Calibri Light" w:cs="Times New Roman"/>
      <w:color w:val="2F5496"/>
      <w:sz w:val="32"/>
      <w:szCs w:val="32"/>
      <w:lang w:val="en-GB"/>
    </w:rPr>
  </w:style>
  <w:style w:type="paragraph" w:customStyle="1" w:styleId="Heading">
    <w:name w:val="Heading"/>
    <w:basedOn w:val="Normal"/>
    <w:next w:val="BodyText"/>
    <w:qFormat/>
    <w:rsid w:val="00CF335F"/>
    <w:pPr>
      <w:keepNext/>
      <w:spacing w:before="240" w:after="120"/>
    </w:pPr>
    <w:rPr>
      <w:rFonts w:ascii="Liberation Sans" w:eastAsia="Microsoft YaHei" w:hAnsi="Liberation Sans" w:cs="Lucida Sans"/>
      <w:sz w:val="28"/>
      <w:szCs w:val="28"/>
    </w:rPr>
  </w:style>
  <w:style w:type="paragraph" w:styleId="BodyText">
    <w:name w:val="Body Text"/>
    <w:basedOn w:val="Normal"/>
    <w:rsid w:val="00CF335F"/>
    <w:pPr>
      <w:spacing w:after="140" w:line="276" w:lineRule="auto"/>
    </w:pPr>
  </w:style>
  <w:style w:type="paragraph" w:styleId="List">
    <w:name w:val="List"/>
    <w:basedOn w:val="BodyText"/>
    <w:rsid w:val="00CF335F"/>
    <w:rPr>
      <w:rFonts w:cs="Lucida Sans"/>
    </w:rPr>
  </w:style>
  <w:style w:type="paragraph" w:styleId="Caption">
    <w:name w:val="caption"/>
    <w:basedOn w:val="Normal"/>
    <w:qFormat/>
    <w:rsid w:val="00CF335F"/>
    <w:pPr>
      <w:suppressLineNumbers/>
      <w:spacing w:before="120" w:after="120"/>
    </w:pPr>
    <w:rPr>
      <w:rFonts w:cs="Lucida Sans"/>
      <w:i/>
      <w:iCs/>
      <w:sz w:val="24"/>
      <w:szCs w:val="24"/>
    </w:rPr>
  </w:style>
  <w:style w:type="paragraph" w:customStyle="1" w:styleId="Index">
    <w:name w:val="Index"/>
    <w:basedOn w:val="Normal"/>
    <w:qFormat/>
    <w:rsid w:val="00CF335F"/>
    <w:pPr>
      <w:suppressLineNumbers/>
    </w:pPr>
    <w:rPr>
      <w:rFonts w:cs="Lucida Sans"/>
    </w:rPr>
  </w:style>
  <w:style w:type="paragraph" w:customStyle="1" w:styleId="Default">
    <w:name w:val="Default"/>
    <w:qFormat/>
    <w:rsid w:val="0005670E"/>
    <w:rPr>
      <w:rFonts w:ascii="Calibri" w:eastAsia="Calibri" w:hAnsi="Calibri" w:cs="Calibri"/>
      <w:color w:val="000000"/>
      <w:sz w:val="24"/>
      <w:szCs w:val="24"/>
    </w:rPr>
  </w:style>
  <w:style w:type="paragraph" w:styleId="NormalWeb">
    <w:name w:val="Normal (Web)"/>
    <w:basedOn w:val="Normal"/>
    <w:uiPriority w:val="99"/>
    <w:unhideWhenUsed/>
    <w:qFormat/>
    <w:rsid w:val="008B2AC2"/>
    <w:pPr>
      <w:spacing w:beforeAutospacing="1" w:afterAutospacing="1" w:line="240" w:lineRule="auto"/>
    </w:pPr>
    <w:rPr>
      <w:rFonts w:ascii="Times New Roman" w:eastAsia="Times New Roman" w:hAnsi="Times New Roman" w:cs="Times New Roman"/>
      <w:sz w:val="24"/>
      <w:szCs w:val="24"/>
    </w:rPr>
  </w:style>
  <w:style w:type="paragraph" w:customStyle="1" w:styleId="HeaderandFooter">
    <w:name w:val="Header and Footer"/>
    <w:basedOn w:val="Normal"/>
    <w:qFormat/>
    <w:rsid w:val="00CF335F"/>
  </w:style>
  <w:style w:type="paragraph" w:styleId="Header">
    <w:name w:val="header"/>
    <w:basedOn w:val="Normal"/>
    <w:link w:val="HeaderChar"/>
    <w:uiPriority w:val="99"/>
    <w:unhideWhenUsed/>
    <w:rsid w:val="001F3B66"/>
    <w:pPr>
      <w:tabs>
        <w:tab w:val="center" w:pos="4680"/>
        <w:tab w:val="right" w:pos="9360"/>
      </w:tabs>
      <w:spacing w:after="0" w:line="240" w:lineRule="auto"/>
    </w:pPr>
  </w:style>
  <w:style w:type="paragraph" w:styleId="Footer">
    <w:name w:val="footer"/>
    <w:basedOn w:val="Normal"/>
    <w:link w:val="FooterChar"/>
    <w:uiPriority w:val="99"/>
    <w:unhideWhenUsed/>
    <w:rsid w:val="001F3B66"/>
    <w:pPr>
      <w:tabs>
        <w:tab w:val="center" w:pos="4680"/>
        <w:tab w:val="right" w:pos="9360"/>
      </w:tabs>
      <w:spacing w:after="0" w:line="240" w:lineRule="auto"/>
    </w:pPr>
  </w:style>
  <w:style w:type="paragraph" w:styleId="BalloonText">
    <w:name w:val="Balloon Text"/>
    <w:basedOn w:val="Normal"/>
    <w:link w:val="BalloonTextChar"/>
    <w:uiPriority w:val="99"/>
    <w:semiHidden/>
    <w:unhideWhenUsed/>
    <w:qFormat/>
    <w:rsid w:val="00884DED"/>
    <w:pPr>
      <w:spacing w:after="0" w:line="240" w:lineRule="auto"/>
    </w:pPr>
    <w:rPr>
      <w:rFonts w:ascii="Segoe UI" w:hAnsi="Segoe UI" w:cs="Segoe UI"/>
      <w:sz w:val="18"/>
      <w:szCs w:val="18"/>
    </w:rPr>
  </w:style>
  <w:style w:type="paragraph" w:styleId="ListParagraph">
    <w:name w:val="List Paragraph"/>
    <w:basedOn w:val="Normal"/>
    <w:uiPriority w:val="34"/>
    <w:qFormat/>
    <w:rsid w:val="007C7328"/>
    <w:pPr>
      <w:ind w:left="720"/>
      <w:contextualSpacing/>
    </w:pPr>
  </w:style>
  <w:style w:type="table" w:styleId="TableGrid">
    <w:name w:val="Table Grid"/>
    <w:basedOn w:val="TableNormal"/>
    <w:uiPriority w:val="39"/>
    <w:rsid w:val="005A56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
    <w:name w:val="Plain Table 31"/>
    <w:basedOn w:val="TableNormal"/>
    <w:uiPriority w:val="43"/>
    <w:rsid w:val="00B3206B"/>
    <w:tblPr>
      <w:tblStyleRowBandSize w:val="1"/>
      <w:tblStyleColBandSize w:val="1"/>
    </w:tblPr>
    <w:tblStylePr w:type="firstRow">
      <w:rPr>
        <w:b/>
        <w:bCs/>
        <w:caps/>
      </w:rPr>
      <w:tblPr/>
      <w:tcPr>
        <w:tcBorders>
          <w:bottom w:val="single" w:sz="4" w:space="0" w:color="000000" w:themeColor="text1"/>
        </w:tcBorders>
      </w:tcPr>
    </w:tblStylePr>
    <w:tblStylePr w:type="lastRow">
      <w:rPr>
        <w:b/>
        <w:bCs/>
        <w:caps/>
      </w:rPr>
      <w:tblPr/>
      <w:tcPr>
        <w:tcBorders>
          <w:top w:val="nil"/>
        </w:tcBorders>
      </w:tcPr>
    </w:tblStylePr>
    <w:tblStylePr w:type="firstCol">
      <w:rPr>
        <w:b/>
        <w:bCs/>
        <w:caps/>
      </w:rPr>
      <w:tblPr/>
      <w:tcPr>
        <w:tcBorders>
          <w:right w:val="single" w:sz="4" w:space="0" w:color="000000" w:themeColor="text1"/>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51">
    <w:name w:val="Plain Table 51"/>
    <w:basedOn w:val="TableNormal"/>
    <w:uiPriority w:val="45"/>
    <w:rsid w:val="00B3206B"/>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sz w:val="26"/>
      </w:rPr>
      <w:tblPr/>
      <w:tcPr>
        <w:tcBorders>
          <w:left w:val="single" w:sz="4" w:space="0" w:color="000000" w:themeColor="text1"/>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Accent31">
    <w:name w:val="Grid Table 1 Light - Accent 31"/>
    <w:basedOn w:val="TableNormal"/>
    <w:uiPriority w:val="46"/>
    <w:rsid w:val="00B3206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A5A5A5" w:themeColor="accent3"/>
        </w:tcBorders>
      </w:tcPr>
    </w:tblStylePr>
    <w:tblStylePr w:type="lastRow">
      <w:rPr>
        <w:b/>
        <w:bCs/>
      </w:rPr>
      <w:tblPr/>
      <w:tcPr>
        <w:tcBorders>
          <w:top w:val="double" w:sz="2" w:space="0" w:color="A5A5A5" w:themeColor="accent3"/>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2135</Words>
  <Characters>12173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14280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alieu a marong</dc:creator>
  <cp:lastModifiedBy>jainabajum@gmail.com</cp:lastModifiedBy>
  <cp:revision>41</cp:revision>
  <dcterms:created xsi:type="dcterms:W3CDTF">2021-01-03T20:25:00Z</dcterms:created>
  <dcterms:modified xsi:type="dcterms:W3CDTF">2021-01-05T20:53:00Z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by adguard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