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5513" w:rsidRDefault="00EF5513" w:rsidP="00EF5513">
      <w:pPr>
        <w:rPr>
          <w:rFonts w:ascii="Times New Roman" w:hAnsi="Times New Roman"/>
          <w:b/>
          <w:sz w:val="24"/>
        </w:rPr>
      </w:pPr>
      <w:r>
        <w:rPr>
          <w:rFonts w:ascii="Times New Roman" w:hAnsi="Times New Roman"/>
          <w:b/>
          <w:sz w:val="24"/>
        </w:rPr>
        <w:t xml:space="preserve">Problem Set </w:t>
      </w:r>
      <w:r w:rsidR="000264AA">
        <w:rPr>
          <w:rFonts w:ascii="Times New Roman" w:hAnsi="Times New Roman"/>
          <w:b/>
          <w:sz w:val="24"/>
        </w:rPr>
        <w:t>10</w:t>
      </w:r>
      <w:bookmarkStart w:id="0" w:name="_GoBack"/>
      <w:bookmarkEnd w:id="0"/>
    </w:p>
    <w:p w:rsidR="00EF5513" w:rsidRDefault="00EF5513" w:rsidP="00EF5513">
      <w:pPr>
        <w:rPr>
          <w:rFonts w:ascii="Times New Roman" w:hAnsi="Times New Roman"/>
          <w:sz w:val="24"/>
        </w:rPr>
      </w:pPr>
      <w:r>
        <w:rPr>
          <w:rFonts w:ascii="Times New Roman" w:hAnsi="Times New Roman"/>
          <w:b/>
          <w:sz w:val="24"/>
        </w:rPr>
        <w:t>SOLUTIONS</w:t>
      </w:r>
    </w:p>
    <w:p w:rsidR="00EF5513" w:rsidRDefault="00EF5513" w:rsidP="00EF5513">
      <w:pPr>
        <w:rPr>
          <w:rFonts w:ascii="Times New Roman" w:hAnsi="Times New Roman"/>
          <w:b/>
          <w:sz w:val="24"/>
        </w:rPr>
      </w:pPr>
    </w:p>
    <w:p w:rsidR="00EF5513" w:rsidRDefault="00EF5513" w:rsidP="00EF5513">
      <w:pPr>
        <w:rPr>
          <w:rFonts w:ascii="Times New Roman" w:hAnsi="Times New Roman"/>
          <w:b/>
          <w:sz w:val="24"/>
        </w:rPr>
      </w:pPr>
      <w:r>
        <w:rPr>
          <w:rFonts w:ascii="Times New Roman" w:hAnsi="Times New Roman"/>
          <w:b/>
          <w:sz w:val="24"/>
        </w:rPr>
        <w:t>Multiple Choice</w:t>
      </w:r>
    </w:p>
    <w:p w:rsidR="00EF5513" w:rsidRDefault="00EF5513" w:rsidP="00EF5513">
      <w:pPr>
        <w:tabs>
          <w:tab w:val="left" w:pos="720"/>
        </w:tabs>
        <w:ind w:left="1440" w:hanging="1440"/>
        <w:rPr>
          <w:rFonts w:ascii="Times New Roman" w:hAnsi="Times New Roman"/>
          <w:sz w:val="24"/>
        </w:rPr>
      </w:pP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w:t>
      </w:r>
      <w:r>
        <w:rPr>
          <w:rFonts w:ascii="Times New Roman" w:hAnsi="Times New Roman"/>
          <w:sz w:val="24"/>
        </w:rPr>
        <w:tab/>
        <w:t>c</w:t>
      </w:r>
      <w:r>
        <w:rPr>
          <w:rFonts w:ascii="Times New Roman" w:hAnsi="Times New Roman"/>
          <w:sz w:val="24"/>
        </w:rPr>
        <w:tab/>
      </w:r>
      <w:proofErr w:type="gramStart"/>
      <w:r>
        <w:rPr>
          <w:rFonts w:ascii="Times New Roman" w:hAnsi="Times New Roman"/>
          <w:sz w:val="24"/>
        </w:rPr>
        <w:t>The</w:t>
      </w:r>
      <w:proofErr w:type="gramEnd"/>
      <w:r>
        <w:rPr>
          <w:rFonts w:ascii="Times New Roman" w:hAnsi="Times New Roman"/>
          <w:sz w:val="24"/>
        </w:rPr>
        <w:t xml:space="preserve"> three causes of market failure are monopoly power, externalities, and lack of information.</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M2</w:t>
      </w:r>
      <w:r>
        <w:rPr>
          <w:rFonts w:ascii="Times New Roman" w:hAnsi="Times New Roman"/>
          <w:sz w:val="24"/>
        </w:rPr>
        <w:tab/>
        <w:t>e</w:t>
      </w:r>
      <w:r>
        <w:rPr>
          <w:rFonts w:ascii="Times New Roman" w:hAnsi="Times New Roman"/>
          <w:sz w:val="24"/>
        </w:rPr>
        <w:tab/>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M3</w:t>
      </w:r>
      <w:r>
        <w:rPr>
          <w:rFonts w:ascii="Times New Roman" w:hAnsi="Times New Roman"/>
          <w:sz w:val="24"/>
        </w:rPr>
        <w:tab/>
        <w:t>b</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M4</w:t>
      </w:r>
      <w:r>
        <w:rPr>
          <w:rFonts w:ascii="Times New Roman" w:hAnsi="Times New Roman"/>
          <w:sz w:val="24"/>
        </w:rPr>
        <w:tab/>
        <w:t>e</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M5</w:t>
      </w:r>
      <w:r>
        <w:rPr>
          <w:rFonts w:ascii="Times New Roman" w:hAnsi="Times New Roman"/>
          <w:sz w:val="24"/>
        </w:rPr>
        <w:tab/>
        <w:t>e</w:t>
      </w:r>
      <w:r>
        <w:rPr>
          <w:rFonts w:ascii="Times New Roman" w:hAnsi="Times New Roman"/>
          <w:sz w:val="24"/>
        </w:rPr>
        <w:tab/>
        <w:t>If only private costs are included, total costs are understated. This leads to understated prices and overproduction.</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M6</w:t>
      </w:r>
      <w:r>
        <w:rPr>
          <w:rFonts w:ascii="Times New Roman" w:hAnsi="Times New Roman"/>
          <w:sz w:val="24"/>
        </w:rPr>
        <w:tab/>
        <w:t>a</w:t>
      </w:r>
      <w:r>
        <w:rPr>
          <w:rFonts w:ascii="Times New Roman" w:hAnsi="Times New Roman"/>
          <w:sz w:val="24"/>
        </w:rPr>
        <w:tab/>
        <w:t>Taxing externalities is one way of making firms internalize external costs.</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M7</w:t>
      </w:r>
      <w:r>
        <w:rPr>
          <w:rFonts w:ascii="Times New Roman" w:hAnsi="Times New Roman"/>
          <w:sz w:val="24"/>
        </w:rPr>
        <w:tab/>
        <w:t>b</w:t>
      </w:r>
      <w:r>
        <w:rPr>
          <w:rFonts w:ascii="Times New Roman" w:hAnsi="Times New Roman"/>
          <w:sz w:val="24"/>
        </w:rPr>
        <w:tab/>
        <w:t>Increased cost leads to higher prices and less output.</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M8</w:t>
      </w:r>
      <w:r>
        <w:rPr>
          <w:rFonts w:ascii="Times New Roman" w:hAnsi="Times New Roman"/>
          <w:sz w:val="24"/>
        </w:rPr>
        <w:tab/>
        <w:t>c</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M9</w:t>
      </w:r>
      <w:r>
        <w:rPr>
          <w:rFonts w:ascii="Times New Roman" w:hAnsi="Times New Roman"/>
          <w:sz w:val="24"/>
        </w:rPr>
        <w:tab/>
        <w:t>d</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M10</w:t>
      </w:r>
      <w:r>
        <w:rPr>
          <w:rFonts w:ascii="Times New Roman" w:hAnsi="Times New Roman"/>
          <w:sz w:val="24"/>
        </w:rPr>
        <w:tab/>
        <w:t>d</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M11</w:t>
      </w:r>
      <w:r>
        <w:rPr>
          <w:rFonts w:ascii="Times New Roman" w:hAnsi="Times New Roman"/>
          <w:sz w:val="24"/>
        </w:rPr>
        <w:tab/>
        <w:t>c</w:t>
      </w:r>
      <w:r>
        <w:rPr>
          <w:rFonts w:ascii="Times New Roman" w:hAnsi="Times New Roman"/>
          <w:sz w:val="24"/>
        </w:rPr>
        <w:tab/>
      </w:r>
      <w:proofErr w:type="gramStart"/>
      <w:r>
        <w:rPr>
          <w:rFonts w:ascii="Times New Roman" w:hAnsi="Times New Roman"/>
          <w:sz w:val="24"/>
        </w:rPr>
        <w:t>This</w:t>
      </w:r>
      <w:proofErr w:type="gramEnd"/>
      <w:r>
        <w:rPr>
          <w:rFonts w:ascii="Times New Roman" w:hAnsi="Times New Roman"/>
          <w:sz w:val="24"/>
        </w:rPr>
        <w:t xml:space="preserve"> is the definition of a public good.</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M12</w:t>
      </w:r>
      <w:r>
        <w:rPr>
          <w:rFonts w:ascii="Times New Roman" w:hAnsi="Times New Roman"/>
          <w:sz w:val="24"/>
        </w:rPr>
        <w:tab/>
        <w:t>b</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M13</w:t>
      </w:r>
      <w:r>
        <w:rPr>
          <w:rFonts w:ascii="Times New Roman" w:hAnsi="Times New Roman"/>
          <w:sz w:val="24"/>
        </w:rPr>
        <w:tab/>
        <w:t>c</w:t>
      </w:r>
      <w:r>
        <w:rPr>
          <w:rFonts w:ascii="Times New Roman" w:hAnsi="Times New Roman"/>
          <w:sz w:val="24"/>
        </w:rPr>
        <w:tab/>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M14</w:t>
      </w:r>
      <w:r>
        <w:rPr>
          <w:rFonts w:ascii="Times New Roman" w:hAnsi="Times New Roman"/>
          <w:sz w:val="24"/>
        </w:rPr>
        <w:tab/>
        <w:t>d</w:t>
      </w:r>
      <w:r>
        <w:rPr>
          <w:rFonts w:ascii="Times New Roman" w:hAnsi="Times New Roman"/>
          <w:sz w:val="24"/>
        </w:rPr>
        <w:tab/>
        <w:t>Benefit-cost analysis is suitable for evaluating virtually any government project or regulation, even if benefits and costs are uncertain.</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M15</w:t>
      </w:r>
      <w:r>
        <w:rPr>
          <w:rFonts w:ascii="Times New Roman" w:hAnsi="Times New Roman"/>
          <w:sz w:val="24"/>
        </w:rPr>
        <w:tab/>
        <w:t>a</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M16</w:t>
      </w:r>
      <w:r>
        <w:rPr>
          <w:rFonts w:ascii="Times New Roman" w:hAnsi="Times New Roman"/>
          <w:sz w:val="24"/>
        </w:rPr>
        <w:tab/>
        <w:t>a</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M17</w:t>
      </w:r>
      <w:r>
        <w:rPr>
          <w:rFonts w:ascii="Times New Roman" w:hAnsi="Times New Roman"/>
          <w:sz w:val="24"/>
        </w:rPr>
        <w:tab/>
        <w:t>e</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M18</w:t>
      </w:r>
      <w:r>
        <w:rPr>
          <w:rFonts w:ascii="Times New Roman" w:hAnsi="Times New Roman"/>
          <w:sz w:val="24"/>
        </w:rPr>
        <w:tab/>
        <w:t>b</w:t>
      </w:r>
      <w:r>
        <w:rPr>
          <w:rFonts w:ascii="Times New Roman" w:hAnsi="Times New Roman"/>
          <w:sz w:val="24"/>
        </w:rPr>
        <w:tab/>
        <w:t xml:space="preserve">The city’s gain lists $10 million in </w:t>
      </w:r>
      <w:proofErr w:type="gramStart"/>
      <w:r>
        <w:rPr>
          <w:rFonts w:ascii="Times New Roman" w:hAnsi="Times New Roman"/>
          <w:sz w:val="24"/>
        </w:rPr>
        <w:t>taxes  --</w:t>
      </w:r>
      <w:proofErr w:type="gramEnd"/>
      <w:r>
        <w:rPr>
          <w:rFonts w:ascii="Times New Roman" w:hAnsi="Times New Roman"/>
          <w:sz w:val="24"/>
        </w:rPr>
        <w:t xml:space="preserve"> a transfer that should not be included.  Thus, the net benefit is: (25 –10) + 30 + 40 – 12 = $73 million.</w:t>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M19</w:t>
      </w:r>
      <w:r>
        <w:rPr>
          <w:rFonts w:ascii="Times New Roman" w:hAnsi="Times New Roman"/>
          <w:sz w:val="24"/>
        </w:rPr>
        <w:tab/>
        <w:t>d</w:t>
      </w:r>
      <w:r>
        <w:rPr>
          <w:rFonts w:ascii="Times New Roman" w:hAnsi="Times New Roman"/>
          <w:sz w:val="24"/>
        </w:rPr>
        <w:tab/>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M20</w:t>
      </w:r>
      <w:r>
        <w:rPr>
          <w:rFonts w:ascii="Times New Roman" w:hAnsi="Times New Roman"/>
          <w:sz w:val="24"/>
        </w:rPr>
        <w:tab/>
        <w:t>d</w:t>
      </w:r>
      <w:r>
        <w:rPr>
          <w:rFonts w:ascii="Times New Roman" w:hAnsi="Times New Roman"/>
          <w:sz w:val="24"/>
        </w:rPr>
        <w:tab/>
      </w:r>
    </w:p>
    <w:p w:rsidR="00EF5513" w:rsidRDefault="00EF5513" w:rsidP="00EF5513">
      <w:pPr>
        <w:tabs>
          <w:tab w:val="left" w:pos="720"/>
        </w:tabs>
        <w:ind w:left="1440" w:hanging="1440"/>
        <w:rPr>
          <w:rFonts w:ascii="Times New Roman" w:hAnsi="Times New Roman"/>
          <w:sz w:val="24"/>
        </w:rPr>
      </w:pPr>
      <w:r>
        <w:rPr>
          <w:rFonts w:ascii="Times New Roman" w:hAnsi="Times New Roman"/>
          <w:sz w:val="24"/>
        </w:rPr>
        <w:t>M21</w:t>
      </w:r>
      <w:r>
        <w:rPr>
          <w:rFonts w:ascii="Times New Roman" w:hAnsi="Times New Roman"/>
          <w:sz w:val="24"/>
        </w:rPr>
        <w:tab/>
        <w:t>c</w:t>
      </w:r>
      <w:r>
        <w:rPr>
          <w:rFonts w:ascii="Times New Roman" w:hAnsi="Times New Roman"/>
          <w:sz w:val="24"/>
        </w:rPr>
        <w:tab/>
      </w:r>
    </w:p>
    <w:p w:rsidR="00EF5513" w:rsidRDefault="00EF5513" w:rsidP="00EF5513">
      <w:pPr>
        <w:pStyle w:val="BodyTextIndent"/>
      </w:pPr>
      <w:r>
        <w:t>M22</w:t>
      </w:r>
      <w:r>
        <w:tab/>
        <w:t>e</w:t>
      </w:r>
      <w:r>
        <w:tab/>
      </w:r>
      <w:proofErr w:type="gramStart"/>
      <w:r>
        <w:t>When</w:t>
      </w:r>
      <w:proofErr w:type="gramEnd"/>
      <w:r>
        <w:t xml:space="preserve"> market prices are lacking, values are imputed using these two methods.</w:t>
      </w:r>
    </w:p>
    <w:p w:rsidR="00EF5513" w:rsidRDefault="00EF5513" w:rsidP="00EF5513">
      <w:pPr>
        <w:tabs>
          <w:tab w:val="left" w:pos="720"/>
        </w:tabs>
        <w:rPr>
          <w:rFonts w:ascii="Times New Roman" w:hAnsi="Times New Roman"/>
          <w:sz w:val="24"/>
        </w:rPr>
      </w:pPr>
    </w:p>
    <w:p w:rsidR="00EF5513" w:rsidRDefault="00EF5513" w:rsidP="00EF5513">
      <w:pPr>
        <w:rPr>
          <w:rFonts w:ascii="Times New Roman" w:hAnsi="Times New Roman"/>
          <w:b/>
          <w:sz w:val="24"/>
        </w:rPr>
      </w:pPr>
    </w:p>
    <w:p w:rsidR="00EF5513" w:rsidRDefault="00EF5513" w:rsidP="00EF5513">
      <w:pPr>
        <w:rPr>
          <w:rFonts w:ascii="Times New Roman" w:hAnsi="Times New Roman"/>
          <w:b/>
          <w:sz w:val="24"/>
        </w:rPr>
      </w:pPr>
      <w:r>
        <w:rPr>
          <w:rFonts w:ascii="Times New Roman" w:hAnsi="Times New Roman"/>
          <w:b/>
          <w:sz w:val="24"/>
        </w:rPr>
        <w:t>Short Problems and Questions</w:t>
      </w:r>
    </w:p>
    <w:p w:rsidR="00EF5513" w:rsidRDefault="00EF5513" w:rsidP="00EF5513">
      <w:pPr>
        <w:rPr>
          <w:rFonts w:ascii="Times New Roman" w:hAnsi="Times New Roman"/>
          <w:sz w:val="24"/>
        </w:rPr>
      </w:pPr>
    </w:p>
    <w:p w:rsidR="00EF5513" w:rsidRDefault="00EF5513" w:rsidP="00EF5513">
      <w:pPr>
        <w:pStyle w:val="BodyTextIndent"/>
        <w:tabs>
          <w:tab w:val="left" w:pos="2160"/>
          <w:tab w:val="left" w:pos="2880"/>
        </w:tabs>
      </w:pPr>
      <w:r>
        <w:t>S1</w:t>
      </w:r>
      <w:r>
        <w:tab/>
        <w:t>a.</w:t>
      </w:r>
      <w:r>
        <w:tab/>
        <w:t xml:space="preserve">A decrease in demand shifts the demand curve inward resulting in lower price and lower output. As a result consumer surplus and the food court’s pizza profits both decline. </w:t>
      </w: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ab/>
        <w:t>b.</w:t>
      </w:r>
      <w:r>
        <w:rPr>
          <w:rFonts w:ascii="Times New Roman" w:hAnsi="Times New Roman"/>
          <w:sz w:val="24"/>
        </w:rPr>
        <w:tab/>
        <w:t>In turn, an increase in the wages of students would shift the supply curve upward causing price to increase and pizza sales to decrease. For both reasons, consumer surplus would decrease. Typically pizza profits decline as well.</w:t>
      </w:r>
    </w:p>
    <w:p w:rsidR="00EF5513" w:rsidRDefault="00EF5513" w:rsidP="00EF5513">
      <w:pPr>
        <w:pStyle w:val="BodyTextIndent2"/>
        <w:ind w:left="0" w:firstLine="0"/>
      </w:pPr>
    </w:p>
    <w:p w:rsidR="00EF5513" w:rsidRDefault="00EF5513" w:rsidP="00EF5513">
      <w:pPr>
        <w:pStyle w:val="BodyTextIndent2"/>
        <w:ind w:left="0" w:firstLine="0"/>
      </w:pPr>
      <w:r>
        <w:t>S2</w:t>
      </w:r>
      <w:r>
        <w:tab/>
        <w:t xml:space="preserve">The monopoly price and output are found by setting MR = MC.  The price equation is: </w:t>
      </w:r>
    </w:p>
    <w:p w:rsidR="00EF5513" w:rsidRDefault="00EF5513" w:rsidP="00EF5513">
      <w:pPr>
        <w:pStyle w:val="BodyTextIndent2"/>
        <w:ind w:firstLine="0"/>
      </w:pPr>
      <w:r>
        <w:t>P = 15 -.5Q, implying MR = 15 – Q. The firm’s MC is $5. Thus, we have 15 - Q = 5, implying: Q</w:t>
      </w:r>
      <w:r>
        <w:rPr>
          <w:vertAlign w:val="subscript"/>
        </w:rPr>
        <w:t>M</w:t>
      </w:r>
      <w:r>
        <w:t xml:space="preserve"> = 10 and P</w:t>
      </w:r>
      <w:r>
        <w:rPr>
          <w:vertAlign w:val="subscript"/>
        </w:rPr>
        <w:t>M</w:t>
      </w:r>
      <w:r>
        <w:t xml:space="preserve"> = 15 – (.5</w:t>
      </w:r>
      <w:proofErr w:type="gramStart"/>
      <w:r>
        <w:t>)(</w:t>
      </w:r>
      <w:proofErr w:type="gramEnd"/>
      <w:r>
        <w:t>10) = $10.</w:t>
      </w:r>
    </w:p>
    <w:p w:rsidR="00EF5513" w:rsidRDefault="00EF5513" w:rsidP="00EF5513">
      <w:pPr>
        <w:tabs>
          <w:tab w:val="left" w:pos="720"/>
          <w:tab w:val="left" w:pos="2160"/>
          <w:tab w:val="left" w:pos="2880"/>
        </w:tabs>
        <w:ind w:left="720" w:right="-90" w:hanging="720"/>
        <w:rPr>
          <w:rFonts w:ascii="Times New Roman" w:hAnsi="Times New Roman"/>
          <w:sz w:val="24"/>
        </w:rPr>
      </w:pPr>
      <w:r>
        <w:rPr>
          <w:rFonts w:ascii="Times New Roman" w:hAnsi="Times New Roman"/>
          <w:sz w:val="24"/>
        </w:rPr>
        <w:tab/>
        <w:t xml:space="preserve">        The competitive price is found by setting price equal to marginal cost: P = MC = $5 and so Q</w:t>
      </w:r>
      <w:r>
        <w:rPr>
          <w:rFonts w:ascii="Times New Roman" w:hAnsi="Times New Roman"/>
          <w:sz w:val="24"/>
          <w:vertAlign w:val="subscript"/>
        </w:rPr>
        <w:t>C</w:t>
      </w:r>
      <w:r>
        <w:rPr>
          <w:rFonts w:ascii="Times New Roman" w:hAnsi="Times New Roman"/>
          <w:sz w:val="24"/>
        </w:rPr>
        <w:t xml:space="preserve"> = 20. As always, price is greater (and output is lower) under monopoly relative to perfect competition. Deadweight loss is: (.5</w:t>
      </w:r>
      <w:proofErr w:type="gramStart"/>
      <w:r>
        <w:rPr>
          <w:rFonts w:ascii="Times New Roman" w:hAnsi="Times New Roman"/>
          <w:sz w:val="24"/>
        </w:rPr>
        <w:t>)(</w:t>
      </w:r>
      <w:proofErr w:type="gramEnd"/>
      <w:r>
        <w:rPr>
          <w:rFonts w:ascii="Times New Roman" w:hAnsi="Times New Roman"/>
          <w:sz w:val="24"/>
        </w:rPr>
        <w:t>P</w:t>
      </w:r>
      <w:r>
        <w:rPr>
          <w:rFonts w:ascii="Times New Roman" w:hAnsi="Times New Roman"/>
          <w:sz w:val="24"/>
          <w:vertAlign w:val="subscript"/>
        </w:rPr>
        <w:t>M</w:t>
      </w:r>
      <w:r>
        <w:rPr>
          <w:rFonts w:ascii="Times New Roman" w:hAnsi="Times New Roman"/>
          <w:sz w:val="24"/>
        </w:rPr>
        <w:t xml:space="preserve"> – P</w:t>
      </w:r>
      <w:r>
        <w:rPr>
          <w:rFonts w:ascii="Times New Roman" w:hAnsi="Times New Roman"/>
          <w:sz w:val="24"/>
          <w:vertAlign w:val="subscript"/>
        </w:rPr>
        <w:t>C</w:t>
      </w:r>
      <w:r>
        <w:rPr>
          <w:rFonts w:ascii="Times New Roman" w:hAnsi="Times New Roman"/>
          <w:sz w:val="24"/>
        </w:rPr>
        <w:t>)(Q</w:t>
      </w:r>
      <w:r>
        <w:rPr>
          <w:rFonts w:ascii="Times New Roman" w:hAnsi="Times New Roman"/>
          <w:sz w:val="24"/>
          <w:vertAlign w:val="subscript"/>
        </w:rPr>
        <w:t>C</w:t>
      </w:r>
      <w:r>
        <w:rPr>
          <w:rFonts w:ascii="Times New Roman" w:hAnsi="Times New Roman"/>
          <w:sz w:val="24"/>
        </w:rPr>
        <w:t xml:space="preserve"> – Q</w:t>
      </w:r>
      <w:r>
        <w:rPr>
          <w:rFonts w:ascii="Times New Roman" w:hAnsi="Times New Roman"/>
          <w:sz w:val="24"/>
          <w:vertAlign w:val="subscript"/>
        </w:rPr>
        <w:t>M</w:t>
      </w:r>
      <w:r>
        <w:rPr>
          <w:rFonts w:ascii="Times New Roman" w:hAnsi="Times New Roman"/>
          <w:sz w:val="24"/>
        </w:rPr>
        <w:t>) = (.5)(10 – 5)(20 – 10) = $25.</w:t>
      </w:r>
    </w:p>
    <w:p w:rsidR="00EF5513" w:rsidRDefault="00EF5513" w:rsidP="00EF5513">
      <w:pPr>
        <w:tabs>
          <w:tab w:val="left" w:pos="720"/>
          <w:tab w:val="left" w:pos="2160"/>
          <w:tab w:val="left" w:pos="2880"/>
        </w:tabs>
        <w:ind w:left="1440" w:hanging="1440"/>
        <w:rPr>
          <w:rFonts w:ascii="Times New Roman" w:hAnsi="Times New Roman"/>
          <w:sz w:val="24"/>
        </w:rPr>
      </w:pPr>
    </w:p>
    <w:p w:rsidR="00EF5513" w:rsidRDefault="00EF5513" w:rsidP="00EF5513">
      <w:pPr>
        <w:pStyle w:val="BodyTextIndent"/>
        <w:tabs>
          <w:tab w:val="left" w:pos="2160"/>
          <w:tab w:val="left" w:pos="2880"/>
        </w:tabs>
      </w:pPr>
      <w:r>
        <w:t>S3</w:t>
      </w:r>
      <w:r>
        <w:tab/>
        <w:t>a.</w:t>
      </w:r>
      <w:r>
        <w:tab/>
        <w:t>The competitive price does not include the MC of pollution. In this sense, the competitive price is too low and, therefore, the competitive output is too large. Including the estimated marginal cost of the pollution raises the full MC of the acid to: $10 + $50 = $60. This is the socially efficient price.</w:t>
      </w:r>
    </w:p>
    <w:p w:rsidR="00EF5513" w:rsidRDefault="00EF5513" w:rsidP="00EF5513">
      <w:pPr>
        <w:tabs>
          <w:tab w:val="left" w:pos="720"/>
          <w:tab w:val="left" w:pos="2160"/>
          <w:tab w:val="left" w:pos="2880"/>
        </w:tabs>
        <w:ind w:left="1440" w:right="-90" w:hanging="1440"/>
        <w:rPr>
          <w:rFonts w:ascii="Times New Roman" w:hAnsi="Times New Roman"/>
          <w:sz w:val="24"/>
        </w:rPr>
      </w:pPr>
      <w:r>
        <w:rPr>
          <w:rFonts w:ascii="Times New Roman" w:hAnsi="Times New Roman"/>
          <w:sz w:val="24"/>
        </w:rPr>
        <w:tab/>
        <w:t>b.</w:t>
      </w:r>
      <w:r>
        <w:rPr>
          <w:rFonts w:ascii="Times New Roman" w:hAnsi="Times New Roman"/>
          <w:sz w:val="24"/>
        </w:rPr>
        <w:tab/>
        <w:t>A tax on producers of $10 per barrel (the economic cost of the externality) would make the firms internalize the entire added cost. The market supply curve would shift upward by exactly $10, so that the competitive market would now arrive at the “right” $60 price. The resulting lower level of output at this price is socially efficient.</w:t>
      </w:r>
    </w:p>
    <w:p w:rsidR="00EF5513" w:rsidRDefault="00EF5513" w:rsidP="00EF5513">
      <w:pPr>
        <w:tabs>
          <w:tab w:val="left" w:pos="720"/>
          <w:tab w:val="left" w:pos="2160"/>
          <w:tab w:val="left" w:pos="2880"/>
        </w:tabs>
        <w:ind w:left="1440" w:right="-90" w:hanging="1440"/>
        <w:rPr>
          <w:rFonts w:ascii="Times New Roman" w:hAnsi="Times New Roman"/>
          <w:sz w:val="24"/>
        </w:rPr>
      </w:pPr>
    </w:p>
    <w:p w:rsidR="00EF5513" w:rsidRDefault="00EF5513" w:rsidP="00EF5513">
      <w:pPr>
        <w:tabs>
          <w:tab w:val="left" w:pos="720"/>
          <w:tab w:val="left" w:pos="2160"/>
          <w:tab w:val="left" w:pos="2880"/>
        </w:tabs>
        <w:ind w:left="720" w:hanging="720"/>
        <w:rPr>
          <w:rFonts w:ascii="Times New Roman" w:hAnsi="Times New Roman"/>
          <w:sz w:val="24"/>
        </w:rPr>
      </w:pPr>
      <w:r>
        <w:rPr>
          <w:rFonts w:ascii="Times New Roman" w:hAnsi="Times New Roman"/>
          <w:sz w:val="24"/>
        </w:rPr>
        <w:t>S4</w:t>
      </w:r>
      <w:r>
        <w:rPr>
          <w:rFonts w:ascii="Times New Roman" w:hAnsi="Times New Roman"/>
          <w:sz w:val="24"/>
        </w:rPr>
        <w:tab/>
        <w:t>Though the scrubber passes the benefit cost test (the benefit from eliminating the externality exceeds the cleanup cost), it is not the most efficient regulatory response. Setting a tax, t = MRC = $1.00, allows firms to most cost effectively respond to the tax. For instance, re-engineering the production process might be more cost effective (eliminating the pollution at, say a $.50 per unit cost).</w:t>
      </w:r>
    </w:p>
    <w:p w:rsidR="00EF5513" w:rsidRDefault="00EF5513" w:rsidP="00EF5513">
      <w:pPr>
        <w:ind w:left="720" w:hanging="720"/>
        <w:rPr>
          <w:rFonts w:ascii="Times New Roman" w:hAnsi="Times New Roman"/>
          <w:sz w:val="24"/>
        </w:rPr>
      </w:pPr>
    </w:p>
    <w:p w:rsidR="00EF5513" w:rsidRDefault="00EF5513" w:rsidP="00EF5513">
      <w:pPr>
        <w:ind w:left="720" w:hanging="720"/>
        <w:rPr>
          <w:rFonts w:ascii="Times New Roman" w:hAnsi="Times New Roman"/>
          <w:sz w:val="24"/>
        </w:rPr>
      </w:pPr>
      <w:r>
        <w:rPr>
          <w:rFonts w:ascii="Times New Roman" w:hAnsi="Times New Roman"/>
          <w:sz w:val="24"/>
        </w:rPr>
        <w:t>S5</w:t>
      </w:r>
      <w:r>
        <w:rPr>
          <w:rFonts w:ascii="Times New Roman" w:hAnsi="Times New Roman"/>
          <w:sz w:val="24"/>
        </w:rPr>
        <w:tab/>
        <w:t>A negative externality is a cost imposed by an economic activity on individuals not directly involved in the activity. A positive externality is a benefit provided by an economic activity for individuals not involved in the activity.</w:t>
      </w:r>
    </w:p>
    <w:p w:rsidR="00EF5513" w:rsidRDefault="00EF5513" w:rsidP="00EF5513">
      <w:pPr>
        <w:ind w:left="720" w:hanging="720"/>
        <w:rPr>
          <w:rFonts w:ascii="Times New Roman" w:hAnsi="Times New Roman"/>
          <w:sz w:val="24"/>
        </w:rPr>
      </w:pPr>
      <w:r>
        <w:rPr>
          <w:rFonts w:ascii="Times New Roman" w:hAnsi="Times New Roman"/>
          <w:sz w:val="24"/>
        </w:rPr>
        <w:tab/>
        <w:t xml:space="preserve">        Whether the externality is negative or positive, it causes an inefficient outcome. When the externality is negative, production is excessive and government should tax the externality. When the externality is positive, the good is under-produced and intervention may be needed (for example subsidies or tax credits) to induce increased levels of the activity generating the external benefit. Thus, regulation plays a role in remedying both positive and negative externalities.</w:t>
      </w:r>
    </w:p>
    <w:p w:rsidR="00EF5513" w:rsidRDefault="00EF5513" w:rsidP="00EF5513">
      <w:pPr>
        <w:pStyle w:val="BodyTextIndent2"/>
        <w:tabs>
          <w:tab w:val="clear" w:pos="1440"/>
        </w:tabs>
      </w:pPr>
      <w:r>
        <w:tab/>
      </w:r>
      <w:r>
        <w:tab/>
      </w:r>
      <w:r>
        <w:tab/>
      </w:r>
      <w:r>
        <w:tab/>
      </w:r>
    </w:p>
    <w:p w:rsidR="00EF5513" w:rsidRDefault="00EF5513" w:rsidP="00EF5513">
      <w:pPr>
        <w:pStyle w:val="BodyTextIndent2"/>
        <w:tabs>
          <w:tab w:val="clear" w:pos="1440"/>
        </w:tabs>
      </w:pPr>
      <w:r>
        <w:t>S6</w:t>
      </w:r>
      <w:r>
        <w:tab/>
        <w:t>If all consumers had perfect information, the demand curve facing a typical supplier would be horizontal (perfectly elastic). With half the consumers poorly informed, price differences could exist. A supplier’s price could be higher than the average in the market without losing all of his customers. Thus, the firm’s demand curve could be viewed as somewhat downward sloping.</w:t>
      </w:r>
    </w:p>
    <w:p w:rsidR="00EF5513" w:rsidRDefault="00EF5513" w:rsidP="00EF5513">
      <w:pPr>
        <w:pStyle w:val="BodyTextIndent2"/>
        <w:tabs>
          <w:tab w:val="clear" w:pos="1440"/>
          <w:tab w:val="left" w:pos="1080"/>
        </w:tabs>
        <w:ind w:firstLine="0"/>
      </w:pPr>
      <w:r>
        <w:tab/>
        <w:t>Presumably, word of mouth and informative advertising would spread the word about price and quality in this market. If such information were widely disseminated, government regulation would be unnecessary.</w:t>
      </w:r>
    </w:p>
    <w:p w:rsidR="00EF5513" w:rsidRDefault="00EF5513" w:rsidP="00EF5513">
      <w:pPr>
        <w:pStyle w:val="BodyTextIndent2"/>
        <w:tabs>
          <w:tab w:val="clear" w:pos="1440"/>
        </w:tabs>
      </w:pPr>
    </w:p>
    <w:p w:rsidR="00EF5513" w:rsidRDefault="00EF5513" w:rsidP="00EF5513">
      <w:pPr>
        <w:pStyle w:val="BodyTextIndent2"/>
        <w:tabs>
          <w:tab w:val="clear" w:pos="1440"/>
        </w:tabs>
      </w:pPr>
      <w:r>
        <w:t>S7</w:t>
      </w:r>
      <w:r>
        <w:tab/>
        <w:t xml:space="preserve">Generally, market prices signal the level of demand for goods and services. What and how much is provided depends on the prices that consumers are willing to pay. However, the market works efficiently only when the benefits of consumption are exclusively available to those who pay for the good. Pure public goods are non-exclusive. Once provided, the good is enjoyed simultaneously by </w:t>
      </w:r>
      <w:proofErr w:type="spellStart"/>
      <w:r>
        <w:t>every one</w:t>
      </w:r>
      <w:proofErr w:type="spellEnd"/>
      <w:r>
        <w:t xml:space="preserve">. </w:t>
      </w:r>
    </w:p>
    <w:p w:rsidR="00EF5513" w:rsidRDefault="00EF5513" w:rsidP="00EF5513">
      <w:pPr>
        <w:pStyle w:val="BodyTextIndent2"/>
        <w:tabs>
          <w:tab w:val="clear" w:pos="720"/>
          <w:tab w:val="clear" w:pos="1440"/>
          <w:tab w:val="left" w:pos="1170"/>
        </w:tabs>
      </w:pPr>
      <w:r>
        <w:tab/>
      </w:r>
      <w:r>
        <w:tab/>
        <w:t>The nonexclusive aspect of a public good causes problems. If, when provided, the good can be enjoyed by all, who should pay for the good? After all, each of us would like others to pay the cost. Hence, we have an incentive to understate our true benefit from the good, hoping to receive it for a low price or for free. Therefore, reported demand is minimal and the public good might be provided in low quantity or not all.</w:t>
      </w:r>
    </w:p>
    <w:p w:rsidR="00EF5513" w:rsidRDefault="00EF5513" w:rsidP="00EF5513">
      <w:pPr>
        <w:pStyle w:val="BodyTextIndent2"/>
        <w:tabs>
          <w:tab w:val="clear" w:pos="1440"/>
          <w:tab w:val="left" w:pos="1170"/>
        </w:tabs>
      </w:pPr>
      <w:r>
        <w:tab/>
      </w:r>
      <w:r>
        <w:tab/>
        <w:t xml:space="preserve">In principle, the efficient level of a pure public good is determined by summing (vertically) the marginal benefits of all affected parties, and setting the total </w:t>
      </w:r>
      <w:proofErr w:type="gramStart"/>
      <w:r>
        <w:t>marginal  benefit</w:t>
      </w:r>
      <w:proofErr w:type="gramEnd"/>
      <w:r>
        <w:t xml:space="preserve"> curve equal to the marginal cost of providing the good.</w:t>
      </w:r>
    </w:p>
    <w:p w:rsidR="00EF5513" w:rsidRDefault="00EF5513" w:rsidP="00EF5513">
      <w:pPr>
        <w:tabs>
          <w:tab w:val="left" w:pos="720"/>
          <w:tab w:val="left" w:pos="2160"/>
          <w:tab w:val="left" w:pos="2880"/>
        </w:tabs>
        <w:ind w:left="1440" w:hanging="1440"/>
        <w:rPr>
          <w:rFonts w:ascii="Times New Roman" w:hAnsi="Times New Roman"/>
          <w:sz w:val="24"/>
        </w:rPr>
      </w:pPr>
    </w:p>
    <w:p w:rsidR="00EF5513" w:rsidRDefault="00EF5513" w:rsidP="00EF5513">
      <w:pPr>
        <w:ind w:left="720" w:hanging="720"/>
        <w:rPr>
          <w:rFonts w:ascii="Times New Roman" w:hAnsi="Times New Roman"/>
          <w:sz w:val="24"/>
        </w:rPr>
      </w:pPr>
      <w:r>
        <w:rPr>
          <w:rFonts w:ascii="Times New Roman" w:hAnsi="Times New Roman"/>
          <w:sz w:val="24"/>
        </w:rPr>
        <w:t>S8</w:t>
      </w:r>
      <w:r>
        <w:rPr>
          <w:rFonts w:ascii="Times New Roman" w:hAnsi="Times New Roman"/>
          <w:sz w:val="24"/>
        </w:rPr>
        <w:tab/>
        <w:t>The claim is part of the “efficiency versus equity” debate surrounding benefit-cost analysis.  Several arguments support efficiency. First, efficiency and equity can be reconciled by having “gainers” compensate “losers.” An example of such compensation is payment for private property taken by the power of eminent domain.  Second, distribution or equity considerations are better addressed through tax or transfer arrangements. Finally, when benefit-cost analysis is applied across numerous projects, and only the most valuable programs are selected, benefits will even out across the population.</w:t>
      </w:r>
    </w:p>
    <w:p w:rsidR="00EF5513" w:rsidRDefault="00EF5513" w:rsidP="00EF5513">
      <w:pPr>
        <w:tabs>
          <w:tab w:val="left" w:pos="720"/>
          <w:tab w:val="left" w:pos="2160"/>
          <w:tab w:val="left" w:pos="2880"/>
        </w:tabs>
        <w:ind w:left="1440" w:hanging="1440"/>
        <w:rPr>
          <w:rFonts w:ascii="Times New Roman" w:hAnsi="Times New Roman"/>
          <w:b/>
          <w:sz w:val="24"/>
        </w:rPr>
      </w:pP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S9</w:t>
      </w:r>
      <w:r>
        <w:rPr>
          <w:rFonts w:ascii="Times New Roman" w:hAnsi="Times New Roman"/>
          <w:sz w:val="24"/>
        </w:rPr>
        <w:tab/>
        <w:t xml:space="preserve">The NPV of any of the programs can be computed from the formula: NPV = </w:t>
      </w:r>
      <w:proofErr w:type="gramStart"/>
      <w:r>
        <w:rPr>
          <w:rFonts w:ascii="Times New Roman" w:hAnsi="Times New Roman"/>
          <w:sz w:val="24"/>
        </w:rPr>
        <w:t>B/r</w:t>
      </w:r>
      <w:proofErr w:type="gramEnd"/>
      <w:r>
        <w:rPr>
          <w:rFonts w:ascii="Times New Roman" w:hAnsi="Times New Roman"/>
          <w:sz w:val="24"/>
        </w:rPr>
        <w:t>,</w:t>
      </w: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ab/>
      </w:r>
      <w:proofErr w:type="gramStart"/>
      <w:r>
        <w:rPr>
          <w:rFonts w:ascii="Times New Roman" w:hAnsi="Times New Roman"/>
          <w:sz w:val="24"/>
        </w:rPr>
        <w:t>where</w:t>
      </w:r>
      <w:proofErr w:type="gramEnd"/>
      <w:r>
        <w:rPr>
          <w:rFonts w:ascii="Times New Roman" w:hAnsi="Times New Roman"/>
          <w:sz w:val="24"/>
        </w:rPr>
        <w:t xml:space="preserve"> B is the constant annual benefit and r is the discount rate. Therefore,</w:t>
      </w:r>
    </w:p>
    <w:p w:rsidR="00EF5513" w:rsidRDefault="00EF5513" w:rsidP="00EF5513">
      <w:pPr>
        <w:tabs>
          <w:tab w:val="left" w:pos="720"/>
          <w:tab w:val="left" w:pos="2160"/>
          <w:tab w:val="left" w:pos="2880"/>
        </w:tabs>
        <w:rPr>
          <w:rFonts w:ascii="Times New Roman" w:hAnsi="Times New Roman"/>
          <w:sz w:val="24"/>
        </w:rPr>
      </w:pPr>
      <w:r>
        <w:rPr>
          <w:rFonts w:ascii="Times New Roman" w:hAnsi="Times New Roman"/>
          <w:sz w:val="24"/>
        </w:rPr>
        <w:tab/>
        <w:t>NPV of Project 1 = 165,000/.06 – 2,400,000 = $350,000.</w:t>
      </w:r>
    </w:p>
    <w:p w:rsidR="00EF5513" w:rsidRDefault="00EF5513" w:rsidP="00EF5513">
      <w:pPr>
        <w:tabs>
          <w:tab w:val="left" w:pos="720"/>
          <w:tab w:val="left" w:pos="2160"/>
          <w:tab w:val="left" w:pos="2880"/>
        </w:tabs>
        <w:rPr>
          <w:rFonts w:ascii="Times New Roman" w:hAnsi="Times New Roman"/>
          <w:sz w:val="24"/>
          <w:szCs w:val="24"/>
        </w:rPr>
      </w:pPr>
      <w:r>
        <w:tab/>
      </w:r>
      <w:r>
        <w:rPr>
          <w:rFonts w:ascii="Times New Roman" w:hAnsi="Times New Roman"/>
          <w:sz w:val="24"/>
          <w:szCs w:val="24"/>
        </w:rPr>
        <w:t>NPV of Project 2 = 60,000/.06 – 500,000 = $500,000.</w:t>
      </w:r>
    </w:p>
    <w:p w:rsidR="00EF5513" w:rsidRDefault="00EF5513" w:rsidP="00EF5513">
      <w:pPr>
        <w:tabs>
          <w:tab w:val="left" w:pos="720"/>
          <w:tab w:val="left" w:pos="2160"/>
          <w:tab w:val="left" w:pos="2880"/>
        </w:tabs>
        <w:ind w:left="1440" w:hanging="1440"/>
        <w:rPr>
          <w:rFonts w:ascii="Times New Roman" w:hAnsi="Times New Roman"/>
          <w:sz w:val="24"/>
          <w:szCs w:val="24"/>
        </w:rPr>
      </w:pPr>
      <w:r>
        <w:tab/>
      </w:r>
      <w:r>
        <w:rPr>
          <w:rFonts w:ascii="Times New Roman" w:hAnsi="Times New Roman"/>
          <w:sz w:val="24"/>
          <w:szCs w:val="24"/>
        </w:rPr>
        <w:t>NPV of Project 3 = 96,000/.06 – 1,800,000 = -$200,000.</w:t>
      </w: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ab/>
        <w:t>NPV of Project 4 = 75,000/.06 – 1,000,000 = $250,000.</w:t>
      </w:r>
    </w:p>
    <w:p w:rsidR="00EF5513" w:rsidRDefault="00EF5513" w:rsidP="00EF5513">
      <w:pPr>
        <w:pStyle w:val="BodyTextIndent"/>
        <w:tabs>
          <w:tab w:val="left" w:pos="1080"/>
          <w:tab w:val="left" w:pos="2160"/>
          <w:tab w:val="left" w:pos="2880"/>
        </w:tabs>
      </w:pPr>
      <w:r>
        <w:tab/>
      </w:r>
      <w:r>
        <w:tab/>
        <w:t xml:space="preserve">Projects 2 and 1 have the highest net benefits and should be funded for a total </w:t>
      </w:r>
    </w:p>
    <w:p w:rsidR="00EF5513" w:rsidRDefault="00EF5513" w:rsidP="00EF5513">
      <w:pPr>
        <w:pStyle w:val="BodyTextIndent"/>
        <w:tabs>
          <w:tab w:val="left" w:pos="2160"/>
          <w:tab w:val="left" w:pos="2880"/>
        </w:tabs>
      </w:pPr>
      <w:r>
        <w:tab/>
      </w:r>
      <w:proofErr w:type="gramStart"/>
      <w:r>
        <w:t>investment</w:t>
      </w:r>
      <w:proofErr w:type="gramEnd"/>
      <w:r>
        <w:t xml:space="preserve"> of $2,900,000. Unless an additional $300,000 becomes available, the current</w:t>
      </w:r>
    </w:p>
    <w:p w:rsidR="00EF5513" w:rsidRDefault="00EF5513" w:rsidP="00EF5513">
      <w:pPr>
        <w:pStyle w:val="BodyTextIndent"/>
        <w:tabs>
          <w:tab w:val="left" w:pos="2160"/>
          <w:tab w:val="left" w:pos="2880"/>
        </w:tabs>
      </w:pPr>
      <w:r>
        <w:tab/>
      </w:r>
      <w:proofErr w:type="gramStart"/>
      <w:r>
        <w:t>budget</w:t>
      </w:r>
      <w:proofErr w:type="gramEnd"/>
      <w:r>
        <w:t xml:space="preserve"> of $3,600,000 does not allow the undertaking of Project 4. </w:t>
      </w:r>
    </w:p>
    <w:p w:rsidR="00EF5513" w:rsidRDefault="00EF5513" w:rsidP="00EF5513">
      <w:pPr>
        <w:pStyle w:val="BodyTextIndent"/>
        <w:tabs>
          <w:tab w:val="left" w:pos="2160"/>
          <w:tab w:val="left" w:pos="2880"/>
        </w:tabs>
      </w:pPr>
      <w:r>
        <w:t xml:space="preserve"> </w:t>
      </w:r>
    </w:p>
    <w:p w:rsidR="00EF5513" w:rsidRDefault="00EF5513" w:rsidP="00EF5513">
      <w:pPr>
        <w:rPr>
          <w:rFonts w:ascii="Times New Roman" w:hAnsi="Times New Roman"/>
          <w:b/>
          <w:sz w:val="24"/>
        </w:rPr>
      </w:pPr>
      <w:r>
        <w:rPr>
          <w:rFonts w:ascii="Times New Roman" w:hAnsi="Times New Roman"/>
          <w:b/>
          <w:sz w:val="24"/>
        </w:rPr>
        <w:t>Longer Problems and Discussion Questions</w:t>
      </w:r>
    </w:p>
    <w:p w:rsidR="00EF5513" w:rsidRDefault="00EF5513" w:rsidP="00EF5513">
      <w:pPr>
        <w:rPr>
          <w:rFonts w:ascii="Times New Roman" w:hAnsi="Times New Roman"/>
          <w:sz w:val="24"/>
        </w:rPr>
      </w:pPr>
    </w:p>
    <w:p w:rsidR="00EF5513" w:rsidRDefault="00EF5513" w:rsidP="00EF5513">
      <w:pPr>
        <w:ind w:left="720" w:hanging="720"/>
        <w:rPr>
          <w:rFonts w:ascii="Times New Roman" w:hAnsi="Times New Roman"/>
          <w:sz w:val="24"/>
        </w:rPr>
      </w:pPr>
      <w:r>
        <w:rPr>
          <w:rFonts w:ascii="Times New Roman" w:hAnsi="Times New Roman"/>
          <w:sz w:val="24"/>
        </w:rPr>
        <w:t>L1</w:t>
      </w:r>
      <w:r>
        <w:rPr>
          <w:rFonts w:ascii="Times New Roman" w:hAnsi="Times New Roman"/>
          <w:sz w:val="24"/>
        </w:rPr>
        <w:tab/>
        <w:t>When tackling this question, the main idea is to consider and apply concepts such as externalities, benefits, private and public goods, market failures, and government regulation. There is no single correct answer for each question. Each is designed to stimulate economic thinking about the various concepts developed in the chapter.</w:t>
      </w:r>
    </w:p>
    <w:p w:rsidR="00EF5513" w:rsidRDefault="00EF5513" w:rsidP="00EF5513">
      <w:pPr>
        <w:numPr>
          <w:ilvl w:val="0"/>
          <w:numId w:val="1"/>
        </w:numPr>
        <w:rPr>
          <w:rFonts w:ascii="Times New Roman" w:hAnsi="Times New Roman"/>
          <w:sz w:val="24"/>
        </w:rPr>
      </w:pPr>
      <w:r>
        <w:rPr>
          <w:rFonts w:ascii="Times New Roman" w:hAnsi="Times New Roman"/>
          <w:sz w:val="24"/>
        </w:rPr>
        <w:t>This is probably a profit-motivated move. If resort owners can control development and expansion in an area, then they will be able to restrict entry to their industry. Restricted entry means less competition and higher profits. Their claim could be that they are protecting the fragile environment by restricting new construction on already overbuilt lakes and forest lands.</w:t>
      </w:r>
    </w:p>
    <w:p w:rsidR="00EF5513" w:rsidRDefault="00EF5513" w:rsidP="00EF5513">
      <w:pPr>
        <w:numPr>
          <w:ilvl w:val="0"/>
          <w:numId w:val="1"/>
        </w:numPr>
        <w:rPr>
          <w:rFonts w:ascii="Times New Roman" w:hAnsi="Times New Roman"/>
          <w:sz w:val="24"/>
        </w:rPr>
      </w:pPr>
      <w:r>
        <w:rPr>
          <w:rFonts w:ascii="Times New Roman" w:hAnsi="Times New Roman"/>
          <w:sz w:val="24"/>
        </w:rPr>
        <w:t>Both positive and negative externalities arise from this issue. As more individuals visit an area, the demand for lakeshore and riverbank property increases. This increases property values. It also means that more businesses open, thus increasing the number of restaurants, golf courses, entertainment centers, and so on. Generally, more competition means lower price amenities, thus increasing the benefits to locals and part-time residents. On the other hand, it also means higher costs for maintaining roads and public recreational facilities, and these increased costs may mean higher taxes for property owners. Whether property owners would want their tax dollars expended to attract additional tourists would depend on benefits received and costs incurred.</w:t>
      </w:r>
    </w:p>
    <w:p w:rsidR="00EF5513" w:rsidRDefault="00EF5513" w:rsidP="00EF5513">
      <w:pPr>
        <w:numPr>
          <w:ilvl w:val="0"/>
          <w:numId w:val="1"/>
        </w:numPr>
        <w:rPr>
          <w:rFonts w:ascii="Times New Roman" w:hAnsi="Times New Roman"/>
          <w:sz w:val="24"/>
        </w:rPr>
      </w:pPr>
      <w:r>
        <w:rPr>
          <w:rFonts w:ascii="Times New Roman" w:hAnsi="Times New Roman"/>
          <w:sz w:val="24"/>
        </w:rPr>
        <w:t>The fact that rivers, lakes, and forests are public properties or public goods enters into the decision to restrict cottage owners from exercising their private (property) rights. Improvements that benefit them may reduce the benefits to the public.  Thus, public rights (by government action) supersede the rights of individuals.</w:t>
      </w:r>
    </w:p>
    <w:p w:rsidR="00EF5513" w:rsidRDefault="00EF5513" w:rsidP="00EF5513">
      <w:pPr>
        <w:numPr>
          <w:ilvl w:val="0"/>
          <w:numId w:val="1"/>
        </w:numPr>
        <w:rPr>
          <w:rFonts w:ascii="Times New Roman" w:hAnsi="Times New Roman"/>
          <w:sz w:val="24"/>
        </w:rPr>
      </w:pPr>
      <w:r>
        <w:rPr>
          <w:rFonts w:ascii="Times New Roman" w:hAnsi="Times New Roman"/>
          <w:sz w:val="24"/>
        </w:rPr>
        <w:t>The restrictions probably are intended to maintain the quality of the public good, and thus the public or tourists (more specifically) would benefit. If tourists flock to the region, resort owners would receive additional profits.</w:t>
      </w:r>
    </w:p>
    <w:p w:rsidR="00EF5513" w:rsidRDefault="00EF5513" w:rsidP="00EF5513">
      <w:pPr>
        <w:numPr>
          <w:ilvl w:val="0"/>
          <w:numId w:val="1"/>
        </w:numPr>
        <w:rPr>
          <w:rFonts w:ascii="Times New Roman" w:hAnsi="Times New Roman"/>
          <w:sz w:val="24"/>
        </w:rPr>
      </w:pPr>
      <w:r>
        <w:rPr>
          <w:rFonts w:ascii="Times New Roman" w:hAnsi="Times New Roman"/>
          <w:sz w:val="24"/>
        </w:rPr>
        <w:lastRenderedPageBreak/>
        <w:t xml:space="preserve">The added costs probably mean that less maintenance and fewer improvements will take place. </w:t>
      </w:r>
    </w:p>
    <w:p w:rsidR="00EF5513" w:rsidRDefault="00EF5513" w:rsidP="00EF5513">
      <w:pPr>
        <w:rPr>
          <w:rFonts w:ascii="Times New Roman" w:hAnsi="Times New Roman"/>
          <w:sz w:val="24"/>
        </w:rPr>
      </w:pPr>
    </w:p>
    <w:p w:rsidR="00EF5513" w:rsidRDefault="00EF5513" w:rsidP="00EF5513">
      <w:pPr>
        <w:ind w:left="720" w:hanging="720"/>
        <w:rPr>
          <w:rFonts w:ascii="Times New Roman" w:hAnsi="Times New Roman"/>
          <w:sz w:val="24"/>
        </w:rPr>
      </w:pPr>
      <w:r>
        <w:rPr>
          <w:rFonts w:ascii="Times New Roman" w:hAnsi="Times New Roman"/>
          <w:sz w:val="24"/>
        </w:rPr>
        <w:t>L2</w:t>
      </w:r>
      <w:r>
        <w:rPr>
          <w:rFonts w:ascii="Times New Roman" w:hAnsi="Times New Roman"/>
          <w:sz w:val="24"/>
        </w:rPr>
        <w:tab/>
        <w:t>The fact that there is a severe parking problem on campus indicates that the on-campus parking permits are underpriced. Maintaining a price ceiling (by flat authority) prevents the market from reaching an equilibrium level. Thus, one solution would be to increase parking permit fees and parking meter charges. This no doubt would decrease the number of permits issued and therefore make it easier for individuals holding permits to find parking spots.</w:t>
      </w:r>
    </w:p>
    <w:p w:rsidR="00EF5513" w:rsidRDefault="00EF5513" w:rsidP="00EF5513">
      <w:pPr>
        <w:pStyle w:val="BodyTextIndent3"/>
        <w:tabs>
          <w:tab w:val="left" w:pos="1080"/>
        </w:tabs>
      </w:pPr>
      <w:r>
        <w:tab/>
        <w:t xml:space="preserve">While increasing the price of permits may relieve the current excess demand and rationing of available (university) spots, it may not resolve all parking issues. In fact, the increased price for permits may cause the problem to spill over onto the neighborhood streets and intensify the “larger” parking problem. It might increase the burden on neighborhood residents who also need parking spots. </w:t>
      </w:r>
    </w:p>
    <w:p w:rsidR="00EF5513" w:rsidRDefault="00EF5513" w:rsidP="00EF5513">
      <w:pPr>
        <w:tabs>
          <w:tab w:val="left" w:pos="1080"/>
        </w:tabs>
        <w:ind w:left="720"/>
        <w:rPr>
          <w:rFonts w:ascii="Times New Roman" w:hAnsi="Times New Roman"/>
          <w:sz w:val="24"/>
        </w:rPr>
      </w:pPr>
      <w:r>
        <w:rPr>
          <w:rFonts w:ascii="Times New Roman" w:hAnsi="Times New Roman"/>
          <w:sz w:val="24"/>
        </w:rPr>
        <w:tab/>
        <w:t>Issuing parking permits for street parking to local residents could solve the problem for them, but it brings up the additional problem of who should be entitled to the benefits from public goods. Do residents of the neighborhood have more rights to (public) street parking than tax-paying residents from other city neighborhoods?</w:t>
      </w:r>
    </w:p>
    <w:p w:rsidR="00EF5513" w:rsidRDefault="00EF5513" w:rsidP="00EF5513">
      <w:pPr>
        <w:tabs>
          <w:tab w:val="left" w:pos="1080"/>
        </w:tabs>
        <w:ind w:left="720"/>
        <w:rPr>
          <w:rFonts w:ascii="Times New Roman" w:hAnsi="Times New Roman"/>
          <w:sz w:val="24"/>
        </w:rPr>
      </w:pPr>
      <w:r>
        <w:rPr>
          <w:rFonts w:ascii="Times New Roman" w:hAnsi="Times New Roman"/>
          <w:sz w:val="24"/>
        </w:rPr>
        <w:tab/>
        <w:t>Another possible solution is for the university to buy relatively cheaper land away from the campus, build remote parking lots, and provide shuttle bus service.  But this increases the cost of university operations and generates questions about shuttle fees and parking rights at the various lots.</w:t>
      </w:r>
    </w:p>
    <w:p w:rsidR="00EF5513" w:rsidRDefault="00EF5513" w:rsidP="00EF5513">
      <w:pPr>
        <w:tabs>
          <w:tab w:val="left" w:pos="1080"/>
        </w:tabs>
        <w:ind w:left="720"/>
        <w:rPr>
          <w:rFonts w:ascii="Times New Roman" w:hAnsi="Times New Roman"/>
          <w:sz w:val="24"/>
        </w:rPr>
      </w:pPr>
      <w:r>
        <w:rPr>
          <w:rFonts w:ascii="Times New Roman" w:hAnsi="Times New Roman"/>
          <w:sz w:val="24"/>
        </w:rPr>
        <w:tab/>
        <w:t>Other solutions, such as restricting students from bringing cars to campus and providing incentives for students, faculty, and staff to use public transportation, are possible.</w:t>
      </w:r>
    </w:p>
    <w:p w:rsidR="00EF5513" w:rsidRDefault="00EF5513" w:rsidP="00EF5513">
      <w:pPr>
        <w:rPr>
          <w:rFonts w:ascii="Times New Roman" w:hAnsi="Times New Roman"/>
          <w:sz w:val="24"/>
        </w:rPr>
      </w:pPr>
    </w:p>
    <w:p w:rsidR="00EF5513" w:rsidRDefault="00EF5513" w:rsidP="00EF5513">
      <w:pPr>
        <w:ind w:left="720" w:hanging="720"/>
        <w:rPr>
          <w:rFonts w:ascii="Times New Roman" w:hAnsi="Times New Roman"/>
          <w:sz w:val="24"/>
        </w:rPr>
      </w:pPr>
      <w:r>
        <w:rPr>
          <w:rFonts w:ascii="Times New Roman" w:hAnsi="Times New Roman"/>
          <w:sz w:val="24"/>
        </w:rPr>
        <w:t>L3</w:t>
      </w:r>
      <w:r>
        <w:rPr>
          <w:rFonts w:ascii="Times New Roman" w:hAnsi="Times New Roman"/>
          <w:sz w:val="24"/>
        </w:rPr>
        <w:tab/>
        <w:t>If a pollution problem is localized and few individuals are involved, negotiations to reach a mutually beneficial agreement may be the best solution. If, however, a large number of individuals are involved, complications will prevent a negotiated solution. In such cases, pollution taxes or fees work better.</w:t>
      </w:r>
    </w:p>
    <w:p w:rsidR="00EF5513" w:rsidRDefault="00EF5513" w:rsidP="00EF5513">
      <w:pPr>
        <w:pStyle w:val="BodyTextIndent3"/>
        <w:tabs>
          <w:tab w:val="left" w:pos="1080"/>
        </w:tabs>
      </w:pPr>
      <w:r>
        <w:tab/>
        <w:t xml:space="preserve">Taxes or fees are based on the external cost associated with the pollution. The firm adds the tax to the private cost of production to determine the total cost of production.  In turn, equating the marginal cost of reducing pollution to the tax determines the efficient amount of pollution cleanup. The tax, if correctly set, is not blatantly unfair and does not punish small businesses. It does precisely the opposite by forcing larger and smaller firms alike to pay a tax equal to the amount of the external cost they impose on society. </w:t>
      </w:r>
    </w:p>
    <w:p w:rsidR="00EF5513" w:rsidRDefault="00EF5513" w:rsidP="00EF5513">
      <w:pPr>
        <w:rPr>
          <w:rFonts w:ascii="Times New Roman" w:hAnsi="Times New Roman"/>
          <w:sz w:val="24"/>
        </w:rPr>
      </w:pP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L4</w:t>
      </w:r>
      <w:r>
        <w:rPr>
          <w:rFonts w:ascii="Times New Roman" w:hAnsi="Times New Roman"/>
          <w:sz w:val="24"/>
        </w:rPr>
        <w:tab/>
      </w:r>
      <w:proofErr w:type="spellStart"/>
      <w:r>
        <w:rPr>
          <w:rFonts w:ascii="Times New Roman" w:hAnsi="Times New Roman"/>
          <w:sz w:val="24"/>
        </w:rPr>
        <w:t>a</w:t>
      </w:r>
      <w:proofErr w:type="spellEnd"/>
      <w:r>
        <w:rPr>
          <w:rFonts w:ascii="Times New Roman" w:hAnsi="Times New Roman"/>
          <w:sz w:val="24"/>
        </w:rPr>
        <w:tab/>
      </w:r>
      <w:proofErr w:type="gramStart"/>
      <w:r>
        <w:rPr>
          <w:rFonts w:ascii="Times New Roman" w:hAnsi="Times New Roman"/>
          <w:sz w:val="24"/>
        </w:rPr>
        <w:t>The</w:t>
      </w:r>
      <w:proofErr w:type="gramEnd"/>
      <w:r>
        <w:rPr>
          <w:rFonts w:ascii="Times New Roman" w:hAnsi="Times New Roman"/>
          <w:sz w:val="24"/>
        </w:rPr>
        <w:t xml:space="preserve"> firm’s profit-maximizing output and price satisfy MR = MC. </w:t>
      </w:r>
      <w:r>
        <w:rPr>
          <w:rFonts w:ascii="Times New Roman" w:hAnsi="Times New Roman"/>
          <w:sz w:val="24"/>
        </w:rPr>
        <w:tab/>
        <w:t>Given the demand curve, P = 10 – Q/400, it follows that MR = 10 – Q/200. We also have:  MC = $6. Therefore, 10 – Q/200 = 6, implying Q = 800 units and P = $8.</w:t>
      </w: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ab/>
        <w:t>b.</w:t>
      </w:r>
      <w:r>
        <w:rPr>
          <w:rFonts w:ascii="Times New Roman" w:hAnsi="Times New Roman"/>
          <w:sz w:val="24"/>
        </w:rPr>
        <w:tab/>
        <w:t xml:space="preserve">Since the firm wants to cooperate with the local community’s pollution-control effort but does not want to incur the expense of installing pollution-control equipment, a solution might be to tax the firm. If the community wants to eliminate all of the pollution and the cost of doing so comes to $3 per sheet of paneling, a tax of $3 per sheet would be a feasible solution. The increased cost of production would increase the price per panel and output would decrease. Setting MR = MC = 6 + 3, we find the new outcome to be: Q = 200 and P = $9.50. Here, the company is able to pass along part of the tax as a price increase to consumers. </w:t>
      </w:r>
      <w:r>
        <w:rPr>
          <w:rFonts w:ascii="Times New Roman" w:hAnsi="Times New Roman"/>
          <w:sz w:val="24"/>
        </w:rPr>
        <w:lastRenderedPageBreak/>
        <w:t>The pre-tax price was $8 and the new price is $9.50; thus the firm is absorbing half of the tax.</w:t>
      </w:r>
    </w:p>
    <w:p w:rsidR="00EF5513" w:rsidRDefault="00EF5513" w:rsidP="00EF5513">
      <w:pPr>
        <w:pStyle w:val="BodyTextIndent"/>
        <w:tabs>
          <w:tab w:val="left" w:pos="1800"/>
          <w:tab w:val="left" w:pos="2160"/>
          <w:tab w:val="left" w:pos="2880"/>
        </w:tabs>
      </w:pPr>
      <w:r>
        <w:tab/>
      </w:r>
      <w:r>
        <w:tab/>
      </w:r>
      <w:r>
        <w:tab/>
        <w:t xml:space="preserve">The socially efficient price is: MIC + MEC = 6 + 3 = $9. This would be achieved if the market was perfectly competitive and a $3 pollution tax was instituted. Given monopoly production, a tax of $2 per unit induces the monopolist to set the desired $9 price.  (Check this applying MR = MC.)   </w:t>
      </w:r>
    </w:p>
    <w:p w:rsidR="00EF5513" w:rsidRDefault="00EF5513" w:rsidP="00EF5513">
      <w:pPr>
        <w:tabs>
          <w:tab w:val="left" w:pos="720"/>
          <w:tab w:val="left" w:pos="2160"/>
          <w:tab w:val="left" w:pos="2880"/>
        </w:tabs>
        <w:ind w:left="1440" w:hanging="1440"/>
        <w:rPr>
          <w:rFonts w:ascii="Times New Roman" w:hAnsi="Times New Roman"/>
          <w:sz w:val="24"/>
        </w:rPr>
      </w:pP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br w:type="page"/>
      </w:r>
      <w:r>
        <w:rPr>
          <w:rFonts w:ascii="Times New Roman" w:hAnsi="Times New Roman"/>
          <w:sz w:val="24"/>
        </w:rPr>
        <w:lastRenderedPageBreak/>
        <w:t>L5</w:t>
      </w:r>
      <w:r>
        <w:rPr>
          <w:rFonts w:ascii="Times New Roman" w:hAnsi="Times New Roman"/>
          <w:sz w:val="24"/>
        </w:rPr>
        <w:tab/>
        <w:t>a.</w:t>
      </w:r>
      <w:r>
        <w:rPr>
          <w:rFonts w:ascii="Times New Roman" w:hAnsi="Times New Roman"/>
          <w:sz w:val="24"/>
        </w:rPr>
        <w:tab/>
        <w:t>The optimal number of tennis courts is found by setting: MB</w:t>
      </w:r>
      <w:r>
        <w:rPr>
          <w:rFonts w:ascii="Times New Roman" w:hAnsi="Times New Roman"/>
          <w:sz w:val="24"/>
          <w:vertAlign w:val="subscript"/>
        </w:rPr>
        <w:t>HS</w:t>
      </w:r>
      <w:r>
        <w:rPr>
          <w:rFonts w:ascii="Times New Roman" w:hAnsi="Times New Roman"/>
          <w:sz w:val="24"/>
        </w:rPr>
        <w:t xml:space="preserve"> + MB</w:t>
      </w:r>
      <w:r>
        <w:rPr>
          <w:rFonts w:ascii="Times New Roman" w:hAnsi="Times New Roman"/>
          <w:sz w:val="24"/>
          <w:vertAlign w:val="subscript"/>
        </w:rPr>
        <w:t>P</w:t>
      </w:r>
      <w:r>
        <w:rPr>
          <w:rFonts w:ascii="Times New Roman" w:hAnsi="Times New Roman"/>
          <w:sz w:val="24"/>
        </w:rPr>
        <w:t xml:space="preserve"> = MC.</w:t>
      </w: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ab/>
      </w:r>
      <w:r>
        <w:rPr>
          <w:rFonts w:ascii="Times New Roman" w:hAnsi="Times New Roman"/>
          <w:sz w:val="24"/>
        </w:rPr>
        <w:tab/>
        <w:t xml:space="preserve">        MB</w:t>
      </w:r>
      <w:r>
        <w:rPr>
          <w:rFonts w:ascii="Times New Roman" w:hAnsi="Times New Roman"/>
          <w:sz w:val="24"/>
          <w:vertAlign w:val="subscript"/>
        </w:rPr>
        <w:t>HS</w:t>
      </w:r>
      <w:r>
        <w:rPr>
          <w:rFonts w:ascii="Times New Roman" w:hAnsi="Times New Roman"/>
          <w:sz w:val="24"/>
        </w:rPr>
        <w:t xml:space="preserve"> = </w:t>
      </w:r>
      <w:proofErr w:type="spellStart"/>
      <w:r>
        <w:rPr>
          <w:rFonts w:ascii="Times New Roman" w:hAnsi="Times New Roman"/>
          <w:sz w:val="24"/>
        </w:rPr>
        <w:t>dB</w:t>
      </w:r>
      <w:r>
        <w:rPr>
          <w:rFonts w:ascii="Times New Roman" w:hAnsi="Times New Roman"/>
          <w:sz w:val="24"/>
          <w:vertAlign w:val="subscript"/>
        </w:rPr>
        <w:t>HS</w:t>
      </w:r>
      <w:proofErr w:type="spellEnd"/>
      <w:r>
        <w:rPr>
          <w:rFonts w:ascii="Times New Roman" w:hAnsi="Times New Roman"/>
          <w:sz w:val="24"/>
        </w:rPr>
        <w:t>/</w:t>
      </w:r>
      <w:proofErr w:type="spellStart"/>
      <w:r>
        <w:rPr>
          <w:rFonts w:ascii="Times New Roman" w:hAnsi="Times New Roman"/>
          <w:sz w:val="24"/>
        </w:rPr>
        <w:t>dQ</w:t>
      </w:r>
      <w:proofErr w:type="spellEnd"/>
      <w:r>
        <w:rPr>
          <w:rFonts w:ascii="Times New Roman" w:hAnsi="Times New Roman"/>
          <w:sz w:val="24"/>
        </w:rPr>
        <w:t xml:space="preserve"> = 6 - .5Q     and      MB</w:t>
      </w:r>
      <w:r>
        <w:rPr>
          <w:rFonts w:ascii="Times New Roman" w:hAnsi="Times New Roman"/>
          <w:sz w:val="24"/>
          <w:vertAlign w:val="subscript"/>
        </w:rPr>
        <w:t>P</w:t>
      </w:r>
      <w:r>
        <w:rPr>
          <w:rFonts w:ascii="Times New Roman" w:hAnsi="Times New Roman"/>
          <w:sz w:val="24"/>
        </w:rPr>
        <w:t xml:space="preserve"> = </w:t>
      </w:r>
      <w:proofErr w:type="spellStart"/>
      <w:r>
        <w:rPr>
          <w:rFonts w:ascii="Times New Roman" w:hAnsi="Times New Roman"/>
          <w:sz w:val="24"/>
        </w:rPr>
        <w:t>dB</w:t>
      </w:r>
      <w:r>
        <w:rPr>
          <w:rFonts w:ascii="Times New Roman" w:hAnsi="Times New Roman"/>
          <w:sz w:val="24"/>
          <w:vertAlign w:val="subscript"/>
        </w:rPr>
        <w:t>P</w:t>
      </w:r>
      <w:proofErr w:type="spellEnd"/>
      <w:r>
        <w:rPr>
          <w:rFonts w:ascii="Times New Roman" w:hAnsi="Times New Roman"/>
          <w:sz w:val="24"/>
        </w:rPr>
        <w:t>/</w:t>
      </w:r>
      <w:proofErr w:type="spellStart"/>
      <w:r>
        <w:rPr>
          <w:rFonts w:ascii="Times New Roman" w:hAnsi="Times New Roman"/>
          <w:sz w:val="24"/>
        </w:rPr>
        <w:t>dQ</w:t>
      </w:r>
      <w:proofErr w:type="spellEnd"/>
      <w:r>
        <w:rPr>
          <w:rFonts w:ascii="Times New Roman" w:hAnsi="Times New Roman"/>
          <w:sz w:val="24"/>
        </w:rPr>
        <w:t xml:space="preserve"> = 30 - .5Q,   and</w:t>
      </w: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ab/>
      </w:r>
      <w:r>
        <w:rPr>
          <w:rFonts w:ascii="Times New Roman" w:hAnsi="Times New Roman"/>
          <w:sz w:val="24"/>
        </w:rPr>
        <w:tab/>
      </w:r>
      <w:r>
        <w:rPr>
          <w:rFonts w:ascii="Times New Roman" w:hAnsi="Times New Roman"/>
          <w:sz w:val="24"/>
          <w:lang w:val="fr-FR"/>
        </w:rPr>
        <w:t xml:space="preserve">MC = </w:t>
      </w:r>
      <w:proofErr w:type="spellStart"/>
      <w:r>
        <w:rPr>
          <w:rFonts w:ascii="Times New Roman" w:hAnsi="Times New Roman"/>
          <w:sz w:val="24"/>
          <w:lang w:val="fr-FR"/>
        </w:rPr>
        <w:t>dC</w:t>
      </w:r>
      <w:proofErr w:type="spellEnd"/>
      <w:r>
        <w:rPr>
          <w:rFonts w:ascii="Times New Roman" w:hAnsi="Times New Roman"/>
          <w:sz w:val="24"/>
          <w:lang w:val="fr-FR"/>
        </w:rPr>
        <w:t>/</w:t>
      </w:r>
      <w:proofErr w:type="spellStart"/>
      <w:r>
        <w:rPr>
          <w:rFonts w:ascii="Times New Roman" w:hAnsi="Times New Roman"/>
          <w:sz w:val="24"/>
          <w:lang w:val="fr-FR"/>
        </w:rPr>
        <w:t>dQ</w:t>
      </w:r>
      <w:proofErr w:type="spellEnd"/>
      <w:r>
        <w:rPr>
          <w:rFonts w:ascii="Times New Roman" w:hAnsi="Times New Roman"/>
          <w:sz w:val="24"/>
          <w:lang w:val="fr-FR"/>
        </w:rPr>
        <w:t xml:space="preserve"> = 4 + Q.  It </w:t>
      </w:r>
      <w:proofErr w:type="spellStart"/>
      <w:r>
        <w:rPr>
          <w:rFonts w:ascii="Times New Roman" w:hAnsi="Times New Roman"/>
          <w:sz w:val="24"/>
          <w:lang w:val="fr-FR"/>
        </w:rPr>
        <w:t>follows</w:t>
      </w:r>
      <w:proofErr w:type="spellEnd"/>
      <w:r>
        <w:rPr>
          <w:rFonts w:ascii="Times New Roman" w:hAnsi="Times New Roman"/>
          <w:sz w:val="24"/>
          <w:lang w:val="fr-FR"/>
        </w:rPr>
        <w:t xml:space="preserve"> </w:t>
      </w:r>
      <w:proofErr w:type="spellStart"/>
      <w:r>
        <w:rPr>
          <w:rFonts w:ascii="Times New Roman" w:hAnsi="Times New Roman"/>
          <w:sz w:val="24"/>
          <w:lang w:val="fr-FR"/>
        </w:rPr>
        <w:t>that</w:t>
      </w:r>
      <w:proofErr w:type="spellEnd"/>
      <w:proofErr w:type="gramStart"/>
      <w:r>
        <w:rPr>
          <w:rFonts w:ascii="Times New Roman" w:hAnsi="Times New Roman"/>
          <w:sz w:val="24"/>
        </w:rPr>
        <w:t>:  (</w:t>
      </w:r>
      <w:proofErr w:type="gramEnd"/>
      <w:r>
        <w:rPr>
          <w:rFonts w:ascii="Times New Roman" w:hAnsi="Times New Roman"/>
          <w:sz w:val="24"/>
        </w:rPr>
        <w:t>6 - .5Q) + (30 - .5Q) =  4 + Q.</w:t>
      </w: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ab/>
      </w:r>
      <w:r>
        <w:rPr>
          <w:rFonts w:ascii="Times New Roman" w:hAnsi="Times New Roman"/>
          <w:sz w:val="24"/>
        </w:rPr>
        <w:tab/>
        <w:t>Therefore, the optimal number of courts is Q = 16.</w:t>
      </w:r>
    </w:p>
    <w:p w:rsidR="00EF5513" w:rsidRDefault="00EF5513" w:rsidP="00EF5513">
      <w:pPr>
        <w:tabs>
          <w:tab w:val="left" w:pos="720"/>
          <w:tab w:val="left" w:pos="2160"/>
          <w:tab w:val="left" w:pos="2880"/>
        </w:tabs>
        <w:ind w:left="1440" w:hanging="1440"/>
        <w:rPr>
          <w:rFonts w:ascii="Times New Roman" w:hAnsi="Times New Roman"/>
          <w:sz w:val="24"/>
        </w:rPr>
      </w:pPr>
      <w:r>
        <w:rPr>
          <w:rFonts w:ascii="Times New Roman" w:hAnsi="Times New Roman"/>
          <w:sz w:val="24"/>
        </w:rPr>
        <w:tab/>
        <w:t>b.</w:t>
      </w:r>
      <w:r>
        <w:rPr>
          <w:rFonts w:ascii="Times New Roman" w:hAnsi="Times New Roman"/>
          <w:sz w:val="24"/>
        </w:rPr>
        <w:tab/>
        <w:t xml:space="preserve">At Q = 16, the high school’s marginal benefit is –2. (Once more than 12 courts are built, the high school’s MB turns negative.) Possibly, devoting too much money to recreation (tennis courts) might “rob” the high school of crucial budget dollars for educational expenditures. In other words, town budgets might already be tight (and new town revenues limited) implying inevitable tradeoffs between different town needs. </w:t>
      </w:r>
    </w:p>
    <w:p w:rsidR="00EF5513" w:rsidRDefault="00EF5513" w:rsidP="00EF5513">
      <w:pPr>
        <w:ind w:left="720" w:hanging="720"/>
        <w:rPr>
          <w:rFonts w:ascii="Times New Roman" w:hAnsi="Times New Roman"/>
          <w:sz w:val="24"/>
        </w:rPr>
      </w:pPr>
    </w:p>
    <w:p w:rsidR="00EF5513" w:rsidRDefault="00EF5513" w:rsidP="00EF5513">
      <w:pPr>
        <w:ind w:left="720" w:hanging="720"/>
        <w:rPr>
          <w:rFonts w:ascii="Times New Roman" w:hAnsi="Times New Roman"/>
          <w:sz w:val="24"/>
        </w:rPr>
      </w:pPr>
      <w:r>
        <w:rPr>
          <w:rFonts w:ascii="Times New Roman" w:hAnsi="Times New Roman"/>
          <w:sz w:val="24"/>
        </w:rPr>
        <w:t>L6</w:t>
      </w:r>
      <w:r>
        <w:rPr>
          <w:rFonts w:ascii="Times New Roman" w:hAnsi="Times New Roman"/>
          <w:sz w:val="24"/>
        </w:rPr>
        <w:tab/>
        <w:t xml:space="preserve">Because the facility is already in existence, the analysis should be limited to </w:t>
      </w:r>
      <w:r>
        <w:rPr>
          <w:rFonts w:ascii="Times New Roman" w:hAnsi="Times New Roman"/>
          <w:i/>
          <w:sz w:val="24"/>
        </w:rPr>
        <w:t>changes</w:t>
      </w:r>
      <w:r>
        <w:rPr>
          <w:rFonts w:ascii="Times New Roman" w:hAnsi="Times New Roman"/>
          <w:sz w:val="24"/>
        </w:rPr>
        <w:t xml:space="preserve"> in benefits and costs. Costs include initial expenditures for land, materials and equipment, additional maintenance costs, and any changes in external costs. External costs include losses resulting from disrupted service, time lost due to traffic congestion, and increased noise and air pollution.</w:t>
      </w:r>
    </w:p>
    <w:p w:rsidR="00EF5513" w:rsidRDefault="00EF5513" w:rsidP="00EF5513">
      <w:pPr>
        <w:pStyle w:val="BodyTextIndent3"/>
        <w:tabs>
          <w:tab w:val="left" w:pos="1080"/>
        </w:tabs>
      </w:pPr>
      <w:r>
        <w:tab/>
        <w:t>Most additional benefits will accrue directly to the users of the expanded facility. But indirect benefits also accrue because additional use of the expanded facility means alternative facilities -- for example, bridges or highways, will be less heavily used.</w:t>
      </w:r>
    </w:p>
    <w:p w:rsidR="00EF5513" w:rsidRDefault="00EF5513" w:rsidP="00EF5513">
      <w:pPr>
        <w:rPr>
          <w:rFonts w:ascii="Times New Roman" w:hAnsi="Times New Roman"/>
          <w:sz w:val="24"/>
        </w:rPr>
      </w:pPr>
    </w:p>
    <w:p w:rsidR="00EF5513" w:rsidRDefault="00EF5513" w:rsidP="00EF5513">
      <w:pPr>
        <w:tabs>
          <w:tab w:val="left" w:pos="2160"/>
          <w:tab w:val="left" w:pos="2880"/>
        </w:tabs>
        <w:ind w:left="810" w:hanging="720"/>
        <w:rPr>
          <w:rFonts w:ascii="Times New Roman" w:hAnsi="Times New Roman"/>
          <w:sz w:val="24"/>
        </w:rPr>
      </w:pPr>
      <w:r>
        <w:rPr>
          <w:rFonts w:ascii="Times New Roman" w:hAnsi="Times New Roman"/>
          <w:sz w:val="24"/>
        </w:rPr>
        <w:t>L7</w:t>
      </w:r>
      <w:r>
        <w:rPr>
          <w:rFonts w:ascii="Times New Roman" w:hAnsi="Times New Roman"/>
          <w:sz w:val="24"/>
        </w:rPr>
        <w:tab/>
        <w:t>We compute the net benefits associated with each of the options: Ferry or Tunnel. For the ferry, the annual benefit = Ferry Profit + Consumer Surplus. The former is measured by the area of rectangle EFGH and the latter by the area of Triangle GHJ. Thus, the ferry’s annual benefit is: (2.50 – 1.50</w:t>
      </w:r>
      <w:proofErr w:type="gramStart"/>
      <w:r>
        <w:rPr>
          <w:rFonts w:ascii="Times New Roman" w:hAnsi="Times New Roman"/>
          <w:sz w:val="24"/>
        </w:rPr>
        <w:t>)(</w:t>
      </w:r>
      <w:proofErr w:type="gramEnd"/>
      <w:r>
        <w:rPr>
          <w:rFonts w:ascii="Times New Roman" w:hAnsi="Times New Roman"/>
          <w:sz w:val="24"/>
        </w:rPr>
        <w:t xml:space="preserve">4) + (.5)(5.00 – 2.50)(4) = $9 million per year. The ferry’s NPV is $9/.06 = $150 million. </w:t>
      </w:r>
    </w:p>
    <w:p w:rsidR="00EF5513" w:rsidRDefault="00EF5513" w:rsidP="00EF5513">
      <w:pPr>
        <w:tabs>
          <w:tab w:val="left" w:pos="1170"/>
          <w:tab w:val="left" w:pos="2160"/>
          <w:tab w:val="left" w:pos="2880"/>
        </w:tabs>
        <w:ind w:left="810" w:hanging="720"/>
      </w:pPr>
      <w:r>
        <w:rPr>
          <w:rFonts w:ascii="Times New Roman" w:hAnsi="Times New Roman"/>
          <w:sz w:val="24"/>
        </w:rPr>
        <w:tab/>
      </w:r>
    </w:p>
    <w:p w:rsidR="00EF5513" w:rsidRDefault="00EF5513" w:rsidP="00EF5513">
      <w:pPr>
        <w:pStyle w:val="BodyTextIndent2"/>
        <w:tabs>
          <w:tab w:val="clear" w:pos="1440"/>
          <w:tab w:val="left" w:pos="1170"/>
          <w:tab w:val="left" w:pos="1800"/>
        </w:tabs>
      </w:pPr>
      <w:r>
        <w:rPr>
          <w:noProof/>
          <w:lang w:val="en-GB" w:eastAsia="en-GB"/>
        </w:rPr>
        <mc:AlternateContent>
          <mc:Choice Requires="wpc">
            <w:drawing>
              <wp:inline distT="0" distB="0" distL="0" distR="0" wp14:anchorId="3D0E141C" wp14:editId="60265541">
                <wp:extent cx="5516880" cy="3352800"/>
                <wp:effectExtent l="0" t="12700" r="0" b="0"/>
                <wp:docPr id="17" name="Canvas 17"/>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 name="Line 19"/>
                        <wps:cNvCnPr>
                          <a:cxnSpLocks noChangeShapeType="1"/>
                        </wps:cNvCnPr>
                        <wps:spPr bwMode="auto">
                          <a:xfrm>
                            <a:off x="837892" y="0"/>
                            <a:ext cx="0" cy="297142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 name="Line 20"/>
                        <wps:cNvCnPr>
                          <a:cxnSpLocks noChangeShapeType="1"/>
                        </wps:cNvCnPr>
                        <wps:spPr bwMode="auto">
                          <a:xfrm flipV="1">
                            <a:off x="837892" y="2971427"/>
                            <a:ext cx="3810552"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Text Box 21"/>
                        <wps:cNvSpPr txBox="1">
                          <a:spLocks noChangeArrowheads="1"/>
                        </wps:cNvSpPr>
                        <wps:spPr bwMode="auto">
                          <a:xfrm>
                            <a:off x="4800338" y="2805756"/>
                            <a:ext cx="716542" cy="336264"/>
                          </a:xfrm>
                          <a:prstGeom prst="rect">
                            <a:avLst/>
                          </a:prstGeom>
                          <a:noFill/>
                          <a:ln>
                            <a:noFill/>
                          </a:ln>
                          <a:extLst>
                            <a:ext uri="{909E8E84-426E-40DD-AFC4-6F175D3DCCD1}">
                              <a14:hiddenFill xmlns:a14="http://schemas.microsoft.com/office/drawing/2010/main">
                                <a:solidFill>
                                  <a:srgbClr val="BBE0E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F5513" w:rsidRDefault="00EF5513" w:rsidP="00EF5513">
                              <w:pPr>
                                <w:autoSpaceDE w:val="0"/>
                                <w:autoSpaceDN w:val="0"/>
                                <w:adjustRightInd w:val="0"/>
                                <w:rPr>
                                  <w:sz w:val="32"/>
                                  <w:szCs w:val="32"/>
                                </w:rPr>
                              </w:pPr>
                              <w:r w:rsidRPr="00CC751B">
                                <w:rPr>
                                  <w:rFonts w:ascii="Times New Roman" w:hAnsi="Times New Roman"/>
                                  <w:sz w:val="32"/>
                                  <w:szCs w:val="32"/>
                                </w:rPr>
                                <w:t>Trips</w:t>
                              </w:r>
                            </w:p>
                          </w:txbxContent>
                        </wps:txbx>
                        <wps:bodyPr rot="0" vert="horz" wrap="square" lIns="91440" tIns="45720" rIns="91440" bIns="45720" upright="1">
                          <a:noAutofit/>
                        </wps:bodyPr>
                      </wps:wsp>
                      <wps:wsp>
                        <wps:cNvPr id="4" name="Text Box 22"/>
                        <wps:cNvSpPr txBox="1">
                          <a:spLocks noChangeArrowheads="1"/>
                        </wps:cNvSpPr>
                        <wps:spPr bwMode="auto">
                          <a:xfrm>
                            <a:off x="2431951" y="3016536"/>
                            <a:ext cx="2216493" cy="336264"/>
                          </a:xfrm>
                          <a:prstGeom prst="rect">
                            <a:avLst/>
                          </a:prstGeom>
                          <a:noFill/>
                          <a:ln>
                            <a:noFill/>
                          </a:ln>
                          <a:extLst>
                            <a:ext uri="{909E8E84-426E-40DD-AFC4-6F175D3DCCD1}">
                              <a14:hiddenFill xmlns:a14="http://schemas.microsoft.com/office/drawing/2010/main">
                                <a:solidFill>
                                  <a:srgbClr val="BBE0E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 xml:space="preserve">4                                  8  </w:t>
                              </w:r>
                            </w:p>
                          </w:txbxContent>
                        </wps:txbx>
                        <wps:bodyPr rot="0" vert="horz" wrap="square" lIns="91440" tIns="45720" rIns="91440" bIns="45720" upright="1">
                          <a:noAutofit/>
                        </wps:bodyPr>
                      </wps:wsp>
                      <wps:wsp>
                        <wps:cNvPr id="5" name="Line 23"/>
                        <wps:cNvCnPr>
                          <a:cxnSpLocks noChangeShapeType="1"/>
                        </wps:cNvCnPr>
                        <wps:spPr bwMode="auto">
                          <a:xfrm>
                            <a:off x="837892" y="152549"/>
                            <a:ext cx="3581886" cy="281887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 name="Line 24"/>
                        <wps:cNvCnPr>
                          <a:cxnSpLocks noChangeShapeType="1"/>
                        </wps:cNvCnPr>
                        <wps:spPr bwMode="auto">
                          <a:xfrm>
                            <a:off x="2590449" y="1523851"/>
                            <a:ext cx="0" cy="1447576"/>
                          </a:xfrm>
                          <a:prstGeom prst="line">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7" name="Line 25"/>
                        <wps:cNvCnPr>
                          <a:cxnSpLocks noChangeShapeType="1"/>
                        </wps:cNvCnPr>
                        <wps:spPr bwMode="auto">
                          <a:xfrm>
                            <a:off x="837892" y="1523851"/>
                            <a:ext cx="175255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Text Box 26"/>
                        <wps:cNvSpPr txBox="1">
                          <a:spLocks noChangeArrowheads="1"/>
                        </wps:cNvSpPr>
                        <wps:spPr bwMode="auto">
                          <a:xfrm>
                            <a:off x="1295224" y="1568139"/>
                            <a:ext cx="852751" cy="337084"/>
                          </a:xfrm>
                          <a:prstGeom prst="rect">
                            <a:avLst/>
                          </a:prstGeom>
                          <a:noFill/>
                          <a:ln>
                            <a:noFill/>
                          </a:ln>
                          <a:extLst>
                            <a:ext uri="{909E8E84-426E-40DD-AFC4-6F175D3DCCD1}">
                              <a14:hiddenFill xmlns:a14="http://schemas.microsoft.com/office/drawing/2010/main">
                                <a:solidFill>
                                  <a:srgbClr val="BBE0E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Profit</w:t>
                              </w:r>
                            </w:p>
                          </w:txbxContent>
                        </wps:txbx>
                        <wps:bodyPr rot="0" vert="horz" wrap="square" lIns="91440" tIns="45720" rIns="91440" bIns="45720" upright="1">
                          <a:noAutofit/>
                        </wps:bodyPr>
                      </wps:wsp>
                      <wps:wsp>
                        <wps:cNvPr id="9" name="Line 27"/>
                        <wps:cNvCnPr>
                          <a:cxnSpLocks noChangeShapeType="1"/>
                        </wps:cNvCnPr>
                        <wps:spPr bwMode="auto">
                          <a:xfrm>
                            <a:off x="837892" y="1905224"/>
                            <a:ext cx="175255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Text Box 28"/>
                        <wps:cNvSpPr txBox="1">
                          <a:spLocks noChangeArrowheads="1"/>
                        </wps:cNvSpPr>
                        <wps:spPr bwMode="auto">
                          <a:xfrm>
                            <a:off x="0" y="0"/>
                            <a:ext cx="691777" cy="2341547"/>
                          </a:xfrm>
                          <a:prstGeom prst="rect">
                            <a:avLst/>
                          </a:prstGeom>
                          <a:noFill/>
                          <a:ln>
                            <a:noFill/>
                          </a:ln>
                          <a:extLst>
                            <a:ext uri="{909E8E84-426E-40DD-AFC4-6F175D3DCCD1}">
                              <a14:hiddenFill xmlns:a14="http://schemas.microsoft.com/office/drawing/2010/main">
                                <a:solidFill>
                                  <a:srgbClr val="BBE0E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 xml:space="preserve">$5.00 </w:t>
                              </w:r>
                            </w:p>
                            <w:p w:rsidR="00EF5513" w:rsidRPr="00CC751B" w:rsidRDefault="00EF5513" w:rsidP="00EF5513">
                              <w:pPr>
                                <w:autoSpaceDE w:val="0"/>
                                <w:autoSpaceDN w:val="0"/>
                                <w:adjustRightInd w:val="0"/>
                                <w:rPr>
                                  <w:rFonts w:ascii="Times New Roman" w:hAnsi="Times New Roman"/>
                                  <w:sz w:val="32"/>
                                  <w:szCs w:val="32"/>
                                </w:rPr>
                              </w:pPr>
                            </w:p>
                            <w:p w:rsidR="00EF5513" w:rsidRPr="00CC751B" w:rsidRDefault="00EF5513" w:rsidP="00EF5513">
                              <w:pPr>
                                <w:autoSpaceDE w:val="0"/>
                                <w:autoSpaceDN w:val="0"/>
                                <w:adjustRightInd w:val="0"/>
                                <w:rPr>
                                  <w:rFonts w:ascii="Times New Roman" w:hAnsi="Times New Roman"/>
                                  <w:sz w:val="40"/>
                                  <w:szCs w:val="40"/>
                                </w:rPr>
                              </w:pPr>
                            </w:p>
                            <w:p w:rsidR="00EF5513" w:rsidRPr="00CC751B" w:rsidRDefault="00EF5513" w:rsidP="00EF5513">
                              <w:pPr>
                                <w:autoSpaceDE w:val="0"/>
                                <w:autoSpaceDN w:val="0"/>
                                <w:adjustRightInd w:val="0"/>
                                <w:rPr>
                                  <w:rFonts w:ascii="Times New Roman" w:hAnsi="Times New Roman"/>
                                  <w:sz w:val="40"/>
                                  <w:szCs w:val="40"/>
                                </w:rPr>
                              </w:pPr>
                            </w:p>
                            <w:p w:rsidR="00EF5513" w:rsidRPr="00CC751B" w:rsidRDefault="00EF5513" w:rsidP="00EF5513">
                              <w:pPr>
                                <w:autoSpaceDE w:val="0"/>
                                <w:autoSpaceDN w:val="0"/>
                                <w:adjustRightInd w:val="0"/>
                                <w:rPr>
                                  <w:rFonts w:ascii="Times New Roman" w:hAnsi="Times New Roman"/>
                                  <w:sz w:val="32"/>
                                  <w:szCs w:val="32"/>
                                </w:rPr>
                              </w:pPr>
                            </w:p>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 xml:space="preserve">$2.50 </w:t>
                              </w:r>
                            </w:p>
                            <w:p w:rsidR="00EF5513" w:rsidRPr="00CC751B" w:rsidRDefault="00EF5513" w:rsidP="00EF5513">
                              <w:pPr>
                                <w:autoSpaceDE w:val="0"/>
                                <w:autoSpaceDN w:val="0"/>
                                <w:adjustRightInd w:val="0"/>
                                <w:rPr>
                                  <w:rFonts w:ascii="Times New Roman" w:hAnsi="Times New Roman"/>
                                  <w:sz w:val="24"/>
                                  <w:szCs w:val="24"/>
                                </w:rPr>
                              </w:pPr>
                            </w:p>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$1.50</w:t>
                              </w:r>
                            </w:p>
                            <w:p w:rsidR="00EF5513" w:rsidRDefault="00EF5513" w:rsidP="00EF5513">
                              <w:pPr>
                                <w:autoSpaceDE w:val="0"/>
                                <w:autoSpaceDN w:val="0"/>
                                <w:adjustRightInd w:val="0"/>
                                <w:rPr>
                                  <w:sz w:val="32"/>
                                  <w:szCs w:val="32"/>
                                </w:rPr>
                              </w:pPr>
                            </w:p>
                          </w:txbxContent>
                        </wps:txbx>
                        <wps:bodyPr rot="0" vert="horz" wrap="square" lIns="91440" tIns="45720" rIns="91440" bIns="45720" upright="1">
                          <a:noAutofit/>
                        </wps:bodyPr>
                      </wps:wsp>
                      <wps:wsp>
                        <wps:cNvPr id="11" name="Text Box 29"/>
                        <wps:cNvSpPr txBox="1">
                          <a:spLocks noChangeArrowheads="1"/>
                        </wps:cNvSpPr>
                        <wps:spPr bwMode="auto">
                          <a:xfrm>
                            <a:off x="1149109" y="859524"/>
                            <a:ext cx="679394" cy="365790"/>
                          </a:xfrm>
                          <a:prstGeom prst="rect">
                            <a:avLst/>
                          </a:prstGeom>
                          <a:noFill/>
                          <a:ln>
                            <a:noFill/>
                          </a:ln>
                          <a:extLst>
                            <a:ext uri="{909E8E84-426E-40DD-AFC4-6F175D3DCCD1}">
                              <a14:hiddenFill xmlns:a14="http://schemas.microsoft.com/office/drawing/2010/main">
                                <a:solidFill>
                                  <a:srgbClr val="BBE0E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6"/>
                                  <w:szCs w:val="36"/>
                                </w:rPr>
                                <w:t>CS</w:t>
                              </w:r>
                            </w:p>
                          </w:txbxContent>
                        </wps:txbx>
                        <wps:bodyPr rot="0" vert="horz" wrap="square" lIns="91440" tIns="45720" rIns="91440" bIns="45720" upright="1">
                          <a:noAutofit/>
                        </wps:bodyPr>
                      </wps:wsp>
                      <wps:wsp>
                        <wps:cNvPr id="12" name="Text Box 30"/>
                        <wps:cNvSpPr txBox="1">
                          <a:spLocks noChangeArrowheads="1"/>
                        </wps:cNvSpPr>
                        <wps:spPr bwMode="auto">
                          <a:xfrm>
                            <a:off x="3124553" y="1371302"/>
                            <a:ext cx="923745" cy="581491"/>
                          </a:xfrm>
                          <a:prstGeom prst="rect">
                            <a:avLst/>
                          </a:prstGeom>
                          <a:noFill/>
                          <a:ln>
                            <a:noFill/>
                          </a:ln>
                          <a:extLst>
                            <a:ext uri="{909E8E84-426E-40DD-AFC4-6F175D3DCCD1}">
                              <a14:hiddenFill xmlns:a14="http://schemas.microsoft.com/office/drawing/2010/main">
                                <a:solidFill>
                                  <a:srgbClr val="BBE0E3"/>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Crossing</w:t>
                              </w:r>
                            </w:p>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 xml:space="preserve">Demand </w:t>
                              </w:r>
                            </w:p>
                          </w:txbxContent>
                        </wps:txbx>
                        <wps:bodyPr rot="0" vert="horz" wrap="square" lIns="91440" tIns="45720" rIns="91440" bIns="45720" upright="1">
                          <a:noAutofit/>
                        </wps:bodyPr>
                      </wps:wsp>
                    </wpc:wpc>
                  </a:graphicData>
                </a:graphic>
              </wp:inline>
            </w:drawing>
          </mc:Choice>
          <mc:Fallback>
            <w:pict>
              <v:group w14:anchorId="3D0E141C" id="Canvas 17" o:spid="_x0000_s1026" editas="canvas" style="width:434.4pt;height:264pt;mso-position-horizontal-relative:char;mso-position-vertical-relative:line" coordsize="55168,335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53KTQUAANgqAAAOAAAAZHJzL2Uyb0RvYy54bWzsWm1vqzYU/j5p/wHxPQ02NmDU9KrNyzSp&#10;2yq123cHSIIGmBnapLvaf9+xeQlJdnur3l5ULeQDMS+2D/jxc55z7MtPuzQxniJZxCKbmOjCMo0o&#10;C0QYZ+uJ+fvDYuSZRlHyLOSJyKKJ+RwV5qerH3+43OZ+hMVGJGEkDWgkK/xtPjE3ZZn743ERbKKU&#10;FxcijzK4uRIy5SWcyvU4lHwLrafJGFuWM94KGeZSBFFRwNVZddO80u2vVlFQ/rZaFVFpJBMTbCv1&#10;UerjUh3HV5fcX0ueb+KgNoO/wYqUxxl02jY14yU3HmV80lQaB1IUYlVeBCIdi9UqDiL9DvA2yDp6&#10;mynPnnihXyaAr9MYCKV3bHe5VnZnYhEnCXyNMbTuq2vqfwvjE8HFbQ6jU+TtOBXf1v/9hueRfq3C&#10;D359upNGHAJ4TCPjKWDkNs4iAzE1NqpjeGKa3UllZbDL7vNbEfxZGJmYbni2jnRbD8851EOqBtjf&#10;qaJOihw6WG5/ESE8wx9LoQdqt5KpahKGwNhNTM92PYZN47kFRbQrjQDuAGoCuIqZiwh2dRfcb2rn&#10;sih/ikRqqMLETMBy3Tp/ui1KZQ33m0cOvjL3k8zYTkxGMdUVCpHEoRoC9Vgh18tpIo0nrlCrf3W/&#10;B49J8ZiF0An3NxEP53W55HFSlaHzJFO34VXAnLpUwfIzs9jcm3tkRLAzHxFrNhtdL6Zk5CyQS2f2&#10;bDqdoX+UaYj4mzgMo0xZ10wRRF6HgHqyVuBuJ8kebIet6+8Fxjb/2mg9oGoMKzQsRfh8J5uBBlD2&#10;hE7ARgedWDPHAdTeHZ3GKonzPxSs1cid4rSDSD3EGq22hyxKwViFWW0koGBA67mh1W7Q+qBo7Ebs&#10;DKzZsUbsvaLEcgfXG3gVR7R6LaXYKloBqj/gVVW1mnKv4lXiWZZtgwhQFOpZ1KWOorI9YF3kUFLj&#10;1bYd7JCXKVaCS9cT4jUUqzrqkM0HpcMDUj/g/pubuTW3T7l//CXerL6rFh6fGcLEusFstHA8d0QW&#10;hI6Ya3kjC7Eb5liEkdnikOG14620GHTw1jnzzX4tjUvQhEmcgltund+XnVzroJT5jeto/v/LhZS7&#10;5Q4wqOZC5U0MKcB5g6MHIQuFjZB/m8YWROHELP565DIyjeTnDGYCQ4QoFalPCHXBDRiye2fZvfOY&#10;y3i9gQYrBs/ENYiPVax1wb5zsFSd9OfJyCk3YAWx3rkBExsxCrIPuMG2gAfsI27AGDmEAZcpZzaQ&#10;w5EwHMjhe5FDHY6cMUfQhiO0S8DaBdX80GsshiA+IjoS3CsGm3rI85w6LFNl13tZMwxh2VHC4f8T&#10;lgEMumGZFo+9ARVTZhGAp3JggFTbA2d2IG7r3AGoBpe62rl9lGhMZSVmvNhUOYYQSpXlQ06hRyXm&#10;HoKXdlRY3yx7il1IA2FKwcQhk3DOeS8I3SuC3WcSNJH1Hi0gDMlSDMGLJlvHQ/aRLvAodlU0UQUL&#10;EOkOmYR9FnkIFr5rsNAG0OeYUAAB1NVgeo2kNw3WWbhBzNIMcSDBBjc2LN+EIM9Bih/7MR019u7H&#10;wBDwYPXKc7PI6DDkurXWwjZBlHxlpXFIg8NK6ZAG76z1vikNrjNdbXbnHJ0Xarcd7AVud+tBf0tl&#10;CBGGrCqb4FEQu1q/7vNejstsBvpX61uHuuwry7sDRQwUwf3udpC3U0SbVztLimj3frQUYXf3f/RH&#10;ETYs6VIKC2IqBrZdZFs68NhzBMO2SyB5rzgC0uRAKC9nxgeOGDjivTiiTV9+MI7QOxphN6PeElBv&#10;9VT7M7vnehF+vyH16l8AAAD//wMAUEsDBBQABgAIAAAAIQDuSKRI2wAAAAUBAAAPAAAAZHJzL2Rv&#10;d25yZXYueG1sTI9BS8NAEIXvgv9hGcGb3VgwhjSbUhQpIh5s9T7NTpPQ7GzIbtLor3f0opcHwxve&#10;+16xnl2nJhpC69nA7SIBRVx523Jt4H3/dJOBChHZYueZDHxSgHV5eVFgbv2Z32jaxVpJCIccDTQx&#10;9rnWoWrIYVj4nli8ox8cRjmHWtsBzxLuOr1MklQ7bFkaGuzpoaHqtBudAZw2U+WOz+lLNX588f3j&#10;dt+/bo25vpo3K1CR5vj3DD/4gg6lMB38yDaozoAMib8qXpZmMuNg4G6ZJaDLQv+nL78BAAD//wMA&#10;UEsBAi0AFAAGAAgAAAAhALaDOJL+AAAA4QEAABMAAAAAAAAAAAAAAAAAAAAAAFtDb250ZW50X1R5&#10;cGVzXS54bWxQSwECLQAUAAYACAAAACEAOP0h/9YAAACUAQAACwAAAAAAAAAAAAAAAAAvAQAAX3Jl&#10;bHMvLnJlbHNQSwECLQAUAAYACAAAACEAsQudyk0FAADYKgAADgAAAAAAAAAAAAAAAAAuAgAAZHJz&#10;L2Uyb0RvYy54bWxQSwECLQAUAAYACAAAACEA7kikSNsAAAAFAQAADwAAAAAAAAAAAAAAAACnBwAA&#10;ZHJzL2Rvd25yZXYueG1sUEsFBgAAAAAEAAQA8wAAAK8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5168;height:33528;visibility:visible;mso-wrap-style:square">
                  <v:fill o:detectmouseclick="t"/>
                  <v:path o:connecttype="none"/>
                </v:shape>
                <v:line id="Line 19" o:spid="_x0000_s1028" style="position:absolute;visibility:visible;mso-wrap-style:square" from="8378,0" to="8378,29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i8XMMIAAADaAAAADwAAAGRycy9kb3ducmV2LnhtbERPTWvCQBC9C/6HZYTedGMLoURXEaWg&#10;PZRqBT2O2TGJZmfD7jZJ/31XKPQ0PN7nzJe9qUVLzleWFUwnCQji3OqKCwXHr7fxKwgfkDXWlknB&#10;D3lYLoaDOWbadryn9hAKEUPYZ6igDKHJpPR5SQb9xDbEkbtaZzBE6AqpHXYx3NTyOUlSabDi2FBi&#10;Q+uS8vvh2yj4ePlM29Xufdufdukl3+wv51vnlHoa9asZiEB9+Bf/ubc6zofHK48rF7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ji8XMMIAAADaAAAADwAAAAAAAAAAAAAA&#10;AAChAgAAZHJzL2Rvd25yZXYueG1sUEsFBgAAAAAEAAQA+QAAAJADAAAAAA==&#10;"/>
                <v:line id="Line 20" o:spid="_x0000_s1029" style="position:absolute;flip:y;visibility:visible;mso-wrap-style:square" from="8378,29714" to="46484,29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47dYMQAAADaAAAADwAAAGRycy9kb3ducmV2LnhtbESPQWsCMRSE74L/IbxCL6LZSim6NYoU&#10;hB681MqKt9fN62bZzcuaRN3++0YQPA4z8w2zWPW2FRfyoXas4GWSgSAuna65UrD/3oxnIEJE1tg6&#10;JgV/FGC1HA4WmGt35S+67GIlEoRDjgpMjF0uZSgNWQwT1xEn79d5izFJX0nt8ZrgtpXTLHuTFmtO&#10;CwY7+jBUNruzVSBn29HJr39em6I5HOamKIvuuFXq+alfv4OI1MdH+N7+1AqmcLuSboBc/g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7jt1gxAAAANoAAAAPAAAAAAAAAAAA&#10;AAAAAKECAABkcnMvZG93bnJldi54bWxQSwUGAAAAAAQABAD5AAAAkgMAAAAA&#10;"/>
                <v:shapetype id="_x0000_t202" coordsize="21600,21600" o:spt="202" path="m,l,21600r21600,l21600,xe">
                  <v:stroke joinstyle="miter"/>
                  <v:path gradientshapeok="t" o:connecttype="rect"/>
                </v:shapetype>
                <v:shape id="Text Box 21" o:spid="_x0000_s1030" type="#_x0000_t202" style="position:absolute;left:48003;top:28057;width:7165;height:33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vE/sYA&#10;AADaAAAADwAAAGRycy9kb3ducmV2LnhtbESPW2vCQBSE3wX/w3IE33TjhSLRVVRaFB+K9YI+nmZP&#10;k2D2bMhuNc2v7xYKPg4z8w0zW9SmEHeqXG5ZwaAfgSBOrM45VXA6vvUmIJxH1lhYJgU/5GAxb7dm&#10;GGv74A+6H3wqAoRdjAoy78tYSpdkZND1bUkcvC9bGfRBVqnUFT4C3BRyGEUv0mDOYSHDktYZJbfD&#10;t1Gw3b+uaLdpmmb8fjlPPq+njV/flOp26uUUhKfaP8P/7a1WMIK/K+EGyPk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BvE/sYAAADaAAAADwAAAAAAAAAAAAAAAACYAgAAZHJz&#10;L2Rvd25yZXYueG1sUEsFBgAAAAAEAAQA9QAAAIsDAAAAAA==&#10;" filled="f" fillcolor="#bbe0e3" stroked="f">
                  <v:textbox>
                    <w:txbxContent>
                      <w:p w:rsidR="00EF5513" w:rsidRDefault="00EF5513" w:rsidP="00EF5513">
                        <w:pPr>
                          <w:autoSpaceDE w:val="0"/>
                          <w:autoSpaceDN w:val="0"/>
                          <w:adjustRightInd w:val="0"/>
                          <w:rPr>
                            <w:sz w:val="32"/>
                            <w:szCs w:val="32"/>
                          </w:rPr>
                        </w:pPr>
                        <w:r w:rsidRPr="00CC751B">
                          <w:rPr>
                            <w:rFonts w:ascii="Times New Roman" w:hAnsi="Times New Roman"/>
                            <w:sz w:val="32"/>
                            <w:szCs w:val="32"/>
                          </w:rPr>
                          <w:t>Trips</w:t>
                        </w:r>
                      </w:p>
                    </w:txbxContent>
                  </v:textbox>
                </v:shape>
                <v:shape id="Text Box 22" o:spid="_x0000_s1031" type="#_x0000_t202" style="position:absolute;left:24319;top:30165;width:22165;height:33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JcisUA&#10;AADaAAAADwAAAGRycy9kb3ducmV2LnhtbESPQWvCQBSE74X+h+UVvNWNRURSN0GlovQg1Sr2+Jp9&#10;JsHs25Ddasyv7wqCx2FmvmEmaWsqcabGlZYVDPoRCOLM6pJzBbvvxesYhPPIGivLpOBKDtLk+WmC&#10;sbYX3tB563MRIOxiVFB4X8dSuqwgg65va+LgHW1j0AfZ5FI3eAlwU8m3KBpJgyWHhQJrmheUnbZ/&#10;RsHq62NGn8uu64brw378+7Nb+vlJqd5LO30H4an1j/C9vdIKhnC7Em6AT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8lyKxQAAANoAAAAPAAAAAAAAAAAAAAAAAJgCAABkcnMv&#10;ZG93bnJldi54bWxQSwUGAAAAAAQABAD1AAAAigMAAAAA&#10;" filled="f" fillcolor="#bbe0e3" stroked="f">
                  <v:textbo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 xml:space="preserve">4                                  8  </w:t>
                        </w:r>
                      </w:p>
                    </w:txbxContent>
                  </v:textbox>
                </v:shape>
                <v:line id="Line 23" o:spid="_x0000_s1032" style="position:absolute;visibility:visible;mso-wrap-style:square" from="8378,1525" to="44197,29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RQRM8UAAADaAAAADwAAAGRycy9kb3ducmV2LnhtbESPT2vCQBTE74V+h+UJvdWNLQ0SXUVa&#10;CupB6h/Q4zP7TGKzb8PumqTfvisUehxm5jfMdN6bWrTkfGVZwWiYgCDOra64UHDYfz6PQfiArLG2&#10;TAp+yMN89vgwxUzbjrfU7kIhIoR9hgrKEJpMSp+XZNAPbUMcvYt1BkOUrpDaYRfhppYvSZJKgxXH&#10;hRIbei8p/97djILN61faLlbrZX9cpef8Y3s+XTun1NOgX0xABOrDf/ivvdQK3uB+Jd4AOfs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RQRM8UAAADaAAAADwAAAAAAAAAA&#10;AAAAAAChAgAAZHJzL2Rvd25yZXYueG1sUEsFBgAAAAAEAAQA+QAAAJMDAAAAAA==&#10;"/>
                <v:line id="Line 24" o:spid="_x0000_s1033" style="position:absolute;visibility:visible;mso-wrap-style:square" from="25904,15238" to="25904,29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OAxFcEAAADaAAAADwAAAGRycy9kb3ducmV2LnhtbESPzYrCMBSF98K8Q7gDs9NUF6Ido4gg&#10;uHBGtDLrS3Ntq81NTWLtvL0RBJeH8/NxZovO1KIl5yvLCoaDBARxbnXFhYJjtu5PQPiArLG2TAr+&#10;ycNi/tGbYartnffUHkIh4gj7FBWUITSplD4vyaAf2IY4eifrDIYoXSG1w3scN7UcJclYGqw4Ekps&#10;aFVSfjncTOTmxdZd/86XbnP62a6v3E5/s51SX5/d8htEoC68w6/2RisYw/NKvAFy/g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w4DEVwQAAANoAAAAPAAAAAAAAAAAAAAAA&#10;AKECAABkcnMvZG93bnJldi54bWxQSwUGAAAAAAQABAD5AAAAjwMAAAAA&#10;">
                  <v:stroke dashstyle="dash"/>
                </v:line>
                <v:line id="Line 25" o:spid="_x0000_s1034" style="position:absolute;visibility:visible;mso-wrap-style:square" from="8378,15238" to="25904,152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ooq38UAAADaAAAADwAAAGRycy9kb3ducmV2LnhtbESPT2vCQBTE74V+h+UJvdWNLaQSXUVa&#10;Cuqh1D+gx2f2mcRm34bdNUm/vSsUehxm5jfMdN6bWrTkfGVZwWiYgCDOra64ULDffT6PQfiArLG2&#10;TAp+ycN89vgwxUzbjjfUbkMhIoR9hgrKEJpMSp+XZNAPbUMcvbN1BkOUrpDaYRfhppYvSZJKgxXH&#10;hRIbei8p/9lejYKv1++0XazWy/6wSk/5x+Z0vHROqadBv5iACNSH//Bfe6kVvMH9SrwBcnY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ooq38UAAADaAAAADwAAAAAAAAAA&#10;AAAAAAChAgAAZHJzL2Rvd25yZXYueG1sUEsFBgAAAAAEAAQA+QAAAJMDAAAAAA==&#10;"/>
                <v:shape id="Text Box 26" o:spid="_x0000_s1035" type="#_x0000_t202" style="position:absolute;left:12952;top:15681;width:8527;height:33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9Wj8MA&#10;AADaAAAADwAAAGRycy9kb3ducmV2LnhtbERPy2rCQBTdF/yH4Qrd1YmliKQZpRVLQhfiI6Vd3mZu&#10;k2DmTshMNebrnYXg8nDeybI3jThR52rLCqaTCARxYXXNpYL88PE0B+E8ssbGMim4kIPlYvSQYKzt&#10;mXd02vtShBB2MSqovG9jKV1RkUE3sS1x4P5sZ9AH2JVSd3gO4aaRz1E0kwZrDg0VtrSqqDju/42C&#10;bLt+p890GIaXzffX/PcnT/3qqNTjuH97BeGp93fxzZ1pBWFruBJugFx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r9Wj8MAAADaAAAADwAAAAAAAAAAAAAAAACYAgAAZHJzL2Rv&#10;d25yZXYueG1sUEsFBgAAAAAEAAQA9QAAAIgDAAAAAA==&#10;" filled="f" fillcolor="#bbe0e3" stroked="f">
                  <v:textbo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Profit</w:t>
                        </w:r>
                      </w:p>
                    </w:txbxContent>
                  </v:textbox>
                </v:shape>
                <v:line id="Line 27" o:spid="_x0000_s1036" style="position:absolute;visibility:visible;mso-wrap-style:square" from="8378,19052" to="25904,1905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FkbNsUAAADaAAAADwAAAGRycy9kb3ducmV2LnhtbESPT2vCQBTE74V+h+UJvdWNLYQaXUVa&#10;Cuqh1D+gx2f2mcRm34bdNUm/vSsUehxm5jfMdN6bWrTkfGVZwWiYgCDOra64ULDffT6/gfABWWNt&#10;mRT8kof57PFhipm2HW+o3YZCRAj7DBWUITSZlD4vyaAf2oY4emfrDIYoXSG1wy7CTS1fkiSVBiuO&#10;CyU29F5S/rO9GgVfr99pu1itl/1hlZ7yj83peOmcUk+DfjEBEagP/+G/9lIrGMP9SrwBcnY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FkbNsUAAADaAAAADwAAAAAAAAAA&#10;AAAAAAChAgAAZHJzL2Rvd25yZXYueG1sUEsFBgAAAAAEAAQA+QAAAJMDAAAAAA==&#10;"/>
                <v:shape id="Text Box 28" o:spid="_x0000_s1037" type="#_x0000_t202" style="position:absolute;width:6917;height:234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Uv68YA&#10;AADbAAAADwAAAGRycy9kb3ducmV2LnhtbESPT2vCQBDF70K/wzKF3nRTKUWiq7RSUXqQ+g89TrPT&#10;JJidDdmtpvn0zqHgbYb35r3fTGatq9SFmlB6NvA8SEARZ96WnBvY7xb9EagQkS1WnsnAHwWYTR96&#10;E0ytv/KGLtuYKwnhkKKBIsY61TpkBTkMA18Ti/bjG4dR1ibXtsGrhLtKD5PkVTssWRoKrGleUHbe&#10;/joDq6+Pd/pcdl33sj4eRt+n/TLOz8Y8PbZvY1CR2ng3/1+vrOALvfwiA+jpD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KUv68YAAADbAAAADwAAAAAAAAAAAAAAAACYAgAAZHJz&#10;L2Rvd25yZXYueG1sUEsFBgAAAAAEAAQA9QAAAIsDAAAAAA==&#10;" filled="f" fillcolor="#bbe0e3" stroked="f">
                  <v:textbo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 xml:space="preserve">$5.00 </w:t>
                        </w:r>
                      </w:p>
                      <w:p w:rsidR="00EF5513" w:rsidRPr="00CC751B" w:rsidRDefault="00EF5513" w:rsidP="00EF5513">
                        <w:pPr>
                          <w:autoSpaceDE w:val="0"/>
                          <w:autoSpaceDN w:val="0"/>
                          <w:adjustRightInd w:val="0"/>
                          <w:rPr>
                            <w:rFonts w:ascii="Times New Roman" w:hAnsi="Times New Roman"/>
                            <w:sz w:val="32"/>
                            <w:szCs w:val="32"/>
                          </w:rPr>
                        </w:pPr>
                      </w:p>
                      <w:p w:rsidR="00EF5513" w:rsidRPr="00CC751B" w:rsidRDefault="00EF5513" w:rsidP="00EF5513">
                        <w:pPr>
                          <w:autoSpaceDE w:val="0"/>
                          <w:autoSpaceDN w:val="0"/>
                          <w:adjustRightInd w:val="0"/>
                          <w:rPr>
                            <w:rFonts w:ascii="Times New Roman" w:hAnsi="Times New Roman"/>
                            <w:sz w:val="40"/>
                            <w:szCs w:val="40"/>
                          </w:rPr>
                        </w:pPr>
                      </w:p>
                      <w:p w:rsidR="00EF5513" w:rsidRPr="00CC751B" w:rsidRDefault="00EF5513" w:rsidP="00EF5513">
                        <w:pPr>
                          <w:autoSpaceDE w:val="0"/>
                          <w:autoSpaceDN w:val="0"/>
                          <w:adjustRightInd w:val="0"/>
                          <w:rPr>
                            <w:rFonts w:ascii="Times New Roman" w:hAnsi="Times New Roman"/>
                            <w:sz w:val="40"/>
                            <w:szCs w:val="40"/>
                          </w:rPr>
                        </w:pPr>
                      </w:p>
                      <w:p w:rsidR="00EF5513" w:rsidRPr="00CC751B" w:rsidRDefault="00EF5513" w:rsidP="00EF5513">
                        <w:pPr>
                          <w:autoSpaceDE w:val="0"/>
                          <w:autoSpaceDN w:val="0"/>
                          <w:adjustRightInd w:val="0"/>
                          <w:rPr>
                            <w:rFonts w:ascii="Times New Roman" w:hAnsi="Times New Roman"/>
                            <w:sz w:val="32"/>
                            <w:szCs w:val="32"/>
                          </w:rPr>
                        </w:pPr>
                      </w:p>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 xml:space="preserve">$2.50 </w:t>
                        </w:r>
                      </w:p>
                      <w:p w:rsidR="00EF5513" w:rsidRPr="00CC751B" w:rsidRDefault="00EF5513" w:rsidP="00EF5513">
                        <w:pPr>
                          <w:autoSpaceDE w:val="0"/>
                          <w:autoSpaceDN w:val="0"/>
                          <w:adjustRightInd w:val="0"/>
                          <w:rPr>
                            <w:rFonts w:ascii="Times New Roman" w:hAnsi="Times New Roman"/>
                            <w:sz w:val="24"/>
                            <w:szCs w:val="24"/>
                          </w:rPr>
                        </w:pPr>
                      </w:p>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$1.50</w:t>
                        </w:r>
                      </w:p>
                      <w:p w:rsidR="00EF5513" w:rsidRDefault="00EF5513" w:rsidP="00EF5513">
                        <w:pPr>
                          <w:autoSpaceDE w:val="0"/>
                          <w:autoSpaceDN w:val="0"/>
                          <w:adjustRightInd w:val="0"/>
                          <w:rPr>
                            <w:sz w:val="32"/>
                            <w:szCs w:val="32"/>
                          </w:rPr>
                        </w:pPr>
                      </w:p>
                    </w:txbxContent>
                  </v:textbox>
                </v:shape>
                <v:shape id="Text Box 29" o:spid="_x0000_s1038" type="#_x0000_t202" style="position:absolute;left:11491;top:8595;width:6794;height:36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KcMQA&#10;AADbAAAADwAAAGRycy9kb3ducmV2LnhtbERPS2vCQBC+C/0PyxR6MxuliEQ3oZWK0kOpL/Q4ZqdJ&#10;MDsbsluN+fXdQqG3+fieM886U4srta6yrGAUxSCIc6srLhTsd8vhFITzyBpry6TgTg6y9GEwx0Tb&#10;G2/ouvWFCCHsElRQet8kUrq8JIMusg1x4L5sa9AH2BZSt3gL4aaW4zieSIMVh4YSG1qUlF+230bB&#10;+vPtld5Xfd8/fxwP0/Npv/KLi1JPj93LDISnzv+L/9xrHeaP4PeXcIBM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fpinDEAAAA2wAAAA8AAAAAAAAAAAAAAAAAmAIAAGRycy9k&#10;b3ducmV2LnhtbFBLBQYAAAAABAAEAPUAAACJAwAAAAA=&#10;" filled="f" fillcolor="#bbe0e3" stroked="f">
                  <v:textbo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6"/>
                            <w:szCs w:val="36"/>
                          </w:rPr>
                          <w:t>CS</w:t>
                        </w:r>
                      </w:p>
                    </w:txbxContent>
                  </v:textbox>
                </v:shape>
                <v:shape id="Text Box 30" o:spid="_x0000_s1039" type="#_x0000_t202" style="position:absolute;left:31245;top:13713;width:9237;height:58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sUB8MA&#10;AADbAAAADwAAAGRycy9kb3ducmV2LnhtbERPS2vCQBC+C/6HZQRvZlMRkegqrShKD6W+0OOYnSbB&#10;7GzIbjXm13cLhd7m43vObNGYUtypdoVlBS9RDII4tbrgTMHxsB5MQDiPrLG0TAqe5GAx73ZmmGj7&#10;4B3d9z4TIYRdggpy76tESpfmZNBFtiIO3JetDfoA60zqGh8h3JRyGMdjabDg0JBjRcuc0tv+2yjY&#10;fq7e6H3Ttu3o43yaXC/HjV/elOr3mtcpCE+N/xf/ubc6zB/C7y/hADn/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zsUB8MAAADbAAAADwAAAAAAAAAAAAAAAACYAgAAZHJzL2Rv&#10;d25yZXYueG1sUEsFBgAAAAAEAAQA9QAAAIgDAAAAAA==&#10;" filled="f" fillcolor="#bbe0e3" stroked="f">
                  <v:textbox>
                    <w:txbxContent>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Crossing</w:t>
                        </w:r>
                      </w:p>
                      <w:p w:rsidR="00EF5513" w:rsidRPr="00CC751B" w:rsidRDefault="00EF5513" w:rsidP="00EF5513">
                        <w:pPr>
                          <w:autoSpaceDE w:val="0"/>
                          <w:autoSpaceDN w:val="0"/>
                          <w:adjustRightInd w:val="0"/>
                          <w:rPr>
                            <w:rFonts w:ascii="Times New Roman" w:hAnsi="Times New Roman"/>
                            <w:sz w:val="32"/>
                            <w:szCs w:val="32"/>
                          </w:rPr>
                        </w:pPr>
                        <w:r w:rsidRPr="00CC751B">
                          <w:rPr>
                            <w:rFonts w:ascii="Times New Roman" w:hAnsi="Times New Roman"/>
                            <w:sz w:val="32"/>
                            <w:szCs w:val="32"/>
                          </w:rPr>
                          <w:t xml:space="preserve">Demand </w:t>
                        </w:r>
                      </w:p>
                    </w:txbxContent>
                  </v:textbox>
                </v:shape>
                <w10:anchorlock/>
              </v:group>
            </w:pict>
          </mc:Fallback>
        </mc:AlternateContent>
      </w:r>
    </w:p>
    <w:p w:rsidR="00EF5513" w:rsidRDefault="00EF5513" w:rsidP="00EF5513">
      <w:pPr>
        <w:ind w:left="720" w:hanging="720"/>
        <w:rPr>
          <w:rFonts w:ascii="Times New Roman" w:hAnsi="Times New Roman"/>
          <w:sz w:val="24"/>
        </w:rPr>
      </w:pPr>
    </w:p>
    <w:p w:rsidR="00EF5513" w:rsidRDefault="00EF5513" w:rsidP="00EF5513">
      <w:pPr>
        <w:tabs>
          <w:tab w:val="left" w:pos="1170"/>
          <w:tab w:val="left" w:pos="2160"/>
          <w:tab w:val="left" w:pos="2880"/>
        </w:tabs>
        <w:ind w:left="810" w:hanging="720"/>
        <w:rPr>
          <w:rFonts w:ascii="Times New Roman" w:hAnsi="Times New Roman"/>
          <w:sz w:val="24"/>
        </w:rPr>
      </w:pPr>
      <w:r>
        <w:rPr>
          <w:rFonts w:ascii="Times New Roman" w:hAnsi="Times New Roman"/>
          <w:sz w:val="24"/>
        </w:rPr>
        <w:tab/>
        <w:t xml:space="preserve">For the tunnel, the authorities set a $0 toll to allow maximum usage. Thus, its annual net benefit = Consumer Surplus - Annual Costs. Consumer surplus is area of the triangle </w:t>
      </w:r>
      <w:r>
        <w:rPr>
          <w:rFonts w:ascii="Times New Roman" w:hAnsi="Times New Roman"/>
          <w:sz w:val="24"/>
        </w:rPr>
        <w:lastRenderedPageBreak/>
        <w:t xml:space="preserve">under the demand curve and above the price line: </w:t>
      </w:r>
      <w:proofErr w:type="gramStart"/>
      <w:r>
        <w:rPr>
          <w:rFonts w:ascii="Times New Roman" w:hAnsi="Times New Roman"/>
          <w:sz w:val="24"/>
        </w:rPr>
        <w:t>CS  =</w:t>
      </w:r>
      <w:proofErr w:type="gramEnd"/>
      <w:r>
        <w:rPr>
          <w:rFonts w:ascii="Times New Roman" w:hAnsi="Times New Roman"/>
          <w:sz w:val="24"/>
        </w:rPr>
        <w:t>(.5)(5.00)(8) = $20 million per year. After subtracting the $2 million annual cost, the tunnel’s NPV is $18/.06 - $100 (capital cost) = $200 million.</w:t>
      </w:r>
    </w:p>
    <w:p w:rsidR="00EF5513" w:rsidRDefault="00EF5513" w:rsidP="00EF5513">
      <w:pPr>
        <w:pStyle w:val="BodyTextIndent2"/>
        <w:tabs>
          <w:tab w:val="clear" w:pos="1440"/>
          <w:tab w:val="left" w:pos="1170"/>
          <w:tab w:val="left" w:pos="1800"/>
        </w:tabs>
      </w:pPr>
      <w:r>
        <w:tab/>
      </w:r>
      <w:r>
        <w:tab/>
        <w:t>Since the NPV of the tunnel is much greater than the NPV of the ferry service, the community should fund the tunnel.</w:t>
      </w:r>
    </w:p>
    <w:p w:rsidR="00EF5513" w:rsidRDefault="00EF5513" w:rsidP="00EF5513">
      <w:pPr>
        <w:pStyle w:val="BodyTextIndent2"/>
        <w:tabs>
          <w:tab w:val="clear" w:pos="1440"/>
          <w:tab w:val="left" w:pos="1170"/>
          <w:tab w:val="left" w:pos="1800"/>
        </w:tabs>
      </w:pPr>
    </w:p>
    <w:p w:rsidR="00EF5513" w:rsidRDefault="00EF5513" w:rsidP="00EF5513">
      <w:pPr>
        <w:ind w:left="720" w:hanging="720"/>
        <w:rPr>
          <w:rFonts w:ascii="Times New Roman" w:hAnsi="Times New Roman"/>
          <w:sz w:val="24"/>
        </w:rPr>
      </w:pPr>
      <w:r>
        <w:rPr>
          <w:rFonts w:ascii="Times New Roman" w:hAnsi="Times New Roman"/>
          <w:sz w:val="24"/>
        </w:rPr>
        <w:t>L8</w:t>
      </w:r>
      <w:r>
        <w:rPr>
          <w:rFonts w:ascii="Times New Roman" w:hAnsi="Times New Roman"/>
          <w:sz w:val="24"/>
        </w:rPr>
        <w:tab/>
        <w:t>There are many difficulties involved in valuing human lives. But, whether explicit estimates are made or not, many government projects and regulations involve human health and safety issues, and therefore, they are implicitly setting values on human life.</w:t>
      </w:r>
    </w:p>
    <w:p w:rsidR="00EF5513" w:rsidRDefault="00EF5513" w:rsidP="00EF5513">
      <w:pPr>
        <w:pStyle w:val="BodyTextIndent3"/>
        <w:tabs>
          <w:tab w:val="left" w:pos="1080"/>
        </w:tabs>
      </w:pPr>
      <w:r>
        <w:tab/>
        <w:t xml:space="preserve">  Several methods can be used for valuing human life. One method is the (lost) earnings method. This method values human life as the present value of lifetime earnings. Another method examines the premiums required to attract individuals into high-risk jobs and uses the premium differential to value the risk of loss of life.</w:t>
      </w:r>
    </w:p>
    <w:p w:rsidR="00EF5513" w:rsidRDefault="00EF5513" w:rsidP="00EF5513">
      <w:pPr>
        <w:ind w:left="720" w:hanging="720"/>
        <w:rPr>
          <w:rFonts w:ascii="Times New Roman" w:hAnsi="Times New Roman"/>
          <w:sz w:val="24"/>
        </w:rPr>
      </w:pPr>
    </w:p>
    <w:p w:rsidR="00EF5513" w:rsidRDefault="00EF5513" w:rsidP="00EF5513">
      <w:pPr>
        <w:ind w:left="720" w:hanging="720"/>
        <w:rPr>
          <w:rFonts w:ascii="Times New Roman" w:hAnsi="Times New Roman"/>
          <w:sz w:val="24"/>
        </w:rPr>
      </w:pPr>
      <w:r>
        <w:rPr>
          <w:rFonts w:ascii="Times New Roman" w:hAnsi="Times New Roman"/>
          <w:sz w:val="24"/>
        </w:rPr>
        <w:t>L9</w:t>
      </w:r>
      <w:r>
        <w:rPr>
          <w:rFonts w:ascii="Times New Roman" w:hAnsi="Times New Roman"/>
          <w:sz w:val="24"/>
        </w:rPr>
        <w:tab/>
        <w:t>Benefit-cost analysis is designed to evaluate the merits of government regulations. In this case, the regulatory alternatives are to maintain current speed limits or to increase them.</w:t>
      </w:r>
    </w:p>
    <w:p w:rsidR="00EF5513" w:rsidRDefault="00EF5513" w:rsidP="00EF5513">
      <w:pPr>
        <w:pStyle w:val="BodyTextIndent3"/>
        <w:tabs>
          <w:tab w:val="left" w:pos="1080"/>
        </w:tabs>
      </w:pPr>
      <w:r>
        <w:tab/>
        <w:t>The major benefit of increasing current speed limits is undoubtedly the time saved by truckers and drivers. One could estimate the time savings (total hours per year) due to the higher speed limit and multiply this by the average dollar value of these hours saved. (For the trucking industry, this value would roughly correspond to the average hourly wage paid to drivers. For ordinary drivers, one would need to estimate the value of their time.)</w:t>
      </w:r>
    </w:p>
    <w:p w:rsidR="00EF5513" w:rsidRDefault="00EF5513" w:rsidP="00EF5513">
      <w:pPr>
        <w:pStyle w:val="BodyTextIndent3"/>
        <w:tabs>
          <w:tab w:val="left" w:pos="1080"/>
        </w:tabs>
      </w:pPr>
      <w:r>
        <w:tab/>
        <w:t>The major costs of raising the speed limit include additional fatalities, increased number and severity of injuries from accidents at higher speeds, and increased fuel consumption.  Dollar values for lives lost can be estimated via the earnings approach or from wage premiums paid in risky occupations. Likewise, the health and medical costs of additional injuries can be measured. Finally, the added fuel costs can be estimated by the increased gasoline consumption at higher speeds multiplied by the number of miles driven at the higher speed and by the price of gasoline.</w:t>
      </w:r>
    </w:p>
    <w:p w:rsidR="002C4EF9" w:rsidRDefault="002C4EF9"/>
    <w:sectPr w:rsidR="002C4EF9" w:rsidSect="00B17697">
      <w:headerReference w:type="even" r:id="rId5"/>
      <w:headerReference w:type="default" r:id="rId6"/>
      <w:footerReference w:type="even" r:id="rId7"/>
      <w:footerReference w:type="default" r:id="rId8"/>
      <w:footerReference w:type="first" r:id="rId9"/>
      <w:endnotePr>
        <w:numFmt w:val="decimal"/>
      </w:endnotePr>
      <w:pgSz w:w="12240" w:h="15840"/>
      <w:pgMar w:top="1296" w:right="1440" w:bottom="1008" w:left="1440" w:header="720" w:footer="720" w:gutter="0"/>
      <w:pgNumType w:start="137"/>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w:altName w:val="Courier New"/>
    <w:panose1 w:val="02070409020205020404"/>
    <w:charset w:val="00"/>
    <w:family w:val="modern"/>
    <w:notTrueType/>
    <w:pitch w:val="fixed"/>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0264AA">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0264AA">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0264AA">
    <w:pPr>
      <w:pStyle w:val="Footer"/>
      <w:jc w:val="cen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0264AA">
    <w:pPr>
      <w:pStyle w:val="Header"/>
      <w:ind w:right="360" w:firstLine="360"/>
      <w:rPr>
        <w:rFonts w:ascii="Times New Roman" w:hAnsi="Times New Roman"/>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0264AA">
    <w:pPr>
      <w:pStyle w:val="Header"/>
      <w:ind w:right="360" w:firstLine="360"/>
      <w:jc w:val="right"/>
      <w:rPr>
        <w:rFonts w:ascii="Times New Roman" w:hAnsi="Times New Roman"/>
        <w:i/>
      </w:rPr>
    </w:pPr>
    <w:r>
      <w:rPr>
        <w:rFonts w:ascii="Times New Roman" w:hAnsi="Times New Roman"/>
      </w:rPr>
      <w:t xml:space="preserve">Regulation, Public Goods, and Benefit-Cost Analysis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2D96A68"/>
    <w:multiLevelType w:val="singleLevel"/>
    <w:tmpl w:val="8962097C"/>
    <w:lvl w:ilvl="0">
      <w:start w:val="1"/>
      <w:numFmt w:val="lowerLetter"/>
      <w:lvlText w:val="%1."/>
      <w:lvlJc w:val="left"/>
      <w:pPr>
        <w:tabs>
          <w:tab w:val="num" w:pos="1440"/>
        </w:tabs>
        <w:ind w:left="1440" w:hanging="72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endnotePr>
    <w:numFmt w:val="decimal"/>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513"/>
    <w:rsid w:val="000264AA"/>
    <w:rsid w:val="002C4EF9"/>
    <w:rsid w:val="00EF5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830548-D153-48D3-9AD5-E807E7D3D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5513"/>
    <w:pPr>
      <w:spacing w:after="0" w:line="240" w:lineRule="atLeast"/>
    </w:pPr>
    <w:rPr>
      <w:rFonts w:ascii="Courier" w:eastAsia="Times New Roman" w:hAnsi="Courier" w:cs="Times New Roman"/>
      <w:color w:val="000000"/>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rsid w:val="00EF5513"/>
    <w:pPr>
      <w:tabs>
        <w:tab w:val="left" w:pos="720"/>
      </w:tabs>
      <w:ind w:left="1440" w:hanging="1440"/>
    </w:pPr>
    <w:rPr>
      <w:rFonts w:ascii="Times New Roman" w:hAnsi="Times New Roman"/>
      <w:sz w:val="24"/>
    </w:rPr>
  </w:style>
  <w:style w:type="character" w:customStyle="1" w:styleId="BodyTextIndentChar">
    <w:name w:val="Body Text Indent Char"/>
    <w:basedOn w:val="DefaultParagraphFont"/>
    <w:link w:val="BodyTextIndent"/>
    <w:rsid w:val="00EF5513"/>
    <w:rPr>
      <w:rFonts w:ascii="Times New Roman" w:eastAsia="Times New Roman" w:hAnsi="Times New Roman" w:cs="Times New Roman"/>
      <w:color w:val="000000"/>
      <w:sz w:val="24"/>
      <w:szCs w:val="20"/>
      <w:lang w:val="en-US"/>
    </w:rPr>
  </w:style>
  <w:style w:type="paragraph" w:styleId="BodyTextIndent2">
    <w:name w:val="Body Text Indent 2"/>
    <w:basedOn w:val="Normal"/>
    <w:link w:val="BodyTextIndent2Char"/>
    <w:rsid w:val="00EF5513"/>
    <w:pPr>
      <w:tabs>
        <w:tab w:val="left" w:pos="720"/>
        <w:tab w:val="left" w:pos="1440"/>
        <w:tab w:val="left" w:pos="2160"/>
        <w:tab w:val="left" w:pos="2880"/>
      </w:tabs>
      <w:ind w:left="720" w:hanging="720"/>
    </w:pPr>
    <w:rPr>
      <w:rFonts w:ascii="Times New Roman" w:hAnsi="Times New Roman"/>
      <w:sz w:val="24"/>
    </w:rPr>
  </w:style>
  <w:style w:type="character" w:customStyle="1" w:styleId="BodyTextIndent2Char">
    <w:name w:val="Body Text Indent 2 Char"/>
    <w:basedOn w:val="DefaultParagraphFont"/>
    <w:link w:val="BodyTextIndent2"/>
    <w:rsid w:val="00EF5513"/>
    <w:rPr>
      <w:rFonts w:ascii="Times New Roman" w:eastAsia="Times New Roman" w:hAnsi="Times New Roman" w:cs="Times New Roman"/>
      <w:color w:val="000000"/>
      <w:sz w:val="24"/>
      <w:szCs w:val="20"/>
      <w:lang w:val="en-US"/>
    </w:rPr>
  </w:style>
  <w:style w:type="paragraph" w:styleId="Header">
    <w:name w:val="header"/>
    <w:basedOn w:val="Normal"/>
    <w:link w:val="HeaderChar"/>
    <w:rsid w:val="00EF5513"/>
    <w:pPr>
      <w:tabs>
        <w:tab w:val="center" w:pos="4320"/>
        <w:tab w:val="right" w:pos="8640"/>
      </w:tabs>
    </w:pPr>
  </w:style>
  <w:style w:type="character" w:customStyle="1" w:styleId="HeaderChar">
    <w:name w:val="Header Char"/>
    <w:basedOn w:val="DefaultParagraphFont"/>
    <w:link w:val="Header"/>
    <w:rsid w:val="00EF5513"/>
    <w:rPr>
      <w:rFonts w:ascii="Courier" w:eastAsia="Times New Roman" w:hAnsi="Courier" w:cs="Times New Roman"/>
      <w:color w:val="000000"/>
      <w:sz w:val="20"/>
      <w:szCs w:val="20"/>
      <w:lang w:val="en-US"/>
    </w:rPr>
  </w:style>
  <w:style w:type="paragraph" w:styleId="Footer">
    <w:name w:val="footer"/>
    <w:basedOn w:val="Normal"/>
    <w:link w:val="FooterChar"/>
    <w:rsid w:val="00EF5513"/>
    <w:pPr>
      <w:tabs>
        <w:tab w:val="center" w:pos="4320"/>
        <w:tab w:val="right" w:pos="8640"/>
      </w:tabs>
    </w:pPr>
  </w:style>
  <w:style w:type="character" w:customStyle="1" w:styleId="FooterChar">
    <w:name w:val="Footer Char"/>
    <w:basedOn w:val="DefaultParagraphFont"/>
    <w:link w:val="Footer"/>
    <w:rsid w:val="00EF5513"/>
    <w:rPr>
      <w:rFonts w:ascii="Courier" w:eastAsia="Times New Roman" w:hAnsi="Courier" w:cs="Times New Roman"/>
      <w:color w:val="000000"/>
      <w:sz w:val="20"/>
      <w:szCs w:val="20"/>
      <w:lang w:val="en-US"/>
    </w:rPr>
  </w:style>
  <w:style w:type="paragraph" w:styleId="BodyTextIndent3">
    <w:name w:val="Body Text Indent 3"/>
    <w:basedOn w:val="Normal"/>
    <w:link w:val="BodyTextIndent3Char"/>
    <w:rsid w:val="00EF5513"/>
    <w:pPr>
      <w:ind w:left="720"/>
    </w:pPr>
    <w:rPr>
      <w:rFonts w:ascii="Times New Roman" w:hAnsi="Times New Roman"/>
      <w:sz w:val="24"/>
    </w:rPr>
  </w:style>
  <w:style w:type="character" w:customStyle="1" w:styleId="BodyTextIndent3Char">
    <w:name w:val="Body Text Indent 3 Char"/>
    <w:basedOn w:val="DefaultParagraphFont"/>
    <w:link w:val="BodyTextIndent3"/>
    <w:rsid w:val="00EF5513"/>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theme" Target="theme/theme1.xml"/><Relationship Id="rId5" Type="http://schemas.openxmlformats.org/officeDocument/2006/relationships/header" Target="header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2470</Words>
  <Characters>14084</Characters>
  <Application>Microsoft Office Word</Application>
  <DocSecurity>0</DocSecurity>
  <Lines>117</Lines>
  <Paragraphs>33</Paragraphs>
  <ScaleCrop>false</ScaleCrop>
  <Company>SEF Queen Mary University of London</Company>
  <LinksUpToDate>false</LinksUpToDate>
  <CharactersWithSpaces>16521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Ravshonbek Otojanov</dc:creator>
  <cp:keywords/>
  <dc:description/>
  <cp:lastModifiedBy>Ravshonbek Otojanov</cp:lastModifiedBy>
  <cp:revision>2</cp:revision>
  <dcterms:created xsi:type="dcterms:W3CDTF">2016-02-06T20:08:00Z</dcterms:created>
  <dcterms:modified xsi:type="dcterms:W3CDTF">2016-02-06T20:08:00Z</dcterms:modified>
</cp:coreProperties>
</file>