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D6BC4" w14:textId="74A43D89" w:rsidR="002F14EE" w:rsidRDefault="002F14EE" w:rsidP="002F14EE">
      <w:pPr>
        <w:spacing w:after="0" w:line="360" w:lineRule="auto"/>
        <w:ind w:firstLine="720"/>
        <w:jc w:val="center"/>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5EC09E15" wp14:editId="22B79E67">
            <wp:extent cx="1882140" cy="838200"/>
            <wp:effectExtent l="0" t="0" r="3810" b="0"/>
            <wp:docPr id="51473712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4C9BF367" w14:textId="77777777" w:rsidR="002F14EE" w:rsidRDefault="002F14EE" w:rsidP="002F14EE">
      <w:pPr>
        <w:spacing w:after="0" w:line="360" w:lineRule="auto"/>
        <w:ind w:firstLine="720"/>
        <w:jc w:val="center"/>
        <w:rPr>
          <w:rFonts w:ascii="Arial" w:eastAsia="Calibri" w:hAnsi="Arial" w:cs="Arial"/>
          <w:b/>
          <w:bCs/>
          <w:kern w:val="0"/>
          <w:lang w:val="en-CA"/>
          <w14:ligatures w14:val="none"/>
        </w:rPr>
      </w:pPr>
    </w:p>
    <w:p w14:paraId="15D58EE9" w14:textId="77777777" w:rsidR="002F14EE" w:rsidRDefault="002F14EE" w:rsidP="002F14EE">
      <w:pPr>
        <w:spacing w:after="0" w:line="256"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 xml:space="preserve">        BA Leadership and Management</w:t>
      </w:r>
    </w:p>
    <w:p w14:paraId="3CD847FA" w14:textId="77777777" w:rsidR="002F14EE" w:rsidRDefault="002F14EE" w:rsidP="002F14EE">
      <w:pPr>
        <w:spacing w:after="0" w:line="256"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504E18A9" w14:textId="77777777" w:rsidR="002F14EE" w:rsidRDefault="002F14EE" w:rsidP="002F14EE">
      <w:pPr>
        <w:spacing w:after="0" w:line="256" w:lineRule="auto"/>
        <w:ind w:left="10" w:right="126" w:hanging="10"/>
        <w:jc w:val="center"/>
        <w:rPr>
          <w:rFonts w:ascii="Arial" w:eastAsia="Arial" w:hAnsi="Arial" w:cs="Arial"/>
          <w:b/>
          <w:color w:val="000000"/>
          <w:sz w:val="32"/>
          <w:szCs w:val="32"/>
          <w:lang w:eastAsia="zh-CN"/>
        </w:rPr>
      </w:pPr>
    </w:p>
    <w:p w14:paraId="5F14F93D" w14:textId="77777777" w:rsidR="002F14EE" w:rsidRDefault="002F14EE" w:rsidP="002F14EE">
      <w:pPr>
        <w:spacing w:after="0" w:line="256" w:lineRule="auto"/>
        <w:rPr>
          <w:rFonts w:ascii="Arial" w:eastAsia="Calibri" w:hAnsi="Arial" w:cs="Arial"/>
          <w:b/>
          <w:bCs/>
          <w:color w:val="000000"/>
          <w:sz w:val="32"/>
          <w:szCs w:val="32"/>
          <w:lang w:eastAsia="zh-CN"/>
        </w:rPr>
      </w:pPr>
      <w:r>
        <w:rPr>
          <w:rFonts w:ascii="Arial" w:eastAsia="Arial" w:hAnsi="Arial" w:cs="Arial"/>
          <w:b/>
          <w:color w:val="000000"/>
          <w:sz w:val="32"/>
          <w:szCs w:val="32"/>
          <w:lang w:eastAsia="zh-CN"/>
        </w:rPr>
        <w:t xml:space="preserve">                             </w:t>
      </w:r>
    </w:p>
    <w:p w14:paraId="42AA7DF0" w14:textId="77777777" w:rsidR="002F14EE" w:rsidRDefault="002F14EE" w:rsidP="002F14EE">
      <w:pPr>
        <w:spacing w:after="0" w:line="360" w:lineRule="auto"/>
        <w:ind w:firstLine="720"/>
        <w:jc w:val="center"/>
        <w:rPr>
          <w:rFonts w:ascii="Arial" w:eastAsia="Calibri" w:hAnsi="Arial" w:cs="Arial"/>
          <w:b/>
          <w:bCs/>
          <w:kern w:val="0"/>
          <w:sz w:val="32"/>
          <w:szCs w:val="32"/>
          <w14:ligatures w14:val="none"/>
        </w:rPr>
      </w:pPr>
      <w:bookmarkStart w:id="0" w:name="_Hlk223435451"/>
    </w:p>
    <w:bookmarkEnd w:id="0"/>
    <w:p w14:paraId="21AE45CB" w14:textId="38B3817C" w:rsidR="002F14EE" w:rsidRDefault="002F14EE" w:rsidP="002F14EE">
      <w:pPr>
        <w:spacing w:after="0" w:line="360" w:lineRule="auto"/>
        <w:ind w:firstLine="720"/>
        <w:rPr>
          <w:rFonts w:ascii="Arial" w:eastAsia="Calibri" w:hAnsi="Arial" w:cs="Arial"/>
          <w:b/>
          <w:bCs/>
          <w:kern w:val="0"/>
          <w:sz w:val="32"/>
          <w:szCs w:val="32"/>
          <w14:ligatures w14:val="none"/>
        </w:rPr>
      </w:pPr>
      <w:r>
        <w:rPr>
          <w:rFonts w:ascii="Arial" w:eastAsia="Calibri" w:hAnsi="Arial" w:cs="Arial"/>
          <w:b/>
          <w:bCs/>
          <w:kern w:val="0"/>
          <w:sz w:val="32"/>
          <w:szCs w:val="32"/>
          <w14:ligatures w14:val="none"/>
        </w:rPr>
        <w:t xml:space="preserve">                Developing a Research Proposal</w:t>
      </w:r>
    </w:p>
    <w:p w14:paraId="35B83BE9" w14:textId="36868040" w:rsidR="002F14EE" w:rsidRDefault="002F14EE" w:rsidP="002F14EE">
      <w:pPr>
        <w:spacing w:after="0" w:line="360" w:lineRule="auto"/>
        <w:ind w:firstLine="720"/>
        <w:jc w:val="center"/>
        <w:rPr>
          <w:rFonts w:ascii="Arial" w:eastAsia="Calibri" w:hAnsi="Arial" w:cs="Arial"/>
          <w:b/>
          <w:bCs/>
          <w:kern w:val="0"/>
          <w:sz w:val="32"/>
          <w:szCs w:val="32"/>
          <w14:ligatures w14:val="none"/>
        </w:rPr>
      </w:pPr>
      <w:r>
        <w:rPr>
          <w:rFonts w:ascii="Arial" w:eastAsia="Calibri" w:hAnsi="Arial" w:cs="Arial"/>
          <w:b/>
          <w:bCs/>
          <w:kern w:val="0"/>
          <w:sz w:val="32"/>
          <w:szCs w:val="32"/>
          <w14:ligatures w14:val="none"/>
        </w:rPr>
        <w:t>(BMSW5014_CARD)</w:t>
      </w:r>
    </w:p>
    <w:p w14:paraId="0EE7DC84" w14:textId="73E63D02" w:rsidR="008C7777" w:rsidRPr="008C7777" w:rsidRDefault="008C7777" w:rsidP="008C7777">
      <w:pPr>
        <w:spacing w:after="0" w:line="360" w:lineRule="auto"/>
        <w:ind w:firstLine="720"/>
        <w:jc w:val="center"/>
        <w:rPr>
          <w:rFonts w:ascii="Arial" w:eastAsia="Calibri" w:hAnsi="Arial" w:cs="Arial"/>
          <w:b/>
          <w:bCs/>
          <w:kern w:val="0"/>
          <w:sz w:val="32"/>
          <w:szCs w:val="32"/>
          <w14:ligatures w14:val="none"/>
        </w:rPr>
      </w:pPr>
      <w:r>
        <w:rPr>
          <w:rFonts w:ascii="Arial" w:eastAsia="Calibri" w:hAnsi="Arial" w:cs="Arial"/>
          <w:b/>
          <w:bCs/>
          <w:kern w:val="0"/>
          <w:sz w:val="32"/>
          <w:szCs w:val="32"/>
          <w:lang w:val="en-CA"/>
          <w14:ligatures w14:val="none"/>
        </w:rPr>
        <w:t>Title:</w:t>
      </w:r>
      <w:r w:rsidRPr="008C7777">
        <w:rPr>
          <w:rFonts w:ascii="Arial" w:hAnsi="Arial" w:cs="Arial"/>
          <w:kern w:val="0"/>
          <w:sz w:val="36"/>
          <w:szCs w:val="36"/>
          <w14:ligatures w14:val="none"/>
        </w:rPr>
        <w:t xml:space="preserve"> </w:t>
      </w:r>
      <w:r w:rsidRPr="008C7777">
        <w:rPr>
          <w:rFonts w:ascii="Arial" w:eastAsia="Calibri" w:hAnsi="Arial" w:cs="Arial"/>
          <w:b/>
          <w:bCs/>
          <w:kern w:val="0"/>
          <w:sz w:val="32"/>
          <w:szCs w:val="32"/>
          <w14:ligatures w14:val="none"/>
        </w:rPr>
        <w:t xml:space="preserve">How Flexible Working Influences Employee Motivation and Productivity </w:t>
      </w:r>
    </w:p>
    <w:p w14:paraId="70035A9D" w14:textId="77777777" w:rsidR="008C7777" w:rsidRPr="008C7777" w:rsidRDefault="008C7777" w:rsidP="008C7777">
      <w:pPr>
        <w:spacing w:after="0" w:line="360" w:lineRule="auto"/>
        <w:ind w:firstLine="720"/>
        <w:jc w:val="center"/>
        <w:rPr>
          <w:rFonts w:ascii="Arial" w:eastAsia="Calibri" w:hAnsi="Arial" w:cs="Arial"/>
          <w:b/>
          <w:bCs/>
          <w:kern w:val="0"/>
          <w:sz w:val="32"/>
          <w:szCs w:val="32"/>
          <w14:ligatures w14:val="none"/>
        </w:rPr>
      </w:pPr>
      <w:r w:rsidRPr="008C7777">
        <w:rPr>
          <w:rFonts w:ascii="Arial" w:eastAsia="Calibri" w:hAnsi="Arial" w:cs="Arial"/>
          <w:b/>
          <w:bCs/>
          <w:kern w:val="0"/>
          <w:sz w:val="32"/>
          <w:szCs w:val="32"/>
          <w14:ligatures w14:val="none"/>
        </w:rPr>
        <w:t>at Morrisons in the UK Retail Sector</w:t>
      </w:r>
    </w:p>
    <w:p w14:paraId="77DF3833" w14:textId="4BB82EBF" w:rsidR="002F14EE" w:rsidRDefault="002F14EE" w:rsidP="002F14EE">
      <w:pPr>
        <w:spacing w:after="0" w:line="360" w:lineRule="auto"/>
        <w:ind w:firstLine="720"/>
        <w:jc w:val="center"/>
        <w:rPr>
          <w:rFonts w:ascii="Arial" w:eastAsia="Calibri" w:hAnsi="Arial" w:cs="Arial"/>
          <w:b/>
          <w:bCs/>
          <w:kern w:val="0"/>
          <w:sz w:val="32"/>
          <w:szCs w:val="32"/>
          <w:lang w:val="en-CA"/>
          <w14:ligatures w14:val="none"/>
        </w:rPr>
      </w:pPr>
    </w:p>
    <w:p w14:paraId="35EE946C" w14:textId="77777777" w:rsidR="002F14EE" w:rsidRDefault="002F14EE" w:rsidP="002F14EE">
      <w:pPr>
        <w:spacing w:after="0" w:line="360" w:lineRule="auto"/>
        <w:ind w:firstLine="720"/>
        <w:jc w:val="center"/>
        <w:rPr>
          <w:rFonts w:ascii="Arial" w:eastAsia="Calibri" w:hAnsi="Arial" w:cs="Arial"/>
          <w:b/>
          <w:bCs/>
          <w:kern w:val="0"/>
          <w:sz w:val="32"/>
          <w:szCs w:val="32"/>
          <w:lang w:val="en-CA"/>
          <w14:ligatures w14:val="none"/>
        </w:rPr>
      </w:pPr>
      <w:bookmarkStart w:id="1" w:name="_Hlk223435427"/>
    </w:p>
    <w:bookmarkEnd w:id="1"/>
    <w:p w14:paraId="1CC0B9AB" w14:textId="77777777" w:rsidR="002F14EE" w:rsidRDefault="002F14EE" w:rsidP="002F14EE">
      <w:pPr>
        <w:spacing w:after="0" w:line="360" w:lineRule="auto"/>
        <w:ind w:firstLine="720"/>
        <w:jc w:val="center"/>
        <w:rPr>
          <w:rFonts w:ascii="Arial" w:eastAsia="Calibri" w:hAnsi="Arial" w:cs="Arial"/>
          <w:b/>
          <w:bCs/>
          <w:kern w:val="0"/>
          <w:sz w:val="32"/>
          <w:szCs w:val="32"/>
          <w14:ligatures w14:val="none"/>
        </w:rPr>
      </w:pPr>
      <w:r>
        <w:rPr>
          <w:rFonts w:ascii="Arial" w:eastAsia="Calibri" w:hAnsi="Arial" w:cs="Arial"/>
          <w:b/>
          <w:bCs/>
          <w:kern w:val="0"/>
          <w:sz w:val="32"/>
          <w:szCs w:val="32"/>
          <w14:ligatures w14:val="none"/>
        </w:rPr>
        <w:t xml:space="preserve">  </w:t>
      </w:r>
    </w:p>
    <w:p w14:paraId="289FA512" w14:textId="77777777" w:rsidR="002F14EE" w:rsidRDefault="002F14EE" w:rsidP="002F14EE">
      <w:pPr>
        <w:spacing w:after="0" w:line="360" w:lineRule="auto"/>
        <w:ind w:firstLine="720"/>
        <w:jc w:val="center"/>
        <w:rPr>
          <w:rFonts w:ascii="Arial" w:eastAsia="Calibri" w:hAnsi="Arial" w:cs="Arial"/>
          <w:b/>
          <w:bCs/>
          <w:kern w:val="0"/>
          <w:sz w:val="32"/>
          <w:szCs w:val="32"/>
          <w:lang w:val="en-CA"/>
          <w14:ligatures w14:val="none"/>
        </w:rPr>
      </w:pPr>
    </w:p>
    <w:p w14:paraId="1A9BF075" w14:textId="2A633E73" w:rsidR="002F14EE" w:rsidRDefault="002F14EE" w:rsidP="002F14EE">
      <w:pPr>
        <w:spacing w:after="0" w:line="256" w:lineRule="auto"/>
        <w:ind w:left="10" w:right="134"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 xml:space="preserve">     Module Lead:  Jaliya De-Silva</w:t>
      </w:r>
    </w:p>
    <w:p w14:paraId="1C7DBAE5" w14:textId="77777777" w:rsidR="002F14EE" w:rsidRDefault="002F14EE" w:rsidP="002F14EE">
      <w:pPr>
        <w:spacing w:after="0" w:line="256" w:lineRule="auto"/>
        <w:ind w:left="10" w:right="134" w:hanging="10"/>
        <w:jc w:val="center"/>
        <w:rPr>
          <w:rFonts w:ascii="Arial" w:eastAsia="Calibri" w:hAnsi="Arial" w:cs="Arial"/>
          <w:b/>
          <w:bCs/>
          <w:kern w:val="0"/>
          <w:sz w:val="32"/>
          <w:szCs w:val="32"/>
          <w:lang w:val="en-CA"/>
          <w14:ligatures w14:val="none"/>
        </w:rPr>
      </w:pPr>
    </w:p>
    <w:p w14:paraId="6B647BA3" w14:textId="77777777" w:rsidR="002F14EE" w:rsidRDefault="002F14EE" w:rsidP="002F14EE">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Constantin Tanasa</w:t>
      </w:r>
    </w:p>
    <w:p w14:paraId="08E812D4" w14:textId="77777777" w:rsidR="002F14EE" w:rsidRDefault="002F14EE" w:rsidP="002F14EE">
      <w:pPr>
        <w:spacing w:after="0" w:line="360" w:lineRule="auto"/>
        <w:ind w:firstLine="720"/>
        <w:jc w:val="center"/>
        <w:rPr>
          <w:rFonts w:ascii="Arial" w:eastAsia="Calibri" w:hAnsi="Arial" w:cs="Arial"/>
          <w:b/>
          <w:bCs/>
          <w:kern w:val="0"/>
          <w:sz w:val="32"/>
          <w:szCs w:val="32"/>
          <w:lang w:val="en-CA"/>
          <w14:ligatures w14:val="none"/>
        </w:rPr>
      </w:pPr>
    </w:p>
    <w:p w14:paraId="58B0C9C0" w14:textId="00A97EC0" w:rsidR="002F14EE" w:rsidRPr="00717B1F" w:rsidRDefault="002F14EE" w:rsidP="00717B1F">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Number:2332158</w:t>
      </w:r>
    </w:p>
    <w:p w14:paraId="6731EDD4" w14:textId="77777777" w:rsidR="002F14EE" w:rsidRDefault="002F14EE" w:rsidP="002F14EE">
      <w:pPr>
        <w:spacing w:after="0" w:line="360" w:lineRule="auto"/>
        <w:rPr>
          <w:rFonts w:ascii="Arial" w:eastAsia="Calibri" w:hAnsi="Arial" w:cs="Arial"/>
          <w:b/>
          <w:bCs/>
          <w:kern w:val="0"/>
          <w:lang w:val="en-CA"/>
          <w14:ligatures w14:val="none"/>
        </w:rPr>
      </w:pPr>
    </w:p>
    <w:p w14:paraId="017DD12F" w14:textId="0BEF9165" w:rsidR="002F14EE" w:rsidRDefault="00717B1F" w:rsidP="002F14EE">
      <w:pPr>
        <w:spacing w:after="0" w:line="360" w:lineRule="auto"/>
        <w:rPr>
          <w:rFonts w:ascii="Arial" w:eastAsia="Calibri" w:hAnsi="Arial" w:cs="Arial"/>
          <w:b/>
          <w:bCs/>
          <w:kern w:val="0"/>
          <w:sz w:val="28"/>
          <w:szCs w:val="28"/>
          <w:lang w:val="en-CA"/>
          <w14:ligatures w14:val="none"/>
        </w:rPr>
      </w:pPr>
      <w:r>
        <w:rPr>
          <w:rFonts w:ascii="Arial" w:eastAsia="Calibri" w:hAnsi="Arial" w:cs="Arial"/>
          <w:b/>
          <w:bCs/>
          <w:kern w:val="0"/>
          <w:sz w:val="28"/>
          <w:szCs w:val="28"/>
          <w:lang w:val="en-CA"/>
          <w14:ligatures w14:val="none"/>
        </w:rPr>
        <w:t xml:space="preserve">       </w:t>
      </w:r>
      <w:r w:rsidR="002F14EE">
        <w:rPr>
          <w:rFonts w:ascii="Arial" w:eastAsia="Calibri" w:hAnsi="Arial" w:cs="Arial"/>
          <w:b/>
          <w:bCs/>
          <w:kern w:val="0"/>
          <w:sz w:val="28"/>
          <w:szCs w:val="28"/>
          <w:lang w:val="en-CA"/>
          <w14:ligatures w14:val="none"/>
        </w:rPr>
        <w:t xml:space="preserve">Total word count: </w:t>
      </w:r>
      <w:r w:rsidR="008C7777">
        <w:rPr>
          <w:rFonts w:ascii="Arial" w:eastAsia="Calibri" w:hAnsi="Arial" w:cs="Arial"/>
          <w:b/>
          <w:bCs/>
          <w:kern w:val="0"/>
          <w:sz w:val="28"/>
          <w:szCs w:val="28"/>
          <w:lang w:val="en-CA"/>
          <w14:ligatures w14:val="none"/>
        </w:rPr>
        <w:t>196</w:t>
      </w:r>
      <w:r w:rsidR="00E85F8C">
        <w:rPr>
          <w:rFonts w:ascii="Arial" w:eastAsia="Calibri" w:hAnsi="Arial" w:cs="Arial"/>
          <w:b/>
          <w:bCs/>
          <w:kern w:val="0"/>
          <w:sz w:val="28"/>
          <w:szCs w:val="28"/>
          <w:lang w:val="en-CA"/>
          <w14:ligatures w14:val="none"/>
        </w:rPr>
        <w:t>9</w:t>
      </w:r>
      <w:r w:rsidR="002F14EE">
        <w:rPr>
          <w:rFonts w:ascii="Arial" w:eastAsia="Calibri" w:hAnsi="Arial" w:cs="Arial"/>
          <w:b/>
          <w:bCs/>
          <w:kern w:val="0"/>
          <w:sz w:val="28"/>
          <w:szCs w:val="28"/>
          <w:lang w:val="en-CA"/>
          <w14:ligatures w14:val="none"/>
        </w:rPr>
        <w:t xml:space="preserve">      Submission Deadline:</w:t>
      </w:r>
      <w:r w:rsidR="008C7777">
        <w:rPr>
          <w:rFonts w:ascii="Arial" w:eastAsia="Calibri" w:hAnsi="Arial" w:cs="Arial"/>
          <w:b/>
          <w:bCs/>
          <w:kern w:val="0"/>
          <w:sz w:val="28"/>
          <w:szCs w:val="28"/>
          <w:lang w:val="en-CA"/>
          <w14:ligatures w14:val="none"/>
        </w:rPr>
        <w:t>26.06.2026</w:t>
      </w:r>
    </w:p>
    <w:p w14:paraId="5D219136" w14:textId="77777777" w:rsidR="00717B1F" w:rsidRDefault="00717B1F" w:rsidP="002F14EE">
      <w:pPr>
        <w:spacing w:after="0" w:line="360" w:lineRule="auto"/>
        <w:rPr>
          <w:rFonts w:ascii="Arial" w:eastAsia="Calibri" w:hAnsi="Arial" w:cs="Arial"/>
          <w:b/>
          <w:bCs/>
          <w:kern w:val="0"/>
          <w:sz w:val="28"/>
          <w:szCs w:val="28"/>
          <w:lang w:val="en-CA"/>
          <w14:ligatures w14:val="none"/>
        </w:rPr>
      </w:pPr>
    </w:p>
    <w:p w14:paraId="750E022F" w14:textId="77777777" w:rsidR="00717B1F" w:rsidRDefault="00717B1F">
      <w:pPr>
        <w:rPr>
          <w:b/>
          <w:bCs/>
        </w:rPr>
      </w:pPr>
      <w:r>
        <w:t xml:space="preserve">                                                                 </w:t>
      </w:r>
      <w:r w:rsidRPr="00717B1F">
        <w:rPr>
          <w:b/>
          <w:bCs/>
        </w:rPr>
        <w:t xml:space="preserve">AI Statement Present </w:t>
      </w:r>
    </w:p>
    <w:p w14:paraId="3624052B" w14:textId="40F41BBC" w:rsidR="007149FE" w:rsidRPr="00717B1F" w:rsidRDefault="00717B1F">
      <w:pPr>
        <w:rPr>
          <w:b/>
          <w:bCs/>
        </w:rPr>
      </w:pPr>
      <w:r>
        <w:rPr>
          <w:b/>
          <w:bCs/>
        </w:rPr>
        <w:t xml:space="preserve">    I </w:t>
      </w:r>
      <w:r w:rsidRPr="00717B1F">
        <w:rPr>
          <w:b/>
          <w:bCs/>
        </w:rPr>
        <w:t>confirm that I have not</w:t>
      </w:r>
      <w:r>
        <w:rPr>
          <w:b/>
          <w:bCs/>
        </w:rPr>
        <w:t xml:space="preserve"> </w:t>
      </w:r>
      <w:r w:rsidRPr="00717B1F">
        <w:rPr>
          <w:b/>
          <w:bCs/>
        </w:rPr>
        <w:t>presented any AI-generated materials as my own work</w:t>
      </w:r>
    </w:p>
    <w:p w14:paraId="612F2703" w14:textId="77777777" w:rsidR="002F14EE" w:rsidRDefault="002F14EE"/>
    <w:sdt>
      <w:sdtPr>
        <w:rPr>
          <w:rFonts w:ascii="Aptos" w:eastAsia="Aptos" w:hAnsi="Aptos" w:cs="Times New Roman"/>
          <w:color w:val="auto"/>
          <w:kern w:val="2"/>
          <w:sz w:val="24"/>
          <w:szCs w:val="24"/>
          <w:lang w:eastAsia="en-US"/>
          <w14:ligatures w14:val="standardContextual"/>
        </w:rPr>
        <w:id w:val="1022362491"/>
        <w:docPartObj>
          <w:docPartGallery w:val="Table of Contents"/>
          <w:docPartUnique/>
        </w:docPartObj>
      </w:sdtPr>
      <w:sdtEndPr>
        <w:rPr>
          <w:b/>
          <w:bCs/>
        </w:rPr>
      </w:sdtEndPr>
      <w:sdtContent>
        <w:p w14:paraId="19635F87" w14:textId="252C08B5" w:rsidR="002F14EE" w:rsidRDefault="002F14EE">
          <w:pPr>
            <w:pStyle w:val="TOCHeading"/>
          </w:pPr>
          <w:r>
            <w:t>Contents</w:t>
          </w:r>
        </w:p>
        <w:p w14:paraId="345FDA6E" w14:textId="451EA675" w:rsidR="008C7777" w:rsidRDefault="002F14E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3379693" w:history="1">
            <w:r w:rsidR="008C7777" w:rsidRPr="006F5BEA">
              <w:rPr>
                <w:rStyle w:val="Hyperlink"/>
                <w:rFonts w:ascii="Arial" w:eastAsia="Times New Roman" w:hAnsi="Arial" w:cs="Arial"/>
                <w:noProof/>
                <w:kern w:val="0"/>
                <w14:ligatures w14:val="none"/>
              </w:rPr>
              <w:t>Introduction</w:t>
            </w:r>
            <w:r w:rsidR="008C7777">
              <w:rPr>
                <w:noProof/>
                <w:webHidden/>
              </w:rPr>
              <w:tab/>
            </w:r>
            <w:r w:rsidR="008C7777">
              <w:rPr>
                <w:noProof/>
                <w:webHidden/>
              </w:rPr>
              <w:fldChar w:fldCharType="begin"/>
            </w:r>
            <w:r w:rsidR="008C7777">
              <w:rPr>
                <w:noProof/>
                <w:webHidden/>
              </w:rPr>
              <w:instrText xml:space="preserve"> PAGEREF _Toc233379693 \h </w:instrText>
            </w:r>
            <w:r w:rsidR="008C7777">
              <w:rPr>
                <w:noProof/>
                <w:webHidden/>
              </w:rPr>
            </w:r>
            <w:r w:rsidR="008C7777">
              <w:rPr>
                <w:noProof/>
                <w:webHidden/>
              </w:rPr>
              <w:fldChar w:fldCharType="separate"/>
            </w:r>
            <w:r w:rsidR="00EB771C">
              <w:rPr>
                <w:noProof/>
                <w:webHidden/>
              </w:rPr>
              <w:t>3</w:t>
            </w:r>
            <w:r w:rsidR="008C7777">
              <w:rPr>
                <w:noProof/>
                <w:webHidden/>
              </w:rPr>
              <w:fldChar w:fldCharType="end"/>
            </w:r>
          </w:hyperlink>
        </w:p>
        <w:p w14:paraId="5C4B7F7B" w14:textId="65887E5E" w:rsidR="008C7777" w:rsidRDefault="008C7777">
          <w:pPr>
            <w:pStyle w:val="TOC1"/>
            <w:tabs>
              <w:tab w:val="right" w:leader="dot" w:pos="9016"/>
            </w:tabs>
            <w:rPr>
              <w:rFonts w:asciiTheme="minorHAnsi" w:eastAsiaTheme="minorEastAsia" w:hAnsiTheme="minorHAnsi" w:cstheme="minorBidi"/>
              <w:noProof/>
              <w:lang w:eastAsia="en-GB"/>
            </w:rPr>
          </w:pPr>
          <w:hyperlink w:anchor="_Toc233379694" w:history="1">
            <w:r w:rsidRPr="006F5BEA">
              <w:rPr>
                <w:rStyle w:val="Hyperlink"/>
                <w:rFonts w:ascii="Arial" w:eastAsia="Times New Roman" w:hAnsi="Arial" w:cs="Arial"/>
                <w:noProof/>
                <w:kern w:val="0"/>
                <w14:ligatures w14:val="none"/>
              </w:rPr>
              <w:t>Research aim</w:t>
            </w:r>
            <w:r>
              <w:rPr>
                <w:noProof/>
                <w:webHidden/>
              </w:rPr>
              <w:tab/>
            </w:r>
            <w:r>
              <w:rPr>
                <w:noProof/>
                <w:webHidden/>
              </w:rPr>
              <w:fldChar w:fldCharType="begin"/>
            </w:r>
            <w:r>
              <w:rPr>
                <w:noProof/>
                <w:webHidden/>
              </w:rPr>
              <w:instrText xml:space="preserve"> PAGEREF _Toc233379694 \h </w:instrText>
            </w:r>
            <w:r>
              <w:rPr>
                <w:noProof/>
                <w:webHidden/>
              </w:rPr>
            </w:r>
            <w:r>
              <w:rPr>
                <w:noProof/>
                <w:webHidden/>
              </w:rPr>
              <w:fldChar w:fldCharType="separate"/>
            </w:r>
            <w:r w:rsidR="00EB771C">
              <w:rPr>
                <w:noProof/>
                <w:webHidden/>
              </w:rPr>
              <w:t>3</w:t>
            </w:r>
            <w:r>
              <w:rPr>
                <w:noProof/>
                <w:webHidden/>
              </w:rPr>
              <w:fldChar w:fldCharType="end"/>
            </w:r>
          </w:hyperlink>
        </w:p>
        <w:p w14:paraId="57668380" w14:textId="1065375F" w:rsidR="008C7777" w:rsidRDefault="008C7777">
          <w:pPr>
            <w:pStyle w:val="TOC2"/>
            <w:tabs>
              <w:tab w:val="right" w:leader="dot" w:pos="9016"/>
            </w:tabs>
            <w:rPr>
              <w:rFonts w:asciiTheme="minorHAnsi" w:eastAsiaTheme="minorEastAsia" w:hAnsiTheme="minorHAnsi" w:cstheme="minorBidi"/>
              <w:noProof/>
              <w:lang w:eastAsia="en-GB"/>
            </w:rPr>
          </w:pPr>
          <w:hyperlink w:anchor="_Toc233379695" w:history="1">
            <w:r w:rsidRPr="006F5BEA">
              <w:rPr>
                <w:rStyle w:val="Hyperlink"/>
                <w:rFonts w:ascii="Arial" w:eastAsia="Times New Roman" w:hAnsi="Arial" w:cs="Arial"/>
                <w:noProof/>
                <w:kern w:val="0"/>
                <w14:ligatures w14:val="none"/>
              </w:rPr>
              <w:t>Research objectives</w:t>
            </w:r>
            <w:r>
              <w:rPr>
                <w:noProof/>
                <w:webHidden/>
              </w:rPr>
              <w:tab/>
            </w:r>
            <w:r>
              <w:rPr>
                <w:noProof/>
                <w:webHidden/>
              </w:rPr>
              <w:fldChar w:fldCharType="begin"/>
            </w:r>
            <w:r>
              <w:rPr>
                <w:noProof/>
                <w:webHidden/>
              </w:rPr>
              <w:instrText xml:space="preserve"> PAGEREF _Toc233379695 \h </w:instrText>
            </w:r>
            <w:r>
              <w:rPr>
                <w:noProof/>
                <w:webHidden/>
              </w:rPr>
            </w:r>
            <w:r>
              <w:rPr>
                <w:noProof/>
                <w:webHidden/>
              </w:rPr>
              <w:fldChar w:fldCharType="separate"/>
            </w:r>
            <w:r w:rsidR="00EB771C">
              <w:rPr>
                <w:noProof/>
                <w:webHidden/>
              </w:rPr>
              <w:t>3</w:t>
            </w:r>
            <w:r>
              <w:rPr>
                <w:noProof/>
                <w:webHidden/>
              </w:rPr>
              <w:fldChar w:fldCharType="end"/>
            </w:r>
          </w:hyperlink>
        </w:p>
        <w:p w14:paraId="12CF9BF8" w14:textId="1D8D6314" w:rsidR="008C7777" w:rsidRDefault="008C7777">
          <w:pPr>
            <w:pStyle w:val="TOC2"/>
            <w:tabs>
              <w:tab w:val="right" w:leader="dot" w:pos="9016"/>
            </w:tabs>
            <w:rPr>
              <w:rFonts w:asciiTheme="minorHAnsi" w:eastAsiaTheme="minorEastAsia" w:hAnsiTheme="minorHAnsi" w:cstheme="minorBidi"/>
              <w:noProof/>
              <w:lang w:eastAsia="en-GB"/>
            </w:rPr>
          </w:pPr>
          <w:hyperlink w:anchor="_Toc233379696" w:history="1">
            <w:r w:rsidRPr="006F5BEA">
              <w:rPr>
                <w:rStyle w:val="Hyperlink"/>
                <w:rFonts w:ascii="Arial" w:eastAsia="Times New Roman" w:hAnsi="Arial" w:cs="Arial"/>
                <w:noProof/>
                <w:kern w:val="0"/>
                <w14:ligatures w14:val="none"/>
              </w:rPr>
              <w:t>Research questions</w:t>
            </w:r>
            <w:r>
              <w:rPr>
                <w:noProof/>
                <w:webHidden/>
              </w:rPr>
              <w:tab/>
            </w:r>
            <w:r>
              <w:rPr>
                <w:noProof/>
                <w:webHidden/>
              </w:rPr>
              <w:fldChar w:fldCharType="begin"/>
            </w:r>
            <w:r>
              <w:rPr>
                <w:noProof/>
                <w:webHidden/>
              </w:rPr>
              <w:instrText xml:space="preserve"> PAGEREF _Toc233379696 \h </w:instrText>
            </w:r>
            <w:r>
              <w:rPr>
                <w:noProof/>
                <w:webHidden/>
              </w:rPr>
            </w:r>
            <w:r>
              <w:rPr>
                <w:noProof/>
                <w:webHidden/>
              </w:rPr>
              <w:fldChar w:fldCharType="separate"/>
            </w:r>
            <w:r w:rsidR="00EB771C">
              <w:rPr>
                <w:noProof/>
                <w:webHidden/>
              </w:rPr>
              <w:t>4</w:t>
            </w:r>
            <w:r>
              <w:rPr>
                <w:noProof/>
                <w:webHidden/>
              </w:rPr>
              <w:fldChar w:fldCharType="end"/>
            </w:r>
          </w:hyperlink>
        </w:p>
        <w:p w14:paraId="419F4419" w14:textId="362D42DB" w:rsidR="008C7777" w:rsidRDefault="008C7777">
          <w:pPr>
            <w:pStyle w:val="TOC1"/>
            <w:tabs>
              <w:tab w:val="right" w:leader="dot" w:pos="9016"/>
            </w:tabs>
            <w:rPr>
              <w:rFonts w:asciiTheme="minorHAnsi" w:eastAsiaTheme="minorEastAsia" w:hAnsiTheme="minorHAnsi" w:cstheme="minorBidi"/>
              <w:noProof/>
              <w:lang w:eastAsia="en-GB"/>
            </w:rPr>
          </w:pPr>
          <w:hyperlink w:anchor="_Toc233379697" w:history="1">
            <w:r w:rsidRPr="006F5BEA">
              <w:rPr>
                <w:rStyle w:val="Hyperlink"/>
                <w:rFonts w:ascii="Arial" w:eastAsia="Times New Roman" w:hAnsi="Arial" w:cs="Arial"/>
                <w:noProof/>
                <w:kern w:val="0"/>
                <w14:ligatures w14:val="none"/>
              </w:rPr>
              <w:t>Literature Review</w:t>
            </w:r>
            <w:r>
              <w:rPr>
                <w:noProof/>
                <w:webHidden/>
              </w:rPr>
              <w:tab/>
            </w:r>
            <w:r>
              <w:rPr>
                <w:noProof/>
                <w:webHidden/>
              </w:rPr>
              <w:fldChar w:fldCharType="begin"/>
            </w:r>
            <w:r>
              <w:rPr>
                <w:noProof/>
                <w:webHidden/>
              </w:rPr>
              <w:instrText xml:space="preserve"> PAGEREF _Toc233379697 \h </w:instrText>
            </w:r>
            <w:r>
              <w:rPr>
                <w:noProof/>
                <w:webHidden/>
              </w:rPr>
            </w:r>
            <w:r>
              <w:rPr>
                <w:noProof/>
                <w:webHidden/>
              </w:rPr>
              <w:fldChar w:fldCharType="separate"/>
            </w:r>
            <w:r w:rsidR="00EB771C">
              <w:rPr>
                <w:noProof/>
                <w:webHidden/>
              </w:rPr>
              <w:t>4</w:t>
            </w:r>
            <w:r>
              <w:rPr>
                <w:noProof/>
                <w:webHidden/>
              </w:rPr>
              <w:fldChar w:fldCharType="end"/>
            </w:r>
          </w:hyperlink>
        </w:p>
        <w:p w14:paraId="1604461B" w14:textId="634E7BD8" w:rsidR="008C7777" w:rsidRDefault="008C7777">
          <w:pPr>
            <w:pStyle w:val="TOC1"/>
            <w:tabs>
              <w:tab w:val="right" w:leader="dot" w:pos="9016"/>
            </w:tabs>
            <w:rPr>
              <w:rFonts w:asciiTheme="minorHAnsi" w:eastAsiaTheme="minorEastAsia" w:hAnsiTheme="minorHAnsi" w:cstheme="minorBidi"/>
              <w:noProof/>
              <w:lang w:eastAsia="en-GB"/>
            </w:rPr>
          </w:pPr>
          <w:hyperlink w:anchor="_Toc233379698" w:history="1">
            <w:r w:rsidRPr="006F5BEA">
              <w:rPr>
                <w:rStyle w:val="Hyperlink"/>
                <w:rFonts w:ascii="Arial" w:eastAsia="Times New Roman" w:hAnsi="Arial" w:cs="Arial"/>
                <w:noProof/>
                <w:kern w:val="0"/>
                <w14:ligatures w14:val="none"/>
              </w:rPr>
              <w:t>Research Methodology</w:t>
            </w:r>
            <w:r>
              <w:rPr>
                <w:noProof/>
                <w:webHidden/>
              </w:rPr>
              <w:tab/>
            </w:r>
            <w:r>
              <w:rPr>
                <w:noProof/>
                <w:webHidden/>
              </w:rPr>
              <w:fldChar w:fldCharType="begin"/>
            </w:r>
            <w:r>
              <w:rPr>
                <w:noProof/>
                <w:webHidden/>
              </w:rPr>
              <w:instrText xml:space="preserve"> PAGEREF _Toc233379698 \h </w:instrText>
            </w:r>
            <w:r>
              <w:rPr>
                <w:noProof/>
                <w:webHidden/>
              </w:rPr>
            </w:r>
            <w:r>
              <w:rPr>
                <w:noProof/>
                <w:webHidden/>
              </w:rPr>
              <w:fldChar w:fldCharType="separate"/>
            </w:r>
            <w:r w:rsidR="00EB771C">
              <w:rPr>
                <w:noProof/>
                <w:webHidden/>
              </w:rPr>
              <w:t>6</w:t>
            </w:r>
            <w:r>
              <w:rPr>
                <w:noProof/>
                <w:webHidden/>
              </w:rPr>
              <w:fldChar w:fldCharType="end"/>
            </w:r>
          </w:hyperlink>
        </w:p>
        <w:p w14:paraId="3D02372D" w14:textId="4F95D6FB" w:rsidR="008C7777" w:rsidRDefault="008C7777">
          <w:pPr>
            <w:pStyle w:val="TOC2"/>
            <w:tabs>
              <w:tab w:val="right" w:leader="dot" w:pos="9016"/>
            </w:tabs>
            <w:rPr>
              <w:rFonts w:asciiTheme="minorHAnsi" w:eastAsiaTheme="minorEastAsia" w:hAnsiTheme="minorHAnsi" w:cstheme="minorBidi"/>
              <w:noProof/>
              <w:lang w:eastAsia="en-GB"/>
            </w:rPr>
          </w:pPr>
          <w:hyperlink w:anchor="_Toc233379699" w:history="1">
            <w:r w:rsidRPr="006F5BEA">
              <w:rPr>
                <w:rStyle w:val="Hyperlink"/>
                <w:rFonts w:ascii="Arial" w:eastAsia="Times New Roman" w:hAnsi="Arial" w:cs="Arial"/>
                <w:noProof/>
                <w:kern w:val="0"/>
                <w14:ligatures w14:val="none"/>
              </w:rPr>
              <w:t>Research philosophy</w:t>
            </w:r>
            <w:r>
              <w:rPr>
                <w:noProof/>
                <w:webHidden/>
              </w:rPr>
              <w:tab/>
            </w:r>
            <w:r>
              <w:rPr>
                <w:noProof/>
                <w:webHidden/>
              </w:rPr>
              <w:fldChar w:fldCharType="begin"/>
            </w:r>
            <w:r>
              <w:rPr>
                <w:noProof/>
                <w:webHidden/>
              </w:rPr>
              <w:instrText xml:space="preserve"> PAGEREF _Toc233379699 \h </w:instrText>
            </w:r>
            <w:r>
              <w:rPr>
                <w:noProof/>
                <w:webHidden/>
              </w:rPr>
            </w:r>
            <w:r>
              <w:rPr>
                <w:noProof/>
                <w:webHidden/>
              </w:rPr>
              <w:fldChar w:fldCharType="separate"/>
            </w:r>
            <w:r w:rsidR="00EB771C">
              <w:rPr>
                <w:noProof/>
                <w:webHidden/>
              </w:rPr>
              <w:t>6</w:t>
            </w:r>
            <w:r>
              <w:rPr>
                <w:noProof/>
                <w:webHidden/>
              </w:rPr>
              <w:fldChar w:fldCharType="end"/>
            </w:r>
          </w:hyperlink>
        </w:p>
        <w:p w14:paraId="190B8A20" w14:textId="01CE9121" w:rsidR="008C7777" w:rsidRDefault="008C7777">
          <w:pPr>
            <w:pStyle w:val="TOC2"/>
            <w:tabs>
              <w:tab w:val="right" w:leader="dot" w:pos="9016"/>
            </w:tabs>
            <w:rPr>
              <w:rFonts w:asciiTheme="minorHAnsi" w:eastAsiaTheme="minorEastAsia" w:hAnsiTheme="minorHAnsi" w:cstheme="minorBidi"/>
              <w:noProof/>
              <w:lang w:eastAsia="en-GB"/>
            </w:rPr>
          </w:pPr>
          <w:hyperlink w:anchor="_Toc233379700" w:history="1">
            <w:r w:rsidRPr="006F5BEA">
              <w:rPr>
                <w:rStyle w:val="Hyperlink"/>
                <w:rFonts w:ascii="Arial" w:eastAsia="Times New Roman" w:hAnsi="Arial" w:cs="Arial"/>
                <w:noProof/>
                <w:kern w:val="0"/>
                <w14:ligatures w14:val="none"/>
              </w:rPr>
              <w:t>Research approach</w:t>
            </w:r>
            <w:r>
              <w:rPr>
                <w:noProof/>
                <w:webHidden/>
              </w:rPr>
              <w:tab/>
            </w:r>
            <w:r>
              <w:rPr>
                <w:noProof/>
                <w:webHidden/>
              </w:rPr>
              <w:fldChar w:fldCharType="begin"/>
            </w:r>
            <w:r>
              <w:rPr>
                <w:noProof/>
                <w:webHidden/>
              </w:rPr>
              <w:instrText xml:space="preserve"> PAGEREF _Toc233379700 \h </w:instrText>
            </w:r>
            <w:r>
              <w:rPr>
                <w:noProof/>
                <w:webHidden/>
              </w:rPr>
            </w:r>
            <w:r>
              <w:rPr>
                <w:noProof/>
                <w:webHidden/>
              </w:rPr>
              <w:fldChar w:fldCharType="separate"/>
            </w:r>
            <w:r w:rsidR="00EB771C">
              <w:rPr>
                <w:noProof/>
                <w:webHidden/>
              </w:rPr>
              <w:t>6</w:t>
            </w:r>
            <w:r>
              <w:rPr>
                <w:noProof/>
                <w:webHidden/>
              </w:rPr>
              <w:fldChar w:fldCharType="end"/>
            </w:r>
          </w:hyperlink>
        </w:p>
        <w:p w14:paraId="6ABE99C1" w14:textId="3A75C75B" w:rsidR="008C7777" w:rsidRDefault="008C7777">
          <w:pPr>
            <w:pStyle w:val="TOC2"/>
            <w:tabs>
              <w:tab w:val="right" w:leader="dot" w:pos="9016"/>
            </w:tabs>
            <w:rPr>
              <w:rFonts w:asciiTheme="minorHAnsi" w:eastAsiaTheme="minorEastAsia" w:hAnsiTheme="minorHAnsi" w:cstheme="minorBidi"/>
              <w:noProof/>
              <w:lang w:eastAsia="en-GB"/>
            </w:rPr>
          </w:pPr>
          <w:hyperlink w:anchor="_Toc233379701" w:history="1">
            <w:r w:rsidRPr="006F5BEA">
              <w:rPr>
                <w:rStyle w:val="Hyperlink"/>
                <w:rFonts w:ascii="Arial" w:eastAsia="Times New Roman" w:hAnsi="Arial" w:cs="Arial"/>
                <w:noProof/>
                <w:kern w:val="0"/>
                <w14:ligatures w14:val="none"/>
              </w:rPr>
              <w:t>Research methodology and data collection</w:t>
            </w:r>
            <w:r>
              <w:rPr>
                <w:noProof/>
                <w:webHidden/>
              </w:rPr>
              <w:tab/>
            </w:r>
            <w:r>
              <w:rPr>
                <w:noProof/>
                <w:webHidden/>
              </w:rPr>
              <w:fldChar w:fldCharType="begin"/>
            </w:r>
            <w:r>
              <w:rPr>
                <w:noProof/>
                <w:webHidden/>
              </w:rPr>
              <w:instrText xml:space="preserve"> PAGEREF _Toc233379701 \h </w:instrText>
            </w:r>
            <w:r>
              <w:rPr>
                <w:noProof/>
                <w:webHidden/>
              </w:rPr>
            </w:r>
            <w:r>
              <w:rPr>
                <w:noProof/>
                <w:webHidden/>
              </w:rPr>
              <w:fldChar w:fldCharType="separate"/>
            </w:r>
            <w:r w:rsidR="00EB771C">
              <w:rPr>
                <w:noProof/>
                <w:webHidden/>
              </w:rPr>
              <w:t>7</w:t>
            </w:r>
            <w:r>
              <w:rPr>
                <w:noProof/>
                <w:webHidden/>
              </w:rPr>
              <w:fldChar w:fldCharType="end"/>
            </w:r>
          </w:hyperlink>
        </w:p>
        <w:p w14:paraId="2D1D80CB" w14:textId="36296540" w:rsidR="008C7777" w:rsidRDefault="008C7777">
          <w:pPr>
            <w:pStyle w:val="TOC2"/>
            <w:tabs>
              <w:tab w:val="right" w:leader="dot" w:pos="9016"/>
            </w:tabs>
            <w:rPr>
              <w:rFonts w:asciiTheme="minorHAnsi" w:eastAsiaTheme="minorEastAsia" w:hAnsiTheme="minorHAnsi" w:cstheme="minorBidi"/>
              <w:noProof/>
              <w:lang w:eastAsia="en-GB"/>
            </w:rPr>
          </w:pPr>
          <w:hyperlink w:anchor="_Toc233379702" w:history="1">
            <w:r w:rsidRPr="006F5BEA">
              <w:rPr>
                <w:rStyle w:val="Hyperlink"/>
                <w:rFonts w:ascii="Arial" w:eastAsia="Times New Roman" w:hAnsi="Arial" w:cs="Arial"/>
                <w:noProof/>
                <w:kern w:val="0"/>
                <w14:ligatures w14:val="none"/>
              </w:rPr>
              <w:t>Target population and sampling</w:t>
            </w:r>
            <w:r>
              <w:rPr>
                <w:noProof/>
                <w:webHidden/>
              </w:rPr>
              <w:tab/>
            </w:r>
            <w:r>
              <w:rPr>
                <w:noProof/>
                <w:webHidden/>
              </w:rPr>
              <w:fldChar w:fldCharType="begin"/>
            </w:r>
            <w:r>
              <w:rPr>
                <w:noProof/>
                <w:webHidden/>
              </w:rPr>
              <w:instrText xml:space="preserve"> PAGEREF _Toc233379702 \h </w:instrText>
            </w:r>
            <w:r>
              <w:rPr>
                <w:noProof/>
                <w:webHidden/>
              </w:rPr>
            </w:r>
            <w:r>
              <w:rPr>
                <w:noProof/>
                <w:webHidden/>
              </w:rPr>
              <w:fldChar w:fldCharType="separate"/>
            </w:r>
            <w:r w:rsidR="00EB771C">
              <w:rPr>
                <w:noProof/>
                <w:webHidden/>
              </w:rPr>
              <w:t>7</w:t>
            </w:r>
            <w:r>
              <w:rPr>
                <w:noProof/>
                <w:webHidden/>
              </w:rPr>
              <w:fldChar w:fldCharType="end"/>
            </w:r>
          </w:hyperlink>
        </w:p>
        <w:p w14:paraId="5FE2B300" w14:textId="015F739F" w:rsidR="008C7777" w:rsidRDefault="008C7777">
          <w:pPr>
            <w:pStyle w:val="TOC2"/>
            <w:tabs>
              <w:tab w:val="right" w:leader="dot" w:pos="9016"/>
            </w:tabs>
            <w:rPr>
              <w:rFonts w:asciiTheme="minorHAnsi" w:eastAsiaTheme="minorEastAsia" w:hAnsiTheme="minorHAnsi" w:cstheme="minorBidi"/>
              <w:noProof/>
              <w:lang w:eastAsia="en-GB"/>
            </w:rPr>
          </w:pPr>
          <w:hyperlink w:anchor="_Toc233379703" w:history="1">
            <w:r w:rsidRPr="006F5BEA">
              <w:rPr>
                <w:rStyle w:val="Hyperlink"/>
                <w:rFonts w:ascii="Arial" w:eastAsia="Times New Roman" w:hAnsi="Arial" w:cs="Arial"/>
                <w:noProof/>
                <w:kern w:val="0"/>
                <w14:ligatures w14:val="none"/>
              </w:rPr>
              <w:t>Data analysis</w:t>
            </w:r>
            <w:r>
              <w:rPr>
                <w:noProof/>
                <w:webHidden/>
              </w:rPr>
              <w:tab/>
            </w:r>
            <w:r>
              <w:rPr>
                <w:noProof/>
                <w:webHidden/>
              </w:rPr>
              <w:fldChar w:fldCharType="begin"/>
            </w:r>
            <w:r>
              <w:rPr>
                <w:noProof/>
                <w:webHidden/>
              </w:rPr>
              <w:instrText xml:space="preserve"> PAGEREF _Toc233379703 \h </w:instrText>
            </w:r>
            <w:r>
              <w:rPr>
                <w:noProof/>
                <w:webHidden/>
              </w:rPr>
            </w:r>
            <w:r>
              <w:rPr>
                <w:noProof/>
                <w:webHidden/>
              </w:rPr>
              <w:fldChar w:fldCharType="separate"/>
            </w:r>
            <w:r w:rsidR="00EB771C">
              <w:rPr>
                <w:noProof/>
                <w:webHidden/>
              </w:rPr>
              <w:t>8</w:t>
            </w:r>
            <w:r>
              <w:rPr>
                <w:noProof/>
                <w:webHidden/>
              </w:rPr>
              <w:fldChar w:fldCharType="end"/>
            </w:r>
          </w:hyperlink>
        </w:p>
        <w:p w14:paraId="16F9FD3D" w14:textId="6A35E450" w:rsidR="008C7777" w:rsidRDefault="008C7777">
          <w:pPr>
            <w:pStyle w:val="TOC2"/>
            <w:tabs>
              <w:tab w:val="right" w:leader="dot" w:pos="9016"/>
            </w:tabs>
            <w:rPr>
              <w:rFonts w:asciiTheme="minorHAnsi" w:eastAsiaTheme="minorEastAsia" w:hAnsiTheme="minorHAnsi" w:cstheme="minorBidi"/>
              <w:noProof/>
              <w:lang w:eastAsia="en-GB"/>
            </w:rPr>
          </w:pPr>
          <w:hyperlink w:anchor="_Toc233379704" w:history="1">
            <w:r w:rsidRPr="006F5BEA">
              <w:rPr>
                <w:rStyle w:val="Hyperlink"/>
                <w:rFonts w:ascii="Arial" w:eastAsia="Times New Roman" w:hAnsi="Arial" w:cs="Arial"/>
                <w:noProof/>
                <w:kern w:val="0"/>
                <w14:ligatures w14:val="none"/>
              </w:rPr>
              <w:t>Reliability, validity, and ethics</w:t>
            </w:r>
            <w:r>
              <w:rPr>
                <w:noProof/>
                <w:webHidden/>
              </w:rPr>
              <w:tab/>
            </w:r>
            <w:r>
              <w:rPr>
                <w:noProof/>
                <w:webHidden/>
              </w:rPr>
              <w:fldChar w:fldCharType="begin"/>
            </w:r>
            <w:r>
              <w:rPr>
                <w:noProof/>
                <w:webHidden/>
              </w:rPr>
              <w:instrText xml:space="preserve"> PAGEREF _Toc233379704 \h </w:instrText>
            </w:r>
            <w:r>
              <w:rPr>
                <w:noProof/>
                <w:webHidden/>
              </w:rPr>
            </w:r>
            <w:r>
              <w:rPr>
                <w:noProof/>
                <w:webHidden/>
              </w:rPr>
              <w:fldChar w:fldCharType="separate"/>
            </w:r>
            <w:r w:rsidR="00EB771C">
              <w:rPr>
                <w:noProof/>
                <w:webHidden/>
              </w:rPr>
              <w:t>8</w:t>
            </w:r>
            <w:r>
              <w:rPr>
                <w:noProof/>
                <w:webHidden/>
              </w:rPr>
              <w:fldChar w:fldCharType="end"/>
            </w:r>
          </w:hyperlink>
        </w:p>
        <w:p w14:paraId="0F74D8C4" w14:textId="16098952" w:rsidR="008C7777" w:rsidRDefault="008C7777">
          <w:pPr>
            <w:pStyle w:val="TOC2"/>
            <w:tabs>
              <w:tab w:val="right" w:leader="dot" w:pos="9016"/>
            </w:tabs>
            <w:rPr>
              <w:rFonts w:asciiTheme="minorHAnsi" w:eastAsiaTheme="minorEastAsia" w:hAnsiTheme="minorHAnsi" w:cstheme="minorBidi"/>
              <w:noProof/>
              <w:lang w:eastAsia="en-GB"/>
            </w:rPr>
          </w:pPr>
          <w:hyperlink w:anchor="_Toc233379705" w:history="1">
            <w:r w:rsidRPr="006F5BEA">
              <w:rPr>
                <w:rStyle w:val="Hyperlink"/>
                <w:rFonts w:ascii="Arial" w:eastAsia="Times New Roman" w:hAnsi="Arial" w:cs="Arial"/>
                <w:noProof/>
                <w:kern w:val="0"/>
                <w14:ligatures w14:val="none"/>
              </w:rPr>
              <w:t>Limitations</w:t>
            </w:r>
            <w:r>
              <w:rPr>
                <w:noProof/>
                <w:webHidden/>
              </w:rPr>
              <w:tab/>
            </w:r>
            <w:r>
              <w:rPr>
                <w:noProof/>
                <w:webHidden/>
              </w:rPr>
              <w:fldChar w:fldCharType="begin"/>
            </w:r>
            <w:r>
              <w:rPr>
                <w:noProof/>
                <w:webHidden/>
              </w:rPr>
              <w:instrText xml:space="preserve"> PAGEREF _Toc233379705 \h </w:instrText>
            </w:r>
            <w:r>
              <w:rPr>
                <w:noProof/>
                <w:webHidden/>
              </w:rPr>
            </w:r>
            <w:r>
              <w:rPr>
                <w:noProof/>
                <w:webHidden/>
              </w:rPr>
              <w:fldChar w:fldCharType="separate"/>
            </w:r>
            <w:r w:rsidR="00EB771C">
              <w:rPr>
                <w:noProof/>
                <w:webHidden/>
              </w:rPr>
              <w:t>9</w:t>
            </w:r>
            <w:r>
              <w:rPr>
                <w:noProof/>
                <w:webHidden/>
              </w:rPr>
              <w:fldChar w:fldCharType="end"/>
            </w:r>
          </w:hyperlink>
        </w:p>
        <w:p w14:paraId="10AC953F" w14:textId="35A72497" w:rsidR="008C7777" w:rsidRDefault="008C7777">
          <w:pPr>
            <w:pStyle w:val="TOC1"/>
            <w:tabs>
              <w:tab w:val="right" w:leader="dot" w:pos="9016"/>
            </w:tabs>
            <w:rPr>
              <w:rFonts w:asciiTheme="minorHAnsi" w:eastAsiaTheme="minorEastAsia" w:hAnsiTheme="minorHAnsi" w:cstheme="minorBidi"/>
              <w:noProof/>
              <w:lang w:eastAsia="en-GB"/>
            </w:rPr>
          </w:pPr>
          <w:hyperlink w:anchor="_Toc233379706" w:history="1">
            <w:r w:rsidRPr="006F5BEA">
              <w:rPr>
                <w:rStyle w:val="Hyperlink"/>
                <w:rFonts w:ascii="Arial" w:eastAsia="Times New Roman" w:hAnsi="Arial" w:cs="Arial"/>
                <w:noProof/>
                <w:kern w:val="0"/>
                <w14:ligatures w14:val="none"/>
              </w:rPr>
              <w:t>Reference List</w:t>
            </w:r>
            <w:r>
              <w:rPr>
                <w:noProof/>
                <w:webHidden/>
              </w:rPr>
              <w:tab/>
            </w:r>
            <w:r>
              <w:rPr>
                <w:noProof/>
                <w:webHidden/>
              </w:rPr>
              <w:fldChar w:fldCharType="begin"/>
            </w:r>
            <w:r>
              <w:rPr>
                <w:noProof/>
                <w:webHidden/>
              </w:rPr>
              <w:instrText xml:space="preserve"> PAGEREF _Toc233379706 \h </w:instrText>
            </w:r>
            <w:r>
              <w:rPr>
                <w:noProof/>
                <w:webHidden/>
              </w:rPr>
            </w:r>
            <w:r>
              <w:rPr>
                <w:noProof/>
                <w:webHidden/>
              </w:rPr>
              <w:fldChar w:fldCharType="separate"/>
            </w:r>
            <w:r w:rsidR="00EB771C">
              <w:rPr>
                <w:noProof/>
                <w:webHidden/>
              </w:rPr>
              <w:t>11</w:t>
            </w:r>
            <w:r>
              <w:rPr>
                <w:noProof/>
                <w:webHidden/>
              </w:rPr>
              <w:fldChar w:fldCharType="end"/>
            </w:r>
          </w:hyperlink>
        </w:p>
        <w:p w14:paraId="1789C290" w14:textId="6F8CF1B4" w:rsidR="002F14EE" w:rsidRDefault="002F14EE">
          <w:r>
            <w:rPr>
              <w:b/>
              <w:bCs/>
              <w:noProof/>
            </w:rPr>
            <w:fldChar w:fldCharType="end"/>
          </w:r>
        </w:p>
      </w:sdtContent>
    </w:sdt>
    <w:p w14:paraId="7AC89156" w14:textId="77777777" w:rsidR="002F14EE" w:rsidRDefault="002F14EE"/>
    <w:p w14:paraId="733468F3" w14:textId="77777777" w:rsidR="002F14EE" w:rsidRDefault="002F14EE"/>
    <w:p w14:paraId="0F23E5C7" w14:textId="77777777" w:rsidR="002F14EE" w:rsidRDefault="002F14EE"/>
    <w:p w14:paraId="09580132" w14:textId="77777777" w:rsidR="002F14EE" w:rsidRDefault="002F14EE"/>
    <w:p w14:paraId="008B24C0" w14:textId="77777777" w:rsidR="002F14EE" w:rsidRDefault="002F14EE"/>
    <w:p w14:paraId="25A4A816" w14:textId="77777777" w:rsidR="002F14EE" w:rsidRDefault="002F14EE"/>
    <w:p w14:paraId="4B9E98A3" w14:textId="77777777" w:rsidR="002F14EE" w:rsidRDefault="002F14EE"/>
    <w:p w14:paraId="5EAA44B4" w14:textId="77777777" w:rsidR="002F14EE" w:rsidRDefault="002F14EE"/>
    <w:p w14:paraId="28749512" w14:textId="77777777" w:rsidR="002F14EE" w:rsidRDefault="002F14EE"/>
    <w:p w14:paraId="3A84286B" w14:textId="77777777" w:rsidR="002F14EE" w:rsidRDefault="002F14EE"/>
    <w:p w14:paraId="1733342D" w14:textId="77777777" w:rsidR="002F14EE" w:rsidRDefault="002F14EE"/>
    <w:p w14:paraId="725A619A" w14:textId="77777777" w:rsidR="00AA78A5" w:rsidRDefault="00AA78A5" w:rsidP="00AA78A5">
      <w:pPr>
        <w:keepNext/>
        <w:keepLines/>
        <w:spacing w:before="360" w:after="80" w:line="360" w:lineRule="auto"/>
        <w:jc w:val="both"/>
        <w:outlineLvl w:val="0"/>
        <w:rPr>
          <w:rFonts w:ascii="Arial" w:eastAsia="Times New Roman" w:hAnsi="Arial" w:cs="Arial"/>
          <w:color w:val="0F4761"/>
          <w:kern w:val="0"/>
          <w14:ligatures w14:val="none"/>
        </w:rPr>
      </w:pPr>
      <w:bookmarkStart w:id="2" w:name="_Toc233237751"/>
      <w:bookmarkStart w:id="3" w:name="_Toc233379693"/>
      <w:r>
        <w:rPr>
          <w:rFonts w:ascii="Arial" w:eastAsia="Times New Roman" w:hAnsi="Arial" w:cs="Arial"/>
          <w:color w:val="0F4761"/>
          <w:kern w:val="0"/>
          <w14:ligatures w14:val="none"/>
        </w:rPr>
        <w:lastRenderedPageBreak/>
        <w:t>Introduction</w:t>
      </w:r>
      <w:bookmarkEnd w:id="2"/>
      <w:bookmarkEnd w:id="3"/>
    </w:p>
    <w:p w14:paraId="105F5187"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major people management issue is the increasing demand for flexible working as employees want more control over when, where, and how they work. In the UK, any employee can request flexibility from day one in a job, so the business must look at ways to manage such arrangements fairly (Great Britain, 2023; </w:t>
      </w:r>
      <w:proofErr w:type="spellStart"/>
      <w:r>
        <w:rPr>
          <w:rFonts w:ascii="Arial" w:eastAsia="Times New Roman" w:hAnsi="Arial" w:cs="Arial"/>
          <w:kern w:val="0"/>
          <w:lang w:eastAsia="en-GB"/>
          <w14:ligatures w14:val="none"/>
        </w:rPr>
        <w:t>Acas</w:t>
      </w:r>
      <w:proofErr w:type="spellEnd"/>
      <w:r>
        <w:rPr>
          <w:rFonts w:ascii="Arial" w:eastAsia="Times New Roman" w:hAnsi="Arial" w:cs="Arial"/>
          <w:kern w:val="0"/>
          <w:lang w:eastAsia="en-GB"/>
          <w14:ligatures w14:val="none"/>
        </w:rPr>
        <w:t xml:space="preserve">, 2024). But this is a different context than the hybrid office workplace. Given that most roles within a grocery retailer demand a physical presence and require shift coverage with customer contact, a practical flexibility provision might comprise shift swapping, part-time hours, compressed work weeks, and variable start and finish times. </w:t>
      </w:r>
    </w:p>
    <w:p w14:paraId="33C74FD5"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 people-related dilemma is that, rather than enhancing productivity and employee morale and increasing availability, flexibility could cause staff shortages and inequalities in service delivery and place an additional burden on co-workers. </w:t>
      </w:r>
    </w:p>
    <w:p w14:paraId="004E632B"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As current evidence of effectiveness is predominantly from professionals working from home, the relevance to UK store employees is limited, and it is worthwhile considering a major retailer like Morrisons, where it could potentially aid retention, wellbeing, and performance.</w:t>
      </w:r>
    </w:p>
    <w:p w14:paraId="5A3F125B" w14:textId="77777777" w:rsidR="00AA78A5" w:rsidRDefault="00AA78A5" w:rsidP="00AA78A5">
      <w:pPr>
        <w:keepNext/>
        <w:keepLines/>
        <w:spacing w:before="360" w:after="80" w:line="360" w:lineRule="auto"/>
        <w:jc w:val="both"/>
        <w:outlineLvl w:val="0"/>
        <w:rPr>
          <w:rFonts w:ascii="Arial" w:eastAsia="Times New Roman" w:hAnsi="Arial" w:cs="Arial"/>
          <w:color w:val="0F4761"/>
          <w:kern w:val="0"/>
          <w14:ligatures w14:val="none"/>
        </w:rPr>
      </w:pPr>
      <w:bookmarkStart w:id="4" w:name="_Toc233237752"/>
      <w:bookmarkStart w:id="5" w:name="_Toc233379694"/>
      <w:r>
        <w:rPr>
          <w:rFonts w:ascii="Arial" w:eastAsia="Times New Roman" w:hAnsi="Arial" w:cs="Arial"/>
          <w:color w:val="0F4761"/>
          <w:kern w:val="0"/>
          <w14:ligatures w14:val="none"/>
        </w:rPr>
        <w:t>Research aim</w:t>
      </w:r>
      <w:bookmarkEnd w:id="4"/>
      <w:bookmarkEnd w:id="5"/>
    </w:p>
    <w:p w14:paraId="40B00D91"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To explore the relationships between Morrisons’ employees' self-reported productivity, motivation levels, and their availability to work flexibly.</w:t>
      </w:r>
    </w:p>
    <w:p w14:paraId="3D055A1A"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6" w:name="_Toc233237753"/>
      <w:bookmarkStart w:id="7" w:name="_Toc233379695"/>
      <w:r>
        <w:rPr>
          <w:rFonts w:ascii="Arial" w:eastAsia="Times New Roman" w:hAnsi="Arial" w:cs="Arial"/>
          <w:color w:val="0F4761"/>
          <w:kern w:val="0"/>
          <w14:ligatures w14:val="none"/>
        </w:rPr>
        <w:t>Research objectives</w:t>
      </w:r>
      <w:bookmarkEnd w:id="6"/>
      <w:bookmarkEnd w:id="7"/>
    </w:p>
    <w:p w14:paraId="115E7CE7"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1. To explore which flexible work options were available to and were used by Morrisons employees. </w:t>
      </w:r>
    </w:p>
    <w:p w14:paraId="70EA5B25"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2. To explore levels of motivation and productivity in workers.  </w:t>
      </w:r>
    </w:p>
    <w:p w14:paraId="69B7813E"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3. To examine if there is a correlation between motivation levels and availability/use of work flexibility. </w:t>
      </w:r>
    </w:p>
    <w:p w14:paraId="3FE60974"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4. To explore whether the perceived manager trust and work-life balance mediate this relationship.</w:t>
      </w:r>
    </w:p>
    <w:p w14:paraId="7705907D"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8" w:name="_Toc233237754"/>
      <w:bookmarkStart w:id="9" w:name="_Toc233379696"/>
      <w:r>
        <w:rPr>
          <w:rFonts w:ascii="Arial" w:eastAsia="Times New Roman" w:hAnsi="Arial" w:cs="Arial"/>
          <w:color w:val="0F4761"/>
          <w:kern w:val="0"/>
          <w14:ligatures w14:val="none"/>
        </w:rPr>
        <w:lastRenderedPageBreak/>
        <w:t>Research questions</w:t>
      </w:r>
      <w:bookmarkEnd w:id="8"/>
      <w:bookmarkEnd w:id="9"/>
    </w:p>
    <w:p w14:paraId="2B84F416" w14:textId="77777777" w:rsidR="00AA78A5" w:rsidRDefault="00AA78A5" w:rsidP="00AA78A5">
      <w:pPr>
        <w:spacing w:line="360" w:lineRule="auto"/>
        <w:jc w:val="both"/>
        <w:rPr>
          <w:rFonts w:ascii="Arial" w:hAnsi="Arial" w:cs="Arial"/>
          <w:kern w:val="0"/>
          <w14:ligatures w14:val="none"/>
        </w:rPr>
      </w:pPr>
    </w:p>
    <w:p w14:paraId="2694C064" w14:textId="77777777" w:rsidR="00AA78A5" w:rsidRDefault="00AA78A5" w:rsidP="00AA78A5">
      <w:pPr>
        <w:spacing w:line="360" w:lineRule="auto"/>
        <w:jc w:val="both"/>
        <w:rPr>
          <w:rFonts w:ascii="Arial" w:hAnsi="Arial" w:cs="Arial"/>
          <w:kern w:val="0"/>
          <w:lang w:eastAsia="en-GB"/>
          <w14:ligatures w14:val="none"/>
        </w:rPr>
      </w:pPr>
      <w:r>
        <w:rPr>
          <w:rFonts w:ascii="Arial" w:hAnsi="Arial" w:cs="Arial"/>
          <w:kern w:val="0"/>
          <w:lang w:eastAsia="en-GB"/>
          <w14:ligatures w14:val="none"/>
        </w:rPr>
        <w:t xml:space="preserve">1. What kind of flexible working practices are implemented by and at Morrisons? </w:t>
      </w:r>
    </w:p>
    <w:p w14:paraId="33A59259" w14:textId="77777777" w:rsidR="00AA78A5" w:rsidRDefault="00AA78A5" w:rsidP="00AA78A5">
      <w:pPr>
        <w:spacing w:line="360" w:lineRule="auto"/>
        <w:jc w:val="both"/>
        <w:rPr>
          <w:rFonts w:ascii="Arial" w:hAnsi="Arial" w:cs="Arial"/>
          <w:kern w:val="0"/>
          <w:lang w:eastAsia="en-GB"/>
          <w14:ligatures w14:val="none"/>
        </w:rPr>
      </w:pPr>
      <w:r>
        <w:rPr>
          <w:rFonts w:ascii="Arial" w:hAnsi="Arial" w:cs="Arial"/>
          <w:kern w:val="0"/>
          <w:lang w:eastAsia="en-GB"/>
          <w14:ligatures w14:val="none"/>
        </w:rPr>
        <w:t>2. How do employees evaluate their productivity and motivation?</w:t>
      </w:r>
    </w:p>
    <w:p w14:paraId="71EC27E3" w14:textId="77777777" w:rsidR="00AA78A5" w:rsidRDefault="00AA78A5" w:rsidP="00AA78A5">
      <w:pPr>
        <w:spacing w:line="360" w:lineRule="auto"/>
        <w:jc w:val="both"/>
        <w:rPr>
          <w:rFonts w:ascii="Arial" w:hAnsi="Arial" w:cs="Arial"/>
          <w:kern w:val="0"/>
          <w:lang w:eastAsia="en-GB"/>
          <w14:ligatures w14:val="none"/>
        </w:rPr>
      </w:pPr>
      <w:r>
        <w:rPr>
          <w:rFonts w:ascii="Arial" w:hAnsi="Arial" w:cs="Arial"/>
          <w:kern w:val="0"/>
          <w:lang w:eastAsia="en-GB"/>
          <w14:ligatures w14:val="none"/>
        </w:rPr>
        <w:t>3. What relationship(s) are there between productivity, motivation, and flexibility?</w:t>
      </w:r>
    </w:p>
    <w:p w14:paraId="0BC31B37" w14:textId="77777777" w:rsidR="00AA78A5" w:rsidRDefault="00AA78A5" w:rsidP="00AA78A5">
      <w:pPr>
        <w:spacing w:line="360" w:lineRule="auto"/>
        <w:jc w:val="both"/>
        <w:rPr>
          <w:rFonts w:ascii="Arial" w:hAnsi="Arial" w:cs="Arial"/>
          <w:kern w:val="0"/>
          <w:lang w:eastAsia="en-GB"/>
          <w14:ligatures w14:val="none"/>
        </w:rPr>
      </w:pPr>
      <w:r>
        <w:rPr>
          <w:rFonts w:ascii="Arial" w:hAnsi="Arial" w:cs="Arial"/>
          <w:kern w:val="0"/>
          <w:lang w:eastAsia="en-GB"/>
          <w14:ligatures w14:val="none"/>
        </w:rPr>
        <w:t>4. How do these results tie back into managerial trust and work-life balance?</w:t>
      </w:r>
    </w:p>
    <w:p w14:paraId="56F7C83F" w14:textId="77777777" w:rsidR="00AA78A5" w:rsidRDefault="00AA78A5" w:rsidP="00AA78A5">
      <w:pPr>
        <w:keepNext/>
        <w:keepLines/>
        <w:spacing w:before="360" w:after="80" w:line="360" w:lineRule="auto"/>
        <w:jc w:val="both"/>
        <w:outlineLvl w:val="0"/>
        <w:rPr>
          <w:rFonts w:ascii="Arial" w:eastAsia="Times New Roman" w:hAnsi="Arial" w:cs="Arial"/>
          <w:color w:val="0F4761"/>
          <w:kern w:val="0"/>
          <w14:ligatures w14:val="none"/>
        </w:rPr>
      </w:pPr>
      <w:bookmarkStart w:id="10" w:name="_Toc233237755"/>
      <w:bookmarkStart w:id="11" w:name="_Toc233379697"/>
      <w:r>
        <w:rPr>
          <w:rFonts w:ascii="Arial" w:eastAsia="Times New Roman" w:hAnsi="Arial" w:cs="Arial"/>
          <w:color w:val="0F4761"/>
          <w:kern w:val="0"/>
          <w14:ligatures w14:val="none"/>
        </w:rPr>
        <w:t>Literature Review</w:t>
      </w:r>
      <w:bookmarkEnd w:id="10"/>
      <w:bookmarkEnd w:id="11"/>
    </w:p>
    <w:p w14:paraId="7ACA0CB9" w14:textId="11B2324A"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There are several types of arrangements to alter the time, place, or method in which a worker provides their contracted labour; examples include: flexitime, part-time work, compressed hours, job-sharing, homeworking, and informal shift exchanges. However, if flexibility is considered as one broad idea, significant differences between forms of flexibility may be overlooked. For example, whilst flexibility of shifts may enable workers to deal with children, dependent relatives or transport problems, homeworking may reduce the commute and may enhance concentration; this difference is clearly pertinent to the food retail sector, where </w:t>
      </w:r>
      <w:r w:rsidR="00366962">
        <w:rPr>
          <w:rFonts w:ascii="Arial" w:eastAsia="Times New Roman" w:hAnsi="Arial" w:cs="Arial"/>
          <w:kern w:val="0"/>
          <w:lang w:eastAsia="en-GB"/>
          <w14:ligatures w14:val="none"/>
        </w:rPr>
        <w:t>most of the</w:t>
      </w:r>
      <w:r>
        <w:rPr>
          <w:rFonts w:ascii="Arial" w:eastAsia="Times New Roman" w:hAnsi="Arial" w:cs="Arial"/>
          <w:kern w:val="0"/>
          <w:lang w:eastAsia="en-GB"/>
          <w14:ligatures w14:val="none"/>
        </w:rPr>
        <w:t xml:space="preserve"> work in stores is customer-facing and demands physical presence. </w:t>
      </w:r>
    </w:p>
    <w:p w14:paraId="34570E5E"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Several different theoretical perspectives are offered to guide this research, such as Self-Determination Theory. </w:t>
      </w:r>
    </w:p>
    <w:p w14:paraId="0ACEFB0D" w14:textId="731069DF"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proofErr w:type="spellStart"/>
      <w:r>
        <w:rPr>
          <w:rFonts w:ascii="Arial" w:eastAsia="Times New Roman" w:hAnsi="Arial" w:cs="Arial"/>
          <w:kern w:val="0"/>
          <w:lang w:eastAsia="en-GB"/>
          <w14:ligatures w14:val="none"/>
        </w:rPr>
        <w:t>Decid</w:t>
      </w:r>
      <w:proofErr w:type="spellEnd"/>
      <w:r>
        <w:rPr>
          <w:rFonts w:ascii="Arial" w:eastAsia="Times New Roman" w:hAnsi="Arial" w:cs="Arial"/>
          <w:kern w:val="0"/>
          <w:lang w:eastAsia="en-GB"/>
          <w14:ligatures w14:val="none"/>
        </w:rPr>
        <w:t xml:space="preserve"> and Ryan (2000) argued that workers will experience greater int</w:t>
      </w:r>
      <w:r w:rsidR="00366962">
        <w:rPr>
          <w:rFonts w:ascii="Arial" w:eastAsia="Times New Roman" w:hAnsi="Arial" w:cs="Arial"/>
          <w:kern w:val="0"/>
          <w:lang w:eastAsia="en-GB"/>
          <w14:ligatures w14:val="none"/>
        </w:rPr>
        <w:t>erest</w:t>
      </w:r>
      <w:r>
        <w:rPr>
          <w:rFonts w:ascii="Arial" w:eastAsia="Times New Roman" w:hAnsi="Arial" w:cs="Arial"/>
          <w:kern w:val="0"/>
          <w:lang w:eastAsia="en-GB"/>
          <w14:ligatures w14:val="none"/>
        </w:rPr>
        <w:t xml:space="preserve"> motivation when their work fosters relatedness, competence, and autonomy; thus, flexible hours arrangements may promote autonomy by giving workers greater control over their working times and may reduce work-life conflict. Flexibility might, however, prove to be a less beneficial tool if access is skewed, managerially controlled, or perceived as inequitable. Gagn and Deci (2005) stress the importance of autonomy-supportive managers in ensuring that the quality of implementation, rather than policy existence, is key. Also relevant is the Job Demands-Resources paradigm, as espoused by Demerouti and Bakker (2011); it proposed that resources such as autonomy and managerial support will lead to engagement and buffer the harmful effects of </w:t>
      </w:r>
      <w:r>
        <w:rPr>
          <w:rFonts w:ascii="Arial" w:eastAsia="Times New Roman" w:hAnsi="Arial" w:cs="Arial"/>
          <w:kern w:val="0"/>
          <w:lang w:eastAsia="en-GB"/>
          <w14:ligatures w14:val="none"/>
        </w:rPr>
        <w:lastRenderedPageBreak/>
        <w:t xml:space="preserve">demanding work; hence, it is possible that flexibility might reduce strain and increase work-life balance. </w:t>
      </w:r>
    </w:p>
    <w:p w14:paraId="4181DF77"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Conversely, unplanned changes to schedules, understaffing and reductions in workloads could create additional demands. </w:t>
      </w:r>
    </w:p>
    <w:p w14:paraId="2E66A57C"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terms of these theoretical lenses, flexibility’s role in improving work motivation and productivity depends on managerial support, employee control, and perceived justice. Research findings are generally positive, although dependent on the situation. A meta-analysis by Ipsen et al. (2021) found that teleworking correlated with increases in job satisfaction and autonomy and minor performance improvements. </w:t>
      </w:r>
    </w:p>
    <w:p w14:paraId="32E743F0"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Oakman et al. (2020) also reported that the nature of manager-employee relationships, job design, and the amount of remote work affect results. These papers primarily focus on professional and/or office workers and thus cannot be fully generalisable to supermarket employees, who cannot telework. Bloom et al. (2015) conducted a more robust study on a Chinese call centre with randomised homeworking, showing productivity enhancements. </w:t>
      </w:r>
    </w:p>
    <w:p w14:paraId="6D26295F"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But the study only focused on the workplace, not flexible work-based options, and the findings may not apply directly to grocery retail, where maintaining staffing levels, customer contact, and teamwork is crucial. </w:t>
      </w:r>
    </w:p>
    <w:p w14:paraId="6C0E23E2"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Work satisfaction and favourable links with work arrangements have been demonstrated by Wheatley (2017), who utilised a British household-level dataset, but also highlight gender differentials in access and outcome: an uneven distribution of such opportunities will exacerbate inequalities. Research on the performance case for flexibility is more controversial. A systematic review by De Menezes and Kelliher (2011) identified inconsistent outcomes due to differing definitions, cross-sectional study designs, and self-reported performance measures. Chung and van der Lippe (2020) argued that flexible workers had greater loyalty but that they also increased their workload, and this could impact sustainable performance improvements if greater output necessitates greater effort. </w:t>
      </w:r>
    </w:p>
    <w:p w14:paraId="75839766"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Current literature predominantly explores teleworking, professional jobs, and a mixture of industries, whilst front-line UK grocery retail has been afforded less attention. Few studies make a distinction between the use, perceived availability, control over, and fairness of flexible work. Taking a lead from Self-Determination Theory and the Job Demands-Resources models, a potential Morrisons study would fill this gap by investigating flexible hours and work arrangements in terms of motivation, employee-reported productivity, work-life balance, stress, trust, and managerial support.</w:t>
      </w:r>
    </w:p>
    <w:p w14:paraId="54541F76" w14:textId="77777777" w:rsidR="00AA78A5" w:rsidRDefault="00AA78A5" w:rsidP="00AA78A5">
      <w:pPr>
        <w:keepNext/>
        <w:keepLines/>
        <w:spacing w:before="360" w:after="80" w:line="360" w:lineRule="auto"/>
        <w:jc w:val="both"/>
        <w:outlineLvl w:val="0"/>
        <w:rPr>
          <w:rFonts w:ascii="Arial" w:eastAsia="Times New Roman" w:hAnsi="Arial" w:cs="Arial"/>
          <w:color w:val="0F4761"/>
          <w:kern w:val="0"/>
          <w14:ligatures w14:val="none"/>
        </w:rPr>
      </w:pPr>
      <w:bookmarkStart w:id="12" w:name="_Toc233237756"/>
      <w:bookmarkStart w:id="13" w:name="_Toc233379698"/>
      <w:r>
        <w:rPr>
          <w:rFonts w:ascii="Arial" w:eastAsia="Times New Roman" w:hAnsi="Arial" w:cs="Arial"/>
          <w:color w:val="0F4761"/>
          <w:kern w:val="0"/>
          <w14:ligatures w14:val="none"/>
        </w:rPr>
        <w:t>Research Methodology</w:t>
      </w:r>
      <w:bookmarkEnd w:id="12"/>
      <w:bookmarkEnd w:id="13"/>
    </w:p>
    <w:p w14:paraId="3A47D200"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14" w:name="_Toc233237757"/>
      <w:bookmarkStart w:id="15" w:name="_Toc233379699"/>
      <w:r>
        <w:rPr>
          <w:rFonts w:ascii="Arial" w:eastAsia="Times New Roman" w:hAnsi="Arial" w:cs="Arial"/>
          <w:color w:val="0F4761"/>
          <w:kern w:val="0"/>
          <w14:ligatures w14:val="none"/>
        </w:rPr>
        <w:t>Research philosophy</w:t>
      </w:r>
      <w:bookmarkEnd w:id="14"/>
      <w:bookmarkEnd w:id="15"/>
    </w:p>
    <w:p w14:paraId="7050258F" w14:textId="77777777" w:rsidR="00AA78A5" w:rsidRDefault="00AA78A5" w:rsidP="00AA78A5">
      <w:pPr>
        <w:spacing w:line="360" w:lineRule="auto"/>
        <w:jc w:val="both"/>
        <w:rPr>
          <w:rFonts w:ascii="Arial" w:eastAsia="Times New Roman" w:hAnsi="Arial" w:cs="Arial"/>
          <w:kern w:val="0"/>
          <w:lang w:eastAsia="en-GB"/>
          <w14:ligatures w14:val="none"/>
        </w:rPr>
      </w:pPr>
      <w:r>
        <w:rPr>
          <w:rFonts w:ascii="Arial" w:hAnsi="Arial" w:cs="Arial"/>
          <w:kern w:val="0"/>
          <w14:ligatures w14:val="none"/>
        </w:rPr>
        <w:t xml:space="preserve">This study will therefore be conducted from a positivist philosophy as the aim is to develop quantitative data and produce variables that can be quantified, measuring various statistical relationships. </w:t>
      </w:r>
      <w:r>
        <w:rPr>
          <w:rFonts w:ascii="Arial" w:eastAsia="Times New Roman" w:hAnsi="Arial" w:cs="Arial"/>
          <w:kern w:val="0"/>
          <w:lang w:eastAsia="en-GB"/>
          <w14:ligatures w14:val="none"/>
        </w:rPr>
        <w:t>Quantitative research is acceptable if ideas are transformed into measurable variables to make systematic and objective analysis of relationships possible (</w:t>
      </w:r>
      <w:proofErr w:type="spellStart"/>
      <w:r>
        <w:rPr>
          <w:rFonts w:ascii="Arial" w:eastAsia="Times New Roman" w:hAnsi="Arial" w:cs="Arial"/>
          <w:kern w:val="0"/>
          <w:lang w:eastAsia="en-GB"/>
          <w14:ligatures w14:val="none"/>
        </w:rPr>
        <w:t>Bhattacherjee</w:t>
      </w:r>
      <w:proofErr w:type="spellEnd"/>
      <w:r>
        <w:rPr>
          <w:rFonts w:ascii="Arial" w:eastAsia="Times New Roman" w:hAnsi="Arial" w:cs="Arial"/>
          <w:kern w:val="0"/>
          <w:lang w:eastAsia="en-GB"/>
          <w14:ligatures w14:val="none"/>
        </w:rPr>
        <w:t xml:space="preserve">, 2012). </w:t>
      </w:r>
      <w:r>
        <w:rPr>
          <w:rFonts w:ascii="Arial" w:hAnsi="Arial" w:cs="Arial"/>
          <w:kern w:val="0"/>
          <w14:ligatures w14:val="none"/>
        </w:rPr>
        <w:t>This is appropriate as the variables which this study intends to measure are the workers' access to flexible scheduling and assess its relationship with productivity, motivation, work-life balance, and management support.</w:t>
      </w:r>
    </w:p>
    <w:p w14:paraId="4DBDDDCD"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We will adopt a deductive approach. The questionnaire design and analysis will be underpinned by the Job Demands-Resources model and Self-Determination Theory, suggesting that employee-controlled flexibility can reduce work stress and increase levels of autonomy, trust and work-life balance. The study seeks to test whether these predicted relationships exist among the employees of Morrisons. The deductive approach is appropriate because this study will start with existing theory and will test theoretical predictions in relation to a given situation with empirical evidence (Creswell and Creswell, 2023).</w:t>
      </w:r>
    </w:p>
    <w:p w14:paraId="07F2EF3F"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16" w:name="_Toc233237758"/>
      <w:bookmarkStart w:id="17" w:name="_Toc233379700"/>
      <w:r>
        <w:rPr>
          <w:rFonts w:ascii="Arial" w:eastAsia="Times New Roman" w:hAnsi="Arial" w:cs="Arial"/>
          <w:color w:val="0F4761"/>
          <w:kern w:val="0"/>
          <w14:ligatures w14:val="none"/>
        </w:rPr>
        <w:t>Research approach</w:t>
      </w:r>
      <w:bookmarkEnd w:id="16"/>
      <w:bookmarkEnd w:id="17"/>
    </w:p>
    <w:p w14:paraId="0DD0FB56" w14:textId="16B9BD3C" w:rsidR="00AA78A5" w:rsidRDefault="00D20A2B"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This research</w:t>
      </w:r>
      <w:r w:rsidR="00AA78A5">
        <w:rPr>
          <w:rFonts w:ascii="Arial" w:eastAsia="Times New Roman" w:hAnsi="Arial" w:cs="Arial"/>
          <w:kern w:val="0"/>
          <w:lang w:eastAsia="en-GB"/>
          <w14:ligatures w14:val="none"/>
        </w:rPr>
        <w:t xml:space="preserve"> using a deductive approach. The questionnaire and subsequent data will be structured around Self-Determination Theory and Job Demands-Resources theory. These two theories suggest employee control flexibility will increase autonomy, trust, and work-life balance while decreasing stress. </w:t>
      </w:r>
    </w:p>
    <w:p w14:paraId="2546D59B"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This research seeks to confirm or contradict these hypothesised correlations in relation to Morrisons employees. The use of deduction is suitable as the research begins with established theory, using evidence to support, contest or refine theoretical propositions in a specific context.</w:t>
      </w:r>
    </w:p>
    <w:p w14:paraId="297D5A1A"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18" w:name="_Toc233237759"/>
      <w:bookmarkStart w:id="19" w:name="_Toc233379701"/>
      <w:r>
        <w:rPr>
          <w:rFonts w:ascii="Arial" w:eastAsia="Times New Roman" w:hAnsi="Arial" w:cs="Arial"/>
          <w:color w:val="0F4761"/>
          <w:kern w:val="0"/>
          <w14:ligatures w14:val="none"/>
        </w:rPr>
        <w:t>Research methodology and data collection</w:t>
      </w:r>
      <w:bookmarkEnd w:id="18"/>
      <w:bookmarkEnd w:id="19"/>
    </w:p>
    <w:p w14:paraId="48F6532A"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cross-sectional, quantitative design will be adopted. By collecting data on a one-time-only basis via a questionnaire administered online, it will be cost-effective, accessible to employees working different shift patterns, and will provide comparable information about different respondents through standardisation. Approximately 25 closed questions, divided into 5 sections: eligibility &amp; employment profile, provision and utilisation of flexible working, schedule control, trust and managerial support, and outcomes related to productivity, work-life balance, motivation and stress, will be used. </w:t>
      </w:r>
    </w:p>
    <w:p w14:paraId="2CE1432F"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Attitudes will be assessed on a 5-point Likert scale ranging from strongly disagree to strongly agree. </w:t>
      </w:r>
    </w:p>
    <w:p w14:paraId="58DB1C24"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Information will be collected on formal availability, current use, and perceived quality of flexible work. While predominantly quantitative, there will be an opportunity for one optional comment section. Initial testing on a survey resulting in 36 valid responses-including self-employed, workers of multiple organisations, and someone under 18-is sufficient as this has not yielded enough response data, is also contaminated with non-eligible participants and serves solely as preliminary test data; better worded, with further qualifying questions (stricter screener will be used), this survey will undergo another pilot with 5 appropriately recruited volunteers to check for usability, clarity and any technical issues before full deployment.</w:t>
      </w:r>
    </w:p>
    <w:p w14:paraId="68D38883"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20" w:name="_Toc233237760"/>
      <w:bookmarkStart w:id="21" w:name="_Toc233379702"/>
      <w:r>
        <w:rPr>
          <w:rFonts w:ascii="Arial" w:eastAsia="Times New Roman" w:hAnsi="Arial" w:cs="Arial"/>
          <w:color w:val="0F4761"/>
          <w:kern w:val="0"/>
          <w14:ligatures w14:val="none"/>
        </w:rPr>
        <w:t>Target population and sampling</w:t>
      </w:r>
      <w:bookmarkEnd w:id="20"/>
      <w:bookmarkEnd w:id="21"/>
    </w:p>
    <w:p w14:paraId="1628F7F6"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Participants shall be selected on-site at some specific Morrisons (UK) stores and are frontline employees and first-line managers. Participants should be 18+ years, employees of Morrisons for at least 6 months, be impacted by schedule or shift considerations (and therefore selected based upon that criteria), but will exclude those involved in the pilot, contract workers, head office, and ex-employees. We aim to send </w:t>
      </w:r>
      <w:r>
        <w:rPr>
          <w:rFonts w:ascii="Arial" w:eastAsia="Times New Roman" w:hAnsi="Arial" w:cs="Arial"/>
          <w:kern w:val="0"/>
          <w:lang w:eastAsia="en-GB"/>
          <w14:ligatures w14:val="none"/>
        </w:rPr>
        <w:lastRenderedPageBreak/>
        <w:t>out approximately 100 invitations, aiming for 80 valid responses, purposive convenience sample (convenience selection makes sense given access to a staff list is improbable, but purposeful ensures criteria are met). Participants will be recruited through e-mail (to their store e-mail address) or by poster/QR codes (pending manager permission) but will receive no manager information.</w:t>
      </w:r>
    </w:p>
    <w:p w14:paraId="3CBD6133"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22" w:name="_Toc233237761"/>
      <w:bookmarkStart w:id="23" w:name="_Toc233379703"/>
      <w:r>
        <w:rPr>
          <w:rFonts w:ascii="Arial" w:eastAsia="Times New Roman" w:hAnsi="Arial" w:cs="Arial"/>
          <w:color w:val="0F4761"/>
          <w:kern w:val="0"/>
          <w14:ligatures w14:val="none"/>
        </w:rPr>
        <w:t>Data analysis</w:t>
      </w:r>
      <w:bookmarkEnd w:id="22"/>
      <w:bookmarkEnd w:id="23"/>
    </w:p>
    <w:p w14:paraId="4846AA48" w14:textId="77777777" w:rsidR="00AA78A5" w:rsidRDefault="00AA78A5" w:rsidP="00AA78A5">
      <w:pPr>
        <w:spacing w:line="360" w:lineRule="auto"/>
        <w:jc w:val="both"/>
        <w:rPr>
          <w:rFonts w:ascii="Arial" w:hAnsi="Arial" w:cs="Arial"/>
          <w:kern w:val="0"/>
          <w14:ligatures w14:val="none"/>
        </w:rPr>
      </w:pPr>
      <w:r>
        <w:rPr>
          <w:rFonts w:ascii="Arial" w:hAnsi="Arial" w:cs="Arial"/>
          <w:kern w:val="0"/>
          <w14:ligatures w14:val="none"/>
        </w:rPr>
        <w:t>The Data will be output into SPSS and Microsoft Excel. A cleaning procedure will include searching for those finishing too quickly, variable recoding, removal of non-valid cases; check missing data (Free Software Foundation, 2023). Frequencies and percentages will be used to summarise participant profiles and working time flexibility; the scale will be used to summarise the mean and standard deviation. (Diez, Barr, and Çetinkaya-Rundel, 2019)</w:t>
      </w:r>
    </w:p>
    <w:p w14:paraId="59FF744E"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There will be a composite score for productivity, work/life balance, trust, motivation, and work flexibility. Cronbach's Alpha coefficient, about 0.70, will be checked for internal consistency. Pearson product-moment coefficient if the requirements are appropriate, and if not, Spearman's rank correlation may be used. In adjusted for relevant occupation variables, a minimal regression model to address how far flexible work predicts motivation and productivity. Cross-sectional research results are correlated and not causal.</w:t>
      </w:r>
    </w:p>
    <w:p w14:paraId="381DC09C"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24" w:name="_Toc233237762"/>
      <w:bookmarkStart w:id="25" w:name="_Toc233379704"/>
      <w:r>
        <w:rPr>
          <w:rFonts w:ascii="Arial" w:eastAsia="Times New Roman" w:hAnsi="Arial" w:cs="Arial"/>
          <w:color w:val="0F4761"/>
          <w:kern w:val="0"/>
          <w14:ligatures w14:val="none"/>
        </w:rPr>
        <w:t>Reliability, validity, and ethics</w:t>
      </w:r>
      <w:bookmarkEnd w:id="24"/>
      <w:bookmarkEnd w:id="25"/>
    </w:p>
    <w:p w14:paraId="6872E634" w14:textId="6E9D5D31"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Reliability supported by internal consistency test, pilot test, standardisation of scale, and uniform instructions. Content validity will be enhanced by linking questions to the objectives, theory, and literature. </w:t>
      </w:r>
    </w:p>
    <w:p w14:paraId="1AF64850"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Social desirability will be reduced using neutral language and anonymous answers. </w:t>
      </w:r>
    </w:p>
    <w:p w14:paraId="7540DC5B"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Before hiring, organisational gatekeeper approval will be obtained, followed by university ethical committee approval. Participants will be given an information sheet and asked for informed consent. At any time up to submission, the option to withdraw is given, and participation is entirely voluntary. Manager details, store identifiers, employee numbers, and names will not be collected. </w:t>
      </w:r>
    </w:p>
    <w:p w14:paraId="54529135"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Data will be handled according to UK GDPR standards and stored securely and will only be accessible by the investigator and the supervisor. </w:t>
      </w:r>
    </w:p>
    <w:p w14:paraId="7E998BB8"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Data will be destroyed in line with university regulations. As the topic of work stress and work/life conflict might be difficult, participants should be 18 years or over; information support will be available.</w:t>
      </w:r>
    </w:p>
    <w:p w14:paraId="63922081" w14:textId="77777777" w:rsidR="00AA78A5" w:rsidRDefault="00AA78A5" w:rsidP="00AA78A5">
      <w:pPr>
        <w:keepNext/>
        <w:keepLines/>
        <w:spacing w:before="160" w:after="80" w:line="360" w:lineRule="auto"/>
        <w:jc w:val="both"/>
        <w:outlineLvl w:val="1"/>
        <w:rPr>
          <w:rFonts w:ascii="Arial" w:eastAsia="Times New Roman" w:hAnsi="Arial" w:cs="Arial"/>
          <w:color w:val="0F4761"/>
          <w:kern w:val="0"/>
          <w14:ligatures w14:val="none"/>
        </w:rPr>
      </w:pPr>
      <w:bookmarkStart w:id="26" w:name="_Toc233237763"/>
      <w:bookmarkStart w:id="27" w:name="_Toc233379705"/>
      <w:r>
        <w:rPr>
          <w:rFonts w:ascii="Arial" w:eastAsia="Times New Roman" w:hAnsi="Arial" w:cs="Arial"/>
          <w:color w:val="0F4761"/>
          <w:kern w:val="0"/>
          <w14:ligatures w14:val="none"/>
        </w:rPr>
        <w:t>Limitations</w:t>
      </w:r>
      <w:bookmarkEnd w:id="26"/>
      <w:bookmarkEnd w:id="27"/>
    </w:p>
    <w:p w14:paraId="77F5EF11"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Sampling bias: “convenience sampling and chosen shops mean that generalisability may not be possible.” Employee selection bias: Extremely positive/negative customers may be more likely to self-select.” </w:t>
      </w:r>
      <w:bookmarkStart w:id="28" w:name="_Toc233237764"/>
    </w:p>
    <w:p w14:paraId="30E16932" w14:textId="77777777" w:rsidR="00AA78A5" w:rsidRDefault="00AA78A5" w:rsidP="00AA78A5">
      <w:pPr>
        <w:spacing w:before="100" w:beforeAutospacing="1" w:after="100" w:afterAutospacing="1" w:line="360" w:lineRule="auto"/>
        <w:jc w:val="both"/>
        <w:rPr>
          <w:rFonts w:ascii="Arial" w:eastAsia="Times New Roman" w:hAnsi="Arial" w:cs="Arial"/>
          <w:color w:val="0F4761"/>
          <w:kern w:val="0"/>
          <w14:ligatures w14:val="none"/>
        </w:rPr>
      </w:pPr>
      <w:r>
        <w:rPr>
          <w:rFonts w:ascii="Arial" w:eastAsia="Times New Roman" w:hAnsi="Arial" w:cs="Arial"/>
          <w:color w:val="0F4761"/>
          <w:kern w:val="0"/>
          <w14:ligatures w14:val="none"/>
        </w:rPr>
        <w:t>Project Plan and Timeline</w:t>
      </w:r>
      <w:bookmarkEnd w:id="28"/>
    </w:p>
    <w:p w14:paraId="528D6D1E" w14:textId="5A9142D3"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The project will take 12 weeks to complete in a series of overlapped but managed stages. Weeks 1-</w:t>
      </w:r>
      <w:r w:rsidR="008C7777">
        <w:rPr>
          <w:rFonts w:ascii="Arial" w:eastAsia="Times New Roman" w:hAnsi="Arial" w:cs="Arial"/>
          <w:kern w:val="0"/>
          <w:lang w:eastAsia="en-GB"/>
          <w14:ligatures w14:val="none"/>
        </w:rPr>
        <w:t>2</w:t>
      </w:r>
      <w:r>
        <w:rPr>
          <w:rFonts w:ascii="Arial" w:eastAsia="Times New Roman" w:hAnsi="Arial" w:cs="Arial"/>
          <w:kern w:val="0"/>
          <w:lang w:eastAsia="en-GB"/>
          <w14:ligatures w14:val="none"/>
        </w:rPr>
        <w:t xml:space="preserve">: Determine overall project, research, and theoretical foundation. Start questionnaire design and ethics application as early as Week 3 so as not to unnecessarily delay the recruitment process. </w:t>
      </w:r>
    </w:p>
    <w:p w14:paraId="5FFA3DA5" w14:textId="2932E705" w:rsidR="00D20A2B" w:rsidRDefault="00D20A2B"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Week 1-4: literature review </w:t>
      </w:r>
    </w:p>
    <w:p w14:paraId="362A426D" w14:textId="5CA7E903" w:rsidR="00D20A2B" w:rsidRDefault="00D20A2B"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Week 4: apply for ethical approval</w:t>
      </w:r>
    </w:p>
    <w:p w14:paraId="169FFC74"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Weeks 4-8: A small pilot will occur on Week 5. </w:t>
      </w:r>
    </w:p>
    <w:p w14:paraId="12A4BED7" w14:textId="5414CA6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Adjust the questionnaire before the data collection period in Weeks 6-8. Commence data cleaning on the final week of data collection to allow statistical analysis to begin as soon as possible. Weeks 9-11: The primary focus will be the analysis, interpretation, results, and discussion of the data. Complete and write the conclusion and implications in week 1</w:t>
      </w:r>
      <w:r w:rsidR="00D20A2B">
        <w:rPr>
          <w:rFonts w:ascii="Arial" w:eastAsia="Times New Roman" w:hAnsi="Arial" w:cs="Arial"/>
          <w:kern w:val="0"/>
          <w:lang w:eastAsia="en-GB"/>
          <w14:ligatures w14:val="none"/>
        </w:rPr>
        <w:t>2.</w:t>
      </w:r>
    </w:p>
    <w:p w14:paraId="553A09A2"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Week 12: Finalise, proofread, and check alignment between research questions and proposed analysis. </w:t>
      </w:r>
    </w:p>
    <w:p w14:paraId="2E90694A" w14:textId="77777777" w:rsidR="00AA78A5" w:rsidRDefault="00AA78A5" w:rsidP="00AA78A5">
      <w:pPr>
        <w:spacing w:before="100" w:beforeAutospacing="1" w:after="100" w:afterAutospacing="1"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Work in each week will be measured against the project Gantt chart. There is some contingency included in weeks 8 and 12 in case there is a problem with, for instance, recruitment, missing responses, difficult analysis issues, or final formatting.</w:t>
      </w:r>
    </w:p>
    <w:p w14:paraId="752402C3" w14:textId="77777777" w:rsidR="00AA78A5" w:rsidRDefault="00AA78A5" w:rsidP="00AA78A5">
      <w:pPr>
        <w:spacing w:line="254" w:lineRule="auto"/>
        <w:rPr>
          <w:rFonts w:ascii="Arial" w:hAnsi="Arial" w:cs="Arial"/>
          <w:kern w:val="0"/>
          <w14:ligatures w14:val="none"/>
        </w:rPr>
      </w:pPr>
    </w:p>
    <w:p w14:paraId="018AEC9A" w14:textId="77777777" w:rsidR="00AA78A5" w:rsidRDefault="00AA78A5" w:rsidP="00AA78A5">
      <w:pPr>
        <w:spacing w:line="254" w:lineRule="auto"/>
        <w:jc w:val="center"/>
        <w:rPr>
          <w:rFonts w:ascii="Arial" w:hAnsi="Arial" w:cs="Arial"/>
          <w:kern w:val="0"/>
          <w14:ligatures w14:val="none"/>
        </w:rPr>
      </w:pPr>
      <w:r>
        <w:rPr>
          <w:rFonts w:ascii="Arial" w:hAnsi="Arial" w:cs="Arial"/>
          <w:noProof/>
          <w:kern w:val="0"/>
        </w:rPr>
        <w:drawing>
          <wp:inline distT="0" distB="0" distL="0" distR="0" wp14:anchorId="486E0CCA" wp14:editId="40ED7E98">
            <wp:extent cx="5654040" cy="3070860"/>
            <wp:effectExtent l="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4040" cy="3070860"/>
                    </a:xfrm>
                    <a:prstGeom prst="rect">
                      <a:avLst/>
                    </a:prstGeom>
                    <a:noFill/>
                    <a:ln>
                      <a:noFill/>
                    </a:ln>
                  </pic:spPr>
                </pic:pic>
              </a:graphicData>
            </a:graphic>
          </wp:inline>
        </w:drawing>
      </w:r>
    </w:p>
    <w:p w14:paraId="49A389DD" w14:textId="77777777" w:rsidR="00AA78A5" w:rsidRDefault="00AA78A5" w:rsidP="00AA78A5">
      <w:pPr>
        <w:spacing w:line="254" w:lineRule="auto"/>
        <w:rPr>
          <w:rFonts w:ascii="Arial" w:hAnsi="Arial" w:cs="Arial"/>
          <w:kern w:val="0"/>
          <w14:ligatures w14:val="none"/>
        </w:rPr>
      </w:pPr>
    </w:p>
    <w:p w14:paraId="21ECCCCA" w14:textId="77777777" w:rsidR="00AA78A5" w:rsidRDefault="00AA78A5" w:rsidP="00AA78A5">
      <w:pPr>
        <w:spacing w:line="254" w:lineRule="auto"/>
        <w:rPr>
          <w:rFonts w:ascii="Arial" w:hAnsi="Arial" w:cs="Arial"/>
          <w:kern w:val="0"/>
          <w14:ligatures w14:val="none"/>
        </w:rPr>
      </w:pPr>
    </w:p>
    <w:p w14:paraId="147916BC" w14:textId="77777777" w:rsidR="00AA78A5" w:rsidRDefault="00AA78A5" w:rsidP="00AA78A5">
      <w:pPr>
        <w:spacing w:line="254" w:lineRule="auto"/>
        <w:rPr>
          <w:rFonts w:ascii="Arial" w:hAnsi="Arial" w:cs="Arial"/>
          <w:kern w:val="0"/>
          <w14:ligatures w14:val="none"/>
        </w:rPr>
      </w:pPr>
    </w:p>
    <w:p w14:paraId="0469EA5D" w14:textId="77777777" w:rsidR="00AA78A5" w:rsidRDefault="00AA78A5" w:rsidP="00AA78A5">
      <w:pPr>
        <w:spacing w:line="254" w:lineRule="auto"/>
        <w:rPr>
          <w:rFonts w:ascii="Arial" w:hAnsi="Arial" w:cs="Arial"/>
          <w:kern w:val="0"/>
          <w14:ligatures w14:val="none"/>
        </w:rPr>
      </w:pPr>
    </w:p>
    <w:p w14:paraId="6E50B0DF" w14:textId="77777777" w:rsidR="00AA78A5" w:rsidRDefault="00AA78A5" w:rsidP="00AA78A5">
      <w:pPr>
        <w:spacing w:line="254" w:lineRule="auto"/>
        <w:rPr>
          <w:rFonts w:ascii="Arial" w:hAnsi="Arial" w:cs="Arial"/>
          <w:kern w:val="0"/>
          <w14:ligatures w14:val="none"/>
        </w:rPr>
      </w:pPr>
    </w:p>
    <w:p w14:paraId="289E58F8" w14:textId="77777777" w:rsidR="00AA78A5" w:rsidRDefault="00AA78A5" w:rsidP="00AA78A5">
      <w:pPr>
        <w:spacing w:line="254" w:lineRule="auto"/>
        <w:rPr>
          <w:rFonts w:ascii="Arial" w:hAnsi="Arial" w:cs="Arial"/>
          <w:kern w:val="0"/>
          <w14:ligatures w14:val="none"/>
        </w:rPr>
      </w:pPr>
    </w:p>
    <w:p w14:paraId="5DC7E29B" w14:textId="77777777" w:rsidR="00AA78A5" w:rsidRDefault="00AA78A5" w:rsidP="00AA78A5">
      <w:pPr>
        <w:spacing w:line="254" w:lineRule="auto"/>
        <w:rPr>
          <w:rFonts w:ascii="Arial" w:hAnsi="Arial" w:cs="Arial"/>
          <w:kern w:val="0"/>
          <w14:ligatures w14:val="none"/>
        </w:rPr>
      </w:pPr>
    </w:p>
    <w:p w14:paraId="584D3D35" w14:textId="77777777" w:rsidR="00AA78A5" w:rsidRDefault="00AA78A5" w:rsidP="00AA78A5">
      <w:pPr>
        <w:spacing w:line="254" w:lineRule="auto"/>
        <w:rPr>
          <w:rFonts w:ascii="Arial" w:hAnsi="Arial" w:cs="Arial"/>
          <w:kern w:val="0"/>
          <w14:ligatures w14:val="none"/>
        </w:rPr>
      </w:pPr>
    </w:p>
    <w:p w14:paraId="2631FF7C" w14:textId="77777777" w:rsidR="00AA78A5" w:rsidRDefault="00AA78A5" w:rsidP="00AA78A5">
      <w:pPr>
        <w:spacing w:line="254" w:lineRule="auto"/>
        <w:rPr>
          <w:rFonts w:ascii="Arial" w:hAnsi="Arial" w:cs="Arial"/>
          <w:kern w:val="0"/>
          <w14:ligatures w14:val="none"/>
        </w:rPr>
      </w:pPr>
    </w:p>
    <w:p w14:paraId="6722FABB" w14:textId="77777777" w:rsidR="00AA78A5" w:rsidRDefault="00AA78A5" w:rsidP="00AA78A5">
      <w:pPr>
        <w:spacing w:line="254" w:lineRule="auto"/>
        <w:rPr>
          <w:rFonts w:ascii="Arial" w:hAnsi="Arial" w:cs="Arial"/>
          <w:kern w:val="0"/>
          <w14:ligatures w14:val="none"/>
        </w:rPr>
      </w:pPr>
    </w:p>
    <w:p w14:paraId="43F9CB19" w14:textId="77777777" w:rsidR="00AA78A5" w:rsidRDefault="00AA78A5" w:rsidP="00AA78A5">
      <w:pPr>
        <w:spacing w:line="254" w:lineRule="auto"/>
        <w:rPr>
          <w:rFonts w:ascii="Arial" w:hAnsi="Arial" w:cs="Arial"/>
          <w:kern w:val="0"/>
          <w14:ligatures w14:val="none"/>
        </w:rPr>
      </w:pPr>
    </w:p>
    <w:p w14:paraId="60F15EE3" w14:textId="77777777" w:rsidR="00AA78A5" w:rsidRDefault="00AA78A5" w:rsidP="00AA78A5">
      <w:pPr>
        <w:spacing w:line="254" w:lineRule="auto"/>
        <w:rPr>
          <w:rFonts w:ascii="Arial" w:hAnsi="Arial" w:cs="Arial"/>
          <w:kern w:val="0"/>
          <w14:ligatures w14:val="none"/>
        </w:rPr>
      </w:pPr>
    </w:p>
    <w:p w14:paraId="26D21E61" w14:textId="77777777" w:rsidR="00AA78A5" w:rsidRDefault="00AA78A5" w:rsidP="00AA78A5">
      <w:pPr>
        <w:spacing w:line="254" w:lineRule="auto"/>
        <w:rPr>
          <w:rFonts w:ascii="Arial" w:hAnsi="Arial" w:cs="Arial"/>
          <w:kern w:val="0"/>
          <w14:ligatures w14:val="none"/>
        </w:rPr>
      </w:pPr>
    </w:p>
    <w:p w14:paraId="65E44900" w14:textId="77777777" w:rsidR="00AA78A5" w:rsidRDefault="00AA78A5" w:rsidP="00AA78A5">
      <w:pPr>
        <w:spacing w:line="254" w:lineRule="auto"/>
        <w:rPr>
          <w:rFonts w:ascii="Arial" w:hAnsi="Arial" w:cs="Arial"/>
          <w:kern w:val="0"/>
          <w14:ligatures w14:val="none"/>
        </w:rPr>
      </w:pPr>
    </w:p>
    <w:p w14:paraId="01D17612" w14:textId="77777777" w:rsidR="00AA78A5" w:rsidRDefault="00AA78A5" w:rsidP="00AA78A5">
      <w:pPr>
        <w:spacing w:line="254" w:lineRule="auto"/>
        <w:rPr>
          <w:rFonts w:ascii="Arial" w:hAnsi="Arial" w:cs="Arial"/>
          <w:kern w:val="0"/>
          <w14:ligatures w14:val="none"/>
        </w:rPr>
      </w:pPr>
    </w:p>
    <w:p w14:paraId="5BAB47AF" w14:textId="77777777" w:rsidR="00AA78A5" w:rsidRDefault="00AA78A5" w:rsidP="00AA78A5">
      <w:pPr>
        <w:spacing w:line="254" w:lineRule="auto"/>
        <w:rPr>
          <w:rFonts w:ascii="Arial" w:hAnsi="Arial" w:cs="Arial"/>
          <w:kern w:val="0"/>
          <w14:ligatures w14:val="none"/>
        </w:rPr>
      </w:pPr>
    </w:p>
    <w:p w14:paraId="54E9F8CA" w14:textId="77777777" w:rsidR="00AA78A5" w:rsidRDefault="00AA78A5" w:rsidP="00AA78A5">
      <w:pPr>
        <w:spacing w:line="254" w:lineRule="auto"/>
        <w:rPr>
          <w:rFonts w:ascii="Arial" w:hAnsi="Arial" w:cs="Arial"/>
          <w:kern w:val="0"/>
          <w14:ligatures w14:val="none"/>
        </w:rPr>
      </w:pPr>
    </w:p>
    <w:p w14:paraId="2EFA43A9" w14:textId="77777777" w:rsidR="00AA78A5" w:rsidRDefault="00AA78A5" w:rsidP="00AA78A5">
      <w:pPr>
        <w:spacing w:line="254" w:lineRule="auto"/>
        <w:rPr>
          <w:rFonts w:ascii="Arial" w:hAnsi="Arial" w:cs="Arial"/>
          <w:kern w:val="0"/>
          <w14:ligatures w14:val="none"/>
        </w:rPr>
      </w:pPr>
    </w:p>
    <w:p w14:paraId="520281E9" w14:textId="77777777" w:rsidR="00AA78A5" w:rsidRDefault="00AA78A5" w:rsidP="00AA78A5">
      <w:pPr>
        <w:keepNext/>
        <w:keepLines/>
        <w:spacing w:before="360" w:after="80" w:line="254" w:lineRule="auto"/>
        <w:outlineLvl w:val="0"/>
        <w:rPr>
          <w:rFonts w:ascii="Arial" w:eastAsia="Times New Roman" w:hAnsi="Arial" w:cs="Arial"/>
          <w:color w:val="0F4761"/>
          <w:kern w:val="0"/>
          <w14:ligatures w14:val="none"/>
        </w:rPr>
      </w:pPr>
      <w:bookmarkStart w:id="29" w:name="_Toc233237765"/>
      <w:bookmarkStart w:id="30" w:name="_Toc233379706"/>
      <w:r>
        <w:rPr>
          <w:rFonts w:ascii="Arial" w:eastAsia="Times New Roman" w:hAnsi="Arial" w:cs="Arial"/>
          <w:color w:val="0F4761"/>
          <w:kern w:val="0"/>
          <w14:ligatures w14:val="none"/>
        </w:rPr>
        <w:t>Reference List</w:t>
      </w:r>
      <w:bookmarkEnd w:id="29"/>
      <w:bookmarkEnd w:id="30"/>
    </w:p>
    <w:p w14:paraId="453EA77A" w14:textId="77777777" w:rsidR="00AA78A5" w:rsidRDefault="00AA78A5" w:rsidP="00AA78A5">
      <w:pPr>
        <w:spacing w:line="254" w:lineRule="auto"/>
        <w:rPr>
          <w:rFonts w:ascii="Arial" w:hAnsi="Arial" w:cs="Arial"/>
          <w:kern w:val="0"/>
          <w14:ligatures w14:val="none"/>
        </w:rPr>
      </w:pPr>
    </w:p>
    <w:p w14:paraId="0FABD960" w14:textId="77777777" w:rsidR="00AA78A5" w:rsidRDefault="00AA78A5" w:rsidP="00AA78A5">
      <w:pPr>
        <w:spacing w:line="254" w:lineRule="auto"/>
        <w:rPr>
          <w:rFonts w:ascii="Arial" w:hAnsi="Arial" w:cs="Arial"/>
          <w:kern w:val="0"/>
          <w14:ligatures w14:val="none"/>
        </w:rPr>
      </w:pPr>
      <w:proofErr w:type="spellStart"/>
      <w:r>
        <w:rPr>
          <w:rFonts w:ascii="Arial" w:hAnsi="Arial" w:cs="Arial"/>
          <w:kern w:val="0"/>
          <w14:ligatures w14:val="none"/>
        </w:rPr>
        <w:t>Acas</w:t>
      </w:r>
      <w:proofErr w:type="spellEnd"/>
      <w:r>
        <w:rPr>
          <w:rFonts w:ascii="Arial" w:hAnsi="Arial" w:cs="Arial"/>
          <w:kern w:val="0"/>
          <w14:ligatures w14:val="none"/>
        </w:rPr>
        <w:t xml:space="preserve"> (2024) Code of Practice on requests for flexible working. London: Advisory, Conciliation and Arbitration Service. </w:t>
      </w:r>
      <w:hyperlink r:id="rId8" w:history="1">
        <w:proofErr w:type="spellStart"/>
        <w:r>
          <w:rPr>
            <w:rStyle w:val="Hyperlink"/>
            <w:rFonts w:ascii="Arial" w:hAnsi="Arial" w:cs="Arial"/>
            <w:color w:val="467886"/>
            <w:kern w:val="0"/>
            <w14:ligatures w14:val="none"/>
          </w:rPr>
          <w:t>Acas</w:t>
        </w:r>
        <w:proofErr w:type="spellEnd"/>
        <w:r>
          <w:rPr>
            <w:rStyle w:val="Hyperlink"/>
            <w:rFonts w:ascii="Arial" w:hAnsi="Arial" w:cs="Arial"/>
            <w:color w:val="467886"/>
            <w:kern w:val="0"/>
            <w14:ligatures w14:val="none"/>
          </w:rPr>
          <w:t xml:space="preserve"> Code of Practice on requests for flexible working | </w:t>
        </w:r>
        <w:proofErr w:type="spellStart"/>
        <w:r>
          <w:rPr>
            <w:rStyle w:val="Hyperlink"/>
            <w:rFonts w:ascii="Arial" w:hAnsi="Arial" w:cs="Arial"/>
            <w:color w:val="467886"/>
            <w:kern w:val="0"/>
            <w14:ligatures w14:val="none"/>
          </w:rPr>
          <w:t>Acas</w:t>
        </w:r>
        <w:proofErr w:type="spellEnd"/>
      </w:hyperlink>
      <w:r>
        <w:rPr>
          <w:rFonts w:ascii="Arial" w:hAnsi="Arial" w:cs="Arial"/>
          <w:kern w:val="0"/>
          <w14:ligatures w14:val="none"/>
        </w:rPr>
        <w:t xml:space="preserve"> Accessed at: [17</w:t>
      </w:r>
      <w:r>
        <w:rPr>
          <w:rFonts w:ascii="Arial" w:hAnsi="Arial" w:cs="Arial"/>
          <w:kern w:val="0"/>
          <w:vertAlign w:val="superscript"/>
          <w14:ligatures w14:val="none"/>
        </w:rPr>
        <w:t>th</w:t>
      </w:r>
      <w:r>
        <w:rPr>
          <w:rFonts w:ascii="Arial" w:hAnsi="Arial" w:cs="Arial"/>
          <w:kern w:val="0"/>
          <w14:ligatures w14:val="none"/>
        </w:rPr>
        <w:t xml:space="preserve"> June 2026] </w:t>
      </w:r>
    </w:p>
    <w:p w14:paraId="4EBEFA7C"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Bhattacherjee, A. (2012) Social Science Research: Principles, Methods, and Practices. 2nd </w:t>
      </w:r>
      <w:proofErr w:type="spellStart"/>
      <w:r>
        <w:rPr>
          <w:rFonts w:ascii="Arial" w:hAnsi="Arial" w:cs="Arial"/>
          <w:kern w:val="0"/>
          <w14:ligatures w14:val="none"/>
        </w:rPr>
        <w:t>edn</w:t>
      </w:r>
      <w:proofErr w:type="spellEnd"/>
      <w:r>
        <w:rPr>
          <w:rFonts w:ascii="Arial" w:hAnsi="Arial" w:cs="Arial"/>
          <w:kern w:val="0"/>
          <w14:ligatures w14:val="none"/>
        </w:rPr>
        <w:t xml:space="preserve">. Tampa, FL: University of South Florida. </w:t>
      </w:r>
      <w:hyperlink r:id="rId9" w:history="1">
        <w:r>
          <w:rPr>
            <w:rStyle w:val="Hyperlink"/>
            <w:rFonts w:ascii="Arial" w:hAnsi="Arial" w:cs="Arial"/>
            <w:color w:val="467886"/>
            <w:kern w:val="0"/>
            <w14:ligatures w14:val="none"/>
          </w:rPr>
          <w:t xml:space="preserve">"Social Science Research: Principles, Methods, and Practices" by </w:t>
        </w:r>
        <w:proofErr w:type="spellStart"/>
        <w:r>
          <w:rPr>
            <w:rStyle w:val="Hyperlink"/>
            <w:rFonts w:ascii="Arial" w:hAnsi="Arial" w:cs="Arial"/>
            <w:color w:val="467886"/>
            <w:kern w:val="0"/>
            <w14:ligatures w14:val="none"/>
          </w:rPr>
          <w:t>Anol</w:t>
        </w:r>
        <w:proofErr w:type="spellEnd"/>
        <w:r>
          <w:rPr>
            <w:rStyle w:val="Hyperlink"/>
            <w:rFonts w:ascii="Arial" w:hAnsi="Arial" w:cs="Arial"/>
            <w:color w:val="467886"/>
            <w:kern w:val="0"/>
            <w14:ligatures w14:val="none"/>
          </w:rPr>
          <w:t xml:space="preserve"> </w:t>
        </w:r>
        <w:proofErr w:type="spellStart"/>
        <w:r>
          <w:rPr>
            <w:rStyle w:val="Hyperlink"/>
            <w:rFonts w:ascii="Arial" w:hAnsi="Arial" w:cs="Arial"/>
            <w:color w:val="467886"/>
            <w:kern w:val="0"/>
            <w14:ligatures w14:val="none"/>
          </w:rPr>
          <w:t>Bhattacherjee</w:t>
        </w:r>
        <w:proofErr w:type="spellEnd"/>
      </w:hyperlink>
      <w:r>
        <w:rPr>
          <w:rFonts w:ascii="Arial" w:hAnsi="Arial" w:cs="Arial"/>
          <w:kern w:val="0"/>
          <w14:ligatures w14:val="none"/>
        </w:rPr>
        <w:t xml:space="preserve">  Accessed at: [19</w:t>
      </w:r>
      <w:r>
        <w:rPr>
          <w:rFonts w:ascii="Arial" w:hAnsi="Arial" w:cs="Arial"/>
          <w:kern w:val="0"/>
          <w:vertAlign w:val="superscript"/>
          <w14:ligatures w14:val="none"/>
        </w:rPr>
        <w:t>th</w:t>
      </w:r>
      <w:r>
        <w:rPr>
          <w:rFonts w:ascii="Arial" w:hAnsi="Arial" w:cs="Arial"/>
          <w:kern w:val="0"/>
          <w14:ligatures w14:val="none"/>
        </w:rPr>
        <w:t xml:space="preserve"> June 2026]</w:t>
      </w:r>
    </w:p>
    <w:p w14:paraId="0F9C533F"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Bloom, N., Liang, J., Roberts, J. and Ying, Z.J. (2015) ‘Does working from </w:t>
      </w:r>
      <w:proofErr w:type="gramStart"/>
      <w:r>
        <w:rPr>
          <w:rFonts w:ascii="Arial" w:hAnsi="Arial" w:cs="Arial"/>
          <w:kern w:val="0"/>
          <w14:ligatures w14:val="none"/>
        </w:rPr>
        <w:t>home work</w:t>
      </w:r>
      <w:proofErr w:type="gramEnd"/>
      <w:r>
        <w:rPr>
          <w:rFonts w:ascii="Arial" w:hAnsi="Arial" w:cs="Arial"/>
          <w:kern w:val="0"/>
          <w14:ligatures w14:val="none"/>
        </w:rPr>
        <w:t xml:space="preserve">? Evidence from a Chinese experiment’, The Quarterly Journal of Economics, 130(1), pp. 165–218. </w:t>
      </w:r>
      <w:hyperlink r:id="rId10" w:history="1">
        <w:r>
          <w:rPr>
            <w:rStyle w:val="Hyperlink"/>
            <w:rFonts w:ascii="Arial" w:hAnsi="Arial" w:cs="Arial"/>
            <w:color w:val="467886"/>
            <w:kern w:val="0"/>
            <w14:ligatures w14:val="none"/>
          </w:rPr>
          <w:t>Microsoft Word - Feb 20</w:t>
        </w:r>
      </w:hyperlink>
      <w:r>
        <w:rPr>
          <w:rFonts w:ascii="Arial" w:hAnsi="Arial" w:cs="Arial"/>
          <w:kern w:val="0"/>
          <w14:ligatures w14:val="none"/>
        </w:rPr>
        <w:t xml:space="preserve"> Accessed at: [17</w:t>
      </w:r>
      <w:r>
        <w:rPr>
          <w:rFonts w:ascii="Arial" w:hAnsi="Arial" w:cs="Arial"/>
          <w:kern w:val="0"/>
          <w:vertAlign w:val="superscript"/>
          <w14:ligatures w14:val="none"/>
        </w:rPr>
        <w:t>th</w:t>
      </w:r>
      <w:r>
        <w:rPr>
          <w:rFonts w:ascii="Arial" w:hAnsi="Arial" w:cs="Arial"/>
          <w:kern w:val="0"/>
          <w14:ligatures w14:val="none"/>
        </w:rPr>
        <w:t xml:space="preserve"> June 2026]</w:t>
      </w:r>
    </w:p>
    <w:p w14:paraId="7B325673"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Chung, H. and van der Lippe, T. (2020) ‘Flexible working, work–life balance, and gender equality: introduction’, </w:t>
      </w:r>
      <w:r>
        <w:rPr>
          <w:rFonts w:ascii="Arial" w:hAnsi="Arial" w:cs="Arial"/>
          <w:i/>
          <w:iCs/>
          <w:kern w:val="0"/>
          <w14:ligatures w14:val="none"/>
        </w:rPr>
        <w:t>Social Indicators Research</w:t>
      </w:r>
      <w:r>
        <w:rPr>
          <w:rFonts w:ascii="Arial" w:hAnsi="Arial" w:cs="Arial"/>
          <w:kern w:val="0"/>
          <w14:ligatures w14:val="none"/>
        </w:rPr>
        <w:t xml:space="preserve">, 151, pp. 365–381. </w:t>
      </w:r>
      <w:hyperlink r:id="rId11" w:history="1">
        <w:r>
          <w:rPr>
            <w:rStyle w:val="Hyperlink"/>
            <w:rFonts w:ascii="Arial" w:hAnsi="Arial" w:cs="Arial"/>
            <w:color w:val="467886"/>
            <w:kern w:val="0"/>
            <w14:ligatures w14:val="none"/>
          </w:rPr>
          <w:t>Flexible Working, Work–Life Balance, and Gender Equality: Introduction | Social Indicators Research | Springer Nature Link</w:t>
        </w:r>
      </w:hyperlink>
      <w:r>
        <w:rPr>
          <w:rFonts w:ascii="Arial" w:hAnsi="Arial" w:cs="Arial"/>
          <w:kern w:val="0"/>
          <w14:ligatures w14:val="none"/>
        </w:rPr>
        <w:t xml:space="preserve">  Accessed at: [13</w:t>
      </w:r>
      <w:r>
        <w:rPr>
          <w:rFonts w:ascii="Arial" w:hAnsi="Arial" w:cs="Arial"/>
          <w:kern w:val="0"/>
          <w:vertAlign w:val="superscript"/>
          <w14:ligatures w14:val="none"/>
        </w:rPr>
        <w:t>th</w:t>
      </w:r>
      <w:r>
        <w:rPr>
          <w:rFonts w:ascii="Arial" w:hAnsi="Arial" w:cs="Arial"/>
          <w:kern w:val="0"/>
          <w14:ligatures w14:val="none"/>
        </w:rPr>
        <w:t xml:space="preserve"> June 2026]</w:t>
      </w:r>
    </w:p>
    <w:p w14:paraId="552B6D51"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Creswell, J.W. and Creswell, J.D. (2023) Research Design: Qualitative, Quantitative, and Mixed Methods Approaches. 6th </w:t>
      </w:r>
      <w:proofErr w:type="spellStart"/>
      <w:r>
        <w:rPr>
          <w:rFonts w:ascii="Arial" w:hAnsi="Arial" w:cs="Arial"/>
          <w:kern w:val="0"/>
          <w14:ligatures w14:val="none"/>
        </w:rPr>
        <w:t>edn</w:t>
      </w:r>
      <w:proofErr w:type="spellEnd"/>
      <w:r>
        <w:rPr>
          <w:rFonts w:ascii="Arial" w:hAnsi="Arial" w:cs="Arial"/>
          <w:kern w:val="0"/>
          <w14:ligatures w14:val="none"/>
        </w:rPr>
        <w:t xml:space="preserve">. Thousand Oaks, CA: SAGE. </w:t>
      </w:r>
      <w:hyperlink r:id="rId12" w:history="1">
        <w:r>
          <w:rPr>
            <w:rStyle w:val="Hyperlink"/>
            <w:rFonts w:ascii="Arial" w:hAnsi="Arial" w:cs="Arial"/>
            <w:color w:val="467886"/>
            <w:kern w:val="0"/>
            <w14:ligatures w14:val="none"/>
          </w:rPr>
          <w:t>Research Methods for the Social Sciences: An Introduction – Open Textbook</w:t>
        </w:r>
      </w:hyperlink>
      <w:r>
        <w:rPr>
          <w:rFonts w:ascii="Arial" w:hAnsi="Arial" w:cs="Arial"/>
          <w:kern w:val="0"/>
          <w14:ligatures w14:val="none"/>
        </w:rPr>
        <w:t xml:space="preserve"> Accessed at: [17</w:t>
      </w:r>
      <w:r>
        <w:rPr>
          <w:rFonts w:ascii="Arial" w:hAnsi="Arial" w:cs="Arial"/>
          <w:kern w:val="0"/>
          <w:vertAlign w:val="superscript"/>
          <w14:ligatures w14:val="none"/>
        </w:rPr>
        <w:t>th</w:t>
      </w:r>
      <w:r>
        <w:rPr>
          <w:rFonts w:ascii="Arial" w:hAnsi="Arial" w:cs="Arial"/>
          <w:kern w:val="0"/>
          <w14:ligatures w14:val="none"/>
        </w:rPr>
        <w:t xml:space="preserve"> June 2026] </w:t>
      </w:r>
    </w:p>
    <w:p w14:paraId="7E0D99DC"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de Menezes, L.M. and Kelliher, C. (2011) ‘Flexible working and performance: a systematic review of the evidence for a business case’, International Journal of Management Reviews, 13(4), pp. 452–474. </w:t>
      </w:r>
      <w:hyperlink r:id="rId13" w:history="1">
        <w:r>
          <w:rPr>
            <w:rStyle w:val="Hyperlink"/>
            <w:rFonts w:ascii="Arial" w:hAnsi="Arial" w:cs="Arial"/>
            <w:color w:val="467886"/>
            <w:kern w:val="0"/>
            <w14:ligatures w14:val="none"/>
          </w:rPr>
          <w:t xml:space="preserve">Sin </w:t>
        </w:r>
        <w:proofErr w:type="spellStart"/>
        <w:r>
          <w:rPr>
            <w:rStyle w:val="Hyperlink"/>
            <w:rFonts w:ascii="Arial" w:hAnsi="Arial" w:cs="Arial"/>
            <w:color w:val="467886"/>
            <w:kern w:val="0"/>
            <w14:ligatures w14:val="none"/>
          </w:rPr>
          <w:t>título</w:t>
        </w:r>
        <w:proofErr w:type="spellEnd"/>
      </w:hyperlink>
      <w:r>
        <w:rPr>
          <w:rFonts w:ascii="Arial" w:hAnsi="Arial" w:cs="Arial"/>
          <w:kern w:val="0"/>
          <w14:ligatures w14:val="none"/>
        </w:rPr>
        <w:t xml:space="preserve"> Accessed at: [7</w:t>
      </w:r>
      <w:r>
        <w:rPr>
          <w:rFonts w:ascii="Arial" w:hAnsi="Arial" w:cs="Arial"/>
          <w:kern w:val="0"/>
          <w:vertAlign w:val="superscript"/>
          <w14:ligatures w14:val="none"/>
        </w:rPr>
        <w:t>th</w:t>
      </w:r>
      <w:r>
        <w:rPr>
          <w:rFonts w:ascii="Arial" w:hAnsi="Arial" w:cs="Arial"/>
          <w:kern w:val="0"/>
          <w14:ligatures w14:val="none"/>
        </w:rPr>
        <w:t xml:space="preserve"> June 2026]</w:t>
      </w:r>
    </w:p>
    <w:p w14:paraId="6AD47A2A"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Deci, E.L. and Ryan, R.M. (2000) ‘The “what” and “why” of goal pursuits: human needs and the self-determination of behaviour’, Psychological Inquiry, 11(4), pp. 227–268. </w:t>
      </w:r>
      <w:hyperlink r:id="rId14" w:history="1">
        <w:r>
          <w:rPr>
            <w:rStyle w:val="Hyperlink"/>
            <w:rFonts w:ascii="Arial" w:hAnsi="Arial" w:cs="Arial"/>
            <w:color w:val="467886"/>
            <w:kern w:val="0"/>
            <w14:ligatures w14:val="none"/>
          </w:rPr>
          <w:t>PLI1104.vp</w:t>
        </w:r>
      </w:hyperlink>
      <w:r>
        <w:rPr>
          <w:rFonts w:ascii="Arial" w:hAnsi="Arial" w:cs="Arial"/>
          <w:kern w:val="0"/>
          <w14:ligatures w14:val="none"/>
        </w:rPr>
        <w:t xml:space="preserve"> Accessed at: [16</w:t>
      </w:r>
      <w:r>
        <w:rPr>
          <w:rFonts w:ascii="Arial" w:hAnsi="Arial" w:cs="Arial"/>
          <w:kern w:val="0"/>
          <w:vertAlign w:val="superscript"/>
          <w14:ligatures w14:val="none"/>
        </w:rPr>
        <w:t>th</w:t>
      </w:r>
      <w:r>
        <w:rPr>
          <w:rFonts w:ascii="Arial" w:hAnsi="Arial" w:cs="Arial"/>
          <w:kern w:val="0"/>
          <w14:ligatures w14:val="none"/>
        </w:rPr>
        <w:t xml:space="preserve"> June 2026]</w:t>
      </w:r>
    </w:p>
    <w:p w14:paraId="745F972A"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Demerouti, E. and Bakker, A.B. (2011) ‘The Job Demands–Resources model: challenges for future research’, SA Journal of Industrial Psychology, 37(2), article 974. </w:t>
      </w:r>
      <w:hyperlink r:id="rId15" w:history="1">
        <w:r>
          <w:rPr>
            <w:rStyle w:val="Hyperlink"/>
            <w:rFonts w:ascii="Arial" w:hAnsi="Arial" w:cs="Arial"/>
            <w:color w:val="467886"/>
            <w:kern w:val="0"/>
            <w14:ligatures w14:val="none"/>
          </w:rPr>
          <w:t>The Job Demands–Resources model: Challenges for future research | Demerouti | SA Journal of Industrial Psychology</w:t>
        </w:r>
      </w:hyperlink>
      <w:r>
        <w:rPr>
          <w:rFonts w:ascii="Arial" w:hAnsi="Arial" w:cs="Arial"/>
          <w:kern w:val="0"/>
          <w14:ligatures w14:val="none"/>
        </w:rPr>
        <w:t xml:space="preserve"> Accessed at: [18</w:t>
      </w:r>
      <w:r>
        <w:rPr>
          <w:rFonts w:ascii="Arial" w:hAnsi="Arial" w:cs="Arial"/>
          <w:kern w:val="0"/>
          <w:vertAlign w:val="superscript"/>
          <w14:ligatures w14:val="none"/>
        </w:rPr>
        <w:t>th</w:t>
      </w:r>
      <w:r>
        <w:rPr>
          <w:rFonts w:ascii="Arial" w:hAnsi="Arial" w:cs="Arial"/>
          <w:kern w:val="0"/>
          <w14:ligatures w14:val="none"/>
        </w:rPr>
        <w:t xml:space="preserve"> June 2026]</w:t>
      </w:r>
    </w:p>
    <w:p w14:paraId="1237147B"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Diez, D.M., Barr, C.D. and Çetinkaya-Rundel, M. (2019) </w:t>
      </w:r>
      <w:proofErr w:type="spellStart"/>
      <w:r>
        <w:rPr>
          <w:rFonts w:ascii="Arial" w:hAnsi="Arial" w:cs="Arial"/>
          <w:kern w:val="0"/>
          <w14:ligatures w14:val="none"/>
        </w:rPr>
        <w:t>OpenIntro</w:t>
      </w:r>
      <w:proofErr w:type="spellEnd"/>
      <w:r>
        <w:rPr>
          <w:rFonts w:ascii="Arial" w:hAnsi="Arial" w:cs="Arial"/>
          <w:kern w:val="0"/>
          <w14:ligatures w14:val="none"/>
        </w:rPr>
        <w:t xml:space="preserve"> Statistics. 4th </w:t>
      </w:r>
      <w:proofErr w:type="spellStart"/>
      <w:r>
        <w:rPr>
          <w:rFonts w:ascii="Arial" w:hAnsi="Arial" w:cs="Arial"/>
          <w:kern w:val="0"/>
          <w14:ligatures w14:val="none"/>
        </w:rPr>
        <w:t>edn</w:t>
      </w:r>
      <w:proofErr w:type="spellEnd"/>
      <w:r>
        <w:rPr>
          <w:rFonts w:ascii="Arial" w:hAnsi="Arial" w:cs="Arial"/>
          <w:kern w:val="0"/>
          <w14:ligatures w14:val="none"/>
        </w:rPr>
        <w:t xml:space="preserve">. </w:t>
      </w:r>
      <w:proofErr w:type="spellStart"/>
      <w:r>
        <w:rPr>
          <w:rFonts w:ascii="Arial" w:hAnsi="Arial" w:cs="Arial"/>
          <w:kern w:val="0"/>
          <w14:ligatures w14:val="none"/>
        </w:rPr>
        <w:t>OpenIntro</w:t>
      </w:r>
      <w:proofErr w:type="spellEnd"/>
      <w:r>
        <w:rPr>
          <w:rFonts w:ascii="Arial" w:hAnsi="Arial" w:cs="Arial"/>
          <w:kern w:val="0"/>
          <w14:ligatures w14:val="none"/>
        </w:rPr>
        <w:t xml:space="preserve">.  </w:t>
      </w:r>
      <w:hyperlink r:id="rId16" w:history="1">
        <w:proofErr w:type="spellStart"/>
        <w:r>
          <w:rPr>
            <w:rStyle w:val="Hyperlink"/>
            <w:rFonts w:ascii="Arial" w:hAnsi="Arial" w:cs="Arial"/>
            <w:color w:val="467886"/>
            <w:kern w:val="0"/>
            <w14:ligatures w14:val="none"/>
          </w:rPr>
          <w:t>OpenIntro</w:t>
        </w:r>
        <w:proofErr w:type="spellEnd"/>
        <w:r>
          <w:rPr>
            <w:rStyle w:val="Hyperlink"/>
            <w:rFonts w:ascii="Arial" w:hAnsi="Arial" w:cs="Arial"/>
            <w:color w:val="467886"/>
            <w:kern w:val="0"/>
            <w14:ligatures w14:val="none"/>
          </w:rPr>
          <w:t xml:space="preserve"> Statistics</w:t>
        </w:r>
      </w:hyperlink>
      <w:r>
        <w:rPr>
          <w:rFonts w:ascii="Arial" w:hAnsi="Arial" w:cs="Arial"/>
          <w:kern w:val="0"/>
          <w14:ligatures w14:val="none"/>
        </w:rPr>
        <w:t xml:space="preserve"> Accessed at: [9</w:t>
      </w:r>
      <w:r>
        <w:rPr>
          <w:rFonts w:ascii="Arial" w:hAnsi="Arial" w:cs="Arial"/>
          <w:kern w:val="0"/>
          <w:vertAlign w:val="superscript"/>
          <w14:ligatures w14:val="none"/>
        </w:rPr>
        <w:t>th</w:t>
      </w:r>
      <w:r>
        <w:rPr>
          <w:rFonts w:ascii="Arial" w:hAnsi="Arial" w:cs="Arial"/>
          <w:kern w:val="0"/>
          <w14:ligatures w14:val="none"/>
        </w:rPr>
        <w:t xml:space="preserve"> June 2026]</w:t>
      </w:r>
    </w:p>
    <w:p w14:paraId="66196DA6"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Free Software Foundation (2023) PSPP users’ guide: GNU PSPP statistical analysis software, Release 2.1.1. Boston, MA: Free Software Foundation. </w:t>
      </w:r>
      <w:hyperlink r:id="rId17" w:history="1">
        <w:r>
          <w:rPr>
            <w:rStyle w:val="Hyperlink"/>
            <w:rFonts w:ascii="Arial" w:hAnsi="Arial" w:cs="Arial"/>
            <w:color w:val="467886"/>
            <w:kern w:val="0"/>
            <w14:ligatures w14:val="none"/>
          </w:rPr>
          <w:t>pspp.pdf</w:t>
        </w:r>
      </w:hyperlink>
      <w:r>
        <w:rPr>
          <w:rFonts w:ascii="Arial" w:hAnsi="Arial" w:cs="Arial"/>
          <w:kern w:val="0"/>
          <w14:ligatures w14:val="none"/>
        </w:rPr>
        <w:t xml:space="preserve"> Accessed at: [16</w:t>
      </w:r>
      <w:r>
        <w:rPr>
          <w:rFonts w:ascii="Arial" w:hAnsi="Arial" w:cs="Arial"/>
          <w:kern w:val="0"/>
          <w:vertAlign w:val="superscript"/>
          <w14:ligatures w14:val="none"/>
        </w:rPr>
        <w:t>th</w:t>
      </w:r>
      <w:r>
        <w:rPr>
          <w:rFonts w:ascii="Arial" w:hAnsi="Arial" w:cs="Arial"/>
          <w:kern w:val="0"/>
          <w14:ligatures w14:val="none"/>
        </w:rPr>
        <w:t xml:space="preserve"> June 2026]</w:t>
      </w:r>
    </w:p>
    <w:p w14:paraId="789077A1"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lastRenderedPageBreak/>
        <w:t xml:space="preserve">Great Britain (2023) Employment Relations (Flexible Working) Act 2023, c. 33. London: The Stationery Office. </w:t>
      </w:r>
      <w:hyperlink r:id="rId18" w:history="1">
        <w:r>
          <w:rPr>
            <w:rStyle w:val="Hyperlink"/>
            <w:rFonts w:ascii="Arial" w:hAnsi="Arial" w:cs="Arial"/>
            <w:color w:val="467886"/>
            <w:kern w:val="0"/>
            <w14:ligatures w14:val="none"/>
          </w:rPr>
          <w:t>Employment Relations (Flexible Working) Act 2023</w:t>
        </w:r>
      </w:hyperlink>
      <w:r>
        <w:rPr>
          <w:rFonts w:ascii="Arial" w:hAnsi="Arial" w:cs="Arial"/>
          <w:kern w:val="0"/>
          <w14:ligatures w14:val="none"/>
        </w:rPr>
        <w:t xml:space="preserve"> Accessed at: [14th June 2026]</w:t>
      </w:r>
    </w:p>
    <w:p w14:paraId="594A6521"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Ipsen, C., van Veldhoven, M., Kirchner, K. and Hansen, J.P. (2021) ‘Six key advantages and disadvantages of working from home in Europe during COVID-19’, International Journal of Environmental Research and Public Health, 18(4), article 1826 </w:t>
      </w:r>
      <w:hyperlink r:id="rId19" w:history="1">
        <w:r>
          <w:rPr>
            <w:rStyle w:val="Hyperlink"/>
            <w:rFonts w:ascii="Arial" w:hAnsi="Arial" w:cs="Arial"/>
            <w:color w:val="467886"/>
            <w:kern w:val="0"/>
            <w14:ligatures w14:val="none"/>
          </w:rPr>
          <w:t>Six Key Advantages and Disadvantages of Working from Home in Europe during COVID-19</w:t>
        </w:r>
      </w:hyperlink>
      <w:r>
        <w:rPr>
          <w:rFonts w:ascii="Arial" w:hAnsi="Arial" w:cs="Arial"/>
          <w:kern w:val="0"/>
          <w14:ligatures w14:val="none"/>
        </w:rPr>
        <w:t xml:space="preserve">  Accessed at: [14</w:t>
      </w:r>
      <w:r>
        <w:rPr>
          <w:rFonts w:ascii="Arial" w:hAnsi="Arial" w:cs="Arial"/>
          <w:kern w:val="0"/>
          <w:vertAlign w:val="superscript"/>
          <w14:ligatures w14:val="none"/>
        </w:rPr>
        <w:t>th</w:t>
      </w:r>
      <w:r>
        <w:rPr>
          <w:rFonts w:ascii="Arial" w:hAnsi="Arial" w:cs="Arial"/>
          <w:kern w:val="0"/>
          <w14:ligatures w14:val="none"/>
        </w:rPr>
        <w:t xml:space="preserve"> June 2026]</w:t>
      </w:r>
    </w:p>
    <w:p w14:paraId="161696C1"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McCartney, C. (2025) Flexible and Hybrid Working Practices in 2025. London: Chartered Institute of Personnel and Development. </w:t>
      </w:r>
      <w:hyperlink r:id="rId20" w:history="1">
        <w:r>
          <w:rPr>
            <w:rStyle w:val="Hyperlink"/>
            <w:rFonts w:ascii="Arial" w:hAnsi="Arial" w:cs="Arial"/>
            <w:color w:val="467886"/>
            <w:kern w:val="0"/>
            <w14:ligatures w14:val="none"/>
          </w:rPr>
          <w:t>Flexible and hybrid working practices in 2025</w:t>
        </w:r>
      </w:hyperlink>
      <w:r>
        <w:rPr>
          <w:rFonts w:ascii="Arial" w:hAnsi="Arial" w:cs="Arial"/>
          <w:kern w:val="0"/>
          <w14:ligatures w14:val="none"/>
        </w:rPr>
        <w:t xml:space="preserve"> Accessed at: [15</w:t>
      </w:r>
      <w:r>
        <w:rPr>
          <w:rFonts w:ascii="Arial" w:hAnsi="Arial" w:cs="Arial"/>
          <w:kern w:val="0"/>
          <w:vertAlign w:val="superscript"/>
          <w14:ligatures w14:val="none"/>
        </w:rPr>
        <w:t>th</w:t>
      </w:r>
      <w:r>
        <w:rPr>
          <w:rFonts w:ascii="Arial" w:hAnsi="Arial" w:cs="Arial"/>
          <w:kern w:val="0"/>
          <w14:ligatures w14:val="none"/>
        </w:rPr>
        <w:t xml:space="preserve"> June 2026]</w:t>
      </w:r>
    </w:p>
    <w:p w14:paraId="7BA235F0"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Oakman, J., Kinsman, N., Stuckey, R., Graham, M. and Weale, V. (2020) ‘A rapid review of mental and physical health effects of working at home: how do we optimise health?’, BMC Public Health</w:t>
      </w:r>
      <w:r>
        <w:rPr>
          <w:rFonts w:ascii="Arial" w:hAnsi="Arial" w:cs="Arial"/>
          <w:i/>
          <w:iCs/>
          <w:kern w:val="0"/>
          <w14:ligatures w14:val="none"/>
        </w:rPr>
        <w:t>,</w:t>
      </w:r>
      <w:r>
        <w:rPr>
          <w:rFonts w:ascii="Arial" w:hAnsi="Arial" w:cs="Arial"/>
          <w:kern w:val="0"/>
          <w14:ligatures w14:val="none"/>
        </w:rPr>
        <w:t xml:space="preserve"> 20, article 1825 </w:t>
      </w:r>
      <w:hyperlink r:id="rId21" w:history="1">
        <w:r>
          <w:rPr>
            <w:rStyle w:val="Hyperlink"/>
            <w:rFonts w:ascii="Arial" w:hAnsi="Arial" w:cs="Arial"/>
            <w:color w:val="467886"/>
            <w:kern w:val="0"/>
            <w14:ligatures w14:val="none"/>
          </w:rPr>
          <w:t>A rapid review of mental and physical health effects of working at home: how do we optimise health? | BMC Public Health | Springer Nature Link</w:t>
        </w:r>
      </w:hyperlink>
    </w:p>
    <w:p w14:paraId="18FC3180" w14:textId="77777777" w:rsidR="00AA78A5" w:rsidRDefault="00AA78A5" w:rsidP="00AA78A5">
      <w:pPr>
        <w:spacing w:line="254" w:lineRule="auto"/>
        <w:rPr>
          <w:rFonts w:ascii="Arial" w:hAnsi="Arial" w:cs="Arial"/>
          <w:kern w:val="0"/>
          <w14:ligatures w14:val="none"/>
        </w:rPr>
      </w:pPr>
      <w:proofErr w:type="spellStart"/>
      <w:r>
        <w:rPr>
          <w:rFonts w:ascii="Arial" w:hAnsi="Arial" w:cs="Arial"/>
          <w:kern w:val="0"/>
          <w14:ligatures w14:val="none"/>
        </w:rPr>
        <w:t>Tavakol</w:t>
      </w:r>
      <w:proofErr w:type="spellEnd"/>
      <w:r>
        <w:rPr>
          <w:rFonts w:ascii="Arial" w:hAnsi="Arial" w:cs="Arial"/>
          <w:kern w:val="0"/>
          <w14:ligatures w14:val="none"/>
        </w:rPr>
        <w:t xml:space="preserve">, M. and Dennick, R. (2011) ‘Making sense of Cronbach’s alpha’, International Journal of Medical Education, 2, pp. 53–55. </w:t>
      </w:r>
      <w:hyperlink r:id="rId22" w:history="1">
        <w:r>
          <w:rPr>
            <w:rStyle w:val="Hyperlink"/>
            <w:color w:val="467886"/>
            <w:kern w:val="0"/>
            <w:sz w:val="22"/>
            <w:szCs w:val="22"/>
            <w14:ligatures w14:val="none"/>
          </w:rPr>
          <w:t>Making sense of Cronbach's alpha - PMC</w:t>
        </w:r>
      </w:hyperlink>
      <w:r>
        <w:rPr>
          <w:kern w:val="0"/>
          <w:sz w:val="22"/>
          <w:szCs w:val="22"/>
          <w14:ligatures w14:val="none"/>
        </w:rPr>
        <w:t xml:space="preserve"> </w:t>
      </w:r>
      <w:r>
        <w:rPr>
          <w:rFonts w:ascii="Arial" w:hAnsi="Arial" w:cs="Arial"/>
          <w:kern w:val="0"/>
          <w14:ligatures w14:val="none"/>
        </w:rPr>
        <w:t>Accessed at: [17</w:t>
      </w:r>
      <w:r>
        <w:rPr>
          <w:rFonts w:ascii="Arial" w:hAnsi="Arial" w:cs="Arial"/>
          <w:kern w:val="0"/>
          <w:vertAlign w:val="superscript"/>
          <w14:ligatures w14:val="none"/>
        </w:rPr>
        <w:t>th</w:t>
      </w:r>
      <w:r>
        <w:rPr>
          <w:rFonts w:ascii="Arial" w:hAnsi="Arial" w:cs="Arial"/>
          <w:kern w:val="0"/>
          <w14:ligatures w14:val="none"/>
        </w:rPr>
        <w:t xml:space="preserve"> June 2026]</w:t>
      </w:r>
    </w:p>
    <w:p w14:paraId="1E03B1FA" w14:textId="77777777" w:rsidR="00AA78A5" w:rsidRDefault="00AA78A5" w:rsidP="00AA78A5">
      <w:pPr>
        <w:spacing w:line="254" w:lineRule="auto"/>
        <w:rPr>
          <w:rFonts w:ascii="Arial" w:hAnsi="Arial" w:cs="Arial"/>
          <w:kern w:val="0"/>
          <w14:ligatures w14:val="none"/>
        </w:rPr>
      </w:pPr>
      <w:r>
        <w:rPr>
          <w:rFonts w:ascii="Arial" w:hAnsi="Arial" w:cs="Arial"/>
          <w:kern w:val="0"/>
          <w14:ligatures w14:val="none"/>
        </w:rPr>
        <w:t xml:space="preserve">Wheatley, D. (2017) ‘Employee satisfaction and use of flexible working arrangements’, Work, Employment and Society, 31(4), pp. 567–585. </w:t>
      </w:r>
      <w:hyperlink r:id="rId23" w:history="1">
        <w:r>
          <w:rPr>
            <w:rStyle w:val="Hyperlink"/>
            <w:rFonts w:ascii="Arial" w:hAnsi="Arial" w:cs="Arial"/>
            <w:color w:val="467886"/>
            <w:kern w:val="0"/>
            <w14:ligatures w14:val="none"/>
          </w:rPr>
          <w:t>https://irep.ntu.ac.uk/id/eprint/27714/1/PubSub5286_Wheatley.pdf</w:t>
        </w:r>
      </w:hyperlink>
      <w:r>
        <w:rPr>
          <w:rFonts w:ascii="Arial" w:hAnsi="Arial" w:cs="Arial"/>
          <w:kern w:val="0"/>
          <w14:ligatures w14:val="none"/>
        </w:rPr>
        <w:t xml:space="preserve"> Accessed at: [12</w:t>
      </w:r>
      <w:r>
        <w:rPr>
          <w:rFonts w:ascii="Arial" w:hAnsi="Arial" w:cs="Arial"/>
          <w:kern w:val="0"/>
          <w:vertAlign w:val="superscript"/>
          <w14:ligatures w14:val="none"/>
        </w:rPr>
        <w:t>th</w:t>
      </w:r>
      <w:r>
        <w:rPr>
          <w:rFonts w:ascii="Arial" w:hAnsi="Arial" w:cs="Arial"/>
          <w:kern w:val="0"/>
          <w14:ligatures w14:val="none"/>
        </w:rPr>
        <w:t xml:space="preserve"> June 2026]</w:t>
      </w:r>
    </w:p>
    <w:p w14:paraId="0ECF7953" w14:textId="77777777" w:rsidR="00AA78A5" w:rsidRDefault="00AA78A5" w:rsidP="00AA78A5">
      <w:pPr>
        <w:rPr>
          <w:rFonts w:ascii="Arial" w:hAnsi="Arial" w:cs="Arial"/>
        </w:rPr>
      </w:pPr>
    </w:p>
    <w:p w14:paraId="64A8DF7C" w14:textId="77777777" w:rsidR="00FE1B16" w:rsidRDefault="00FE1B16"/>
    <w:p w14:paraId="37FF4DEE" w14:textId="7DC81209" w:rsidR="00FE1B16" w:rsidRDefault="00FE1B16"/>
    <w:sectPr w:rsidR="00FE1B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23ECA" w14:textId="77777777" w:rsidR="00D75E81" w:rsidRDefault="00D75E81" w:rsidP="002C47F9">
      <w:pPr>
        <w:spacing w:after="0" w:line="240" w:lineRule="auto"/>
      </w:pPr>
      <w:r>
        <w:separator/>
      </w:r>
    </w:p>
  </w:endnote>
  <w:endnote w:type="continuationSeparator" w:id="0">
    <w:p w14:paraId="172957D0" w14:textId="77777777" w:rsidR="00D75E81" w:rsidRDefault="00D75E81" w:rsidP="002C4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18FB81" w14:textId="77777777" w:rsidR="00D75E81" w:rsidRDefault="00D75E81" w:rsidP="002C47F9">
      <w:pPr>
        <w:spacing w:after="0" w:line="240" w:lineRule="auto"/>
      </w:pPr>
      <w:r>
        <w:separator/>
      </w:r>
    </w:p>
  </w:footnote>
  <w:footnote w:type="continuationSeparator" w:id="0">
    <w:p w14:paraId="22F3E1E3" w14:textId="77777777" w:rsidR="00D75E81" w:rsidRDefault="00D75E81" w:rsidP="002C47F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15E"/>
    <w:rsid w:val="000205D7"/>
    <w:rsid w:val="000871E2"/>
    <w:rsid w:val="000D34FC"/>
    <w:rsid w:val="000E7D04"/>
    <w:rsid w:val="002263B2"/>
    <w:rsid w:val="002C47F9"/>
    <w:rsid w:val="002F14EE"/>
    <w:rsid w:val="00353C28"/>
    <w:rsid w:val="00366962"/>
    <w:rsid w:val="00370FE6"/>
    <w:rsid w:val="003B59FE"/>
    <w:rsid w:val="004300AA"/>
    <w:rsid w:val="004D1D8D"/>
    <w:rsid w:val="005304D7"/>
    <w:rsid w:val="00626097"/>
    <w:rsid w:val="00636539"/>
    <w:rsid w:val="006B6ACD"/>
    <w:rsid w:val="006C4AD6"/>
    <w:rsid w:val="00712C80"/>
    <w:rsid w:val="007149FE"/>
    <w:rsid w:val="00717B1F"/>
    <w:rsid w:val="007C2A28"/>
    <w:rsid w:val="007F17DD"/>
    <w:rsid w:val="00813373"/>
    <w:rsid w:val="00814A0A"/>
    <w:rsid w:val="00815173"/>
    <w:rsid w:val="00850B22"/>
    <w:rsid w:val="008C7777"/>
    <w:rsid w:val="00942074"/>
    <w:rsid w:val="00957EE9"/>
    <w:rsid w:val="009D66E1"/>
    <w:rsid w:val="009F57EE"/>
    <w:rsid w:val="00A24709"/>
    <w:rsid w:val="00A719EC"/>
    <w:rsid w:val="00AA78A5"/>
    <w:rsid w:val="00AB3EA6"/>
    <w:rsid w:val="00B50114"/>
    <w:rsid w:val="00B93485"/>
    <w:rsid w:val="00BE799C"/>
    <w:rsid w:val="00C01B0E"/>
    <w:rsid w:val="00C14D04"/>
    <w:rsid w:val="00C57C46"/>
    <w:rsid w:val="00C830F9"/>
    <w:rsid w:val="00CF21DE"/>
    <w:rsid w:val="00D20A2B"/>
    <w:rsid w:val="00D210EC"/>
    <w:rsid w:val="00D60F78"/>
    <w:rsid w:val="00D75E81"/>
    <w:rsid w:val="00DA75B4"/>
    <w:rsid w:val="00E2138C"/>
    <w:rsid w:val="00E6215E"/>
    <w:rsid w:val="00E77EFC"/>
    <w:rsid w:val="00E85F8C"/>
    <w:rsid w:val="00EB1437"/>
    <w:rsid w:val="00EB771C"/>
    <w:rsid w:val="00EF7534"/>
    <w:rsid w:val="00F66EA1"/>
    <w:rsid w:val="00F76CDD"/>
    <w:rsid w:val="00FE1B16"/>
    <w:rsid w:val="00FE7A51"/>
    <w:rsid w:val="00FF0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D8A065"/>
  <w15:chartTrackingRefBased/>
  <w15:docId w15:val="{14DDAC29-F8D2-475D-BAB0-CC33703F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4EE"/>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E621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21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21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1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1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1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1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1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1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1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21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21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1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1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1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1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1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15E"/>
    <w:rPr>
      <w:rFonts w:eastAsiaTheme="majorEastAsia" w:cstheme="majorBidi"/>
      <w:color w:val="272727" w:themeColor="text1" w:themeTint="D8"/>
    </w:rPr>
  </w:style>
  <w:style w:type="paragraph" w:styleId="Title">
    <w:name w:val="Title"/>
    <w:basedOn w:val="Normal"/>
    <w:next w:val="Normal"/>
    <w:link w:val="TitleChar"/>
    <w:uiPriority w:val="10"/>
    <w:qFormat/>
    <w:rsid w:val="00E621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1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1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1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15E"/>
    <w:pPr>
      <w:spacing w:before="160"/>
      <w:jc w:val="center"/>
    </w:pPr>
    <w:rPr>
      <w:i/>
      <w:iCs/>
      <w:color w:val="404040" w:themeColor="text1" w:themeTint="BF"/>
    </w:rPr>
  </w:style>
  <w:style w:type="character" w:customStyle="1" w:styleId="QuoteChar">
    <w:name w:val="Quote Char"/>
    <w:basedOn w:val="DefaultParagraphFont"/>
    <w:link w:val="Quote"/>
    <w:uiPriority w:val="29"/>
    <w:rsid w:val="00E6215E"/>
    <w:rPr>
      <w:i/>
      <w:iCs/>
      <w:color w:val="404040" w:themeColor="text1" w:themeTint="BF"/>
    </w:rPr>
  </w:style>
  <w:style w:type="paragraph" w:styleId="ListParagraph">
    <w:name w:val="List Paragraph"/>
    <w:basedOn w:val="Normal"/>
    <w:uiPriority w:val="34"/>
    <w:qFormat/>
    <w:rsid w:val="00E6215E"/>
    <w:pPr>
      <w:ind w:left="720"/>
      <w:contextualSpacing/>
    </w:pPr>
  </w:style>
  <w:style w:type="character" w:styleId="IntenseEmphasis">
    <w:name w:val="Intense Emphasis"/>
    <w:basedOn w:val="DefaultParagraphFont"/>
    <w:uiPriority w:val="21"/>
    <w:qFormat/>
    <w:rsid w:val="00E6215E"/>
    <w:rPr>
      <w:i/>
      <w:iCs/>
      <w:color w:val="0F4761" w:themeColor="accent1" w:themeShade="BF"/>
    </w:rPr>
  </w:style>
  <w:style w:type="paragraph" w:styleId="IntenseQuote">
    <w:name w:val="Intense Quote"/>
    <w:basedOn w:val="Normal"/>
    <w:next w:val="Normal"/>
    <w:link w:val="IntenseQuoteChar"/>
    <w:uiPriority w:val="30"/>
    <w:qFormat/>
    <w:rsid w:val="00E621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15E"/>
    <w:rPr>
      <w:i/>
      <w:iCs/>
      <w:color w:val="0F4761" w:themeColor="accent1" w:themeShade="BF"/>
    </w:rPr>
  </w:style>
  <w:style w:type="character" w:styleId="IntenseReference">
    <w:name w:val="Intense Reference"/>
    <w:basedOn w:val="DefaultParagraphFont"/>
    <w:uiPriority w:val="32"/>
    <w:qFormat/>
    <w:rsid w:val="00E6215E"/>
    <w:rPr>
      <w:b/>
      <w:bCs/>
      <w:smallCaps/>
      <w:color w:val="0F4761" w:themeColor="accent1" w:themeShade="BF"/>
      <w:spacing w:val="5"/>
    </w:rPr>
  </w:style>
  <w:style w:type="paragraph" w:styleId="TOCHeading">
    <w:name w:val="TOC Heading"/>
    <w:basedOn w:val="Heading1"/>
    <w:next w:val="Normal"/>
    <w:uiPriority w:val="39"/>
    <w:unhideWhenUsed/>
    <w:qFormat/>
    <w:rsid w:val="002F14EE"/>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AA78A5"/>
    <w:rPr>
      <w:color w:val="0000FF"/>
      <w:u w:val="single"/>
    </w:rPr>
  </w:style>
  <w:style w:type="paragraph" w:styleId="TOC1">
    <w:name w:val="toc 1"/>
    <w:basedOn w:val="Normal"/>
    <w:next w:val="Normal"/>
    <w:autoRedefine/>
    <w:uiPriority w:val="39"/>
    <w:unhideWhenUsed/>
    <w:rsid w:val="008C7777"/>
    <w:pPr>
      <w:spacing w:after="100"/>
    </w:pPr>
  </w:style>
  <w:style w:type="paragraph" w:styleId="TOC2">
    <w:name w:val="toc 2"/>
    <w:basedOn w:val="Normal"/>
    <w:next w:val="Normal"/>
    <w:autoRedefine/>
    <w:uiPriority w:val="39"/>
    <w:unhideWhenUsed/>
    <w:rsid w:val="008C7777"/>
    <w:pPr>
      <w:spacing w:after="100"/>
      <w:ind w:left="240"/>
    </w:pPr>
  </w:style>
  <w:style w:type="paragraph" w:styleId="Header">
    <w:name w:val="header"/>
    <w:basedOn w:val="Normal"/>
    <w:link w:val="HeaderChar"/>
    <w:uiPriority w:val="99"/>
    <w:unhideWhenUsed/>
    <w:rsid w:val="002C47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7F9"/>
    <w:rPr>
      <w:rFonts w:ascii="Aptos" w:eastAsia="Aptos" w:hAnsi="Aptos" w:cs="Times New Roman"/>
    </w:rPr>
  </w:style>
  <w:style w:type="paragraph" w:styleId="Footer">
    <w:name w:val="footer"/>
    <w:basedOn w:val="Normal"/>
    <w:link w:val="FooterChar"/>
    <w:uiPriority w:val="99"/>
    <w:unhideWhenUsed/>
    <w:rsid w:val="002C47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7F9"/>
    <w:rPr>
      <w:rFonts w:ascii="Aptos" w:eastAsia="Aptos"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flexible-working-requests" TargetMode="External"/><Relationship Id="rId13" Type="http://schemas.openxmlformats.org/officeDocument/2006/relationships/hyperlink" Target="https://arxiv.org/pdf/2401.13683" TargetMode="External"/><Relationship Id="rId18" Type="http://schemas.openxmlformats.org/officeDocument/2006/relationships/hyperlink" Target="https://www.legislation.gov.uk/ukpga/2023/33/contents" TargetMode="External"/><Relationship Id="rId3" Type="http://schemas.openxmlformats.org/officeDocument/2006/relationships/webSettings" Target="webSettings.xml"/><Relationship Id="rId21" Type="http://schemas.openxmlformats.org/officeDocument/2006/relationships/hyperlink" Target="https://link.springer.com/article/10.1186/s12889-020-09875-z" TargetMode="External"/><Relationship Id="rId7" Type="http://schemas.openxmlformats.org/officeDocument/2006/relationships/image" Target="media/image2.png"/><Relationship Id="rId12" Type="http://schemas.openxmlformats.org/officeDocument/2006/relationships/hyperlink" Target="https://pressbooks.bccampus.ca/jibcresearchmethods/" TargetMode="External"/><Relationship Id="rId17" Type="http://schemas.openxmlformats.org/officeDocument/2006/relationships/hyperlink" Target="https://www.gnu.org/software/pspp/manual/pspp.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openintro.org/book/os/" TargetMode="External"/><Relationship Id="rId20" Type="http://schemas.openxmlformats.org/officeDocument/2006/relationships/hyperlink" Target="https://www.cipd.org/globalassets/media/knowledge/knowledge-hub/reports/2025-pdfs/8909-flexible-working-report-web.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link.springer.com/article/10.1007/s11205-018-2025-x"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sajip.co.za/index.php/sajip/article/view/974/1037" TargetMode="External"/><Relationship Id="rId23" Type="http://schemas.openxmlformats.org/officeDocument/2006/relationships/hyperlink" Target="https://irep.ntu.ac.uk/id/eprint/27714/1/PubSub5286_Wheatley.pdf" TargetMode="External"/><Relationship Id="rId10" Type="http://schemas.openxmlformats.org/officeDocument/2006/relationships/hyperlink" Target="https://www.nber.org/system/files/working_papers/w18871/w18871.pdf" TargetMode="External"/><Relationship Id="rId19" Type="http://schemas.openxmlformats.org/officeDocument/2006/relationships/hyperlink" Target="https://www.mdpi.com/1660-4601/18/4/1826" TargetMode="External"/><Relationship Id="rId4" Type="http://schemas.openxmlformats.org/officeDocument/2006/relationships/footnotes" Target="footnotes.xml"/><Relationship Id="rId9" Type="http://schemas.openxmlformats.org/officeDocument/2006/relationships/hyperlink" Target="https://digitalcommons.usf.edu/oa_textbooks/3/" TargetMode="External"/><Relationship Id="rId14" Type="http://schemas.openxmlformats.org/officeDocument/2006/relationships/hyperlink" Target="https://selfdeterminationtheory.org/SDT/documents/2000_DeciRyan_PIWhatWhy.pdf" TargetMode="External"/><Relationship Id="rId22" Type="http://schemas.openxmlformats.org/officeDocument/2006/relationships/hyperlink" Target="https://pmc.ncbi.nlm.nih.gov/articles/PMC42055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695</TotalTime>
  <Pages>1</Pages>
  <Words>3131</Words>
  <Characters>17851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Tanasa</dc:creator>
  <cp:keywords/>
  <dc:description/>
  <cp:lastModifiedBy>Constantin Tanasa</cp:lastModifiedBy>
  <cp:revision>14</cp:revision>
  <dcterms:created xsi:type="dcterms:W3CDTF">2026-06-24T08:51:00Z</dcterms:created>
  <dcterms:modified xsi:type="dcterms:W3CDTF">2026-06-26T21:38:00Z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0f211200-141a-4394-a544-b4a5908c47f6</vt:lpwstr>
  </property>
</Properties>
</file>