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B29F77" w14:textId="77777777" w:rsidR="005C5CD7" w:rsidRDefault="005C5CD7" w:rsidP="0069145B">
      <w:pPr>
        <w:spacing w:line="360" w:lineRule="auto"/>
        <w:jc w:val="both"/>
      </w:pPr>
    </w:p>
    <w:p w14:paraId="4127953B" w14:textId="77777777" w:rsidR="00A45B1E" w:rsidRDefault="00A45B1E" w:rsidP="0069145B">
      <w:pPr>
        <w:spacing w:line="360" w:lineRule="auto"/>
        <w:jc w:val="both"/>
      </w:pPr>
    </w:p>
    <w:p w14:paraId="7E1109E5" w14:textId="4698807F" w:rsidR="00A45B1E" w:rsidRPr="00A45B1E" w:rsidRDefault="00A45B1E" w:rsidP="00A45B1E">
      <w:pPr>
        <w:spacing w:line="360" w:lineRule="auto"/>
        <w:jc w:val="center"/>
        <w:rPr>
          <w:rFonts w:ascii="Times New Roman" w:hAnsi="Times New Roman" w:cs="Times New Roman"/>
          <w:b/>
          <w:bCs/>
          <w:sz w:val="44"/>
          <w:szCs w:val="44"/>
        </w:rPr>
      </w:pPr>
      <w:r w:rsidRPr="00A45B1E">
        <w:rPr>
          <w:rFonts w:ascii="Times New Roman" w:hAnsi="Times New Roman" w:cs="Times New Roman"/>
          <w:b/>
          <w:bCs/>
          <w:sz w:val="44"/>
          <w:szCs w:val="44"/>
        </w:rPr>
        <w:t>Finance for Business Managers (BMMB7005)</w:t>
      </w:r>
    </w:p>
    <w:p w14:paraId="6EB598F0" w14:textId="77777777" w:rsidR="00A45B1E" w:rsidRDefault="00A45B1E" w:rsidP="00A45B1E">
      <w:pPr>
        <w:spacing w:line="360" w:lineRule="auto"/>
        <w:jc w:val="both"/>
        <w:rPr>
          <w:rFonts w:ascii="Times New Roman" w:hAnsi="Times New Roman" w:cs="Times New Roman"/>
          <w:b/>
          <w:bCs/>
        </w:rPr>
      </w:pPr>
    </w:p>
    <w:p w14:paraId="47B92E0A" w14:textId="77777777" w:rsidR="00A45B1E" w:rsidRDefault="00A45B1E" w:rsidP="00A45B1E">
      <w:pPr>
        <w:spacing w:line="360" w:lineRule="auto"/>
        <w:jc w:val="both"/>
        <w:rPr>
          <w:rFonts w:ascii="Times New Roman" w:hAnsi="Times New Roman" w:cs="Times New Roman"/>
          <w:b/>
          <w:bCs/>
        </w:rPr>
      </w:pPr>
    </w:p>
    <w:p w14:paraId="26282368" w14:textId="77777777" w:rsidR="00A45B1E" w:rsidRDefault="00A45B1E" w:rsidP="00A45B1E">
      <w:pPr>
        <w:spacing w:line="360" w:lineRule="auto"/>
        <w:jc w:val="both"/>
        <w:rPr>
          <w:rFonts w:ascii="Times New Roman" w:hAnsi="Times New Roman" w:cs="Times New Roman"/>
          <w:b/>
          <w:bCs/>
        </w:rPr>
      </w:pPr>
    </w:p>
    <w:p w14:paraId="6CE3043A" w14:textId="77777777" w:rsidR="00A45B1E" w:rsidRDefault="00A45B1E" w:rsidP="00A45B1E">
      <w:pPr>
        <w:spacing w:line="360" w:lineRule="auto"/>
        <w:jc w:val="both"/>
        <w:rPr>
          <w:rFonts w:ascii="Times New Roman" w:hAnsi="Times New Roman" w:cs="Times New Roman"/>
          <w:b/>
          <w:bCs/>
        </w:rPr>
      </w:pPr>
    </w:p>
    <w:p w14:paraId="5C260ECB" w14:textId="77777777" w:rsidR="00A45B1E" w:rsidRDefault="00A45B1E" w:rsidP="00A45B1E">
      <w:pPr>
        <w:spacing w:line="360" w:lineRule="auto"/>
        <w:jc w:val="both"/>
        <w:rPr>
          <w:rFonts w:ascii="Times New Roman" w:hAnsi="Times New Roman" w:cs="Times New Roman"/>
          <w:b/>
          <w:bCs/>
        </w:rPr>
      </w:pPr>
    </w:p>
    <w:p w14:paraId="3B1266FA" w14:textId="77777777" w:rsidR="00A45B1E" w:rsidRDefault="00A45B1E" w:rsidP="00A45B1E">
      <w:pPr>
        <w:spacing w:line="360" w:lineRule="auto"/>
        <w:jc w:val="both"/>
        <w:rPr>
          <w:rFonts w:ascii="Times New Roman" w:hAnsi="Times New Roman" w:cs="Times New Roman"/>
          <w:b/>
          <w:bCs/>
        </w:rPr>
      </w:pPr>
    </w:p>
    <w:p w14:paraId="4C054782" w14:textId="77777777" w:rsidR="00A45B1E" w:rsidRDefault="00A45B1E" w:rsidP="00A45B1E">
      <w:pPr>
        <w:spacing w:line="360" w:lineRule="auto"/>
        <w:jc w:val="both"/>
        <w:rPr>
          <w:rFonts w:ascii="Times New Roman" w:hAnsi="Times New Roman" w:cs="Times New Roman"/>
          <w:b/>
          <w:bCs/>
        </w:rPr>
      </w:pPr>
    </w:p>
    <w:p w14:paraId="30409C40" w14:textId="77777777" w:rsidR="007767A9" w:rsidRDefault="007767A9" w:rsidP="00A45B1E">
      <w:pPr>
        <w:spacing w:line="360" w:lineRule="auto"/>
        <w:jc w:val="both"/>
        <w:rPr>
          <w:rFonts w:ascii="Times New Roman" w:hAnsi="Times New Roman" w:cs="Times New Roman"/>
          <w:b/>
          <w:bCs/>
        </w:rPr>
      </w:pPr>
    </w:p>
    <w:p w14:paraId="40E98CC5" w14:textId="77777777" w:rsidR="007767A9" w:rsidRDefault="007767A9" w:rsidP="00A45B1E">
      <w:pPr>
        <w:spacing w:line="360" w:lineRule="auto"/>
        <w:jc w:val="both"/>
        <w:rPr>
          <w:rFonts w:ascii="Times New Roman" w:hAnsi="Times New Roman" w:cs="Times New Roman"/>
          <w:b/>
          <w:bCs/>
        </w:rPr>
      </w:pPr>
    </w:p>
    <w:p w14:paraId="1A086575" w14:textId="77777777" w:rsidR="007767A9" w:rsidRDefault="007767A9" w:rsidP="00A45B1E">
      <w:pPr>
        <w:spacing w:line="360" w:lineRule="auto"/>
        <w:jc w:val="both"/>
        <w:rPr>
          <w:rFonts w:ascii="Times New Roman" w:hAnsi="Times New Roman" w:cs="Times New Roman"/>
          <w:b/>
          <w:bCs/>
        </w:rPr>
      </w:pPr>
    </w:p>
    <w:p w14:paraId="72AD4D1C" w14:textId="77777777" w:rsidR="007767A9" w:rsidRDefault="007767A9" w:rsidP="00A45B1E">
      <w:pPr>
        <w:spacing w:line="360" w:lineRule="auto"/>
        <w:jc w:val="both"/>
        <w:rPr>
          <w:rFonts w:ascii="Times New Roman" w:hAnsi="Times New Roman" w:cs="Times New Roman"/>
          <w:b/>
          <w:bCs/>
        </w:rPr>
      </w:pPr>
    </w:p>
    <w:p w14:paraId="688F0336" w14:textId="77777777" w:rsidR="007767A9" w:rsidRDefault="007767A9" w:rsidP="00A45B1E">
      <w:pPr>
        <w:spacing w:line="360" w:lineRule="auto"/>
        <w:jc w:val="both"/>
        <w:rPr>
          <w:rFonts w:ascii="Times New Roman" w:hAnsi="Times New Roman" w:cs="Times New Roman"/>
          <w:b/>
          <w:bCs/>
        </w:rPr>
      </w:pPr>
    </w:p>
    <w:p w14:paraId="01951308" w14:textId="19541BD5" w:rsidR="00A45B1E" w:rsidRDefault="00A45B1E" w:rsidP="00A45B1E">
      <w:pPr>
        <w:spacing w:line="360" w:lineRule="auto"/>
        <w:jc w:val="both"/>
        <w:rPr>
          <w:rFonts w:ascii="Times New Roman" w:hAnsi="Times New Roman" w:cs="Times New Roman"/>
          <w:b/>
          <w:bCs/>
        </w:rPr>
      </w:pPr>
      <w:r>
        <w:rPr>
          <w:rFonts w:ascii="Times New Roman" w:hAnsi="Times New Roman" w:cs="Times New Roman"/>
          <w:b/>
          <w:bCs/>
        </w:rPr>
        <w:t xml:space="preserve">Student Name: </w:t>
      </w:r>
      <w:proofErr w:type="spellStart"/>
      <w:r w:rsidR="005B78AA">
        <w:rPr>
          <w:rFonts w:ascii="Times New Roman" w:hAnsi="Times New Roman" w:cs="Times New Roman"/>
          <w:b/>
          <w:bCs/>
        </w:rPr>
        <w:t>Protick</w:t>
      </w:r>
      <w:proofErr w:type="spellEnd"/>
      <w:r w:rsidR="005B78AA">
        <w:rPr>
          <w:rFonts w:ascii="Times New Roman" w:hAnsi="Times New Roman" w:cs="Times New Roman"/>
          <w:b/>
          <w:bCs/>
        </w:rPr>
        <w:t xml:space="preserve"> L Gomes</w:t>
      </w:r>
    </w:p>
    <w:p w14:paraId="4F07D45A" w14:textId="20FE7CE9" w:rsidR="00A45B1E" w:rsidRDefault="00A45B1E" w:rsidP="00A45B1E">
      <w:pPr>
        <w:spacing w:line="360" w:lineRule="auto"/>
        <w:jc w:val="both"/>
        <w:rPr>
          <w:rFonts w:ascii="Times New Roman" w:hAnsi="Times New Roman" w:cs="Times New Roman"/>
          <w:b/>
          <w:bCs/>
        </w:rPr>
      </w:pPr>
      <w:r>
        <w:rPr>
          <w:rFonts w:ascii="Times New Roman" w:hAnsi="Times New Roman" w:cs="Times New Roman"/>
          <w:b/>
          <w:bCs/>
        </w:rPr>
        <w:t xml:space="preserve">ID: </w:t>
      </w:r>
      <w:r w:rsidR="005B78AA">
        <w:rPr>
          <w:rFonts w:ascii="Times New Roman" w:hAnsi="Times New Roman" w:cs="Times New Roman"/>
          <w:b/>
          <w:bCs/>
        </w:rPr>
        <w:t>2506443</w:t>
      </w:r>
    </w:p>
    <w:p w14:paraId="7A6A4E3E" w14:textId="77777777" w:rsidR="00A45B1E" w:rsidRDefault="00A45B1E" w:rsidP="00A45B1E">
      <w:pPr>
        <w:spacing w:line="360" w:lineRule="auto"/>
        <w:jc w:val="both"/>
        <w:rPr>
          <w:rFonts w:ascii="Times New Roman" w:hAnsi="Times New Roman" w:cs="Times New Roman"/>
          <w:b/>
          <w:bCs/>
        </w:rPr>
      </w:pPr>
    </w:p>
    <w:p w14:paraId="36A6F55A" w14:textId="77777777" w:rsidR="00A45B1E" w:rsidRDefault="00A45B1E" w:rsidP="0069145B">
      <w:pPr>
        <w:spacing w:line="360" w:lineRule="auto"/>
        <w:jc w:val="both"/>
      </w:pPr>
    </w:p>
    <w:p w14:paraId="52B31CD9" w14:textId="77777777" w:rsidR="00A45B1E" w:rsidRDefault="00A45B1E" w:rsidP="0069145B">
      <w:pPr>
        <w:spacing w:line="360" w:lineRule="auto"/>
        <w:jc w:val="both"/>
      </w:pPr>
    </w:p>
    <w:p w14:paraId="44B79C19" w14:textId="77777777" w:rsidR="00A45B1E" w:rsidRDefault="00A45B1E" w:rsidP="0069145B">
      <w:pPr>
        <w:spacing w:line="360" w:lineRule="auto"/>
        <w:jc w:val="both"/>
      </w:pPr>
    </w:p>
    <w:p w14:paraId="1B1B78F4" w14:textId="77777777" w:rsidR="00A45B1E" w:rsidRPr="0069145B" w:rsidRDefault="00A45B1E" w:rsidP="0069145B">
      <w:pPr>
        <w:spacing w:line="360" w:lineRule="auto"/>
        <w:jc w:val="both"/>
      </w:pPr>
    </w:p>
    <w:p w14:paraId="36669B84" w14:textId="6858BBD7" w:rsidR="0069145B" w:rsidRPr="0069145B" w:rsidRDefault="0069145B" w:rsidP="0069145B">
      <w:pPr>
        <w:spacing w:line="360" w:lineRule="auto"/>
        <w:jc w:val="both"/>
        <w:rPr>
          <w:rFonts w:ascii="Times New Roman" w:eastAsia="Times New Roman" w:hAnsi="Times New Roman" w:cs="Times New Roman"/>
          <w:b/>
          <w:bCs/>
          <w:kern w:val="0"/>
          <w14:ligatures w14:val="none"/>
        </w:rPr>
      </w:pPr>
      <w:r w:rsidRPr="0069145B">
        <w:rPr>
          <w:rFonts w:ascii="Times New Roman" w:eastAsia="Times New Roman" w:hAnsi="Times New Roman" w:cs="Times New Roman"/>
          <w:b/>
          <w:bCs/>
          <w:kern w:val="0"/>
          <w14:ligatures w14:val="none"/>
        </w:rPr>
        <w:lastRenderedPageBreak/>
        <w:t>Executive Summary</w:t>
      </w:r>
    </w:p>
    <w:p w14:paraId="680A6E7A" w14:textId="4F36D68D" w:rsidR="0069145B" w:rsidRPr="0069145B" w:rsidRDefault="0069145B" w:rsidP="0069145B">
      <w:pPr>
        <w:spacing w:line="360" w:lineRule="auto"/>
        <w:jc w:val="both"/>
        <w:rPr>
          <w:rFonts w:ascii="Times New Roman" w:eastAsia="Times New Roman" w:hAnsi="Times New Roman" w:cs="Times New Roman"/>
          <w:kern w:val="0"/>
          <w14:ligatures w14:val="none"/>
        </w:rPr>
      </w:pPr>
      <w:r w:rsidRPr="0069145B">
        <w:rPr>
          <w:rFonts w:ascii="Times New Roman" w:eastAsia="Times New Roman" w:hAnsi="Times New Roman" w:cs="Times New Roman"/>
          <w:kern w:val="0"/>
          <w14:ligatures w14:val="none"/>
        </w:rPr>
        <w:t xml:space="preserve">Part 1 concludes that Unilever PLC remains financially resilient despite short-term pressures on reported profitability. Revenue growth and improved gross margins indicate effective pricing and cost management, while underlying operating performance suggests strengthening operational efficiency. Although reported returns on capital and equity declined due to restructuring costs, liquidity and solvency remained stable, and investor confidence was supported through sustained dividends and </w:t>
      </w:r>
      <w:proofErr w:type="spellStart"/>
      <w:r w:rsidRPr="0069145B">
        <w:rPr>
          <w:rFonts w:ascii="Times New Roman" w:eastAsia="Times New Roman" w:hAnsi="Times New Roman" w:cs="Times New Roman"/>
          <w:kern w:val="0"/>
          <w14:ligatures w14:val="none"/>
        </w:rPr>
        <w:t>favourable</w:t>
      </w:r>
      <w:proofErr w:type="spellEnd"/>
      <w:r w:rsidRPr="0069145B">
        <w:rPr>
          <w:rFonts w:ascii="Times New Roman" w:eastAsia="Times New Roman" w:hAnsi="Times New Roman" w:cs="Times New Roman"/>
          <w:kern w:val="0"/>
          <w14:ligatures w14:val="none"/>
        </w:rPr>
        <w:t xml:space="preserve"> market valuation. Overall, the analysis indicates that Unilever’s core business continues to perform strongly, with recent pressures reflecting strategic transformation rather than fundamental weakness.</w:t>
      </w:r>
    </w:p>
    <w:p w14:paraId="060D5374" w14:textId="733D33BB" w:rsidR="00DD1AC4" w:rsidRPr="0069145B" w:rsidRDefault="0069145B" w:rsidP="0069145B">
      <w:pPr>
        <w:spacing w:line="360" w:lineRule="auto"/>
        <w:jc w:val="both"/>
        <w:rPr>
          <w:rFonts w:ascii="Times New Roman" w:eastAsia="Times New Roman" w:hAnsi="Times New Roman" w:cs="Times New Roman"/>
          <w:kern w:val="0"/>
          <w14:ligatures w14:val="none"/>
        </w:rPr>
      </w:pPr>
      <w:r w:rsidRPr="0069145B">
        <w:rPr>
          <w:rFonts w:ascii="Times New Roman" w:eastAsia="Times New Roman" w:hAnsi="Times New Roman" w:cs="Times New Roman"/>
          <w:kern w:val="0"/>
          <w14:ligatures w14:val="none"/>
        </w:rPr>
        <w:t xml:space="preserve">Part 2 finds that all three investment options considered by Westward Plc are financially viable, as each generates a positive Net Present Value. Among the alternatives, developing internet sales emerges as the preferred standalone project due to its superior NPV and strong IRR relative to the cost of capital. When capital is limited, an optimal investment policy involving a combination of projects </w:t>
      </w:r>
      <w:proofErr w:type="spellStart"/>
      <w:r w:rsidRPr="0069145B">
        <w:rPr>
          <w:rFonts w:ascii="Times New Roman" w:eastAsia="Times New Roman" w:hAnsi="Times New Roman" w:cs="Times New Roman"/>
          <w:kern w:val="0"/>
          <w14:ligatures w14:val="none"/>
        </w:rPr>
        <w:t>maximises</w:t>
      </w:r>
      <w:proofErr w:type="spellEnd"/>
      <w:r w:rsidRPr="0069145B">
        <w:rPr>
          <w:rFonts w:ascii="Times New Roman" w:eastAsia="Times New Roman" w:hAnsi="Times New Roman" w:cs="Times New Roman"/>
          <w:kern w:val="0"/>
          <w14:ligatures w14:val="none"/>
        </w:rPr>
        <w:t xml:space="preserve"> total NPV. While non-discounting methods provide useful insights into liquidity and accounting performance, Net Present Value remains the most reliable basis for decision-making. A balanced financing strategy combining retained earnings and debt is recommended to support the investment </w:t>
      </w:r>
      <w:proofErr w:type="spellStart"/>
      <w:r w:rsidRPr="0069145B">
        <w:rPr>
          <w:rFonts w:ascii="Times New Roman" w:eastAsia="Times New Roman" w:hAnsi="Times New Roman" w:cs="Times New Roman"/>
          <w:kern w:val="0"/>
          <w14:ligatures w14:val="none"/>
        </w:rPr>
        <w:t>programme</w:t>
      </w:r>
      <w:proofErr w:type="spellEnd"/>
      <w:r w:rsidRPr="0069145B">
        <w:rPr>
          <w:rFonts w:ascii="Times New Roman" w:eastAsia="Times New Roman" w:hAnsi="Times New Roman" w:cs="Times New Roman"/>
          <w:kern w:val="0"/>
          <w14:ligatures w14:val="none"/>
        </w:rPr>
        <w:t xml:space="preserve"> while maintaining financial flexibility.</w:t>
      </w:r>
    </w:p>
    <w:p w14:paraId="71BC163F" w14:textId="77777777" w:rsidR="00DD1AC4" w:rsidRDefault="00DD1AC4"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42197DBD"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CD8647B"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9F79FC0"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6428030B"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5D768C6"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79279697"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16C3A39"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sdt>
      <w:sdtPr>
        <w:rPr>
          <w:rFonts w:asciiTheme="minorHAnsi" w:eastAsiaTheme="minorHAnsi" w:hAnsiTheme="minorHAnsi" w:cstheme="minorBidi"/>
          <w:color w:val="auto"/>
          <w:kern w:val="2"/>
          <w:sz w:val="24"/>
          <w:szCs w:val="24"/>
          <w14:ligatures w14:val="standardContextual"/>
        </w:rPr>
        <w:id w:val="-2009050081"/>
        <w:docPartObj>
          <w:docPartGallery w:val="Table of Contents"/>
          <w:docPartUnique/>
        </w:docPartObj>
      </w:sdtPr>
      <w:sdtEndPr>
        <w:rPr>
          <w:b/>
          <w:bCs/>
          <w:noProof/>
        </w:rPr>
      </w:sdtEndPr>
      <w:sdtContent>
        <w:p w14:paraId="286AB39A" w14:textId="396072C9" w:rsidR="005D7E96" w:rsidRPr="005D7E96" w:rsidRDefault="005D7E96">
          <w:pPr>
            <w:pStyle w:val="TOCHeading"/>
            <w:rPr>
              <w:rFonts w:ascii="Times New Roman" w:hAnsi="Times New Roman" w:cs="Times New Roman"/>
            </w:rPr>
          </w:pPr>
          <w:r w:rsidRPr="005D7E96">
            <w:rPr>
              <w:rFonts w:ascii="Times New Roman" w:hAnsi="Times New Roman" w:cs="Times New Roman"/>
            </w:rPr>
            <w:t>Contents</w:t>
          </w:r>
        </w:p>
        <w:p w14:paraId="5B81DA71" w14:textId="3E2EF525" w:rsidR="005D7E96" w:rsidRPr="005D7E96" w:rsidRDefault="005D7E96">
          <w:pPr>
            <w:pStyle w:val="TOC1"/>
            <w:tabs>
              <w:tab w:val="right" w:leader="dot" w:pos="9350"/>
            </w:tabs>
            <w:rPr>
              <w:rFonts w:ascii="Times New Roman" w:hAnsi="Times New Roman" w:cs="Times New Roman"/>
              <w:noProof/>
            </w:rPr>
          </w:pPr>
          <w:r w:rsidRPr="005D7E96">
            <w:rPr>
              <w:rFonts w:ascii="Times New Roman" w:hAnsi="Times New Roman" w:cs="Times New Roman"/>
            </w:rPr>
            <w:fldChar w:fldCharType="begin"/>
          </w:r>
          <w:r w:rsidRPr="005D7E96">
            <w:rPr>
              <w:rFonts w:ascii="Times New Roman" w:hAnsi="Times New Roman" w:cs="Times New Roman"/>
            </w:rPr>
            <w:instrText xml:space="preserve"> TOC \o "1-3" \h \z \u </w:instrText>
          </w:r>
          <w:r w:rsidRPr="005D7E96">
            <w:rPr>
              <w:rFonts w:ascii="Times New Roman" w:hAnsi="Times New Roman" w:cs="Times New Roman"/>
            </w:rPr>
            <w:fldChar w:fldCharType="separate"/>
          </w:r>
          <w:hyperlink w:anchor="_Toc219020631" w:history="1">
            <w:r w:rsidRPr="005D7E96">
              <w:rPr>
                <w:rStyle w:val="Hyperlink"/>
                <w:rFonts w:ascii="Times New Roman" w:eastAsia="Times New Roman" w:hAnsi="Times New Roman" w:cs="Times New Roman"/>
                <w:noProof/>
              </w:rPr>
              <w:t>Introduction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w:t>
            </w:r>
            <w:r w:rsidRPr="005D7E96">
              <w:rPr>
                <w:rFonts w:ascii="Times New Roman" w:hAnsi="Times New Roman" w:cs="Times New Roman"/>
                <w:noProof/>
                <w:webHidden/>
              </w:rPr>
              <w:fldChar w:fldCharType="end"/>
            </w:r>
          </w:hyperlink>
        </w:p>
        <w:p w14:paraId="1FA6157E" w14:textId="71A6AACE" w:rsidR="005D7E96" w:rsidRPr="005D7E96" w:rsidRDefault="005D7E96">
          <w:pPr>
            <w:pStyle w:val="TOC1"/>
            <w:tabs>
              <w:tab w:val="right" w:leader="dot" w:pos="9350"/>
            </w:tabs>
            <w:rPr>
              <w:rFonts w:ascii="Times New Roman" w:hAnsi="Times New Roman" w:cs="Times New Roman"/>
              <w:noProof/>
            </w:rPr>
          </w:pPr>
          <w:hyperlink w:anchor="_Toc219020632" w:history="1">
            <w:r w:rsidRPr="005D7E96">
              <w:rPr>
                <w:rStyle w:val="Hyperlink"/>
                <w:rFonts w:ascii="Times New Roman" w:hAnsi="Times New Roman" w:cs="Times New Roman"/>
                <w:noProof/>
              </w:rPr>
              <w:t>Part 1</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w:t>
            </w:r>
            <w:r w:rsidRPr="005D7E96">
              <w:rPr>
                <w:rFonts w:ascii="Times New Roman" w:hAnsi="Times New Roman" w:cs="Times New Roman"/>
                <w:noProof/>
                <w:webHidden/>
              </w:rPr>
              <w:fldChar w:fldCharType="end"/>
            </w:r>
          </w:hyperlink>
        </w:p>
        <w:p w14:paraId="41934097" w14:textId="16E69774" w:rsidR="005D7E96" w:rsidRPr="005D7E96" w:rsidRDefault="005D7E96">
          <w:pPr>
            <w:pStyle w:val="TOC2"/>
            <w:tabs>
              <w:tab w:val="right" w:leader="dot" w:pos="9350"/>
            </w:tabs>
            <w:rPr>
              <w:rFonts w:ascii="Times New Roman" w:hAnsi="Times New Roman" w:cs="Times New Roman"/>
              <w:noProof/>
            </w:rPr>
          </w:pPr>
          <w:hyperlink w:anchor="_Toc219020633" w:history="1">
            <w:r w:rsidRPr="005D7E96">
              <w:rPr>
                <w:rStyle w:val="Hyperlink"/>
                <w:rFonts w:ascii="Times New Roman" w:hAnsi="Times New Roman" w:cs="Times New Roman"/>
                <w:noProof/>
              </w:rPr>
              <w:t>Profitability Analysis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w:t>
            </w:r>
            <w:r w:rsidRPr="005D7E96">
              <w:rPr>
                <w:rFonts w:ascii="Times New Roman" w:hAnsi="Times New Roman" w:cs="Times New Roman"/>
                <w:noProof/>
                <w:webHidden/>
              </w:rPr>
              <w:fldChar w:fldCharType="end"/>
            </w:r>
          </w:hyperlink>
        </w:p>
        <w:p w14:paraId="4921B513" w14:textId="500AB44D" w:rsidR="005D7E96" w:rsidRPr="005D7E96" w:rsidRDefault="005D7E96">
          <w:pPr>
            <w:pStyle w:val="TOC3"/>
            <w:tabs>
              <w:tab w:val="right" w:leader="dot" w:pos="9350"/>
            </w:tabs>
            <w:rPr>
              <w:rFonts w:ascii="Times New Roman" w:hAnsi="Times New Roman" w:cs="Times New Roman"/>
              <w:noProof/>
            </w:rPr>
          </w:pPr>
          <w:hyperlink w:anchor="_Toc219020634" w:history="1">
            <w:r w:rsidRPr="005D7E96">
              <w:rPr>
                <w:rStyle w:val="Hyperlink"/>
                <w:rFonts w:ascii="Times New Roman" w:hAnsi="Times New Roman" w:cs="Times New Roman"/>
                <w:noProof/>
              </w:rPr>
              <w:t>Revenue and Margin Performance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w:t>
            </w:r>
            <w:r w:rsidRPr="005D7E96">
              <w:rPr>
                <w:rFonts w:ascii="Times New Roman" w:hAnsi="Times New Roman" w:cs="Times New Roman"/>
                <w:noProof/>
                <w:webHidden/>
              </w:rPr>
              <w:fldChar w:fldCharType="end"/>
            </w:r>
          </w:hyperlink>
        </w:p>
        <w:p w14:paraId="2D2C7A09" w14:textId="1B9838A9" w:rsidR="005D7E96" w:rsidRPr="005D7E96" w:rsidRDefault="005D7E96">
          <w:pPr>
            <w:pStyle w:val="TOC3"/>
            <w:tabs>
              <w:tab w:val="right" w:leader="dot" w:pos="9350"/>
            </w:tabs>
            <w:rPr>
              <w:rFonts w:ascii="Times New Roman" w:hAnsi="Times New Roman" w:cs="Times New Roman"/>
              <w:noProof/>
            </w:rPr>
          </w:pPr>
          <w:hyperlink w:anchor="_Toc219020635" w:history="1">
            <w:r w:rsidRPr="005D7E96">
              <w:rPr>
                <w:rStyle w:val="Hyperlink"/>
                <w:rFonts w:ascii="Times New Roman" w:hAnsi="Times New Roman" w:cs="Times New Roman"/>
                <w:noProof/>
              </w:rPr>
              <w:t>Operating Profitability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w:t>
            </w:r>
            <w:r w:rsidRPr="005D7E96">
              <w:rPr>
                <w:rFonts w:ascii="Times New Roman" w:hAnsi="Times New Roman" w:cs="Times New Roman"/>
                <w:noProof/>
                <w:webHidden/>
              </w:rPr>
              <w:fldChar w:fldCharType="end"/>
            </w:r>
          </w:hyperlink>
        </w:p>
        <w:p w14:paraId="1E5286D6" w14:textId="745ED8E9" w:rsidR="005D7E96" w:rsidRPr="005D7E96" w:rsidRDefault="005D7E96">
          <w:pPr>
            <w:pStyle w:val="TOC3"/>
            <w:tabs>
              <w:tab w:val="right" w:leader="dot" w:pos="9350"/>
            </w:tabs>
            <w:rPr>
              <w:rFonts w:ascii="Times New Roman" w:hAnsi="Times New Roman" w:cs="Times New Roman"/>
              <w:noProof/>
            </w:rPr>
          </w:pPr>
          <w:hyperlink w:anchor="_Toc219020636" w:history="1">
            <w:r w:rsidRPr="005D7E96">
              <w:rPr>
                <w:rStyle w:val="Hyperlink"/>
                <w:rFonts w:ascii="Times New Roman" w:hAnsi="Times New Roman" w:cs="Times New Roman"/>
                <w:noProof/>
              </w:rPr>
              <w:t>Net Profitability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5</w:t>
            </w:r>
            <w:r w:rsidRPr="005D7E96">
              <w:rPr>
                <w:rFonts w:ascii="Times New Roman" w:hAnsi="Times New Roman" w:cs="Times New Roman"/>
                <w:noProof/>
                <w:webHidden/>
              </w:rPr>
              <w:fldChar w:fldCharType="end"/>
            </w:r>
          </w:hyperlink>
        </w:p>
        <w:p w14:paraId="5F0B71DE" w14:textId="202D7F74" w:rsidR="005D7E96" w:rsidRPr="005D7E96" w:rsidRDefault="005D7E96">
          <w:pPr>
            <w:pStyle w:val="TOC3"/>
            <w:tabs>
              <w:tab w:val="right" w:leader="dot" w:pos="9350"/>
            </w:tabs>
            <w:rPr>
              <w:rFonts w:ascii="Times New Roman" w:hAnsi="Times New Roman" w:cs="Times New Roman"/>
              <w:noProof/>
            </w:rPr>
          </w:pPr>
          <w:hyperlink w:anchor="_Toc219020637" w:history="1">
            <w:r w:rsidRPr="005D7E96">
              <w:rPr>
                <w:rStyle w:val="Hyperlink"/>
                <w:rFonts w:ascii="Times New Roman" w:hAnsi="Times New Roman" w:cs="Times New Roman"/>
                <w:noProof/>
              </w:rPr>
              <w:t>Profitability Analysis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6</w:t>
            </w:r>
            <w:r w:rsidRPr="005D7E96">
              <w:rPr>
                <w:rFonts w:ascii="Times New Roman" w:hAnsi="Times New Roman" w:cs="Times New Roman"/>
                <w:noProof/>
                <w:webHidden/>
              </w:rPr>
              <w:fldChar w:fldCharType="end"/>
            </w:r>
          </w:hyperlink>
        </w:p>
        <w:p w14:paraId="551C3F58" w14:textId="0794D81C" w:rsidR="005D7E96" w:rsidRPr="005D7E96" w:rsidRDefault="005D7E96">
          <w:pPr>
            <w:pStyle w:val="TOC2"/>
            <w:tabs>
              <w:tab w:val="right" w:leader="dot" w:pos="9350"/>
            </w:tabs>
            <w:rPr>
              <w:rFonts w:ascii="Times New Roman" w:hAnsi="Times New Roman" w:cs="Times New Roman"/>
              <w:noProof/>
            </w:rPr>
          </w:pPr>
          <w:hyperlink w:anchor="_Toc219020638" w:history="1">
            <w:r w:rsidRPr="005D7E96">
              <w:rPr>
                <w:rStyle w:val="Hyperlink"/>
                <w:rFonts w:ascii="Times New Roman" w:hAnsi="Times New Roman" w:cs="Times New Roman"/>
                <w:noProof/>
              </w:rPr>
              <w:t>Return Measures: ROCE and ROE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6</w:t>
            </w:r>
            <w:r w:rsidRPr="005D7E96">
              <w:rPr>
                <w:rFonts w:ascii="Times New Roman" w:hAnsi="Times New Roman" w:cs="Times New Roman"/>
                <w:noProof/>
                <w:webHidden/>
              </w:rPr>
              <w:fldChar w:fldCharType="end"/>
            </w:r>
          </w:hyperlink>
        </w:p>
        <w:p w14:paraId="37B6E9D0" w14:textId="70BC4510" w:rsidR="005D7E96" w:rsidRPr="005D7E96" w:rsidRDefault="005D7E96">
          <w:pPr>
            <w:pStyle w:val="TOC3"/>
            <w:tabs>
              <w:tab w:val="right" w:leader="dot" w:pos="9350"/>
            </w:tabs>
            <w:rPr>
              <w:rFonts w:ascii="Times New Roman" w:hAnsi="Times New Roman" w:cs="Times New Roman"/>
              <w:noProof/>
            </w:rPr>
          </w:pPr>
          <w:hyperlink w:anchor="_Toc219020639" w:history="1">
            <w:r w:rsidRPr="005D7E96">
              <w:rPr>
                <w:rStyle w:val="Hyperlink"/>
                <w:rFonts w:ascii="Times New Roman" w:hAnsi="Times New Roman" w:cs="Times New Roman"/>
                <w:noProof/>
              </w:rPr>
              <w:t>Return on Capital Employed (ROCE)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_Toc219020639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6</w:t>
            </w:r>
            <w:r w:rsidRPr="005D7E96">
              <w:rPr>
                <w:rFonts w:ascii="Times New Roman" w:hAnsi="Times New Roman" w:cs="Times New Roman"/>
                <w:noProof/>
                <w:webHidden/>
              </w:rPr>
              <w:fldChar w:fldCharType="end"/>
            </w:r>
          </w:hyperlink>
        </w:p>
        <w:p w14:paraId="7F34980A" w14:textId="32E9501A" w:rsidR="005D7E96" w:rsidRPr="005D7E96" w:rsidRDefault="005D7E96">
          <w:pPr>
            <w:pStyle w:val="TOC3"/>
            <w:tabs>
              <w:tab w:val="right" w:leader="dot" w:pos="9350"/>
            </w:tabs>
            <w:rPr>
              <w:rFonts w:ascii="Times New Roman" w:hAnsi="Times New Roman" w:cs="Times New Roman"/>
              <w:noProof/>
            </w:rPr>
          </w:pPr>
          <w:hyperlink w:anchor="_Toc219020640" w:history="1">
            <w:r w:rsidRPr="005D7E96">
              <w:rPr>
                <w:rStyle w:val="Hyperlink"/>
                <w:rFonts w:ascii="Times New Roman" w:hAnsi="Times New Roman" w:cs="Times New Roman"/>
                <w:noProof/>
              </w:rPr>
              <w:t>Return on Equity (ROE)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7</w:t>
            </w:r>
            <w:r w:rsidRPr="005D7E96">
              <w:rPr>
                <w:rFonts w:ascii="Times New Roman" w:hAnsi="Times New Roman" w:cs="Times New Roman"/>
                <w:noProof/>
                <w:webHidden/>
              </w:rPr>
              <w:fldChar w:fldCharType="end"/>
            </w:r>
          </w:hyperlink>
        </w:p>
        <w:p w14:paraId="1FB9C2C7" w14:textId="55A1ADE0" w:rsidR="005D7E96" w:rsidRPr="005D7E96" w:rsidRDefault="005D7E96">
          <w:pPr>
            <w:pStyle w:val="TOC3"/>
            <w:tabs>
              <w:tab w:val="right" w:leader="dot" w:pos="9350"/>
            </w:tabs>
            <w:rPr>
              <w:rFonts w:ascii="Times New Roman" w:hAnsi="Times New Roman" w:cs="Times New Roman"/>
              <w:noProof/>
            </w:rPr>
          </w:pPr>
          <w:hyperlink w:anchor="_Toc219020641" w:history="1">
            <w:r w:rsidRPr="005D7E96">
              <w:rPr>
                <w:rStyle w:val="Hyperlink"/>
                <w:rFonts w:ascii="Times New Roman" w:hAnsi="Times New Roman" w:cs="Times New Roman"/>
                <w:noProof/>
              </w:rPr>
              <w:t>Return Measures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8</w:t>
            </w:r>
            <w:r w:rsidRPr="005D7E96">
              <w:rPr>
                <w:rFonts w:ascii="Times New Roman" w:hAnsi="Times New Roman" w:cs="Times New Roman"/>
                <w:noProof/>
                <w:webHidden/>
              </w:rPr>
              <w:fldChar w:fldCharType="end"/>
            </w:r>
          </w:hyperlink>
        </w:p>
        <w:p w14:paraId="34720B9C" w14:textId="0B5839D4" w:rsidR="005D7E96" w:rsidRPr="005D7E96" w:rsidRDefault="005D7E96">
          <w:pPr>
            <w:pStyle w:val="TOC2"/>
            <w:tabs>
              <w:tab w:val="right" w:leader="dot" w:pos="9350"/>
            </w:tabs>
            <w:rPr>
              <w:rFonts w:ascii="Times New Roman" w:hAnsi="Times New Roman" w:cs="Times New Roman"/>
              <w:noProof/>
            </w:rPr>
          </w:pPr>
          <w:hyperlink w:anchor="_Toc219020642" w:history="1">
            <w:r w:rsidRPr="005D7E96">
              <w:rPr>
                <w:rStyle w:val="Hyperlink"/>
                <w:rFonts w:ascii="Times New Roman" w:hAnsi="Times New Roman" w:cs="Times New Roman"/>
                <w:noProof/>
              </w:rPr>
              <w:t>Liquidity Analysis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8</w:t>
            </w:r>
            <w:r w:rsidRPr="005D7E96">
              <w:rPr>
                <w:rFonts w:ascii="Times New Roman" w:hAnsi="Times New Roman" w:cs="Times New Roman"/>
                <w:noProof/>
                <w:webHidden/>
              </w:rPr>
              <w:fldChar w:fldCharType="end"/>
            </w:r>
          </w:hyperlink>
        </w:p>
        <w:p w14:paraId="163425CF" w14:textId="246E5816" w:rsidR="005D7E96" w:rsidRPr="005D7E96" w:rsidRDefault="005D7E96">
          <w:pPr>
            <w:pStyle w:val="TOC3"/>
            <w:tabs>
              <w:tab w:val="right" w:leader="dot" w:pos="9350"/>
            </w:tabs>
            <w:rPr>
              <w:rFonts w:ascii="Times New Roman" w:hAnsi="Times New Roman" w:cs="Times New Roman"/>
              <w:noProof/>
            </w:rPr>
          </w:pPr>
          <w:hyperlink w:anchor="_Toc219020643" w:history="1">
            <w:r w:rsidRPr="005D7E96">
              <w:rPr>
                <w:rStyle w:val="Hyperlink"/>
                <w:rFonts w:ascii="Times New Roman" w:hAnsi="Times New Roman" w:cs="Times New Roman"/>
                <w:noProof/>
              </w:rPr>
              <w:t>Current Ratio</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9</w:t>
            </w:r>
            <w:r w:rsidRPr="005D7E96">
              <w:rPr>
                <w:rFonts w:ascii="Times New Roman" w:hAnsi="Times New Roman" w:cs="Times New Roman"/>
                <w:noProof/>
                <w:webHidden/>
              </w:rPr>
              <w:fldChar w:fldCharType="end"/>
            </w:r>
          </w:hyperlink>
        </w:p>
        <w:p w14:paraId="699B2A46" w14:textId="0D295CD1" w:rsidR="005D7E96" w:rsidRPr="005D7E96" w:rsidRDefault="005D7E96">
          <w:pPr>
            <w:pStyle w:val="TOC3"/>
            <w:tabs>
              <w:tab w:val="right" w:leader="dot" w:pos="9350"/>
            </w:tabs>
            <w:rPr>
              <w:rFonts w:ascii="Times New Roman" w:hAnsi="Times New Roman" w:cs="Times New Roman"/>
              <w:noProof/>
            </w:rPr>
          </w:pPr>
          <w:hyperlink w:anchor="_Toc219020644" w:history="1">
            <w:r w:rsidRPr="005D7E96">
              <w:rPr>
                <w:rStyle w:val="Hyperlink"/>
                <w:rFonts w:ascii="Times New Roman" w:hAnsi="Times New Roman" w:cs="Times New Roman"/>
                <w:noProof/>
              </w:rPr>
              <w:t>Quick Ratio</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9</w:t>
            </w:r>
            <w:r w:rsidRPr="005D7E96">
              <w:rPr>
                <w:rFonts w:ascii="Times New Roman" w:hAnsi="Times New Roman" w:cs="Times New Roman"/>
                <w:noProof/>
                <w:webHidden/>
              </w:rPr>
              <w:fldChar w:fldCharType="end"/>
            </w:r>
          </w:hyperlink>
        </w:p>
        <w:p w14:paraId="00B1A27D" w14:textId="04A21514" w:rsidR="005D7E96" w:rsidRPr="005D7E96" w:rsidRDefault="005D7E96">
          <w:pPr>
            <w:pStyle w:val="TOC3"/>
            <w:tabs>
              <w:tab w:val="right" w:leader="dot" w:pos="9350"/>
            </w:tabs>
            <w:rPr>
              <w:rFonts w:ascii="Times New Roman" w:hAnsi="Times New Roman" w:cs="Times New Roman"/>
              <w:noProof/>
            </w:rPr>
          </w:pPr>
          <w:hyperlink w:anchor="_Toc219020645" w:history="1">
            <w:r w:rsidRPr="005D7E96">
              <w:rPr>
                <w:rStyle w:val="Hyperlink"/>
                <w:rFonts w:ascii="Times New Roman" w:hAnsi="Times New Roman" w:cs="Times New Roman"/>
                <w:noProof/>
              </w:rPr>
              <w:t>Working Capital Liquidity Implications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10</w:t>
            </w:r>
            <w:r w:rsidRPr="005D7E96">
              <w:rPr>
                <w:rFonts w:ascii="Times New Roman" w:hAnsi="Times New Roman" w:cs="Times New Roman"/>
                <w:noProof/>
                <w:webHidden/>
              </w:rPr>
              <w:fldChar w:fldCharType="end"/>
            </w:r>
          </w:hyperlink>
        </w:p>
        <w:p w14:paraId="39B34DD5" w14:textId="3AD5FFAA" w:rsidR="005D7E96" w:rsidRPr="005D7E96" w:rsidRDefault="005D7E96">
          <w:pPr>
            <w:pStyle w:val="TOC3"/>
            <w:tabs>
              <w:tab w:val="right" w:leader="dot" w:pos="9350"/>
            </w:tabs>
            <w:rPr>
              <w:rFonts w:ascii="Times New Roman" w:hAnsi="Times New Roman" w:cs="Times New Roman"/>
              <w:noProof/>
            </w:rPr>
          </w:pPr>
          <w:hyperlink w:anchor="_Toc219020646" w:history="1">
            <w:r w:rsidRPr="005D7E96">
              <w:rPr>
                <w:rStyle w:val="Hyperlink"/>
                <w:rFonts w:ascii="Times New Roman" w:hAnsi="Times New Roman" w:cs="Times New Roman"/>
                <w:noProof/>
              </w:rPr>
              <w:t>Liquidity Analysis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10</w:t>
            </w:r>
            <w:r w:rsidRPr="005D7E96">
              <w:rPr>
                <w:rFonts w:ascii="Times New Roman" w:hAnsi="Times New Roman" w:cs="Times New Roman"/>
                <w:noProof/>
                <w:webHidden/>
              </w:rPr>
              <w:fldChar w:fldCharType="end"/>
            </w:r>
          </w:hyperlink>
        </w:p>
        <w:p w14:paraId="2EBDB59B" w14:textId="164E786A" w:rsidR="005D7E96" w:rsidRPr="005D7E96" w:rsidRDefault="005D7E96">
          <w:pPr>
            <w:pStyle w:val="TOC2"/>
            <w:tabs>
              <w:tab w:val="right" w:leader="dot" w:pos="9350"/>
            </w:tabs>
            <w:rPr>
              <w:rFonts w:ascii="Times New Roman" w:hAnsi="Times New Roman" w:cs="Times New Roman"/>
              <w:noProof/>
            </w:rPr>
          </w:pPr>
          <w:hyperlink w:anchor="_Toc219020647" w:history="1">
            <w:r w:rsidRPr="005D7E96">
              <w:rPr>
                <w:rStyle w:val="Hyperlink"/>
                <w:rFonts w:ascii="Times New Roman" w:hAnsi="Times New Roman" w:cs="Times New Roman"/>
                <w:noProof/>
              </w:rPr>
              <w:t>Solvency and Capital Structure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11</w:t>
            </w:r>
            <w:r w:rsidRPr="005D7E96">
              <w:rPr>
                <w:rFonts w:ascii="Times New Roman" w:hAnsi="Times New Roman" w:cs="Times New Roman"/>
                <w:noProof/>
                <w:webHidden/>
              </w:rPr>
              <w:fldChar w:fldCharType="end"/>
            </w:r>
          </w:hyperlink>
        </w:p>
        <w:p w14:paraId="3EECB65A" w14:textId="300BCA02" w:rsidR="005D7E96" w:rsidRPr="005D7E96" w:rsidRDefault="005D7E96">
          <w:pPr>
            <w:pStyle w:val="TOC3"/>
            <w:tabs>
              <w:tab w:val="right" w:leader="dot" w:pos="9350"/>
            </w:tabs>
            <w:rPr>
              <w:rFonts w:ascii="Times New Roman" w:hAnsi="Times New Roman" w:cs="Times New Roman"/>
              <w:noProof/>
            </w:rPr>
          </w:pPr>
          <w:hyperlink w:anchor="_Toc219020648" w:history="1">
            <w:r w:rsidRPr="005D7E96">
              <w:rPr>
                <w:rStyle w:val="Hyperlink"/>
                <w:rFonts w:ascii="Times New Roman" w:hAnsi="Times New Roman" w:cs="Times New Roman"/>
                <w:noProof/>
              </w:rPr>
              <w:t>Gearing Ratio</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11</w:t>
            </w:r>
            <w:r w:rsidRPr="005D7E96">
              <w:rPr>
                <w:rFonts w:ascii="Times New Roman" w:hAnsi="Times New Roman" w:cs="Times New Roman"/>
                <w:noProof/>
                <w:webHidden/>
              </w:rPr>
              <w:fldChar w:fldCharType="end"/>
            </w:r>
          </w:hyperlink>
        </w:p>
        <w:p w14:paraId="1A1C79A2" w14:textId="056CBA4D" w:rsidR="005D7E96" w:rsidRPr="005D7E96" w:rsidRDefault="005D7E96">
          <w:pPr>
            <w:pStyle w:val="TOC3"/>
            <w:tabs>
              <w:tab w:val="right" w:leader="dot" w:pos="9350"/>
            </w:tabs>
            <w:rPr>
              <w:rFonts w:ascii="Times New Roman" w:hAnsi="Times New Roman" w:cs="Times New Roman"/>
              <w:noProof/>
            </w:rPr>
          </w:pPr>
          <w:hyperlink w:anchor="_Toc219020649" w:history="1">
            <w:r w:rsidRPr="005D7E96">
              <w:rPr>
                <w:rStyle w:val="Hyperlink"/>
                <w:rFonts w:ascii="Times New Roman" w:hAnsi="Times New Roman" w:cs="Times New Roman"/>
                <w:noProof/>
              </w:rPr>
              <w:t>Relationship Between Gearing and Shareholder Returns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_Toc219020649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12</w:t>
            </w:r>
            <w:r w:rsidRPr="005D7E96">
              <w:rPr>
                <w:rFonts w:ascii="Times New Roman" w:hAnsi="Times New Roman" w:cs="Times New Roman"/>
                <w:noProof/>
                <w:webHidden/>
              </w:rPr>
              <w:fldChar w:fldCharType="end"/>
            </w:r>
          </w:hyperlink>
        </w:p>
        <w:p w14:paraId="5172F4A5" w14:textId="5942C51B" w:rsidR="005D7E96" w:rsidRPr="005D7E96" w:rsidRDefault="005D7E96">
          <w:pPr>
            <w:pStyle w:val="TOC3"/>
            <w:tabs>
              <w:tab w:val="right" w:leader="dot" w:pos="9350"/>
            </w:tabs>
            <w:rPr>
              <w:rFonts w:ascii="Times New Roman" w:hAnsi="Times New Roman" w:cs="Times New Roman"/>
              <w:noProof/>
            </w:rPr>
          </w:pPr>
          <w:hyperlink w:anchor="_Toc219020650" w:history="1">
            <w:r w:rsidRPr="005D7E96">
              <w:rPr>
                <w:rStyle w:val="Hyperlink"/>
                <w:rFonts w:ascii="Times New Roman" w:hAnsi="Times New Roman" w:cs="Times New Roman"/>
                <w:noProof/>
              </w:rPr>
              <w:t>Interest Cover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12</w:t>
            </w:r>
            <w:r w:rsidRPr="005D7E96">
              <w:rPr>
                <w:rFonts w:ascii="Times New Roman" w:hAnsi="Times New Roman" w:cs="Times New Roman"/>
                <w:noProof/>
                <w:webHidden/>
              </w:rPr>
              <w:fldChar w:fldCharType="end"/>
            </w:r>
          </w:hyperlink>
        </w:p>
        <w:p w14:paraId="42205201" w14:textId="4D4FD98C" w:rsidR="005D7E96" w:rsidRPr="005D7E96" w:rsidRDefault="005D7E96">
          <w:pPr>
            <w:pStyle w:val="TOC3"/>
            <w:tabs>
              <w:tab w:val="right" w:leader="dot" w:pos="9350"/>
            </w:tabs>
            <w:rPr>
              <w:rFonts w:ascii="Times New Roman" w:hAnsi="Times New Roman" w:cs="Times New Roman"/>
              <w:noProof/>
            </w:rPr>
          </w:pPr>
          <w:hyperlink w:anchor="_Toc219020651" w:history="1">
            <w:r w:rsidRPr="005D7E96">
              <w:rPr>
                <w:rStyle w:val="Hyperlink"/>
                <w:rFonts w:ascii="Times New Roman" w:hAnsi="Times New Roman" w:cs="Times New Roman"/>
                <w:noProof/>
              </w:rPr>
              <w:t>Solvency and Capital Structure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13</w:t>
            </w:r>
            <w:r w:rsidRPr="005D7E96">
              <w:rPr>
                <w:rFonts w:ascii="Times New Roman" w:hAnsi="Times New Roman" w:cs="Times New Roman"/>
                <w:noProof/>
                <w:webHidden/>
              </w:rPr>
              <w:fldChar w:fldCharType="end"/>
            </w:r>
          </w:hyperlink>
        </w:p>
        <w:p w14:paraId="6CF6D810" w14:textId="09740DD7" w:rsidR="005D7E96" w:rsidRPr="005D7E96" w:rsidRDefault="005D7E96">
          <w:pPr>
            <w:pStyle w:val="TOC2"/>
            <w:tabs>
              <w:tab w:val="right" w:leader="dot" w:pos="9350"/>
            </w:tabs>
            <w:rPr>
              <w:rFonts w:ascii="Times New Roman" w:hAnsi="Times New Roman" w:cs="Times New Roman"/>
              <w:noProof/>
            </w:rPr>
          </w:pPr>
          <w:hyperlink w:anchor="_Toc219020652" w:history="1">
            <w:r w:rsidRPr="005D7E96">
              <w:rPr>
                <w:rStyle w:val="Hyperlink"/>
                <w:rFonts w:ascii="Times New Roman" w:hAnsi="Times New Roman" w:cs="Times New Roman"/>
                <w:noProof/>
              </w:rPr>
              <w:t>Efficiency Analysis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13</w:t>
            </w:r>
            <w:r w:rsidRPr="005D7E96">
              <w:rPr>
                <w:rFonts w:ascii="Times New Roman" w:hAnsi="Times New Roman" w:cs="Times New Roman"/>
                <w:noProof/>
                <w:webHidden/>
              </w:rPr>
              <w:fldChar w:fldCharType="end"/>
            </w:r>
          </w:hyperlink>
        </w:p>
        <w:p w14:paraId="54CBC6A3" w14:textId="74805D9B" w:rsidR="005D7E96" w:rsidRPr="005D7E96" w:rsidRDefault="005D7E96">
          <w:pPr>
            <w:pStyle w:val="TOC3"/>
            <w:tabs>
              <w:tab w:val="right" w:leader="dot" w:pos="9350"/>
            </w:tabs>
            <w:rPr>
              <w:rFonts w:ascii="Times New Roman" w:hAnsi="Times New Roman" w:cs="Times New Roman"/>
              <w:noProof/>
            </w:rPr>
          </w:pPr>
          <w:hyperlink w:anchor="_Toc219020653" w:history="1">
            <w:r w:rsidRPr="005D7E96">
              <w:rPr>
                <w:rStyle w:val="Hyperlink"/>
                <w:rFonts w:ascii="Times New Roman" w:hAnsi="Times New Roman" w:cs="Times New Roman"/>
                <w:noProof/>
              </w:rPr>
              <w:t>Inventory Days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13</w:t>
            </w:r>
            <w:r w:rsidRPr="005D7E96">
              <w:rPr>
                <w:rFonts w:ascii="Times New Roman" w:hAnsi="Times New Roman" w:cs="Times New Roman"/>
                <w:noProof/>
                <w:webHidden/>
              </w:rPr>
              <w:fldChar w:fldCharType="end"/>
            </w:r>
          </w:hyperlink>
        </w:p>
        <w:p w14:paraId="2890398D" w14:textId="75DF26C9" w:rsidR="005D7E96" w:rsidRPr="005D7E96" w:rsidRDefault="005D7E96">
          <w:pPr>
            <w:pStyle w:val="TOC3"/>
            <w:tabs>
              <w:tab w:val="right" w:leader="dot" w:pos="9350"/>
            </w:tabs>
            <w:rPr>
              <w:rFonts w:ascii="Times New Roman" w:hAnsi="Times New Roman" w:cs="Times New Roman"/>
              <w:noProof/>
            </w:rPr>
          </w:pPr>
          <w:hyperlink w:anchor="_Toc219020654" w:history="1">
            <w:r w:rsidRPr="005D7E96">
              <w:rPr>
                <w:rStyle w:val="Hyperlink"/>
                <w:rFonts w:ascii="Times New Roman" w:hAnsi="Times New Roman" w:cs="Times New Roman"/>
                <w:noProof/>
              </w:rPr>
              <w:t>Receivables Days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14</w:t>
            </w:r>
            <w:r w:rsidRPr="005D7E96">
              <w:rPr>
                <w:rFonts w:ascii="Times New Roman" w:hAnsi="Times New Roman" w:cs="Times New Roman"/>
                <w:noProof/>
                <w:webHidden/>
              </w:rPr>
              <w:fldChar w:fldCharType="end"/>
            </w:r>
          </w:hyperlink>
        </w:p>
        <w:p w14:paraId="3FFCA400" w14:textId="047D0264" w:rsidR="005D7E96" w:rsidRPr="005D7E96" w:rsidRDefault="005D7E96">
          <w:pPr>
            <w:pStyle w:val="TOC3"/>
            <w:tabs>
              <w:tab w:val="right" w:leader="dot" w:pos="9350"/>
            </w:tabs>
            <w:rPr>
              <w:rFonts w:ascii="Times New Roman" w:hAnsi="Times New Roman" w:cs="Times New Roman"/>
              <w:noProof/>
            </w:rPr>
          </w:pPr>
          <w:hyperlink w:anchor="_Toc219020655" w:history="1">
            <w:r w:rsidRPr="005D7E96">
              <w:rPr>
                <w:rStyle w:val="Hyperlink"/>
                <w:rFonts w:ascii="Times New Roman" w:hAnsi="Times New Roman" w:cs="Times New Roman"/>
                <w:noProof/>
              </w:rPr>
              <w:t>Payables Days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14</w:t>
            </w:r>
            <w:r w:rsidRPr="005D7E96">
              <w:rPr>
                <w:rFonts w:ascii="Times New Roman" w:hAnsi="Times New Roman" w:cs="Times New Roman"/>
                <w:noProof/>
                <w:webHidden/>
              </w:rPr>
              <w:fldChar w:fldCharType="end"/>
            </w:r>
          </w:hyperlink>
        </w:p>
        <w:p w14:paraId="5A2C5C4E" w14:textId="5E537B53" w:rsidR="005D7E96" w:rsidRPr="005D7E96" w:rsidRDefault="005D7E96">
          <w:pPr>
            <w:pStyle w:val="TOC3"/>
            <w:tabs>
              <w:tab w:val="right" w:leader="dot" w:pos="9350"/>
            </w:tabs>
            <w:rPr>
              <w:rFonts w:ascii="Times New Roman" w:hAnsi="Times New Roman" w:cs="Times New Roman"/>
              <w:noProof/>
            </w:rPr>
          </w:pPr>
          <w:hyperlink w:anchor="_Toc219020656" w:history="1">
            <w:r w:rsidRPr="005D7E96">
              <w:rPr>
                <w:rStyle w:val="Hyperlink"/>
                <w:rFonts w:ascii="Times New Roman" w:hAnsi="Times New Roman" w:cs="Times New Roman"/>
                <w:noProof/>
              </w:rPr>
              <w:t>Efficiency Analysis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15</w:t>
            </w:r>
            <w:r w:rsidRPr="005D7E96">
              <w:rPr>
                <w:rFonts w:ascii="Times New Roman" w:hAnsi="Times New Roman" w:cs="Times New Roman"/>
                <w:noProof/>
                <w:webHidden/>
              </w:rPr>
              <w:fldChar w:fldCharType="end"/>
            </w:r>
          </w:hyperlink>
        </w:p>
        <w:p w14:paraId="72DE0109" w14:textId="2F4D2380" w:rsidR="005D7E96" w:rsidRPr="005D7E96" w:rsidRDefault="005D7E96">
          <w:pPr>
            <w:pStyle w:val="TOC2"/>
            <w:tabs>
              <w:tab w:val="right" w:leader="dot" w:pos="9350"/>
            </w:tabs>
            <w:rPr>
              <w:rFonts w:ascii="Times New Roman" w:hAnsi="Times New Roman" w:cs="Times New Roman"/>
              <w:noProof/>
            </w:rPr>
          </w:pPr>
          <w:hyperlink w:anchor="_Toc219020657" w:history="1">
            <w:r w:rsidRPr="005D7E96">
              <w:rPr>
                <w:rStyle w:val="Hyperlink"/>
                <w:rFonts w:ascii="Times New Roman" w:hAnsi="Times New Roman" w:cs="Times New Roman"/>
                <w:noProof/>
              </w:rPr>
              <w:t>Investor Performance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15</w:t>
            </w:r>
            <w:r w:rsidRPr="005D7E96">
              <w:rPr>
                <w:rFonts w:ascii="Times New Roman" w:hAnsi="Times New Roman" w:cs="Times New Roman"/>
                <w:noProof/>
                <w:webHidden/>
              </w:rPr>
              <w:fldChar w:fldCharType="end"/>
            </w:r>
          </w:hyperlink>
        </w:p>
        <w:p w14:paraId="49DABB44" w14:textId="68F86DEC" w:rsidR="005D7E96" w:rsidRPr="005D7E96" w:rsidRDefault="005D7E96">
          <w:pPr>
            <w:pStyle w:val="TOC3"/>
            <w:tabs>
              <w:tab w:val="right" w:leader="dot" w:pos="9350"/>
            </w:tabs>
            <w:rPr>
              <w:rFonts w:ascii="Times New Roman" w:hAnsi="Times New Roman" w:cs="Times New Roman"/>
              <w:noProof/>
            </w:rPr>
          </w:pPr>
          <w:hyperlink w:anchor="_Toc219020658" w:history="1">
            <w:r w:rsidRPr="005D7E96">
              <w:rPr>
                <w:rStyle w:val="Hyperlink"/>
                <w:rFonts w:ascii="Times New Roman" w:hAnsi="Times New Roman" w:cs="Times New Roman"/>
                <w:noProof/>
              </w:rPr>
              <w:t>Earnings per Share (EPS)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16</w:t>
            </w:r>
            <w:r w:rsidRPr="005D7E96">
              <w:rPr>
                <w:rFonts w:ascii="Times New Roman" w:hAnsi="Times New Roman" w:cs="Times New Roman"/>
                <w:noProof/>
                <w:webHidden/>
              </w:rPr>
              <w:fldChar w:fldCharType="end"/>
            </w:r>
          </w:hyperlink>
        </w:p>
        <w:p w14:paraId="674F096D" w14:textId="500307C4" w:rsidR="005D7E96" w:rsidRPr="005D7E96" w:rsidRDefault="005D7E96">
          <w:pPr>
            <w:pStyle w:val="TOC3"/>
            <w:tabs>
              <w:tab w:val="right" w:leader="dot" w:pos="9350"/>
            </w:tabs>
            <w:rPr>
              <w:rFonts w:ascii="Times New Roman" w:hAnsi="Times New Roman" w:cs="Times New Roman"/>
              <w:noProof/>
            </w:rPr>
          </w:pPr>
          <w:hyperlink w:anchor="_Toc219020659" w:history="1">
            <w:r w:rsidRPr="005D7E96">
              <w:rPr>
                <w:rStyle w:val="Hyperlink"/>
                <w:rFonts w:ascii="Times New Roman" w:hAnsi="Times New Roman" w:cs="Times New Roman"/>
                <w:noProof/>
              </w:rPr>
              <w:t>Dividend per Share and Dividend Cover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_Toc219020659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16</w:t>
            </w:r>
            <w:r w:rsidRPr="005D7E96">
              <w:rPr>
                <w:rFonts w:ascii="Times New Roman" w:hAnsi="Times New Roman" w:cs="Times New Roman"/>
                <w:noProof/>
                <w:webHidden/>
              </w:rPr>
              <w:fldChar w:fldCharType="end"/>
            </w:r>
          </w:hyperlink>
        </w:p>
        <w:p w14:paraId="5E297FC0" w14:textId="03E85CDF" w:rsidR="005D7E96" w:rsidRPr="005D7E96" w:rsidRDefault="005D7E96">
          <w:pPr>
            <w:pStyle w:val="TOC3"/>
            <w:tabs>
              <w:tab w:val="right" w:leader="dot" w:pos="9350"/>
            </w:tabs>
            <w:rPr>
              <w:rFonts w:ascii="Times New Roman" w:hAnsi="Times New Roman" w:cs="Times New Roman"/>
              <w:noProof/>
            </w:rPr>
          </w:pPr>
          <w:hyperlink w:anchor="_Toc219020660" w:history="1">
            <w:r w:rsidRPr="005D7E96">
              <w:rPr>
                <w:rStyle w:val="Hyperlink"/>
                <w:rFonts w:ascii="Times New Roman" w:hAnsi="Times New Roman" w:cs="Times New Roman"/>
                <w:noProof/>
              </w:rPr>
              <w:t>Dividend Yield</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17</w:t>
            </w:r>
            <w:r w:rsidRPr="005D7E96">
              <w:rPr>
                <w:rFonts w:ascii="Times New Roman" w:hAnsi="Times New Roman" w:cs="Times New Roman"/>
                <w:noProof/>
                <w:webHidden/>
              </w:rPr>
              <w:fldChar w:fldCharType="end"/>
            </w:r>
          </w:hyperlink>
        </w:p>
        <w:p w14:paraId="7916CAD4" w14:textId="1645FCDA" w:rsidR="005D7E96" w:rsidRPr="005D7E96" w:rsidRDefault="005D7E96">
          <w:pPr>
            <w:pStyle w:val="TOC3"/>
            <w:tabs>
              <w:tab w:val="right" w:leader="dot" w:pos="9350"/>
            </w:tabs>
            <w:rPr>
              <w:rFonts w:ascii="Times New Roman" w:hAnsi="Times New Roman" w:cs="Times New Roman"/>
              <w:noProof/>
            </w:rPr>
          </w:pPr>
          <w:hyperlink w:anchor="_Toc219020661" w:history="1">
            <w:r w:rsidRPr="005D7E96">
              <w:rPr>
                <w:rStyle w:val="Hyperlink"/>
                <w:rFonts w:ascii="Times New Roman" w:hAnsi="Times New Roman" w:cs="Times New Roman"/>
                <w:noProof/>
              </w:rPr>
              <w:t>Price/Earnings (P/E) Ratio</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17</w:t>
            </w:r>
            <w:r w:rsidRPr="005D7E96">
              <w:rPr>
                <w:rFonts w:ascii="Times New Roman" w:hAnsi="Times New Roman" w:cs="Times New Roman"/>
                <w:noProof/>
                <w:webHidden/>
              </w:rPr>
              <w:fldChar w:fldCharType="end"/>
            </w:r>
          </w:hyperlink>
        </w:p>
        <w:p w14:paraId="7A701E4C" w14:textId="61ABC4A1" w:rsidR="005D7E96" w:rsidRPr="005D7E96" w:rsidRDefault="005D7E96">
          <w:pPr>
            <w:pStyle w:val="TOC3"/>
            <w:tabs>
              <w:tab w:val="right" w:leader="dot" w:pos="9350"/>
            </w:tabs>
            <w:rPr>
              <w:rFonts w:ascii="Times New Roman" w:hAnsi="Times New Roman" w:cs="Times New Roman"/>
              <w:noProof/>
            </w:rPr>
          </w:pPr>
          <w:hyperlink w:anchor="_Toc219020662" w:history="1">
            <w:r w:rsidRPr="005D7E96">
              <w:rPr>
                <w:rStyle w:val="Hyperlink"/>
                <w:rFonts w:ascii="Times New Roman" w:hAnsi="Times New Roman" w:cs="Times New Roman"/>
                <w:noProof/>
              </w:rPr>
              <w:t>Investor P</w:t>
            </w:r>
            <w:r w:rsidRPr="005D7E96">
              <w:rPr>
                <w:rStyle w:val="Hyperlink"/>
                <w:rFonts w:ascii="Times New Roman" w:hAnsi="Times New Roman" w:cs="Times New Roman"/>
                <w:noProof/>
              </w:rPr>
              <w:t>e</w:t>
            </w:r>
            <w:r w:rsidRPr="005D7E96">
              <w:rPr>
                <w:rStyle w:val="Hyperlink"/>
                <w:rFonts w:ascii="Times New Roman" w:hAnsi="Times New Roman" w:cs="Times New Roman"/>
                <w:noProof/>
              </w:rPr>
              <w:t>rformance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18</w:t>
            </w:r>
            <w:r w:rsidRPr="005D7E96">
              <w:rPr>
                <w:rFonts w:ascii="Times New Roman" w:hAnsi="Times New Roman" w:cs="Times New Roman"/>
                <w:noProof/>
                <w:webHidden/>
              </w:rPr>
              <w:fldChar w:fldCharType="end"/>
            </w:r>
          </w:hyperlink>
        </w:p>
        <w:p w14:paraId="3A475068" w14:textId="342BD089" w:rsidR="005D7E96" w:rsidRPr="005D7E96" w:rsidRDefault="005D7E96">
          <w:pPr>
            <w:pStyle w:val="TOC1"/>
            <w:tabs>
              <w:tab w:val="right" w:leader="dot" w:pos="9350"/>
            </w:tabs>
            <w:rPr>
              <w:rFonts w:ascii="Times New Roman" w:hAnsi="Times New Roman" w:cs="Times New Roman"/>
              <w:noProof/>
            </w:rPr>
          </w:pPr>
          <w:hyperlink w:anchor="_Toc219020663" w:history="1">
            <w:r w:rsidRPr="005D7E96">
              <w:rPr>
                <w:rStyle w:val="Hyperlink"/>
                <w:rFonts w:ascii="Times New Roman" w:hAnsi="Times New Roman" w:cs="Times New Roman"/>
                <w:noProof/>
              </w:rPr>
              <w:t>Part 2 – Investm</w:t>
            </w:r>
            <w:r w:rsidRPr="005D7E96">
              <w:rPr>
                <w:rStyle w:val="Hyperlink"/>
                <w:rFonts w:ascii="Times New Roman" w:hAnsi="Times New Roman" w:cs="Times New Roman"/>
                <w:noProof/>
              </w:rPr>
              <w:t>e</w:t>
            </w:r>
            <w:r w:rsidRPr="005D7E96">
              <w:rPr>
                <w:rStyle w:val="Hyperlink"/>
                <w:rFonts w:ascii="Times New Roman" w:hAnsi="Times New Roman" w:cs="Times New Roman"/>
                <w:noProof/>
              </w:rPr>
              <w:t>nt Appraisal for Westward Plc</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18</w:t>
            </w:r>
            <w:r w:rsidRPr="005D7E96">
              <w:rPr>
                <w:rFonts w:ascii="Times New Roman" w:hAnsi="Times New Roman" w:cs="Times New Roman"/>
                <w:noProof/>
                <w:webHidden/>
              </w:rPr>
              <w:fldChar w:fldCharType="end"/>
            </w:r>
          </w:hyperlink>
        </w:p>
        <w:p w14:paraId="5CE476ED" w14:textId="6A055AD1" w:rsidR="005D7E96" w:rsidRPr="005D7E96" w:rsidRDefault="005D7E96">
          <w:pPr>
            <w:pStyle w:val="TOC2"/>
            <w:tabs>
              <w:tab w:val="right" w:leader="dot" w:pos="9350"/>
            </w:tabs>
            <w:rPr>
              <w:rFonts w:ascii="Times New Roman" w:hAnsi="Times New Roman" w:cs="Times New Roman"/>
              <w:noProof/>
            </w:rPr>
          </w:pPr>
          <w:hyperlink w:anchor="_Toc219020664" w:history="1">
            <w:r w:rsidRPr="005D7E96">
              <w:rPr>
                <w:rStyle w:val="Hyperlink"/>
                <w:rFonts w:ascii="Times New Roman" w:hAnsi="Times New Roman" w:cs="Times New Roman"/>
                <w:noProof/>
              </w:rPr>
              <w:t>(a) Net Present Value (NPV)</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19</w:t>
            </w:r>
            <w:r w:rsidRPr="005D7E96">
              <w:rPr>
                <w:rFonts w:ascii="Times New Roman" w:hAnsi="Times New Roman" w:cs="Times New Roman"/>
                <w:noProof/>
                <w:webHidden/>
              </w:rPr>
              <w:fldChar w:fldCharType="end"/>
            </w:r>
          </w:hyperlink>
        </w:p>
        <w:p w14:paraId="43B3576F" w14:textId="618DCABE" w:rsidR="005D7E96" w:rsidRPr="005D7E96" w:rsidRDefault="005D7E96">
          <w:pPr>
            <w:pStyle w:val="TOC3"/>
            <w:tabs>
              <w:tab w:val="right" w:leader="dot" w:pos="9350"/>
            </w:tabs>
            <w:rPr>
              <w:rFonts w:ascii="Times New Roman" w:hAnsi="Times New Roman" w:cs="Times New Roman"/>
              <w:noProof/>
            </w:rPr>
          </w:pPr>
          <w:hyperlink w:anchor="_Toc219020665" w:history="1">
            <w:r w:rsidRPr="005D7E96">
              <w:rPr>
                <w:rStyle w:val="Hyperlink"/>
                <w:rFonts w:ascii="Times New Roman" w:hAnsi="Times New Roman" w:cs="Times New Roman"/>
                <w:noProof/>
              </w:rPr>
              <w:t>Interpretation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19</w:t>
            </w:r>
            <w:r w:rsidRPr="005D7E96">
              <w:rPr>
                <w:rFonts w:ascii="Times New Roman" w:hAnsi="Times New Roman" w:cs="Times New Roman"/>
                <w:noProof/>
                <w:webHidden/>
              </w:rPr>
              <w:fldChar w:fldCharType="end"/>
            </w:r>
          </w:hyperlink>
        </w:p>
        <w:p w14:paraId="522E2865" w14:textId="1A3C5828" w:rsidR="005D7E96" w:rsidRPr="005D7E96" w:rsidRDefault="005D7E96">
          <w:pPr>
            <w:pStyle w:val="TOC3"/>
            <w:tabs>
              <w:tab w:val="right" w:leader="dot" w:pos="9350"/>
            </w:tabs>
            <w:rPr>
              <w:rFonts w:ascii="Times New Roman" w:hAnsi="Times New Roman" w:cs="Times New Roman"/>
              <w:noProof/>
            </w:rPr>
          </w:pPr>
          <w:hyperlink w:anchor="_Toc219020666" w:history="1">
            <w:r w:rsidRPr="005D7E96">
              <w:rPr>
                <w:rStyle w:val="Hyperlink"/>
                <w:rFonts w:ascii="Times New Roman" w:hAnsi="Times New Roman" w:cs="Times New Roman"/>
                <w:noProof/>
              </w:rPr>
              <w:t>Recommendation Based on NPV</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20</w:t>
            </w:r>
            <w:r w:rsidRPr="005D7E96">
              <w:rPr>
                <w:rFonts w:ascii="Times New Roman" w:hAnsi="Times New Roman" w:cs="Times New Roman"/>
                <w:noProof/>
                <w:webHidden/>
              </w:rPr>
              <w:fldChar w:fldCharType="end"/>
            </w:r>
          </w:hyperlink>
        </w:p>
        <w:p w14:paraId="4FD09A2F" w14:textId="04FEC784" w:rsidR="005D7E96" w:rsidRPr="005D7E96" w:rsidRDefault="005D7E96">
          <w:pPr>
            <w:pStyle w:val="TOC2"/>
            <w:tabs>
              <w:tab w:val="right" w:leader="dot" w:pos="9350"/>
            </w:tabs>
            <w:rPr>
              <w:rFonts w:ascii="Times New Roman" w:hAnsi="Times New Roman" w:cs="Times New Roman"/>
              <w:noProof/>
            </w:rPr>
          </w:pPr>
          <w:hyperlink w:anchor="_Toc219020667" w:history="1">
            <w:r w:rsidRPr="005D7E96">
              <w:rPr>
                <w:rStyle w:val="Hyperlink"/>
                <w:rFonts w:ascii="Times New Roman" w:hAnsi="Times New Roman" w:cs="Times New Roman"/>
                <w:noProof/>
              </w:rPr>
              <w:t>(b) Internal Rate of Return (IRR) Evaluation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20</w:t>
            </w:r>
            <w:r w:rsidRPr="005D7E96">
              <w:rPr>
                <w:rFonts w:ascii="Times New Roman" w:hAnsi="Times New Roman" w:cs="Times New Roman"/>
                <w:noProof/>
                <w:webHidden/>
              </w:rPr>
              <w:fldChar w:fldCharType="end"/>
            </w:r>
          </w:hyperlink>
        </w:p>
        <w:p w14:paraId="10B7E1B5" w14:textId="4588E27D" w:rsidR="005D7E96" w:rsidRPr="005D7E96" w:rsidRDefault="005D7E96">
          <w:pPr>
            <w:pStyle w:val="TOC3"/>
            <w:tabs>
              <w:tab w:val="right" w:leader="dot" w:pos="9350"/>
            </w:tabs>
            <w:rPr>
              <w:rFonts w:ascii="Times New Roman" w:hAnsi="Times New Roman" w:cs="Times New Roman"/>
              <w:noProof/>
            </w:rPr>
          </w:pPr>
          <w:hyperlink w:anchor="_Toc219020668" w:history="1">
            <w:r w:rsidRPr="005D7E96">
              <w:rPr>
                <w:rStyle w:val="Hyperlink"/>
                <w:rFonts w:ascii="Times New Roman" w:hAnsi="Times New Roman" w:cs="Times New Roman"/>
                <w:noProof/>
              </w:rPr>
              <w:t>Interpretation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21</w:t>
            </w:r>
            <w:r w:rsidRPr="005D7E96">
              <w:rPr>
                <w:rFonts w:ascii="Times New Roman" w:hAnsi="Times New Roman" w:cs="Times New Roman"/>
                <w:noProof/>
                <w:webHidden/>
              </w:rPr>
              <w:fldChar w:fldCharType="end"/>
            </w:r>
          </w:hyperlink>
        </w:p>
        <w:p w14:paraId="795A8E0E" w14:textId="692C7100" w:rsidR="005D7E96" w:rsidRPr="005D7E96" w:rsidRDefault="005D7E96">
          <w:pPr>
            <w:pStyle w:val="TOC2"/>
            <w:tabs>
              <w:tab w:val="right" w:leader="dot" w:pos="9350"/>
            </w:tabs>
            <w:rPr>
              <w:rFonts w:ascii="Times New Roman" w:hAnsi="Times New Roman" w:cs="Times New Roman"/>
              <w:noProof/>
            </w:rPr>
          </w:pPr>
          <w:hyperlink w:anchor="_Toc219020669" w:history="1">
            <w:r w:rsidRPr="005D7E96">
              <w:rPr>
                <w:rStyle w:val="Hyperlink"/>
                <w:rFonts w:ascii="Times New Roman" w:hAnsi="Times New Roman" w:cs="Times New Roman"/>
                <w:noProof/>
              </w:rPr>
              <w:t>IRR versus NPV</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_Toc219020669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21</w:t>
            </w:r>
            <w:r w:rsidRPr="005D7E96">
              <w:rPr>
                <w:rFonts w:ascii="Times New Roman" w:hAnsi="Times New Roman" w:cs="Times New Roman"/>
                <w:noProof/>
                <w:webHidden/>
              </w:rPr>
              <w:fldChar w:fldCharType="end"/>
            </w:r>
          </w:hyperlink>
        </w:p>
        <w:p w14:paraId="22089CDC" w14:textId="0C3C96CD" w:rsidR="005D7E96" w:rsidRPr="005D7E96" w:rsidRDefault="005D7E96">
          <w:pPr>
            <w:pStyle w:val="TOC2"/>
            <w:tabs>
              <w:tab w:val="right" w:leader="dot" w:pos="9350"/>
            </w:tabs>
            <w:rPr>
              <w:rFonts w:ascii="Times New Roman" w:hAnsi="Times New Roman" w:cs="Times New Roman"/>
              <w:noProof/>
            </w:rPr>
          </w:pPr>
          <w:hyperlink w:anchor="_Toc219020670" w:history="1">
            <w:r w:rsidRPr="005D7E96">
              <w:rPr>
                <w:rStyle w:val="Hyperlink"/>
                <w:rFonts w:ascii="Times New Roman" w:hAnsi="Times New Roman" w:cs="Times New Roman"/>
                <w:noProof/>
              </w:rPr>
              <w:t>Payback Period and Accounting Rate of Return (ARR)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22</w:t>
            </w:r>
            <w:r w:rsidRPr="005D7E96">
              <w:rPr>
                <w:rFonts w:ascii="Times New Roman" w:hAnsi="Times New Roman" w:cs="Times New Roman"/>
                <w:noProof/>
                <w:webHidden/>
              </w:rPr>
              <w:fldChar w:fldCharType="end"/>
            </w:r>
          </w:hyperlink>
        </w:p>
        <w:p w14:paraId="3F765B72" w14:textId="2F959982" w:rsidR="005D7E96" w:rsidRPr="005D7E96" w:rsidRDefault="005D7E96">
          <w:pPr>
            <w:pStyle w:val="TOC3"/>
            <w:tabs>
              <w:tab w:val="right" w:leader="dot" w:pos="9350"/>
            </w:tabs>
            <w:rPr>
              <w:rFonts w:ascii="Times New Roman" w:hAnsi="Times New Roman" w:cs="Times New Roman"/>
              <w:noProof/>
            </w:rPr>
          </w:pPr>
          <w:hyperlink w:anchor="_Toc219020671" w:history="1">
            <w:r w:rsidRPr="005D7E96">
              <w:rPr>
                <w:rStyle w:val="Hyperlink"/>
                <w:rFonts w:ascii="Times New Roman" w:hAnsi="Times New Roman" w:cs="Times New Roman"/>
                <w:noProof/>
              </w:rPr>
              <w:t>Payback Period</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22</w:t>
            </w:r>
            <w:r w:rsidRPr="005D7E96">
              <w:rPr>
                <w:rFonts w:ascii="Times New Roman" w:hAnsi="Times New Roman" w:cs="Times New Roman"/>
                <w:noProof/>
                <w:webHidden/>
              </w:rPr>
              <w:fldChar w:fldCharType="end"/>
            </w:r>
          </w:hyperlink>
        </w:p>
        <w:p w14:paraId="3A9EEEBE" w14:textId="33613331" w:rsidR="005D7E96" w:rsidRPr="005D7E96" w:rsidRDefault="005D7E96">
          <w:pPr>
            <w:pStyle w:val="TOC3"/>
            <w:tabs>
              <w:tab w:val="right" w:leader="dot" w:pos="9350"/>
            </w:tabs>
            <w:rPr>
              <w:rFonts w:ascii="Times New Roman" w:hAnsi="Times New Roman" w:cs="Times New Roman"/>
              <w:noProof/>
            </w:rPr>
          </w:pPr>
          <w:hyperlink w:anchor="_Toc219020672" w:history="1">
            <w:r w:rsidRPr="005D7E96">
              <w:rPr>
                <w:rStyle w:val="Hyperlink"/>
                <w:rFonts w:ascii="Times New Roman" w:hAnsi="Times New Roman" w:cs="Times New Roman"/>
                <w:noProof/>
              </w:rPr>
              <w:t>Interpretation of Payback Results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22</w:t>
            </w:r>
            <w:r w:rsidRPr="005D7E96">
              <w:rPr>
                <w:rFonts w:ascii="Times New Roman" w:hAnsi="Times New Roman" w:cs="Times New Roman"/>
                <w:noProof/>
                <w:webHidden/>
              </w:rPr>
              <w:fldChar w:fldCharType="end"/>
            </w:r>
          </w:hyperlink>
        </w:p>
        <w:p w14:paraId="7E39D00D" w14:textId="159FB570" w:rsidR="005D7E96" w:rsidRPr="005D7E96" w:rsidRDefault="005D7E96">
          <w:pPr>
            <w:pStyle w:val="TOC2"/>
            <w:tabs>
              <w:tab w:val="right" w:leader="dot" w:pos="9350"/>
            </w:tabs>
            <w:rPr>
              <w:rFonts w:ascii="Times New Roman" w:hAnsi="Times New Roman" w:cs="Times New Roman"/>
              <w:noProof/>
            </w:rPr>
          </w:pPr>
          <w:hyperlink w:anchor="_Toc219020673" w:history="1">
            <w:r w:rsidRPr="005D7E96">
              <w:rPr>
                <w:rStyle w:val="Hyperlink"/>
                <w:rFonts w:ascii="Times New Roman" w:hAnsi="Times New Roman" w:cs="Times New Roman"/>
                <w:noProof/>
              </w:rPr>
              <w:t>Accounting Rate of Return (ARR)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23</w:t>
            </w:r>
            <w:r w:rsidRPr="005D7E96">
              <w:rPr>
                <w:rFonts w:ascii="Times New Roman" w:hAnsi="Times New Roman" w:cs="Times New Roman"/>
                <w:noProof/>
                <w:webHidden/>
              </w:rPr>
              <w:fldChar w:fldCharType="end"/>
            </w:r>
          </w:hyperlink>
        </w:p>
        <w:p w14:paraId="0AEF8B8C" w14:textId="43A760E3" w:rsidR="005D7E96" w:rsidRPr="005D7E96" w:rsidRDefault="005D7E96">
          <w:pPr>
            <w:pStyle w:val="TOC3"/>
            <w:tabs>
              <w:tab w:val="right" w:leader="dot" w:pos="9350"/>
            </w:tabs>
            <w:rPr>
              <w:rFonts w:ascii="Times New Roman" w:hAnsi="Times New Roman" w:cs="Times New Roman"/>
              <w:noProof/>
            </w:rPr>
          </w:pPr>
          <w:hyperlink w:anchor="_Toc219020674" w:history="1">
            <w:r w:rsidRPr="005D7E96">
              <w:rPr>
                <w:rStyle w:val="Hyperlink"/>
                <w:rFonts w:ascii="Times New Roman" w:hAnsi="Times New Roman" w:cs="Times New Roman"/>
                <w:noProof/>
              </w:rPr>
              <w:t>Interpretation of ARR Results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23</w:t>
            </w:r>
            <w:r w:rsidRPr="005D7E96">
              <w:rPr>
                <w:rFonts w:ascii="Times New Roman" w:hAnsi="Times New Roman" w:cs="Times New Roman"/>
                <w:noProof/>
                <w:webHidden/>
              </w:rPr>
              <w:fldChar w:fldCharType="end"/>
            </w:r>
          </w:hyperlink>
        </w:p>
        <w:p w14:paraId="22C9210D" w14:textId="3F357554" w:rsidR="005D7E96" w:rsidRPr="005D7E96" w:rsidRDefault="005D7E96">
          <w:pPr>
            <w:pStyle w:val="TOC3"/>
            <w:tabs>
              <w:tab w:val="right" w:leader="dot" w:pos="9350"/>
            </w:tabs>
            <w:rPr>
              <w:rFonts w:ascii="Times New Roman" w:hAnsi="Times New Roman" w:cs="Times New Roman"/>
              <w:noProof/>
            </w:rPr>
          </w:pPr>
          <w:hyperlink w:anchor="_Toc219020675" w:history="1">
            <w:r w:rsidRPr="005D7E96">
              <w:rPr>
                <w:rStyle w:val="Hyperlink"/>
                <w:rFonts w:ascii="Times New Roman" w:hAnsi="Times New Roman" w:cs="Times New Roman"/>
                <w:noProof/>
              </w:rPr>
              <w:t>Summary of Non-Discounting Methods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24</w:t>
            </w:r>
            <w:r w:rsidRPr="005D7E96">
              <w:rPr>
                <w:rFonts w:ascii="Times New Roman" w:hAnsi="Times New Roman" w:cs="Times New Roman"/>
                <w:noProof/>
                <w:webHidden/>
              </w:rPr>
              <w:fldChar w:fldCharType="end"/>
            </w:r>
          </w:hyperlink>
        </w:p>
        <w:p w14:paraId="1905A320" w14:textId="1D9F9E3E" w:rsidR="005D7E96" w:rsidRPr="005D7E96" w:rsidRDefault="005D7E96">
          <w:pPr>
            <w:pStyle w:val="TOC3"/>
            <w:tabs>
              <w:tab w:val="right" w:leader="dot" w:pos="9350"/>
            </w:tabs>
            <w:rPr>
              <w:rFonts w:ascii="Times New Roman" w:hAnsi="Times New Roman" w:cs="Times New Roman"/>
              <w:noProof/>
            </w:rPr>
          </w:pPr>
          <w:hyperlink w:anchor="_Toc219020676" w:history="1">
            <w:r w:rsidRPr="005D7E96">
              <w:rPr>
                <w:rStyle w:val="Hyperlink"/>
                <w:rFonts w:ascii="Times New Roman" w:hAnsi="Times New Roman" w:cs="Times New Roman"/>
                <w:noProof/>
              </w:rPr>
              <w:t>(c) Interpretation of Results for Management</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24</w:t>
            </w:r>
            <w:r w:rsidRPr="005D7E96">
              <w:rPr>
                <w:rFonts w:ascii="Times New Roman" w:hAnsi="Times New Roman" w:cs="Times New Roman"/>
                <w:noProof/>
                <w:webHidden/>
              </w:rPr>
              <w:fldChar w:fldCharType="end"/>
            </w:r>
          </w:hyperlink>
        </w:p>
        <w:p w14:paraId="084FCD55" w14:textId="32388B5B" w:rsidR="005D7E96" w:rsidRPr="005D7E96" w:rsidRDefault="005D7E96">
          <w:pPr>
            <w:pStyle w:val="TOC2"/>
            <w:tabs>
              <w:tab w:val="right" w:leader="dot" w:pos="9350"/>
            </w:tabs>
            <w:rPr>
              <w:rFonts w:ascii="Times New Roman" w:hAnsi="Times New Roman" w:cs="Times New Roman"/>
              <w:noProof/>
            </w:rPr>
          </w:pPr>
          <w:hyperlink w:anchor="_Toc219020677" w:history="1">
            <w:r w:rsidRPr="005D7E96">
              <w:rPr>
                <w:rStyle w:val="Hyperlink"/>
                <w:rFonts w:ascii="Times New Roman" w:hAnsi="Times New Roman" w:cs="Times New Roman"/>
                <w:noProof/>
              </w:rPr>
              <w:t>(c.i) Theoretical Arguments for Net Present Value as the Best Method of Investment Appraisal</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24</w:t>
            </w:r>
            <w:r w:rsidRPr="005D7E96">
              <w:rPr>
                <w:rFonts w:ascii="Times New Roman" w:hAnsi="Times New Roman" w:cs="Times New Roman"/>
                <w:noProof/>
                <w:webHidden/>
              </w:rPr>
              <w:fldChar w:fldCharType="end"/>
            </w:r>
          </w:hyperlink>
        </w:p>
        <w:p w14:paraId="7884ED06" w14:textId="418FC6F1" w:rsidR="005D7E96" w:rsidRPr="005D7E96" w:rsidRDefault="005D7E96">
          <w:pPr>
            <w:pStyle w:val="TOC2"/>
            <w:tabs>
              <w:tab w:val="right" w:leader="dot" w:pos="9350"/>
            </w:tabs>
            <w:rPr>
              <w:rFonts w:ascii="Times New Roman" w:hAnsi="Times New Roman" w:cs="Times New Roman"/>
              <w:noProof/>
            </w:rPr>
          </w:pPr>
          <w:hyperlink w:anchor="_Toc219020678" w:history="1">
            <w:r w:rsidRPr="005D7E96">
              <w:rPr>
                <w:rStyle w:val="Hyperlink"/>
                <w:rFonts w:ascii="Times New Roman" w:hAnsi="Times New Roman" w:cs="Times New Roman"/>
                <w:noProof/>
              </w:rPr>
              <w:t>(c.ii) Reasons for the Continued Popularity of Non-Discounting Methods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25</w:t>
            </w:r>
            <w:r w:rsidRPr="005D7E96">
              <w:rPr>
                <w:rFonts w:ascii="Times New Roman" w:hAnsi="Times New Roman" w:cs="Times New Roman"/>
                <w:noProof/>
                <w:webHidden/>
              </w:rPr>
              <w:fldChar w:fldCharType="end"/>
            </w:r>
          </w:hyperlink>
        </w:p>
        <w:p w14:paraId="1E85F365" w14:textId="19A2DEE0" w:rsidR="005D7E96" w:rsidRPr="005D7E96" w:rsidRDefault="005D7E96">
          <w:pPr>
            <w:pStyle w:val="TOC2"/>
            <w:tabs>
              <w:tab w:val="right" w:leader="dot" w:pos="9350"/>
            </w:tabs>
            <w:rPr>
              <w:rFonts w:ascii="Times New Roman" w:hAnsi="Times New Roman" w:cs="Times New Roman"/>
              <w:noProof/>
            </w:rPr>
          </w:pPr>
          <w:hyperlink w:anchor="_Toc219020679" w:history="1">
            <w:r w:rsidRPr="005D7E96">
              <w:rPr>
                <w:rStyle w:val="Hyperlink"/>
                <w:rFonts w:ascii="Times New Roman" w:hAnsi="Times New Roman" w:cs="Times New Roman"/>
                <w:noProof/>
              </w:rPr>
              <w:t>(c.iii) Other Factors to Consider Before Making an Investment Decision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_Toc219020679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26</w:t>
            </w:r>
            <w:r w:rsidRPr="005D7E96">
              <w:rPr>
                <w:rFonts w:ascii="Times New Roman" w:hAnsi="Times New Roman" w:cs="Times New Roman"/>
                <w:noProof/>
                <w:webHidden/>
              </w:rPr>
              <w:fldChar w:fldCharType="end"/>
            </w:r>
          </w:hyperlink>
        </w:p>
        <w:p w14:paraId="13D7390B" w14:textId="592B26C1" w:rsidR="005D7E96" w:rsidRPr="005D7E96" w:rsidRDefault="005D7E96">
          <w:pPr>
            <w:pStyle w:val="TOC3"/>
            <w:tabs>
              <w:tab w:val="right" w:leader="dot" w:pos="9350"/>
            </w:tabs>
            <w:rPr>
              <w:rFonts w:ascii="Times New Roman" w:hAnsi="Times New Roman" w:cs="Times New Roman"/>
              <w:noProof/>
            </w:rPr>
          </w:pPr>
          <w:hyperlink w:anchor="_Toc219020680" w:history="1">
            <w:r w:rsidRPr="005D7E96">
              <w:rPr>
                <w:rStyle w:val="Hyperlink"/>
                <w:rFonts w:ascii="Times New Roman" w:hAnsi="Times New Roman" w:cs="Times New Roman"/>
                <w:noProof/>
              </w:rPr>
              <w:t>Section (c) Summary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27</w:t>
            </w:r>
            <w:r w:rsidRPr="005D7E96">
              <w:rPr>
                <w:rFonts w:ascii="Times New Roman" w:hAnsi="Times New Roman" w:cs="Times New Roman"/>
                <w:noProof/>
                <w:webHidden/>
              </w:rPr>
              <w:fldChar w:fldCharType="end"/>
            </w:r>
          </w:hyperlink>
        </w:p>
        <w:p w14:paraId="42B41C2F" w14:textId="67A7057D" w:rsidR="005D7E96" w:rsidRPr="005D7E96" w:rsidRDefault="005D7E96">
          <w:pPr>
            <w:pStyle w:val="TOC2"/>
            <w:tabs>
              <w:tab w:val="right" w:leader="dot" w:pos="9350"/>
            </w:tabs>
            <w:rPr>
              <w:rFonts w:ascii="Times New Roman" w:hAnsi="Times New Roman" w:cs="Times New Roman"/>
              <w:noProof/>
            </w:rPr>
          </w:pPr>
          <w:hyperlink w:anchor="_Toc219020681" w:history="1">
            <w:r w:rsidRPr="005D7E96">
              <w:rPr>
                <w:rStyle w:val="Hyperlink"/>
                <w:rFonts w:ascii="Times New Roman" w:hAnsi="Times New Roman" w:cs="Times New Roman"/>
                <w:noProof/>
              </w:rPr>
              <w:t>(d) Capital Rationing</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27</w:t>
            </w:r>
            <w:r w:rsidRPr="005D7E96">
              <w:rPr>
                <w:rFonts w:ascii="Times New Roman" w:hAnsi="Times New Roman" w:cs="Times New Roman"/>
                <w:noProof/>
                <w:webHidden/>
              </w:rPr>
              <w:fldChar w:fldCharType="end"/>
            </w:r>
          </w:hyperlink>
        </w:p>
        <w:p w14:paraId="12AA11F7" w14:textId="12D78789" w:rsidR="005D7E96" w:rsidRPr="005D7E96" w:rsidRDefault="005D7E96">
          <w:pPr>
            <w:pStyle w:val="TOC3"/>
            <w:tabs>
              <w:tab w:val="right" w:leader="dot" w:pos="9350"/>
            </w:tabs>
            <w:rPr>
              <w:rFonts w:ascii="Times New Roman" w:hAnsi="Times New Roman" w:cs="Times New Roman"/>
              <w:noProof/>
            </w:rPr>
          </w:pPr>
          <w:hyperlink w:anchor="_Toc219020682" w:history="1">
            <w:r w:rsidRPr="005D7E96">
              <w:rPr>
                <w:rStyle w:val="Hyperlink"/>
                <w:rFonts w:ascii="Times New Roman" w:hAnsi="Times New Roman" w:cs="Times New Roman"/>
                <w:noProof/>
              </w:rPr>
              <w:t>Optimal Investment Policy</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28</w:t>
            </w:r>
            <w:r w:rsidRPr="005D7E96">
              <w:rPr>
                <w:rFonts w:ascii="Times New Roman" w:hAnsi="Times New Roman" w:cs="Times New Roman"/>
                <w:noProof/>
                <w:webHidden/>
              </w:rPr>
              <w:fldChar w:fldCharType="end"/>
            </w:r>
          </w:hyperlink>
        </w:p>
        <w:p w14:paraId="217FF0DF" w14:textId="08FC82FC" w:rsidR="005D7E96" w:rsidRPr="005D7E96" w:rsidRDefault="005D7E96">
          <w:pPr>
            <w:pStyle w:val="TOC3"/>
            <w:tabs>
              <w:tab w:val="right" w:leader="dot" w:pos="9350"/>
            </w:tabs>
            <w:rPr>
              <w:rFonts w:ascii="Times New Roman" w:hAnsi="Times New Roman" w:cs="Times New Roman"/>
              <w:noProof/>
            </w:rPr>
          </w:pPr>
          <w:hyperlink w:anchor="_Toc219020683" w:history="1">
            <w:r w:rsidRPr="005D7E96">
              <w:rPr>
                <w:rStyle w:val="Hyperlink"/>
                <w:rFonts w:ascii="Times New Roman" w:hAnsi="Times New Roman" w:cs="Times New Roman"/>
                <w:noProof/>
              </w:rPr>
              <w:t>Interpretation for Management</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28</w:t>
            </w:r>
            <w:r w:rsidRPr="005D7E96">
              <w:rPr>
                <w:rFonts w:ascii="Times New Roman" w:hAnsi="Times New Roman" w:cs="Times New Roman"/>
                <w:noProof/>
                <w:webHidden/>
              </w:rPr>
              <w:fldChar w:fldCharType="end"/>
            </w:r>
          </w:hyperlink>
        </w:p>
        <w:p w14:paraId="44486112" w14:textId="709F97FD" w:rsidR="005D7E96" w:rsidRPr="005D7E96" w:rsidRDefault="005D7E96">
          <w:pPr>
            <w:pStyle w:val="TOC2"/>
            <w:tabs>
              <w:tab w:val="right" w:leader="dot" w:pos="9350"/>
            </w:tabs>
            <w:rPr>
              <w:rFonts w:ascii="Times New Roman" w:hAnsi="Times New Roman" w:cs="Times New Roman"/>
              <w:noProof/>
            </w:rPr>
          </w:pPr>
          <w:hyperlink w:anchor="_Toc219020684" w:history="1">
            <w:r w:rsidRPr="005D7E96">
              <w:rPr>
                <w:rStyle w:val="Hyperlink"/>
                <w:rFonts w:ascii="Times New Roman" w:hAnsi="Times New Roman" w:cs="Times New Roman"/>
                <w:noProof/>
              </w:rPr>
              <w:t>Financing the Investment Programme</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29</w:t>
            </w:r>
            <w:r w:rsidRPr="005D7E96">
              <w:rPr>
                <w:rFonts w:ascii="Times New Roman" w:hAnsi="Times New Roman" w:cs="Times New Roman"/>
                <w:noProof/>
                <w:webHidden/>
              </w:rPr>
              <w:fldChar w:fldCharType="end"/>
            </w:r>
          </w:hyperlink>
        </w:p>
        <w:p w14:paraId="27C0C303" w14:textId="736E02C8" w:rsidR="005D7E96" w:rsidRPr="005D7E96" w:rsidRDefault="005D7E96">
          <w:pPr>
            <w:pStyle w:val="TOC3"/>
            <w:tabs>
              <w:tab w:val="right" w:leader="dot" w:pos="9350"/>
            </w:tabs>
            <w:rPr>
              <w:rFonts w:ascii="Times New Roman" w:hAnsi="Times New Roman" w:cs="Times New Roman"/>
              <w:noProof/>
            </w:rPr>
          </w:pPr>
          <w:hyperlink w:anchor="_Toc219020685" w:history="1">
            <w:r w:rsidRPr="005D7E96">
              <w:rPr>
                <w:rStyle w:val="Hyperlink"/>
                <w:rFonts w:ascii="Times New Roman" w:hAnsi="Times New Roman" w:cs="Times New Roman"/>
                <w:noProof/>
              </w:rPr>
              <w:t>Recommended Financing Approach</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30</w:t>
            </w:r>
            <w:r w:rsidRPr="005D7E96">
              <w:rPr>
                <w:rFonts w:ascii="Times New Roman" w:hAnsi="Times New Roman" w:cs="Times New Roman"/>
                <w:noProof/>
                <w:webHidden/>
              </w:rPr>
              <w:fldChar w:fldCharType="end"/>
            </w:r>
          </w:hyperlink>
        </w:p>
        <w:p w14:paraId="29060AE8" w14:textId="2E00FB4C" w:rsidR="005D7E96" w:rsidRPr="005D7E96" w:rsidRDefault="005D7E96">
          <w:pPr>
            <w:pStyle w:val="TOC1"/>
            <w:tabs>
              <w:tab w:val="right" w:leader="dot" w:pos="9350"/>
            </w:tabs>
            <w:rPr>
              <w:rFonts w:ascii="Times New Roman" w:hAnsi="Times New Roman" w:cs="Times New Roman"/>
              <w:noProof/>
            </w:rPr>
          </w:pPr>
          <w:hyperlink w:anchor="_Toc219020686" w:history="1">
            <w:r w:rsidRPr="005D7E96">
              <w:rPr>
                <w:rStyle w:val="Hyperlink"/>
                <w:rFonts w:ascii="Times New Roman" w:eastAsia="Times New Roman" w:hAnsi="Times New Roman" w:cs="Times New Roman"/>
                <w:noProof/>
              </w:rPr>
              <w:t>Conclusion</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_Toc219020686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30</w:t>
            </w:r>
            <w:r w:rsidRPr="005D7E96">
              <w:rPr>
                <w:rFonts w:ascii="Times New Roman" w:hAnsi="Times New Roman" w:cs="Times New Roman"/>
                <w:noProof/>
                <w:webHidden/>
              </w:rPr>
              <w:fldChar w:fldCharType="end"/>
            </w:r>
          </w:hyperlink>
        </w:p>
        <w:p w14:paraId="67DD1E53" w14:textId="28DD6BA6" w:rsidR="005D7E96" w:rsidRPr="005D7E96" w:rsidRDefault="005D7E96">
          <w:pPr>
            <w:pStyle w:val="TOC1"/>
            <w:tabs>
              <w:tab w:val="right" w:leader="dot" w:pos="9350"/>
            </w:tabs>
            <w:rPr>
              <w:rFonts w:ascii="Times New Roman" w:hAnsi="Times New Roman" w:cs="Times New Roman"/>
              <w:noProof/>
            </w:rPr>
          </w:pPr>
          <w:hyperlink w:anchor="_Toc219020687" w:history="1">
            <w:r w:rsidRPr="005D7E96">
              <w:rPr>
                <w:rStyle w:val="Hyperlink"/>
                <w:rFonts w:ascii="Times New Roman" w:eastAsia="Times New Roman" w:hAnsi="Times New Roman" w:cs="Times New Roman"/>
                <w:noProof/>
              </w:rPr>
              <w:t>Reference list</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_Toc219020687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31</w:t>
            </w:r>
            <w:r w:rsidRPr="005D7E96">
              <w:rPr>
                <w:rFonts w:ascii="Times New Roman" w:hAnsi="Times New Roman" w:cs="Times New Roman"/>
                <w:noProof/>
                <w:webHidden/>
              </w:rPr>
              <w:fldChar w:fldCharType="end"/>
            </w:r>
          </w:hyperlink>
        </w:p>
        <w:p w14:paraId="28E15143" w14:textId="732CBE44" w:rsidR="005D7E96" w:rsidRPr="005D7E96" w:rsidRDefault="005D7E96">
          <w:pPr>
            <w:pStyle w:val="TOC1"/>
            <w:tabs>
              <w:tab w:val="right" w:leader="dot" w:pos="9350"/>
            </w:tabs>
            <w:rPr>
              <w:rFonts w:ascii="Times New Roman" w:hAnsi="Times New Roman" w:cs="Times New Roman"/>
              <w:noProof/>
            </w:rPr>
          </w:pPr>
          <w:hyperlink w:anchor="_Toc219020688" w:history="1">
            <w:r w:rsidRPr="005D7E96">
              <w:rPr>
                <w:rStyle w:val="Hyperlink"/>
                <w:rFonts w:ascii="Times New Roman" w:eastAsia="Times New Roman" w:hAnsi="Times New Roman" w:cs="Times New Roman"/>
                <w:noProof/>
              </w:rPr>
              <w:t>Appendix 1</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_Toc219020688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36</w:t>
            </w:r>
            <w:r w:rsidRPr="005D7E96">
              <w:rPr>
                <w:rFonts w:ascii="Times New Roman" w:hAnsi="Times New Roman" w:cs="Times New Roman"/>
                <w:noProof/>
                <w:webHidden/>
              </w:rPr>
              <w:fldChar w:fldCharType="end"/>
            </w:r>
          </w:hyperlink>
        </w:p>
        <w:p w14:paraId="66F73B86" w14:textId="1CA1AE57" w:rsidR="005D7E96" w:rsidRPr="005D7E96" w:rsidRDefault="005D7E96">
          <w:pPr>
            <w:pStyle w:val="TOC1"/>
            <w:tabs>
              <w:tab w:val="right" w:leader="dot" w:pos="9350"/>
            </w:tabs>
            <w:rPr>
              <w:rFonts w:ascii="Times New Roman" w:hAnsi="Times New Roman" w:cs="Times New Roman"/>
              <w:noProof/>
            </w:rPr>
          </w:pPr>
          <w:hyperlink w:anchor="_Toc219020689" w:history="1">
            <w:r w:rsidRPr="005D7E96">
              <w:rPr>
                <w:rStyle w:val="Hyperlink"/>
                <w:rFonts w:ascii="Times New Roman" w:eastAsia="Times New Roman" w:hAnsi="Times New Roman" w:cs="Times New Roman"/>
                <w:noProof/>
              </w:rPr>
              <w:t>Appendix 2</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_Toc219020689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40</w:t>
            </w:r>
            <w:r w:rsidRPr="005D7E96">
              <w:rPr>
                <w:rFonts w:ascii="Times New Roman" w:hAnsi="Times New Roman" w:cs="Times New Roman"/>
                <w:noProof/>
                <w:webHidden/>
              </w:rPr>
              <w:fldChar w:fldCharType="end"/>
            </w:r>
          </w:hyperlink>
        </w:p>
        <w:p w14:paraId="35B368C2" w14:textId="726BC0F1" w:rsidR="005D7E96" w:rsidRPr="005D7E96" w:rsidRDefault="005D7E96">
          <w:pPr>
            <w:pStyle w:val="TOC3"/>
            <w:tabs>
              <w:tab w:val="right" w:leader="dot" w:pos="9350"/>
            </w:tabs>
            <w:rPr>
              <w:rFonts w:ascii="Times New Roman" w:hAnsi="Times New Roman" w:cs="Times New Roman"/>
              <w:noProof/>
            </w:rPr>
          </w:pPr>
          <w:hyperlink w:anchor="_Toc219020690" w:history="1">
            <w:r w:rsidRPr="005D7E96">
              <w:rPr>
                <w:rStyle w:val="Hyperlink"/>
                <w:rFonts w:ascii="Times New Roman" w:eastAsia="Times New Roman" w:hAnsi="Times New Roman" w:cs="Times New Roman"/>
                <w:b/>
                <w:bCs/>
                <w:noProof/>
                <w:kern w:val="0"/>
                <w14:ligatures w14:val="none"/>
              </w:rPr>
              <w:t>1. After-tax cash flows (all options)</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_Toc219020690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40</w:t>
            </w:r>
            <w:r w:rsidRPr="005D7E96">
              <w:rPr>
                <w:rFonts w:ascii="Times New Roman" w:hAnsi="Times New Roman" w:cs="Times New Roman"/>
                <w:noProof/>
                <w:webHidden/>
              </w:rPr>
              <w:fldChar w:fldCharType="end"/>
            </w:r>
          </w:hyperlink>
        </w:p>
        <w:p w14:paraId="3EC6B597" w14:textId="67618C93" w:rsidR="005D7E96" w:rsidRPr="005D7E96" w:rsidRDefault="005D7E96">
          <w:pPr>
            <w:pStyle w:val="TOC3"/>
            <w:tabs>
              <w:tab w:val="right" w:leader="dot" w:pos="9350"/>
            </w:tabs>
            <w:rPr>
              <w:rFonts w:ascii="Times New Roman" w:hAnsi="Times New Roman" w:cs="Times New Roman"/>
              <w:noProof/>
            </w:rPr>
          </w:pPr>
          <w:hyperlink w:anchor="_Toc219020691" w:history="1">
            <w:r w:rsidRPr="005D7E96">
              <w:rPr>
                <w:rStyle w:val="Hyperlink"/>
                <w:rFonts w:ascii="Times New Roman" w:eastAsia="Times New Roman" w:hAnsi="Times New Roman" w:cs="Times New Roman"/>
                <w:b/>
                <w:bCs/>
                <w:noProof/>
                <w:kern w:val="0"/>
                <w14:ligatures w14:val="none"/>
              </w:rPr>
              <w:t>2. Net Present Value (NPV)</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_Toc219020691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40</w:t>
            </w:r>
            <w:r w:rsidRPr="005D7E96">
              <w:rPr>
                <w:rFonts w:ascii="Times New Roman" w:hAnsi="Times New Roman" w:cs="Times New Roman"/>
                <w:noProof/>
                <w:webHidden/>
              </w:rPr>
              <w:fldChar w:fldCharType="end"/>
            </w:r>
          </w:hyperlink>
        </w:p>
        <w:p w14:paraId="683136E6" w14:textId="4C84725F" w:rsidR="005D7E96" w:rsidRPr="005D7E96" w:rsidRDefault="005D7E96">
          <w:pPr>
            <w:pStyle w:val="TOC3"/>
            <w:tabs>
              <w:tab w:val="right" w:leader="dot" w:pos="9350"/>
            </w:tabs>
            <w:rPr>
              <w:rFonts w:ascii="Times New Roman" w:hAnsi="Times New Roman" w:cs="Times New Roman"/>
              <w:noProof/>
            </w:rPr>
          </w:pPr>
          <w:hyperlink w:anchor="_Toc219020692" w:history="1">
            <w:r w:rsidRPr="005D7E96">
              <w:rPr>
                <w:rStyle w:val="Hyperlink"/>
                <w:rFonts w:ascii="Times New Roman" w:eastAsia="Times New Roman" w:hAnsi="Times New Roman" w:cs="Times New Roman"/>
                <w:b/>
                <w:bCs/>
                <w:noProof/>
                <w:kern w:val="0"/>
                <w14:ligatures w14:val="none"/>
              </w:rPr>
              <w:t>3. Internal Rate of Return (IRR)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_Toc219020692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41</w:t>
            </w:r>
            <w:r w:rsidRPr="005D7E96">
              <w:rPr>
                <w:rFonts w:ascii="Times New Roman" w:hAnsi="Times New Roman" w:cs="Times New Roman"/>
                <w:noProof/>
                <w:webHidden/>
              </w:rPr>
              <w:fldChar w:fldCharType="end"/>
            </w:r>
          </w:hyperlink>
        </w:p>
        <w:p w14:paraId="4313F59D" w14:textId="620C7D7F" w:rsidR="005D7E96" w:rsidRPr="005D7E96" w:rsidRDefault="005D7E96">
          <w:pPr>
            <w:pStyle w:val="TOC3"/>
            <w:tabs>
              <w:tab w:val="right" w:leader="dot" w:pos="9350"/>
            </w:tabs>
            <w:rPr>
              <w:rFonts w:ascii="Times New Roman" w:hAnsi="Times New Roman" w:cs="Times New Roman"/>
              <w:noProof/>
            </w:rPr>
          </w:pPr>
          <w:hyperlink w:anchor="_Toc219020693" w:history="1">
            <w:r w:rsidRPr="005D7E96">
              <w:rPr>
                <w:rStyle w:val="Hyperlink"/>
                <w:rFonts w:ascii="Times New Roman" w:eastAsia="Times New Roman" w:hAnsi="Times New Roman" w:cs="Times New Roman"/>
                <w:b/>
                <w:bCs/>
                <w:noProof/>
                <w:kern w:val="0"/>
                <w14:ligatures w14:val="none"/>
              </w:rPr>
              <w:t>4. Payback Period</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_Toc219020693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41</w:t>
            </w:r>
            <w:r w:rsidRPr="005D7E96">
              <w:rPr>
                <w:rFonts w:ascii="Times New Roman" w:hAnsi="Times New Roman" w:cs="Times New Roman"/>
                <w:noProof/>
                <w:webHidden/>
              </w:rPr>
              <w:fldChar w:fldCharType="end"/>
            </w:r>
          </w:hyperlink>
        </w:p>
        <w:p w14:paraId="6FC25CA0" w14:textId="2B7765A3" w:rsidR="005D7E96" w:rsidRPr="005D7E96" w:rsidRDefault="005D7E96">
          <w:pPr>
            <w:pStyle w:val="TOC3"/>
            <w:tabs>
              <w:tab w:val="right" w:leader="dot" w:pos="9350"/>
            </w:tabs>
            <w:rPr>
              <w:rFonts w:ascii="Times New Roman" w:hAnsi="Times New Roman" w:cs="Times New Roman"/>
              <w:noProof/>
            </w:rPr>
          </w:pPr>
          <w:hyperlink w:anchor="_Toc219020694" w:history="1">
            <w:r w:rsidRPr="005D7E96">
              <w:rPr>
                <w:rStyle w:val="Hyperlink"/>
                <w:rFonts w:ascii="Times New Roman" w:eastAsia="Times New Roman" w:hAnsi="Times New Roman" w:cs="Times New Roman"/>
                <w:b/>
                <w:bCs/>
                <w:noProof/>
                <w:kern w:val="0"/>
                <w14:ligatures w14:val="none"/>
              </w:rPr>
              <w:t>5. Accounting Rate of Return (ARR)</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_Toc219020694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41</w:t>
            </w:r>
            <w:r w:rsidRPr="005D7E96">
              <w:rPr>
                <w:rFonts w:ascii="Times New Roman" w:hAnsi="Times New Roman" w:cs="Times New Roman"/>
                <w:noProof/>
                <w:webHidden/>
              </w:rPr>
              <w:fldChar w:fldCharType="end"/>
            </w:r>
          </w:hyperlink>
        </w:p>
        <w:p w14:paraId="0E68691A" w14:textId="1DD84C46" w:rsidR="005D7E96" w:rsidRPr="005D7E96" w:rsidRDefault="005D7E96">
          <w:pPr>
            <w:pStyle w:val="TOC3"/>
            <w:tabs>
              <w:tab w:val="right" w:leader="dot" w:pos="9350"/>
            </w:tabs>
            <w:rPr>
              <w:rFonts w:ascii="Times New Roman" w:hAnsi="Times New Roman" w:cs="Times New Roman"/>
              <w:noProof/>
            </w:rPr>
          </w:pPr>
          <w:hyperlink w:anchor="_Toc219020695" w:history="1">
            <w:r w:rsidRPr="005D7E96">
              <w:rPr>
                <w:rStyle w:val="Hyperlink"/>
                <w:rFonts w:ascii="Times New Roman" w:eastAsia="Times New Roman" w:hAnsi="Times New Roman" w:cs="Times New Roman"/>
                <w:b/>
                <w:bCs/>
                <w:noProof/>
                <w:kern w:val="0"/>
                <w14:ligatures w14:val="none"/>
              </w:rPr>
              <w:t>6. Profitability Index (Capital Rationing)</w:t>
            </w:r>
            <w:r w:rsidRPr="005D7E96">
              <w:rPr>
                <w:rFonts w:ascii="Times New Roman" w:hAnsi="Times New Roman" w:cs="Times New Roman"/>
                <w:noProof/>
                <w:webHidden/>
              </w:rPr>
              <w:tab/>
            </w:r>
            <w:r w:rsidRPr="005D7E96">
              <w:rPr>
                <w:rFonts w:ascii="Times New Roman" w:hAnsi="Times New Roman" w:cs="Times New Roman"/>
                <w:noProof/>
                <w:webHidden/>
              </w:rPr>
              <w:fldChar w:fldCharType="begin"/>
            </w:r>
            <w:r w:rsidRPr="005D7E96">
              <w:rPr>
                <w:rFonts w:ascii="Times New Roman" w:hAnsi="Times New Roman" w:cs="Times New Roman"/>
                <w:noProof/>
                <w:webHidden/>
              </w:rPr>
              <w:instrText xml:space="preserve"> PAGEREF _Toc219020695 \h </w:instrText>
            </w:r>
            <w:r w:rsidRPr="005D7E96">
              <w:rPr>
                <w:rFonts w:ascii="Times New Roman" w:hAnsi="Times New Roman" w:cs="Times New Roman"/>
                <w:noProof/>
                <w:webHidden/>
              </w:rPr>
            </w:r>
            <w:r w:rsidRPr="005D7E96">
              <w:rPr>
                <w:rFonts w:ascii="Times New Roman" w:hAnsi="Times New Roman" w:cs="Times New Roman"/>
                <w:noProof/>
                <w:webHidden/>
              </w:rPr>
              <w:fldChar w:fldCharType="separate"/>
            </w:r>
            <w:r w:rsidRPr="005D7E96">
              <w:rPr>
                <w:rFonts w:ascii="Times New Roman" w:hAnsi="Times New Roman" w:cs="Times New Roman"/>
                <w:noProof/>
                <w:webHidden/>
              </w:rPr>
              <w:t>42</w:t>
            </w:r>
            <w:r w:rsidRPr="005D7E96">
              <w:rPr>
                <w:rFonts w:ascii="Times New Roman" w:hAnsi="Times New Roman" w:cs="Times New Roman"/>
                <w:noProof/>
                <w:webHidden/>
              </w:rPr>
              <w:fldChar w:fldCharType="end"/>
            </w:r>
          </w:hyperlink>
        </w:p>
        <w:p w14:paraId="2078F217" w14:textId="0DF2DEF7" w:rsidR="005D7E96" w:rsidRDefault="005D7E96">
          <w:r w:rsidRPr="005D7E96">
            <w:rPr>
              <w:rFonts w:ascii="Times New Roman" w:hAnsi="Times New Roman" w:cs="Times New Roman"/>
              <w:b/>
              <w:bCs/>
              <w:noProof/>
            </w:rPr>
            <w:fldChar w:fldCharType="end"/>
          </w:r>
        </w:p>
      </w:sdtContent>
    </w:sdt>
    <w:p w14:paraId="6260BD0A"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58599C22"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04F87062"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64F674A2"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422C8D95"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3A427AB5"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403BF3E2"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66D52BDA" w14:textId="77777777" w:rsidR="0069145B" w:rsidRDefault="0069145B"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6B93043C"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31D85F0E"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7B8B5EDB"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574B9F3D" w14:textId="77777777" w:rsidR="005D7E96" w:rsidRDefault="005D7E96" w:rsidP="00750F68">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p>
    <w:p w14:paraId="31785E0E" w14:textId="484748AE" w:rsidR="00750F68" w:rsidRPr="00750F68" w:rsidRDefault="00750F68" w:rsidP="00B75985">
      <w:pPr>
        <w:pStyle w:val="Heading1"/>
        <w:rPr>
          <w:rFonts w:eastAsia="Times New Roman"/>
        </w:rPr>
      </w:pPr>
      <w:bookmarkStart w:id="0" w:name="_Toc219020631"/>
      <w:r w:rsidRPr="00750F68">
        <w:rPr>
          <w:rFonts w:eastAsia="Times New Roman"/>
        </w:rPr>
        <w:lastRenderedPageBreak/>
        <w:t>Introduction</w:t>
      </w:r>
      <w:bookmarkEnd w:id="0"/>
    </w:p>
    <w:p w14:paraId="12777D6B"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This report can be broadly categorized into two parts, both focusing on different areas </w:t>
      </w:r>
      <w:proofErr w:type="gramStart"/>
      <w:r w:rsidRPr="00B75985">
        <w:rPr>
          <w:rFonts w:ascii="Times New Roman" w:hAnsi="Times New Roman" w:cs="Times New Roman"/>
        </w:rPr>
        <w:t>with regard to</w:t>
      </w:r>
      <w:proofErr w:type="gramEnd"/>
      <w:r w:rsidRPr="00B75985">
        <w:rPr>
          <w:rFonts w:ascii="Times New Roman" w:hAnsi="Times New Roman" w:cs="Times New Roman"/>
        </w:rPr>
        <w:t xml:space="preserve"> financial decision-making in a business setting. (Adler, 2010;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Allen, 2021)</w:t>
      </w:r>
    </w:p>
    <w:p w14:paraId="0D13351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Part 1 deals with the financial performance and position of Unilever PLC. By employing financial ratio analysis, it assesses the profitability, efficiency, liquidity, solvency, and investor performance of the company during the most recent financial years. (Alexander and Britton, 2017; Elliott and Elliott, 2017; Van </w:t>
      </w:r>
      <w:proofErr w:type="spellStart"/>
      <w:r w:rsidRPr="00B75985">
        <w:rPr>
          <w:rFonts w:ascii="Times New Roman" w:hAnsi="Times New Roman" w:cs="Times New Roman"/>
        </w:rPr>
        <w:t>Greuning</w:t>
      </w:r>
      <w:proofErr w:type="spellEnd"/>
      <w:r w:rsidRPr="00B75985">
        <w:rPr>
          <w:rFonts w:ascii="Times New Roman" w:hAnsi="Times New Roman" w:cs="Times New Roman"/>
        </w:rPr>
        <w:t>, 2006; Palmer, 2018; Bragg, 2018; Sanzo, 2005; Hartley, Firer and Ford, 2006) The intention of this analysis is to examine the extent to which Unilever has been able to efficiently utilize their resources, remain Hobbit, and create values for the investors. (Adler, 2010; Palepu and Healy, 2020; Lichtenstein and Dade, 2007; de Jongh, 2011; H. Kent Baker and Ricciardi, 2014) This part provides a critical platform through which one can comprehend the use of financial information for performance analysis.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xml:space="preserve">, 2018;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2019; Jones, 2014; Thomas, 2022; Kimmel, Weygandt and Kieso, 2016)</w:t>
      </w:r>
    </w:p>
    <w:p w14:paraId="4C9971CB" w14:textId="4E61F4A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Part 2 focuses on applying financial decision making tools to an investment appraisal case study concerning Westward Plc. (Madura, 2018; Connolly, 2007) This part of the study examines an investment opportunity available in the form of three investment alternatives, which are appraised employing a number of discounted and non-discounted investment appraisal techniques such as Net Present Value, Internal Rate of Return, Payback Period, and Accounting Rate of Return. (CFI, 2022; Spring, 2018; Kagan, 2025; Gordon, 2020; </w:t>
      </w:r>
      <w:proofErr w:type="spellStart"/>
      <w:r w:rsidRPr="00B75985">
        <w:rPr>
          <w:rFonts w:ascii="Times New Roman" w:hAnsi="Times New Roman" w:cs="Times New Roman"/>
        </w:rPr>
        <w:t>Imarticus</w:t>
      </w:r>
      <w:proofErr w:type="spellEnd"/>
      <w:r w:rsidRPr="00B75985">
        <w:rPr>
          <w:rFonts w:ascii="Times New Roman" w:hAnsi="Times New Roman" w:cs="Times New Roman"/>
        </w:rPr>
        <w:t xml:space="preserve">, 2024) In addition to these considerations, the study </w:t>
      </w:r>
      <w:proofErr w:type="gramStart"/>
      <w:r w:rsidRPr="00B75985">
        <w:rPr>
          <w:rFonts w:ascii="Times New Roman" w:hAnsi="Times New Roman" w:cs="Times New Roman"/>
        </w:rPr>
        <w:t>takes into account</w:t>
      </w:r>
      <w:proofErr w:type="gramEnd"/>
      <w:r w:rsidRPr="00B75985">
        <w:rPr>
          <w:rFonts w:ascii="Times New Roman" w:hAnsi="Times New Roman" w:cs="Times New Roman"/>
        </w:rPr>
        <w:t xml:space="preserve"> tax, capital allowance, and capital rationing, finally making a recommendation to the board of directors. (</w:t>
      </w:r>
      <w:proofErr w:type="spellStart"/>
      <w:r w:rsidRPr="00B75985">
        <w:rPr>
          <w:rFonts w:ascii="Times New Roman" w:hAnsi="Times New Roman" w:cs="Times New Roman"/>
        </w:rPr>
        <w:t>Oakshott</w:t>
      </w:r>
      <w:proofErr w:type="spellEnd"/>
      <w:r w:rsidRPr="00B75985">
        <w:rPr>
          <w:rFonts w:ascii="Times New Roman" w:hAnsi="Times New Roman" w:cs="Times New Roman"/>
        </w:rPr>
        <w:t xml:space="preserve">, 2020;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35AF48EC" w14:textId="77777777" w:rsidR="00B75985" w:rsidRPr="00B75985" w:rsidRDefault="00B75985" w:rsidP="00B75985">
      <w:pPr>
        <w:pStyle w:val="Heading1"/>
      </w:pPr>
      <w:bookmarkStart w:id="1" w:name="_Toc219020632"/>
      <w:r w:rsidRPr="00B75985">
        <w:t>Part 1</w:t>
      </w:r>
      <w:bookmarkEnd w:id="1"/>
    </w:p>
    <w:p w14:paraId="208D46D9" w14:textId="77777777" w:rsidR="00B75985" w:rsidRPr="00B75985" w:rsidRDefault="00B75985" w:rsidP="00B75985">
      <w:pPr>
        <w:pStyle w:val="Heading2"/>
      </w:pPr>
      <w:bookmarkStart w:id="2" w:name="_Toc219020633"/>
      <w:r w:rsidRPr="00B75985">
        <w:t>Profitability Analysis</w:t>
      </w:r>
      <w:bookmarkEnd w:id="2"/>
    </w:p>
    <w:p w14:paraId="66E3C6C0"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Profitability Analysis helps in identifying the efficiency with which the firm </w:t>
      </w:r>
      <w:proofErr w:type="gramStart"/>
      <w:r w:rsidRPr="00B75985">
        <w:rPr>
          <w:rFonts w:ascii="Times New Roman" w:hAnsi="Times New Roman" w:cs="Times New Roman"/>
        </w:rPr>
        <w:t>is able to</w:t>
      </w:r>
      <w:proofErr w:type="gramEnd"/>
      <w:r w:rsidRPr="00B75985">
        <w:rPr>
          <w:rFonts w:ascii="Times New Roman" w:hAnsi="Times New Roman" w:cs="Times New Roman"/>
        </w:rPr>
        <w:t xml:space="preserve"> convert its revenues into profitability, and the optimal utilization of resources invested in the business. (Palepu </w:t>
      </w:r>
      <w:r w:rsidRPr="00B75985">
        <w:rPr>
          <w:rFonts w:ascii="Times New Roman" w:hAnsi="Times New Roman" w:cs="Times New Roman"/>
        </w:rPr>
        <w:lastRenderedPageBreak/>
        <w:t>and Healy, 2020; Bragg, 2018; Palmer, 2018) Large multinational firms, for example Unilever PLC, for which the report has been prepared, can be judged in respect of their financial health from the yardstick of profitability. (Campbell, 2021; Best, 2013)</w:t>
      </w:r>
    </w:p>
    <w:p w14:paraId="4B4C9E5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Unilever competes in the global fast-moving consumer goods industry, which is driven by factors such as high intensity, low switching capital barriers, and high sensitivity to pricing pressures. (Surridge, 2022; Neneh, 2020) Volatility of raw material prices, increased energy prices, supply chain disruptions, and </w:t>
      </w:r>
      <w:proofErr w:type="spellStart"/>
      <w:r w:rsidRPr="00B75985">
        <w:rPr>
          <w:rFonts w:ascii="Times New Roman" w:hAnsi="Times New Roman" w:cs="Times New Roman"/>
        </w:rPr>
        <w:t>labour</w:t>
      </w:r>
      <w:proofErr w:type="spellEnd"/>
      <w:r w:rsidRPr="00B75985">
        <w:rPr>
          <w:rFonts w:ascii="Times New Roman" w:hAnsi="Times New Roman" w:cs="Times New Roman"/>
        </w:rPr>
        <w:t>-driven inflation have been some of the factors that have impacted the consumer goods industry in the past few years. (Chopra, 2021; Flynn, 2021; Gligor, 2020) Profitability analysis becomes the key in assessing if the company has managed to sustain margins while continuing to grow the top line.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xml:space="preserve">, 2025;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2025)</w:t>
      </w:r>
    </w:p>
    <w:p w14:paraId="0DBDDAF2" w14:textId="1B116A8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Profitability ratio analysis has an important function in communication as it enables the management to show the shareholders the results of the business endeavors, apart from the internal comparison in pricing decisions and management of costs. (Adler, 2010; Lichtenstein and Dade, 2007; de Jongh, 2011) The discussion below seeks to examine the profitability of Unilever over the two financial years ending in 2023 and 2024. (Alexander and Britton, 2017; Elliott and Elliott, 2017)</w:t>
      </w:r>
    </w:p>
    <w:p w14:paraId="478524F8" w14:textId="77777777" w:rsidR="00B75985" w:rsidRPr="00B75985" w:rsidRDefault="00B75985" w:rsidP="00B75985">
      <w:pPr>
        <w:pStyle w:val="Heading3"/>
      </w:pPr>
      <w:bookmarkStart w:id="3" w:name="_Toc219020634"/>
      <w:r w:rsidRPr="00B75985">
        <w:t>Revenue and Margin Performance</w:t>
      </w:r>
      <w:bookmarkEnd w:id="3"/>
    </w:p>
    <w:p w14:paraId="59E81AA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the financial year closing 2023, Unilever demonstrated a turnover of €59,604 million. In the following year, closing 2024, the company registered a rise in its turnover to €60,761 million. This assumes moderate growth. (Palepu and Healy, 2020;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xml:space="preserve">, 2025) Such growth may be attributed to the price strategies adopted by the business, its focus on essential products demanded by consumers, and its portfolio enhancement. (Best, 2013; Campbell, 2021; </w:t>
      </w:r>
      <w:proofErr w:type="spellStart"/>
      <w:r w:rsidRPr="00B75985">
        <w:rPr>
          <w:rFonts w:ascii="Times New Roman" w:hAnsi="Times New Roman" w:cs="Times New Roman"/>
        </w:rPr>
        <w:t>Aydiner</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Tatoglu</w:t>
      </w:r>
      <w:proofErr w:type="spellEnd"/>
      <w:r w:rsidRPr="00B75985">
        <w:rPr>
          <w:rFonts w:ascii="Times New Roman" w:hAnsi="Times New Roman" w:cs="Times New Roman"/>
        </w:rPr>
        <w:t>, Bayraktar, Zaim and Delen, 2019)</w:t>
      </w:r>
    </w:p>
    <w:p w14:paraId="385278D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2023, Unilever reported a gross profit of €25,175 million, leading to a gross profit margin of 42.2 percent. In 2024, the company registered a gross profit of €27,370 million, showing a high gross profit margin of 45.0 percent.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2025; Bragg, 2018) Based on the enhanced gross profit margin, it is apparent that Unilever makes a higher amount of profit from revenue after incurring production and sourcing expenses.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2025; Chopra, 2021)</w:t>
      </w:r>
    </w:p>
    <w:p w14:paraId="4F20B291" w14:textId="3CA5CD5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This improvement in gross profitability margin would, therefore, indicate better cost management and pricing strategies. (Best, 2013; Adler, 2010) It would also show that Unilever has managed to transfer some costs to consumers despite rising operational costs.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Campbell, 2021) Such an improvement, therefore, would show that there is efficiency in the procurement and production activities of the company. (Chopra, 2021; Flynn, 2021)</w:t>
      </w:r>
    </w:p>
    <w:p w14:paraId="346F4B1B" w14:textId="77777777" w:rsidR="00B75985" w:rsidRPr="00B75985" w:rsidRDefault="00B75985" w:rsidP="00B75985">
      <w:pPr>
        <w:pStyle w:val="Heading3"/>
      </w:pPr>
      <w:bookmarkStart w:id="4" w:name="_Toc219020635"/>
      <w:r w:rsidRPr="00B75985">
        <w:t>Operating Profitability</w:t>
      </w:r>
      <w:bookmarkEnd w:id="4"/>
    </w:p>
    <w:p w14:paraId="2CA109E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Operating profit margin depicts the efficiency of a firm in managing operating expenses prior to financing and taxation. (Hayes, 2025; Bragg, 2018) It is an indication of the management capability to control overheads like administration, marketing, and restructuring costs while supporting revenue growth. (Adler, 2010; Campbell, 2021)</w:t>
      </w:r>
    </w:p>
    <w:p w14:paraId="3905942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Accordingly, in 2023, Unilever recorded operating profit of €9,758 million, translating to a reported operating margin of 16.4%. In 2024, the operating profit decreased to €9,400 million, yielding a reported operating margin of 15.5%, though the revenue increased. (Hayes, 2025; Palepu and Healy, 2020)</w:t>
      </w:r>
    </w:p>
    <w:p w14:paraId="2611363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follows that the decrease in reported operating margin shows operating expenses have increased more quickly than sales in 2024. (Palepu and Healy,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xml:space="preserve">, 2018) This decrease was primarily because of restructuring and transformation-related costs related to </w:t>
      </w:r>
      <w:proofErr w:type="spellStart"/>
      <w:r w:rsidRPr="00B75985">
        <w:rPr>
          <w:rFonts w:ascii="Times New Roman" w:hAnsi="Times New Roman" w:cs="Times New Roman"/>
        </w:rPr>
        <w:t>organisational</w:t>
      </w:r>
      <w:proofErr w:type="spellEnd"/>
      <w:r w:rsidRPr="00B75985">
        <w:rPr>
          <w:rFonts w:ascii="Times New Roman" w:hAnsi="Times New Roman" w:cs="Times New Roman"/>
        </w:rPr>
        <w:t xml:space="preserve"> simplification and portfolio changes. (Campbell,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These costs reduced reported profitability despite the improvement in gross margins in the period.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2025; Palepu and Healy, 2020)</w:t>
      </w:r>
    </w:p>
    <w:p w14:paraId="1F15AD7E" w14:textId="0383F6AB"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is important that reported and underlying performance be distinguished. (Palepu and Healy, 2020; Elliott and Elliott, 2017) With the exclusion of non-underlying items, Unilever said the underlying operating margin increased to 18.4% in 2024 from 16.7% in 2023, thereby suggesting core operations became more efficient, and the decline in reported operating margin was because of one-off strategic costs rather than deterioration in operational efficiency. (Adler, 2010; Hayes, 2025;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1DAD7D3D" w14:textId="77777777" w:rsidR="00B75985" w:rsidRPr="00B75985" w:rsidRDefault="00B75985" w:rsidP="00B75985">
      <w:pPr>
        <w:pStyle w:val="Heading3"/>
      </w:pPr>
      <w:bookmarkStart w:id="5" w:name="_Toc219020636"/>
      <w:r w:rsidRPr="00B75985">
        <w:lastRenderedPageBreak/>
        <w:t>Net Profitability</w:t>
      </w:r>
      <w:bookmarkEnd w:id="5"/>
    </w:p>
    <w:p w14:paraId="23AA450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net profit margin represents profitability after all expenses, including finance costs and taxation; it is the final return available to shareholders.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xml:space="preserve">, 2025;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xml:space="preserve">, 2019) As such, the overall financial outcome of operating and financing decisions is captured by this measure. (Allen, 2021;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5B110B67" w14:textId="2DD07231"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2023, Unilever made a net profit of €7,140 million, translating to a net profit margin of 12.0%. In 2024, the net profit had decreased to €6,369 million, yielding a lower net profit margin of 10.5%.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2025; Palepu and Healy, 2020) The decreased net profitability reflects the combined effect of restructuring costs, higher finance expenses, and other non-recurring items incurred during the year. (Allen, 2021; Kotey, 2019) Although there was improvement in the operating performance level, these additional costs reduced the amount of profit ultimately attributable to shareholders. (Lichtenstein and Dade, 2007; de Jongh, 2011)</w:t>
      </w:r>
    </w:p>
    <w:p w14:paraId="37EF52BF" w14:textId="77777777" w:rsidR="00B75985" w:rsidRPr="00B75985" w:rsidRDefault="00B75985" w:rsidP="00B75985">
      <w:pPr>
        <w:pStyle w:val="Heading3"/>
      </w:pPr>
      <w:bookmarkStart w:id="6" w:name="_Toc219020637"/>
      <w:r w:rsidRPr="00B75985">
        <w:t>Profitability Analysis Summary</w:t>
      </w:r>
      <w:bookmarkEnd w:id="6"/>
    </w:p>
    <w:p w14:paraId="6ACCEB62" w14:textId="3122106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general, Unilever reported a quite moderate growth in its revenue and a remarkable improvement in its gross profit performance during 2023 and 2024. (</w:t>
      </w:r>
      <w:proofErr w:type="spellStart"/>
      <w:r w:rsidRPr="00B75985">
        <w:rPr>
          <w:rFonts w:ascii="Times New Roman" w:hAnsi="Times New Roman" w:cs="Times New Roman"/>
        </w:rPr>
        <w:t>Bloomenthal</w:t>
      </w:r>
      <w:proofErr w:type="spellEnd"/>
      <w:r w:rsidRPr="00B75985">
        <w:rPr>
          <w:rFonts w:ascii="Times New Roman" w:hAnsi="Times New Roman" w:cs="Times New Roman"/>
        </w:rPr>
        <w:t>, 2025; Palepu and Healy, 2020) Nevertheless, costs associated with restructuring and transformation impacted negatively on its reported operating and net profit margins during this short term.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Campbell, 2021) However, such gaps in reported and actual results indicate that the company’s profitability challenges have been influenced by its strategic investments in growth rather than its basic businesses’ performances. (Campbell, 2021; Best, 2013)</w:t>
      </w:r>
    </w:p>
    <w:p w14:paraId="526F115A" w14:textId="77777777" w:rsidR="00B75985" w:rsidRPr="00B75985" w:rsidRDefault="00B75985" w:rsidP="00B75985">
      <w:pPr>
        <w:pStyle w:val="Heading2"/>
      </w:pPr>
      <w:bookmarkStart w:id="7" w:name="_Toc219020638"/>
      <w:r w:rsidRPr="00B75985">
        <w:t>Return Measures: ROCE and ROE</w:t>
      </w:r>
      <w:bookmarkEnd w:id="7"/>
    </w:p>
    <w:p w14:paraId="440432C5" w14:textId="67BF35CF"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Although profits gauge how well the company performs in terms of revenue, returns gauge how well the company performs in terms of using the funds deployed in the operations of the company. (Palepu and Healy, 2020; Bragg, 2018) The key ratios that gauge how well the company performs in terms of using the funds during the operations of the company include the Return on Capital Employed (ROCE) ratio and the Return on Equity (ROE) ratio. (Maverick, 2022; Fernando, 2025) </w:t>
      </w:r>
      <w:r w:rsidRPr="00B75985">
        <w:rPr>
          <w:rFonts w:ascii="Times New Roman" w:hAnsi="Times New Roman" w:cs="Times New Roman"/>
        </w:rPr>
        <w:lastRenderedPageBreak/>
        <w:t>These ratios are essential in capital-intensive multinational corporations like Unilever.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Allen, 2021)</w:t>
      </w:r>
    </w:p>
    <w:p w14:paraId="701C8668" w14:textId="77777777" w:rsidR="00B75985" w:rsidRPr="00B75985" w:rsidRDefault="00B75985" w:rsidP="00B75985">
      <w:pPr>
        <w:pStyle w:val="Heading3"/>
      </w:pPr>
      <w:bookmarkStart w:id="8" w:name="_Toc219020639"/>
      <w:r w:rsidRPr="00B75985">
        <w:t>Return on Capital Employed (ROCE)</w:t>
      </w:r>
      <w:bookmarkEnd w:id="8"/>
    </w:p>
    <w:p w14:paraId="115D31A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Return on Capital Employed calculates the contribution of operational profit attributable to the </w:t>
      </w:r>
      <w:proofErr w:type="gramStart"/>
      <w:r w:rsidRPr="00B75985">
        <w:rPr>
          <w:rFonts w:ascii="Times New Roman" w:hAnsi="Times New Roman" w:cs="Times New Roman"/>
        </w:rPr>
        <w:t>long term</w:t>
      </w:r>
      <w:proofErr w:type="gramEnd"/>
      <w:r w:rsidRPr="00B75985">
        <w:rPr>
          <w:rFonts w:ascii="Times New Roman" w:hAnsi="Times New Roman" w:cs="Times New Roman"/>
        </w:rPr>
        <w:t xml:space="preserve"> capital used in business, taking into account both capital and long term borrowings. (Maverick, 2022; Bragg, 2018) It has been universally accepted as one of the key tools capable of measuring overall business performance because it relates operational profits with respective capital requirements. (Palmer, 2018; Palepu and Healy, 2020)</w:t>
      </w:r>
    </w:p>
    <w:p w14:paraId="3F45AC0E"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2023, Unilever had a ROCE of 16.3%. This suggests that for every euro invested in the business as part of the long-term capital base, the company was generating an approximate 16.3 cents per euro in operating profits. This is quite efficient and is aided by stable operating profits. (Maverick, 2022; Hayes, 2025)</w:t>
      </w:r>
    </w:p>
    <w:p w14:paraId="6EE66242"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2024, the reported ROCE was lower at 14.5%. This indicates a fall in the operating return on the capital employed. This has been affected by two key considerations: an increase in capital employed and a fall in reported operating profit due to restructuring expenses. (Allen,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175481A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Although there was a weakening in the reported level of ROCE, this does not necessarily mean that there was a deterioration in operational performance. (Palepu and Healy, 2020; Elliott and Elliott, 2017) When the effect of the non-underlying items was stripped away, it was noticeable that Unilever saw an improvement in its underlying level of ROCE of about 18.1% in 2024 compared to an underlying level of 16.2% in 2023. This implies that on the operational front, the business improved in terms of efficiency in using capital over the long term, and the decline in the reported level of ROCE was primarily because of the impact of strategic costs over the short term. (Adler, 2010; Campbell, 2021)</w:t>
      </w:r>
    </w:p>
    <w:p w14:paraId="634F7BD5" w14:textId="064CA302"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conclusion, the data shown in the ROCE reveals an improvement in the capital efficiencies of Unilever despite the challenge posed by restructuring. (Campbell,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7B4E75B7" w14:textId="77777777" w:rsidR="00B75985" w:rsidRPr="00B75985" w:rsidRDefault="00B75985" w:rsidP="00B75985">
      <w:pPr>
        <w:pStyle w:val="Heading3"/>
      </w:pPr>
      <w:bookmarkStart w:id="9" w:name="_Toc219020640"/>
      <w:r w:rsidRPr="00B75985">
        <w:lastRenderedPageBreak/>
        <w:t>Return on Equity (ROE)</w:t>
      </w:r>
      <w:bookmarkEnd w:id="9"/>
    </w:p>
    <w:p w14:paraId="0C06D76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ROE helps determine the returns that shareholders have generated on their invested equity, and it is one of the most closely tracked financial indicators for shareholders. (Fernando, 2025; H. Kent Baker and Ricciardi, 2014) ROE indicates the efficiency with which the management has generated profits for the shareholders. (Lichtenstein and Dade, 2007; de Jongh, 2011)</w:t>
      </w:r>
    </w:p>
    <w:p w14:paraId="7D836AC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An ROE of approximately 38.4% was reported for Unilever in 2023, which is an indicator that it is highly sensitive to equity and fetches a high return on equity for the firm, thus making it efficient in creating value for its equity holders with its profitability streams. (Fernando, 2025; Allen, 2021)</w:t>
      </w:r>
    </w:p>
    <w:p w14:paraId="35A5447E"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the year 2024, the ROE decreased to about 32.7%. The fall in ROE is attributed to the fall in the net profit, despite the Correspondent increase in the equity. Exceptional items affected the profitability for the period. The items acted to diminish the profitability of the company. (Fernando, 2025;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2025; M Djoko Hanantijo, 2023)</w:t>
      </w:r>
    </w:p>
    <w:p w14:paraId="07024721" w14:textId="1AD6EAE9"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Despite the fall, ROE was nonetheless high. This suggests that Unilever was continuing to make high returns for its equity investors. The fall in ROE was mainly due to short-term circumstances and not due to an inability for Unilever to continue adding significant value. The high levels of ROE suggest that Unilever's business model is still strong enough to create significant value. (H. Kent Baker and Ricciardi, 2014; Best, 2013)</w:t>
      </w:r>
    </w:p>
    <w:p w14:paraId="7D6F6752" w14:textId="77777777" w:rsidR="00B75985" w:rsidRPr="00B75985" w:rsidRDefault="00B75985" w:rsidP="00B75985">
      <w:pPr>
        <w:pStyle w:val="Heading3"/>
      </w:pPr>
      <w:bookmarkStart w:id="10" w:name="_Toc219020641"/>
      <w:r w:rsidRPr="00B75985">
        <w:t>Return Measures Summary</w:t>
      </w:r>
      <w:bookmarkEnd w:id="10"/>
    </w:p>
    <w:p w14:paraId="46963EA5" w14:textId="54AE194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Overall, both reported ROCE and ROE fell between 2023 and 2024, reflecting increased capital employed and the impact of restructuring-related costs on profitability.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M Djoko Hanantijo, 2023) However, underlying performance indicators show not only a better use of resources but also gains in capital efficiency. (Adler, 2010; Campbell, 2021) This would indicate that such a decline in reported returns was transient and identified with strategic transformation rather than a decline in the core operations of Unilever. (Campbell, 2021; Palepu and Healy, 2020)</w:t>
      </w:r>
    </w:p>
    <w:p w14:paraId="0CEE2D31" w14:textId="77777777" w:rsidR="00B75985" w:rsidRPr="00B75985" w:rsidRDefault="00B75985" w:rsidP="00B75985">
      <w:pPr>
        <w:pStyle w:val="Heading2"/>
      </w:pPr>
      <w:bookmarkStart w:id="11" w:name="_Toc219020642"/>
      <w:r w:rsidRPr="00B75985">
        <w:lastRenderedPageBreak/>
        <w:t>Liquidity Analysis</w:t>
      </w:r>
      <w:bookmarkEnd w:id="11"/>
    </w:p>
    <w:p w14:paraId="28485DD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Liquidity analysis examines the capacity of the entity to cover its short-term financial obligations as they become due. (CFI,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 This appraisal is concerned with focusing on the correlation between current assets and current liabilities. (Bragg, 2018; Palmer, 2018) The management of liquidity for large conglomerates, like Unilever PLC, is very closely associated with working capital management and supply chain optimization rather than maintaining large amounts of cash. (Chopra, 2021; Gligor, 2020)</w:t>
      </w:r>
    </w:p>
    <w:p w14:paraId="11052107" w14:textId="15C362A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Unlike smaller companies, Unilever has predictable revenue streams and steady sales through its international markets. Consequently, the interpretation of liquidity ratios for Unilever has been necessitated by its business model, cash conversion cycle, as well as its ability to access funds for the short term.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Low liquidity ratios may have little implications regarding financial problems, as Unilever may be pursuing optimal efficiency. (Allen,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0CD0B7A1" w14:textId="77777777" w:rsidR="00B75985" w:rsidRPr="00B75985" w:rsidRDefault="00B75985" w:rsidP="00B75985">
      <w:pPr>
        <w:pStyle w:val="Heading3"/>
      </w:pPr>
      <w:bookmarkStart w:id="12" w:name="_Toc219020643"/>
      <w:r w:rsidRPr="00B75985">
        <w:t>Current Ratio</w:t>
      </w:r>
      <w:bookmarkEnd w:id="12"/>
    </w:p>
    <w:p w14:paraId="3E2143C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current ratio measures the relationship between current assets and current liabilities. The current ratio helps determine if a company can pay its current liabilities using current assets. (CFI, 2020; Bragg, 2018)</w:t>
      </w:r>
    </w:p>
    <w:p w14:paraId="1D32DEA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For the year 2023, the current ratio of Unilever stands at 0.97, which indicates that the current liabilities were slightly more than the current assets. For the year 2024, the current ratio </w:t>
      </w:r>
      <w:proofErr w:type="spellStart"/>
      <w:r w:rsidRPr="00B75985">
        <w:rPr>
          <w:rFonts w:ascii="Times New Roman" w:hAnsi="Times New Roman" w:cs="Times New Roman"/>
        </w:rPr>
        <w:t>ratio</w:t>
      </w:r>
      <w:proofErr w:type="spellEnd"/>
      <w:r w:rsidRPr="00B75985">
        <w:rPr>
          <w:rFonts w:ascii="Times New Roman" w:hAnsi="Times New Roman" w:cs="Times New Roman"/>
        </w:rPr>
        <w:t xml:space="preserve"> is slightly lower at 0.96. (CFI,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w:t>
      </w:r>
    </w:p>
    <w:p w14:paraId="4395461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stability of the current ratio throughout the two years can be taken as an indication that Unilever has maintained the same level of working capital structure. (Adler, 2010; Palepu and Healy, 2020) A ratio below one indicates that the business depends on the flows of funds to meet the payments as and when they fall due. (CFI, 2020; Almeida and Campello, 2005) In the case of a firm which has efficient operating cash flows and stable demand, it indicates effective management of the working capital rather than the problem of liquidity. (Chopra, 2021; Gligor, 2020)</w:t>
      </w:r>
    </w:p>
    <w:p w14:paraId="670DCD5E" w14:textId="51739E4E"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However, having a current ratio below one means that the company has a limited buffer to withstand unexpected short-term shocks. This means that the liquidity position of Unilever is vulnerable to the continued smooth operation of the organization’s business activities and cash flow generation processes. (Allen, 2021; Flynn, 2021)</w:t>
      </w:r>
    </w:p>
    <w:p w14:paraId="178C829E" w14:textId="77777777" w:rsidR="00B75985" w:rsidRPr="00B75985" w:rsidRDefault="00B75985" w:rsidP="00B75985">
      <w:pPr>
        <w:pStyle w:val="Heading3"/>
      </w:pPr>
      <w:bookmarkStart w:id="13" w:name="_Toc219020644"/>
      <w:r w:rsidRPr="00B75985">
        <w:t>Quick Ratio</w:t>
      </w:r>
      <w:bookmarkEnd w:id="13"/>
    </w:p>
    <w:p w14:paraId="047B975B"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quick ratio is a more conservative liquidity ratio as it does not include inventories in current assets. The quick ratio measures the company’s ability to pay off its current liabilities without having to sell its inventory. (CFI, 2020; Bragg, 2018)</w:t>
      </w:r>
    </w:p>
    <w:p w14:paraId="146A3B2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2023, Unilever's quick ratio was roughly 0.69. This decreased marginally to around 0.68 in 2024, which reflects an increase in its current liquidity position. (CFI,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w:t>
      </w:r>
    </w:p>
    <w:p w14:paraId="09338873" w14:textId="394B93CF"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low quick ratio indicates that Unilever is very dependent on its inventory turnover and its steady cash flow </w:t>
      </w: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finance its short-term liabilities. (Wright and </w:t>
      </w:r>
      <w:proofErr w:type="spellStart"/>
      <w:r w:rsidRPr="00B75985">
        <w:rPr>
          <w:rFonts w:ascii="Times New Roman" w:hAnsi="Times New Roman" w:cs="Times New Roman"/>
        </w:rPr>
        <w:t>Slaybaugh</w:t>
      </w:r>
      <w:proofErr w:type="spellEnd"/>
      <w:r w:rsidRPr="00B75985">
        <w:rPr>
          <w:rFonts w:ascii="Times New Roman" w:hAnsi="Times New Roman" w:cs="Times New Roman"/>
        </w:rPr>
        <w:t xml:space="preserve">, 2020; </w:t>
      </w:r>
      <w:proofErr w:type="spellStart"/>
      <w:r w:rsidRPr="00B75985">
        <w:rPr>
          <w:rFonts w:ascii="Times New Roman" w:hAnsi="Times New Roman" w:cs="Times New Roman"/>
        </w:rPr>
        <w:t>Relph</w:t>
      </w:r>
      <w:proofErr w:type="spellEnd"/>
      <w:r w:rsidRPr="00B75985">
        <w:rPr>
          <w:rFonts w:ascii="Times New Roman" w:hAnsi="Times New Roman" w:cs="Times New Roman"/>
        </w:rPr>
        <w:t xml:space="preserve">, 2015; </w:t>
      </w:r>
      <w:proofErr w:type="spellStart"/>
      <w:r w:rsidRPr="00B75985">
        <w:rPr>
          <w:rFonts w:ascii="Times New Roman" w:hAnsi="Times New Roman" w:cs="Times New Roman"/>
        </w:rPr>
        <w:t>Orobia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Nakibuuka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Bananuka</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Akisimire</w:t>
      </w:r>
      <w:proofErr w:type="spellEnd"/>
      <w:r w:rsidRPr="00B75985">
        <w:rPr>
          <w:rFonts w:ascii="Times New Roman" w:hAnsi="Times New Roman" w:cs="Times New Roman"/>
        </w:rPr>
        <w:t xml:space="preserve">, 2020) Even though this </w:t>
      </w:r>
      <w:proofErr w:type="gramStart"/>
      <w:r w:rsidRPr="00B75985">
        <w:rPr>
          <w:rFonts w:ascii="Times New Roman" w:hAnsi="Times New Roman" w:cs="Times New Roman"/>
        </w:rPr>
        <w:t>enhances</w:t>
      </w:r>
      <w:proofErr w:type="gramEnd"/>
      <w:r w:rsidRPr="00B75985">
        <w:rPr>
          <w:rFonts w:ascii="Times New Roman" w:hAnsi="Times New Roman" w:cs="Times New Roman"/>
        </w:rPr>
        <w:t xml:space="preserve"> its capital efficiency and eliminates its need to hold cash, it increases its vulnerability to sales and supply chain disruptions. (Gligor, 2020; Flynn, 2021) A problem in inventory flow and accounts receivable payments may pose a challenge to its short-term liquidity.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1906553C" w14:textId="77777777" w:rsidR="00B75985" w:rsidRPr="00B75985" w:rsidRDefault="00B75985" w:rsidP="00B75985">
      <w:pPr>
        <w:pStyle w:val="Heading3"/>
      </w:pPr>
      <w:bookmarkStart w:id="14" w:name="_Toc219020645"/>
      <w:r w:rsidRPr="00B75985">
        <w:t>Working Capital Liquidity Implications</w:t>
      </w:r>
      <w:bookmarkEnd w:id="14"/>
    </w:p>
    <w:p w14:paraId="23008DC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Unilever’s liquidity ratios indicate its deliberate working capital management approach and lack of financial distress. (Adler, 2010; CFI, 2020) Unilever maintains its operation with tight liquidity, which results from its strong cash flow, optimal inventory management, and favorable trade receivables. (Chopra, 2021; Wright and Slaybaugh, 2020; Chen, Chung, Hsu and Wu, 2010)</w:t>
      </w:r>
    </w:p>
    <w:p w14:paraId="674BE0DC"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Additionally, Unilever maintains tight liquidity to enable it to optimally manage its working capital and increase its efficiency in generating cash flow. With tight liquidity, Unilever has minimized its unused working capital and maximized its profitability. (Palepu and Healy, 2020; Bragg, 2018)</w:t>
      </w:r>
    </w:p>
    <w:p w14:paraId="0945FACE" w14:textId="37A609E0"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On the other hand, this approach also implies reliance on stability in operations is strengthened. But sustained success in the management of inventory, receivables, and payables remains critical in liquidity management. Loss of momentum in cash flows or supply chain could impair Unilever’s capacity to pay its current liabilities without borrowing. (Flynn, 2021; Gligor, 2020; Allen, 2021)</w:t>
      </w:r>
    </w:p>
    <w:p w14:paraId="5CB369B5" w14:textId="77777777" w:rsidR="00B75985" w:rsidRPr="00B75985" w:rsidRDefault="00B75985" w:rsidP="00B75985">
      <w:pPr>
        <w:pStyle w:val="Heading3"/>
      </w:pPr>
      <w:bookmarkStart w:id="15" w:name="_Toc219020646"/>
      <w:r w:rsidRPr="00B75985">
        <w:t>Liquidity Analysis Summary</w:t>
      </w:r>
      <w:bookmarkEnd w:id="15"/>
    </w:p>
    <w:p w14:paraId="7B3B27D0" w14:textId="63BE24A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Overall, Unilever's liquidity situation is noted to have remained relatively stable but tight during the period from 2023 to 2024. (CFI,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 Unilever is seen to have the capability to meet its current financial obligations under normal operating circumstances, while the low liquidity ratios depict dependence on efficient working capital management practices and efficient cash flow management. (Adler, 2010; Palepu and Healy, 2020)</w:t>
      </w:r>
    </w:p>
    <w:p w14:paraId="27733FC3" w14:textId="77777777" w:rsidR="00B75985" w:rsidRPr="00B75985" w:rsidRDefault="00B75985" w:rsidP="00B75985">
      <w:pPr>
        <w:pStyle w:val="Heading2"/>
      </w:pPr>
      <w:bookmarkStart w:id="16" w:name="_Toc219020647"/>
      <w:r w:rsidRPr="00B75985">
        <w:t>Solvency and Capital Structure</w:t>
      </w:r>
      <w:bookmarkEnd w:id="16"/>
    </w:p>
    <w:p w14:paraId="0B61F69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Solvency analysis gauges a company's ability to satisfy its long-term financial liabilities and determines the level of financial risk arising from its financing structure. (Allen, 2021; Kotey, 2019; M Djoko Hanantijo, 2023) In the case of Unilever PLC, a multinational group, solvency is particularly relevant given that strategic uses of long-term debt are usually made to finance investment, restructuring, and shareholder distributions. (</w:t>
      </w:r>
      <w:proofErr w:type="spellStart"/>
      <w:r w:rsidRPr="00B75985">
        <w:rPr>
          <w:rFonts w:ascii="Times New Roman" w:hAnsi="Times New Roman" w:cs="Times New Roman"/>
        </w:rPr>
        <w:t>Gianfrate</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Loewenthal</w:t>
      </w:r>
      <w:proofErr w:type="spellEnd"/>
      <w:r w:rsidRPr="00B75985">
        <w:rPr>
          <w:rFonts w:ascii="Times New Roman" w:hAnsi="Times New Roman" w:cs="Times New Roman"/>
        </w:rPr>
        <w:t xml:space="preserve">, 2015;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A sound capital structure ensures the ability of the company to balance risk and return while maintaining financial flexibility. (Campbell,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763EDF2D" w14:textId="198A0B3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Unlike liquidity ratios, which focus on short-term obligations, solvency ratios provide insight into the long-term sustainability of the business. They help assess whether a company can continue to service its debt commitments while investing in future growth and maintaining shareholder confidence. (Allen, 2021; Chen, Chung, Hsu and Wu, 2010)</w:t>
      </w:r>
    </w:p>
    <w:p w14:paraId="6504BA6E" w14:textId="77777777" w:rsidR="00B75985" w:rsidRPr="00B75985" w:rsidRDefault="00B75985" w:rsidP="00B75985">
      <w:pPr>
        <w:pStyle w:val="Heading3"/>
      </w:pPr>
      <w:bookmarkStart w:id="17" w:name="_Toc219020648"/>
      <w:r w:rsidRPr="00B75985">
        <w:t>Gearing Ratio</w:t>
      </w:r>
      <w:bookmarkEnd w:id="17"/>
    </w:p>
    <w:p w14:paraId="0170FC2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Gearing Ratio indicates the proportion to which long term capitals are financed by long term borrowings and not by equities. A gearing ratio gives an approximate measure of risk and leverage of a company on debt. (Kenton, 2024; Bragg, 2018)</w:t>
      </w:r>
    </w:p>
    <w:p w14:paraId="668751F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Unilever's gearing ratio in the year 2023 was approximately 55.8%, which revealed that over 50% of the long-term funding had been raised from long-term borrowings. However, in 2024, the gearing ratio was slightly higher at 56.4%, indicating an increase in the use of debt funding. (Kenton, 2024; Kotey, 2019)</w:t>
      </w:r>
    </w:p>
    <w:p w14:paraId="7060681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rise in gearing indicates that Unilever has used a slightly more leveraged capital structure in 2024. This can be attributed to the funding used for restructuring programs and the preservation of dividend distributions to its shareholders. (Kotey, 2019; Almeida and Campello, 2005) Although higher gearing results in increased risks for the company, it can act as an incentive for shareholders with efficient operational results and manageable borrowing costs. (Allen, 2021; Lichtenstein and Dade, 2007)</w:t>
      </w:r>
    </w:p>
    <w:p w14:paraId="5F81A8B7" w14:textId="19A7F731"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Nevertheless, the rise in gearing makes the company’s financial flexibility decrease and more vulnerable to interest rate changes. Therefore, it becomes highly important for the company to maintain strong and stable operating profits </w:t>
      </w: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support its highly geared capital structure. (Allen,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0C32597D" w14:textId="77777777" w:rsidR="00B75985" w:rsidRPr="00B75985" w:rsidRDefault="00B75985" w:rsidP="00B75985">
      <w:pPr>
        <w:pStyle w:val="Heading3"/>
      </w:pPr>
      <w:bookmarkStart w:id="18" w:name="_Toc219020649"/>
      <w:r w:rsidRPr="00B75985">
        <w:t>Relationship Between Gearing and Shareholder Returns</w:t>
      </w:r>
      <w:bookmarkEnd w:id="18"/>
    </w:p>
    <w:p w14:paraId="029FBE32"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From a theoretical perspective, higher gearing would potentially increase financial leverage-driven returns for the company’s shareholders, on the proviso that the cost of the capital employed is exceeded by the rate of return obtained. (Allen, 2021;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By the same token, the rise in the company’s gearing ratio in 2024 was accompanied by a fall in the return on equity. (Fernando, 2025; M Djoko Hanantijo, 2023)</w:t>
      </w:r>
    </w:p>
    <w:p w14:paraId="3159816B" w14:textId="01A3F43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This means that while costs associated with leverage were outweighed by lower profitability due to restructuring and transformation expenses, the impacts of leverage were not experienced in terms of return on investment. (</w:t>
      </w:r>
      <w:proofErr w:type="spellStart"/>
      <w:r w:rsidRPr="00B75985">
        <w:rPr>
          <w:rFonts w:ascii="Times New Roman" w:hAnsi="Times New Roman" w:cs="Times New Roman"/>
        </w:rPr>
        <w:t>Kotey</w:t>
      </w:r>
      <w:proofErr w:type="spellEnd"/>
      <w:r w:rsidRPr="00B75985">
        <w:rPr>
          <w:rFonts w:ascii="Times New Roman" w:hAnsi="Times New Roman" w:cs="Times New Roman"/>
        </w:rPr>
        <w:t xml:space="preserve">, 2019; </w:t>
      </w:r>
      <w:proofErr w:type="spellStart"/>
      <w:r w:rsidRPr="00B75985">
        <w:rPr>
          <w:rFonts w:ascii="Times New Roman" w:hAnsi="Times New Roman" w:cs="Times New Roman"/>
        </w:rPr>
        <w:t>Chorafas</w:t>
      </w:r>
      <w:proofErr w:type="spellEnd"/>
      <w:r w:rsidRPr="00B75985">
        <w:rPr>
          <w:rFonts w:ascii="Times New Roman" w:hAnsi="Times New Roman" w:cs="Times New Roman"/>
        </w:rPr>
        <w:t xml:space="preserve">, 2015) The longer term should now see such costs bring about profitability </w:t>
      </w:r>
      <w:proofErr w:type="gramStart"/>
      <w:r w:rsidRPr="00B75985">
        <w:rPr>
          <w:rFonts w:ascii="Times New Roman" w:hAnsi="Times New Roman" w:cs="Times New Roman"/>
        </w:rPr>
        <w:t>as a result of</w:t>
      </w:r>
      <w:proofErr w:type="gramEnd"/>
      <w:r w:rsidRPr="00B75985">
        <w:rPr>
          <w:rFonts w:ascii="Times New Roman" w:hAnsi="Times New Roman" w:cs="Times New Roman"/>
        </w:rPr>
        <w:t xml:space="preserve"> restructuring programs put in place. (Campbell, 2021; Adler, 2010)</w:t>
      </w:r>
    </w:p>
    <w:p w14:paraId="51C6AEA0" w14:textId="77777777" w:rsidR="00B75985" w:rsidRPr="00B75985" w:rsidRDefault="00B75985" w:rsidP="00B75985">
      <w:pPr>
        <w:pStyle w:val="Heading3"/>
      </w:pPr>
      <w:bookmarkStart w:id="19" w:name="_Toc219020650"/>
      <w:r w:rsidRPr="00B75985">
        <w:lastRenderedPageBreak/>
        <w:t>Interest Cover</w:t>
      </w:r>
      <w:bookmarkEnd w:id="19"/>
    </w:p>
    <w:p w14:paraId="4E26184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interest cover is an important indicator of a company’s ability to service its borrowings from its operating profits. (Allen, 2021; Bragg, 2018)</w:t>
      </w:r>
    </w:p>
    <w:p w14:paraId="267E21B4"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interest cover for Unilever in 2023 stood at 10.6, which revealed that its operating profit was well </w:t>
      </w:r>
      <w:proofErr w:type="gramStart"/>
      <w:r w:rsidRPr="00B75985">
        <w:rPr>
          <w:rFonts w:ascii="Times New Roman" w:hAnsi="Times New Roman" w:cs="Times New Roman"/>
        </w:rPr>
        <w:t>in excess of</w:t>
      </w:r>
      <w:proofErr w:type="gramEnd"/>
      <w:r w:rsidRPr="00B75985">
        <w:rPr>
          <w:rFonts w:ascii="Times New Roman" w:hAnsi="Times New Roman" w:cs="Times New Roman"/>
        </w:rPr>
        <w:t xml:space="preserve"> its interest payment requirement. The interest cover for Unilever in 2024 reduced to 9.0. (Allen, 2021; Kotey, 2019)</w:t>
      </w:r>
    </w:p>
    <w:p w14:paraId="55393C27" w14:textId="7D37B67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Although the interest cover ratio eased, it was still at a comfortable level in both years. This indicates that Unilever has maintained the ability to service its debt despite the rise in leverage and interest expense. However, the declining ratio indicates that Unilever has become more vulnerable to any potential increase in interest costs or fall in performance.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0FC581D5" w14:textId="77777777" w:rsidR="00B75985" w:rsidRPr="00B75985" w:rsidRDefault="00B75985" w:rsidP="00B75985">
      <w:pPr>
        <w:pStyle w:val="Heading3"/>
      </w:pPr>
      <w:bookmarkStart w:id="20" w:name="_Toc219020651"/>
      <w:r w:rsidRPr="00B75985">
        <w:t>Solvency and Capital Structure Summary</w:t>
      </w:r>
      <w:bookmarkEnd w:id="20"/>
    </w:p>
    <w:p w14:paraId="0B710EDF" w14:textId="0420472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However, in general, the solvency position at Unilever has remained strong from 2023 to 2024. (Allen, 2021; Kenton, 2024) Despite the increase in gearing and the lower interest cover, the company has maintained its strong ability to service its debts. (Bragg, 2018; Palmer, 2018) The current capital structure indicates proper leverage and minimal financial risks, although it is important for the company to maintain its profitability.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 Campbell, 2021)</w:t>
      </w:r>
    </w:p>
    <w:p w14:paraId="0B543BFC" w14:textId="77777777" w:rsidR="00B75985" w:rsidRPr="00B75985" w:rsidRDefault="00B75985" w:rsidP="00B75985">
      <w:pPr>
        <w:pStyle w:val="Heading2"/>
      </w:pPr>
      <w:bookmarkStart w:id="21" w:name="_Toc219020652"/>
      <w:r w:rsidRPr="00B75985">
        <w:t>Efficiency Analysis</w:t>
      </w:r>
      <w:bookmarkEnd w:id="21"/>
    </w:p>
    <w:p w14:paraId="398DE42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Efficiency analysis does an examination of the efficiency and efficacy that a firm uses in relating to and taking control of its working capital elements. The elements that come into focus in this analysis include inventory, accounts receivable, and accounts payable. (Bragg, 2018;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 Palmer, 2018) For a huge business enterprise like Unilever PLC that is a large consumer products firm and operates in a global market, efficiency in working capital management is important given the high sales that such a business does. (Chopra, 2021; Gligor, 2020)</w:t>
      </w:r>
    </w:p>
    <w:p w14:paraId="40AA3E52" w14:textId="352F6EC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changes in efficiency ratios also account for the changes in efficiency ratios and help in understanding the changes in liquidity ratios and profitability ratios in a better manner. (Palepu </w:t>
      </w:r>
      <w:r w:rsidRPr="00B75985">
        <w:rPr>
          <w:rFonts w:ascii="Times New Roman" w:hAnsi="Times New Roman" w:cs="Times New Roman"/>
        </w:rPr>
        <w:lastRenderedPageBreak/>
        <w:t>and Healy, 2020; Bragg, 2018) Below is the assessment of the efficiency of Unilever for the two financial years ending 2023 and 2024. (Sanzo, 2005; Hartley, Firer and Ford, 2006)</w:t>
      </w:r>
    </w:p>
    <w:p w14:paraId="5E2594A6" w14:textId="77777777" w:rsidR="00B75985" w:rsidRPr="00B75985" w:rsidRDefault="00B75985" w:rsidP="00B75985">
      <w:pPr>
        <w:pStyle w:val="Heading3"/>
      </w:pPr>
      <w:bookmarkStart w:id="22" w:name="_Toc219020653"/>
      <w:r w:rsidRPr="00B75985">
        <w:t>Inventory Days</w:t>
      </w:r>
      <w:bookmarkEnd w:id="22"/>
    </w:p>
    <w:p w14:paraId="62C47B5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Inventory days indicate the average </w:t>
      </w:r>
      <w:proofErr w:type="gramStart"/>
      <w:r w:rsidRPr="00B75985">
        <w:rPr>
          <w:rFonts w:ascii="Times New Roman" w:hAnsi="Times New Roman" w:cs="Times New Roman"/>
        </w:rPr>
        <w:t>period of time</w:t>
      </w:r>
      <w:proofErr w:type="gramEnd"/>
      <w:r w:rsidRPr="00B75985">
        <w:rPr>
          <w:rFonts w:ascii="Times New Roman" w:hAnsi="Times New Roman" w:cs="Times New Roman"/>
        </w:rPr>
        <w:t xml:space="preserve"> for which the inventory is held before its conversion into revenue. (Wright and Slaybaugh, 2020; Relph, 2015) It is an important ratio in the case of consumer goods industry because the industry requires proper management of the inventory </w:t>
      </w: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fulfill the demand as well as minimize the holding cost of the goods in the inventory. (</w:t>
      </w:r>
      <w:proofErr w:type="spellStart"/>
      <w:r w:rsidRPr="00B75985">
        <w:rPr>
          <w:rFonts w:ascii="Times New Roman" w:hAnsi="Times New Roman" w:cs="Times New Roman"/>
        </w:rPr>
        <w:t>Orobia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Nakibuuka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Bananuka</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Akisimire</w:t>
      </w:r>
      <w:proofErr w:type="spellEnd"/>
      <w:r w:rsidRPr="00B75985">
        <w:rPr>
          <w:rFonts w:ascii="Times New Roman" w:hAnsi="Times New Roman" w:cs="Times New Roman"/>
        </w:rPr>
        <w:t>, 2020; Chopra, 2021)</w:t>
      </w:r>
    </w:p>
    <w:p w14:paraId="26BDC7E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2023, the days inventory was around 89 days in Unilever. In 2024, the days inventory rose to slightly over 98 days, showing that the inventory was held for a longer </w:t>
      </w:r>
      <w:proofErr w:type="gramStart"/>
      <w:r w:rsidRPr="00B75985">
        <w:rPr>
          <w:rFonts w:ascii="Times New Roman" w:hAnsi="Times New Roman" w:cs="Times New Roman"/>
        </w:rPr>
        <w:t>period of time</w:t>
      </w:r>
      <w:proofErr w:type="gramEnd"/>
      <w:r w:rsidRPr="00B75985">
        <w:rPr>
          <w:rFonts w:ascii="Times New Roman" w:hAnsi="Times New Roman" w:cs="Times New Roman"/>
        </w:rPr>
        <w:t>. (Relph, 2015; Wright and Slaybaugh, 2020)</w:t>
      </w:r>
    </w:p>
    <w:p w14:paraId="010802D3" w14:textId="55294D5E"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rise in the number of inventory days indicates that Unilever held higher inventory levels in 2024. This could be attributed to the strategic decision to create inventory cushion levels in the wake of supply chain uncertainties. (Flynn, 2021; Gligor, 2020) Although holding higher inventory levels can improve supply chain resilience, there could be increased storage costs of obsolescence, especially within the context of the fast-moving consumer markets. (</w:t>
      </w:r>
      <w:proofErr w:type="spellStart"/>
      <w:r w:rsidRPr="00B75985">
        <w:rPr>
          <w:rFonts w:ascii="Times New Roman" w:hAnsi="Times New Roman" w:cs="Times New Roman"/>
        </w:rPr>
        <w:t>Chorafas</w:t>
      </w:r>
      <w:proofErr w:type="spellEnd"/>
      <w:r w:rsidRPr="00B75985">
        <w:rPr>
          <w:rFonts w:ascii="Times New Roman" w:hAnsi="Times New Roman" w:cs="Times New Roman"/>
        </w:rPr>
        <w:t xml:space="preserve">, 2015; </w:t>
      </w:r>
      <w:proofErr w:type="spellStart"/>
      <w:r w:rsidRPr="00B75985">
        <w:rPr>
          <w:rFonts w:ascii="Times New Roman" w:hAnsi="Times New Roman" w:cs="Times New Roman"/>
        </w:rPr>
        <w:t>Orobia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Nakibuuka</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Bananuka</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Akisimire</w:t>
      </w:r>
      <w:proofErr w:type="spellEnd"/>
      <w:r w:rsidRPr="00B75985">
        <w:rPr>
          <w:rFonts w:ascii="Times New Roman" w:hAnsi="Times New Roman" w:cs="Times New Roman"/>
        </w:rPr>
        <w:t>, 2020)</w:t>
      </w:r>
    </w:p>
    <w:p w14:paraId="2B610D41" w14:textId="77777777" w:rsidR="00B75985" w:rsidRPr="00B75985" w:rsidRDefault="00B75985" w:rsidP="00B75985">
      <w:pPr>
        <w:pStyle w:val="Heading3"/>
      </w:pPr>
      <w:bookmarkStart w:id="23" w:name="_Toc219020654"/>
      <w:r w:rsidRPr="00B75985">
        <w:t>Receivables Days</w:t>
      </w:r>
      <w:bookmarkEnd w:id="23"/>
    </w:p>
    <w:p w14:paraId="45463DB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Receivables days represent the average time it takes to receive payment from customers after the point of sale. It reveals the effectiveness of credit management. (Chen, Chung, Hsu and Wu, 2010; Almeida and Campello, 2005)</w:t>
      </w:r>
    </w:p>
    <w:p w14:paraId="32BAAFA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the year 2023, the receivables days of Unilever stood at around 44 days. In the year 2024, the receivables days of Unilever increased to about 47 days, showing a slight delay in realizing cash from customers. (Palepu and Healy, 2020; Bragg, 2018)</w:t>
      </w:r>
    </w:p>
    <w:p w14:paraId="45B42975" w14:textId="070364D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This rise in receivables would indicate that Unilever has given its customers more time to pay off their accounts or has experienced difficulties in collecting cash in certain markets. However, it </w:t>
      </w:r>
      <w:r w:rsidRPr="00B75985">
        <w:rPr>
          <w:rFonts w:ascii="Times New Roman" w:hAnsi="Times New Roman" w:cs="Times New Roman"/>
        </w:rPr>
        <w:lastRenderedPageBreak/>
        <w:t xml:space="preserve">might not be such a big deal, as it would be problematic if it continues to </w:t>
      </w:r>
      <w:proofErr w:type="gramStart"/>
      <w:r w:rsidRPr="00B75985">
        <w:rPr>
          <w:rFonts w:ascii="Times New Roman" w:hAnsi="Times New Roman" w:cs="Times New Roman"/>
        </w:rPr>
        <w:t>increase</w:t>
      </w:r>
      <w:proofErr w:type="gramEnd"/>
      <w:r w:rsidRPr="00B75985">
        <w:rPr>
          <w:rFonts w:ascii="Times New Roman" w:hAnsi="Times New Roman" w:cs="Times New Roman"/>
        </w:rPr>
        <w:t xml:space="preserve"> and Unilever has to depend on other working capital finances.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Kotey, 2019)</w:t>
      </w:r>
    </w:p>
    <w:p w14:paraId="2BA73955" w14:textId="77777777" w:rsidR="00B75985" w:rsidRPr="00B75985" w:rsidRDefault="00B75985" w:rsidP="00B75985">
      <w:pPr>
        <w:pStyle w:val="Heading3"/>
      </w:pPr>
      <w:bookmarkStart w:id="24" w:name="_Toc219020655"/>
      <w:r w:rsidRPr="00B75985">
        <w:t>Payables Days</w:t>
      </w:r>
      <w:bookmarkEnd w:id="24"/>
    </w:p>
    <w:p w14:paraId="494F44D3"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payables days can be calculated by determining the average number of days it takes for the company to repay its suppliers and measuring the use of trade credit. (CFI Team, 2022; Chopra, 2021)</w:t>
      </w:r>
    </w:p>
    <w:p w14:paraId="01102F6B"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2023, Unilever's payables days are reported to be about 129 days. In contrast, in 2024, this heightened considerably to about 144 days, implying a longer settlement period of the payables. (CFI Team, 2022; Bragg, 2018)</w:t>
      </w:r>
    </w:p>
    <w:p w14:paraId="111CA38B" w14:textId="0281B929"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Extension of Payables Days: It indicates that the company relies more on suppliers for credit in 2024. It enhances cash flows. On the other hand, very high payments may result in strained relations with the suppliers, which may limit flexibility in negotiations of better terms in the future. (Chopra, 2021; Gligor, 2020)</w:t>
      </w:r>
    </w:p>
    <w:p w14:paraId="12BACD70" w14:textId="77777777" w:rsidR="00B75985" w:rsidRPr="00B75985" w:rsidRDefault="00B75985" w:rsidP="00B75985">
      <w:pPr>
        <w:pStyle w:val="Heading3"/>
      </w:pPr>
      <w:bookmarkStart w:id="25" w:name="_Toc219020656"/>
      <w:r w:rsidRPr="00B75985">
        <w:t>Efficiency Analysis Summary</w:t>
      </w:r>
      <w:bookmarkEnd w:id="25"/>
    </w:p>
    <w:p w14:paraId="654F2846" w14:textId="25A95D4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Overall, the efficiency of the working capital of Unilever weakened slightly in the period between 2023 and 2024. Inventories and receivables were held for longer periods of time; this further stretched the cash conversion cycle. (Wright and Slaybaugh, 2020; Chen, Chung, Hsu and Wu, 2010) This factor was partly compensated by an extraordinary extension of payables days, reflecting greater reliance on supplier financing.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Such a strategy serves to support liquidity but at the price of increasing dependence on effective inventory management and strong supplier relationships for sustainability. (Chopra,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28C8F599" w14:textId="77777777" w:rsidR="00B75985" w:rsidRPr="00B75985" w:rsidRDefault="00B75985" w:rsidP="00B75985">
      <w:pPr>
        <w:pStyle w:val="Heading2"/>
      </w:pPr>
      <w:bookmarkStart w:id="26" w:name="_Toc219020657"/>
      <w:r w:rsidRPr="00B75985">
        <w:t>Investor Performance</w:t>
      </w:r>
      <w:bookmarkEnd w:id="26"/>
    </w:p>
    <w:p w14:paraId="4082C533"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Investor performance ratios evaluate the efficiency with which a company's profits or returns are measured for shareholders, as well as market satisfaction with those returns. (H. Kent Baker and </w:t>
      </w:r>
      <w:r w:rsidRPr="00B75985">
        <w:rPr>
          <w:rFonts w:ascii="Times New Roman" w:hAnsi="Times New Roman" w:cs="Times New Roman"/>
        </w:rPr>
        <w:lastRenderedPageBreak/>
        <w:t>Ricciardi, 2014; Palepu and Healy, 2020) Such ratios would be critical for a globally listed public company like Unilever PLC, as market satisfaction with the returns received by shareholders influences market confidence, stock market performance, as well as the ability of Unilever PLC to raise equity capital. (Chen, Chung, Hsu and Wu, 2010; de Jongh, 2011)</w:t>
      </w:r>
    </w:p>
    <w:p w14:paraId="293BDC60" w14:textId="37605646"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Profitability and efficiency ratios differ in that investment ratios include not only internal financial performance measures, but also market values. Investment ratios, in other words, give information not only on the amount of value that is created for stockholders, but also on how this value is distributed and priced in the market. (H. Kent Baker and Ricciardi, 2014; Lichtenstein and Dade, 2007)</w:t>
      </w:r>
    </w:p>
    <w:p w14:paraId="78820D23" w14:textId="77777777" w:rsidR="00B75985" w:rsidRPr="00B75985" w:rsidRDefault="00B75985" w:rsidP="00B75985">
      <w:pPr>
        <w:pStyle w:val="Heading3"/>
      </w:pPr>
      <w:bookmarkStart w:id="27" w:name="_Toc219020658"/>
      <w:r w:rsidRPr="00B75985">
        <w:t>Earnings per Share (EPS)</w:t>
      </w:r>
      <w:bookmarkEnd w:id="27"/>
    </w:p>
    <w:p w14:paraId="303EF5B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earnings per share represent the profit quotient attributable to each ordinary share. As such, it is one of the key indicators of value creation for a shareholder. (Schmidt, 2022; Palepu and Healy, 2020) EPS enables investors to look at profitability on a per-share basis rather than in absolute terms, which is particularly useful for comparisons over time. (H. Kent Baker and Ricciardi, 2014; Schmidt, 2022)</w:t>
      </w:r>
    </w:p>
    <w:p w14:paraId="7A6667F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2023, Unilever recorded an EPS of €2.82. While in 2024, the firm's earnings per share fell to €2.51. The reduction in EPS reflects the fall in reported net profit during 2024, primarily due to restructuring and transformation-related costs incurred during the year. (Schmidt, 2022; </w:t>
      </w:r>
      <w:proofErr w:type="spellStart"/>
      <w:r w:rsidRPr="00B75985">
        <w:rPr>
          <w:rFonts w:ascii="Times New Roman" w:hAnsi="Times New Roman" w:cs="Times New Roman"/>
        </w:rPr>
        <w:t>Palasciano</w:t>
      </w:r>
      <w:proofErr w:type="spellEnd"/>
      <w:r w:rsidRPr="00B75985">
        <w:rPr>
          <w:rFonts w:ascii="Times New Roman" w:hAnsi="Times New Roman" w:cs="Times New Roman"/>
        </w:rPr>
        <w:t>, 2025)</w:t>
      </w:r>
    </w:p>
    <w:p w14:paraId="50B0693E" w14:textId="53DC978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In that respect, the decline in EPS does indicate that the final earnings attributable to shareholders, on a per-share basis, weakened despite revenue growth and improved underlying operating performance. This all underlines the fact that exceptional costs can reduce shareholder returns for some time, even when the core operation remains strong. (H. Kent Baker and Ricciardi, 2014; Adler, 2010)</w:t>
      </w:r>
    </w:p>
    <w:p w14:paraId="1AC23D00" w14:textId="77777777" w:rsidR="00B75985" w:rsidRPr="00B75985" w:rsidRDefault="00B75985" w:rsidP="00B75985">
      <w:pPr>
        <w:pStyle w:val="Heading3"/>
      </w:pPr>
      <w:bookmarkStart w:id="28" w:name="_Toc219020659"/>
      <w:r w:rsidRPr="00B75985">
        <w:t>Dividend per Share and Dividend Cover</w:t>
      </w:r>
      <w:bookmarkEnd w:id="28"/>
    </w:p>
    <w:p w14:paraId="28AAFBCC"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dividend per share highlights the return on investment that shareholders receive in cash. It reveals information about a company’s management confidence regarding sustainability. It is very </w:t>
      </w:r>
      <w:r w:rsidRPr="00B75985">
        <w:rPr>
          <w:rFonts w:ascii="Times New Roman" w:hAnsi="Times New Roman" w:cs="Times New Roman"/>
        </w:rPr>
        <w:lastRenderedPageBreak/>
        <w:t>useful in large, mature companies, where, as in the case of Unilever, shareholders look for stable cash flows. (Lichtenstein and Dade, 2007; Palepu and Healy, 2020)</w:t>
      </w:r>
    </w:p>
    <w:p w14:paraId="428A8FE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2023, Unilever declared a dividend of about €1.72 per share. This marginally increased to about €1.76 per share in 2024, showing that the company is </w:t>
      </w:r>
      <w:proofErr w:type="spellStart"/>
      <w:r w:rsidRPr="00B75985">
        <w:rPr>
          <w:rFonts w:ascii="Times New Roman" w:hAnsi="Times New Roman" w:cs="Times New Roman"/>
        </w:rPr>
        <w:t>stillwilling</w:t>
      </w:r>
      <w:proofErr w:type="spellEnd"/>
      <w:r w:rsidRPr="00B75985">
        <w:rPr>
          <w:rFonts w:ascii="Times New Roman" w:hAnsi="Times New Roman" w:cs="Times New Roman"/>
        </w:rPr>
        <w:t xml:space="preserve"> to pay dividends to its shareholders even with lower profits. (H. Kent Baker and Ricciardi, 2014; Lichtenstein and Dade, 2007)</w:t>
      </w:r>
    </w:p>
    <w:p w14:paraId="58C0A0F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Dividend cover indicates the level at which dividends are funded. In 2023, the dividend cover was about 1.6 times. This indicates that the earnings were more than sufficient to cover the dividend payments. In 2024, the dividend cover reduced to 1.4 times. (Bragg, 2018; Palmer, 2018)</w:t>
      </w:r>
    </w:p>
    <w:p w14:paraId="21670C8B" w14:textId="30FE9419"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Despite this drop in dividend cover, it remained above one in both years. This indicates that the dividend payments continued to be financed from profit rather than from reserve and further borrowing, which further indicates a sustainable dividend policy. (Palepu and Healy, 2020; de Jongh, 2011)</w:t>
      </w:r>
    </w:p>
    <w:p w14:paraId="0958E8EC" w14:textId="77777777" w:rsidR="00B75985" w:rsidRPr="00B75985" w:rsidRDefault="00B75985" w:rsidP="00B75985">
      <w:pPr>
        <w:pStyle w:val="Heading3"/>
      </w:pPr>
      <w:bookmarkStart w:id="29" w:name="_Toc219020660"/>
      <w:r w:rsidRPr="00B75985">
        <w:t>Dividend Yield</w:t>
      </w:r>
      <w:bookmarkEnd w:id="29"/>
    </w:p>
    <w:p w14:paraId="32EC5098"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Dividend yield calculates the income return available to investors in relation to the prevailing market price of the shares. (H. Kent Baker and Ricciardi, 2014; Palepu and Healy, 2020)</w:t>
      </w:r>
    </w:p>
    <w:p w14:paraId="62EBE4D8" w14:textId="0105252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Between 2023 and 2024, the dividend yield of Unilever slightly decreased. While the dividend per share increased, this suggests that the firm's share price outpaced dividends. A decline in dividend yield due to higher share prices would typically be viewed as a good omen; it reflects confidence on the part of investors that growth and future earnings, rather than just income, have risen. (H. Kent Baker and Ricciardi, 2014; Lichtenstein and Dade, 2007)</w:t>
      </w:r>
    </w:p>
    <w:p w14:paraId="0EB72257" w14:textId="77777777" w:rsidR="00B75985" w:rsidRPr="00B75985" w:rsidRDefault="00B75985" w:rsidP="00B75985">
      <w:pPr>
        <w:pStyle w:val="Heading3"/>
      </w:pPr>
      <w:bookmarkStart w:id="30" w:name="_Toc219020661"/>
      <w:r w:rsidRPr="00B75985">
        <w:t>Price/Earnings (P/E) Ratio</w:t>
      </w:r>
      <w:bookmarkEnd w:id="30"/>
    </w:p>
    <w:p w14:paraId="22AD1E5A"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Price/Earnings Ratio measures how much stock price investors will pay per dollar of earnings, as a reflection of their perceptions related to future growth, risk, and earnings. (H. Kent Baker and Ricciardi, 2014; Palepu and Healy, 2020)</w:t>
      </w:r>
    </w:p>
    <w:p w14:paraId="667225C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For the year 2023, Unilever’s P/E ratio was about 18.5 times. Moving into 2024, the ratio rose to about 20.1 times, although it experienced a reduction in the earnings-per-share ratio. This indicates that investors were able to pay an excess premium for Unilever's stocks, indicating possible confidence in the long-term strategy the firm has in place or its restructuring programs that would make its profitability increase in the future. (H. Kent Baker and Ricciardi, 2014; Chen, Chung, Hsu and Wu, 2010)</w:t>
      </w:r>
    </w:p>
    <w:p w14:paraId="7FD07AAD" w14:textId="097B1EEB"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rising P/E ratio, coupled with the declining earnings, suggests that the market was primarily valued </w:t>
      </w: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future prospects. (Best, 2013; Neneh, 2020)</w:t>
      </w:r>
    </w:p>
    <w:p w14:paraId="7BFF34A2" w14:textId="77777777" w:rsidR="00B75985" w:rsidRPr="00B75985" w:rsidRDefault="00B75985" w:rsidP="00B75985">
      <w:pPr>
        <w:pStyle w:val="Heading3"/>
      </w:pPr>
      <w:bookmarkStart w:id="31" w:name="_Toc219020662"/>
      <w:r w:rsidRPr="00B75985">
        <w:t>Investor Performance Summary</w:t>
      </w:r>
      <w:bookmarkEnd w:id="31"/>
    </w:p>
    <w:p w14:paraId="0E41285B" w14:textId="5FC70C30"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On the whole, the performance of Unilever as an investor seems to have been weakened in 2024 in terms of earnings per share and dividend coverage but, on the other hand, seems to have been steady in terms of dividend growth and increased market valuation, as evident in the rise in the P/E ratio, which assumes that investor sentiment is still confident and positive about the Company's future performance. (H. Kent Baker and Ricciardi, 2014; Palepu and Healy, 2020)</w:t>
      </w:r>
    </w:p>
    <w:p w14:paraId="74B5F28A" w14:textId="77777777" w:rsidR="00B75985" w:rsidRPr="00B75985" w:rsidRDefault="00B75985" w:rsidP="00B75985">
      <w:pPr>
        <w:pStyle w:val="Heading1"/>
      </w:pPr>
      <w:bookmarkStart w:id="32" w:name="_Toc219020663"/>
      <w:r w:rsidRPr="00B75985">
        <w:t>Part 2 – Investment Appraisal for Westward Plc</w:t>
      </w:r>
      <w:bookmarkEnd w:id="32"/>
    </w:p>
    <w:p w14:paraId="03267CEA"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Westward Plc is contemplating a large investment program that would help develop and enlarge their business. They have shortlisted three possible investment options that would be executed over a period of four years: enhancing their current retail outlet to deal in all their products, doing business on the web, and manufacturing wooden and Roman blinds. Each of them has a distinct initial investment cost and a total annual return.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Madura, 2018)</w:t>
      </w:r>
    </w:p>
    <w:p w14:paraId="7692DC52"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Because of the scale of the proposed investment in relation to the long-term nature of the potential return on that investment, it is important that the directors of the company adopt the correct framework of investment appraisal.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Allen, 2021) Methods of investment appraisal assist in the process of determination by management of whether the potential for future return of the proposed investment warrants the capital requirement. (CFI, 2022; Spring, 2018)</w:t>
      </w:r>
    </w:p>
    <w:p w14:paraId="7B1B224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This report compares the three investment options using both discounted and undiscounted investment appraisal methods in accordance with the directors' requirement.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 Kagan, 2025; Gordon, 2020) The analysis captures the impact of corporation tax at 25% and capital allowances at 20% on a straight-line basis, as directed in the case.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Thomas, 2022) A cost of capital of 6% is used when using discounted cash flow techniques. (CFI, 2022; Allen, 2021)</w:t>
      </w:r>
    </w:p>
    <w:p w14:paraId="0CAF064E" w14:textId="3259670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aims to make a focused and well-ordered recommendation to the Board of Westward Plc on which option provides the highest value, explaining the outcomes of the applied appraisal techniques; after that, the implications for decisions when investment funds are limited are discussed. The final section also advises on appropriate methods of financing the proposed investment </w:t>
      </w:r>
      <w:proofErr w:type="spellStart"/>
      <w:r w:rsidRPr="00B75985">
        <w:rPr>
          <w:rFonts w:ascii="Times New Roman" w:hAnsi="Times New Roman" w:cs="Times New Roman"/>
        </w:rPr>
        <w:t>programme</w:t>
      </w:r>
      <w:proofErr w:type="spellEnd"/>
      <w:r w:rsidRPr="00B75985">
        <w:rPr>
          <w:rFonts w:ascii="Times New Roman" w:hAnsi="Times New Roman" w:cs="Times New Roman"/>
        </w:rPr>
        <w:t xml:space="preserve">. (Spring, 2018;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31919A6E" w14:textId="2AD1E723" w:rsidR="00B75985" w:rsidRPr="00B75985" w:rsidRDefault="00B75985" w:rsidP="00B75985">
      <w:pPr>
        <w:pStyle w:val="Heading2"/>
      </w:pPr>
      <w:bookmarkStart w:id="33" w:name="_Toc219020664"/>
      <w:r w:rsidRPr="00B75985">
        <w:t>(a) Net Present Value (NPV)</w:t>
      </w:r>
      <w:bookmarkEnd w:id="33"/>
      <w:r w:rsidRPr="00B75985">
        <w:t xml:space="preserve"> </w:t>
      </w:r>
    </w:p>
    <w:p w14:paraId="39DE3B5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To assess the three alternative investment proposals, the Net Present Value approach has been employed with a cost of capital of 6%, as indicated by the company directors. (CFI, 2022; Spring, 2018) Net Present Value analysis is appropriate for undertaking the investment analysis, as it took into consideration the time value of money.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Madura, 2018) Using the present value approach allows the financial manager to compare the present cash flows of each investment with its cost, as it discounted the future after-tax cash flows to its present values.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Palepu and Healy, 2020)</w:t>
      </w:r>
    </w:p>
    <w:p w14:paraId="71A79BFA" w14:textId="68B207F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CF calculation </w:t>
      </w:r>
      <w:proofErr w:type="gramStart"/>
      <w:r w:rsidRPr="00B75985">
        <w:rPr>
          <w:rFonts w:ascii="Times New Roman" w:hAnsi="Times New Roman" w:cs="Times New Roman"/>
        </w:rPr>
        <w:t>takes into account</w:t>
      </w:r>
      <w:proofErr w:type="gramEnd"/>
      <w:r w:rsidRPr="00B75985">
        <w:rPr>
          <w:rFonts w:ascii="Times New Roman" w:hAnsi="Times New Roman" w:cs="Times New Roman"/>
        </w:rPr>
        <w:t xml:space="preserve"> a 25% rate of corporation tax and a 20% rate of capital allowances using a straight-line basis. (Thomas, 2022;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All CFs in this calculation are treated as if they occur at the end of the year in which they fall due.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4617C8F2" w14:textId="77777777" w:rsidR="00B75985" w:rsidRPr="00B75985" w:rsidRDefault="00B75985" w:rsidP="00B75985">
      <w:pPr>
        <w:spacing w:before="100" w:beforeAutospacing="1" w:after="100" w:afterAutospacing="1" w:line="360" w:lineRule="auto"/>
        <w:jc w:val="both"/>
        <w:rPr>
          <w:rFonts w:ascii="Times New Roman" w:hAnsi="Times New Roman" w:cs="Times New Roman"/>
          <w:b/>
          <w:bCs/>
        </w:rPr>
      </w:pPr>
      <w:r w:rsidRPr="00B75985">
        <w:rPr>
          <w:rFonts w:ascii="Times New Roman" w:hAnsi="Times New Roman" w:cs="Times New Roman"/>
          <w:b/>
          <w:bCs/>
        </w:rPr>
        <w:t>NPV Results</w:t>
      </w:r>
    </w:p>
    <w:p w14:paraId="1984C0F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NPVs for the options at a discount rate of 6% are as follows:</w:t>
      </w:r>
    </w:p>
    <w:p w14:paraId="14EB5711" w14:textId="2B825B39" w:rsidR="00B75985" w:rsidRPr="00B75985" w:rsidRDefault="00B75985" w:rsidP="00B75985">
      <w:pPr>
        <w:pStyle w:val="ListParagraph"/>
        <w:numPr>
          <w:ilvl w:val="0"/>
          <w:numId w:val="8"/>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A (Retail expansion): NPV = +£643.2k</w:t>
      </w:r>
    </w:p>
    <w:p w14:paraId="2377D569" w14:textId="673F7672" w:rsidR="00B75985" w:rsidRPr="00B75985" w:rsidRDefault="00B75985" w:rsidP="00B75985">
      <w:pPr>
        <w:pStyle w:val="ListParagraph"/>
        <w:numPr>
          <w:ilvl w:val="0"/>
          <w:numId w:val="8"/>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Option B (Develop internet sales): NPV = +£792.2k</w:t>
      </w:r>
    </w:p>
    <w:p w14:paraId="4742D364" w14:textId="61164696" w:rsidR="00B75985" w:rsidRPr="00B75985" w:rsidRDefault="00B75985" w:rsidP="00B75985">
      <w:pPr>
        <w:pStyle w:val="ListParagraph"/>
        <w:numPr>
          <w:ilvl w:val="0"/>
          <w:numId w:val="8"/>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(Produce wooden and Roman blinds): NPV = +£742.5k</w:t>
      </w:r>
    </w:p>
    <w:p w14:paraId="4F1E0AAB" w14:textId="5DF8E82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All the three alternatives give a positive NPV. This implies that each alternative has a potential return higher than the cost of capital, which would be valuable to the firm. (CFI, 2022; Spring, 2018; Lichtenstein and Dade, 2007)</w:t>
      </w:r>
    </w:p>
    <w:p w14:paraId="4E8C1E35" w14:textId="77777777" w:rsidR="00B75985" w:rsidRPr="00B75985" w:rsidRDefault="00B75985" w:rsidP="00B75985">
      <w:pPr>
        <w:pStyle w:val="Heading3"/>
      </w:pPr>
      <w:bookmarkStart w:id="34" w:name="_Toc219020665"/>
      <w:r w:rsidRPr="00B75985">
        <w:t>Interpretation</w:t>
      </w:r>
      <w:bookmarkEnd w:id="34"/>
    </w:p>
    <w:p w14:paraId="706FBA28"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Even though all the options would be viable on financial grounds, when dealing with mutually exclusive investments, the criterion specified by the NPV method would be to go for the investment opportunity with the highest positive NPV. This can be attributed to the fact that NPV calculates the actual </w:t>
      </w:r>
      <w:proofErr w:type="spellStart"/>
      <w:r w:rsidRPr="00B75985">
        <w:rPr>
          <w:rFonts w:ascii="Times New Roman" w:hAnsi="Times New Roman" w:cs="Times New Roman"/>
        </w:rPr>
        <w:t>financialvalue</w:t>
      </w:r>
      <w:proofErr w:type="spellEnd"/>
      <w:r w:rsidRPr="00B75985">
        <w:rPr>
          <w:rFonts w:ascii="Times New Roman" w:hAnsi="Times New Roman" w:cs="Times New Roman"/>
        </w:rPr>
        <w:t xml:space="preserve"> added by an investment. (CFI, 2022; Spring, 2018)</w:t>
      </w:r>
    </w:p>
    <w:p w14:paraId="4B755D90" w14:textId="448E432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option with the highest NPV is Option B, which implies that it adds the most value to its shareholders over this four-year horizon. (Lichtenstein and Dade, 2007; de Jongh, 2011) Even though option C adds a huge amount of value to its shareholders, its magnitude of investment costs more compared to option B. Although option A has the lowest investment costs, it adds less value compared to options B and C when discounted at the company’s cost of capital. (CFI, 2022;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70933979" w14:textId="77777777" w:rsidR="00B75985" w:rsidRPr="00B75985" w:rsidRDefault="00B75985" w:rsidP="00B75985">
      <w:pPr>
        <w:pStyle w:val="Heading3"/>
      </w:pPr>
      <w:bookmarkStart w:id="35" w:name="_Toc219020666"/>
      <w:r w:rsidRPr="00B75985">
        <w:t>Recommendation Based on NPV</w:t>
      </w:r>
      <w:bookmarkEnd w:id="35"/>
    </w:p>
    <w:p w14:paraId="2CC2782F" w14:textId="6A9553AF"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For purely Net Present Value analysis purposes, taking into consideration the discount rate of 6%, it can be concluded that the course of action, which should be considered favorable to the directors of Westward Plc, is Option B: Develop into internet sales. The primary reason for this identification is the potential it holds of generating the highest possible financial benefits. (CFI, 2022; Spring, 2018)</w:t>
      </w:r>
    </w:p>
    <w:p w14:paraId="3B895D85" w14:textId="77777777" w:rsidR="00B75985" w:rsidRPr="00B75985" w:rsidRDefault="00B75985" w:rsidP="00B75985">
      <w:pPr>
        <w:pStyle w:val="Heading2"/>
      </w:pPr>
      <w:bookmarkStart w:id="36" w:name="_Toc219020667"/>
      <w:r w:rsidRPr="00B75985">
        <w:t>(b) Internal Rate of Return (IRR) Evaluation</w:t>
      </w:r>
      <w:bookmarkEnd w:id="36"/>
    </w:p>
    <w:p w14:paraId="1FD584D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Apart from the Net Present Value analysis, the Internal Rate of Return has also been determined for each of the three investment alternatives. The Internal Rate of Return is the discount rate at which the Net Present Value of a project will be zero. This discount rate can also be viewed as the </w:t>
      </w:r>
      <w:r w:rsidRPr="00B75985">
        <w:rPr>
          <w:rFonts w:ascii="Times New Roman" w:hAnsi="Times New Roman" w:cs="Times New Roman"/>
        </w:rPr>
        <w:lastRenderedPageBreak/>
        <w:t xml:space="preserve">expected annual rate of return on the project. (CFI, 2022; Arjunan, 2017; Azar and </w:t>
      </w:r>
      <w:proofErr w:type="spellStart"/>
      <w:r w:rsidRPr="00B75985">
        <w:rPr>
          <w:rFonts w:ascii="Times New Roman" w:hAnsi="Times New Roman" w:cs="Times New Roman"/>
        </w:rPr>
        <w:t>Noueihed</w:t>
      </w:r>
      <w:proofErr w:type="spellEnd"/>
      <w:r w:rsidRPr="00B75985">
        <w:rPr>
          <w:rFonts w:ascii="Times New Roman" w:hAnsi="Times New Roman" w:cs="Times New Roman"/>
        </w:rPr>
        <w:t>, 2014)</w:t>
      </w:r>
    </w:p>
    <w:p w14:paraId="706A3735" w14:textId="4C835D0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IRR is a popular appraisal method since the performance results can be compared easily with the cost of capital due to its expression in percentage form. (CFI, 2022; </w:t>
      </w:r>
      <w:proofErr w:type="spellStart"/>
      <w:r w:rsidRPr="00B75985">
        <w:rPr>
          <w:rFonts w:ascii="Times New Roman" w:hAnsi="Times New Roman" w:cs="Times New Roman"/>
        </w:rPr>
        <w:t>Oakshott</w:t>
      </w:r>
      <w:proofErr w:type="spellEnd"/>
      <w:r w:rsidRPr="00B75985">
        <w:rPr>
          <w:rFonts w:ascii="Times New Roman" w:hAnsi="Times New Roman" w:cs="Times New Roman"/>
        </w:rPr>
        <w:t xml:space="preserve">, 2020) In this case, the IRRs have been calculated </w:t>
      </w:r>
      <w:proofErr w:type="gramStart"/>
      <w:r w:rsidRPr="00B75985">
        <w:rPr>
          <w:rFonts w:ascii="Times New Roman" w:hAnsi="Times New Roman" w:cs="Times New Roman"/>
        </w:rPr>
        <w:t>through the use of</w:t>
      </w:r>
      <w:proofErr w:type="gramEnd"/>
      <w:r w:rsidRPr="00B75985">
        <w:rPr>
          <w:rFonts w:ascii="Times New Roman" w:hAnsi="Times New Roman" w:cs="Times New Roman"/>
        </w:rPr>
        <w:t xml:space="preserve"> interpolation to derive the discount costs that give negative and positive NPVs.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35D4F021" w14:textId="77777777" w:rsidR="00B75985" w:rsidRPr="00B75985" w:rsidRDefault="00B75985" w:rsidP="00B75985">
      <w:pPr>
        <w:spacing w:before="100" w:beforeAutospacing="1" w:after="100" w:afterAutospacing="1" w:line="360" w:lineRule="auto"/>
        <w:jc w:val="both"/>
        <w:rPr>
          <w:rFonts w:ascii="Times New Roman" w:hAnsi="Times New Roman" w:cs="Times New Roman"/>
          <w:b/>
          <w:bCs/>
        </w:rPr>
      </w:pPr>
      <w:r w:rsidRPr="00B75985">
        <w:rPr>
          <w:rFonts w:ascii="Times New Roman" w:hAnsi="Times New Roman" w:cs="Times New Roman"/>
          <w:b/>
          <w:bCs/>
        </w:rPr>
        <w:t>IRR Results</w:t>
      </w:r>
    </w:p>
    <w:p w14:paraId="450CEFD7"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approximate internal rates of return for the three investment options are:</w:t>
      </w:r>
    </w:p>
    <w:p w14:paraId="18F8BC6F" w14:textId="77777777" w:rsidR="00B75985" w:rsidRPr="00B75985" w:rsidRDefault="00B75985" w:rsidP="00B75985">
      <w:pPr>
        <w:pStyle w:val="ListParagraph"/>
        <w:numPr>
          <w:ilvl w:val="0"/>
          <w:numId w:val="9"/>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A (Retail expansion): IRR ≈ 39.0%</w:t>
      </w:r>
    </w:p>
    <w:p w14:paraId="3E1B9BD2" w14:textId="1961BE93" w:rsidR="00B75985" w:rsidRPr="00B75985" w:rsidRDefault="00B75985" w:rsidP="00B75985">
      <w:pPr>
        <w:pStyle w:val="ListParagraph"/>
        <w:numPr>
          <w:ilvl w:val="0"/>
          <w:numId w:val="9"/>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B (Develop internet sales): IRR ≈ 32.1%</w:t>
      </w:r>
    </w:p>
    <w:p w14:paraId="4435A64C" w14:textId="7A82C5D8" w:rsidR="00B75985" w:rsidRPr="00B75985" w:rsidRDefault="00B75985" w:rsidP="00B75985">
      <w:pPr>
        <w:pStyle w:val="ListParagraph"/>
        <w:numPr>
          <w:ilvl w:val="0"/>
          <w:numId w:val="9"/>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(Produce wooden and Roman blinds): IRR ≈ 22.2%</w:t>
      </w:r>
    </w:p>
    <w:p w14:paraId="117EF73E" w14:textId="5DC05783"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should also be noted that the three IRRs obtained are considerably higher than the cost of capital for Westward Plc, which is 6%, thus acceptable financially </w:t>
      </w: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the IRR criteria. (CFI, 2022; Arjunan, 2017; Azar and </w:t>
      </w:r>
      <w:proofErr w:type="spellStart"/>
      <w:r w:rsidRPr="00B75985">
        <w:rPr>
          <w:rFonts w:ascii="Times New Roman" w:hAnsi="Times New Roman" w:cs="Times New Roman"/>
        </w:rPr>
        <w:t>Noueihed</w:t>
      </w:r>
      <w:proofErr w:type="spellEnd"/>
      <w:r w:rsidRPr="00B75985">
        <w:rPr>
          <w:rFonts w:ascii="Times New Roman" w:hAnsi="Times New Roman" w:cs="Times New Roman"/>
        </w:rPr>
        <w:t>, 2014)</w:t>
      </w:r>
    </w:p>
    <w:p w14:paraId="4EDFC73C" w14:textId="77777777" w:rsidR="00B75985" w:rsidRPr="00B75985" w:rsidRDefault="00B75985" w:rsidP="00B75985">
      <w:pPr>
        <w:pStyle w:val="Heading3"/>
      </w:pPr>
      <w:bookmarkStart w:id="37" w:name="_Toc219020668"/>
      <w:r w:rsidRPr="00B75985">
        <w:t>Interpretation</w:t>
      </w:r>
      <w:bookmarkEnd w:id="37"/>
    </w:p>
    <w:p w14:paraId="79EB2E1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option that realizes the highest IRR is Option A. This is because of the low investment made by the option compared to the magnitude of the cash flow. There is a high efficiency in return on investment for the option. The option, despite having the highest IRR, does not produce the highest value. (CFI, 2022; Arjunan, 2017; Azar and </w:t>
      </w:r>
      <w:proofErr w:type="spellStart"/>
      <w:r w:rsidRPr="00B75985">
        <w:rPr>
          <w:rFonts w:ascii="Times New Roman" w:hAnsi="Times New Roman" w:cs="Times New Roman"/>
        </w:rPr>
        <w:t>Noueihed</w:t>
      </w:r>
      <w:proofErr w:type="spellEnd"/>
      <w:r w:rsidRPr="00B75985">
        <w:rPr>
          <w:rFonts w:ascii="Times New Roman" w:hAnsi="Times New Roman" w:cs="Times New Roman"/>
        </w:rPr>
        <w:t>, 2014)</w:t>
      </w:r>
    </w:p>
    <w:p w14:paraId="4E54651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Option B gives a higher IRR of nearly 32.1%, which is well above the cost of capital </w:t>
      </w:r>
      <w:proofErr w:type="gramStart"/>
      <w:r w:rsidRPr="00B75985">
        <w:rPr>
          <w:rFonts w:ascii="Times New Roman" w:hAnsi="Times New Roman" w:cs="Times New Roman"/>
        </w:rPr>
        <w:t>and also</w:t>
      </w:r>
      <w:proofErr w:type="gramEnd"/>
      <w:r w:rsidRPr="00B75985">
        <w:rPr>
          <w:rFonts w:ascii="Times New Roman" w:hAnsi="Times New Roman" w:cs="Times New Roman"/>
        </w:rPr>
        <w:t xml:space="preserve"> suggests a solid return on investment. Most notably, Option B, in the previous analysis, also yielded the highest NPV. It can be said, therefore, that both analyses point towards selecting Option B as the best alternative. (CFI, 2022; Spring, 2018)</w:t>
      </w:r>
    </w:p>
    <w:p w14:paraId="13CC0FAE" w14:textId="4CC9C4B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The lowest IRR among the three options would be that of option C, which would be around 22.2 percent, though still a massive premium over the cost of capital. The lesser IRR would be due to a larger investment size in relation to investment streams. (CFI, 2022; Arjunan, 2017)</w:t>
      </w:r>
    </w:p>
    <w:p w14:paraId="16824C1F" w14:textId="77777777" w:rsidR="00B75985" w:rsidRPr="00B75985" w:rsidRDefault="00B75985" w:rsidP="00B75985">
      <w:pPr>
        <w:pStyle w:val="Heading2"/>
      </w:pPr>
      <w:bookmarkStart w:id="38" w:name="_Toc219020669"/>
      <w:r w:rsidRPr="00B75985">
        <w:t>IRR versus NPV</w:t>
      </w:r>
      <w:bookmarkEnd w:id="38"/>
    </w:p>
    <w:p w14:paraId="18A4892B" w14:textId="01EE7C12"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Although IRR provides useful additional information, it has well-known limitations, especially in making comparisons among investments of unequal scale. In the given problem, the IRR analysis ranks Option A as the best investment, while the NPV analysis ranks Option B as the best investment. In situations where discrepancies in ranks appear, it's more desirable to apply the NPV test since it aims at obtaining the maximum absolute return. (CFI, 2022; Arjunan, 2017; Azar and </w:t>
      </w:r>
      <w:proofErr w:type="spellStart"/>
      <w:r w:rsidRPr="00B75985">
        <w:rPr>
          <w:rFonts w:ascii="Times New Roman" w:hAnsi="Times New Roman" w:cs="Times New Roman"/>
        </w:rPr>
        <w:t>Noueihed</w:t>
      </w:r>
      <w:proofErr w:type="spellEnd"/>
      <w:r w:rsidRPr="00B75985">
        <w:rPr>
          <w:rFonts w:ascii="Times New Roman" w:hAnsi="Times New Roman" w:cs="Times New Roman"/>
        </w:rPr>
        <w:t>, 2014; Spring, 2018)</w:t>
      </w:r>
    </w:p>
    <w:p w14:paraId="7B2EEDEA" w14:textId="77777777" w:rsidR="00B75985" w:rsidRPr="00B75985" w:rsidRDefault="00B75985" w:rsidP="00B75985">
      <w:pPr>
        <w:pStyle w:val="Heading2"/>
      </w:pPr>
      <w:bookmarkStart w:id="39" w:name="_Toc219020670"/>
      <w:r w:rsidRPr="00B75985">
        <w:t>Payback Period and Accounting Rate of Return (ARR)</w:t>
      </w:r>
      <w:bookmarkEnd w:id="39"/>
    </w:p>
    <w:p w14:paraId="4E2CE800" w14:textId="46619731"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Apart from the discounted cash flow approaches, management also examines alternative methods of investment appraisal that are not discounting methods per se, such as Payback Period and Accounting Rate of Return (ARR). (</w:t>
      </w:r>
      <w:proofErr w:type="spellStart"/>
      <w:r w:rsidRPr="00B75985">
        <w:rPr>
          <w:rFonts w:ascii="Times New Roman" w:hAnsi="Times New Roman" w:cs="Times New Roman"/>
        </w:rPr>
        <w:t>Imarticus</w:t>
      </w:r>
      <w:proofErr w:type="spellEnd"/>
      <w:r w:rsidRPr="00B75985">
        <w:rPr>
          <w:rFonts w:ascii="Times New Roman" w:hAnsi="Times New Roman" w:cs="Times New Roman"/>
        </w:rPr>
        <w:t xml:space="preserve">, 2024; Kagan, 2025; Gordon, 2020) Though these approaches have well-documented drawbacks, they remain favored in application because of their simplicity and attention to the risk, liquidity, and account performance </w:t>
      </w:r>
      <w:proofErr w:type="gramStart"/>
      <w:r w:rsidRPr="00B75985">
        <w:rPr>
          <w:rFonts w:ascii="Times New Roman" w:hAnsi="Times New Roman" w:cs="Times New Roman"/>
        </w:rPr>
        <w:t>aspects in particular</w:t>
      </w:r>
      <w:proofErr w:type="gramEnd"/>
      <w:r w:rsidRPr="00B75985">
        <w:rPr>
          <w:rFonts w:ascii="Times New Roman" w:hAnsi="Times New Roman" w:cs="Times New Roman"/>
        </w:rPr>
        <w:t xml:space="preserve">.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 Addition of these approaches allows highlighting the characteristics of each of the respective investment alternatives being considered.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w:t>
      </w:r>
    </w:p>
    <w:p w14:paraId="2BCD304D" w14:textId="77777777" w:rsidR="00B75985" w:rsidRPr="00B75985" w:rsidRDefault="00B75985" w:rsidP="00B75985">
      <w:pPr>
        <w:pStyle w:val="Heading3"/>
      </w:pPr>
      <w:bookmarkStart w:id="40" w:name="_Toc219020671"/>
      <w:r w:rsidRPr="00B75985">
        <w:t>Payback Period</w:t>
      </w:r>
      <w:bookmarkEnd w:id="40"/>
    </w:p>
    <w:p w14:paraId="79C2CDD0"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payback period indicates the time required for a given project to repay its initial investment in terms of net cash flow generated by it. (Kagan, 2025; Lin, 2019) It is essentially a liquidity and risk-focused measure since projects with a payback period result in shortening the risk exposure of investments to cash flow risks.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 Allen, 2021)</w:t>
      </w:r>
    </w:p>
    <w:p w14:paraId="415EAE9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With the same basis of after-tax cash flow as was used while evaluating the NPV and the IRR, the payback periods of the three options are as follows:</w:t>
      </w:r>
    </w:p>
    <w:p w14:paraId="685C5415" w14:textId="047BEC50" w:rsidR="00B75985" w:rsidRPr="00B75985" w:rsidRDefault="00B75985" w:rsidP="00B75985">
      <w:pPr>
        <w:pStyle w:val="ListParagraph"/>
        <w:numPr>
          <w:ilvl w:val="0"/>
          <w:numId w:val="10"/>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Option A (Retail expansion): Payback ≈ 2.22 years</w:t>
      </w:r>
    </w:p>
    <w:p w14:paraId="39128E2F" w14:textId="313DD8C6" w:rsidR="00B75985" w:rsidRPr="00B75985" w:rsidRDefault="00B75985" w:rsidP="00B75985">
      <w:pPr>
        <w:pStyle w:val="ListParagraph"/>
        <w:numPr>
          <w:ilvl w:val="0"/>
          <w:numId w:val="10"/>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B (Develop internet sales): Payback ≈ 2.44 years</w:t>
      </w:r>
    </w:p>
    <w:p w14:paraId="584A8475" w14:textId="0E551C0A" w:rsidR="00B75985" w:rsidRPr="00B75985" w:rsidRDefault="00B75985" w:rsidP="00B75985">
      <w:pPr>
        <w:pStyle w:val="ListParagraph"/>
        <w:numPr>
          <w:ilvl w:val="0"/>
          <w:numId w:val="10"/>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(Produce wooden and Roman blinds): Payback ≈ 2.76 years</w:t>
      </w:r>
    </w:p>
    <w:p w14:paraId="3DC859F1" w14:textId="77777777" w:rsidR="00B75985" w:rsidRPr="00B75985" w:rsidRDefault="00B75985" w:rsidP="00B75985">
      <w:pPr>
        <w:pStyle w:val="Heading3"/>
      </w:pPr>
      <w:bookmarkStart w:id="41" w:name="_Toc219020672"/>
      <w:r w:rsidRPr="00B75985">
        <w:t>Interpretation of Payback Results</w:t>
      </w:r>
      <w:bookmarkEnd w:id="41"/>
    </w:p>
    <w:p w14:paraId="4A2F396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payback period in option A is the shortest; hence, option A recovers its costs faster than either option B or option C. There is less risk in the short run, which could be appealing to the managers of the business running in uncertain market environments. (Kagan, 2025;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w:t>
      </w:r>
    </w:p>
    <w:p w14:paraId="10BB2AB9"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option B, the cost of investment is recovered slightly later compared to option A but still within a short period, despite a larger amount being invested. In option C, it takes the longest time to recover investment costs, which indicates its high investment cost and exposure to risk for a considerable time. (Kagan, 2025;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w:t>
      </w:r>
    </w:p>
    <w:p w14:paraId="20C89641" w14:textId="093817F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Though the Payback analysis gives valuable insights with respect to risk and flexibility, it does not </w:t>
      </w:r>
      <w:proofErr w:type="gramStart"/>
      <w:r w:rsidRPr="00B75985">
        <w:rPr>
          <w:rFonts w:ascii="Times New Roman" w:hAnsi="Times New Roman" w:cs="Times New Roman"/>
        </w:rPr>
        <w:t>take into account</w:t>
      </w:r>
      <w:proofErr w:type="gramEnd"/>
      <w:r w:rsidRPr="00B75985">
        <w:rPr>
          <w:rFonts w:ascii="Times New Roman" w:hAnsi="Times New Roman" w:cs="Times New Roman"/>
        </w:rPr>
        <w:t xml:space="preserve"> the cash flows occurring beyond the Payback period and the concept of time value of money. Therefore, it should never be the basic criterion for making decisions. In the present scenario, weighted on Payback alone, Option A would be preferred despite the latter giving the lowest resultant value. (</w:t>
      </w:r>
      <w:proofErr w:type="spellStart"/>
      <w:r w:rsidRPr="00B75985">
        <w:rPr>
          <w:rFonts w:ascii="Times New Roman" w:hAnsi="Times New Roman" w:cs="Times New Roman"/>
        </w:rPr>
        <w:t>Imarticus</w:t>
      </w:r>
      <w:proofErr w:type="spellEnd"/>
      <w:r w:rsidRPr="00B75985">
        <w:rPr>
          <w:rFonts w:ascii="Times New Roman" w:hAnsi="Times New Roman" w:cs="Times New Roman"/>
        </w:rPr>
        <w:t xml:space="preserve">, 2024;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w:t>
      </w:r>
    </w:p>
    <w:p w14:paraId="4A39100F" w14:textId="77777777" w:rsidR="00B75985" w:rsidRPr="00B75985" w:rsidRDefault="00B75985" w:rsidP="00B75985">
      <w:pPr>
        <w:pStyle w:val="Heading2"/>
      </w:pPr>
      <w:bookmarkStart w:id="42" w:name="_Toc219020673"/>
      <w:r w:rsidRPr="00B75985">
        <w:t>Accounting Rate of Return (ARR)</w:t>
      </w:r>
      <w:bookmarkEnd w:id="42"/>
    </w:p>
    <w:p w14:paraId="0A29DE2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Accounting Rate of Return calculates the annual accounting earnings of </w:t>
      </w:r>
      <w:proofErr w:type="spellStart"/>
      <w:proofErr w:type="gramStart"/>
      <w:r w:rsidRPr="00B75985">
        <w:rPr>
          <w:rFonts w:ascii="Times New Roman" w:hAnsi="Times New Roman" w:cs="Times New Roman"/>
        </w:rPr>
        <w:t>a</w:t>
      </w:r>
      <w:proofErr w:type="spellEnd"/>
      <w:proofErr w:type="gramEnd"/>
      <w:r w:rsidRPr="00B75985">
        <w:rPr>
          <w:rFonts w:ascii="Times New Roman" w:hAnsi="Times New Roman" w:cs="Times New Roman"/>
        </w:rPr>
        <w:t xml:space="preserve"> investment and expresses it as a percentage of the investment. (Gordon, 2020;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2019) ARR calculates earnings from accounting statements instead of cash flows, which makes it simple and more understandable for the manager because of its familiarity. (Hartley, Firer and Ford, 2006; Thomas, 2022)</w:t>
      </w:r>
    </w:p>
    <w:p w14:paraId="033B40D4"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after-tax accounting profit and straight-line depreciation over four years, the ARRs for the three options are:</w:t>
      </w:r>
    </w:p>
    <w:p w14:paraId="1332B845" w14:textId="2125A67C" w:rsidR="00B75985" w:rsidRPr="00B75985" w:rsidRDefault="00B75985" w:rsidP="00B75985">
      <w:pPr>
        <w:pStyle w:val="ListParagraph"/>
        <w:numPr>
          <w:ilvl w:val="0"/>
          <w:numId w:val="11"/>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A: ARR ≈ 37.5%</w:t>
      </w:r>
    </w:p>
    <w:p w14:paraId="1BD3EBD7" w14:textId="34659911" w:rsidR="00B75985" w:rsidRPr="00B75985" w:rsidRDefault="00B75985" w:rsidP="00B75985">
      <w:pPr>
        <w:pStyle w:val="ListParagraph"/>
        <w:numPr>
          <w:ilvl w:val="0"/>
          <w:numId w:val="11"/>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Option B: ARR ≈ 29.1%</w:t>
      </w:r>
    </w:p>
    <w:p w14:paraId="47B4CDC0" w14:textId="5F97E5E6" w:rsidR="00B75985" w:rsidRPr="00B75985" w:rsidRDefault="00B75985" w:rsidP="00B75985">
      <w:pPr>
        <w:pStyle w:val="ListParagraph"/>
        <w:numPr>
          <w:ilvl w:val="0"/>
          <w:numId w:val="11"/>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ARR ≈ 19.3%</w:t>
      </w:r>
    </w:p>
    <w:p w14:paraId="7E4615E3" w14:textId="77777777" w:rsidR="00B75985" w:rsidRPr="00B75985" w:rsidRDefault="00B75985" w:rsidP="00B75985">
      <w:pPr>
        <w:pStyle w:val="Heading3"/>
      </w:pPr>
      <w:bookmarkStart w:id="43" w:name="_Toc219020674"/>
      <w:r w:rsidRPr="00B75985">
        <w:t>Interpretation of ARR Results</w:t>
      </w:r>
      <w:bookmarkEnd w:id="43"/>
    </w:p>
    <w:p w14:paraId="61C2AF2E"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Arrangement A shows the highest ARR on account of its high average accounting profitability. Then comes Arrangement B, which is not that bad concerning ARR, while Arrangement C shows the lowest ARR on account of a higher investment outlaid and lower average profits. (Gordon, 2020; Hartley, Firer and Ford, 2006)</w:t>
      </w:r>
    </w:p>
    <w:p w14:paraId="728126FD" w14:textId="172AEFE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Despite being so intuitive a tool, ARR is </w:t>
      </w:r>
      <w:proofErr w:type="gramStart"/>
      <w:r w:rsidRPr="00B75985">
        <w:rPr>
          <w:rFonts w:ascii="Times New Roman" w:hAnsi="Times New Roman" w:cs="Times New Roman"/>
        </w:rPr>
        <w:t>actually a</w:t>
      </w:r>
      <w:proofErr w:type="gramEnd"/>
      <w:r w:rsidRPr="00B75985">
        <w:rPr>
          <w:rFonts w:ascii="Times New Roman" w:hAnsi="Times New Roman" w:cs="Times New Roman"/>
        </w:rPr>
        <w:t xml:space="preserve"> flawed tool. ARR does not consider the timing concept of profits, does not incorporate the concept of time value of money, or follow any accounting principles like depreciation. Therefore, ARR is a secondary tool that does not necessarily help in reaching a decision. (Gordon, 2020;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w:t>
      </w:r>
    </w:p>
    <w:p w14:paraId="5FC1AD79" w14:textId="77777777" w:rsidR="00B75985" w:rsidRPr="00B75985" w:rsidRDefault="00B75985" w:rsidP="00B75985">
      <w:pPr>
        <w:pStyle w:val="Heading3"/>
      </w:pPr>
      <w:bookmarkStart w:id="44" w:name="_Toc219020675"/>
      <w:r w:rsidRPr="00B75985">
        <w:t>Summary of Non-Discounting Methods</w:t>
      </w:r>
      <w:bookmarkEnd w:id="44"/>
    </w:p>
    <w:p w14:paraId="2428D4A6"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Both Payback Period and ARR find Option A to be most preferable, primarily based on its smaller investment and payback period. This contradicts other methods of discounted cash flow, which state that the option with maximum value is Option B.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 CFI, 2022)</w:t>
      </w:r>
    </w:p>
    <w:p w14:paraId="42A56944" w14:textId="7156C17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This disparity is why the non-discounting methods continue to be popular in the evaluation of risks and liquidity but cannot be given due importance regarding the evaluation of NPV and IRR for the purpose of maximizing value for the long term.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 Spring, 2018)</w:t>
      </w:r>
    </w:p>
    <w:p w14:paraId="5EC4232D" w14:textId="77777777" w:rsidR="00B75985" w:rsidRPr="00B75985" w:rsidRDefault="00B75985" w:rsidP="00B75985">
      <w:pPr>
        <w:pStyle w:val="Heading3"/>
      </w:pPr>
      <w:bookmarkStart w:id="45" w:name="_Toc219020676"/>
      <w:r w:rsidRPr="00B75985">
        <w:t>(c) Interpretation of Results for Management</w:t>
      </w:r>
      <w:bookmarkEnd w:id="45"/>
    </w:p>
    <w:p w14:paraId="314A400D" w14:textId="3A7C4FA8"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Even though the outcomes of investment appraisal techniques are informative in making decisions in numerical terms, it is also essential that management is aware of the reasons for the preference of </w:t>
      </w:r>
      <w:proofErr w:type="gramStart"/>
      <w:r w:rsidRPr="00B75985">
        <w:rPr>
          <w:rFonts w:ascii="Times New Roman" w:hAnsi="Times New Roman" w:cs="Times New Roman"/>
        </w:rPr>
        <w:t>particular techniques</w:t>
      </w:r>
      <w:proofErr w:type="gramEnd"/>
      <w:r w:rsidRPr="00B75985">
        <w:rPr>
          <w:rFonts w:ascii="Times New Roman" w:hAnsi="Times New Roman" w:cs="Times New Roman"/>
        </w:rPr>
        <w:t xml:space="preserve"> over others, the reasons for continuing with particular techniques even though they are not preferred, and what else is involved in making an evaluation of the investment project in terms of investing significant resources on the investment. The next section interprets the result of investment appraisal. (Spring, 2018; Palepu and Healy, 2020;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08880FDD" w14:textId="77777777" w:rsidR="00B75985" w:rsidRPr="00B75985" w:rsidRDefault="00B75985" w:rsidP="00B75985">
      <w:pPr>
        <w:pStyle w:val="Heading2"/>
      </w:pPr>
      <w:bookmarkStart w:id="46" w:name="_Toc219020677"/>
      <w:r w:rsidRPr="00B75985">
        <w:lastRenderedPageBreak/>
        <w:t>(</w:t>
      </w:r>
      <w:proofErr w:type="spellStart"/>
      <w:r w:rsidRPr="00B75985">
        <w:t>c.i</w:t>
      </w:r>
      <w:proofErr w:type="spellEnd"/>
      <w:r w:rsidRPr="00B75985">
        <w:t>) Theoretical Arguments for Net Present Value as the Best Method of Investment Appraisal</w:t>
      </w:r>
      <w:bookmarkEnd w:id="46"/>
    </w:p>
    <w:p w14:paraId="66D53C4B"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Net Present Value is viewed as the </w:t>
      </w:r>
      <w:proofErr w:type="gramStart"/>
      <w:r w:rsidRPr="00B75985">
        <w:rPr>
          <w:rFonts w:ascii="Times New Roman" w:hAnsi="Times New Roman" w:cs="Times New Roman"/>
        </w:rPr>
        <w:t>most sound</w:t>
      </w:r>
      <w:proofErr w:type="gramEnd"/>
      <w:r w:rsidRPr="00B75985">
        <w:rPr>
          <w:rFonts w:ascii="Times New Roman" w:hAnsi="Times New Roman" w:cs="Times New Roman"/>
        </w:rPr>
        <w:t xml:space="preserve"> method of investment valuation in relation to its theoretical basis compared to other investment methods. (CFI, 2022; Spring, 2018) The principal advantage of using NPV in investment valuation is its recognition of the value of money over time. This implies that money in hand at present has a greater value to the enterprise in comparison to money in hand in the future due to risks and costs of inflation. NPV involves discounting each investment based on the cost of capital of a business enterprise.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Madura, 2018)</w:t>
      </w:r>
    </w:p>
    <w:p w14:paraId="1D76ED2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On the other hand, a major advantage of the NPV approach is that it presents actual values of returns on investment. This can be considered more valuable when contrasted with percentage differences in IRR and ARR; in NPV, the actual value of the return on investment holds greater importance, particularly when more than one investment opportunity exists with differences in scale requirements, such as in Westward Plc's case with the three different investment options. (Spring, 2018;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7673C35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NPV: This assumes that the investment in the interim cash flow is made at the cost of capital for the investment. This is quite reasonable and realistic when compared to the IRR approach. On the theoretical foundation and regarding the maximization of the value for shareholders, NPV is consistent with itself. Maximizing the shareholder value is the universal financial goal function. (CFI, 2022; Lichtenstein and Dade, 2007; de Jongh, 2011)</w:t>
      </w:r>
    </w:p>
    <w:p w14:paraId="37FCD647" w14:textId="63C8357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This is why, NPV </w:t>
      </w:r>
      <w:proofErr w:type="gramStart"/>
      <w:r w:rsidRPr="00B75985">
        <w:rPr>
          <w:rFonts w:ascii="Times New Roman" w:hAnsi="Times New Roman" w:cs="Times New Roman"/>
        </w:rPr>
        <w:t>is considered to be</w:t>
      </w:r>
      <w:proofErr w:type="gramEnd"/>
      <w:r w:rsidRPr="00B75985">
        <w:rPr>
          <w:rFonts w:ascii="Times New Roman" w:hAnsi="Times New Roman" w:cs="Times New Roman"/>
        </w:rPr>
        <w:t xml:space="preserve"> the best appraisal method. (Spring, 2018; Palepu and Healy, 2020)</w:t>
      </w:r>
    </w:p>
    <w:p w14:paraId="79B528F9" w14:textId="77777777" w:rsidR="00B75985" w:rsidRPr="00B75985" w:rsidRDefault="00B75985" w:rsidP="00B75985">
      <w:pPr>
        <w:pStyle w:val="Heading2"/>
      </w:pPr>
      <w:bookmarkStart w:id="47" w:name="_Toc219020678"/>
      <w:r w:rsidRPr="00B75985">
        <w:t>(</w:t>
      </w:r>
      <w:proofErr w:type="spellStart"/>
      <w:r w:rsidRPr="00B75985">
        <w:t>c.ii</w:t>
      </w:r>
      <w:proofErr w:type="spellEnd"/>
      <w:r w:rsidRPr="00B75985">
        <w:t>) Reasons for the Continued Popularity of Non-Discounting Methods</w:t>
      </w:r>
      <w:bookmarkEnd w:id="47"/>
    </w:p>
    <w:p w14:paraId="35F1C7BA"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Yet, despite the theoretical advantage presented by NPV, techniques that do not exploit discounting, such as Payback Period and Accounting Rate of Return, have remained in common use among managers.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 Lin, 2019) The ease of use is, in my opinion, the principal reason for their popularity with managers. Calculations are simple, and results are easy to explain, especially to non-financial managers. (</w:t>
      </w:r>
      <w:proofErr w:type="spellStart"/>
      <w:r w:rsidRPr="00B75985">
        <w:rPr>
          <w:rFonts w:ascii="Times New Roman" w:hAnsi="Times New Roman" w:cs="Times New Roman"/>
        </w:rPr>
        <w:t>Atrill</w:t>
      </w:r>
      <w:proofErr w:type="spellEnd"/>
      <w:r w:rsidRPr="00B75985">
        <w:rPr>
          <w:rFonts w:ascii="Times New Roman" w:hAnsi="Times New Roman" w:cs="Times New Roman"/>
        </w:rPr>
        <w:t xml:space="preserve"> and </w:t>
      </w:r>
      <w:proofErr w:type="spellStart"/>
      <w:r w:rsidRPr="00B75985">
        <w:rPr>
          <w:rFonts w:ascii="Times New Roman" w:hAnsi="Times New Roman" w:cs="Times New Roman"/>
        </w:rPr>
        <w:t>Mclaney</w:t>
      </w:r>
      <w:proofErr w:type="spellEnd"/>
      <w:r w:rsidRPr="00B75985">
        <w:rPr>
          <w:rFonts w:ascii="Times New Roman" w:hAnsi="Times New Roman" w:cs="Times New Roman"/>
        </w:rPr>
        <w:t>, 2018; Hartley, Firer and Ford, 2006)</w:t>
      </w:r>
    </w:p>
    <w:p w14:paraId="1787FA5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 xml:space="preserve">The Payback Period is so attractive because it focuses on the problem of liquidity and risk. The payback method shows how soon the invested money can be recovered, and it draws attention to early moneys recovered that may be subject to long-term uncertainties, especially in areas with the problem of demand fluctuation, rapid technology, and short cycles.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 Lin, 2019; Allen, 2021)</w:t>
      </w:r>
    </w:p>
    <w:p w14:paraId="569CD32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ARR also enjoys popularity in view of its accounting-profit-based calculation, which lies in close affinity to the systems of financial reporting and evaluation of performance in </w:t>
      </w:r>
      <w:proofErr w:type="spellStart"/>
      <w:r w:rsidRPr="00B75985">
        <w:rPr>
          <w:rFonts w:ascii="Times New Roman" w:hAnsi="Times New Roman" w:cs="Times New Roman"/>
        </w:rPr>
        <w:t>organisations</w:t>
      </w:r>
      <w:proofErr w:type="spellEnd"/>
      <w:r w:rsidRPr="00B75985">
        <w:rPr>
          <w:rFonts w:ascii="Times New Roman" w:hAnsi="Times New Roman" w:cs="Times New Roman"/>
        </w:rPr>
        <w:t xml:space="preserve">. It will be easy for managers to relate to it, as it links investment evaluation to profitability targets in an </w:t>
      </w:r>
      <w:proofErr w:type="spellStart"/>
      <w:r w:rsidRPr="00B75985">
        <w:rPr>
          <w:rFonts w:ascii="Times New Roman" w:hAnsi="Times New Roman" w:cs="Times New Roman"/>
        </w:rPr>
        <w:t>organisation</w:t>
      </w:r>
      <w:proofErr w:type="spellEnd"/>
      <w:r w:rsidRPr="00B75985">
        <w:rPr>
          <w:rFonts w:ascii="Times New Roman" w:hAnsi="Times New Roman" w:cs="Times New Roman"/>
        </w:rPr>
        <w:t>. (Gordon, 2020; Adler, 2010; Elliott and Elliott, 2017)</w:t>
      </w:r>
    </w:p>
    <w:p w14:paraId="63E05E7A" w14:textId="5CC813D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However, these approaches have some limitations. They ignore the time value of money, while in the calculation of payback, the cash flows after the payback period are also ignored. It is clear from this appraisal that the use of non-discount approaches could produce results inconsistent with NPV, and in turn, suboptimal investment choices could emerge if these approaches alone are followed. (</w:t>
      </w:r>
      <w:proofErr w:type="spellStart"/>
      <w:r w:rsidRPr="00B75985">
        <w:rPr>
          <w:rFonts w:ascii="Times New Roman" w:hAnsi="Times New Roman" w:cs="Times New Roman"/>
        </w:rPr>
        <w:t>Imarticus</w:t>
      </w:r>
      <w:proofErr w:type="spellEnd"/>
      <w:r w:rsidRPr="00B75985">
        <w:rPr>
          <w:rFonts w:ascii="Times New Roman" w:hAnsi="Times New Roman" w:cs="Times New Roman"/>
        </w:rPr>
        <w:t>, 2024; Lin, 2019; Spring, 2018)</w:t>
      </w:r>
    </w:p>
    <w:p w14:paraId="31956BFA" w14:textId="77777777" w:rsidR="00B75985" w:rsidRPr="00B75985" w:rsidRDefault="00B75985" w:rsidP="00B75985">
      <w:pPr>
        <w:pStyle w:val="Heading2"/>
      </w:pPr>
      <w:bookmarkStart w:id="48" w:name="_Toc219020679"/>
      <w:r w:rsidRPr="00B75985">
        <w:t>(</w:t>
      </w:r>
      <w:proofErr w:type="spellStart"/>
      <w:r w:rsidRPr="00B75985">
        <w:t>c.iii</w:t>
      </w:r>
      <w:proofErr w:type="spellEnd"/>
      <w:r w:rsidRPr="00B75985">
        <w:t>) Other Factors to Consider Before Making an Investment Decision</w:t>
      </w:r>
      <w:bookmarkEnd w:id="48"/>
    </w:p>
    <w:p w14:paraId="4C5C20C0"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Along with the results of the quantifiable analysis of the project, there are other qualitative and strategic considerations that the management of Westward Plc should make before the final investment decision is arrived at. (Campbell,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056131CE"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first criterion is strategic fit. The projects must match with the company's long-term strategy. As an example, development in sales through the internet could be more appropriate in respect to growth in markets and sales, including behaviors in purchases, compared with other options. (Best, 2013; Campbell, 2021; </w:t>
      </w:r>
      <w:proofErr w:type="spellStart"/>
      <w:r w:rsidRPr="00B75985">
        <w:rPr>
          <w:rFonts w:ascii="Times New Roman" w:hAnsi="Times New Roman" w:cs="Times New Roman"/>
        </w:rPr>
        <w:t>Aydiner</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Tatoglu</w:t>
      </w:r>
      <w:proofErr w:type="spellEnd"/>
      <w:r w:rsidRPr="00B75985">
        <w:rPr>
          <w:rFonts w:ascii="Times New Roman" w:hAnsi="Times New Roman" w:cs="Times New Roman"/>
        </w:rPr>
        <w:t>, Bayraktar, Zaim and Delen, 2019)</w:t>
      </w:r>
    </w:p>
    <w:p w14:paraId="7CC06D52"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Then comes risk and uncertainty. Cash flow forecasting always involves risk, some projects are more so than others. Management must consider how the projected return is sensitive to changes in key assumptions, for instance, demand, costs, competition. (Allen, 2021;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7D2ED98C"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 xml:space="preserve">Third, operational ability and resources. </w:t>
      </w:r>
      <w:proofErr w:type="gramStart"/>
      <w:r w:rsidRPr="00B75985">
        <w:rPr>
          <w:rFonts w:ascii="Times New Roman" w:hAnsi="Times New Roman" w:cs="Times New Roman"/>
        </w:rPr>
        <w:t>An</w:t>
      </w:r>
      <w:proofErr w:type="gramEnd"/>
      <w:r w:rsidRPr="00B75985">
        <w:rPr>
          <w:rFonts w:ascii="Times New Roman" w:hAnsi="Times New Roman" w:cs="Times New Roman"/>
        </w:rPr>
        <w:t xml:space="preserve"> project can be considered viable depending on the ability of the organization to execute it. It might be financially appealing but not viable because of the absence of operational skills and resources needed in its execution. (Chopra, 2021; Flynn, 2021)</w:t>
      </w:r>
    </w:p>
    <w:p w14:paraId="48170E07" w14:textId="0FC67A99"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Finally, the flexibility of finance must also be considered. Even in cases where there are positive NPV investments, they may still generate burdens on NWC. The importance of NWC is further amplified if multiple investments are pursued concurrently or if there are possible future investment alternatives.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Kotey, 2019)</w:t>
      </w:r>
    </w:p>
    <w:p w14:paraId="3781EAC6" w14:textId="77777777" w:rsidR="00B75985" w:rsidRPr="00B75985" w:rsidRDefault="00B75985" w:rsidP="00B75985">
      <w:pPr>
        <w:pStyle w:val="Heading3"/>
      </w:pPr>
      <w:bookmarkStart w:id="49" w:name="_Toc219020680"/>
      <w:r w:rsidRPr="00B75985">
        <w:t>Section (c) Summary</w:t>
      </w:r>
      <w:bookmarkEnd w:id="49"/>
    </w:p>
    <w:p w14:paraId="5EB2DB83" w14:textId="18382088"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NPV, in a nutshell, is the best method on which investment appraisal needs to be performed, as it </w:t>
      </w:r>
      <w:proofErr w:type="gramStart"/>
      <w:r w:rsidRPr="00B75985">
        <w:rPr>
          <w:rFonts w:ascii="Times New Roman" w:hAnsi="Times New Roman" w:cs="Times New Roman"/>
        </w:rPr>
        <w:t>takes into account</w:t>
      </w:r>
      <w:proofErr w:type="gramEnd"/>
      <w:r w:rsidRPr="00B75985">
        <w:rPr>
          <w:rFonts w:ascii="Times New Roman" w:hAnsi="Times New Roman" w:cs="Times New Roman"/>
        </w:rPr>
        <w:t xml:space="preserve"> both time value and risk and is involved in determining where value is being created. (CFI, 2022; Spring, 2018; Allen, 2021) The non-discounting methods have become popular due to their simplicity and the attraction towards liquidity, but these methods should only be considered supplementary methods and should not attain the same weightage as NPV methods in investment appraisal. (</w:t>
      </w:r>
      <w:proofErr w:type="spellStart"/>
      <w:r w:rsidRPr="00B75985">
        <w:rPr>
          <w:rFonts w:ascii="Times New Roman" w:hAnsi="Times New Roman" w:cs="Times New Roman"/>
        </w:rPr>
        <w:t>Imarticus</w:t>
      </w:r>
      <w:proofErr w:type="spellEnd"/>
      <w:r w:rsidRPr="00B75985">
        <w:rPr>
          <w:rFonts w:ascii="Times New Roman" w:hAnsi="Times New Roman" w:cs="Times New Roman"/>
        </w:rPr>
        <w:t xml:space="preserve">, 2024; Lin, 2019; Georg </w:t>
      </w:r>
      <w:proofErr w:type="spellStart"/>
      <w:r w:rsidRPr="00B75985">
        <w:rPr>
          <w:rFonts w:ascii="Times New Roman" w:hAnsi="Times New Roman" w:cs="Times New Roman"/>
        </w:rPr>
        <w:t>Müller-Fürstenberger</w:t>
      </w:r>
      <w:proofErr w:type="spellEnd"/>
      <w:r w:rsidRPr="00B75985">
        <w:rPr>
          <w:rFonts w:ascii="Times New Roman" w:hAnsi="Times New Roman" w:cs="Times New Roman"/>
        </w:rPr>
        <w:t>, 2017)</w:t>
      </w:r>
    </w:p>
    <w:p w14:paraId="0E9C19DE" w14:textId="77777777" w:rsidR="00B75985" w:rsidRPr="00B75985" w:rsidRDefault="00B75985" w:rsidP="00B75985">
      <w:pPr>
        <w:pStyle w:val="Heading2"/>
      </w:pPr>
      <w:bookmarkStart w:id="50" w:name="_Toc219020681"/>
      <w:r w:rsidRPr="00B75985">
        <w:t>(d) Capital Rationing</w:t>
      </w:r>
      <w:bookmarkEnd w:id="50"/>
    </w:p>
    <w:p w14:paraId="159914F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In practical terms, the constraint of limited investment capital available for investment purposes is normally faced by firms.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In our example, the company </w:t>
      </w:r>
      <w:proofErr w:type="gramStart"/>
      <w:r w:rsidRPr="00B75985">
        <w:rPr>
          <w:rFonts w:ascii="Times New Roman" w:hAnsi="Times New Roman" w:cs="Times New Roman"/>
        </w:rPr>
        <w:t>has the ability to</w:t>
      </w:r>
      <w:proofErr w:type="gramEnd"/>
      <w:r w:rsidRPr="00B75985">
        <w:rPr>
          <w:rFonts w:ascii="Times New Roman" w:hAnsi="Times New Roman" w:cs="Times New Roman"/>
        </w:rPr>
        <w:t xml:space="preserve"> raise finances for investment purposes up to a maximum of £2,500,000. Although all three investment proposals give positive NPV, it may not be possible for all three proposals to be considered for implementation within the financial constraint available. This condition is known as capital rationing. (Spring, 2018;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2CC728B8"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As the projects are divisible, in the case of Westward Plc, it may not be compelled to either accept or reject a project in its entirety. It may allocate capital to a part of a project if doing so leads to an optimal allocation of scarce </w:t>
      </w:r>
      <w:proofErr w:type="spellStart"/>
      <w:proofErr w:type="gramStart"/>
      <w:r w:rsidRPr="00B75985">
        <w:rPr>
          <w:rFonts w:ascii="Times New Roman" w:hAnsi="Times New Roman" w:cs="Times New Roman"/>
        </w:rPr>
        <w:t>capital.Management</w:t>
      </w:r>
      <w:proofErr w:type="spellEnd"/>
      <w:proofErr w:type="gramEnd"/>
      <w:r w:rsidRPr="00B75985">
        <w:rPr>
          <w:rFonts w:ascii="Times New Roman" w:hAnsi="Times New Roman" w:cs="Times New Roman"/>
        </w:rPr>
        <w:t xml:space="preserve"> would be inclined towards maximizing total net </w:t>
      </w:r>
      <w:r w:rsidRPr="00B75985">
        <w:rPr>
          <w:rFonts w:ascii="Times New Roman" w:hAnsi="Times New Roman" w:cs="Times New Roman"/>
        </w:rPr>
        <w:lastRenderedPageBreak/>
        <w:t xml:space="preserve">benefits, given the total available capital. It would not be purely selecting the projects </w:t>
      </w: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net benefits. (</w:t>
      </w:r>
      <w:proofErr w:type="spellStart"/>
      <w:r w:rsidRPr="00B75985">
        <w:rPr>
          <w:rFonts w:ascii="Times New Roman" w:hAnsi="Times New Roman" w:cs="Times New Roman"/>
        </w:rPr>
        <w:t>Oakshott</w:t>
      </w:r>
      <w:proofErr w:type="spellEnd"/>
      <w:r w:rsidRPr="00B75985">
        <w:rPr>
          <w:rFonts w:ascii="Times New Roman" w:hAnsi="Times New Roman" w:cs="Times New Roman"/>
        </w:rPr>
        <w:t xml:space="preserve">, 2020;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00186285" w14:textId="4BCA4A0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It accomplishes this by identifying projects </w:t>
      </w:r>
      <w:proofErr w:type="gramStart"/>
      <w:r w:rsidRPr="00B75985">
        <w:rPr>
          <w:rFonts w:ascii="Times New Roman" w:hAnsi="Times New Roman" w:cs="Times New Roman"/>
        </w:rPr>
        <w:t>on the basis of</w:t>
      </w:r>
      <w:proofErr w:type="gramEnd"/>
      <w:r w:rsidRPr="00B75985">
        <w:rPr>
          <w:rFonts w:ascii="Times New Roman" w:hAnsi="Times New Roman" w:cs="Times New Roman"/>
        </w:rPr>
        <w:t xml:space="preserve"> their Profitability Index, which is given by the NPV earned per unit of investment in pounds sterling. The PI is highly informative in cases where projects are divisible, as it points to where the maximum value per unit of investment has been obtained. (Spring, 2018; Palepu and Healy, 2020)</w:t>
      </w:r>
    </w:p>
    <w:p w14:paraId="42883BA4" w14:textId="77777777" w:rsidR="00B75985" w:rsidRPr="00B75985" w:rsidRDefault="00B75985" w:rsidP="00B75985">
      <w:pPr>
        <w:spacing w:before="100" w:beforeAutospacing="1" w:after="100" w:afterAutospacing="1" w:line="360" w:lineRule="auto"/>
        <w:jc w:val="both"/>
        <w:rPr>
          <w:rFonts w:ascii="Times New Roman" w:hAnsi="Times New Roman" w:cs="Times New Roman"/>
          <w:b/>
          <w:bCs/>
        </w:rPr>
      </w:pPr>
      <w:r w:rsidRPr="00B75985">
        <w:rPr>
          <w:rFonts w:ascii="Times New Roman" w:hAnsi="Times New Roman" w:cs="Times New Roman"/>
          <w:b/>
          <w:bCs/>
        </w:rPr>
        <w:t>Profitability Index Results</w:t>
      </w:r>
    </w:p>
    <w:p w14:paraId="7F64ECAD"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The profitability indices for the three options are:</w:t>
      </w:r>
    </w:p>
    <w:p w14:paraId="5DD8981D" w14:textId="065395E9" w:rsidR="00B75985" w:rsidRPr="00B75985" w:rsidRDefault="00B75985" w:rsidP="00B75985">
      <w:pPr>
        <w:pStyle w:val="ListParagraph"/>
        <w:numPr>
          <w:ilvl w:val="0"/>
          <w:numId w:val="12"/>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A (Retail expansion): PI ≈ 2.07</w:t>
      </w:r>
    </w:p>
    <w:p w14:paraId="595086B2" w14:textId="65BA8B30" w:rsidR="00B75985" w:rsidRPr="00B75985" w:rsidRDefault="00B75985" w:rsidP="00B75985">
      <w:pPr>
        <w:pStyle w:val="ListParagraph"/>
        <w:numPr>
          <w:ilvl w:val="0"/>
          <w:numId w:val="12"/>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B (Develop internet sales): PI ≈ 1.79</w:t>
      </w:r>
    </w:p>
    <w:p w14:paraId="66194CEB" w14:textId="1A262925" w:rsidR="00B75985" w:rsidRPr="00B75985" w:rsidRDefault="00B75985" w:rsidP="00B75985">
      <w:pPr>
        <w:pStyle w:val="ListParagraph"/>
        <w:numPr>
          <w:ilvl w:val="0"/>
          <w:numId w:val="12"/>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Option C (Produce wooden and Roman blinds): PI ≈ 1.46</w:t>
      </w:r>
    </w:p>
    <w:p w14:paraId="73A8BC1F" w14:textId="77777777" w:rsidR="00B75985" w:rsidRPr="00B75985" w:rsidRDefault="00B75985" w:rsidP="00B75985">
      <w:pPr>
        <w:pStyle w:val="Heading3"/>
      </w:pPr>
      <w:bookmarkStart w:id="51" w:name="_Toc219020682"/>
      <w:r w:rsidRPr="00B75985">
        <w:t>Optimal Investment Policy</w:t>
      </w:r>
      <w:bookmarkEnd w:id="51"/>
    </w:p>
    <w:p w14:paraId="2B45D405"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w:t>
      </w:r>
      <w:proofErr w:type="spellStart"/>
      <w:r w:rsidRPr="00B75985">
        <w:rPr>
          <w:rFonts w:ascii="Times New Roman" w:hAnsi="Times New Roman" w:cs="Times New Roman"/>
        </w:rPr>
        <w:t>maximise</w:t>
      </w:r>
      <w:proofErr w:type="spellEnd"/>
      <w:r w:rsidRPr="00B75985">
        <w:rPr>
          <w:rFonts w:ascii="Times New Roman" w:hAnsi="Times New Roman" w:cs="Times New Roman"/>
        </w:rPr>
        <w:t xml:space="preserve"> Total NPV given the capital budget constraint of £2.5 million, it would be best for Westward Plc to invest in projects in order of descending order of Profitability Index values. (Spring, 2018;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23BA2F05" w14:textId="1DEBA5C4"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First, Option A must be implemented in its entirety, requiring an initial investment of £600,000. Second, option B must also be carried out in entirety, which would call for an additional investment of £1,000,000 On completing options A and B, the total capital utilized is £1,600,000, leaving an available amount of £900,000. In option C, the initial investment required is £1,600,000. This goes beyond the remaining budget, but since it is a divisible project, Westward Plc should invest in option C £900,000 ÷ £1,600,000 = 56.25%.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 Spring, 2018)</w:t>
      </w:r>
    </w:p>
    <w:p w14:paraId="38AA9F05" w14:textId="77777777" w:rsidR="00B75985" w:rsidRPr="00B75985" w:rsidRDefault="00B75985" w:rsidP="00B75985">
      <w:pPr>
        <w:spacing w:before="100" w:beforeAutospacing="1" w:after="100" w:afterAutospacing="1" w:line="360" w:lineRule="auto"/>
        <w:jc w:val="both"/>
        <w:rPr>
          <w:rFonts w:ascii="Times New Roman" w:hAnsi="Times New Roman" w:cs="Times New Roman"/>
          <w:b/>
          <w:bCs/>
        </w:rPr>
      </w:pPr>
      <w:r w:rsidRPr="00B75985">
        <w:rPr>
          <w:rFonts w:ascii="Times New Roman" w:hAnsi="Times New Roman" w:cs="Times New Roman"/>
          <w:b/>
          <w:bCs/>
        </w:rPr>
        <w:t>Resulting Total NPV</w:t>
      </w:r>
    </w:p>
    <w:p w14:paraId="04A3523F"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Thus, Westward Plc would undertake:</w:t>
      </w:r>
    </w:p>
    <w:p w14:paraId="0896DCAF" w14:textId="4D2716E5" w:rsidR="00B75985" w:rsidRPr="00B75985" w:rsidRDefault="00B75985" w:rsidP="00B75985">
      <w:pPr>
        <w:pStyle w:val="ListParagraph"/>
        <w:numPr>
          <w:ilvl w:val="0"/>
          <w:numId w:val="13"/>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100% of Option A</w:t>
      </w:r>
    </w:p>
    <w:p w14:paraId="1E9CD5FB" w14:textId="5607D7FD" w:rsidR="00B75985" w:rsidRPr="00B75985" w:rsidRDefault="00B75985" w:rsidP="00B75985">
      <w:pPr>
        <w:pStyle w:val="ListParagraph"/>
        <w:numPr>
          <w:ilvl w:val="0"/>
          <w:numId w:val="13"/>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lastRenderedPageBreak/>
        <w:t>100% of Option B</w:t>
      </w:r>
    </w:p>
    <w:p w14:paraId="01C9BEB3" w14:textId="46A2A413" w:rsidR="00B75985" w:rsidRPr="00B75985" w:rsidRDefault="00B75985" w:rsidP="00B75985">
      <w:pPr>
        <w:pStyle w:val="ListParagraph"/>
        <w:numPr>
          <w:ilvl w:val="0"/>
          <w:numId w:val="13"/>
        </w:num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56.25% of Option C</w:t>
      </w:r>
    </w:p>
    <w:p w14:paraId="734DC88A" w14:textId="65504398"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resulting total NPV is approximately £1.85 million. (Spring, 2018;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0A135630" w14:textId="77777777" w:rsidR="00B75985" w:rsidRPr="00B75985" w:rsidRDefault="00B75985" w:rsidP="00B75985">
      <w:pPr>
        <w:pStyle w:val="Heading3"/>
      </w:pPr>
      <w:bookmarkStart w:id="52" w:name="_Toc219020683"/>
      <w:r w:rsidRPr="00B75985">
        <w:t>Interpretation for Management</w:t>
      </w:r>
      <w:bookmarkEnd w:id="52"/>
    </w:p>
    <w:p w14:paraId="22DE3340"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The capital rationing analysis here below shows that, under a </w:t>
      </w:r>
      <w:proofErr w:type="gramStart"/>
      <w:r w:rsidRPr="00B75985">
        <w:rPr>
          <w:rFonts w:ascii="Times New Roman" w:hAnsi="Times New Roman" w:cs="Times New Roman"/>
        </w:rPr>
        <w:t>funds</w:t>
      </w:r>
      <w:proofErr w:type="gramEnd"/>
      <w:r w:rsidRPr="00B75985">
        <w:rPr>
          <w:rFonts w:ascii="Times New Roman" w:hAnsi="Times New Roman" w:cs="Times New Roman"/>
        </w:rPr>
        <w:t xml:space="preserve"> constraint, the project having the highest standalone NPV is not necessarily the only to be taken into consideration. In other words, what management needs to do now is to bring in the concept of capital efficiency, where any pound invested demonstrates the highest possible return. (Almeida and Campello, 2005;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w:t>
      </w:r>
    </w:p>
    <w:p w14:paraId="3C90E4C4" w14:textId="1BD400B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Even though the individual NPV of Option B is higher, Option A's higher profitability index justifies it to be accorded priority under capital rationing. Projects divisible enable Westward Plc to increase total value still further by partially investing in Option C, rather than an all or nothing decision. (Spring, 2018; </w:t>
      </w:r>
      <w:proofErr w:type="spellStart"/>
      <w:r w:rsidRPr="00B75985">
        <w:rPr>
          <w:rFonts w:ascii="Times New Roman" w:hAnsi="Times New Roman" w:cs="Times New Roman"/>
        </w:rPr>
        <w:t>Oakshott</w:t>
      </w:r>
      <w:proofErr w:type="spellEnd"/>
      <w:r w:rsidRPr="00B75985">
        <w:rPr>
          <w:rFonts w:ascii="Times New Roman" w:hAnsi="Times New Roman" w:cs="Times New Roman"/>
        </w:rPr>
        <w:t>, 2020)</w:t>
      </w:r>
    </w:p>
    <w:p w14:paraId="1DA50660" w14:textId="77777777" w:rsidR="00B75985" w:rsidRPr="00B75985" w:rsidRDefault="00B75985" w:rsidP="001E2764">
      <w:pPr>
        <w:pStyle w:val="Heading2"/>
      </w:pPr>
      <w:bookmarkStart w:id="53" w:name="_Toc219020684"/>
      <w:r w:rsidRPr="00B75985">
        <w:t xml:space="preserve">Financing the Investment </w:t>
      </w:r>
      <w:proofErr w:type="spellStart"/>
      <w:r w:rsidRPr="00B75985">
        <w:t>Programme</w:t>
      </w:r>
      <w:bookmarkEnd w:id="53"/>
      <w:proofErr w:type="spellEnd"/>
    </w:p>
    <w:p w14:paraId="12C7193F" w14:textId="6DB1EB05"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Having identified the best investment approach, the next area of consideration for the Board is how the program would be financed. Financial options will determine the company's risk, cash flow situation, as well as their future financial prospects. (Allen, 2021;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Finance options that the company, Westward Plc, can take are highlighted as follows: (Connolly, 2007; Madura, 2018)</w:t>
      </w:r>
    </w:p>
    <w:p w14:paraId="7B2032C4" w14:textId="77777777" w:rsidR="00B75985" w:rsidRPr="001E2764" w:rsidRDefault="00B75985" w:rsidP="00B75985">
      <w:pPr>
        <w:spacing w:before="100" w:beforeAutospacing="1" w:after="100" w:afterAutospacing="1" w:line="360" w:lineRule="auto"/>
        <w:jc w:val="both"/>
        <w:rPr>
          <w:rFonts w:ascii="Times New Roman" w:hAnsi="Times New Roman" w:cs="Times New Roman"/>
          <w:b/>
          <w:bCs/>
        </w:rPr>
      </w:pPr>
      <w:r w:rsidRPr="001E2764">
        <w:rPr>
          <w:rFonts w:ascii="Times New Roman" w:hAnsi="Times New Roman" w:cs="Times New Roman"/>
          <w:b/>
          <w:bCs/>
        </w:rPr>
        <w:t>Retained Earnings</w:t>
      </w:r>
    </w:p>
    <w:p w14:paraId="01A9D9AB" w14:textId="280AF02D"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Retained earnings are an internal source of finance that is achieved by reinvesting past profits. (Palepu and Healy, 2020; Lichtenstein and Dade, 2007) The use of retained earnings does not require external funding. Retained earnings are not associated with any risk of interest or repayment. Retained earnings do not dilute the ownership interests of the current stockholders. (de Jongh, 2011;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w:t>
      </w:r>
    </w:p>
    <w:p w14:paraId="6C103050" w14:textId="77777777" w:rsidR="00B75985" w:rsidRPr="001E2764" w:rsidRDefault="00B75985" w:rsidP="00B75985">
      <w:pPr>
        <w:spacing w:before="100" w:beforeAutospacing="1" w:after="100" w:afterAutospacing="1" w:line="360" w:lineRule="auto"/>
        <w:jc w:val="both"/>
        <w:rPr>
          <w:rFonts w:ascii="Times New Roman" w:hAnsi="Times New Roman" w:cs="Times New Roman"/>
          <w:b/>
          <w:bCs/>
        </w:rPr>
      </w:pPr>
      <w:r w:rsidRPr="001E2764">
        <w:rPr>
          <w:rFonts w:ascii="Times New Roman" w:hAnsi="Times New Roman" w:cs="Times New Roman"/>
          <w:b/>
          <w:bCs/>
        </w:rPr>
        <w:lastRenderedPageBreak/>
        <w:t>Debt Finance</w:t>
      </w:r>
    </w:p>
    <w:p w14:paraId="41F9085B" w14:textId="4909E276"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Debt financing, like loans from banks or other long-term borrowings, is another important funding mechanism available to the firm. (Kotey, 2019; Almeida and Campello, 2005) Interest paid on borrowings is tax deductible, thus decreasing the economic cost of capital and increasing shareholder earnings through financial leverage. Moreover, debt helps the firm make an investment with no dilution of ownership. (Allen, 2021; Kotey, 2019)</w:t>
      </w:r>
    </w:p>
    <w:p w14:paraId="09C25F6E" w14:textId="77777777" w:rsidR="00B75985" w:rsidRPr="001E2764" w:rsidRDefault="00B75985" w:rsidP="00B75985">
      <w:pPr>
        <w:spacing w:before="100" w:beforeAutospacing="1" w:after="100" w:afterAutospacing="1" w:line="360" w:lineRule="auto"/>
        <w:jc w:val="both"/>
        <w:rPr>
          <w:rFonts w:ascii="Times New Roman" w:hAnsi="Times New Roman" w:cs="Times New Roman"/>
          <w:b/>
          <w:bCs/>
        </w:rPr>
      </w:pPr>
      <w:r w:rsidRPr="001E2764">
        <w:rPr>
          <w:rFonts w:ascii="Times New Roman" w:hAnsi="Times New Roman" w:cs="Times New Roman"/>
          <w:b/>
          <w:bCs/>
        </w:rPr>
        <w:t>Equity Finance</w:t>
      </w:r>
    </w:p>
    <w:p w14:paraId="57796171" w14:textId="07D1FB2C"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Equity finance requires the issue of new shares to investors. There are no fixed repayments, as with debt, so the risk of liquidity difficulties is reduced. It can strengthen the company's balance sheet and improve borrowing capacity. (</w:t>
      </w:r>
      <w:proofErr w:type="spellStart"/>
      <w:r w:rsidRPr="00B75985">
        <w:rPr>
          <w:rFonts w:ascii="Times New Roman" w:hAnsi="Times New Roman" w:cs="Times New Roman"/>
        </w:rPr>
        <w:t>Clayman</w:t>
      </w:r>
      <w:proofErr w:type="spellEnd"/>
      <w:r w:rsidRPr="00B75985">
        <w:rPr>
          <w:rFonts w:ascii="Times New Roman" w:hAnsi="Times New Roman" w:cs="Times New Roman"/>
        </w:rPr>
        <w:t xml:space="preserve">, </w:t>
      </w:r>
      <w:proofErr w:type="spellStart"/>
      <w:r w:rsidRPr="00B75985">
        <w:rPr>
          <w:rFonts w:ascii="Times New Roman" w:hAnsi="Times New Roman" w:cs="Times New Roman"/>
        </w:rPr>
        <w:t>Fridson</w:t>
      </w:r>
      <w:proofErr w:type="spellEnd"/>
      <w:r w:rsidRPr="00B75985">
        <w:rPr>
          <w:rFonts w:ascii="Times New Roman" w:hAnsi="Times New Roman" w:cs="Times New Roman"/>
        </w:rPr>
        <w:t xml:space="preserve"> and Troughton, 2012; Chen, Chung, Hsu and Wu, 2010)</w:t>
      </w:r>
    </w:p>
    <w:p w14:paraId="669C054A" w14:textId="77777777" w:rsidR="00B75985" w:rsidRPr="00B75985" w:rsidRDefault="00B75985" w:rsidP="001E2764">
      <w:pPr>
        <w:pStyle w:val="Heading3"/>
      </w:pPr>
      <w:bookmarkStart w:id="54" w:name="_Toc219020685"/>
      <w:r w:rsidRPr="00B75985">
        <w:t>Recommended Financing Approach</w:t>
      </w:r>
      <w:bookmarkEnd w:id="54"/>
    </w:p>
    <w:p w14:paraId="0A83DA01" w14:textId="77777777" w:rsidR="00B75985" w:rsidRPr="00B75985"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Owing to the positive cash flows that the company stands to derive from the investment program, it is advisable that the company adopts a balanced structure in terms of financing. Westward Plc should resort to a combination of the company's retained earnings and long-term borrowing to finance the program </w:t>
      </w:r>
      <w:proofErr w:type="gramStart"/>
      <w:r w:rsidRPr="00B75985">
        <w:rPr>
          <w:rFonts w:ascii="Times New Roman" w:hAnsi="Times New Roman" w:cs="Times New Roman"/>
        </w:rPr>
        <w:t>in order to</w:t>
      </w:r>
      <w:proofErr w:type="gramEnd"/>
      <w:r w:rsidRPr="00B75985">
        <w:rPr>
          <w:rFonts w:ascii="Times New Roman" w:hAnsi="Times New Roman" w:cs="Times New Roman"/>
        </w:rPr>
        <w:t xml:space="preserve"> reduce dilution effects while gaining the tax advantage that comes with the latter. (Allen, 2021; Kotey, 2019; Lichtenstein and Dade, 2007)</w:t>
      </w:r>
    </w:p>
    <w:p w14:paraId="3B36AC25" w14:textId="77777777" w:rsidR="001E2764" w:rsidRDefault="00B75985" w:rsidP="00B75985">
      <w:pPr>
        <w:spacing w:before="100" w:beforeAutospacing="1" w:after="100" w:afterAutospacing="1" w:line="360" w:lineRule="auto"/>
        <w:jc w:val="both"/>
        <w:rPr>
          <w:rFonts w:ascii="Times New Roman" w:hAnsi="Times New Roman" w:cs="Times New Roman"/>
        </w:rPr>
      </w:pPr>
      <w:r w:rsidRPr="00B75985">
        <w:rPr>
          <w:rFonts w:ascii="Times New Roman" w:hAnsi="Times New Roman" w:cs="Times New Roman"/>
        </w:rPr>
        <w:t xml:space="preserve">Equity financing should be resorting to only if internal generated funds and borrowing capacity are exhausted or if the directors feel that the risk profile could be more conservative. (Kersten, Harms, </w:t>
      </w:r>
      <w:proofErr w:type="spellStart"/>
      <w:r w:rsidRPr="00B75985">
        <w:rPr>
          <w:rFonts w:ascii="Times New Roman" w:hAnsi="Times New Roman" w:cs="Times New Roman"/>
        </w:rPr>
        <w:t>Liket</w:t>
      </w:r>
      <w:proofErr w:type="spellEnd"/>
      <w:r w:rsidRPr="00B75985">
        <w:rPr>
          <w:rFonts w:ascii="Times New Roman" w:hAnsi="Times New Roman" w:cs="Times New Roman"/>
        </w:rPr>
        <w:t xml:space="preserve"> and Maas, 2017; </w:t>
      </w:r>
      <w:proofErr w:type="spellStart"/>
      <w:r w:rsidRPr="00B75985">
        <w:rPr>
          <w:rFonts w:ascii="Times New Roman" w:hAnsi="Times New Roman" w:cs="Times New Roman"/>
        </w:rPr>
        <w:t>Chorafas</w:t>
      </w:r>
      <w:proofErr w:type="spellEnd"/>
      <w:r w:rsidRPr="00B75985">
        <w:rPr>
          <w:rFonts w:ascii="Times New Roman" w:hAnsi="Times New Roman" w:cs="Times New Roman"/>
        </w:rPr>
        <w:t>, 2015)</w:t>
      </w:r>
    </w:p>
    <w:p w14:paraId="270D641B" w14:textId="1D9D6BA0" w:rsidR="000D5E34" w:rsidRPr="000D5E34" w:rsidRDefault="000D5E34" w:rsidP="001E2764">
      <w:pPr>
        <w:pStyle w:val="Heading1"/>
        <w:rPr>
          <w:rFonts w:eastAsia="Times New Roman"/>
        </w:rPr>
      </w:pPr>
      <w:bookmarkStart w:id="55" w:name="_Toc219020686"/>
      <w:r w:rsidRPr="000D5E34">
        <w:rPr>
          <w:rFonts w:eastAsia="Times New Roman"/>
        </w:rPr>
        <w:t>Conclusion</w:t>
      </w:r>
      <w:bookmarkEnd w:id="55"/>
    </w:p>
    <w:p w14:paraId="4750A18D" w14:textId="77777777" w:rsidR="00E85766" w:rsidRDefault="00E85766" w:rsidP="000D5E34">
      <w:pPr>
        <w:spacing w:before="100" w:beforeAutospacing="1" w:after="100" w:afterAutospacing="1" w:line="360" w:lineRule="auto"/>
        <w:jc w:val="both"/>
        <w:rPr>
          <w:rFonts w:ascii="Times New Roman" w:eastAsia="Times New Roman" w:hAnsi="Times New Roman" w:cs="Times New Roman"/>
          <w:kern w:val="0"/>
          <w14:ligatures w14:val="none"/>
        </w:rPr>
      </w:pPr>
      <w:r w:rsidRPr="00E85766">
        <w:rPr>
          <w:rFonts w:ascii="Times New Roman" w:eastAsia="Times New Roman" w:hAnsi="Times New Roman" w:cs="Times New Roman"/>
          <w:kern w:val="0"/>
          <w14:ligatures w14:val="none"/>
        </w:rPr>
        <w:t xml:space="preserve">The financial analysis carried out in Part 1 reveals that Unilever PLC continues to be a financially robust company despite challenges related to short-term profitability. Additionally, financial statements show an improvement in financial performances related to revenue, which indicates a robust pricing model and cost management. Furthermore, the financials also indicate improved </w:t>
      </w:r>
      <w:r w:rsidRPr="00E85766">
        <w:rPr>
          <w:rFonts w:ascii="Times New Roman" w:eastAsia="Times New Roman" w:hAnsi="Times New Roman" w:cs="Times New Roman"/>
          <w:kern w:val="0"/>
          <w14:ligatures w14:val="none"/>
        </w:rPr>
        <w:lastRenderedPageBreak/>
        <w:t>operational efficiencies. Even though the financials show a deterioration in financial returns due to restructuring, liquidity and solvability indicators remained unchanged and succeeded in boosting shareholder confidence with high market valuations and dividend payouts. In conclusion, based on a financial analysis, the financials of Unilever's key operations continue to be efficient with short-term challenges associated with profitability.</w:t>
      </w:r>
    </w:p>
    <w:p w14:paraId="466B2084" w14:textId="59866A9C" w:rsidR="0064316B" w:rsidRDefault="00AA0A4A" w:rsidP="0064316B">
      <w:pPr>
        <w:spacing w:before="100" w:beforeAutospacing="1" w:after="100" w:afterAutospacing="1" w:line="360" w:lineRule="auto"/>
        <w:jc w:val="both"/>
        <w:rPr>
          <w:rFonts w:ascii="Times New Roman" w:eastAsia="Times New Roman" w:hAnsi="Times New Roman" w:cs="Times New Roman"/>
          <w:kern w:val="0"/>
          <w14:ligatures w14:val="none"/>
        </w:rPr>
      </w:pPr>
      <w:r w:rsidRPr="00AA0A4A">
        <w:rPr>
          <w:rFonts w:ascii="Times New Roman" w:eastAsia="Times New Roman" w:hAnsi="Times New Roman" w:cs="Times New Roman"/>
          <w:kern w:val="0"/>
          <w14:ligatures w14:val="none"/>
        </w:rPr>
        <w:t>Part 2 continues to develop the financial context of such capital investment decisions, appraising those decisions via the comparison of alternative investments for Westward Plc. Investment appraisal illustrates the relevance of the Net Present Value as the key decision-making tool, which continues to highlight the investment alternative with the highest financial benefits. Though the other analytical tools, such as the IRR, Payback, and ARR, continue to be valid complementary analysis, their relevance continues to substantiate the supremacy of investment decisions informed via the Net Present Value. The analysis of capital rationing continues to aptly address the relevance of optimal resource allocation, and the analysis of funding continues to aptly address the relevance of prudent alignment of investment decisions with the funding model. Both Parts 1 and 2 continue to aptly address the relevance of optimal financial analysis and investment appraisal of capital investment decisions for the realization of optimal sustained value addition.</w:t>
      </w:r>
    </w:p>
    <w:p w14:paraId="07C7D02E"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278B49C3"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0D2F447C"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17BA789E"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35293292"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10042772"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1D2BAA19" w14:textId="77777777" w:rsidR="00DE7A1A"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0D26DADC" w14:textId="77777777" w:rsidR="00DE7A1A" w:rsidRPr="0021744F" w:rsidRDefault="00DE7A1A" w:rsidP="0064316B">
      <w:pPr>
        <w:spacing w:before="100" w:beforeAutospacing="1" w:after="100" w:afterAutospacing="1" w:line="360" w:lineRule="auto"/>
        <w:jc w:val="both"/>
        <w:rPr>
          <w:rFonts w:ascii="Times New Roman" w:eastAsia="Times New Roman" w:hAnsi="Times New Roman" w:cs="Times New Roman"/>
          <w:kern w:val="0"/>
          <w14:ligatures w14:val="none"/>
        </w:rPr>
      </w:pPr>
    </w:p>
    <w:p w14:paraId="1DEFBF25" w14:textId="77777777" w:rsidR="00DE7A1A" w:rsidRPr="00DE7A1A" w:rsidRDefault="00DE7A1A" w:rsidP="00DE7A1A">
      <w:pPr>
        <w:pStyle w:val="Heading1"/>
        <w:rPr>
          <w:rFonts w:eastAsia="Times New Roman"/>
        </w:rPr>
      </w:pPr>
      <w:bookmarkStart w:id="56" w:name="_Toc219020687"/>
      <w:r w:rsidRPr="00DE7A1A">
        <w:rPr>
          <w:rFonts w:eastAsia="Times New Roman"/>
        </w:rPr>
        <w:lastRenderedPageBreak/>
        <w:t>Reference list</w:t>
      </w:r>
      <w:bookmarkEnd w:id="56"/>
    </w:p>
    <w:p w14:paraId="1184A22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Adler, R. (2010). Enhancing business success: The role of performance management. </w:t>
      </w:r>
      <w:r w:rsidRPr="00DE7A1A">
        <w:rPr>
          <w:rFonts w:ascii="Times New Roman" w:eastAsia="Times New Roman" w:hAnsi="Times New Roman" w:cs="Times New Roman"/>
          <w:i/>
          <w:iCs/>
          <w:kern w:val="0"/>
        </w:rPr>
        <w:t>Business Horizons</w:t>
      </w:r>
      <w:r w:rsidRPr="00DE7A1A">
        <w:rPr>
          <w:rFonts w:ascii="Times New Roman" w:eastAsia="Times New Roman" w:hAnsi="Times New Roman" w:cs="Times New Roman"/>
          <w:kern w:val="0"/>
        </w:rPr>
        <w:t>, 53(4), pp.331–333.</w:t>
      </w:r>
    </w:p>
    <w:p w14:paraId="284D25A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Alexander, D. and Britton, A. (2017). </w:t>
      </w:r>
      <w:r w:rsidRPr="00DE7A1A">
        <w:rPr>
          <w:rFonts w:ascii="Times New Roman" w:eastAsia="Times New Roman" w:hAnsi="Times New Roman" w:cs="Times New Roman"/>
          <w:i/>
          <w:iCs/>
          <w:kern w:val="0"/>
        </w:rPr>
        <w:t>International financial reporting and analysis</w:t>
      </w:r>
      <w:r w:rsidRPr="00DE7A1A">
        <w:rPr>
          <w:rFonts w:ascii="Times New Roman" w:eastAsia="Times New Roman" w:hAnsi="Times New Roman" w:cs="Times New Roman"/>
          <w:kern w:val="0"/>
        </w:rPr>
        <w:t>. 7th ed. London: Cengage Learning.</w:t>
      </w:r>
    </w:p>
    <w:p w14:paraId="32AA6B0F"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Allen, D.E. (2021). Risk and Managerial Finance. </w:t>
      </w:r>
      <w:r w:rsidRPr="00DE7A1A">
        <w:rPr>
          <w:rFonts w:ascii="Times New Roman" w:eastAsia="Times New Roman" w:hAnsi="Times New Roman" w:cs="Times New Roman"/>
          <w:i/>
          <w:iCs/>
          <w:kern w:val="0"/>
        </w:rPr>
        <w:t>Managerial Finance</w:t>
      </w:r>
      <w:r w:rsidRPr="00DE7A1A">
        <w:rPr>
          <w:rFonts w:ascii="Times New Roman" w:eastAsia="Times New Roman" w:hAnsi="Times New Roman" w:cs="Times New Roman"/>
          <w:kern w:val="0"/>
        </w:rPr>
        <w:t>, 21(1), pp.3–14.</w:t>
      </w:r>
    </w:p>
    <w:p w14:paraId="4ED9EDC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Almeida, H. by and Campello, M. (2005). External Financing and Financing Constraints. </w:t>
      </w:r>
      <w:r w:rsidRPr="00DE7A1A">
        <w:rPr>
          <w:rFonts w:ascii="Times New Roman" w:eastAsia="Times New Roman" w:hAnsi="Times New Roman" w:cs="Times New Roman"/>
          <w:i/>
          <w:iCs/>
          <w:kern w:val="0"/>
        </w:rPr>
        <w:t>SSRN Electronic Journal</w:t>
      </w:r>
      <w:r w:rsidRPr="00DE7A1A">
        <w:rPr>
          <w:rFonts w:ascii="Times New Roman" w:eastAsia="Times New Roman" w:hAnsi="Times New Roman" w:cs="Times New Roman"/>
          <w:kern w:val="0"/>
        </w:rPr>
        <w:t>.</w:t>
      </w:r>
    </w:p>
    <w:p w14:paraId="198492AA"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Arjunan, K.C. (2017). IRR Performs Better than NPV: A Critical Analysis of Cases of Multiple IRR and Mutually Exclusive and Independent Investment Projects. </w:t>
      </w:r>
      <w:r w:rsidRPr="00DE7A1A">
        <w:rPr>
          <w:rFonts w:ascii="Times New Roman" w:eastAsia="Times New Roman" w:hAnsi="Times New Roman" w:cs="Times New Roman"/>
          <w:i/>
          <w:iCs/>
          <w:kern w:val="0"/>
        </w:rPr>
        <w:t>SSRN Electronic Journal</w:t>
      </w:r>
      <w:r w:rsidRPr="00DE7A1A">
        <w:rPr>
          <w:rFonts w:ascii="Times New Roman" w:eastAsia="Times New Roman" w:hAnsi="Times New Roman" w:cs="Times New Roman"/>
          <w:kern w:val="0"/>
        </w:rPr>
        <w:t>, 1(1).</w:t>
      </w:r>
    </w:p>
    <w:p w14:paraId="0DFB3849"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Atrill</w:t>
      </w:r>
      <w:proofErr w:type="spellEnd"/>
      <w:r w:rsidRPr="00DE7A1A">
        <w:rPr>
          <w:rFonts w:ascii="Times New Roman" w:eastAsia="Times New Roman" w:hAnsi="Times New Roman" w:cs="Times New Roman"/>
          <w:kern w:val="0"/>
        </w:rPr>
        <w:t xml:space="preserve">, P. and </w:t>
      </w:r>
      <w:proofErr w:type="spellStart"/>
      <w:r w:rsidRPr="00DE7A1A">
        <w:rPr>
          <w:rFonts w:ascii="Times New Roman" w:eastAsia="Times New Roman" w:hAnsi="Times New Roman" w:cs="Times New Roman"/>
          <w:kern w:val="0"/>
        </w:rPr>
        <w:t>Mclaney</w:t>
      </w:r>
      <w:proofErr w:type="spellEnd"/>
      <w:r w:rsidRPr="00DE7A1A">
        <w:rPr>
          <w:rFonts w:ascii="Times New Roman" w:eastAsia="Times New Roman" w:hAnsi="Times New Roman" w:cs="Times New Roman"/>
          <w:kern w:val="0"/>
        </w:rPr>
        <w:t xml:space="preserve">, E. (2018). </w:t>
      </w:r>
      <w:r w:rsidRPr="00DE7A1A">
        <w:rPr>
          <w:rFonts w:ascii="Times New Roman" w:eastAsia="Times New Roman" w:hAnsi="Times New Roman" w:cs="Times New Roman"/>
          <w:i/>
          <w:iCs/>
          <w:kern w:val="0"/>
        </w:rPr>
        <w:t>Accounting and Finance for Non-Specialists</w:t>
      </w:r>
      <w:r w:rsidRPr="00DE7A1A">
        <w:rPr>
          <w:rFonts w:ascii="Times New Roman" w:eastAsia="Times New Roman" w:hAnsi="Times New Roman" w:cs="Times New Roman"/>
          <w:kern w:val="0"/>
        </w:rPr>
        <w:t>. 11th ed. Harlow: Pearson.</w:t>
      </w:r>
    </w:p>
    <w:p w14:paraId="79AB08A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Atrill</w:t>
      </w:r>
      <w:proofErr w:type="spellEnd"/>
      <w:r w:rsidRPr="00DE7A1A">
        <w:rPr>
          <w:rFonts w:ascii="Times New Roman" w:eastAsia="Times New Roman" w:hAnsi="Times New Roman" w:cs="Times New Roman"/>
          <w:kern w:val="0"/>
        </w:rPr>
        <w:t xml:space="preserve">, P. and </w:t>
      </w:r>
      <w:proofErr w:type="spellStart"/>
      <w:r w:rsidRPr="00DE7A1A">
        <w:rPr>
          <w:rFonts w:ascii="Times New Roman" w:eastAsia="Times New Roman" w:hAnsi="Times New Roman" w:cs="Times New Roman"/>
          <w:kern w:val="0"/>
        </w:rPr>
        <w:t>Mclaney</w:t>
      </w:r>
      <w:proofErr w:type="spellEnd"/>
      <w:r w:rsidRPr="00DE7A1A">
        <w:rPr>
          <w:rFonts w:ascii="Times New Roman" w:eastAsia="Times New Roman" w:hAnsi="Times New Roman" w:cs="Times New Roman"/>
          <w:kern w:val="0"/>
        </w:rPr>
        <w:t xml:space="preserve">, E.J. (2019). </w:t>
      </w:r>
      <w:r w:rsidRPr="00DE7A1A">
        <w:rPr>
          <w:rFonts w:ascii="Times New Roman" w:eastAsia="Times New Roman" w:hAnsi="Times New Roman" w:cs="Times New Roman"/>
          <w:i/>
          <w:iCs/>
          <w:kern w:val="0"/>
        </w:rPr>
        <w:t>Financial accounting for decision makers</w:t>
      </w:r>
      <w:r w:rsidRPr="00DE7A1A">
        <w:rPr>
          <w:rFonts w:ascii="Times New Roman" w:eastAsia="Times New Roman" w:hAnsi="Times New Roman" w:cs="Times New Roman"/>
          <w:kern w:val="0"/>
        </w:rPr>
        <w:t>. New York: Prentice Hall/Financial Times.</w:t>
      </w:r>
    </w:p>
    <w:p w14:paraId="3178017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Aydiner</w:t>
      </w:r>
      <w:proofErr w:type="spellEnd"/>
      <w:r w:rsidRPr="00DE7A1A">
        <w:rPr>
          <w:rFonts w:ascii="Times New Roman" w:eastAsia="Times New Roman" w:hAnsi="Times New Roman" w:cs="Times New Roman"/>
          <w:kern w:val="0"/>
        </w:rPr>
        <w:t xml:space="preserve">, A.S., </w:t>
      </w:r>
      <w:proofErr w:type="spellStart"/>
      <w:r w:rsidRPr="00DE7A1A">
        <w:rPr>
          <w:rFonts w:ascii="Times New Roman" w:eastAsia="Times New Roman" w:hAnsi="Times New Roman" w:cs="Times New Roman"/>
          <w:kern w:val="0"/>
        </w:rPr>
        <w:t>Tatoglu</w:t>
      </w:r>
      <w:proofErr w:type="spellEnd"/>
      <w:r w:rsidRPr="00DE7A1A">
        <w:rPr>
          <w:rFonts w:ascii="Times New Roman" w:eastAsia="Times New Roman" w:hAnsi="Times New Roman" w:cs="Times New Roman"/>
          <w:kern w:val="0"/>
        </w:rPr>
        <w:t xml:space="preserve">, E., Bayraktar, E., Zaim, S. and Delen, D. (2019). Business analytics and firm performance: The mediating role of business process performance. </w:t>
      </w:r>
      <w:r w:rsidRPr="00DE7A1A">
        <w:rPr>
          <w:rFonts w:ascii="Times New Roman" w:eastAsia="Times New Roman" w:hAnsi="Times New Roman" w:cs="Times New Roman"/>
          <w:i/>
          <w:iCs/>
          <w:kern w:val="0"/>
        </w:rPr>
        <w:t>Journal of Business Research</w:t>
      </w:r>
      <w:r w:rsidRPr="00DE7A1A">
        <w:rPr>
          <w:rFonts w:ascii="Times New Roman" w:eastAsia="Times New Roman" w:hAnsi="Times New Roman" w:cs="Times New Roman"/>
          <w:kern w:val="0"/>
        </w:rPr>
        <w:t>, 96(1), pp.228–237.</w:t>
      </w:r>
    </w:p>
    <w:p w14:paraId="63DC92AF"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Azar, S.A. and </w:t>
      </w:r>
      <w:proofErr w:type="spellStart"/>
      <w:r w:rsidRPr="00DE7A1A">
        <w:rPr>
          <w:rFonts w:ascii="Times New Roman" w:eastAsia="Times New Roman" w:hAnsi="Times New Roman" w:cs="Times New Roman"/>
          <w:kern w:val="0"/>
        </w:rPr>
        <w:t>Noueihed</w:t>
      </w:r>
      <w:proofErr w:type="spellEnd"/>
      <w:r w:rsidRPr="00DE7A1A">
        <w:rPr>
          <w:rFonts w:ascii="Times New Roman" w:eastAsia="Times New Roman" w:hAnsi="Times New Roman" w:cs="Times New Roman"/>
          <w:kern w:val="0"/>
        </w:rPr>
        <w:t xml:space="preserve">, N. (2014). A Probabilistic Internal Rate of Return: Theory and Illustration. </w:t>
      </w:r>
      <w:r w:rsidRPr="00DE7A1A">
        <w:rPr>
          <w:rFonts w:ascii="Times New Roman" w:eastAsia="Times New Roman" w:hAnsi="Times New Roman" w:cs="Times New Roman"/>
          <w:i/>
          <w:iCs/>
          <w:kern w:val="0"/>
        </w:rPr>
        <w:t>International Journal of Business and Management</w:t>
      </w:r>
      <w:r w:rsidRPr="00DE7A1A">
        <w:rPr>
          <w:rFonts w:ascii="Times New Roman" w:eastAsia="Times New Roman" w:hAnsi="Times New Roman" w:cs="Times New Roman"/>
          <w:kern w:val="0"/>
        </w:rPr>
        <w:t>, 9(3).</w:t>
      </w:r>
    </w:p>
    <w:p w14:paraId="1FF431B9"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Best, R. (2013). </w:t>
      </w:r>
      <w:r w:rsidRPr="00DE7A1A">
        <w:rPr>
          <w:rFonts w:ascii="Times New Roman" w:eastAsia="Times New Roman" w:hAnsi="Times New Roman" w:cs="Times New Roman"/>
          <w:i/>
          <w:iCs/>
          <w:kern w:val="0"/>
        </w:rPr>
        <w:t xml:space="preserve">Market-based </w:t>
      </w:r>
      <w:proofErr w:type="gramStart"/>
      <w:r w:rsidRPr="00DE7A1A">
        <w:rPr>
          <w:rFonts w:ascii="Times New Roman" w:eastAsia="Times New Roman" w:hAnsi="Times New Roman" w:cs="Times New Roman"/>
          <w:i/>
          <w:iCs/>
          <w:kern w:val="0"/>
        </w:rPr>
        <w:t>management :</w:t>
      </w:r>
      <w:proofErr w:type="gramEnd"/>
      <w:r w:rsidRPr="00DE7A1A">
        <w:rPr>
          <w:rFonts w:ascii="Times New Roman" w:eastAsia="Times New Roman" w:hAnsi="Times New Roman" w:cs="Times New Roman"/>
          <w:i/>
          <w:iCs/>
          <w:kern w:val="0"/>
        </w:rPr>
        <w:t xml:space="preserve"> strategies for growing customer value and profitability</w:t>
      </w:r>
      <w:r w:rsidRPr="00DE7A1A">
        <w:rPr>
          <w:rFonts w:ascii="Times New Roman" w:eastAsia="Times New Roman" w:hAnsi="Times New Roman" w:cs="Times New Roman"/>
          <w:kern w:val="0"/>
        </w:rPr>
        <w:t>. Upper Saddle River, N.J.: Pearson Education.</w:t>
      </w:r>
    </w:p>
    <w:p w14:paraId="76243A21"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Bloomenthal</w:t>
      </w:r>
      <w:proofErr w:type="spellEnd"/>
      <w:r w:rsidRPr="00DE7A1A">
        <w:rPr>
          <w:rFonts w:ascii="Times New Roman" w:eastAsia="Times New Roman" w:hAnsi="Times New Roman" w:cs="Times New Roman"/>
          <w:kern w:val="0"/>
        </w:rPr>
        <w:t xml:space="preserve">, A. (2025). </w:t>
      </w:r>
      <w:r w:rsidRPr="00DE7A1A">
        <w:rPr>
          <w:rFonts w:ascii="Times New Roman" w:eastAsia="Times New Roman" w:hAnsi="Times New Roman" w:cs="Times New Roman"/>
          <w:i/>
          <w:iCs/>
          <w:kern w:val="0"/>
        </w:rPr>
        <w:t>Gross Profit Margin: Formula and What It Tells You</w:t>
      </w:r>
      <w:r w:rsidRPr="00DE7A1A">
        <w:rPr>
          <w:rFonts w:ascii="Times New Roman" w:eastAsia="Times New Roman" w:hAnsi="Times New Roman" w:cs="Times New Roman"/>
          <w:kern w:val="0"/>
        </w:rPr>
        <w:t xml:space="preserve">. [online] Investopedia. Available at: </w:t>
      </w:r>
      <w:hyperlink r:id="rId9" w:history="1">
        <w:r w:rsidRPr="00DE7A1A">
          <w:rPr>
            <w:rFonts w:ascii="Times New Roman" w:eastAsia="Times New Roman" w:hAnsi="Times New Roman" w:cs="Times New Roman"/>
            <w:kern w:val="0"/>
          </w:rPr>
          <w:t>https://www.investopedia.com/terms/g/gross_profit_margin.asp</w:t>
        </w:r>
      </w:hyperlink>
      <w:r w:rsidRPr="00DE7A1A">
        <w:rPr>
          <w:rFonts w:ascii="Times New Roman" w:eastAsia="Times New Roman" w:hAnsi="Times New Roman" w:cs="Times New Roman"/>
          <w:kern w:val="0"/>
        </w:rPr>
        <w:t>.</w:t>
      </w:r>
    </w:p>
    <w:p w14:paraId="66D6FF7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lastRenderedPageBreak/>
        <w:t xml:space="preserve">Bragg, S.M. (2018). </w:t>
      </w:r>
      <w:r w:rsidRPr="00DE7A1A">
        <w:rPr>
          <w:rFonts w:ascii="Times New Roman" w:eastAsia="Times New Roman" w:hAnsi="Times New Roman" w:cs="Times New Roman"/>
          <w:i/>
          <w:iCs/>
          <w:kern w:val="0"/>
        </w:rPr>
        <w:t xml:space="preserve">Business ratios and </w:t>
      </w:r>
      <w:proofErr w:type="gramStart"/>
      <w:r w:rsidRPr="00DE7A1A">
        <w:rPr>
          <w:rFonts w:ascii="Times New Roman" w:eastAsia="Times New Roman" w:hAnsi="Times New Roman" w:cs="Times New Roman"/>
          <w:i/>
          <w:iCs/>
          <w:kern w:val="0"/>
        </w:rPr>
        <w:t>formulas :</w:t>
      </w:r>
      <w:proofErr w:type="gramEnd"/>
      <w:r w:rsidRPr="00DE7A1A">
        <w:rPr>
          <w:rFonts w:ascii="Times New Roman" w:eastAsia="Times New Roman" w:hAnsi="Times New Roman" w:cs="Times New Roman"/>
          <w:i/>
          <w:iCs/>
          <w:kern w:val="0"/>
        </w:rPr>
        <w:t xml:space="preserve"> a comprehensive guide</w:t>
      </w:r>
      <w:r w:rsidRPr="00DE7A1A">
        <w:rPr>
          <w:rFonts w:ascii="Times New Roman" w:eastAsia="Times New Roman" w:hAnsi="Times New Roman" w:cs="Times New Roman"/>
          <w:kern w:val="0"/>
        </w:rPr>
        <w:t>. Hoboken, N.J.: Wiley.</w:t>
      </w:r>
    </w:p>
    <w:p w14:paraId="6113859E"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Campbell, D. (2021). </w:t>
      </w:r>
      <w:r w:rsidRPr="00DE7A1A">
        <w:rPr>
          <w:rFonts w:ascii="Times New Roman" w:eastAsia="Times New Roman" w:hAnsi="Times New Roman" w:cs="Times New Roman"/>
          <w:i/>
          <w:iCs/>
          <w:kern w:val="0"/>
        </w:rPr>
        <w:t>Business Strategy</w:t>
      </w:r>
      <w:r w:rsidRPr="00DE7A1A">
        <w:rPr>
          <w:rFonts w:ascii="Times New Roman" w:eastAsia="Times New Roman" w:hAnsi="Times New Roman" w:cs="Times New Roman"/>
          <w:kern w:val="0"/>
        </w:rPr>
        <w:t>. 5th ed. London: Pearson.</w:t>
      </w:r>
    </w:p>
    <w:p w14:paraId="44F9F53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CFI (2020). </w:t>
      </w:r>
      <w:r w:rsidRPr="00DE7A1A">
        <w:rPr>
          <w:rFonts w:ascii="Times New Roman" w:eastAsia="Times New Roman" w:hAnsi="Times New Roman" w:cs="Times New Roman"/>
          <w:i/>
          <w:iCs/>
          <w:kern w:val="0"/>
        </w:rPr>
        <w:t>Liquidity Ratio</w:t>
      </w:r>
      <w:r w:rsidRPr="00DE7A1A">
        <w:rPr>
          <w:rFonts w:ascii="Times New Roman" w:eastAsia="Times New Roman" w:hAnsi="Times New Roman" w:cs="Times New Roman"/>
          <w:kern w:val="0"/>
        </w:rPr>
        <w:t xml:space="preserve">. [online] Corporate Finance Institute. Available at: </w:t>
      </w:r>
      <w:hyperlink r:id="rId10" w:history="1">
        <w:r w:rsidRPr="00DE7A1A">
          <w:rPr>
            <w:rFonts w:ascii="Times New Roman" w:eastAsia="Times New Roman" w:hAnsi="Times New Roman" w:cs="Times New Roman"/>
            <w:kern w:val="0"/>
          </w:rPr>
          <w:t>https://corporatefinanceinstitute.com/resources/accounting/liquidity-ratio/</w:t>
        </w:r>
      </w:hyperlink>
      <w:r w:rsidRPr="00DE7A1A">
        <w:rPr>
          <w:rFonts w:ascii="Times New Roman" w:eastAsia="Times New Roman" w:hAnsi="Times New Roman" w:cs="Times New Roman"/>
          <w:kern w:val="0"/>
        </w:rPr>
        <w:t>.</w:t>
      </w:r>
    </w:p>
    <w:p w14:paraId="4441DBC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CFI (2022). </w:t>
      </w:r>
      <w:r w:rsidRPr="00DE7A1A">
        <w:rPr>
          <w:rFonts w:ascii="Times New Roman" w:eastAsia="Times New Roman" w:hAnsi="Times New Roman" w:cs="Times New Roman"/>
          <w:i/>
          <w:iCs/>
          <w:kern w:val="0"/>
        </w:rPr>
        <w:t>NPV vs IRR</w:t>
      </w:r>
      <w:r w:rsidRPr="00DE7A1A">
        <w:rPr>
          <w:rFonts w:ascii="Times New Roman" w:eastAsia="Times New Roman" w:hAnsi="Times New Roman" w:cs="Times New Roman"/>
          <w:kern w:val="0"/>
        </w:rPr>
        <w:t xml:space="preserve">. [online] Corporate Finance Institute. Available at: </w:t>
      </w:r>
      <w:hyperlink r:id="rId11" w:history="1">
        <w:r w:rsidRPr="00DE7A1A">
          <w:rPr>
            <w:rFonts w:ascii="Times New Roman" w:eastAsia="Times New Roman" w:hAnsi="Times New Roman" w:cs="Times New Roman"/>
            <w:kern w:val="0"/>
          </w:rPr>
          <w:t>https://corporatefinanceinstitute.com/resources/valuation/npv-vs-irr/</w:t>
        </w:r>
      </w:hyperlink>
      <w:r w:rsidRPr="00DE7A1A">
        <w:rPr>
          <w:rFonts w:ascii="Times New Roman" w:eastAsia="Times New Roman" w:hAnsi="Times New Roman" w:cs="Times New Roman"/>
          <w:kern w:val="0"/>
        </w:rPr>
        <w:t>.</w:t>
      </w:r>
    </w:p>
    <w:p w14:paraId="2D99717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CFI TEAM (n.d.). </w:t>
      </w:r>
      <w:r w:rsidRPr="00DE7A1A">
        <w:rPr>
          <w:rFonts w:ascii="Times New Roman" w:eastAsia="Times New Roman" w:hAnsi="Times New Roman" w:cs="Times New Roman"/>
          <w:i/>
          <w:iCs/>
          <w:kern w:val="0"/>
        </w:rPr>
        <w:t>Annual Recurring Revenue (ARR)</w:t>
      </w:r>
      <w:r w:rsidRPr="00DE7A1A">
        <w:rPr>
          <w:rFonts w:ascii="Times New Roman" w:eastAsia="Times New Roman" w:hAnsi="Times New Roman" w:cs="Times New Roman"/>
          <w:kern w:val="0"/>
        </w:rPr>
        <w:t xml:space="preserve">. [online] Corporate Finance Institute. Available at: </w:t>
      </w:r>
      <w:hyperlink r:id="rId12" w:history="1">
        <w:r w:rsidRPr="00DE7A1A">
          <w:rPr>
            <w:rFonts w:ascii="Times New Roman" w:eastAsia="Times New Roman" w:hAnsi="Times New Roman" w:cs="Times New Roman"/>
            <w:kern w:val="0"/>
          </w:rPr>
          <w:t>https://corporatefinanceinstitute.com/resources/valuation/annual-recurring-revenue-arr/</w:t>
        </w:r>
      </w:hyperlink>
      <w:r w:rsidRPr="00DE7A1A">
        <w:rPr>
          <w:rFonts w:ascii="Times New Roman" w:eastAsia="Times New Roman" w:hAnsi="Times New Roman" w:cs="Times New Roman"/>
          <w:kern w:val="0"/>
        </w:rPr>
        <w:t>.</w:t>
      </w:r>
    </w:p>
    <w:p w14:paraId="72A25B42"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CFI Team (2022). </w:t>
      </w:r>
      <w:r w:rsidRPr="00DE7A1A">
        <w:rPr>
          <w:rFonts w:ascii="Times New Roman" w:eastAsia="Times New Roman" w:hAnsi="Times New Roman" w:cs="Times New Roman"/>
          <w:i/>
          <w:iCs/>
          <w:kern w:val="0"/>
        </w:rPr>
        <w:t>Days Payable Outstanding</w:t>
      </w:r>
      <w:r w:rsidRPr="00DE7A1A">
        <w:rPr>
          <w:rFonts w:ascii="Times New Roman" w:eastAsia="Times New Roman" w:hAnsi="Times New Roman" w:cs="Times New Roman"/>
          <w:kern w:val="0"/>
        </w:rPr>
        <w:t xml:space="preserve">. [online] Corporate Finance Institute. Available at: </w:t>
      </w:r>
      <w:hyperlink r:id="rId13" w:history="1">
        <w:r w:rsidRPr="00DE7A1A">
          <w:rPr>
            <w:rFonts w:ascii="Times New Roman" w:eastAsia="Times New Roman" w:hAnsi="Times New Roman" w:cs="Times New Roman"/>
            <w:kern w:val="0"/>
          </w:rPr>
          <w:t>https://corporatefinanceinstitute.com/resources/accounting/days-payable-outstanding/</w:t>
        </w:r>
      </w:hyperlink>
      <w:r w:rsidRPr="00DE7A1A">
        <w:rPr>
          <w:rFonts w:ascii="Times New Roman" w:eastAsia="Times New Roman" w:hAnsi="Times New Roman" w:cs="Times New Roman"/>
          <w:kern w:val="0"/>
        </w:rPr>
        <w:t>.</w:t>
      </w:r>
    </w:p>
    <w:p w14:paraId="5993F74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Chen, W.-P., Chung, H., Hsu, T.-L. and Wu, S. (2010). External Financing Needs, Corporate Governance, and Firm Value. </w:t>
      </w:r>
      <w:r w:rsidRPr="00DE7A1A">
        <w:rPr>
          <w:rFonts w:ascii="Times New Roman" w:eastAsia="Times New Roman" w:hAnsi="Times New Roman" w:cs="Times New Roman"/>
          <w:i/>
          <w:iCs/>
          <w:kern w:val="0"/>
        </w:rPr>
        <w:t>Corporate Governance: An International Review</w:t>
      </w:r>
      <w:r w:rsidRPr="00DE7A1A">
        <w:rPr>
          <w:rFonts w:ascii="Times New Roman" w:eastAsia="Times New Roman" w:hAnsi="Times New Roman" w:cs="Times New Roman"/>
          <w:kern w:val="0"/>
        </w:rPr>
        <w:t xml:space="preserve">, 18(3), pp.234–249. </w:t>
      </w:r>
      <w:proofErr w:type="spellStart"/>
      <w:r w:rsidRPr="00DE7A1A">
        <w:rPr>
          <w:rFonts w:ascii="Times New Roman" w:eastAsia="Times New Roman" w:hAnsi="Times New Roman" w:cs="Times New Roman"/>
          <w:kern w:val="0"/>
        </w:rPr>
        <w:t>doi:</w:t>
      </w:r>
      <w:hyperlink r:id="rId14" w:history="1">
        <w:r w:rsidRPr="00DE7A1A">
          <w:rPr>
            <w:rFonts w:ascii="Times New Roman" w:eastAsia="Times New Roman" w:hAnsi="Times New Roman" w:cs="Times New Roman"/>
            <w:kern w:val="0"/>
          </w:rPr>
          <w:t>https</w:t>
        </w:r>
        <w:proofErr w:type="spellEnd"/>
        <w:r w:rsidRPr="00DE7A1A">
          <w:rPr>
            <w:rFonts w:ascii="Times New Roman" w:eastAsia="Times New Roman" w:hAnsi="Times New Roman" w:cs="Times New Roman"/>
            <w:kern w:val="0"/>
          </w:rPr>
          <w:t>://doi.org/10.1111/j.1467-8683.2010.00801.x</w:t>
        </w:r>
      </w:hyperlink>
      <w:r w:rsidRPr="00DE7A1A">
        <w:rPr>
          <w:rFonts w:ascii="Times New Roman" w:eastAsia="Times New Roman" w:hAnsi="Times New Roman" w:cs="Times New Roman"/>
          <w:kern w:val="0"/>
        </w:rPr>
        <w:t>.</w:t>
      </w:r>
    </w:p>
    <w:p w14:paraId="1C83166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Chopra, S. (2021). </w:t>
      </w:r>
      <w:r w:rsidRPr="00DE7A1A">
        <w:rPr>
          <w:rFonts w:ascii="Times New Roman" w:eastAsia="Times New Roman" w:hAnsi="Times New Roman" w:cs="Times New Roman"/>
          <w:i/>
          <w:iCs/>
          <w:kern w:val="0"/>
        </w:rPr>
        <w:t xml:space="preserve">Supply Chain </w:t>
      </w:r>
      <w:proofErr w:type="gramStart"/>
      <w:r w:rsidRPr="00DE7A1A">
        <w:rPr>
          <w:rFonts w:ascii="Times New Roman" w:eastAsia="Times New Roman" w:hAnsi="Times New Roman" w:cs="Times New Roman"/>
          <w:i/>
          <w:iCs/>
          <w:kern w:val="0"/>
        </w:rPr>
        <w:t>Management :</w:t>
      </w:r>
      <w:proofErr w:type="gramEnd"/>
      <w:r w:rsidRPr="00DE7A1A">
        <w:rPr>
          <w:rFonts w:ascii="Times New Roman" w:eastAsia="Times New Roman" w:hAnsi="Times New Roman" w:cs="Times New Roman"/>
          <w:i/>
          <w:iCs/>
          <w:kern w:val="0"/>
        </w:rPr>
        <w:t xml:space="preserve"> Strategy, Planning and Operation</w:t>
      </w:r>
      <w:r w:rsidRPr="00DE7A1A">
        <w:rPr>
          <w:rFonts w:ascii="Times New Roman" w:eastAsia="Times New Roman" w:hAnsi="Times New Roman" w:cs="Times New Roman"/>
          <w:kern w:val="0"/>
        </w:rPr>
        <w:t>. 7th ed. New York, NY: Pearson Education.</w:t>
      </w:r>
    </w:p>
    <w:p w14:paraId="6BFFF1B7"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Chorafas</w:t>
      </w:r>
      <w:proofErr w:type="spellEnd"/>
      <w:r w:rsidRPr="00DE7A1A">
        <w:rPr>
          <w:rFonts w:ascii="Times New Roman" w:eastAsia="Times New Roman" w:hAnsi="Times New Roman" w:cs="Times New Roman"/>
          <w:kern w:val="0"/>
        </w:rPr>
        <w:t xml:space="preserve">, D.N. (2015). </w:t>
      </w:r>
      <w:r w:rsidRPr="00DE7A1A">
        <w:rPr>
          <w:rFonts w:ascii="Times New Roman" w:eastAsia="Times New Roman" w:hAnsi="Times New Roman" w:cs="Times New Roman"/>
          <w:i/>
          <w:iCs/>
          <w:kern w:val="0"/>
        </w:rPr>
        <w:t xml:space="preserve">Business efficiency and </w:t>
      </w:r>
      <w:proofErr w:type="gramStart"/>
      <w:r w:rsidRPr="00DE7A1A">
        <w:rPr>
          <w:rFonts w:ascii="Times New Roman" w:eastAsia="Times New Roman" w:hAnsi="Times New Roman" w:cs="Times New Roman"/>
          <w:i/>
          <w:iCs/>
          <w:kern w:val="0"/>
        </w:rPr>
        <w:t>ethics :</w:t>
      </w:r>
      <w:proofErr w:type="gramEnd"/>
      <w:r w:rsidRPr="00DE7A1A">
        <w:rPr>
          <w:rFonts w:ascii="Times New Roman" w:eastAsia="Times New Roman" w:hAnsi="Times New Roman" w:cs="Times New Roman"/>
          <w:i/>
          <w:iCs/>
          <w:kern w:val="0"/>
        </w:rPr>
        <w:t xml:space="preserve"> values and strategic decision-making</w:t>
      </w:r>
      <w:r w:rsidRPr="00DE7A1A">
        <w:rPr>
          <w:rFonts w:ascii="Times New Roman" w:eastAsia="Times New Roman" w:hAnsi="Times New Roman" w:cs="Times New Roman"/>
          <w:kern w:val="0"/>
        </w:rPr>
        <w:t>. New York, Ny: Palgrave Macmillan.</w:t>
      </w:r>
    </w:p>
    <w:p w14:paraId="54E8FA6E"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Clayman, M.R., Fridson, M.S. and Troughton, G.H. (2012). </w:t>
      </w:r>
      <w:r w:rsidRPr="00DE7A1A">
        <w:rPr>
          <w:rFonts w:ascii="Times New Roman" w:eastAsia="Times New Roman" w:hAnsi="Times New Roman" w:cs="Times New Roman"/>
          <w:i/>
          <w:iCs/>
          <w:kern w:val="0"/>
        </w:rPr>
        <w:t>Corporate Finance</w:t>
      </w:r>
      <w:r w:rsidRPr="00DE7A1A">
        <w:rPr>
          <w:rFonts w:ascii="Times New Roman" w:eastAsia="Times New Roman" w:hAnsi="Times New Roman" w:cs="Times New Roman"/>
          <w:kern w:val="0"/>
        </w:rPr>
        <w:t>. John Wiley &amp; Sons.</w:t>
      </w:r>
    </w:p>
    <w:p w14:paraId="08DC3F0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Connolly, M.B. (2007). </w:t>
      </w:r>
      <w:r w:rsidRPr="00DE7A1A">
        <w:rPr>
          <w:rFonts w:ascii="Times New Roman" w:eastAsia="Times New Roman" w:hAnsi="Times New Roman" w:cs="Times New Roman"/>
          <w:i/>
          <w:iCs/>
          <w:kern w:val="0"/>
        </w:rPr>
        <w:t>International business finance</w:t>
      </w:r>
      <w:r w:rsidRPr="00DE7A1A">
        <w:rPr>
          <w:rFonts w:ascii="Times New Roman" w:eastAsia="Times New Roman" w:hAnsi="Times New Roman" w:cs="Times New Roman"/>
          <w:kern w:val="0"/>
        </w:rPr>
        <w:t xml:space="preserve">. New </w:t>
      </w:r>
      <w:proofErr w:type="gramStart"/>
      <w:r w:rsidRPr="00DE7A1A">
        <w:rPr>
          <w:rFonts w:ascii="Times New Roman" w:eastAsia="Times New Roman" w:hAnsi="Times New Roman" w:cs="Times New Roman"/>
          <w:kern w:val="0"/>
        </w:rPr>
        <w:t>York ;</w:t>
      </w:r>
      <w:proofErr w:type="gramEnd"/>
      <w:r w:rsidRPr="00DE7A1A">
        <w:rPr>
          <w:rFonts w:ascii="Times New Roman" w:eastAsia="Times New Roman" w:hAnsi="Times New Roman" w:cs="Times New Roman"/>
          <w:kern w:val="0"/>
        </w:rPr>
        <w:t xml:space="preserve"> London: Routledge.</w:t>
      </w:r>
    </w:p>
    <w:p w14:paraId="046ACD0F"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de Jongh, M. (2011). Shareholders’ Duties to the Company and Fellow Shareholders. </w:t>
      </w:r>
      <w:r w:rsidRPr="00DE7A1A">
        <w:rPr>
          <w:rFonts w:ascii="Times New Roman" w:eastAsia="Times New Roman" w:hAnsi="Times New Roman" w:cs="Times New Roman"/>
          <w:i/>
          <w:iCs/>
          <w:kern w:val="0"/>
        </w:rPr>
        <w:t>SSRN Electronic Journal</w:t>
      </w:r>
      <w:r w:rsidRPr="00DE7A1A">
        <w:rPr>
          <w:rFonts w:ascii="Times New Roman" w:eastAsia="Times New Roman" w:hAnsi="Times New Roman" w:cs="Times New Roman"/>
          <w:kern w:val="0"/>
        </w:rPr>
        <w:t>.</w:t>
      </w:r>
    </w:p>
    <w:p w14:paraId="10495FF1"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lastRenderedPageBreak/>
        <w:t xml:space="preserve">Elliott, B. and Elliott, J. (2017). </w:t>
      </w:r>
      <w:r w:rsidRPr="00DE7A1A">
        <w:rPr>
          <w:rFonts w:ascii="Times New Roman" w:eastAsia="Times New Roman" w:hAnsi="Times New Roman" w:cs="Times New Roman"/>
          <w:i/>
          <w:iCs/>
          <w:kern w:val="0"/>
        </w:rPr>
        <w:t xml:space="preserve">Financial Accounting </w:t>
      </w:r>
      <w:proofErr w:type="gramStart"/>
      <w:r w:rsidRPr="00DE7A1A">
        <w:rPr>
          <w:rFonts w:ascii="Times New Roman" w:eastAsia="Times New Roman" w:hAnsi="Times New Roman" w:cs="Times New Roman"/>
          <w:i/>
          <w:iCs/>
          <w:kern w:val="0"/>
        </w:rPr>
        <w:t>And</w:t>
      </w:r>
      <w:proofErr w:type="gramEnd"/>
      <w:r w:rsidRPr="00DE7A1A">
        <w:rPr>
          <w:rFonts w:ascii="Times New Roman" w:eastAsia="Times New Roman" w:hAnsi="Times New Roman" w:cs="Times New Roman"/>
          <w:i/>
          <w:iCs/>
          <w:kern w:val="0"/>
        </w:rPr>
        <w:t xml:space="preserve"> Reporting.</w:t>
      </w:r>
      <w:r w:rsidRPr="00DE7A1A">
        <w:rPr>
          <w:rFonts w:ascii="Times New Roman" w:eastAsia="Times New Roman" w:hAnsi="Times New Roman" w:cs="Times New Roman"/>
          <w:kern w:val="0"/>
        </w:rPr>
        <w:t xml:space="preserve"> 18th ed. Pearson.</w:t>
      </w:r>
    </w:p>
    <w:p w14:paraId="69F24976"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Fernando, J. (2025). </w:t>
      </w:r>
      <w:r w:rsidRPr="00DE7A1A">
        <w:rPr>
          <w:rFonts w:ascii="Times New Roman" w:eastAsia="Times New Roman" w:hAnsi="Times New Roman" w:cs="Times New Roman"/>
          <w:i/>
          <w:iCs/>
          <w:kern w:val="0"/>
        </w:rPr>
        <w:t>Return on Equity (ROE) Calculation and What It Means</w:t>
      </w:r>
      <w:r w:rsidRPr="00DE7A1A">
        <w:rPr>
          <w:rFonts w:ascii="Times New Roman" w:eastAsia="Times New Roman" w:hAnsi="Times New Roman" w:cs="Times New Roman"/>
          <w:kern w:val="0"/>
        </w:rPr>
        <w:t xml:space="preserve">. [online] Investopedia. Available at: </w:t>
      </w:r>
      <w:hyperlink r:id="rId15" w:history="1">
        <w:r w:rsidRPr="00DE7A1A">
          <w:rPr>
            <w:rFonts w:ascii="Times New Roman" w:eastAsia="Times New Roman" w:hAnsi="Times New Roman" w:cs="Times New Roman"/>
            <w:kern w:val="0"/>
          </w:rPr>
          <w:t>https://www.investopedia.com/terms/r/returnonequity.asp</w:t>
        </w:r>
      </w:hyperlink>
      <w:r w:rsidRPr="00DE7A1A">
        <w:rPr>
          <w:rFonts w:ascii="Times New Roman" w:eastAsia="Times New Roman" w:hAnsi="Times New Roman" w:cs="Times New Roman"/>
          <w:kern w:val="0"/>
        </w:rPr>
        <w:t>.</w:t>
      </w:r>
    </w:p>
    <w:p w14:paraId="0EF9147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Flynn, B.B. (2021). On Theory in Supply Chain Uncertainty and its Implications for Supply Chain Integration. </w:t>
      </w:r>
      <w:r w:rsidRPr="00DE7A1A">
        <w:rPr>
          <w:rFonts w:ascii="Times New Roman" w:eastAsia="Times New Roman" w:hAnsi="Times New Roman" w:cs="Times New Roman"/>
          <w:i/>
          <w:iCs/>
          <w:kern w:val="0"/>
        </w:rPr>
        <w:t>Journal of Supply Chain Management</w:t>
      </w:r>
      <w:r w:rsidRPr="00DE7A1A">
        <w:rPr>
          <w:rFonts w:ascii="Times New Roman" w:eastAsia="Times New Roman" w:hAnsi="Times New Roman" w:cs="Times New Roman"/>
          <w:kern w:val="0"/>
        </w:rPr>
        <w:t>, 52(3), pp.3–27.</w:t>
      </w:r>
    </w:p>
    <w:p w14:paraId="04925ECA"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Geoff Relph (2015). </w:t>
      </w:r>
      <w:r w:rsidRPr="00DE7A1A">
        <w:rPr>
          <w:rFonts w:ascii="Times New Roman" w:eastAsia="Times New Roman" w:hAnsi="Times New Roman" w:cs="Times New Roman"/>
          <w:i/>
          <w:iCs/>
          <w:kern w:val="0"/>
        </w:rPr>
        <w:t xml:space="preserve">Inventory </w:t>
      </w:r>
      <w:proofErr w:type="gramStart"/>
      <w:r w:rsidRPr="00DE7A1A">
        <w:rPr>
          <w:rFonts w:ascii="Times New Roman" w:eastAsia="Times New Roman" w:hAnsi="Times New Roman" w:cs="Times New Roman"/>
          <w:i/>
          <w:iCs/>
          <w:kern w:val="0"/>
        </w:rPr>
        <w:t>management :</w:t>
      </w:r>
      <w:proofErr w:type="gramEnd"/>
      <w:r w:rsidRPr="00DE7A1A">
        <w:rPr>
          <w:rFonts w:ascii="Times New Roman" w:eastAsia="Times New Roman" w:hAnsi="Times New Roman" w:cs="Times New Roman"/>
          <w:i/>
          <w:iCs/>
          <w:kern w:val="0"/>
        </w:rPr>
        <w:t xml:space="preserve"> advanced methods for managing inventory within business systems.</w:t>
      </w:r>
      <w:r w:rsidRPr="00DE7A1A">
        <w:rPr>
          <w:rFonts w:ascii="Times New Roman" w:eastAsia="Times New Roman" w:hAnsi="Times New Roman" w:cs="Times New Roman"/>
          <w:kern w:val="0"/>
        </w:rPr>
        <w:t xml:space="preserve"> Kogan Page Stylus.</w:t>
      </w:r>
    </w:p>
    <w:p w14:paraId="7E4B2B2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Georg </w:t>
      </w:r>
      <w:proofErr w:type="spellStart"/>
      <w:r w:rsidRPr="00DE7A1A">
        <w:rPr>
          <w:rFonts w:ascii="Times New Roman" w:eastAsia="Times New Roman" w:hAnsi="Times New Roman" w:cs="Times New Roman"/>
          <w:kern w:val="0"/>
        </w:rPr>
        <w:t>Müller-Fürstenberger</w:t>
      </w:r>
      <w:proofErr w:type="spellEnd"/>
      <w:r w:rsidRPr="00DE7A1A">
        <w:rPr>
          <w:rFonts w:ascii="Times New Roman" w:eastAsia="Times New Roman" w:hAnsi="Times New Roman" w:cs="Times New Roman"/>
          <w:kern w:val="0"/>
        </w:rPr>
        <w:t xml:space="preserve"> (2017). </w:t>
      </w:r>
      <w:r w:rsidRPr="00DE7A1A">
        <w:rPr>
          <w:rFonts w:ascii="Times New Roman" w:eastAsia="Times New Roman" w:hAnsi="Times New Roman" w:cs="Times New Roman"/>
          <w:i/>
          <w:iCs/>
          <w:kern w:val="0"/>
        </w:rPr>
        <w:t xml:space="preserve">The payback period </w:t>
      </w:r>
      <w:proofErr w:type="gramStart"/>
      <w:r w:rsidRPr="00DE7A1A">
        <w:rPr>
          <w:rFonts w:ascii="Times New Roman" w:eastAsia="Times New Roman" w:hAnsi="Times New Roman" w:cs="Times New Roman"/>
          <w:i/>
          <w:iCs/>
          <w:kern w:val="0"/>
        </w:rPr>
        <w:t>rule :</w:t>
      </w:r>
      <w:proofErr w:type="gramEnd"/>
      <w:r w:rsidRPr="00DE7A1A">
        <w:rPr>
          <w:rFonts w:ascii="Times New Roman" w:eastAsia="Times New Roman" w:hAnsi="Times New Roman" w:cs="Times New Roman"/>
          <w:i/>
          <w:iCs/>
          <w:kern w:val="0"/>
        </w:rPr>
        <w:t xml:space="preserve"> its impact on innovation and economic growth</w:t>
      </w:r>
      <w:r w:rsidRPr="00DE7A1A">
        <w:rPr>
          <w:rFonts w:ascii="Times New Roman" w:eastAsia="Times New Roman" w:hAnsi="Times New Roman" w:cs="Times New Roman"/>
          <w:kern w:val="0"/>
        </w:rPr>
        <w:t xml:space="preserve">. Bern: </w:t>
      </w:r>
      <w:proofErr w:type="spellStart"/>
      <w:r w:rsidRPr="00DE7A1A">
        <w:rPr>
          <w:rFonts w:ascii="Times New Roman" w:eastAsia="Times New Roman" w:hAnsi="Times New Roman" w:cs="Times New Roman"/>
          <w:kern w:val="0"/>
        </w:rPr>
        <w:t>Universität</w:t>
      </w:r>
      <w:proofErr w:type="spellEnd"/>
      <w:r w:rsidRPr="00DE7A1A">
        <w:rPr>
          <w:rFonts w:ascii="Times New Roman" w:eastAsia="Times New Roman" w:hAnsi="Times New Roman" w:cs="Times New Roman"/>
          <w:kern w:val="0"/>
        </w:rPr>
        <w:t xml:space="preserve"> Bern </w:t>
      </w:r>
      <w:proofErr w:type="spellStart"/>
      <w:r w:rsidRPr="00DE7A1A">
        <w:rPr>
          <w:rFonts w:ascii="Times New Roman" w:eastAsia="Times New Roman" w:hAnsi="Times New Roman" w:cs="Times New Roman"/>
          <w:kern w:val="0"/>
        </w:rPr>
        <w:t>Abteilung</w:t>
      </w:r>
      <w:proofErr w:type="spellEnd"/>
      <w:r w:rsidRPr="00DE7A1A">
        <w:rPr>
          <w:rFonts w:ascii="Times New Roman" w:eastAsia="Times New Roman" w:hAnsi="Times New Roman" w:cs="Times New Roman"/>
          <w:kern w:val="0"/>
        </w:rPr>
        <w:t xml:space="preserve"> </w:t>
      </w:r>
      <w:proofErr w:type="spellStart"/>
      <w:r w:rsidRPr="00DE7A1A">
        <w:rPr>
          <w:rFonts w:ascii="Times New Roman" w:eastAsia="Times New Roman" w:hAnsi="Times New Roman" w:cs="Times New Roman"/>
          <w:kern w:val="0"/>
        </w:rPr>
        <w:t>Für</w:t>
      </w:r>
      <w:proofErr w:type="spellEnd"/>
      <w:r w:rsidRPr="00DE7A1A">
        <w:rPr>
          <w:rFonts w:ascii="Times New Roman" w:eastAsia="Times New Roman" w:hAnsi="Times New Roman" w:cs="Times New Roman"/>
          <w:kern w:val="0"/>
        </w:rPr>
        <w:t xml:space="preserve"> </w:t>
      </w:r>
      <w:proofErr w:type="spellStart"/>
      <w:r w:rsidRPr="00DE7A1A">
        <w:rPr>
          <w:rFonts w:ascii="Times New Roman" w:eastAsia="Times New Roman" w:hAnsi="Times New Roman" w:cs="Times New Roman"/>
          <w:kern w:val="0"/>
        </w:rPr>
        <w:t>Angewandte</w:t>
      </w:r>
      <w:proofErr w:type="spellEnd"/>
      <w:r w:rsidRPr="00DE7A1A">
        <w:rPr>
          <w:rFonts w:ascii="Times New Roman" w:eastAsia="Times New Roman" w:hAnsi="Times New Roman" w:cs="Times New Roman"/>
          <w:kern w:val="0"/>
        </w:rPr>
        <w:t xml:space="preserve"> </w:t>
      </w:r>
      <w:proofErr w:type="spellStart"/>
      <w:r w:rsidRPr="00DE7A1A">
        <w:rPr>
          <w:rFonts w:ascii="Times New Roman" w:eastAsia="Times New Roman" w:hAnsi="Times New Roman" w:cs="Times New Roman"/>
          <w:kern w:val="0"/>
        </w:rPr>
        <w:t>Mikroökonomie</w:t>
      </w:r>
      <w:proofErr w:type="spellEnd"/>
      <w:r w:rsidRPr="00DE7A1A">
        <w:rPr>
          <w:rFonts w:ascii="Times New Roman" w:eastAsia="Times New Roman" w:hAnsi="Times New Roman" w:cs="Times New Roman"/>
          <w:kern w:val="0"/>
        </w:rPr>
        <w:t>.</w:t>
      </w:r>
    </w:p>
    <w:p w14:paraId="24C31A63"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Gianfrate</w:t>
      </w:r>
      <w:proofErr w:type="spellEnd"/>
      <w:r w:rsidRPr="00DE7A1A">
        <w:rPr>
          <w:rFonts w:ascii="Times New Roman" w:eastAsia="Times New Roman" w:hAnsi="Times New Roman" w:cs="Times New Roman"/>
          <w:kern w:val="0"/>
        </w:rPr>
        <w:t xml:space="preserve">, G. and Loewenthal, S. (2015). Private Equity throughout the Financial Crisis. </w:t>
      </w:r>
      <w:r w:rsidRPr="00DE7A1A">
        <w:rPr>
          <w:rFonts w:ascii="Times New Roman" w:eastAsia="Times New Roman" w:hAnsi="Times New Roman" w:cs="Times New Roman"/>
          <w:i/>
          <w:iCs/>
          <w:kern w:val="0"/>
        </w:rPr>
        <w:t>The Journal of Private Equity</w:t>
      </w:r>
      <w:r w:rsidRPr="00DE7A1A">
        <w:rPr>
          <w:rFonts w:ascii="Times New Roman" w:eastAsia="Times New Roman" w:hAnsi="Times New Roman" w:cs="Times New Roman"/>
          <w:kern w:val="0"/>
        </w:rPr>
        <w:t>.</w:t>
      </w:r>
    </w:p>
    <w:p w14:paraId="6BD809D3"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Gligor, D.M. (2020). The Role of Supply Chain Agility in Achieving Supply Chain Fit. </w:t>
      </w:r>
      <w:r w:rsidRPr="00DE7A1A">
        <w:rPr>
          <w:rFonts w:ascii="Times New Roman" w:eastAsia="Times New Roman" w:hAnsi="Times New Roman" w:cs="Times New Roman"/>
          <w:i/>
          <w:iCs/>
          <w:kern w:val="0"/>
        </w:rPr>
        <w:t>Decision Sciences</w:t>
      </w:r>
      <w:r w:rsidRPr="00DE7A1A">
        <w:rPr>
          <w:rFonts w:ascii="Times New Roman" w:eastAsia="Times New Roman" w:hAnsi="Times New Roman" w:cs="Times New Roman"/>
          <w:kern w:val="0"/>
        </w:rPr>
        <w:t>, 47(3), pp.524–553.</w:t>
      </w:r>
    </w:p>
    <w:p w14:paraId="59FDD6E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Gordon, L.A. (2020). Accounting Rate of Return vs. Economic Rate of Return. </w:t>
      </w:r>
      <w:r w:rsidRPr="00DE7A1A">
        <w:rPr>
          <w:rFonts w:ascii="Times New Roman" w:eastAsia="Times New Roman" w:hAnsi="Times New Roman" w:cs="Times New Roman"/>
          <w:i/>
          <w:iCs/>
          <w:kern w:val="0"/>
        </w:rPr>
        <w:t>Journal of Business Finance &amp; Accounting</w:t>
      </w:r>
      <w:r w:rsidRPr="00DE7A1A">
        <w:rPr>
          <w:rFonts w:ascii="Times New Roman" w:eastAsia="Times New Roman" w:hAnsi="Times New Roman" w:cs="Times New Roman"/>
          <w:kern w:val="0"/>
        </w:rPr>
        <w:t>, 1(3), pp.343–356.</w:t>
      </w:r>
    </w:p>
    <w:p w14:paraId="7A29D0C0"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H. Kent Baker and Ricciardi, V. (2014). </w:t>
      </w:r>
      <w:r w:rsidRPr="00DE7A1A">
        <w:rPr>
          <w:rFonts w:ascii="Times New Roman" w:eastAsia="Times New Roman" w:hAnsi="Times New Roman" w:cs="Times New Roman"/>
          <w:i/>
          <w:iCs/>
          <w:kern w:val="0"/>
        </w:rPr>
        <w:t>Investor Behavior</w:t>
      </w:r>
      <w:r w:rsidRPr="00DE7A1A">
        <w:rPr>
          <w:rFonts w:ascii="Times New Roman" w:eastAsia="Times New Roman" w:hAnsi="Times New Roman" w:cs="Times New Roman"/>
          <w:kern w:val="0"/>
        </w:rPr>
        <w:t>. John Wiley &amp; Sons.</w:t>
      </w:r>
    </w:p>
    <w:p w14:paraId="313A537B"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Hartley, C., Firer, C. and Ford, J.C. (2006). </w:t>
      </w:r>
      <w:r w:rsidRPr="00DE7A1A">
        <w:rPr>
          <w:rFonts w:ascii="Times New Roman" w:eastAsia="Times New Roman" w:hAnsi="Times New Roman" w:cs="Times New Roman"/>
          <w:i/>
          <w:iCs/>
          <w:kern w:val="0"/>
        </w:rPr>
        <w:t xml:space="preserve">Business accounting and finance for </w:t>
      </w:r>
      <w:proofErr w:type="gramStart"/>
      <w:r w:rsidRPr="00DE7A1A">
        <w:rPr>
          <w:rFonts w:ascii="Times New Roman" w:eastAsia="Times New Roman" w:hAnsi="Times New Roman" w:cs="Times New Roman"/>
          <w:i/>
          <w:iCs/>
          <w:kern w:val="0"/>
        </w:rPr>
        <w:t>managers :</w:t>
      </w:r>
      <w:proofErr w:type="gramEnd"/>
      <w:r w:rsidRPr="00DE7A1A">
        <w:rPr>
          <w:rFonts w:ascii="Times New Roman" w:eastAsia="Times New Roman" w:hAnsi="Times New Roman" w:cs="Times New Roman"/>
          <w:i/>
          <w:iCs/>
          <w:kern w:val="0"/>
        </w:rPr>
        <w:t xml:space="preserve"> an introduction</w:t>
      </w:r>
      <w:r w:rsidRPr="00DE7A1A">
        <w:rPr>
          <w:rFonts w:ascii="Times New Roman" w:eastAsia="Times New Roman" w:hAnsi="Times New Roman" w:cs="Times New Roman"/>
          <w:kern w:val="0"/>
        </w:rPr>
        <w:t>. Johannesburg: Witwatersrand University Press.</w:t>
      </w:r>
    </w:p>
    <w:p w14:paraId="25A167BB"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Hayes, A. (2025). </w:t>
      </w:r>
      <w:r w:rsidRPr="00DE7A1A">
        <w:rPr>
          <w:rFonts w:ascii="Times New Roman" w:eastAsia="Times New Roman" w:hAnsi="Times New Roman" w:cs="Times New Roman"/>
          <w:i/>
          <w:iCs/>
          <w:kern w:val="0"/>
        </w:rPr>
        <w:t>Operating Margin: What It Is and the Formula for Calculating It, With Examples</w:t>
      </w:r>
      <w:r w:rsidRPr="00DE7A1A">
        <w:rPr>
          <w:rFonts w:ascii="Times New Roman" w:eastAsia="Times New Roman" w:hAnsi="Times New Roman" w:cs="Times New Roman"/>
          <w:kern w:val="0"/>
        </w:rPr>
        <w:t xml:space="preserve">. [online] Investopedia. Available at: </w:t>
      </w:r>
      <w:hyperlink r:id="rId16" w:history="1">
        <w:r w:rsidRPr="00DE7A1A">
          <w:rPr>
            <w:rFonts w:ascii="Times New Roman" w:eastAsia="Times New Roman" w:hAnsi="Times New Roman" w:cs="Times New Roman"/>
            <w:kern w:val="0"/>
          </w:rPr>
          <w:t>https://www.investopedia.com/terms/o/operatingmargin.asp</w:t>
        </w:r>
      </w:hyperlink>
      <w:r w:rsidRPr="00DE7A1A">
        <w:rPr>
          <w:rFonts w:ascii="Times New Roman" w:eastAsia="Times New Roman" w:hAnsi="Times New Roman" w:cs="Times New Roman"/>
          <w:kern w:val="0"/>
        </w:rPr>
        <w:t>.</w:t>
      </w:r>
    </w:p>
    <w:p w14:paraId="3C1546CD"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Hennie Van </w:t>
      </w:r>
      <w:proofErr w:type="spellStart"/>
      <w:r w:rsidRPr="00DE7A1A">
        <w:rPr>
          <w:rFonts w:ascii="Times New Roman" w:eastAsia="Times New Roman" w:hAnsi="Times New Roman" w:cs="Times New Roman"/>
          <w:kern w:val="0"/>
        </w:rPr>
        <w:t>Greuning</w:t>
      </w:r>
      <w:proofErr w:type="spellEnd"/>
      <w:r w:rsidRPr="00DE7A1A">
        <w:rPr>
          <w:rFonts w:ascii="Times New Roman" w:eastAsia="Times New Roman" w:hAnsi="Times New Roman" w:cs="Times New Roman"/>
          <w:kern w:val="0"/>
        </w:rPr>
        <w:t xml:space="preserve"> (2006). </w:t>
      </w:r>
      <w:r w:rsidRPr="00DE7A1A">
        <w:rPr>
          <w:rFonts w:ascii="Times New Roman" w:eastAsia="Times New Roman" w:hAnsi="Times New Roman" w:cs="Times New Roman"/>
          <w:i/>
          <w:iCs/>
          <w:kern w:val="0"/>
        </w:rPr>
        <w:t>International Financial Reporting Standards (Fourth Edition) A Practical Guide</w:t>
      </w:r>
      <w:r w:rsidRPr="00DE7A1A">
        <w:rPr>
          <w:rFonts w:ascii="Times New Roman" w:eastAsia="Times New Roman" w:hAnsi="Times New Roman" w:cs="Times New Roman"/>
          <w:kern w:val="0"/>
        </w:rPr>
        <w:t>. Washington, D.C.: The World Bank.</w:t>
      </w:r>
    </w:p>
    <w:p w14:paraId="174A067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Imarticus</w:t>
      </w:r>
      <w:proofErr w:type="spellEnd"/>
      <w:r w:rsidRPr="00DE7A1A">
        <w:rPr>
          <w:rFonts w:ascii="Times New Roman" w:eastAsia="Times New Roman" w:hAnsi="Times New Roman" w:cs="Times New Roman"/>
          <w:kern w:val="0"/>
        </w:rPr>
        <w:t xml:space="preserve"> (2024). </w:t>
      </w:r>
      <w:r w:rsidRPr="00DE7A1A">
        <w:rPr>
          <w:rFonts w:ascii="Times New Roman" w:eastAsia="Times New Roman" w:hAnsi="Times New Roman" w:cs="Times New Roman"/>
          <w:i/>
          <w:iCs/>
          <w:kern w:val="0"/>
        </w:rPr>
        <w:t xml:space="preserve">Discounting vs. Non-Discounting Methods: Which is Better for Capital </w:t>
      </w:r>
      <w:r w:rsidRPr="00DE7A1A">
        <w:rPr>
          <w:rFonts w:ascii="Times New Roman" w:eastAsia="Times New Roman" w:hAnsi="Times New Roman" w:cs="Times New Roman"/>
          <w:i/>
          <w:iCs/>
          <w:kern w:val="0"/>
        </w:rPr>
        <w:lastRenderedPageBreak/>
        <w:t>Budgeting?</w:t>
      </w:r>
      <w:r w:rsidRPr="00DE7A1A">
        <w:rPr>
          <w:rFonts w:ascii="Times New Roman" w:eastAsia="Times New Roman" w:hAnsi="Times New Roman" w:cs="Times New Roman"/>
          <w:kern w:val="0"/>
        </w:rPr>
        <w:t xml:space="preserve"> [online] Finance, Tech &amp; Analytics Career Resources | </w:t>
      </w:r>
      <w:proofErr w:type="spellStart"/>
      <w:r w:rsidRPr="00DE7A1A">
        <w:rPr>
          <w:rFonts w:ascii="Times New Roman" w:eastAsia="Times New Roman" w:hAnsi="Times New Roman" w:cs="Times New Roman"/>
          <w:kern w:val="0"/>
        </w:rPr>
        <w:t>Imarticus</w:t>
      </w:r>
      <w:proofErr w:type="spellEnd"/>
      <w:r w:rsidRPr="00DE7A1A">
        <w:rPr>
          <w:rFonts w:ascii="Times New Roman" w:eastAsia="Times New Roman" w:hAnsi="Times New Roman" w:cs="Times New Roman"/>
          <w:kern w:val="0"/>
        </w:rPr>
        <w:t xml:space="preserve"> Blog. Available at: </w:t>
      </w:r>
      <w:hyperlink r:id="rId17" w:history="1">
        <w:r w:rsidRPr="00DE7A1A">
          <w:rPr>
            <w:rFonts w:ascii="Times New Roman" w:eastAsia="Times New Roman" w:hAnsi="Times New Roman" w:cs="Times New Roman"/>
            <w:kern w:val="0"/>
          </w:rPr>
          <w:t>https://imarticus.org/blog/capital-bu</w:t>
        </w:r>
        <w:r w:rsidRPr="00DE7A1A">
          <w:rPr>
            <w:rFonts w:ascii="Times New Roman" w:eastAsia="Times New Roman" w:hAnsi="Times New Roman" w:cs="Times New Roman"/>
            <w:kern w:val="0"/>
          </w:rPr>
          <w:t>d</w:t>
        </w:r>
        <w:r w:rsidRPr="00DE7A1A">
          <w:rPr>
            <w:rFonts w:ascii="Times New Roman" w:eastAsia="Times New Roman" w:hAnsi="Times New Roman" w:cs="Times New Roman"/>
            <w:kern w:val="0"/>
          </w:rPr>
          <w:t>geting-methods/</w:t>
        </w:r>
      </w:hyperlink>
      <w:r w:rsidRPr="00DE7A1A">
        <w:rPr>
          <w:rFonts w:ascii="Times New Roman" w:eastAsia="Times New Roman" w:hAnsi="Times New Roman" w:cs="Times New Roman"/>
          <w:kern w:val="0"/>
        </w:rPr>
        <w:t>.</w:t>
      </w:r>
    </w:p>
    <w:p w14:paraId="0DE68422"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Johannesson, J. (2021). Business growth in a tough economy. </w:t>
      </w:r>
      <w:r w:rsidRPr="00DE7A1A">
        <w:rPr>
          <w:rFonts w:ascii="Times New Roman" w:eastAsia="Times New Roman" w:hAnsi="Times New Roman" w:cs="Times New Roman"/>
          <w:i/>
          <w:iCs/>
          <w:kern w:val="0"/>
        </w:rPr>
        <w:t>International Journal of Business Competition and Growth</w:t>
      </w:r>
      <w:r w:rsidRPr="00DE7A1A">
        <w:rPr>
          <w:rFonts w:ascii="Times New Roman" w:eastAsia="Times New Roman" w:hAnsi="Times New Roman" w:cs="Times New Roman"/>
          <w:kern w:val="0"/>
        </w:rPr>
        <w:t>, 1(3), p.231.</w:t>
      </w:r>
    </w:p>
    <w:p w14:paraId="5F67C6B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Jones, M. (2014). </w:t>
      </w:r>
      <w:r w:rsidRPr="00DE7A1A">
        <w:rPr>
          <w:rFonts w:ascii="Times New Roman" w:eastAsia="Times New Roman" w:hAnsi="Times New Roman" w:cs="Times New Roman"/>
          <w:i/>
          <w:iCs/>
          <w:kern w:val="0"/>
        </w:rPr>
        <w:t>Accounting and finance</w:t>
      </w:r>
      <w:r w:rsidRPr="00DE7A1A">
        <w:rPr>
          <w:rFonts w:ascii="Times New Roman" w:eastAsia="Times New Roman" w:hAnsi="Times New Roman" w:cs="Times New Roman"/>
          <w:kern w:val="0"/>
        </w:rPr>
        <w:t>. Chichester, West Sussex: John Wiley &amp; Sons.</w:t>
      </w:r>
    </w:p>
    <w:p w14:paraId="2B3F6DCB"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Kagan, J. (2025). </w:t>
      </w:r>
      <w:r w:rsidRPr="00DE7A1A">
        <w:rPr>
          <w:rFonts w:ascii="Times New Roman" w:eastAsia="Times New Roman" w:hAnsi="Times New Roman" w:cs="Times New Roman"/>
          <w:i/>
          <w:iCs/>
          <w:kern w:val="0"/>
        </w:rPr>
        <w:t>Payback period: Definition, formula, and calculation</w:t>
      </w:r>
      <w:r w:rsidRPr="00DE7A1A">
        <w:rPr>
          <w:rFonts w:ascii="Times New Roman" w:eastAsia="Times New Roman" w:hAnsi="Times New Roman" w:cs="Times New Roman"/>
          <w:kern w:val="0"/>
        </w:rPr>
        <w:t xml:space="preserve">. [online] Investopedia. Available at: </w:t>
      </w:r>
      <w:hyperlink r:id="rId18" w:history="1">
        <w:r w:rsidRPr="00DE7A1A">
          <w:rPr>
            <w:rFonts w:ascii="Times New Roman" w:eastAsia="Times New Roman" w:hAnsi="Times New Roman" w:cs="Times New Roman"/>
            <w:kern w:val="0"/>
          </w:rPr>
          <w:t>https://www.investopedia.com/terms/p/paybackperiod.asp</w:t>
        </w:r>
      </w:hyperlink>
      <w:r w:rsidRPr="00DE7A1A">
        <w:rPr>
          <w:rFonts w:ascii="Times New Roman" w:eastAsia="Times New Roman" w:hAnsi="Times New Roman" w:cs="Times New Roman"/>
          <w:kern w:val="0"/>
        </w:rPr>
        <w:t>.</w:t>
      </w:r>
    </w:p>
    <w:p w14:paraId="3B63BC4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Kenton, W. (2024). </w:t>
      </w:r>
      <w:r w:rsidRPr="00DE7A1A">
        <w:rPr>
          <w:rFonts w:ascii="Times New Roman" w:eastAsia="Times New Roman" w:hAnsi="Times New Roman" w:cs="Times New Roman"/>
          <w:i/>
          <w:iCs/>
          <w:kern w:val="0"/>
        </w:rPr>
        <w:t>How the Gearing Ratio Works</w:t>
      </w:r>
      <w:r w:rsidRPr="00DE7A1A">
        <w:rPr>
          <w:rFonts w:ascii="Times New Roman" w:eastAsia="Times New Roman" w:hAnsi="Times New Roman" w:cs="Times New Roman"/>
          <w:kern w:val="0"/>
        </w:rPr>
        <w:t xml:space="preserve">. [online] Investopedia. Available at: </w:t>
      </w:r>
      <w:hyperlink r:id="rId19" w:history="1">
        <w:r w:rsidRPr="00DE7A1A">
          <w:rPr>
            <w:rFonts w:ascii="Times New Roman" w:eastAsia="Times New Roman" w:hAnsi="Times New Roman" w:cs="Times New Roman"/>
            <w:kern w:val="0"/>
          </w:rPr>
          <w:t>https://www.investopedia.com/terms/g/gearingratio.asp</w:t>
        </w:r>
      </w:hyperlink>
      <w:r w:rsidRPr="00DE7A1A">
        <w:rPr>
          <w:rFonts w:ascii="Times New Roman" w:eastAsia="Times New Roman" w:hAnsi="Times New Roman" w:cs="Times New Roman"/>
          <w:kern w:val="0"/>
        </w:rPr>
        <w:t>.</w:t>
      </w:r>
    </w:p>
    <w:p w14:paraId="7C3A6D6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Kersten, R., Harms, J., </w:t>
      </w:r>
      <w:proofErr w:type="spellStart"/>
      <w:r w:rsidRPr="00DE7A1A">
        <w:rPr>
          <w:rFonts w:ascii="Times New Roman" w:eastAsia="Times New Roman" w:hAnsi="Times New Roman" w:cs="Times New Roman"/>
          <w:kern w:val="0"/>
        </w:rPr>
        <w:t>Liket</w:t>
      </w:r>
      <w:proofErr w:type="spellEnd"/>
      <w:r w:rsidRPr="00DE7A1A">
        <w:rPr>
          <w:rFonts w:ascii="Times New Roman" w:eastAsia="Times New Roman" w:hAnsi="Times New Roman" w:cs="Times New Roman"/>
          <w:kern w:val="0"/>
        </w:rPr>
        <w:t xml:space="preserve">, K. and Maas, K. (2017). Small Firms, large Impact? A systematic review of the SME Finance Literature. </w:t>
      </w:r>
      <w:r w:rsidRPr="00DE7A1A">
        <w:rPr>
          <w:rFonts w:ascii="Times New Roman" w:eastAsia="Times New Roman" w:hAnsi="Times New Roman" w:cs="Times New Roman"/>
          <w:i/>
          <w:iCs/>
          <w:kern w:val="0"/>
        </w:rPr>
        <w:t>World Development</w:t>
      </w:r>
      <w:r w:rsidRPr="00DE7A1A">
        <w:rPr>
          <w:rFonts w:ascii="Times New Roman" w:eastAsia="Times New Roman" w:hAnsi="Times New Roman" w:cs="Times New Roman"/>
          <w:kern w:val="0"/>
        </w:rPr>
        <w:t xml:space="preserve">, [online] 97, pp.330–348. </w:t>
      </w:r>
      <w:proofErr w:type="spellStart"/>
      <w:r w:rsidRPr="00DE7A1A">
        <w:rPr>
          <w:rFonts w:ascii="Times New Roman" w:eastAsia="Times New Roman" w:hAnsi="Times New Roman" w:cs="Times New Roman"/>
          <w:kern w:val="0"/>
        </w:rPr>
        <w:t>doi:</w:t>
      </w:r>
      <w:hyperlink r:id="rId20" w:history="1">
        <w:r w:rsidRPr="00DE7A1A">
          <w:rPr>
            <w:rFonts w:ascii="Times New Roman" w:eastAsia="Times New Roman" w:hAnsi="Times New Roman" w:cs="Times New Roman"/>
            <w:kern w:val="0"/>
          </w:rPr>
          <w:t>https</w:t>
        </w:r>
        <w:proofErr w:type="spellEnd"/>
        <w:r w:rsidRPr="00DE7A1A">
          <w:rPr>
            <w:rFonts w:ascii="Times New Roman" w:eastAsia="Times New Roman" w:hAnsi="Times New Roman" w:cs="Times New Roman"/>
            <w:kern w:val="0"/>
          </w:rPr>
          <w:t>://doi.org/10.1016/j.worlddev.2017.04.012</w:t>
        </w:r>
      </w:hyperlink>
      <w:r w:rsidRPr="00DE7A1A">
        <w:rPr>
          <w:rFonts w:ascii="Times New Roman" w:eastAsia="Times New Roman" w:hAnsi="Times New Roman" w:cs="Times New Roman"/>
          <w:kern w:val="0"/>
        </w:rPr>
        <w:t>.</w:t>
      </w:r>
    </w:p>
    <w:p w14:paraId="68839CB9"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Kimmel, P.D., Weygandt, J.J. and </w:t>
      </w:r>
      <w:proofErr w:type="spellStart"/>
      <w:r w:rsidRPr="00DE7A1A">
        <w:rPr>
          <w:rFonts w:ascii="Times New Roman" w:eastAsia="Times New Roman" w:hAnsi="Times New Roman" w:cs="Times New Roman"/>
          <w:kern w:val="0"/>
        </w:rPr>
        <w:t>Kieso</w:t>
      </w:r>
      <w:proofErr w:type="spellEnd"/>
      <w:r w:rsidRPr="00DE7A1A">
        <w:rPr>
          <w:rFonts w:ascii="Times New Roman" w:eastAsia="Times New Roman" w:hAnsi="Times New Roman" w:cs="Times New Roman"/>
          <w:kern w:val="0"/>
        </w:rPr>
        <w:t xml:space="preserve">, D.E. (2016). </w:t>
      </w:r>
      <w:r w:rsidRPr="00DE7A1A">
        <w:rPr>
          <w:rFonts w:ascii="Times New Roman" w:eastAsia="Times New Roman" w:hAnsi="Times New Roman" w:cs="Times New Roman"/>
          <w:i/>
          <w:iCs/>
          <w:kern w:val="0"/>
        </w:rPr>
        <w:t>Financial Accounting: Tools for Business Decision Making, 8th Edition</w:t>
      </w:r>
      <w:r w:rsidRPr="00DE7A1A">
        <w:rPr>
          <w:rFonts w:ascii="Times New Roman" w:eastAsia="Times New Roman" w:hAnsi="Times New Roman" w:cs="Times New Roman"/>
          <w:kern w:val="0"/>
        </w:rPr>
        <w:t>. Wiley Global Education.</w:t>
      </w:r>
    </w:p>
    <w:p w14:paraId="1C2047BE"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Kotey, B. (2019). Debt Financing and Factors Internal to the Business. </w:t>
      </w:r>
      <w:r w:rsidRPr="00DE7A1A">
        <w:rPr>
          <w:rFonts w:ascii="Times New Roman" w:eastAsia="Times New Roman" w:hAnsi="Times New Roman" w:cs="Times New Roman"/>
          <w:i/>
          <w:iCs/>
          <w:kern w:val="0"/>
        </w:rPr>
        <w:t>International Small Business Journal: Researching Entrepreneurship</w:t>
      </w:r>
      <w:r w:rsidRPr="00DE7A1A">
        <w:rPr>
          <w:rFonts w:ascii="Times New Roman" w:eastAsia="Times New Roman" w:hAnsi="Times New Roman" w:cs="Times New Roman"/>
          <w:kern w:val="0"/>
        </w:rPr>
        <w:t>, 17(3), pp.11–29.</w:t>
      </w:r>
    </w:p>
    <w:p w14:paraId="1D6CF20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Lichtenstein, S. and Dade, P. (2007). The Shareholder Value Chain: Values, Vision and Shareholder Value Creation. </w:t>
      </w:r>
      <w:r w:rsidRPr="00DE7A1A">
        <w:rPr>
          <w:rFonts w:ascii="Times New Roman" w:eastAsia="Times New Roman" w:hAnsi="Times New Roman" w:cs="Times New Roman"/>
          <w:i/>
          <w:iCs/>
          <w:kern w:val="0"/>
        </w:rPr>
        <w:t>Journal of General Management</w:t>
      </w:r>
      <w:r w:rsidRPr="00DE7A1A">
        <w:rPr>
          <w:rFonts w:ascii="Times New Roman" w:eastAsia="Times New Roman" w:hAnsi="Times New Roman" w:cs="Times New Roman"/>
          <w:kern w:val="0"/>
        </w:rPr>
        <w:t>, 33(1), pp.15–31.</w:t>
      </w:r>
    </w:p>
    <w:p w14:paraId="778DE49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Lin, H.-J. (2019). Why Should Managers Like Payback Period? </w:t>
      </w:r>
      <w:r w:rsidRPr="00DE7A1A">
        <w:rPr>
          <w:rFonts w:ascii="Times New Roman" w:eastAsia="Times New Roman" w:hAnsi="Times New Roman" w:cs="Times New Roman"/>
          <w:i/>
          <w:iCs/>
          <w:kern w:val="0"/>
        </w:rPr>
        <w:t>SSRN Electronic Journal</w:t>
      </w:r>
      <w:r w:rsidRPr="00DE7A1A">
        <w:rPr>
          <w:rFonts w:ascii="Times New Roman" w:eastAsia="Times New Roman" w:hAnsi="Times New Roman" w:cs="Times New Roman"/>
          <w:kern w:val="0"/>
        </w:rPr>
        <w:t>, 1(1).</w:t>
      </w:r>
    </w:p>
    <w:p w14:paraId="19882E5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M Djoko Hanantijo, G. (2023). Capital Structures Mediating Role in Profitability, Liquidity, and Firm Value. </w:t>
      </w:r>
      <w:r w:rsidRPr="00DE7A1A">
        <w:rPr>
          <w:rFonts w:ascii="Times New Roman" w:eastAsia="Times New Roman" w:hAnsi="Times New Roman" w:cs="Times New Roman"/>
          <w:i/>
          <w:iCs/>
          <w:kern w:val="0"/>
        </w:rPr>
        <w:t>International Journal of Science and Research (IJSR)</w:t>
      </w:r>
      <w:r w:rsidRPr="00DE7A1A">
        <w:rPr>
          <w:rFonts w:ascii="Times New Roman" w:eastAsia="Times New Roman" w:hAnsi="Times New Roman" w:cs="Times New Roman"/>
          <w:kern w:val="0"/>
        </w:rPr>
        <w:t>, 12(7), pp.1163–1166.</w:t>
      </w:r>
    </w:p>
    <w:p w14:paraId="1867324D"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Madura, J. (2018). </w:t>
      </w:r>
      <w:r w:rsidRPr="00DE7A1A">
        <w:rPr>
          <w:rFonts w:ascii="Times New Roman" w:eastAsia="Times New Roman" w:hAnsi="Times New Roman" w:cs="Times New Roman"/>
          <w:i/>
          <w:iCs/>
          <w:kern w:val="0"/>
        </w:rPr>
        <w:t>International financial management</w:t>
      </w:r>
      <w:r w:rsidRPr="00DE7A1A">
        <w:rPr>
          <w:rFonts w:ascii="Times New Roman" w:eastAsia="Times New Roman" w:hAnsi="Times New Roman" w:cs="Times New Roman"/>
          <w:kern w:val="0"/>
        </w:rPr>
        <w:t>. 13th ed. Boston, Ma: Cengage Learning.</w:t>
      </w:r>
    </w:p>
    <w:p w14:paraId="4A017443"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Maverick, J.B. (2022). </w:t>
      </w:r>
      <w:r w:rsidRPr="00DE7A1A">
        <w:rPr>
          <w:rFonts w:ascii="Times New Roman" w:eastAsia="Times New Roman" w:hAnsi="Times New Roman" w:cs="Times New Roman"/>
          <w:i/>
          <w:iCs/>
          <w:kern w:val="0"/>
        </w:rPr>
        <w:t>ROE Vs ROCE: the Difference</w:t>
      </w:r>
      <w:r w:rsidRPr="00DE7A1A">
        <w:rPr>
          <w:rFonts w:ascii="Times New Roman" w:eastAsia="Times New Roman" w:hAnsi="Times New Roman" w:cs="Times New Roman"/>
          <w:kern w:val="0"/>
        </w:rPr>
        <w:t xml:space="preserve">. [online] Investopedia. Available at: </w:t>
      </w:r>
      <w:hyperlink r:id="rId21" w:history="1">
        <w:r w:rsidRPr="00DE7A1A">
          <w:rPr>
            <w:rFonts w:ascii="Times New Roman" w:eastAsia="Times New Roman" w:hAnsi="Times New Roman" w:cs="Times New Roman"/>
            <w:kern w:val="0"/>
          </w:rPr>
          <w:t>https://www.investopedia.com/ask/answers/011215/what-difference-between-roce-and-roe.asp</w:t>
        </w:r>
      </w:hyperlink>
      <w:r w:rsidRPr="00DE7A1A">
        <w:rPr>
          <w:rFonts w:ascii="Times New Roman" w:eastAsia="Times New Roman" w:hAnsi="Times New Roman" w:cs="Times New Roman"/>
          <w:kern w:val="0"/>
        </w:rPr>
        <w:t>.</w:t>
      </w:r>
    </w:p>
    <w:p w14:paraId="34D60256"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lastRenderedPageBreak/>
        <w:t xml:space="preserve">Ngek Neneh, B. (2020). Market orientation and performance: the contingency role of external environment. </w:t>
      </w:r>
      <w:r w:rsidRPr="00DE7A1A">
        <w:rPr>
          <w:rFonts w:ascii="Times New Roman" w:eastAsia="Times New Roman" w:hAnsi="Times New Roman" w:cs="Times New Roman"/>
          <w:i/>
          <w:iCs/>
          <w:kern w:val="0"/>
        </w:rPr>
        <w:t>Environmental Economics</w:t>
      </w:r>
      <w:r w:rsidRPr="00DE7A1A">
        <w:rPr>
          <w:rFonts w:ascii="Times New Roman" w:eastAsia="Times New Roman" w:hAnsi="Times New Roman" w:cs="Times New Roman"/>
          <w:kern w:val="0"/>
        </w:rPr>
        <w:t>, 7(2), pp.130–137.</w:t>
      </w:r>
    </w:p>
    <w:p w14:paraId="11246879"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Oakshott</w:t>
      </w:r>
      <w:proofErr w:type="spellEnd"/>
      <w:r w:rsidRPr="00DE7A1A">
        <w:rPr>
          <w:rFonts w:ascii="Times New Roman" w:eastAsia="Times New Roman" w:hAnsi="Times New Roman" w:cs="Times New Roman"/>
          <w:kern w:val="0"/>
        </w:rPr>
        <w:t xml:space="preserve">, L. (2020). </w:t>
      </w:r>
      <w:r w:rsidRPr="00DE7A1A">
        <w:rPr>
          <w:rFonts w:ascii="Times New Roman" w:eastAsia="Times New Roman" w:hAnsi="Times New Roman" w:cs="Times New Roman"/>
          <w:i/>
          <w:iCs/>
          <w:kern w:val="0"/>
        </w:rPr>
        <w:t xml:space="preserve">Essential Quantitative </w:t>
      </w:r>
      <w:proofErr w:type="gramStart"/>
      <w:r w:rsidRPr="00DE7A1A">
        <w:rPr>
          <w:rFonts w:ascii="Times New Roman" w:eastAsia="Times New Roman" w:hAnsi="Times New Roman" w:cs="Times New Roman"/>
          <w:i/>
          <w:iCs/>
          <w:kern w:val="0"/>
        </w:rPr>
        <w:t>Methods :</w:t>
      </w:r>
      <w:proofErr w:type="gramEnd"/>
      <w:r w:rsidRPr="00DE7A1A">
        <w:rPr>
          <w:rFonts w:ascii="Times New Roman" w:eastAsia="Times New Roman" w:hAnsi="Times New Roman" w:cs="Times New Roman"/>
          <w:i/>
          <w:iCs/>
          <w:kern w:val="0"/>
        </w:rPr>
        <w:t xml:space="preserve"> for business, Management and Finance</w:t>
      </w:r>
      <w:r w:rsidRPr="00DE7A1A">
        <w:rPr>
          <w:rFonts w:ascii="Times New Roman" w:eastAsia="Times New Roman" w:hAnsi="Times New Roman" w:cs="Times New Roman"/>
          <w:kern w:val="0"/>
        </w:rPr>
        <w:t xml:space="preserve">. London Macmillan </w:t>
      </w:r>
      <w:proofErr w:type="gramStart"/>
      <w:r w:rsidRPr="00DE7A1A">
        <w:rPr>
          <w:rFonts w:ascii="Times New Roman" w:eastAsia="Times New Roman" w:hAnsi="Times New Roman" w:cs="Times New Roman"/>
          <w:kern w:val="0"/>
        </w:rPr>
        <w:t>International ;</w:t>
      </w:r>
      <w:proofErr w:type="gramEnd"/>
      <w:r w:rsidRPr="00DE7A1A">
        <w:rPr>
          <w:rFonts w:ascii="Times New Roman" w:eastAsia="Times New Roman" w:hAnsi="Times New Roman" w:cs="Times New Roman"/>
          <w:kern w:val="0"/>
        </w:rPr>
        <w:t xml:space="preserve"> Red Globe Press.</w:t>
      </w:r>
    </w:p>
    <w:p w14:paraId="3CC8AB85"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Orobia</w:t>
      </w:r>
      <w:proofErr w:type="spellEnd"/>
      <w:r w:rsidRPr="00DE7A1A">
        <w:rPr>
          <w:rFonts w:ascii="Times New Roman" w:eastAsia="Times New Roman" w:hAnsi="Times New Roman" w:cs="Times New Roman"/>
          <w:kern w:val="0"/>
        </w:rPr>
        <w:t xml:space="preserve">, L.A., </w:t>
      </w:r>
      <w:proofErr w:type="spellStart"/>
      <w:r w:rsidRPr="00DE7A1A">
        <w:rPr>
          <w:rFonts w:ascii="Times New Roman" w:eastAsia="Times New Roman" w:hAnsi="Times New Roman" w:cs="Times New Roman"/>
          <w:kern w:val="0"/>
        </w:rPr>
        <w:t>Nakibuuka</w:t>
      </w:r>
      <w:proofErr w:type="spellEnd"/>
      <w:r w:rsidRPr="00DE7A1A">
        <w:rPr>
          <w:rFonts w:ascii="Times New Roman" w:eastAsia="Times New Roman" w:hAnsi="Times New Roman" w:cs="Times New Roman"/>
          <w:kern w:val="0"/>
        </w:rPr>
        <w:t xml:space="preserve">, J., </w:t>
      </w:r>
      <w:proofErr w:type="spellStart"/>
      <w:r w:rsidRPr="00DE7A1A">
        <w:rPr>
          <w:rFonts w:ascii="Times New Roman" w:eastAsia="Times New Roman" w:hAnsi="Times New Roman" w:cs="Times New Roman"/>
          <w:kern w:val="0"/>
        </w:rPr>
        <w:t>Bananuka</w:t>
      </w:r>
      <w:proofErr w:type="spellEnd"/>
      <w:r w:rsidRPr="00DE7A1A">
        <w:rPr>
          <w:rFonts w:ascii="Times New Roman" w:eastAsia="Times New Roman" w:hAnsi="Times New Roman" w:cs="Times New Roman"/>
          <w:kern w:val="0"/>
        </w:rPr>
        <w:t xml:space="preserve">, J. and </w:t>
      </w:r>
      <w:proofErr w:type="spellStart"/>
      <w:r w:rsidRPr="00DE7A1A">
        <w:rPr>
          <w:rFonts w:ascii="Times New Roman" w:eastAsia="Times New Roman" w:hAnsi="Times New Roman" w:cs="Times New Roman"/>
          <w:kern w:val="0"/>
        </w:rPr>
        <w:t>Akisimire</w:t>
      </w:r>
      <w:proofErr w:type="spellEnd"/>
      <w:r w:rsidRPr="00DE7A1A">
        <w:rPr>
          <w:rFonts w:ascii="Times New Roman" w:eastAsia="Times New Roman" w:hAnsi="Times New Roman" w:cs="Times New Roman"/>
          <w:kern w:val="0"/>
        </w:rPr>
        <w:t xml:space="preserve">, R. (2020). Inventory Management, Managerial Competence and Financial Performance of Small Businesses. </w:t>
      </w:r>
      <w:r w:rsidRPr="00DE7A1A">
        <w:rPr>
          <w:rFonts w:ascii="Times New Roman" w:eastAsia="Times New Roman" w:hAnsi="Times New Roman" w:cs="Times New Roman"/>
          <w:i/>
          <w:iCs/>
          <w:kern w:val="0"/>
        </w:rPr>
        <w:t>Journal of Accounting in Emerging Economies</w:t>
      </w:r>
      <w:r w:rsidRPr="00DE7A1A">
        <w:rPr>
          <w:rFonts w:ascii="Times New Roman" w:eastAsia="Times New Roman" w:hAnsi="Times New Roman" w:cs="Times New Roman"/>
          <w:kern w:val="0"/>
        </w:rPr>
        <w:t>, 10(3), pp.379–398.</w:t>
      </w:r>
    </w:p>
    <w:p w14:paraId="7968E4AE"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DE7A1A">
        <w:rPr>
          <w:rFonts w:ascii="Times New Roman" w:eastAsia="Times New Roman" w:hAnsi="Times New Roman" w:cs="Times New Roman"/>
          <w:kern w:val="0"/>
        </w:rPr>
        <w:t>Palasciano</w:t>
      </w:r>
      <w:proofErr w:type="spellEnd"/>
      <w:r w:rsidRPr="00DE7A1A">
        <w:rPr>
          <w:rFonts w:ascii="Times New Roman" w:eastAsia="Times New Roman" w:hAnsi="Times New Roman" w:cs="Times New Roman"/>
          <w:kern w:val="0"/>
        </w:rPr>
        <w:t xml:space="preserve">, A. (2025). </w:t>
      </w:r>
      <w:r w:rsidRPr="00DE7A1A">
        <w:rPr>
          <w:rFonts w:ascii="Times New Roman" w:eastAsia="Times New Roman" w:hAnsi="Times New Roman" w:cs="Times New Roman"/>
          <w:i/>
          <w:iCs/>
          <w:kern w:val="0"/>
        </w:rPr>
        <w:t>What is net profit margin? Formula for calculation and examples</w:t>
      </w:r>
      <w:r w:rsidRPr="00DE7A1A">
        <w:rPr>
          <w:rFonts w:ascii="Times New Roman" w:eastAsia="Times New Roman" w:hAnsi="Times New Roman" w:cs="Times New Roman"/>
          <w:kern w:val="0"/>
        </w:rPr>
        <w:t xml:space="preserve">. [online] Investopedia. Available at: </w:t>
      </w:r>
      <w:hyperlink r:id="rId22" w:history="1">
        <w:r w:rsidRPr="00DE7A1A">
          <w:rPr>
            <w:rFonts w:ascii="Times New Roman" w:eastAsia="Times New Roman" w:hAnsi="Times New Roman" w:cs="Times New Roman"/>
            <w:kern w:val="0"/>
          </w:rPr>
          <w:t>https://www.investopedia.com/terms/n/net_margin.asp</w:t>
        </w:r>
      </w:hyperlink>
      <w:r w:rsidRPr="00DE7A1A">
        <w:rPr>
          <w:rFonts w:ascii="Times New Roman" w:eastAsia="Times New Roman" w:hAnsi="Times New Roman" w:cs="Times New Roman"/>
          <w:kern w:val="0"/>
        </w:rPr>
        <w:t>.</w:t>
      </w:r>
    </w:p>
    <w:p w14:paraId="31A25831" w14:textId="77777777" w:rsid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Palepu, K.G. and Healy, P.M. (2020). </w:t>
      </w:r>
      <w:r w:rsidRPr="00DE7A1A">
        <w:rPr>
          <w:rFonts w:ascii="Times New Roman" w:eastAsia="Times New Roman" w:hAnsi="Times New Roman" w:cs="Times New Roman"/>
          <w:i/>
          <w:iCs/>
          <w:kern w:val="0"/>
        </w:rPr>
        <w:t xml:space="preserve">Business Analysis &amp; </w:t>
      </w:r>
      <w:proofErr w:type="gramStart"/>
      <w:r w:rsidRPr="00DE7A1A">
        <w:rPr>
          <w:rFonts w:ascii="Times New Roman" w:eastAsia="Times New Roman" w:hAnsi="Times New Roman" w:cs="Times New Roman"/>
          <w:i/>
          <w:iCs/>
          <w:kern w:val="0"/>
        </w:rPr>
        <w:t>Valuation :</w:t>
      </w:r>
      <w:proofErr w:type="gramEnd"/>
      <w:r w:rsidRPr="00DE7A1A">
        <w:rPr>
          <w:rFonts w:ascii="Times New Roman" w:eastAsia="Times New Roman" w:hAnsi="Times New Roman" w:cs="Times New Roman"/>
          <w:i/>
          <w:iCs/>
          <w:kern w:val="0"/>
        </w:rPr>
        <w:t xml:space="preserve"> Using Financial Statements</w:t>
      </w:r>
      <w:r w:rsidRPr="00DE7A1A">
        <w:rPr>
          <w:rFonts w:ascii="Times New Roman" w:eastAsia="Times New Roman" w:hAnsi="Times New Roman" w:cs="Times New Roman"/>
          <w:kern w:val="0"/>
        </w:rPr>
        <w:t>. Mason, Ohio: South-Western.</w:t>
      </w:r>
    </w:p>
    <w:p w14:paraId="239EECF7" w14:textId="14E5094C"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Palmer, J.E. (2018). </w:t>
      </w:r>
      <w:r w:rsidRPr="00DE7A1A">
        <w:rPr>
          <w:rFonts w:ascii="Times New Roman" w:eastAsia="Times New Roman" w:hAnsi="Times New Roman" w:cs="Times New Roman"/>
          <w:i/>
          <w:iCs/>
          <w:kern w:val="0"/>
        </w:rPr>
        <w:t>Financial ratio analysis</w:t>
      </w:r>
      <w:r w:rsidRPr="00DE7A1A">
        <w:rPr>
          <w:rFonts w:ascii="Times New Roman" w:eastAsia="Times New Roman" w:hAnsi="Times New Roman" w:cs="Times New Roman"/>
          <w:kern w:val="0"/>
        </w:rPr>
        <w:t xml:space="preserve">. New York, N.Y.: American Institute </w:t>
      </w:r>
      <w:proofErr w:type="gramStart"/>
      <w:r w:rsidRPr="00DE7A1A">
        <w:rPr>
          <w:rFonts w:ascii="Times New Roman" w:eastAsia="Times New Roman" w:hAnsi="Times New Roman" w:cs="Times New Roman"/>
          <w:kern w:val="0"/>
        </w:rPr>
        <w:t>Of</w:t>
      </w:r>
      <w:proofErr w:type="gramEnd"/>
      <w:r w:rsidRPr="00DE7A1A">
        <w:rPr>
          <w:rFonts w:ascii="Times New Roman" w:eastAsia="Times New Roman" w:hAnsi="Times New Roman" w:cs="Times New Roman"/>
          <w:kern w:val="0"/>
        </w:rPr>
        <w:t xml:space="preserve"> Certified Public Accountants.</w:t>
      </w:r>
    </w:p>
    <w:p w14:paraId="22F58890"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Sanzo, R. (2005). </w:t>
      </w:r>
      <w:r w:rsidRPr="00DE7A1A">
        <w:rPr>
          <w:rFonts w:ascii="Times New Roman" w:eastAsia="Times New Roman" w:hAnsi="Times New Roman" w:cs="Times New Roman"/>
          <w:i/>
          <w:iCs/>
          <w:kern w:val="0"/>
        </w:rPr>
        <w:t>Ratio analysis for small business.</w:t>
      </w:r>
      <w:r w:rsidRPr="00DE7A1A">
        <w:rPr>
          <w:rFonts w:ascii="Times New Roman" w:eastAsia="Times New Roman" w:hAnsi="Times New Roman" w:cs="Times New Roman"/>
          <w:kern w:val="0"/>
        </w:rPr>
        <w:t xml:space="preserve"> New York: Books For Business.</w:t>
      </w:r>
    </w:p>
    <w:p w14:paraId="4084C511"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Schmidt, J. (2022). </w:t>
      </w:r>
      <w:r w:rsidRPr="00DE7A1A">
        <w:rPr>
          <w:rFonts w:ascii="Times New Roman" w:eastAsia="Times New Roman" w:hAnsi="Times New Roman" w:cs="Times New Roman"/>
          <w:i/>
          <w:iCs/>
          <w:kern w:val="0"/>
        </w:rPr>
        <w:t>Earnings Per Share Formula (EPS)</w:t>
      </w:r>
      <w:r w:rsidRPr="00DE7A1A">
        <w:rPr>
          <w:rFonts w:ascii="Times New Roman" w:eastAsia="Times New Roman" w:hAnsi="Times New Roman" w:cs="Times New Roman"/>
          <w:kern w:val="0"/>
        </w:rPr>
        <w:t xml:space="preserve">. [online] Corporate Finance Institute. Available at: </w:t>
      </w:r>
      <w:hyperlink r:id="rId23" w:history="1">
        <w:r w:rsidRPr="00DE7A1A">
          <w:rPr>
            <w:rFonts w:ascii="Times New Roman" w:eastAsia="Times New Roman" w:hAnsi="Times New Roman" w:cs="Times New Roman"/>
            <w:kern w:val="0"/>
          </w:rPr>
          <w:t>https://corporatefinanceinst</w:t>
        </w:r>
        <w:r w:rsidRPr="00DE7A1A">
          <w:rPr>
            <w:rFonts w:ascii="Times New Roman" w:eastAsia="Times New Roman" w:hAnsi="Times New Roman" w:cs="Times New Roman"/>
            <w:kern w:val="0"/>
          </w:rPr>
          <w:t>i</w:t>
        </w:r>
        <w:r w:rsidRPr="00DE7A1A">
          <w:rPr>
            <w:rFonts w:ascii="Times New Roman" w:eastAsia="Times New Roman" w:hAnsi="Times New Roman" w:cs="Times New Roman"/>
            <w:kern w:val="0"/>
          </w:rPr>
          <w:t>tute.com/resources/valuation/earnings-per-share-eps-formula/</w:t>
        </w:r>
      </w:hyperlink>
      <w:r w:rsidRPr="00DE7A1A">
        <w:rPr>
          <w:rFonts w:ascii="Times New Roman" w:eastAsia="Times New Roman" w:hAnsi="Times New Roman" w:cs="Times New Roman"/>
          <w:kern w:val="0"/>
        </w:rPr>
        <w:t>.</w:t>
      </w:r>
    </w:p>
    <w:p w14:paraId="40890554"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Spring, D. (2018). </w:t>
      </w:r>
      <w:r w:rsidRPr="00DE7A1A">
        <w:rPr>
          <w:rFonts w:ascii="Times New Roman" w:eastAsia="Times New Roman" w:hAnsi="Times New Roman" w:cs="Times New Roman"/>
          <w:i/>
          <w:iCs/>
          <w:kern w:val="0"/>
        </w:rPr>
        <w:t>An examination of NPV regulation</w:t>
      </w:r>
      <w:r w:rsidRPr="00DE7A1A">
        <w:rPr>
          <w:rFonts w:ascii="Times New Roman" w:eastAsia="Times New Roman" w:hAnsi="Times New Roman" w:cs="Times New Roman"/>
          <w:kern w:val="0"/>
        </w:rPr>
        <w:t xml:space="preserve">. London: Chartered Institute </w:t>
      </w:r>
      <w:proofErr w:type="gramStart"/>
      <w:r w:rsidRPr="00DE7A1A">
        <w:rPr>
          <w:rFonts w:ascii="Times New Roman" w:eastAsia="Times New Roman" w:hAnsi="Times New Roman" w:cs="Times New Roman"/>
          <w:kern w:val="0"/>
        </w:rPr>
        <w:t>Of</w:t>
      </w:r>
      <w:proofErr w:type="gramEnd"/>
      <w:r w:rsidRPr="00DE7A1A">
        <w:rPr>
          <w:rFonts w:ascii="Times New Roman" w:eastAsia="Times New Roman" w:hAnsi="Times New Roman" w:cs="Times New Roman"/>
          <w:kern w:val="0"/>
        </w:rPr>
        <w:t xml:space="preserve"> Public Finance &amp; Accountancy.</w:t>
      </w:r>
    </w:p>
    <w:p w14:paraId="639E2D6C"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Surridge, M. (2022). </w:t>
      </w:r>
      <w:r w:rsidRPr="00DE7A1A">
        <w:rPr>
          <w:rFonts w:ascii="Times New Roman" w:eastAsia="Times New Roman" w:hAnsi="Times New Roman" w:cs="Times New Roman"/>
          <w:i/>
          <w:iCs/>
          <w:kern w:val="0"/>
        </w:rPr>
        <w:t>The business environment</w:t>
      </w:r>
      <w:r w:rsidRPr="00DE7A1A">
        <w:rPr>
          <w:rFonts w:ascii="Times New Roman" w:eastAsia="Times New Roman" w:hAnsi="Times New Roman" w:cs="Times New Roman"/>
          <w:kern w:val="0"/>
        </w:rPr>
        <w:t xml:space="preserve">. 4th ed. London: </w:t>
      </w:r>
      <w:proofErr w:type="spellStart"/>
      <w:r w:rsidRPr="00DE7A1A">
        <w:rPr>
          <w:rFonts w:ascii="Times New Roman" w:eastAsia="Times New Roman" w:hAnsi="Times New Roman" w:cs="Times New Roman"/>
          <w:kern w:val="0"/>
        </w:rPr>
        <w:t>Collinseducational</w:t>
      </w:r>
      <w:proofErr w:type="spellEnd"/>
      <w:r w:rsidRPr="00DE7A1A">
        <w:rPr>
          <w:rFonts w:ascii="Times New Roman" w:eastAsia="Times New Roman" w:hAnsi="Times New Roman" w:cs="Times New Roman"/>
          <w:kern w:val="0"/>
        </w:rPr>
        <w:t>.</w:t>
      </w:r>
    </w:p>
    <w:p w14:paraId="46417422"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Thomas, C.W. (2022). </w:t>
      </w:r>
      <w:r w:rsidRPr="00DE7A1A">
        <w:rPr>
          <w:rFonts w:ascii="Times New Roman" w:eastAsia="Times New Roman" w:hAnsi="Times New Roman" w:cs="Times New Roman"/>
          <w:i/>
          <w:iCs/>
          <w:kern w:val="0"/>
        </w:rPr>
        <w:t>Financial Accounting</w:t>
      </w:r>
      <w:r w:rsidRPr="00DE7A1A">
        <w:rPr>
          <w:rFonts w:ascii="Times New Roman" w:eastAsia="Times New Roman" w:hAnsi="Times New Roman" w:cs="Times New Roman"/>
          <w:kern w:val="0"/>
        </w:rPr>
        <w:t>. New York: Pearson.</w:t>
      </w:r>
    </w:p>
    <w:p w14:paraId="58110568" w14:textId="77777777" w:rsidR="00DE7A1A" w:rsidRPr="00DE7A1A" w:rsidRDefault="00DE7A1A" w:rsidP="00DE7A1A">
      <w:pPr>
        <w:widowControl w:val="0"/>
        <w:autoSpaceDE w:val="0"/>
        <w:autoSpaceDN w:val="0"/>
        <w:adjustRightInd w:val="0"/>
        <w:spacing w:after="240" w:line="360" w:lineRule="auto"/>
        <w:rPr>
          <w:rFonts w:ascii="Times New Roman" w:eastAsia="Times New Roman" w:hAnsi="Times New Roman" w:cs="Times New Roman"/>
          <w:kern w:val="0"/>
        </w:rPr>
      </w:pPr>
      <w:r w:rsidRPr="00DE7A1A">
        <w:rPr>
          <w:rFonts w:ascii="Times New Roman" w:eastAsia="Times New Roman" w:hAnsi="Times New Roman" w:cs="Times New Roman"/>
          <w:kern w:val="0"/>
        </w:rPr>
        <w:t xml:space="preserve">Wright, D. and Slaybaugh, C.J. (2020). </w:t>
      </w:r>
      <w:r w:rsidRPr="00DE7A1A">
        <w:rPr>
          <w:rFonts w:ascii="Times New Roman" w:eastAsia="Times New Roman" w:hAnsi="Times New Roman" w:cs="Times New Roman"/>
          <w:i/>
          <w:iCs/>
          <w:kern w:val="0"/>
        </w:rPr>
        <w:t>Inventory management.</w:t>
      </w:r>
      <w:r w:rsidRPr="00DE7A1A">
        <w:rPr>
          <w:rFonts w:ascii="Times New Roman" w:eastAsia="Times New Roman" w:hAnsi="Times New Roman" w:cs="Times New Roman"/>
          <w:kern w:val="0"/>
        </w:rPr>
        <w:t xml:space="preserve"> Wellington, N.Z.: Cost </w:t>
      </w:r>
      <w:proofErr w:type="gramStart"/>
      <w:r w:rsidRPr="00DE7A1A">
        <w:rPr>
          <w:rFonts w:ascii="Times New Roman" w:eastAsia="Times New Roman" w:hAnsi="Times New Roman" w:cs="Times New Roman"/>
          <w:kern w:val="0"/>
        </w:rPr>
        <w:t>And</w:t>
      </w:r>
      <w:proofErr w:type="gramEnd"/>
      <w:r w:rsidRPr="00DE7A1A">
        <w:rPr>
          <w:rFonts w:ascii="Times New Roman" w:eastAsia="Times New Roman" w:hAnsi="Times New Roman" w:cs="Times New Roman"/>
          <w:kern w:val="0"/>
        </w:rPr>
        <w:t xml:space="preserve"> Management Accounting Division, New Zealand Society Of Accountants.</w:t>
      </w:r>
    </w:p>
    <w:p w14:paraId="1455157D" w14:textId="77777777" w:rsidR="0021744F" w:rsidRPr="00F2256F" w:rsidRDefault="0021744F" w:rsidP="00F2256F">
      <w:pPr>
        <w:spacing w:before="100" w:beforeAutospacing="1" w:after="100" w:afterAutospacing="1" w:line="360" w:lineRule="auto"/>
        <w:jc w:val="both"/>
        <w:rPr>
          <w:rFonts w:ascii="Times New Roman" w:eastAsia="Times New Roman" w:hAnsi="Times New Roman" w:cs="Times New Roman"/>
          <w:kern w:val="0"/>
          <w14:ligatures w14:val="none"/>
        </w:rPr>
      </w:pPr>
    </w:p>
    <w:p w14:paraId="6E84EF5D" w14:textId="2EF71C7F" w:rsidR="000F178B" w:rsidRPr="000F178B" w:rsidRDefault="000F178B" w:rsidP="000F178B">
      <w:pPr>
        <w:spacing w:before="100" w:beforeAutospacing="1" w:after="100" w:afterAutospacing="1" w:line="360" w:lineRule="auto"/>
        <w:jc w:val="both"/>
        <w:rPr>
          <w:rFonts w:ascii="Times New Roman" w:eastAsia="Times New Roman" w:hAnsi="Times New Roman" w:cs="Times New Roman"/>
          <w:kern w:val="0"/>
          <w14:ligatures w14:val="none"/>
        </w:rPr>
      </w:pPr>
    </w:p>
    <w:p w14:paraId="2BB44B99" w14:textId="0451744E" w:rsidR="003C5B80" w:rsidRPr="003C5B80" w:rsidRDefault="003C5B80" w:rsidP="003C5B80">
      <w:pPr>
        <w:pStyle w:val="Heading1"/>
        <w:rPr>
          <w:rFonts w:eastAsia="Times New Roman"/>
        </w:rPr>
      </w:pPr>
      <w:bookmarkStart w:id="57" w:name="_Toc219020688"/>
      <w:r w:rsidRPr="003C5B80">
        <w:rPr>
          <w:rFonts w:eastAsia="Times New Roman"/>
        </w:rPr>
        <w:t>Appendix</w:t>
      </w:r>
      <w:r>
        <w:rPr>
          <w:rFonts w:eastAsia="Times New Roman"/>
        </w:rPr>
        <w:t xml:space="preserve"> </w:t>
      </w:r>
      <w:r w:rsidR="009D7F96">
        <w:rPr>
          <w:rFonts w:eastAsia="Times New Roman"/>
        </w:rPr>
        <w:t>1</w:t>
      </w:r>
      <w:bookmarkEnd w:id="57"/>
    </w:p>
    <w:p w14:paraId="2363FF26" w14:textId="6D136D6F"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3C5B80">
        <w:rPr>
          <w:rFonts w:ascii="Times New Roman" w:eastAsia="Times New Roman" w:hAnsi="Times New Roman" w:cs="Times New Roman"/>
          <w:b/>
          <w:bCs/>
          <w:kern w:val="0"/>
          <w:sz w:val="28"/>
          <w:szCs w:val="28"/>
          <w14:ligatures w14:val="none"/>
        </w:rPr>
        <w:t>Appendix A: Profitability Ratios</w:t>
      </w:r>
    </w:p>
    <w:p w14:paraId="4E400A74"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Gross Profit Margin</w:t>
      </w:r>
    </w:p>
    <w:p w14:paraId="09DDE015"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Gross Profit ÷ Revenue × 100</w:t>
      </w:r>
    </w:p>
    <w:p w14:paraId="1FEA343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42.2%</w:t>
      </w:r>
    </w:p>
    <w:p w14:paraId="73286F2D" w14:textId="2D310071"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45.0%</w:t>
      </w:r>
    </w:p>
    <w:p w14:paraId="713E13F2"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Operating Profit Margin (Reported)</w:t>
      </w:r>
    </w:p>
    <w:p w14:paraId="75901BD4"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Operating Profit ÷ Revenue × 100</w:t>
      </w:r>
    </w:p>
    <w:p w14:paraId="34888A07"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16.4%</w:t>
      </w:r>
    </w:p>
    <w:p w14:paraId="02E0E396" w14:textId="60DB5099"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15.5%</w:t>
      </w:r>
    </w:p>
    <w:p w14:paraId="0887AF29"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Net Profit Margin</w:t>
      </w:r>
    </w:p>
    <w:p w14:paraId="58577E2E"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Net Profit ÷ Revenue × 100</w:t>
      </w:r>
    </w:p>
    <w:p w14:paraId="2F9083B8"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12.0%</w:t>
      </w:r>
    </w:p>
    <w:p w14:paraId="3B8B4A99" w14:textId="531E84DF"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10.5%</w:t>
      </w:r>
    </w:p>
    <w:p w14:paraId="0FCB46C2" w14:textId="28F7D092"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Appendix B: Return Measures</w:t>
      </w:r>
    </w:p>
    <w:p w14:paraId="04663E72"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Return on Capital Employed (ROCE)</w:t>
      </w:r>
    </w:p>
    <w:p w14:paraId="61765735"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Operating Profit ÷ Capital Employed × 100</w:t>
      </w:r>
    </w:p>
    <w:p w14:paraId="13FC6426"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lastRenderedPageBreak/>
        <w:t>2023: 16.3%</w:t>
      </w:r>
    </w:p>
    <w:p w14:paraId="4F21AC8F" w14:textId="551B6C5C"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14.5%</w:t>
      </w:r>
    </w:p>
    <w:p w14:paraId="59E5D4C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Return on Equity (ROE)</w:t>
      </w:r>
    </w:p>
    <w:p w14:paraId="612170B2"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Net Profit ÷ Shareholders’ Equity × 100</w:t>
      </w:r>
    </w:p>
    <w:p w14:paraId="5AED4DA8"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38.4%</w:t>
      </w:r>
    </w:p>
    <w:p w14:paraId="258E6560" w14:textId="273063D0"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32.7%</w:t>
      </w:r>
    </w:p>
    <w:p w14:paraId="75AFAA08" w14:textId="21FAF27B"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3C5B80">
        <w:rPr>
          <w:rFonts w:ascii="Times New Roman" w:eastAsia="Times New Roman" w:hAnsi="Times New Roman" w:cs="Times New Roman"/>
          <w:b/>
          <w:bCs/>
          <w:kern w:val="0"/>
          <w:sz w:val="28"/>
          <w:szCs w:val="28"/>
          <w14:ligatures w14:val="none"/>
        </w:rPr>
        <w:t>Appendix C: Liquidity Ratios</w:t>
      </w:r>
    </w:p>
    <w:p w14:paraId="6F1AE885"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Current Ratio</w:t>
      </w:r>
    </w:p>
    <w:p w14:paraId="76571AA4"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Current Assets ÷ Current Liabilities</w:t>
      </w:r>
    </w:p>
    <w:p w14:paraId="06A60E2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0.97</w:t>
      </w:r>
    </w:p>
    <w:p w14:paraId="2B7A8CE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0.96</w:t>
      </w:r>
    </w:p>
    <w:p w14:paraId="177CF288"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p>
    <w:p w14:paraId="2F71191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Quick Ratio</w:t>
      </w:r>
    </w:p>
    <w:p w14:paraId="20DD0883"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(Current Assets − Inventory) ÷ Current Liabilities</w:t>
      </w:r>
    </w:p>
    <w:p w14:paraId="5A9C4C0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0.69</w:t>
      </w:r>
    </w:p>
    <w:p w14:paraId="5F47C65A" w14:textId="3AE6FC8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0.68</w:t>
      </w:r>
    </w:p>
    <w:p w14:paraId="66BC4260" w14:textId="4939A7A4"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Appendix D: Solvency Ratios</w:t>
      </w:r>
    </w:p>
    <w:p w14:paraId="5F4B3F08"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Gearing Ratio</w:t>
      </w:r>
    </w:p>
    <w:p w14:paraId="64BDEDC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Long-term Debt ÷ (Long-term Debt + Equity) × 100</w:t>
      </w:r>
    </w:p>
    <w:p w14:paraId="6558876B"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lastRenderedPageBreak/>
        <w:t>2023: 55.8%</w:t>
      </w:r>
    </w:p>
    <w:p w14:paraId="69DCFD0E" w14:textId="74C34C3B"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56.4%</w:t>
      </w:r>
    </w:p>
    <w:p w14:paraId="5DE50309"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Interest Cover</w:t>
      </w:r>
    </w:p>
    <w:p w14:paraId="35B26143"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Operating Profit ÷ Finance Costs</w:t>
      </w:r>
    </w:p>
    <w:p w14:paraId="174A1DE3"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10.6×</w:t>
      </w:r>
    </w:p>
    <w:p w14:paraId="0CBF5CCE" w14:textId="1FF686AB"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9.0×</w:t>
      </w:r>
    </w:p>
    <w:p w14:paraId="604DE304" w14:textId="6B665B4E"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3C5B80">
        <w:rPr>
          <w:rFonts w:ascii="Times New Roman" w:eastAsia="Times New Roman" w:hAnsi="Times New Roman" w:cs="Times New Roman"/>
          <w:b/>
          <w:bCs/>
          <w:kern w:val="0"/>
          <w:sz w:val="28"/>
          <w:szCs w:val="28"/>
          <w14:ligatures w14:val="none"/>
        </w:rPr>
        <w:t>Appendix E: Efficiency Ratios</w:t>
      </w:r>
    </w:p>
    <w:p w14:paraId="270AF4B6"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Inventory Days</w:t>
      </w:r>
    </w:p>
    <w:p w14:paraId="6A5A9EF0"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Average Inventory ÷ Cost of Sales × 365</w:t>
      </w:r>
    </w:p>
    <w:p w14:paraId="31905F90"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89 days</w:t>
      </w:r>
    </w:p>
    <w:p w14:paraId="74B6B337" w14:textId="5AD7A7A0"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98 days</w:t>
      </w:r>
    </w:p>
    <w:p w14:paraId="20064470"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Receivables Days</w:t>
      </w:r>
    </w:p>
    <w:p w14:paraId="2B7C2F1E"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Average Trade Receivables ÷ Revenue × 365</w:t>
      </w:r>
    </w:p>
    <w:p w14:paraId="56284EB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44 days</w:t>
      </w:r>
    </w:p>
    <w:p w14:paraId="31AC9995" w14:textId="0DF2E100"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47 days</w:t>
      </w:r>
    </w:p>
    <w:p w14:paraId="458CBFD2"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Payables Days</w:t>
      </w:r>
    </w:p>
    <w:p w14:paraId="43A7BB33"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Formula: Average Trade Payables ÷ Cost of Sales × 365</w:t>
      </w:r>
    </w:p>
    <w:p w14:paraId="14C55A30"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129 days</w:t>
      </w:r>
    </w:p>
    <w:p w14:paraId="7221A1ED"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144 days</w:t>
      </w:r>
    </w:p>
    <w:p w14:paraId="0F4DEDAC"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p>
    <w:p w14:paraId="0E6EEBDA" w14:textId="676F56A9"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sz w:val="28"/>
          <w:szCs w:val="28"/>
          <w14:ligatures w14:val="none"/>
        </w:rPr>
      </w:pPr>
      <w:r w:rsidRPr="003C5B80">
        <w:rPr>
          <w:rFonts w:ascii="Times New Roman" w:eastAsia="Times New Roman" w:hAnsi="Times New Roman" w:cs="Times New Roman"/>
          <w:b/>
          <w:bCs/>
          <w:kern w:val="0"/>
          <w:sz w:val="28"/>
          <w:szCs w:val="28"/>
          <w14:ligatures w14:val="none"/>
        </w:rPr>
        <w:t>Appendix F: Investor Ratios</w:t>
      </w:r>
    </w:p>
    <w:p w14:paraId="505ABEDF"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Earnings per Share (EPS)</w:t>
      </w:r>
    </w:p>
    <w:p w14:paraId="44593F16"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€2.82</w:t>
      </w:r>
    </w:p>
    <w:p w14:paraId="65AA5334" w14:textId="1187A0E1"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€2.51</w:t>
      </w:r>
    </w:p>
    <w:p w14:paraId="5246D206"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Dividend Ratios</w:t>
      </w:r>
    </w:p>
    <w:p w14:paraId="01F40BBF"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DPS €1.72 | Dividend Cover 1.6×</w:t>
      </w:r>
    </w:p>
    <w:p w14:paraId="04E49F4B" w14:textId="5F586188"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DPS €1.76 | Dividend Cover 1.4×</w:t>
      </w:r>
    </w:p>
    <w:p w14:paraId="51BFA15B"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b/>
          <w:bCs/>
          <w:kern w:val="0"/>
          <w14:ligatures w14:val="none"/>
        </w:rPr>
      </w:pPr>
      <w:r w:rsidRPr="003C5B80">
        <w:rPr>
          <w:rFonts w:ascii="Times New Roman" w:eastAsia="Times New Roman" w:hAnsi="Times New Roman" w:cs="Times New Roman"/>
          <w:b/>
          <w:bCs/>
          <w:kern w:val="0"/>
          <w14:ligatures w14:val="none"/>
        </w:rPr>
        <w:t>Price/Earnings Ratio</w:t>
      </w:r>
    </w:p>
    <w:p w14:paraId="3F9DF595"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2023: 18.5×</w:t>
      </w:r>
    </w:p>
    <w:p w14:paraId="29E319B1" w14:textId="77777777" w:rsidR="003C5B80" w:rsidRPr="003C5B80" w:rsidRDefault="003C5B80" w:rsidP="003C5B80">
      <w:pPr>
        <w:spacing w:before="100" w:beforeAutospacing="1" w:after="100" w:afterAutospacing="1" w:line="360" w:lineRule="auto"/>
        <w:jc w:val="both"/>
        <w:rPr>
          <w:rFonts w:ascii="Times New Roman" w:eastAsia="Times New Roman" w:hAnsi="Times New Roman" w:cs="Times New Roman"/>
          <w:kern w:val="0"/>
          <w14:ligatures w14:val="none"/>
        </w:rPr>
      </w:pPr>
      <w:r w:rsidRPr="003C5B80">
        <w:rPr>
          <w:rFonts w:ascii="Times New Roman" w:eastAsia="Times New Roman" w:hAnsi="Times New Roman" w:cs="Times New Roman"/>
          <w:kern w:val="0"/>
          <w14:ligatures w14:val="none"/>
        </w:rPr>
        <w:t>2024: 20.1×</w:t>
      </w:r>
    </w:p>
    <w:p w14:paraId="085D567F" w14:textId="624BEC6C" w:rsidR="003C5B80" w:rsidRPr="003C5B80" w:rsidRDefault="009002E3" w:rsidP="009002E3">
      <w:pPr>
        <w:pStyle w:val="Heading1"/>
        <w:rPr>
          <w:rFonts w:eastAsia="Times New Roman"/>
        </w:rPr>
      </w:pPr>
      <w:bookmarkStart w:id="58" w:name="_Toc219020689"/>
      <w:r>
        <w:rPr>
          <w:rFonts w:eastAsia="Times New Roman"/>
        </w:rPr>
        <w:t>Appendix 2</w:t>
      </w:r>
      <w:bookmarkEnd w:id="58"/>
    </w:p>
    <w:p w14:paraId="60573860" w14:textId="38F19834" w:rsidR="00731ADE" w:rsidRPr="00731ADE" w:rsidRDefault="009002E3" w:rsidP="00731ADE">
      <w:pPr>
        <w:spacing w:before="100" w:beforeAutospacing="1" w:after="100" w:afterAutospacing="1" w:line="360" w:lineRule="auto"/>
        <w:jc w:val="both"/>
        <w:rPr>
          <w:rFonts w:ascii="Times New Roman" w:eastAsia="Times New Roman" w:hAnsi="Times New Roman" w:cs="Times New Roman"/>
          <w:kern w:val="0"/>
          <w14:ligatures w14:val="none"/>
        </w:rPr>
      </w:pPr>
      <w:r w:rsidRPr="009002E3">
        <w:rPr>
          <w:noProof/>
        </w:rPr>
        <w:drawing>
          <wp:inline distT="0" distB="0" distL="0" distR="0" wp14:anchorId="77F7818C" wp14:editId="5F25671C">
            <wp:extent cx="3876675" cy="962025"/>
            <wp:effectExtent l="0" t="0" r="9525" b="9525"/>
            <wp:docPr id="783547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876675" cy="962025"/>
                    </a:xfrm>
                    <a:prstGeom prst="rect">
                      <a:avLst/>
                    </a:prstGeom>
                    <a:noFill/>
                    <a:ln>
                      <a:noFill/>
                    </a:ln>
                  </pic:spPr>
                </pic:pic>
              </a:graphicData>
            </a:graphic>
          </wp:inline>
        </w:drawing>
      </w:r>
    </w:p>
    <w:p w14:paraId="30C88980"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59" w:name="_Toc219020690"/>
      <w:r w:rsidRPr="00851D84">
        <w:rPr>
          <w:rFonts w:ascii="Times New Roman" w:eastAsia="Times New Roman" w:hAnsi="Times New Roman" w:cs="Times New Roman"/>
          <w:b/>
          <w:bCs/>
          <w:kern w:val="0"/>
          <w:sz w:val="27"/>
          <w:szCs w:val="27"/>
          <w14:ligatures w14:val="none"/>
        </w:rPr>
        <w:t>1. After-tax cash flows (all options)</w:t>
      </w:r>
      <w:bookmarkEnd w:id="59"/>
    </w:p>
    <w:p w14:paraId="184FB4B1"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Corporation tax rate = 25%</w:t>
      </w:r>
      <w:r w:rsidRPr="00851D84">
        <w:rPr>
          <w:rFonts w:ascii="Times New Roman" w:eastAsia="Times New Roman" w:hAnsi="Times New Roman" w:cs="Times New Roman"/>
          <w:kern w:val="0"/>
          <w14:ligatures w14:val="none"/>
        </w:rPr>
        <w:br/>
        <w:t>Capital allowances = 20% straight-line per year</w:t>
      </w:r>
    </w:p>
    <w:p w14:paraId="44D39ED3"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Annual capital allowance:</w:t>
      </w:r>
    </w:p>
    <w:p w14:paraId="0580EB28" w14:textId="77777777" w:rsidR="00851D84" w:rsidRPr="00851D84" w:rsidRDefault="00851D84" w:rsidP="00851D84">
      <w:pPr>
        <w:pStyle w:val="ListParagraph"/>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A: 20% × £600,000 = £120,000</w:t>
      </w:r>
    </w:p>
    <w:p w14:paraId="3DCA2397" w14:textId="77777777" w:rsidR="00851D84" w:rsidRPr="00851D84" w:rsidRDefault="00851D84" w:rsidP="00851D84">
      <w:pPr>
        <w:pStyle w:val="ListParagraph"/>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lastRenderedPageBreak/>
        <w:t>Option B: 20% × £1,000,000 = £200,000</w:t>
      </w:r>
    </w:p>
    <w:p w14:paraId="0EC42B54" w14:textId="77777777" w:rsidR="00851D84" w:rsidRPr="00851D84" w:rsidRDefault="00851D84" w:rsidP="00851D84">
      <w:pPr>
        <w:pStyle w:val="ListParagraph"/>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C: 20% × £1,600,000 = £320,000</w:t>
      </w:r>
    </w:p>
    <w:p w14:paraId="36FCD2ED" w14:textId="1BB362D5" w:rsidR="00851D84" w:rsidRPr="00851D84" w:rsidRDefault="00851D84" w:rsidP="00851D84">
      <w:pPr>
        <w:spacing w:before="100" w:beforeAutospacing="1" w:after="100" w:afterAutospacing="1" w:line="240" w:lineRule="auto"/>
        <w:rPr>
          <w:rFonts w:ascii="Times New Roman" w:eastAsia="Times New Roman" w:hAnsi="Times New Roman" w:cs="Times New Roman"/>
          <w:b/>
          <w:bCs/>
          <w:kern w:val="0"/>
          <w14:ligatures w14:val="none"/>
        </w:rPr>
      </w:pPr>
      <w:r w:rsidRPr="00851D84">
        <w:rPr>
          <w:rFonts w:ascii="Times New Roman" w:eastAsia="Times New Roman" w:hAnsi="Times New Roman" w:cs="Times New Roman"/>
          <w:b/>
          <w:bCs/>
          <w:kern w:val="0"/>
          <w14:ligatures w14:val="none"/>
        </w:rPr>
        <w:t>After-tax cash flow formula:</w:t>
      </w:r>
    </w:p>
    <w:p w14:paraId="2A57FCA8" w14:textId="26EC397A"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After-tax cash flow</m:t>
          </m:r>
          <m:r>
            <w:rPr>
              <w:rFonts w:ascii="Cambria Math" w:eastAsia="Times New Roman" w:hAnsi="Cambria Math" w:cs="Times New Roman"/>
              <w:kern w:val="0"/>
              <w14:ligatures w14:val="none"/>
            </w:rPr>
            <m:t>=(</m:t>
          </m:r>
          <m:r>
            <m:rPr>
              <m:nor/>
            </m:rPr>
            <w:rPr>
              <w:rFonts w:ascii="Times New Roman" w:eastAsia="Times New Roman" w:hAnsi="Times New Roman" w:cs="Times New Roman"/>
              <w:kern w:val="0"/>
              <w14:ligatures w14:val="none"/>
            </w:rPr>
            <m:t>Cash flow</m:t>
          </m:r>
          <m:r>
            <w:rPr>
              <w:rFonts w:ascii="Cambria Math" w:eastAsia="Times New Roman" w:hAnsi="Cambria Math" w:cs="Times New Roman"/>
              <w:kern w:val="0"/>
              <w14:ligatures w14:val="none"/>
            </w:rPr>
            <m:t>×(1-0.25))+(</m:t>
          </m:r>
          <m:r>
            <m:rPr>
              <m:nor/>
            </m:rPr>
            <w:rPr>
              <w:rFonts w:ascii="Times New Roman" w:eastAsia="Times New Roman" w:hAnsi="Times New Roman" w:cs="Times New Roman"/>
              <w:kern w:val="0"/>
              <w14:ligatures w14:val="none"/>
            </w:rPr>
            <m:t>Capital allowance</m:t>
          </m:r>
          <m:r>
            <w:rPr>
              <w:rFonts w:ascii="Cambria Math" w:eastAsia="Times New Roman" w:hAnsi="Cambria Math" w:cs="Times New Roman"/>
              <w:kern w:val="0"/>
              <w14:ligatures w14:val="none"/>
            </w:rPr>
            <m:t>×0.25)</m:t>
          </m:r>
          <m:r>
            <m:rPr>
              <m:sty m:val="p"/>
            </m:rPr>
            <w:rPr>
              <w:rFonts w:ascii="Times New Roman" w:eastAsia="Times New Roman" w:hAnsi="Times New Roman" w:cs="Times New Roman"/>
              <w:kern w:val="0"/>
              <w14:ligatures w14:val="none"/>
            </w:rPr>
            <w:br/>
          </m:r>
        </m:oMath>
      </m:oMathPara>
    </w:p>
    <w:p w14:paraId="0C8477C0"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0" w:name="_Toc219020691"/>
      <w:r w:rsidRPr="00851D84">
        <w:rPr>
          <w:rFonts w:ascii="Times New Roman" w:eastAsia="Times New Roman" w:hAnsi="Times New Roman" w:cs="Times New Roman"/>
          <w:b/>
          <w:bCs/>
          <w:kern w:val="0"/>
          <w:sz w:val="27"/>
          <w:szCs w:val="27"/>
          <w14:ligatures w14:val="none"/>
        </w:rPr>
        <w:t>2. Net Present Value (NPV)</w:t>
      </w:r>
      <w:bookmarkEnd w:id="60"/>
    </w:p>
    <w:p w14:paraId="50F2B580"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Discount rate = 6%</w:t>
      </w:r>
    </w:p>
    <w:p w14:paraId="0A29C48C"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NPV</m:t>
          </m:r>
          <m:r>
            <w:rPr>
              <w:rFonts w:ascii="Cambria Math" w:eastAsia="Times New Roman" w:hAnsi="Cambria Math" w:cs="Times New Roman"/>
              <w:kern w:val="0"/>
              <w14:ligatures w14:val="none"/>
            </w:rPr>
            <m:t>=∑</m:t>
          </m:r>
          <m:f>
            <m:fPr>
              <m:ctrlPr>
                <w:rPr>
                  <w:rFonts w:ascii="Cambria Math" w:eastAsia="Times New Roman" w:hAnsi="Cambria Math" w:cs="Times New Roman"/>
                  <w:kern w:val="0"/>
                  <w14:ligatures w14:val="none"/>
                </w:rPr>
              </m:ctrlPr>
            </m:fPr>
            <m:num>
              <m:r>
                <m:rPr>
                  <m:nor/>
                </m:rPr>
                <w:rPr>
                  <w:rFonts w:ascii="Times New Roman" w:eastAsia="Times New Roman" w:hAnsi="Times New Roman" w:cs="Times New Roman"/>
                  <w:kern w:val="0"/>
                  <w14:ligatures w14:val="none"/>
                </w:rPr>
                <m:t>After-tax cash flow</m:t>
              </m:r>
            </m:num>
            <m:den>
              <m:d>
                <m:dPr>
                  <m:sepChr m:val="+"/>
                  <m:endChr m:val=""/>
                  <m:ctrlPr>
                    <w:rPr>
                      <w:rFonts w:ascii="Cambria Math" w:eastAsia="Times New Roman" w:hAnsi="Cambria Math" w:cs="Times New Roman"/>
                      <w:kern w:val="0"/>
                      <w14:ligatures w14:val="none"/>
                    </w:rPr>
                  </m:ctrlPr>
                </m:dPr>
                <m:e>
                  <m:r>
                    <w:rPr>
                      <w:rFonts w:ascii="Cambria Math" w:eastAsia="Times New Roman" w:hAnsi="Cambria Math" w:cs="Times New Roman"/>
                      <w:kern w:val="0"/>
                      <w14:ligatures w14:val="none"/>
                    </w:rPr>
                    <m:t>1</m:t>
                  </m:r>
                </m:e>
                <m:e>
                  <m:r>
                    <w:rPr>
                      <w:rFonts w:ascii="Cambria Math" w:eastAsia="Times New Roman" w:hAnsi="Cambria Math" w:cs="Times New Roman"/>
                      <w:kern w:val="0"/>
                      <w14:ligatures w14:val="none"/>
                    </w:rPr>
                    <m:t>0.06</m:t>
                  </m:r>
                  <m:sSup>
                    <m:sSupPr>
                      <m:ctrlPr>
                        <w:rPr>
                          <w:rFonts w:ascii="Cambria Math" w:eastAsia="Times New Roman" w:hAnsi="Cambria Math" w:cs="Times New Roman"/>
                          <w:kern w:val="0"/>
                          <w14:ligatures w14:val="none"/>
                        </w:rPr>
                      </m:ctrlPr>
                    </m:sSupPr>
                    <m:e>
                      <m:r>
                        <w:rPr>
                          <w:rFonts w:ascii="Cambria Math" w:eastAsia="Times New Roman" w:hAnsi="Cambria Math" w:cs="Times New Roman"/>
                          <w:kern w:val="0"/>
                          <w14:ligatures w14:val="none"/>
                        </w:rPr>
                        <m:t>)</m:t>
                      </m:r>
                    </m:e>
                    <m:sup>
                      <m:r>
                        <w:rPr>
                          <w:rFonts w:ascii="Cambria Math" w:eastAsia="Times New Roman" w:hAnsi="Cambria Math" w:cs="Times New Roman"/>
                          <w:kern w:val="0"/>
                          <w14:ligatures w14:val="none"/>
                        </w:rPr>
                        <m:t>t</m:t>
                      </m:r>
                    </m:sup>
                  </m:sSup>
                </m:e>
              </m:d>
            </m:den>
          </m:f>
          <m:r>
            <w:rPr>
              <w:rFonts w:ascii="Cambria Math" w:eastAsia="Times New Roman" w:hAnsi="Cambria Math" w:cs="Times New Roman"/>
              <w:kern w:val="0"/>
              <w14:ligatures w14:val="none"/>
            </w:rPr>
            <m:t>-</m:t>
          </m:r>
          <m:r>
            <m:rPr>
              <m:nor/>
            </m:rPr>
            <w:rPr>
              <w:rFonts w:ascii="Times New Roman" w:eastAsia="Times New Roman" w:hAnsi="Times New Roman" w:cs="Times New Roman"/>
              <w:kern w:val="0"/>
              <w14:ligatures w14:val="none"/>
            </w:rPr>
            <m:t>Initial investment</m:t>
          </m:r>
          <m:r>
            <m:rPr>
              <m:sty m:val="p"/>
            </m:rPr>
            <w:rPr>
              <w:rFonts w:ascii="Times New Roman" w:eastAsia="Times New Roman" w:hAnsi="Times New Roman" w:cs="Times New Roman"/>
              <w:kern w:val="0"/>
              <w14:ligatures w14:val="none"/>
            </w:rPr>
            <w:br/>
          </m:r>
        </m:oMath>
      </m:oMathPara>
    </w:p>
    <w:p w14:paraId="7F65E88D"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Final NPVs:</w:t>
      </w:r>
    </w:p>
    <w:p w14:paraId="0397642F" w14:textId="77777777" w:rsidR="00851D84" w:rsidRPr="00851D84" w:rsidRDefault="00851D84" w:rsidP="00851D84">
      <w:pPr>
        <w:pStyle w:val="ListParagraph"/>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A = +£643.2k</w:t>
      </w:r>
    </w:p>
    <w:p w14:paraId="61EB1565" w14:textId="77777777" w:rsidR="00851D84" w:rsidRPr="00851D84" w:rsidRDefault="00851D84" w:rsidP="00851D84">
      <w:pPr>
        <w:pStyle w:val="ListParagraph"/>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B = +£792.2k</w:t>
      </w:r>
    </w:p>
    <w:p w14:paraId="12A0B7FC" w14:textId="77777777" w:rsidR="00851D84" w:rsidRPr="00851D84" w:rsidRDefault="00851D84" w:rsidP="00851D84">
      <w:pPr>
        <w:pStyle w:val="ListParagraph"/>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Option C = +£742.5k</w:t>
      </w:r>
    </w:p>
    <w:p w14:paraId="3ABEEE6D" w14:textId="4BE33901" w:rsidR="00851D84" w:rsidRPr="00851D84" w:rsidRDefault="00851D84" w:rsidP="00851D84">
      <w:pPr>
        <w:spacing w:after="0" w:line="240" w:lineRule="auto"/>
        <w:rPr>
          <w:rFonts w:ascii="Times New Roman" w:eastAsia="Times New Roman" w:hAnsi="Times New Roman" w:cs="Times New Roman"/>
          <w:kern w:val="0"/>
          <w14:ligatures w14:val="none"/>
        </w:rPr>
      </w:pPr>
    </w:p>
    <w:p w14:paraId="49CDA80F"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1" w:name="_Toc219020692"/>
      <w:r w:rsidRPr="00851D84">
        <w:rPr>
          <w:rFonts w:ascii="Times New Roman" w:eastAsia="Times New Roman" w:hAnsi="Times New Roman" w:cs="Times New Roman"/>
          <w:b/>
          <w:bCs/>
          <w:kern w:val="0"/>
          <w:sz w:val="27"/>
          <w:szCs w:val="27"/>
          <w14:ligatures w14:val="none"/>
        </w:rPr>
        <w:t>3. Internal Rate of Return (IRR)</w:t>
      </w:r>
      <w:bookmarkEnd w:id="61"/>
    </w:p>
    <w:p w14:paraId="71B526D5" w14:textId="3B27B39B"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p>
    <w:p w14:paraId="4D9F9BFC"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IRR</m:t>
          </m:r>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r</m:t>
              </m:r>
            </m:e>
            <m:sub>
              <m:r>
                <w:rPr>
                  <w:rFonts w:ascii="Cambria Math" w:eastAsia="Times New Roman" w:hAnsi="Cambria Math" w:cs="Times New Roman"/>
                  <w:kern w:val="0"/>
                  <w14:ligatures w14:val="none"/>
                </w:rPr>
                <m:t>1</m:t>
              </m:r>
            </m:sub>
          </m:sSub>
          <m:r>
            <w:rPr>
              <w:rFonts w:ascii="Cambria Math" w:eastAsia="Times New Roman" w:hAnsi="Cambria Math" w:cs="Times New Roman"/>
              <w:kern w:val="0"/>
              <w14:ligatures w14:val="none"/>
            </w:rPr>
            <m:t>+</m:t>
          </m:r>
          <m:d>
            <m:dPr>
              <m:ctrlPr>
                <w:rPr>
                  <w:rFonts w:ascii="Cambria Math" w:eastAsia="Times New Roman" w:hAnsi="Cambria Math" w:cs="Times New Roman"/>
                  <w:kern w:val="0"/>
                  <w14:ligatures w14:val="none"/>
                </w:rPr>
              </m:ctrlPr>
            </m:dPr>
            <m:e>
              <m:f>
                <m:fPr>
                  <m:ctrlPr>
                    <w:rPr>
                      <w:rFonts w:ascii="Cambria Math" w:eastAsia="Times New Roman" w:hAnsi="Cambria Math" w:cs="Times New Roman"/>
                      <w:kern w:val="0"/>
                      <w14:ligatures w14:val="none"/>
                    </w:rPr>
                  </m:ctrlPr>
                </m:fPr>
                <m:num>
                  <m:sSub>
                    <m:sSubPr>
                      <m:ctrlPr>
                        <w:rPr>
                          <w:rFonts w:ascii="Cambria Math" w:eastAsia="Times New Roman" w:hAnsi="Cambria Math" w:cs="Times New Roman"/>
                          <w:kern w:val="0"/>
                          <w14:ligatures w14:val="none"/>
                        </w:rPr>
                      </m:ctrlPr>
                    </m:sSubPr>
                    <m:e>
                      <m:r>
                        <m:rPr>
                          <m:nor/>
                        </m:rPr>
                        <w:rPr>
                          <w:rFonts w:ascii="Times New Roman" w:eastAsia="Times New Roman" w:hAnsi="Times New Roman" w:cs="Times New Roman"/>
                          <w:kern w:val="0"/>
                          <w14:ligatures w14:val="none"/>
                        </w:rPr>
                        <m:t>NPV</m:t>
                      </m:r>
                    </m:e>
                    <m:sub>
                      <m:r>
                        <w:rPr>
                          <w:rFonts w:ascii="Cambria Math" w:eastAsia="Times New Roman" w:hAnsi="Cambria Math" w:cs="Times New Roman"/>
                          <w:kern w:val="0"/>
                          <w14:ligatures w14:val="none"/>
                        </w:rPr>
                        <m:t>1</m:t>
                      </m:r>
                    </m:sub>
                  </m:sSub>
                </m:num>
                <m:den>
                  <m:sSub>
                    <m:sSubPr>
                      <m:ctrlPr>
                        <w:rPr>
                          <w:rFonts w:ascii="Cambria Math" w:eastAsia="Times New Roman" w:hAnsi="Cambria Math" w:cs="Times New Roman"/>
                          <w:kern w:val="0"/>
                          <w14:ligatures w14:val="none"/>
                        </w:rPr>
                      </m:ctrlPr>
                    </m:sSubPr>
                    <m:e>
                      <m:r>
                        <m:rPr>
                          <m:nor/>
                        </m:rPr>
                        <w:rPr>
                          <w:rFonts w:ascii="Times New Roman" w:eastAsia="Times New Roman" w:hAnsi="Times New Roman" w:cs="Times New Roman"/>
                          <w:kern w:val="0"/>
                          <w14:ligatures w14:val="none"/>
                        </w:rPr>
                        <m:t>NPV</m:t>
                      </m:r>
                    </m:e>
                    <m:sub>
                      <m:r>
                        <w:rPr>
                          <w:rFonts w:ascii="Cambria Math" w:eastAsia="Times New Roman" w:hAnsi="Cambria Math" w:cs="Times New Roman"/>
                          <w:kern w:val="0"/>
                          <w14:ligatures w14:val="none"/>
                        </w:rPr>
                        <m:t>1</m:t>
                      </m:r>
                    </m:sub>
                  </m:sSub>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m:rPr>
                          <m:nor/>
                        </m:rPr>
                        <w:rPr>
                          <w:rFonts w:ascii="Times New Roman" w:eastAsia="Times New Roman" w:hAnsi="Times New Roman" w:cs="Times New Roman"/>
                          <w:kern w:val="0"/>
                          <w14:ligatures w14:val="none"/>
                        </w:rPr>
                        <m:t>NPV</m:t>
                      </m:r>
                    </m:e>
                    <m:sub>
                      <m:r>
                        <w:rPr>
                          <w:rFonts w:ascii="Cambria Math" w:eastAsia="Times New Roman" w:hAnsi="Cambria Math" w:cs="Times New Roman"/>
                          <w:kern w:val="0"/>
                          <w14:ligatures w14:val="none"/>
                        </w:rPr>
                        <m:t>2</m:t>
                      </m:r>
                    </m:sub>
                  </m:sSub>
                </m:den>
              </m:f>
            </m:e>
          </m:d>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r</m:t>
              </m:r>
            </m:e>
            <m:sub>
              <m:r>
                <w:rPr>
                  <w:rFonts w:ascii="Cambria Math" w:eastAsia="Times New Roman" w:hAnsi="Cambria Math" w:cs="Times New Roman"/>
                  <w:kern w:val="0"/>
                  <w14:ligatures w14:val="none"/>
                </w:rPr>
                <m:t>2</m:t>
              </m:r>
            </m:sub>
          </m:sSub>
          <m:r>
            <w:rPr>
              <w:rFonts w:ascii="Cambria Math" w:eastAsia="Times New Roman" w:hAnsi="Cambria Math" w:cs="Times New Roman"/>
              <w:kern w:val="0"/>
              <w14:ligatures w14:val="none"/>
            </w:rPr>
            <m:t>-</m:t>
          </m:r>
          <m:sSub>
            <m:sSubPr>
              <m:ctrlPr>
                <w:rPr>
                  <w:rFonts w:ascii="Cambria Math" w:eastAsia="Times New Roman" w:hAnsi="Cambria Math" w:cs="Times New Roman"/>
                  <w:kern w:val="0"/>
                  <w14:ligatures w14:val="none"/>
                </w:rPr>
              </m:ctrlPr>
            </m:sSubPr>
            <m:e>
              <m:r>
                <w:rPr>
                  <w:rFonts w:ascii="Cambria Math" w:eastAsia="Times New Roman" w:hAnsi="Cambria Math" w:cs="Times New Roman"/>
                  <w:kern w:val="0"/>
                  <w14:ligatures w14:val="none"/>
                </w:rPr>
                <m:t>r</m:t>
              </m:r>
            </m:e>
            <m:sub>
              <m:r>
                <w:rPr>
                  <w:rFonts w:ascii="Cambria Math" w:eastAsia="Times New Roman" w:hAnsi="Cambria Math" w:cs="Times New Roman"/>
                  <w:kern w:val="0"/>
                  <w14:ligatures w14:val="none"/>
                </w:rPr>
                <m:t>1</m:t>
              </m:r>
            </m:sub>
          </m:sSub>
          <m:r>
            <w:rPr>
              <w:rFonts w:ascii="Cambria Math" w:eastAsia="Times New Roman" w:hAnsi="Cambria Math" w:cs="Times New Roman"/>
              <w:kern w:val="0"/>
              <w14:ligatures w14:val="none"/>
            </w:rPr>
            <m:t>)</m:t>
          </m:r>
          <m:r>
            <m:rPr>
              <m:sty m:val="p"/>
            </m:rPr>
            <w:rPr>
              <w:rFonts w:ascii="Times New Roman" w:eastAsia="Times New Roman" w:hAnsi="Times New Roman" w:cs="Times New Roman"/>
              <w:kern w:val="0"/>
              <w14:ligatures w14:val="none"/>
            </w:rPr>
            <w:br/>
          </m:r>
        </m:oMath>
      </m:oMathPara>
    </w:p>
    <w:p w14:paraId="7F2FEDE2"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Final IRRs:</w:t>
      </w:r>
    </w:p>
    <w:p w14:paraId="6CC5E10C" w14:textId="77777777" w:rsidR="00851D84" w:rsidRPr="00785722" w:rsidRDefault="00851D84" w:rsidP="00851D84">
      <w:pPr>
        <w:pStyle w:val="ListParagraph"/>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A ≈ 39.0%</w:t>
      </w:r>
    </w:p>
    <w:p w14:paraId="7E578390" w14:textId="77777777" w:rsidR="00851D84" w:rsidRPr="00785722" w:rsidRDefault="00851D84" w:rsidP="00851D84">
      <w:pPr>
        <w:pStyle w:val="ListParagraph"/>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B ≈ 32.1%</w:t>
      </w:r>
    </w:p>
    <w:p w14:paraId="7E5F3567" w14:textId="77777777" w:rsidR="00851D84" w:rsidRPr="00785722" w:rsidRDefault="00851D84" w:rsidP="00851D84">
      <w:pPr>
        <w:pStyle w:val="ListParagraph"/>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 22.2%</w:t>
      </w:r>
    </w:p>
    <w:p w14:paraId="2590A7A1" w14:textId="670EBAF8" w:rsidR="00851D84" w:rsidRPr="00851D84" w:rsidRDefault="00851D84" w:rsidP="00851D84">
      <w:pPr>
        <w:spacing w:after="0" w:line="240" w:lineRule="auto"/>
        <w:rPr>
          <w:rFonts w:ascii="Times New Roman" w:eastAsia="Times New Roman" w:hAnsi="Times New Roman" w:cs="Times New Roman"/>
          <w:kern w:val="0"/>
          <w14:ligatures w14:val="none"/>
        </w:rPr>
      </w:pPr>
    </w:p>
    <w:p w14:paraId="397BA507"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2" w:name="_Toc219020693"/>
      <w:r w:rsidRPr="00851D84">
        <w:rPr>
          <w:rFonts w:ascii="Times New Roman" w:eastAsia="Times New Roman" w:hAnsi="Times New Roman" w:cs="Times New Roman"/>
          <w:b/>
          <w:bCs/>
          <w:kern w:val="0"/>
          <w:sz w:val="27"/>
          <w:szCs w:val="27"/>
          <w14:ligatures w14:val="none"/>
        </w:rPr>
        <w:t>4. Payback Period</w:t>
      </w:r>
      <w:bookmarkEnd w:id="62"/>
    </w:p>
    <w:p w14:paraId="058AB845"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Payback</m:t>
          </m:r>
          <m:r>
            <w:rPr>
              <w:rFonts w:ascii="Cambria Math" w:eastAsia="Times New Roman" w:hAnsi="Cambria Math" w:cs="Times New Roman"/>
              <w:kern w:val="0"/>
              <w14:ligatures w14:val="none"/>
            </w:rPr>
            <m:t>=</m:t>
          </m:r>
          <m:r>
            <m:rPr>
              <m:nor/>
            </m:rPr>
            <w:rPr>
              <w:rFonts w:ascii="Times New Roman" w:eastAsia="Times New Roman" w:hAnsi="Times New Roman" w:cs="Times New Roman"/>
              <w:kern w:val="0"/>
              <w14:ligatures w14:val="none"/>
            </w:rPr>
            <m:t>Years before recovery</m:t>
          </m:r>
          <m:r>
            <w:rPr>
              <w:rFonts w:ascii="Cambria Math" w:eastAsia="Times New Roman" w:hAnsi="Cambria Math" w:cs="Times New Roman"/>
              <w:kern w:val="0"/>
              <w14:ligatures w14:val="none"/>
            </w:rPr>
            <m:t>+</m:t>
          </m:r>
          <m:f>
            <m:fPr>
              <m:ctrlPr>
                <w:rPr>
                  <w:rFonts w:ascii="Cambria Math" w:eastAsia="Times New Roman" w:hAnsi="Cambria Math" w:cs="Times New Roman"/>
                  <w:kern w:val="0"/>
                  <w14:ligatures w14:val="none"/>
                </w:rPr>
              </m:ctrlPr>
            </m:fPr>
            <m:num>
              <m:r>
                <m:rPr>
                  <m:nor/>
                </m:rPr>
                <w:rPr>
                  <w:rFonts w:ascii="Times New Roman" w:eastAsia="Times New Roman" w:hAnsi="Times New Roman" w:cs="Times New Roman"/>
                  <w:kern w:val="0"/>
                  <w14:ligatures w14:val="none"/>
                </w:rPr>
                <m:t>Unrecovered balance</m:t>
              </m:r>
            </m:num>
            <m:den>
              <m:r>
                <m:rPr>
                  <m:nor/>
                </m:rPr>
                <w:rPr>
                  <w:rFonts w:ascii="Times New Roman" w:eastAsia="Times New Roman" w:hAnsi="Times New Roman" w:cs="Times New Roman"/>
                  <w:kern w:val="0"/>
                  <w14:ligatures w14:val="none"/>
                </w:rPr>
                <m:t>Cash flow in recovery year</m:t>
              </m:r>
            </m:den>
          </m:f>
          <m:r>
            <m:rPr>
              <m:sty m:val="p"/>
            </m:rPr>
            <w:rPr>
              <w:rFonts w:ascii="Times New Roman" w:eastAsia="Times New Roman" w:hAnsi="Times New Roman" w:cs="Times New Roman"/>
              <w:kern w:val="0"/>
              <w14:ligatures w14:val="none"/>
            </w:rPr>
            <w:br/>
          </m:r>
        </m:oMath>
      </m:oMathPara>
    </w:p>
    <w:p w14:paraId="35CBD56E"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lastRenderedPageBreak/>
        <w:t>Payback periods:</w:t>
      </w:r>
    </w:p>
    <w:p w14:paraId="67C7B6CC" w14:textId="77777777" w:rsidR="00851D84" w:rsidRPr="00785722" w:rsidRDefault="00851D84" w:rsidP="00851D84">
      <w:pPr>
        <w:pStyle w:val="ListParagraph"/>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A ≈ 2.22 years</w:t>
      </w:r>
    </w:p>
    <w:p w14:paraId="73BCA824" w14:textId="77777777" w:rsidR="00851D84" w:rsidRPr="00785722" w:rsidRDefault="00851D84" w:rsidP="00851D84">
      <w:pPr>
        <w:pStyle w:val="ListParagraph"/>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B ≈ 2.44 years</w:t>
      </w:r>
    </w:p>
    <w:p w14:paraId="278B6CD5" w14:textId="77777777" w:rsidR="00851D84" w:rsidRPr="00785722" w:rsidRDefault="00851D84" w:rsidP="00851D84">
      <w:pPr>
        <w:pStyle w:val="ListParagraph"/>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 2.76 years</w:t>
      </w:r>
    </w:p>
    <w:p w14:paraId="2ADAF5AE" w14:textId="7D221048" w:rsidR="00851D84" w:rsidRPr="00851D84" w:rsidRDefault="00851D84" w:rsidP="00851D84">
      <w:pPr>
        <w:spacing w:after="0" w:line="240" w:lineRule="auto"/>
        <w:rPr>
          <w:rFonts w:ascii="Times New Roman" w:eastAsia="Times New Roman" w:hAnsi="Times New Roman" w:cs="Times New Roman"/>
          <w:kern w:val="0"/>
          <w14:ligatures w14:val="none"/>
        </w:rPr>
      </w:pPr>
    </w:p>
    <w:p w14:paraId="2D0FE6EF"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3" w:name="_Toc219020694"/>
      <w:r w:rsidRPr="00851D84">
        <w:rPr>
          <w:rFonts w:ascii="Times New Roman" w:eastAsia="Times New Roman" w:hAnsi="Times New Roman" w:cs="Times New Roman"/>
          <w:b/>
          <w:bCs/>
          <w:kern w:val="0"/>
          <w:sz w:val="27"/>
          <w:szCs w:val="27"/>
          <w14:ligatures w14:val="none"/>
        </w:rPr>
        <w:t>5. Accounting Rate of Return (ARR)</w:t>
      </w:r>
      <w:bookmarkEnd w:id="63"/>
    </w:p>
    <w:p w14:paraId="561B26AE"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Straight-line depreciation over 4 years:</w:t>
      </w:r>
    </w:p>
    <w:p w14:paraId="6AA7C277"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ARR</m:t>
          </m:r>
          <m:r>
            <w:rPr>
              <w:rFonts w:ascii="Cambria Math" w:eastAsia="Times New Roman" w:hAnsi="Cambria Math" w:cs="Times New Roman"/>
              <w:kern w:val="0"/>
              <w14:ligatures w14:val="none"/>
            </w:rPr>
            <m:t>=</m:t>
          </m:r>
          <m:f>
            <m:fPr>
              <m:ctrlPr>
                <w:rPr>
                  <w:rFonts w:ascii="Cambria Math" w:eastAsia="Times New Roman" w:hAnsi="Cambria Math" w:cs="Times New Roman"/>
                  <w:kern w:val="0"/>
                  <w14:ligatures w14:val="none"/>
                </w:rPr>
              </m:ctrlPr>
            </m:fPr>
            <m:num>
              <m:r>
                <m:rPr>
                  <m:nor/>
                </m:rPr>
                <w:rPr>
                  <w:rFonts w:ascii="Times New Roman" w:eastAsia="Times New Roman" w:hAnsi="Times New Roman" w:cs="Times New Roman"/>
                  <w:kern w:val="0"/>
                  <w14:ligatures w14:val="none"/>
                </w:rPr>
                <m:t>Average annual accounting profit after tax</m:t>
              </m:r>
            </m:num>
            <m:den>
              <m:r>
                <m:rPr>
                  <m:nor/>
                </m:rPr>
                <w:rPr>
                  <w:rFonts w:ascii="Times New Roman" w:eastAsia="Times New Roman" w:hAnsi="Times New Roman" w:cs="Times New Roman"/>
                  <w:kern w:val="0"/>
                  <w14:ligatures w14:val="none"/>
                </w:rPr>
                <m:t>Initial investment</m:t>
              </m:r>
            </m:den>
          </m:f>
          <m:r>
            <w:rPr>
              <w:rFonts w:ascii="Cambria Math" w:eastAsia="Times New Roman" w:hAnsi="Cambria Math" w:cs="Times New Roman"/>
              <w:kern w:val="0"/>
              <w14:ligatures w14:val="none"/>
            </w:rPr>
            <m:t>×100</m:t>
          </m:r>
          <m:r>
            <m:rPr>
              <m:sty m:val="p"/>
            </m:rPr>
            <w:rPr>
              <w:rFonts w:ascii="Times New Roman" w:eastAsia="Times New Roman" w:hAnsi="Times New Roman" w:cs="Times New Roman"/>
              <w:kern w:val="0"/>
              <w14:ligatures w14:val="none"/>
            </w:rPr>
            <w:br/>
          </m:r>
        </m:oMath>
      </m:oMathPara>
    </w:p>
    <w:p w14:paraId="40DC4697"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ARRs:</w:t>
      </w:r>
    </w:p>
    <w:p w14:paraId="5D8CF641" w14:textId="77777777" w:rsidR="00851D84" w:rsidRPr="00785722" w:rsidRDefault="00851D84" w:rsidP="00851D84">
      <w:pPr>
        <w:pStyle w:val="ListParagraph"/>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A ≈ 37.5%</w:t>
      </w:r>
    </w:p>
    <w:p w14:paraId="03D00EEF" w14:textId="77777777" w:rsidR="00851D84" w:rsidRPr="00785722" w:rsidRDefault="00851D84" w:rsidP="00851D84">
      <w:pPr>
        <w:pStyle w:val="ListParagraph"/>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B ≈ 29.1%</w:t>
      </w:r>
    </w:p>
    <w:p w14:paraId="5FD988D7" w14:textId="77777777" w:rsidR="00851D84" w:rsidRPr="00785722" w:rsidRDefault="00851D84" w:rsidP="00851D84">
      <w:pPr>
        <w:pStyle w:val="ListParagraph"/>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 19.3%</w:t>
      </w:r>
    </w:p>
    <w:p w14:paraId="37638BC7" w14:textId="1ED7853B" w:rsidR="00851D84" w:rsidRPr="00851D84" w:rsidRDefault="00851D84" w:rsidP="00851D84">
      <w:pPr>
        <w:spacing w:after="0" w:line="240" w:lineRule="auto"/>
        <w:rPr>
          <w:rFonts w:ascii="Times New Roman" w:eastAsia="Times New Roman" w:hAnsi="Times New Roman" w:cs="Times New Roman"/>
          <w:kern w:val="0"/>
          <w14:ligatures w14:val="none"/>
        </w:rPr>
      </w:pPr>
    </w:p>
    <w:p w14:paraId="00F62BCF" w14:textId="77777777" w:rsidR="00851D84" w:rsidRPr="00851D84" w:rsidRDefault="00851D84" w:rsidP="00851D84">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bookmarkStart w:id="64" w:name="_Toc219020695"/>
      <w:r w:rsidRPr="00851D84">
        <w:rPr>
          <w:rFonts w:ascii="Times New Roman" w:eastAsia="Times New Roman" w:hAnsi="Times New Roman" w:cs="Times New Roman"/>
          <w:b/>
          <w:bCs/>
          <w:kern w:val="0"/>
          <w:sz w:val="27"/>
          <w:szCs w:val="27"/>
          <w14:ligatures w14:val="none"/>
        </w:rPr>
        <w:t>6. Profitability Index (Capital Rationing)</w:t>
      </w:r>
      <w:bookmarkEnd w:id="64"/>
    </w:p>
    <w:p w14:paraId="7EFB67DB" w14:textId="77777777" w:rsidR="00851D84" w:rsidRPr="00851D84" w:rsidRDefault="00851D84" w:rsidP="00851D84">
      <w:pPr>
        <w:spacing w:after="0" w:line="240" w:lineRule="auto"/>
        <w:rPr>
          <w:rFonts w:ascii="Times New Roman" w:eastAsia="Times New Roman" w:hAnsi="Times New Roman" w:cs="Times New Roman"/>
          <w:kern w:val="0"/>
          <w14:ligatures w14:val="none"/>
        </w:rPr>
      </w:pPr>
      <m:oMathPara>
        <m:oMath>
          <m:r>
            <m:rPr>
              <m:nor/>
            </m:rPr>
            <w:rPr>
              <w:rFonts w:ascii="Times New Roman" w:eastAsia="Times New Roman" w:hAnsi="Times New Roman" w:cs="Times New Roman"/>
              <w:kern w:val="0"/>
              <w14:ligatures w14:val="none"/>
            </w:rPr>
            <m:t>PI</m:t>
          </m:r>
          <m:r>
            <w:rPr>
              <w:rFonts w:ascii="Cambria Math" w:eastAsia="Times New Roman" w:hAnsi="Cambria Math" w:cs="Times New Roman"/>
              <w:kern w:val="0"/>
              <w14:ligatures w14:val="none"/>
            </w:rPr>
            <m:t>=</m:t>
          </m:r>
          <m:f>
            <m:fPr>
              <m:ctrlPr>
                <w:rPr>
                  <w:rFonts w:ascii="Cambria Math" w:eastAsia="Times New Roman" w:hAnsi="Cambria Math" w:cs="Times New Roman"/>
                  <w:kern w:val="0"/>
                  <w14:ligatures w14:val="none"/>
                </w:rPr>
              </m:ctrlPr>
            </m:fPr>
            <m:num>
              <m:r>
                <m:rPr>
                  <m:nor/>
                </m:rPr>
                <w:rPr>
                  <w:rFonts w:ascii="Times New Roman" w:eastAsia="Times New Roman" w:hAnsi="Times New Roman" w:cs="Times New Roman"/>
                  <w:kern w:val="0"/>
                  <w14:ligatures w14:val="none"/>
                </w:rPr>
                <m:t>Present value of inflows</m:t>
              </m:r>
            </m:num>
            <m:den>
              <m:r>
                <m:rPr>
                  <m:nor/>
                </m:rPr>
                <w:rPr>
                  <w:rFonts w:ascii="Times New Roman" w:eastAsia="Times New Roman" w:hAnsi="Times New Roman" w:cs="Times New Roman"/>
                  <w:kern w:val="0"/>
                  <w14:ligatures w14:val="none"/>
                </w:rPr>
                <m:t>Initial investment</m:t>
              </m:r>
            </m:den>
          </m:f>
          <m:r>
            <m:rPr>
              <m:sty m:val="p"/>
            </m:rPr>
            <w:rPr>
              <w:rFonts w:ascii="Times New Roman" w:eastAsia="Times New Roman" w:hAnsi="Times New Roman" w:cs="Times New Roman"/>
              <w:kern w:val="0"/>
              <w14:ligatures w14:val="none"/>
            </w:rPr>
            <w:br/>
          </m:r>
        </m:oMath>
      </m:oMathPara>
    </w:p>
    <w:p w14:paraId="0DCC3D97"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PIs:</w:t>
      </w:r>
    </w:p>
    <w:p w14:paraId="6F6380A0" w14:textId="77777777" w:rsidR="00851D84" w:rsidRPr="00785722" w:rsidRDefault="00851D84" w:rsidP="00851D84">
      <w:pPr>
        <w:pStyle w:val="ListParagraph"/>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A ≈ 2.07</w:t>
      </w:r>
    </w:p>
    <w:p w14:paraId="574A71DC" w14:textId="77777777" w:rsidR="00851D84" w:rsidRPr="00785722" w:rsidRDefault="00851D84" w:rsidP="00851D84">
      <w:pPr>
        <w:pStyle w:val="ListParagraph"/>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B ≈ 1.79</w:t>
      </w:r>
    </w:p>
    <w:p w14:paraId="5DFEE8F3" w14:textId="77777777" w:rsidR="00851D84" w:rsidRPr="00785722" w:rsidRDefault="00851D84" w:rsidP="00851D84">
      <w:pPr>
        <w:pStyle w:val="ListParagraph"/>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 1.46</w:t>
      </w:r>
    </w:p>
    <w:p w14:paraId="173B9EED"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With £2.5m available:</w:t>
      </w:r>
    </w:p>
    <w:p w14:paraId="654CAC1C" w14:textId="77777777" w:rsidR="00851D84" w:rsidRPr="00851D84" w:rsidRDefault="00851D84" w:rsidP="00851D84">
      <w:pPr>
        <w:pStyle w:val="ListParagraph"/>
        <w:numPr>
          <w:ilvl w:val="0"/>
          <w:numId w:val="21"/>
        </w:num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A and B undertaken in full</w:t>
      </w:r>
    </w:p>
    <w:p w14:paraId="497388FC" w14:textId="5BB12DE9" w:rsidR="00851D84" w:rsidRPr="00785722" w:rsidRDefault="00851D84"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Option C undertaken</w:t>
      </w:r>
      <w:r w:rsidR="00785722" w:rsidRPr="00785722">
        <w:rPr>
          <w:rFonts w:ascii="Times New Roman" w:eastAsia="Times New Roman" w:hAnsi="Times New Roman" w:cs="Times New Roman"/>
          <w:kern w:val="0"/>
          <w14:ligatures w14:val="none"/>
        </w:rPr>
        <w:t xml:space="preserve">: </w:t>
      </w:r>
    </w:p>
    <w:p w14:paraId="294F9ADA"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Total capital available = £2,500,000</w:t>
      </w:r>
    </w:p>
    <w:p w14:paraId="6DF464AD"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lastRenderedPageBreak/>
        <w:t>Capital committed to Option A = £600,000</w:t>
      </w:r>
      <w:r w:rsidRPr="00785722">
        <w:rPr>
          <w:rFonts w:ascii="Times New Roman" w:eastAsia="Times New Roman" w:hAnsi="Times New Roman" w:cs="Times New Roman"/>
          <w:kern w:val="0"/>
          <w14:ligatures w14:val="none"/>
        </w:rPr>
        <w:br/>
        <w:t>Capital committed to Option B = £1,000,000</w:t>
      </w:r>
    </w:p>
    <w:p w14:paraId="53C725A0"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Remaining capital available:</w:t>
      </w:r>
    </w:p>
    <w:p w14:paraId="19FB50CE" w14:textId="77777777" w:rsidR="00785722" w:rsidRPr="00785722" w:rsidRDefault="00785722" w:rsidP="00785722">
      <w:pPr>
        <w:spacing w:after="0" w:line="240" w:lineRule="auto"/>
        <w:rPr>
          <w:rFonts w:ascii="Times New Roman" w:eastAsia="Times New Roman" w:hAnsi="Times New Roman" w:cs="Times New Roman"/>
          <w:kern w:val="0"/>
          <w14:ligatures w14:val="none"/>
        </w:rPr>
      </w:pPr>
      <m:oMathPara>
        <m:oMath>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2,500,000-(</m:t>
          </m:r>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600,000+</m:t>
          </m:r>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1,000,000)=</m:t>
          </m:r>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900,000</m:t>
          </m:r>
          <m:r>
            <m:rPr>
              <m:sty m:val="p"/>
            </m:rPr>
            <w:rPr>
              <w:rFonts w:ascii="Times New Roman" w:eastAsia="Times New Roman" w:hAnsi="Times New Roman" w:cs="Times New Roman"/>
              <w:kern w:val="0"/>
              <w14:ligatures w14:val="none"/>
            </w:rPr>
            <w:br/>
          </m:r>
        </m:oMath>
      </m:oMathPara>
    </w:p>
    <w:p w14:paraId="5957B4F8"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Initial investment required for Option C = £1,600,000</w:t>
      </w:r>
    </w:p>
    <w:p w14:paraId="14C66889" w14:textId="77777777" w:rsidR="00785722" w:rsidRPr="00785722" w:rsidRDefault="00785722" w:rsidP="00785722">
      <w:pPr>
        <w:spacing w:before="100" w:beforeAutospacing="1" w:after="100" w:afterAutospacing="1" w:line="240" w:lineRule="auto"/>
        <w:rPr>
          <w:rFonts w:ascii="Times New Roman" w:eastAsia="Times New Roman" w:hAnsi="Times New Roman" w:cs="Times New Roman"/>
          <w:kern w:val="0"/>
          <w14:ligatures w14:val="none"/>
        </w:rPr>
      </w:pPr>
      <w:r w:rsidRPr="00785722">
        <w:rPr>
          <w:rFonts w:ascii="Times New Roman" w:eastAsia="Times New Roman" w:hAnsi="Times New Roman" w:cs="Times New Roman"/>
          <w:kern w:val="0"/>
          <w14:ligatures w14:val="none"/>
        </w:rPr>
        <w:t>Fraction of Option C that can be undertaken:</w:t>
      </w:r>
    </w:p>
    <w:p w14:paraId="7137979B" w14:textId="7866A258" w:rsidR="00785722" w:rsidRPr="00785722" w:rsidRDefault="00000000" w:rsidP="00785722">
      <w:pPr>
        <w:spacing w:before="100" w:beforeAutospacing="1" w:after="100" w:afterAutospacing="1" w:line="240" w:lineRule="auto"/>
        <w:rPr>
          <w:rFonts w:ascii="Times New Roman" w:eastAsia="Times New Roman" w:hAnsi="Times New Roman" w:cs="Times New Roman"/>
          <w:kern w:val="0"/>
          <w14:ligatures w14:val="none"/>
        </w:rPr>
      </w:pPr>
      <m:oMathPara>
        <m:oMath>
          <m:f>
            <m:fPr>
              <m:ctrlPr>
                <w:rPr>
                  <w:rFonts w:ascii="Cambria Math" w:eastAsia="Times New Roman" w:hAnsi="Cambria Math" w:cs="Times New Roman"/>
                  <w:kern w:val="0"/>
                  <w14:ligatures w14:val="none"/>
                </w:rPr>
              </m:ctrlPr>
            </m:fPr>
            <m:num>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900,000</m:t>
              </m:r>
            </m:num>
            <m:den>
              <m:r>
                <m:rPr>
                  <m:sty m:val="p"/>
                </m:rPr>
                <w:rPr>
                  <w:rFonts w:ascii="Cambria Math" w:eastAsia="Times New Roman" w:hAnsi="Cambria Math" w:cs="Times New Roman"/>
                  <w:kern w:val="0"/>
                  <w14:ligatures w14:val="none"/>
                </w:rPr>
                <m:t>£</m:t>
              </m:r>
              <m:r>
                <w:rPr>
                  <w:rFonts w:ascii="Cambria Math" w:eastAsia="Times New Roman" w:hAnsi="Cambria Math" w:cs="Times New Roman"/>
                  <w:kern w:val="0"/>
                  <w14:ligatures w14:val="none"/>
                </w:rPr>
                <m:t>1,600,000</m:t>
              </m:r>
            </m:den>
          </m:f>
          <m:r>
            <w:rPr>
              <w:rFonts w:ascii="Cambria Math" w:eastAsia="Times New Roman" w:hAnsi="Cambria Math" w:cs="Times New Roman"/>
              <w:kern w:val="0"/>
              <w14:ligatures w14:val="none"/>
            </w:rPr>
            <m:t>=0.5625</m:t>
          </m:r>
          <m:r>
            <m:rPr>
              <m:sty m:val="p"/>
            </m:rPr>
            <w:rPr>
              <w:rFonts w:ascii="Times New Roman" w:eastAsia="Times New Roman" w:hAnsi="Times New Roman" w:cs="Times New Roman"/>
              <w:kern w:val="0"/>
              <w14:ligatures w14:val="none"/>
            </w:rPr>
            <w:br/>
          </m:r>
        </m:oMath>
        <m:oMath>
          <m:r>
            <w:rPr>
              <w:rFonts w:ascii="Cambria Math" w:eastAsia="Times New Roman" w:hAnsi="Cambria Math" w:cs="Times New Roman"/>
              <w:kern w:val="0"/>
              <w14:ligatures w14:val="none"/>
            </w:rPr>
            <m:t>0.5625×100=</m:t>
          </m:r>
          <m:r>
            <m:rPr>
              <m:sty m:val="p"/>
            </m:rPr>
            <w:rPr>
              <w:rFonts w:ascii="Cambria Math" w:eastAsia="Times New Roman" w:hAnsi="Cambria Math" w:cs="Times New Roman"/>
              <w:kern w:val="0"/>
              <w14:ligatures w14:val="none"/>
            </w:rPr>
            <m:t>56.25%</m:t>
          </m:r>
          <m:r>
            <m:rPr>
              <m:sty m:val="p"/>
            </m:rPr>
            <w:rPr>
              <w:rFonts w:ascii="Times New Roman" w:eastAsia="Times New Roman" w:hAnsi="Times New Roman" w:cs="Times New Roman"/>
              <w:kern w:val="0"/>
              <w14:ligatures w14:val="none"/>
            </w:rPr>
            <w:br/>
          </m:r>
        </m:oMath>
      </m:oMathPara>
    </w:p>
    <w:p w14:paraId="705B0B14" w14:textId="77777777" w:rsidR="00851D84" w:rsidRPr="00851D84" w:rsidRDefault="00851D84" w:rsidP="00851D84">
      <w:pPr>
        <w:spacing w:before="100" w:beforeAutospacing="1" w:after="100" w:afterAutospacing="1" w:line="240" w:lineRule="auto"/>
        <w:rPr>
          <w:rFonts w:ascii="Times New Roman" w:eastAsia="Times New Roman" w:hAnsi="Times New Roman" w:cs="Times New Roman"/>
          <w:kern w:val="0"/>
          <w14:ligatures w14:val="none"/>
        </w:rPr>
      </w:pPr>
      <w:r w:rsidRPr="00851D84">
        <w:rPr>
          <w:rFonts w:ascii="Times New Roman" w:eastAsia="Times New Roman" w:hAnsi="Times New Roman" w:cs="Times New Roman"/>
          <w:kern w:val="0"/>
          <w14:ligatures w14:val="none"/>
        </w:rPr>
        <w:t>Total NPV ≈ £1.85m</w:t>
      </w:r>
    </w:p>
    <w:p w14:paraId="2E06B0AB" w14:textId="77777777" w:rsidR="00165A3A" w:rsidRPr="00165A3A" w:rsidRDefault="00165A3A" w:rsidP="00165A3A">
      <w:pPr>
        <w:spacing w:before="100" w:beforeAutospacing="1" w:after="100" w:afterAutospacing="1" w:line="360" w:lineRule="auto"/>
        <w:jc w:val="both"/>
        <w:rPr>
          <w:rFonts w:ascii="Times New Roman" w:eastAsia="Times New Roman" w:hAnsi="Times New Roman" w:cs="Times New Roman"/>
          <w:kern w:val="0"/>
          <w14:ligatures w14:val="none"/>
        </w:rPr>
      </w:pPr>
    </w:p>
    <w:p w14:paraId="4C8B935D" w14:textId="77777777" w:rsidR="00165A3A" w:rsidRPr="00165A3A" w:rsidRDefault="00165A3A" w:rsidP="00165A3A">
      <w:pPr>
        <w:spacing w:before="100" w:beforeAutospacing="1" w:after="100" w:afterAutospacing="1" w:line="360" w:lineRule="auto"/>
        <w:jc w:val="both"/>
        <w:rPr>
          <w:rFonts w:ascii="Times New Roman" w:eastAsia="Times New Roman" w:hAnsi="Times New Roman" w:cs="Times New Roman"/>
          <w:kern w:val="0"/>
          <w14:ligatures w14:val="none"/>
        </w:rPr>
      </w:pPr>
    </w:p>
    <w:sdt>
      <w:sdtPr>
        <w:id w:val="111145805"/>
        <w:bibliography/>
      </w:sdtPr>
      <w:sdtEndPr>
        <w:rPr>
          <w:rFonts w:asciiTheme="minorHAnsi" w:eastAsiaTheme="minorHAnsi" w:hAnsiTheme="minorHAnsi" w:cstheme="minorBidi"/>
          <w:color w:val="auto"/>
          <w:sz w:val="24"/>
          <w:szCs w:val="24"/>
        </w:rPr>
      </w:sdtEndPr>
      <w:sdtContent>
        <w:sdt>
          <w:sdtPr>
            <w:id w:val="779453042"/>
            <w:docPartObj>
              <w:docPartGallery w:val="Bibliographies"/>
              <w:docPartUnique/>
            </w:docPartObj>
          </w:sdtPr>
          <w:sdtEndPr>
            <w:rPr>
              <w:rFonts w:asciiTheme="minorHAnsi" w:eastAsiaTheme="minorHAnsi" w:hAnsiTheme="minorHAnsi" w:cstheme="minorBidi"/>
              <w:color w:val="auto"/>
              <w:sz w:val="24"/>
              <w:szCs w:val="24"/>
            </w:rPr>
          </w:sdtEndPr>
          <w:sdtContent>
            <w:p w14:paraId="1CD4FC3B" w14:textId="33522008" w:rsidR="009F60FA" w:rsidRDefault="009F60FA" w:rsidP="009F60FA">
              <w:pPr>
                <w:pStyle w:val="Heading1"/>
              </w:pPr>
            </w:p>
            <w:p w14:paraId="31DD212D" w14:textId="4693AB7F" w:rsidR="00EE43EA" w:rsidRDefault="00EE43EA"/>
          </w:sdtContent>
        </w:sdt>
      </w:sdtContent>
    </w:sdt>
    <w:p w14:paraId="7998F018" w14:textId="77777777" w:rsidR="00165A3A" w:rsidRDefault="00165A3A"/>
    <w:sectPr w:rsidR="00165A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82598"/>
    <w:multiLevelType w:val="hybridMultilevel"/>
    <w:tmpl w:val="E45A13D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189165F"/>
    <w:multiLevelType w:val="hybridMultilevel"/>
    <w:tmpl w:val="C53416B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751635D"/>
    <w:multiLevelType w:val="hybridMultilevel"/>
    <w:tmpl w:val="42D8A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E50206"/>
    <w:multiLevelType w:val="hybridMultilevel"/>
    <w:tmpl w:val="97ECCD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ECF51E0"/>
    <w:multiLevelType w:val="multilevel"/>
    <w:tmpl w:val="8E166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3317E"/>
    <w:multiLevelType w:val="multilevel"/>
    <w:tmpl w:val="E72C2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4D1E0F"/>
    <w:multiLevelType w:val="multilevel"/>
    <w:tmpl w:val="CD6AF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006B3"/>
    <w:multiLevelType w:val="multilevel"/>
    <w:tmpl w:val="5BE4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B60C8E"/>
    <w:multiLevelType w:val="multilevel"/>
    <w:tmpl w:val="A948C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EC08DE"/>
    <w:multiLevelType w:val="multilevel"/>
    <w:tmpl w:val="9E720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9724BE"/>
    <w:multiLevelType w:val="hybridMultilevel"/>
    <w:tmpl w:val="9224DA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E5478E5"/>
    <w:multiLevelType w:val="multilevel"/>
    <w:tmpl w:val="60065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BF7386"/>
    <w:multiLevelType w:val="hybridMultilevel"/>
    <w:tmpl w:val="78CEFB7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47ED084E"/>
    <w:multiLevelType w:val="multilevel"/>
    <w:tmpl w:val="82128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945BDC"/>
    <w:multiLevelType w:val="multilevel"/>
    <w:tmpl w:val="86981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C164B6"/>
    <w:multiLevelType w:val="hybridMultilevel"/>
    <w:tmpl w:val="C7A6D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43291B"/>
    <w:multiLevelType w:val="hybridMultilevel"/>
    <w:tmpl w:val="7200C94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5554314D"/>
    <w:multiLevelType w:val="multilevel"/>
    <w:tmpl w:val="38DEE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C2488D"/>
    <w:multiLevelType w:val="hybridMultilevel"/>
    <w:tmpl w:val="33EAE2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9" w15:restartNumberingAfterBreak="0">
    <w:nsid w:val="582C64B3"/>
    <w:multiLevelType w:val="hybridMultilevel"/>
    <w:tmpl w:val="EC66A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B2F59AB"/>
    <w:multiLevelType w:val="hybridMultilevel"/>
    <w:tmpl w:val="5EC28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DF41A30"/>
    <w:multiLevelType w:val="hybridMultilevel"/>
    <w:tmpl w:val="D70A3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0CB0ECA"/>
    <w:multiLevelType w:val="multilevel"/>
    <w:tmpl w:val="1CD0D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051DE1"/>
    <w:multiLevelType w:val="multilevel"/>
    <w:tmpl w:val="0882B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4B3048"/>
    <w:multiLevelType w:val="multilevel"/>
    <w:tmpl w:val="10A4B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1E227A"/>
    <w:multiLevelType w:val="hybridMultilevel"/>
    <w:tmpl w:val="C1380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EF6761F"/>
    <w:multiLevelType w:val="multilevel"/>
    <w:tmpl w:val="A04C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0099556">
    <w:abstractNumId w:val="24"/>
  </w:num>
  <w:num w:numId="2" w16cid:durableId="519852720">
    <w:abstractNumId w:val="26"/>
  </w:num>
  <w:num w:numId="3" w16cid:durableId="845944980">
    <w:abstractNumId w:val="11"/>
  </w:num>
  <w:num w:numId="4" w16cid:durableId="154689541">
    <w:abstractNumId w:val="9"/>
  </w:num>
  <w:num w:numId="5" w16cid:durableId="801120714">
    <w:abstractNumId w:val="22"/>
  </w:num>
  <w:num w:numId="6" w16cid:durableId="1826509013">
    <w:abstractNumId w:val="17"/>
  </w:num>
  <w:num w:numId="7" w16cid:durableId="1889802134">
    <w:abstractNumId w:val="14"/>
  </w:num>
  <w:num w:numId="8" w16cid:durableId="1619608572">
    <w:abstractNumId w:val="19"/>
  </w:num>
  <w:num w:numId="9" w16cid:durableId="1306549487">
    <w:abstractNumId w:val="25"/>
  </w:num>
  <w:num w:numId="10" w16cid:durableId="962464136">
    <w:abstractNumId w:val="20"/>
  </w:num>
  <w:num w:numId="11" w16cid:durableId="1811289077">
    <w:abstractNumId w:val="21"/>
  </w:num>
  <w:num w:numId="12" w16cid:durableId="1297760807">
    <w:abstractNumId w:val="2"/>
  </w:num>
  <w:num w:numId="13" w16cid:durableId="1877044002">
    <w:abstractNumId w:val="15"/>
  </w:num>
  <w:num w:numId="14" w16cid:durableId="985474086">
    <w:abstractNumId w:val="6"/>
  </w:num>
  <w:num w:numId="15" w16cid:durableId="1682967546">
    <w:abstractNumId w:val="5"/>
  </w:num>
  <w:num w:numId="16" w16cid:durableId="44256586">
    <w:abstractNumId w:val="23"/>
  </w:num>
  <w:num w:numId="17" w16cid:durableId="295378454">
    <w:abstractNumId w:val="13"/>
  </w:num>
  <w:num w:numId="18" w16cid:durableId="1966497084">
    <w:abstractNumId w:val="8"/>
  </w:num>
  <w:num w:numId="19" w16cid:durableId="853686082">
    <w:abstractNumId w:val="4"/>
  </w:num>
  <w:num w:numId="20" w16cid:durableId="1293704828">
    <w:abstractNumId w:val="7"/>
  </w:num>
  <w:num w:numId="21" w16cid:durableId="244657217">
    <w:abstractNumId w:val="1"/>
  </w:num>
  <w:num w:numId="22" w16cid:durableId="1501582698">
    <w:abstractNumId w:val="3"/>
  </w:num>
  <w:num w:numId="23" w16cid:durableId="1655139189">
    <w:abstractNumId w:val="10"/>
  </w:num>
  <w:num w:numId="24" w16cid:durableId="1287353640">
    <w:abstractNumId w:val="18"/>
  </w:num>
  <w:num w:numId="25" w16cid:durableId="1506364178">
    <w:abstractNumId w:val="12"/>
  </w:num>
  <w:num w:numId="26" w16cid:durableId="1420903099">
    <w:abstractNumId w:val="16"/>
  </w:num>
  <w:num w:numId="27" w16cid:durableId="977799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EFD"/>
    <w:rsid w:val="00022744"/>
    <w:rsid w:val="00040711"/>
    <w:rsid w:val="000545FE"/>
    <w:rsid w:val="00060F9F"/>
    <w:rsid w:val="0007348E"/>
    <w:rsid w:val="000B646A"/>
    <w:rsid w:val="000D5E34"/>
    <w:rsid w:val="000E2795"/>
    <w:rsid w:val="000F178B"/>
    <w:rsid w:val="001433BB"/>
    <w:rsid w:val="00161F10"/>
    <w:rsid w:val="00165A3A"/>
    <w:rsid w:val="00171F96"/>
    <w:rsid w:val="00196432"/>
    <w:rsid w:val="001B15A6"/>
    <w:rsid w:val="001E2764"/>
    <w:rsid w:val="0021744F"/>
    <w:rsid w:val="002321A3"/>
    <w:rsid w:val="00253A8E"/>
    <w:rsid w:val="00260397"/>
    <w:rsid w:val="00261D52"/>
    <w:rsid w:val="00273D95"/>
    <w:rsid w:val="002909D6"/>
    <w:rsid w:val="002916BC"/>
    <w:rsid w:val="00317305"/>
    <w:rsid w:val="003275F1"/>
    <w:rsid w:val="0035599E"/>
    <w:rsid w:val="00366C62"/>
    <w:rsid w:val="0038004B"/>
    <w:rsid w:val="003B2C64"/>
    <w:rsid w:val="003C5B80"/>
    <w:rsid w:val="003E622B"/>
    <w:rsid w:val="004440D1"/>
    <w:rsid w:val="004E0183"/>
    <w:rsid w:val="004F5675"/>
    <w:rsid w:val="005137E3"/>
    <w:rsid w:val="00513F02"/>
    <w:rsid w:val="005274A3"/>
    <w:rsid w:val="00552573"/>
    <w:rsid w:val="00584ACF"/>
    <w:rsid w:val="005B78AA"/>
    <w:rsid w:val="005C2DAA"/>
    <w:rsid w:val="005C5CD7"/>
    <w:rsid w:val="005C793D"/>
    <w:rsid w:val="005D0D24"/>
    <w:rsid w:val="005D7E96"/>
    <w:rsid w:val="00624829"/>
    <w:rsid w:val="0064316B"/>
    <w:rsid w:val="006466CC"/>
    <w:rsid w:val="00675F44"/>
    <w:rsid w:val="006903A3"/>
    <w:rsid w:val="0069145B"/>
    <w:rsid w:val="006F4D9E"/>
    <w:rsid w:val="00731ADE"/>
    <w:rsid w:val="00746D71"/>
    <w:rsid w:val="00750F68"/>
    <w:rsid w:val="00762F3E"/>
    <w:rsid w:val="007750EE"/>
    <w:rsid w:val="007767A9"/>
    <w:rsid w:val="00780B42"/>
    <w:rsid w:val="00785722"/>
    <w:rsid w:val="007B255E"/>
    <w:rsid w:val="007C6D6E"/>
    <w:rsid w:val="007F0626"/>
    <w:rsid w:val="00851D84"/>
    <w:rsid w:val="00884ECD"/>
    <w:rsid w:val="008B64E6"/>
    <w:rsid w:val="008C051F"/>
    <w:rsid w:val="008E5000"/>
    <w:rsid w:val="009002E3"/>
    <w:rsid w:val="009235DA"/>
    <w:rsid w:val="009A08F0"/>
    <w:rsid w:val="009B4EFD"/>
    <w:rsid w:val="009D16AE"/>
    <w:rsid w:val="009D2DCF"/>
    <w:rsid w:val="009D7F96"/>
    <w:rsid w:val="009F60FA"/>
    <w:rsid w:val="00A27749"/>
    <w:rsid w:val="00A36691"/>
    <w:rsid w:val="00A40AD5"/>
    <w:rsid w:val="00A45B1E"/>
    <w:rsid w:val="00A66D05"/>
    <w:rsid w:val="00A97888"/>
    <w:rsid w:val="00AA0A4A"/>
    <w:rsid w:val="00B1595E"/>
    <w:rsid w:val="00B2086C"/>
    <w:rsid w:val="00B42C1C"/>
    <w:rsid w:val="00B75985"/>
    <w:rsid w:val="00B8369B"/>
    <w:rsid w:val="00BF2F91"/>
    <w:rsid w:val="00C57A15"/>
    <w:rsid w:val="00C64FEC"/>
    <w:rsid w:val="00D061B1"/>
    <w:rsid w:val="00D47937"/>
    <w:rsid w:val="00D9394C"/>
    <w:rsid w:val="00DB573F"/>
    <w:rsid w:val="00DD1AC4"/>
    <w:rsid w:val="00DE38CF"/>
    <w:rsid w:val="00DE7A1A"/>
    <w:rsid w:val="00E22CE3"/>
    <w:rsid w:val="00E24503"/>
    <w:rsid w:val="00E25CF1"/>
    <w:rsid w:val="00E57AEC"/>
    <w:rsid w:val="00E66B06"/>
    <w:rsid w:val="00E85766"/>
    <w:rsid w:val="00ED6361"/>
    <w:rsid w:val="00EE43EA"/>
    <w:rsid w:val="00F15093"/>
    <w:rsid w:val="00F2256F"/>
    <w:rsid w:val="00F3233F"/>
    <w:rsid w:val="00F76157"/>
    <w:rsid w:val="00F819CA"/>
    <w:rsid w:val="00FA2034"/>
    <w:rsid w:val="00FB341C"/>
    <w:rsid w:val="00FF240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6E1DD"/>
  <w15:chartTrackingRefBased/>
  <w15:docId w15:val="{A7D8D55A-6EA7-466D-B4EF-A29493CCB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985"/>
    <w:pPr>
      <w:keepNext/>
      <w:keepLines/>
      <w:spacing w:before="360" w:after="80"/>
      <w:outlineLvl w:val="0"/>
    </w:pPr>
    <w:rPr>
      <w:rFonts w:ascii="Times New Roman" w:eastAsiaTheme="majorEastAsia" w:hAnsi="Times New Roman"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75985"/>
    <w:pPr>
      <w:keepNext/>
      <w:keepLines/>
      <w:spacing w:before="160" w:after="80"/>
      <w:outlineLvl w:val="1"/>
    </w:pPr>
    <w:rPr>
      <w:rFonts w:ascii="Times New Roman" w:eastAsiaTheme="majorEastAsia" w:hAnsi="Times New Roman"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75985"/>
    <w:pPr>
      <w:keepNext/>
      <w:keepLines/>
      <w:spacing w:before="160" w:after="80"/>
      <w:outlineLvl w:val="2"/>
    </w:pPr>
    <w:rPr>
      <w:rFonts w:ascii="Times New Roman" w:eastAsiaTheme="majorEastAsia" w:hAnsi="Times New Roman"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E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E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E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E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E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E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985"/>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B75985"/>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B75985"/>
    <w:rPr>
      <w:rFonts w:ascii="Times New Roman" w:eastAsiaTheme="majorEastAsia" w:hAnsi="Times New Roman"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EFD"/>
    <w:rPr>
      <w:rFonts w:eastAsiaTheme="majorEastAsia" w:cstheme="majorBidi"/>
      <w:color w:val="272727" w:themeColor="text1" w:themeTint="D8"/>
    </w:rPr>
  </w:style>
  <w:style w:type="paragraph" w:styleId="Title">
    <w:name w:val="Title"/>
    <w:basedOn w:val="Normal"/>
    <w:next w:val="Normal"/>
    <w:link w:val="TitleChar"/>
    <w:uiPriority w:val="10"/>
    <w:qFormat/>
    <w:rsid w:val="009B4E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E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EFD"/>
    <w:pPr>
      <w:spacing w:before="160"/>
      <w:jc w:val="center"/>
    </w:pPr>
    <w:rPr>
      <w:i/>
      <w:iCs/>
      <w:color w:val="404040" w:themeColor="text1" w:themeTint="BF"/>
    </w:rPr>
  </w:style>
  <w:style w:type="character" w:customStyle="1" w:styleId="QuoteChar">
    <w:name w:val="Quote Char"/>
    <w:basedOn w:val="DefaultParagraphFont"/>
    <w:link w:val="Quote"/>
    <w:uiPriority w:val="29"/>
    <w:rsid w:val="009B4EFD"/>
    <w:rPr>
      <w:i/>
      <w:iCs/>
      <w:color w:val="404040" w:themeColor="text1" w:themeTint="BF"/>
    </w:rPr>
  </w:style>
  <w:style w:type="paragraph" w:styleId="ListParagraph">
    <w:name w:val="List Paragraph"/>
    <w:basedOn w:val="Normal"/>
    <w:uiPriority w:val="34"/>
    <w:qFormat/>
    <w:rsid w:val="009B4EFD"/>
    <w:pPr>
      <w:ind w:left="720"/>
      <w:contextualSpacing/>
    </w:pPr>
  </w:style>
  <w:style w:type="character" w:styleId="IntenseEmphasis">
    <w:name w:val="Intense Emphasis"/>
    <w:basedOn w:val="DefaultParagraphFont"/>
    <w:uiPriority w:val="21"/>
    <w:qFormat/>
    <w:rsid w:val="009B4EFD"/>
    <w:rPr>
      <w:i/>
      <w:iCs/>
      <w:color w:val="0F4761" w:themeColor="accent1" w:themeShade="BF"/>
    </w:rPr>
  </w:style>
  <w:style w:type="paragraph" w:styleId="IntenseQuote">
    <w:name w:val="Intense Quote"/>
    <w:basedOn w:val="Normal"/>
    <w:next w:val="Normal"/>
    <w:link w:val="IntenseQuoteChar"/>
    <w:uiPriority w:val="30"/>
    <w:qFormat/>
    <w:rsid w:val="009B4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EFD"/>
    <w:rPr>
      <w:i/>
      <w:iCs/>
      <w:color w:val="0F4761" w:themeColor="accent1" w:themeShade="BF"/>
    </w:rPr>
  </w:style>
  <w:style w:type="character" w:styleId="IntenseReference">
    <w:name w:val="Intense Reference"/>
    <w:basedOn w:val="DefaultParagraphFont"/>
    <w:uiPriority w:val="32"/>
    <w:qFormat/>
    <w:rsid w:val="009B4EFD"/>
    <w:rPr>
      <w:b/>
      <w:bCs/>
      <w:smallCaps/>
      <w:color w:val="0F4761" w:themeColor="accent1" w:themeShade="BF"/>
      <w:spacing w:val="5"/>
    </w:rPr>
  </w:style>
  <w:style w:type="paragraph" w:styleId="TOCHeading">
    <w:name w:val="TOC Heading"/>
    <w:basedOn w:val="Heading1"/>
    <w:next w:val="Normal"/>
    <w:uiPriority w:val="39"/>
    <w:unhideWhenUsed/>
    <w:qFormat/>
    <w:rsid w:val="005D7E96"/>
    <w:pPr>
      <w:spacing w:before="240" w:after="0" w:line="259" w:lineRule="auto"/>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5D7E96"/>
    <w:pPr>
      <w:spacing w:after="100"/>
    </w:pPr>
  </w:style>
  <w:style w:type="paragraph" w:styleId="TOC2">
    <w:name w:val="toc 2"/>
    <w:basedOn w:val="Normal"/>
    <w:next w:val="Normal"/>
    <w:autoRedefine/>
    <w:uiPriority w:val="39"/>
    <w:unhideWhenUsed/>
    <w:rsid w:val="005D7E96"/>
    <w:pPr>
      <w:spacing w:after="100"/>
      <w:ind w:left="240"/>
    </w:pPr>
  </w:style>
  <w:style w:type="paragraph" w:styleId="TOC3">
    <w:name w:val="toc 3"/>
    <w:basedOn w:val="Normal"/>
    <w:next w:val="Normal"/>
    <w:autoRedefine/>
    <w:uiPriority w:val="39"/>
    <w:unhideWhenUsed/>
    <w:rsid w:val="005D7E96"/>
    <w:pPr>
      <w:spacing w:after="100"/>
      <w:ind w:left="480"/>
    </w:pPr>
  </w:style>
  <w:style w:type="character" w:styleId="Hyperlink">
    <w:name w:val="Hyperlink"/>
    <w:basedOn w:val="DefaultParagraphFont"/>
    <w:uiPriority w:val="99"/>
    <w:unhideWhenUsed/>
    <w:rsid w:val="005D7E9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accounting/days-payable-outstanding/" TargetMode="External"/><Relationship Id="rId18" Type="http://schemas.openxmlformats.org/officeDocument/2006/relationships/hyperlink" Target="https://www.investopedia.com/terms/p/paybackperiod.asp"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investopedia.com/ask/answers/011215/what-difference-between-roce-and-roe.asp" TargetMode="External"/><Relationship Id="rId7" Type="http://schemas.openxmlformats.org/officeDocument/2006/relationships/settings" Target="settings.xml"/><Relationship Id="rId12" Type="http://schemas.openxmlformats.org/officeDocument/2006/relationships/hyperlink" Target="https://corporatefinanceinstitute.com/resources/valuation/annual-recurring-revenue-arr/" TargetMode="External"/><Relationship Id="rId17" Type="http://schemas.openxmlformats.org/officeDocument/2006/relationships/hyperlink" Target="https://imarticus.org/blog/capital-budgeting-method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vestopedia.com/terms/o/operatingmargin.asp" TargetMode="External"/><Relationship Id="rId20" Type="http://schemas.openxmlformats.org/officeDocument/2006/relationships/hyperlink" Target="https://doi.org/10.1016/j.worlddev.2017.04.01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rporatefinanceinstitute.com/resources/valuation/npv-vs-irr/" TargetMode="External"/><Relationship Id="rId24"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yperlink" Target="https://www.investopedia.com/terms/r/returnonequity.asp" TargetMode="External"/><Relationship Id="rId23" Type="http://schemas.openxmlformats.org/officeDocument/2006/relationships/hyperlink" Target="https://corporatefinanceinstitute.com/resources/valuation/earnings-per-share-eps-formula/" TargetMode="External"/><Relationship Id="rId10" Type="http://schemas.openxmlformats.org/officeDocument/2006/relationships/hyperlink" Target="https://corporatefinanceinstitute.com/resources/accounting/liquidity-ratio/" TargetMode="External"/><Relationship Id="rId19" Type="http://schemas.openxmlformats.org/officeDocument/2006/relationships/hyperlink" Target="https://www.investopedia.com/terms/g/gearingratio.asp" TargetMode="External"/><Relationship Id="rId4" Type="http://schemas.openxmlformats.org/officeDocument/2006/relationships/customXml" Target="../customXml/item4.xml"/><Relationship Id="rId9" Type="http://schemas.openxmlformats.org/officeDocument/2006/relationships/hyperlink" Target="https://www.investopedia.com/terms/g/gross_profit_margin.asp" TargetMode="External"/><Relationship Id="rId14" Type="http://schemas.openxmlformats.org/officeDocument/2006/relationships/hyperlink" Target="https://doi.org/10.1111/j.1467-8683.2010.00801.x" TargetMode="External"/><Relationship Id="rId22" Type="http://schemas.openxmlformats.org/officeDocument/2006/relationships/hyperlink" Target="https://www.investopedia.com/terms/n/net_margi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B6606FBCDF8B64C9AFCE91C6DA3B14F" ma:contentTypeVersion="4" ma:contentTypeDescription="Create a new document." ma:contentTypeScope="" ma:versionID="1f54f60904cbb65c31d83079c0b36c43">
  <xsd:schema xmlns:xsd="http://www.w3.org/2001/XMLSchema" xmlns:xs="http://www.w3.org/2001/XMLSchema" xmlns:p="http://schemas.microsoft.com/office/2006/metadata/properties" xmlns:ns3="e9e5a896-d793-4bb8-8f2d-bbf01f995aa8" targetNamespace="http://schemas.microsoft.com/office/2006/metadata/properties" ma:root="true" ma:fieldsID="0f5997c6c2f41bfdbd14df5d08c31368" ns3:_="">
    <xsd:import namespace="e9e5a896-d793-4bb8-8f2d-bbf01f995aa8"/>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e5a896-d793-4bb8-8f2d-bbf01f995a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06E98-D840-4FD3-8AD1-D5878B715E9A}">
  <ds:schemaRefs>
    <ds:schemaRef ds:uri="http://schemas.microsoft.com/sharepoint/v3/contenttype/forms"/>
  </ds:schemaRefs>
</ds:datastoreItem>
</file>

<file path=customXml/itemProps2.xml><?xml version="1.0" encoding="utf-8"?>
<ds:datastoreItem xmlns:ds="http://schemas.openxmlformats.org/officeDocument/2006/customXml" ds:itemID="{1E50FE74-DA77-4342-977C-2B66709E21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e5a896-d793-4bb8-8f2d-bbf01f995a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56D853-6990-45D0-AEDB-5C88F3EF90A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50225B8-3BCF-5F44-B8DC-BF8676ECA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46</Pages>
  <Words>11897</Words>
  <Characters>67813</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Lutfor Rahman</dc:creator>
  <cp:keywords/>
  <dc:description/>
  <cp:lastModifiedBy>Progga Teresa Gomes</cp:lastModifiedBy>
  <cp:revision>4</cp:revision>
  <dcterms:created xsi:type="dcterms:W3CDTF">2026-01-11T19:04:00Z</dcterms:created>
  <dcterms:modified xsi:type="dcterms:W3CDTF">2026-01-12T11:02:00Z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0x010100BB6606FBCDF8B64C9AFCE91C6DA3B14F</vt:lpwstr>
  </property>
</Properties>
</file>