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50204" w14:textId="77777777" w:rsidR="009B09E9" w:rsidRDefault="00000000">
      <w:pPr>
        <w:spacing w:before="1800"/>
        <w:jc w:val="center"/>
      </w:pPr>
      <w:r>
        <w:rPr>
          <w:b/>
          <w:sz w:val="32"/>
        </w:rPr>
        <w:t>University of Wales Trinity Saint David</w:t>
      </w:r>
    </w:p>
    <w:p w14:paraId="124B3683" w14:textId="77777777" w:rsidR="009B09E9" w:rsidRDefault="00000000">
      <w:pPr>
        <w:spacing w:before="700"/>
        <w:jc w:val="center"/>
      </w:pPr>
      <w:r>
        <w:rPr>
          <w:b/>
          <w:sz w:val="30"/>
        </w:rPr>
        <w:t>LCHS4003 – Introduction to Health and Social Care</w:t>
      </w:r>
    </w:p>
    <w:p w14:paraId="6A76F802" w14:textId="77777777" w:rsidR="009B09E9" w:rsidRDefault="00000000">
      <w:pPr>
        <w:spacing w:before="360"/>
        <w:jc w:val="center"/>
      </w:pPr>
      <w:r>
        <w:rPr>
          <w:b/>
          <w:sz w:val="28"/>
        </w:rPr>
        <w:t>Written Assignment – Task 1</w:t>
      </w:r>
    </w:p>
    <w:p w14:paraId="71155C4F" w14:textId="77777777" w:rsidR="009B09E9" w:rsidRDefault="00000000">
      <w:pPr>
        <w:spacing w:before="240"/>
        <w:jc w:val="center"/>
      </w:pPr>
      <w:r>
        <w:rPr>
          <w:b/>
          <w:sz w:val="28"/>
        </w:rPr>
        <w:t>Sandwell Community Disability Services</w:t>
      </w:r>
    </w:p>
    <w:p w14:paraId="5B833F01" w14:textId="77777777" w:rsidR="009B09E9" w:rsidRDefault="00000000">
      <w:pPr>
        <w:spacing w:before="700"/>
        <w:jc w:val="center"/>
      </w:pPr>
      <w:r>
        <w:rPr>
          <w:b/>
        </w:rPr>
        <w:t xml:space="preserve">Student Name: </w:t>
      </w:r>
      <w:r>
        <w:t>Emaki Gudeta Ugamo</w:t>
      </w:r>
    </w:p>
    <w:p w14:paraId="5514F064" w14:textId="77777777" w:rsidR="009B09E9" w:rsidRDefault="00000000">
      <w:pPr>
        <w:jc w:val="center"/>
      </w:pPr>
      <w:r>
        <w:rPr>
          <w:b/>
        </w:rPr>
        <w:t xml:space="preserve">Student Number: </w:t>
      </w:r>
      <w:r>
        <w:t>2511481</w:t>
      </w:r>
    </w:p>
    <w:p w14:paraId="1F56FCCE" w14:textId="77777777" w:rsidR="009B09E9" w:rsidRDefault="00000000">
      <w:pPr>
        <w:jc w:val="center"/>
      </w:pPr>
      <w:r>
        <w:rPr>
          <w:b/>
        </w:rPr>
        <w:t xml:space="preserve">Programme: </w:t>
      </w:r>
      <w:r>
        <w:t>Certificate of Higher Education Skills for the Workplace (Health &amp; Social Care)</w:t>
      </w:r>
    </w:p>
    <w:p w14:paraId="672D2175" w14:textId="77777777" w:rsidR="009B09E9" w:rsidRDefault="00000000">
      <w:pPr>
        <w:jc w:val="center"/>
      </w:pPr>
      <w:r>
        <w:rPr>
          <w:b/>
        </w:rPr>
        <w:t xml:space="preserve">Module Code: </w:t>
      </w:r>
      <w:r>
        <w:t>LCHS4003</w:t>
      </w:r>
    </w:p>
    <w:p w14:paraId="49696F4D" w14:textId="77777777" w:rsidR="009B09E9" w:rsidRDefault="00000000">
      <w:pPr>
        <w:jc w:val="center"/>
      </w:pPr>
      <w:r>
        <w:rPr>
          <w:b/>
        </w:rPr>
        <w:t xml:space="preserve">Module Title: </w:t>
      </w:r>
      <w:r>
        <w:t>Introduction to Health and Social Care</w:t>
      </w:r>
    </w:p>
    <w:p w14:paraId="6CDFC917" w14:textId="77777777" w:rsidR="009B09E9" w:rsidRDefault="00000000">
      <w:pPr>
        <w:jc w:val="center"/>
      </w:pPr>
      <w:r>
        <w:rPr>
          <w:b/>
        </w:rPr>
        <w:t xml:space="preserve">Lecturer: </w:t>
      </w:r>
      <w:r>
        <w:t>Jane Ngarari</w:t>
      </w:r>
    </w:p>
    <w:p w14:paraId="60327BAD" w14:textId="77777777" w:rsidR="009B09E9" w:rsidRDefault="00000000">
      <w:pPr>
        <w:jc w:val="center"/>
      </w:pPr>
      <w:r>
        <w:rPr>
          <w:b/>
        </w:rPr>
        <w:t xml:space="preserve">Assignment: </w:t>
      </w:r>
      <w:r>
        <w:t>Written Assignment – Task 1</w:t>
      </w:r>
    </w:p>
    <w:p w14:paraId="0BBF93A9" w14:textId="77777777" w:rsidR="009B09E9" w:rsidRDefault="00000000">
      <w:r>
        <w:br w:type="page"/>
      </w:r>
    </w:p>
    <w:p w14:paraId="4F907EE1" w14:textId="77777777" w:rsidR="009B09E9" w:rsidRDefault="00000000">
      <w:pPr>
        <w:pStyle w:val="Heading1"/>
        <w:jc w:val="center"/>
      </w:pPr>
      <w:r>
        <w:lastRenderedPageBreak/>
        <w:t>Sandwell Community Disability Services</w:t>
      </w:r>
    </w:p>
    <w:p w14:paraId="75605853" w14:textId="77777777" w:rsidR="009B09E9" w:rsidRDefault="00000000">
      <w:pPr>
        <w:spacing w:after="40" w:line="276" w:lineRule="auto"/>
      </w:pPr>
      <w:r>
        <w:rPr>
          <w:b/>
        </w:rPr>
        <w:t xml:space="preserve">Report to: </w:t>
      </w:r>
      <w:r>
        <w:t>Councillor Ritchie Massey</w:t>
      </w:r>
    </w:p>
    <w:p w14:paraId="0C295926" w14:textId="77777777" w:rsidR="009B09E9" w:rsidRDefault="00000000">
      <w:pPr>
        <w:spacing w:after="40" w:line="276" w:lineRule="auto"/>
      </w:pPr>
      <w:r>
        <w:t>Cabinet Member for Adult Services, Health and Wellbeing</w:t>
      </w:r>
    </w:p>
    <w:p w14:paraId="294DB6FC" w14:textId="77777777" w:rsidR="009B09E9" w:rsidRDefault="00000000">
      <w:pPr>
        <w:spacing w:after="40" w:line="276" w:lineRule="auto"/>
      </w:pPr>
      <w:r>
        <w:t>Sandwell Metropolitan Borough Council</w:t>
      </w:r>
    </w:p>
    <w:p w14:paraId="2571B385" w14:textId="77777777" w:rsidR="009B09E9" w:rsidRDefault="00000000">
      <w:pPr>
        <w:spacing w:after="40" w:line="276" w:lineRule="auto"/>
      </w:pPr>
      <w:r>
        <w:rPr>
          <w:b/>
        </w:rPr>
        <w:t xml:space="preserve">Subject: </w:t>
      </w:r>
      <w:r>
        <w:t>Sandwell Community Disability Services</w:t>
      </w:r>
    </w:p>
    <w:p w14:paraId="1600C438" w14:textId="77777777" w:rsidR="009B09E9" w:rsidRDefault="00000000">
      <w:pPr>
        <w:pStyle w:val="Heading2"/>
      </w:pPr>
      <w:r>
        <w:t>Introduction</w:t>
      </w:r>
    </w:p>
    <w:p w14:paraId="36745616" w14:textId="77777777" w:rsidR="009B09E9" w:rsidRDefault="00000000">
      <w:pPr>
        <w:jc w:val="both"/>
      </w:pPr>
      <w:r>
        <w:t>The report is for the attention of Councillor Ritchie Massey, Cabinet Member for Adult Services, Health and Wellbeing, Sandwell Metropolitan Borough Council. It looks at how Sandwell Council can respond to demands on community disability services and make sure there is adequate assistance to satisfy the needs of disabled people and their families.</w:t>
      </w:r>
    </w:p>
    <w:p w14:paraId="2817573F" w14:textId="77777777" w:rsidR="009B09E9" w:rsidRDefault="00000000">
      <w:pPr>
        <w:jc w:val="both"/>
      </w:pPr>
      <w:r>
        <w:t>Community disability services enable people with learning disabilities, physical disabilities, autism and other care and support needs to live as independently as possible. Sandwell provides care and support assessments, personal budgets and direct payments, day opportunities, travel training, employment support, safeguarding help and support for families and carers (Sandwell Metropolitan Borough Council, 2026a).</w:t>
      </w:r>
    </w:p>
    <w:p w14:paraId="227AC9C8" w14:textId="77777777" w:rsidR="009B09E9" w:rsidRDefault="00000000">
      <w:pPr>
        <w:jc w:val="both"/>
      </w:pPr>
      <w:r>
        <w:t>However, community disability services need to be able to adapt to changing and complex needs. When the right support is not available at the time it is needed, this can affect the wellbeing and independence of people and their families.</w:t>
      </w:r>
    </w:p>
    <w:p w14:paraId="5B9BB27B" w14:textId="77777777" w:rsidR="009B09E9" w:rsidRDefault="00000000">
      <w:pPr>
        <w:pStyle w:val="Heading2"/>
      </w:pPr>
      <w:r>
        <w:t>How the Problem Impacts the Community</w:t>
      </w:r>
    </w:p>
    <w:p w14:paraId="7F1AF4B1" w14:textId="77777777" w:rsidR="009B09E9" w:rsidRDefault="00000000">
      <w:pPr>
        <w:jc w:val="both"/>
      </w:pPr>
      <w:r>
        <w:t>Without adequate community disability support, people might lose their independence, ability to participate in the community and quality of life. For example, a disabled person may have fewer opportunities to learn new skills, establish relationships, participate in the community and prepare for employment if they do not have the right day opportunities, travel support or employment support.</w:t>
      </w:r>
    </w:p>
    <w:p w14:paraId="482A2C9A" w14:textId="77777777" w:rsidR="009B09E9" w:rsidRDefault="00000000">
      <w:pPr>
        <w:jc w:val="both"/>
      </w:pPr>
      <w:r>
        <w:t>Sandwell Council states that its day services and day opportunities aim to help people stay active, develop skills and maintain friendships and social contact (Sandwell Metropolitan Borough Council, 2026b). Therefore, there may be an increased risk of isolation and dependence on family members when access to these services is limited.</w:t>
      </w:r>
    </w:p>
    <w:p w14:paraId="14FDE4FE" w14:textId="77777777" w:rsidR="009B09E9" w:rsidRDefault="00000000">
      <w:pPr>
        <w:jc w:val="both"/>
      </w:pPr>
      <w:r>
        <w:t>Where support is lacking, families and unpaid carers might also experience additional pressure. They may have to provide more support themselves, which might affect their employment, relationships and wellbeing.</w:t>
      </w:r>
    </w:p>
    <w:p w14:paraId="6B469DF7" w14:textId="77777777" w:rsidR="009B09E9" w:rsidRDefault="00000000">
      <w:pPr>
        <w:jc w:val="both"/>
      </w:pPr>
      <w:r>
        <w:lastRenderedPageBreak/>
        <w:t>The Care Act 2014 provides an important legal framework for dealing with these challenges. Section 1 requires local authorities to promote the wellbeing of individuals. This includes physical and mental health, dignity, protection from abuse and neglect, control over day-to-day life, participation in education and employment, relationships and social wellbeing (Care Act 2014).</w:t>
      </w:r>
    </w:p>
    <w:p w14:paraId="0F2707B1" w14:textId="77777777" w:rsidR="009B09E9" w:rsidRDefault="00000000">
      <w:pPr>
        <w:jc w:val="both"/>
      </w:pPr>
      <w:r>
        <w:t>Section 2 focuses on prevention. The Care Act 2014 requires local authorities to provide or arrange services, facilities or resources that aim to prevent, reduce or delay people's need for care and support. Community disability services therefore have an important preventative role rather than only responding when a person's needs have become more serious (Care Act 2014).</w:t>
      </w:r>
    </w:p>
    <w:p w14:paraId="675EC79F" w14:textId="77777777" w:rsidR="009B09E9" w:rsidRDefault="00000000">
      <w:pPr>
        <w:jc w:val="both"/>
      </w:pPr>
      <w:r>
        <w:t>In addition, limited community disability services may affect people's ability to take part in everyday activities and feel included in their local community. Having appropriate support can help disabled people develop confidence, make their own choices and maintain social relationships. This can also reduce pressure on families and support greater independence.</w:t>
      </w:r>
    </w:p>
    <w:p w14:paraId="3A1D130D" w14:textId="77777777" w:rsidR="009B09E9" w:rsidRDefault="00000000">
      <w:pPr>
        <w:pStyle w:val="Heading2"/>
      </w:pPr>
      <w:r>
        <w:t>Suggested Response</w:t>
      </w:r>
    </w:p>
    <w:p w14:paraId="0870AFF8" w14:textId="77777777" w:rsidR="009B09E9" w:rsidRDefault="00000000">
      <w:pPr>
        <w:jc w:val="both"/>
      </w:pPr>
      <w:r>
        <w:t>Firstly, Sandwell Council should regularly assess the current and future need for community disability services. This would help to identify gaps in provision and enable the council to plan services before people's needs become more serious.</w:t>
      </w:r>
    </w:p>
    <w:p w14:paraId="661B7331" w14:textId="77777777" w:rsidR="009B09E9" w:rsidRDefault="00000000">
      <w:pPr>
        <w:jc w:val="both"/>
      </w:pPr>
      <w:r>
        <w:t>Secondly, the council should continue to develop preventative community services. For example, Sandwell's 12-week pathway allows people with learning disabilities and/or autism to build confidence, increase independence and find suitable opportunities within their local community (Sandwell Metropolitan Borough Council, 2026c). Such programmes might reduce the future need for more intensive care.</w:t>
      </w:r>
    </w:p>
    <w:p w14:paraId="461EFE2F" w14:textId="77777777" w:rsidR="009B09E9" w:rsidRDefault="00000000">
      <w:pPr>
        <w:jc w:val="both"/>
      </w:pPr>
      <w:r>
        <w:t>Thirdly, the council should work in partnership with NHS services, voluntary organisations, carers, community groups and specialist disability organisations. Services working in partnership can share knowledge and resources and provide better coordinated support.</w:t>
      </w:r>
    </w:p>
    <w:p w14:paraId="2E0A33AE" w14:textId="77777777" w:rsidR="009B09E9" w:rsidRDefault="00000000">
      <w:pPr>
        <w:jc w:val="both"/>
      </w:pPr>
      <w:r>
        <w:t>Disabled people themselves should also be closely involved in planning and reviewing services. Section 1 of the Care Act emphasises the importance of taking into account the person's views, wishes and participation in decision-making concerning their care. This person-centred approach can help to ensure that services respond to what individuals actually need rather than making assumptions about their needs (Care Act 2014).</w:t>
      </w:r>
    </w:p>
    <w:p w14:paraId="586D758C" w14:textId="77777777" w:rsidR="009B09E9" w:rsidRDefault="00000000">
      <w:pPr>
        <w:jc w:val="both"/>
      </w:pPr>
      <w:r>
        <w:lastRenderedPageBreak/>
        <w:t>Finally, Section 5 of the Care Act requires local authorities to promote diversity and quality in care services and to consider current and future demand. Sandwell should therefore continue to assess the availability, quality and accessibility of services and ensure residents have meaningful choices (Care Act 2014).</w:t>
      </w:r>
    </w:p>
    <w:p w14:paraId="7A4365CE" w14:textId="77777777" w:rsidR="009B09E9" w:rsidRDefault="00000000">
      <w:pPr>
        <w:pStyle w:val="Heading2"/>
      </w:pPr>
      <w:r>
        <w:t>Final Considerations</w:t>
      </w:r>
    </w:p>
    <w:p w14:paraId="06A589E6" w14:textId="77777777" w:rsidR="009B09E9" w:rsidRDefault="00000000">
      <w:pPr>
        <w:jc w:val="both"/>
      </w:pPr>
      <w:r>
        <w:t>Community disability services play an important role in supporting disabled people to maintain their independence, participate in their communities and have a good quality of life. A lack of resources can increase isolation and place additional pressure on families and carers. Sandwell Council should therefore continue to assess demand, invest in preventative services, develop partnership working and involve disabled people in service planning. This approach is in line with the principles of wellbeing, prevention, choice and quality set out in the Care Act 2014.</w:t>
      </w:r>
    </w:p>
    <w:p w14:paraId="17A7EBFD" w14:textId="77777777" w:rsidR="009B09E9" w:rsidRDefault="00000000">
      <w:pPr>
        <w:pStyle w:val="Heading2"/>
      </w:pPr>
      <w:r>
        <w:t>Reference List</w:t>
      </w:r>
    </w:p>
    <w:p w14:paraId="2014FB90" w14:textId="77777777" w:rsidR="009B09E9" w:rsidRDefault="00000000">
      <w:pPr>
        <w:ind w:left="360" w:hanging="360"/>
      </w:pPr>
      <w:r>
        <w:t>Care Act 2014. London: The Stationery Office. Available at: https://www.legislation.gov.uk/ukpga/2014/23 (Accessed: 16 October 2026).</w:t>
      </w:r>
    </w:p>
    <w:p w14:paraId="6003950F" w14:textId="77777777" w:rsidR="009B09E9" w:rsidRDefault="00000000">
      <w:pPr>
        <w:ind w:left="360" w:hanging="360"/>
      </w:pPr>
      <w:r>
        <w:t>Sandwell Metropolitan Borough Council (2026a) Learning disabilities. Available at: https://www.sandwell.gov.uk/disability/learning-disabilities (Accessed: 16 October 2026).</w:t>
      </w:r>
    </w:p>
    <w:p w14:paraId="047A40D0" w14:textId="77777777" w:rsidR="009B09E9" w:rsidRDefault="00000000">
      <w:pPr>
        <w:ind w:left="360" w:hanging="360"/>
      </w:pPr>
      <w:r>
        <w:t>Sandwell Metropolitan Borough Council (2026b) Day services and day opportunities. Available at: https://www.sandwell.gov.uk/disability/day-services-day-opportunities (Accessed: 16 October 2026).</w:t>
      </w:r>
    </w:p>
    <w:p w14:paraId="61150F4D" w14:textId="662ACF41" w:rsidR="009B09E9" w:rsidRDefault="00000000">
      <w:pPr>
        <w:ind w:left="360" w:hanging="360"/>
      </w:pPr>
      <w:r>
        <w:t>Sandwell Metropolitan Borough Council (2026c) 12 week pathway. Available at: https://www.sandwell.gov.uk/adult-social-care/12-week-pathway (Accessed: 16 October 2026).</w:t>
      </w:r>
      <w:r w:rsidR="009B3D2B">
        <w:t xml:space="preserve">                                                                                                                                                                                                                  </w:t>
      </w:r>
    </w:p>
    <w:p>
      <w:r>
        <w:br w:type="page"/>
      </w:r>
    </w:p>
    <w:p>
      <w:pPr>
        <w:pStyle w:val="Title"/>
        <w:spacing w:line="360" w:lineRule="auto" w:after="240" w:before="0"/>
        <w:jc w:val="center"/>
      </w:pPr>
      <w:r>
        <w:rPr>
          <w:rFonts w:ascii="Arial" w:hAnsi="Arial" w:eastAsia="Arial"/>
          <w:color w:val="000000"/>
        </w:rPr>
        <w:t>Pharmacy Services</w:t>
      </w:r>
    </w:p>
    <w:p>
      <w:pPr>
        <w:pStyle w:val="Heading1"/>
        <w:spacing w:line="360" w:lineRule="auto" w:after="80" w:before="160"/>
      </w:pPr>
      <w:r>
        <w:rPr>
          <w:rFonts w:ascii="Arial" w:hAnsi="Arial" w:eastAsia="Arial"/>
          <w:color w:val="000000"/>
        </w:rPr>
        <w:t>1. Introduction</w:t>
      </w:r>
    </w:p>
    <w:p>
      <w:pPr>
        <w:spacing w:line="360" w:lineRule="auto" w:after="120" w:before="0"/>
      </w:pPr>
      <w:r>
        <w:rPr>
          <w:rFonts w:ascii="Arial" w:hAnsi="Arial" w:eastAsia="Arial"/>
          <w:color w:val="000000"/>
        </w:rPr>
        <w:t>Community pharmacy is an important part of the healthcare system in England. Pharmacists are health professionals trained to dispense medicines, provide health advice and deliver an increasing range of clinical services. Traditionally, community pharmacies focused on the preparation and dispensing of medicines. Pharmacists are now involved in the prevention, early treatment and management of health conditions. This essay will discuss the background and development of pharmacy services, the present role of community pharmacy and how pharmacy services can improve the quality of life of service users.</w:t>
      </w:r>
    </w:p>
    <w:p>
      <w:pPr>
        <w:pStyle w:val="Heading1"/>
        <w:spacing w:line="360" w:lineRule="auto" w:after="80" w:before="160"/>
      </w:pPr>
      <w:r>
        <w:rPr>
          <w:rFonts w:ascii="Arial" w:hAnsi="Arial" w:eastAsia="Arial"/>
          <w:color w:val="000000"/>
        </w:rPr>
        <w:t>Pharmacy Services: History and Development</w:t>
      </w:r>
    </w:p>
    <w:p>
      <w:pPr>
        <w:spacing w:line="360" w:lineRule="auto" w:after="120" w:before="0"/>
      </w:pPr>
      <w:r>
        <w:rPr>
          <w:rFonts w:ascii="Arial" w:hAnsi="Arial" w:eastAsia="Arial"/>
          <w:color w:val="000000"/>
        </w:rPr>
        <w:t>Pharmacies have been compounding and dispensing medicines for a long time. Pharmacy has emerged as a regulated healthcare profession with standards of professional practice, education and training.</w:t>
      </w:r>
    </w:p>
    <w:p>
      <w:pPr>
        <w:spacing w:line="360" w:lineRule="auto" w:after="120" w:before="0"/>
      </w:pPr>
      <w:r>
        <w:rPr>
          <w:rFonts w:ascii="Arial" w:hAnsi="Arial" w:eastAsia="Arial"/>
          <w:color w:val="000000"/>
        </w:rPr>
        <w:t>The National Health Service (NHS) was established on 5 July 1948, a landmark in UK healthcare. The NHS changed access to healthcare as services were provided according to healthcare needs rather than ability to pay. Community pharmacies became part of the NHS and dispensed medicines prescribed to patients (The National Archives, n.d.).</w:t>
      </w:r>
    </w:p>
    <w:p>
      <w:pPr>
        <w:spacing w:line="360" w:lineRule="auto" w:after="120" w:before="0"/>
      </w:pPr>
      <w:r>
        <w:rPr>
          <w:rFonts w:ascii="Arial" w:hAnsi="Arial" w:eastAsia="Arial"/>
          <w:color w:val="000000"/>
        </w:rPr>
        <w:t>Pharmacists’ roles have changed over the years, extending beyond dispensing medicines. Pharmacists are giving more advice on medicines, helping people with long-term conditions, promoting healthier lifestyles and working with other healthcare professionals. This is due to changing population needs and increasing demand on primary healthcare services.</w:t>
      </w:r>
    </w:p>
    <w:p>
      <w:pPr>
        <w:pStyle w:val="Heading1"/>
        <w:spacing w:line="360" w:lineRule="auto" w:after="80" w:before="160"/>
      </w:pPr>
      <w:r>
        <w:rPr>
          <w:rFonts w:ascii="Arial" w:hAnsi="Arial" w:eastAsia="Arial"/>
          <w:color w:val="000000"/>
        </w:rPr>
        <w:t>Today's Pharmacy Services</w:t>
      </w:r>
    </w:p>
    <w:p>
      <w:pPr>
        <w:spacing w:line="360" w:lineRule="auto" w:after="120" w:before="0"/>
      </w:pPr>
      <w:r>
        <w:rPr>
          <w:rFonts w:ascii="Arial" w:hAnsi="Arial" w:eastAsia="Arial"/>
          <w:color w:val="000000"/>
        </w:rPr>
        <w:t>Dispensing of prescribed medicines remains a vital role of community pharmacy. Pharmacists ensure that medicines are supplied safely and appropriately. They explain to patients how to take their medicines, discuss possible side effects and identify possible problems.</w:t>
      </w:r>
    </w:p>
    <w:p>
      <w:pPr>
        <w:spacing w:line="360" w:lineRule="auto" w:after="120" w:before="0"/>
      </w:pPr>
      <w:r>
        <w:rPr>
          <w:rFonts w:ascii="Arial" w:hAnsi="Arial" w:eastAsia="Arial"/>
          <w:color w:val="000000"/>
        </w:rPr>
        <w:t>Community pharmacies now offer a wider range of clinical services. Pharmacy First, launched in England on 31 January 2024, allows community pharmacists to assess and treat patients for seven common conditions: sinusitis, sore throat, earache, infected insect bites, impetigo, shingles and uncomplicated urinary tract infections in women of the appropriate age (NHS England, 2024).</w:t>
      </w:r>
    </w:p>
    <w:p>
      <w:pPr>
        <w:spacing w:line="360" w:lineRule="auto" w:after="120" w:before="0"/>
      </w:pPr>
      <w:r>
        <w:rPr>
          <w:rFonts w:ascii="Arial" w:hAnsi="Arial" w:eastAsia="Arial"/>
          <w:color w:val="000000"/>
        </w:rPr>
        <w:t>Community pharmacies also provide blood pressure checks, contraception services and the New Medicine Service. These services indicate the move from dispensing to prevention and patient care.</w:t>
      </w:r>
    </w:p>
    <w:p>
      <w:pPr>
        <w:spacing w:line="360" w:lineRule="auto" w:after="120" w:before="0"/>
      </w:pPr>
      <w:r>
        <w:rPr>
          <w:rFonts w:ascii="Arial" w:hAnsi="Arial" w:eastAsia="Arial"/>
          <w:color w:val="000000"/>
        </w:rPr>
        <w:t>There are many advantages to this development. Community pharmacies are easy to access and patients can often get advice without an appointment. Pharmacy First provides a faster route to treatment for a range of common conditions and helps to relieve pressure on GP services (NHS England, 2024).</w:t>
      </w:r>
    </w:p>
    <w:p>
      <w:pPr>
        <w:spacing w:line="360" w:lineRule="auto" w:after="120" w:before="0"/>
      </w:pPr>
      <w:r>
        <w:rPr>
          <w:rFonts w:ascii="Arial" w:hAnsi="Arial" w:eastAsia="Arial"/>
          <w:color w:val="000000"/>
        </w:rPr>
        <w:t>Recent activity shows the value of these services. From April 2025 to January 2026, community pharmacies provided more than 2.75 million Pharmacy First clinical pathway consultations, nearly one million contraception consultations and approximately three million hypertension case-finding consultations (Department of Health and Social Care, 2026).</w:t>
      </w:r>
    </w:p>
    <w:p>
      <w:pPr>
        <w:spacing w:line="360" w:lineRule="auto" w:after="120" w:before="0"/>
      </w:pPr>
      <w:r>
        <w:rPr>
          <w:rFonts w:ascii="Arial" w:hAnsi="Arial" w:eastAsia="Arial"/>
          <w:color w:val="000000"/>
        </w:rPr>
        <w:t>But there are difficulties. Pharmacists must continue to dispense medicines and also provide an ever-increasing range of clinical services. This requires trained staff, adequate funding, appropriate consulting rooms and good communication with GPs and other health professionals. The Department of Health and Social Care (2026) has acknowledged the need to enhance the sustainability and resilience of the community pharmacy network. Therefore, expanding pharmacy services is beneficial, but adequate resources are needed to provide safe and effective care.</w:t>
      </w:r>
    </w:p>
    <w:p>
      <w:pPr>
        <w:pStyle w:val="Heading1"/>
        <w:spacing w:line="360" w:lineRule="auto" w:after="80" w:before="160"/>
      </w:pPr>
      <w:r>
        <w:rPr>
          <w:rFonts w:ascii="Arial" w:hAnsi="Arial" w:eastAsia="Arial"/>
          <w:color w:val="000000"/>
        </w:rPr>
        <w:t>Significance for Improved Quality of Life</w:t>
      </w:r>
    </w:p>
    <w:p>
      <w:pPr>
        <w:spacing w:line="360" w:lineRule="auto" w:after="120" w:before="0"/>
      </w:pPr>
      <w:r>
        <w:rPr>
          <w:rFonts w:ascii="Arial" w:hAnsi="Arial" w:eastAsia="Arial"/>
          <w:color w:val="000000"/>
        </w:rPr>
        <w:t>There are a number of ways in which community pharmacy can improve quality of life. First, pharmacists enable people to use medicines safely. This is especially important for people with long-term conditions who may be taking a number of medicines. Good advice helps people to understand their treatment and to manage their health with more confidence.</w:t>
      </w:r>
    </w:p>
    <w:p>
      <w:pPr>
        <w:spacing w:line="360" w:lineRule="auto" w:after="120" w:before="0"/>
      </w:pPr>
      <w:r>
        <w:rPr>
          <w:rFonts w:ascii="Arial" w:hAnsi="Arial" w:eastAsia="Arial"/>
          <w:color w:val="000000"/>
        </w:rPr>
        <w:t>Secondly, pharmacies are a critical part of prevention and early intervention. For instance, blood pressure testing can help identify people who may have high blood pressure before serious problems develop. This can help people get advice or further treatment more quickly.</w:t>
      </w:r>
    </w:p>
    <w:p>
      <w:pPr>
        <w:spacing w:line="360" w:lineRule="auto" w:after="120" w:before="0"/>
      </w:pPr>
      <w:r>
        <w:rPr>
          <w:rFonts w:ascii="Arial" w:hAnsi="Arial" w:eastAsia="Arial"/>
          <w:color w:val="000000"/>
        </w:rPr>
        <w:t>Pharmacy First is also improving access to healthcare by allowing eligible patients with common conditions to be assessed and treated by a community pharmacist without the need to see a GP first (NHS England, 2024). This may make treatment more accessible and more GP appointments available for people with complex needs.</w:t>
      </w:r>
    </w:p>
    <w:p>
      <w:pPr>
        <w:spacing w:line="360" w:lineRule="auto" w:after="120" w:before="0"/>
      </w:pPr>
      <w:r>
        <w:rPr>
          <w:rFonts w:ascii="Arial" w:hAnsi="Arial" w:eastAsia="Arial"/>
          <w:color w:val="000000"/>
        </w:rPr>
        <w:t>Community pharmacy cannot, however, be a substitute for all other health services. Some patients have complex or serious health problems that can only be assessed by a GP, specialist or hospital service. Pharmacists therefore need to know when to refer patients to another healthcare professional. Good communication and collaboration between pharmacies and other healthcare services are critical to ensuring safe and coordinated care.</w:t>
      </w:r>
    </w:p>
    <w:p>
      <w:pPr>
        <w:pStyle w:val="Heading1"/>
        <w:spacing w:line="360" w:lineRule="auto" w:after="80" w:before="160"/>
      </w:pPr>
      <w:r>
        <w:rPr>
          <w:rFonts w:ascii="Arial" w:hAnsi="Arial" w:eastAsia="Arial"/>
          <w:color w:val="000000"/>
        </w:rPr>
        <w:t>Conclusion</w:t>
      </w:r>
    </w:p>
    <w:p>
      <w:pPr>
        <w:spacing w:line="360" w:lineRule="auto" w:after="120" w:before="0"/>
      </w:pPr>
      <w:r>
        <w:rPr>
          <w:rFonts w:ascii="Arial" w:hAnsi="Arial" w:eastAsia="Arial"/>
          <w:color w:val="000000"/>
        </w:rPr>
        <w:t>Community pharmacy has moved from a dispensing service to an integral part of modern primary healthcare. Pharmacists still dispense medicines but also offer clinical and preventative services such as Pharmacy First, blood pressure checks and contraception services. These services can improve quality of life by increasing access to healthcare, supporting the safe use of medicines and identifying health problems earlier. But expansion also means pressure on staffing, workload and resources. Continued investment and partnership working are therefore required to maintain safe, accessible and sustainable community pharmacy services.</w:t>
      </w:r>
    </w:p>
    <w:p>
      <w:pPr>
        <w:pStyle w:val="Heading1"/>
        <w:spacing w:line="360" w:lineRule="auto" w:after="120" w:before="200"/>
      </w:pPr>
      <w:r>
        <w:rPr>
          <w:rFonts w:ascii="Arial" w:hAnsi="Arial" w:eastAsia="Arial"/>
          <w:color w:val="000000"/>
        </w:rPr>
        <w:t>Reference List</w:t>
      </w:r>
    </w:p>
    <w:p>
      <w:pPr>
        <w:spacing w:line="360" w:lineRule="auto" w:after="120" w:before="0"/>
        <w:ind w:hanging="360" w:left="360"/>
      </w:pPr>
      <w:r>
        <w:rPr>
          <w:rFonts w:ascii="Arial" w:hAnsi="Arial" w:eastAsia="Arial"/>
          <w:color w:val="000000"/>
        </w:rPr>
        <w:t>Department of Health and Social Care (2026) Community Pharmacy Contractual Framework: financial year 2026 to 2027. Available at: https://www.gov.uk/government/publications/community-pharmacy-contractual-framework-financial-year-2026-to-2027/community-pharmacy-contractual-framework-financial-year-2026-to-2027 (Accessed: 16 October 2026).</w:t>
      </w:r>
    </w:p>
    <w:p>
      <w:pPr>
        <w:spacing w:line="360" w:lineRule="auto" w:after="120" w:before="0"/>
        <w:ind w:hanging="360" w:left="360"/>
      </w:pPr>
      <w:r>
        <w:rPr>
          <w:rFonts w:ascii="Arial" w:hAnsi="Arial" w:eastAsia="Arial"/>
          <w:color w:val="000000"/>
        </w:rPr>
        <w:t>NHS England (2024) Pharmacy First. Available at: https://www.england.nhs.uk/primary-care/pharmacy/pharmacy-services/pharmacy-first/ (Accessed: 16 October 2026).</w:t>
      </w:r>
    </w:p>
    <w:p>
      <w:pPr>
        <w:spacing w:line="360" w:lineRule="auto" w:after="120" w:before="0"/>
        <w:ind w:hanging="360" w:left="360"/>
      </w:pPr>
      <w:r>
        <w:rPr>
          <w:rFonts w:ascii="Arial" w:hAnsi="Arial" w:eastAsia="Arial"/>
          <w:color w:val="000000"/>
        </w:rPr>
        <w:t>The National Archives (n.d.) The foundation of the NHS. Available at: https://www.nationalarchives.gov.uk/explore-the-collection/stories/the-foundation-of-the-nhs/ (Accessed: 16 October 2026).</w:t>
      </w:r>
    </w:p>
    <w:sectPr w:rsidR="009B09E9"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D58D0" w14:textId="77777777" w:rsidR="00271B72" w:rsidRDefault="00271B72">
      <w:pPr>
        <w:spacing w:after="0" w:line="240" w:lineRule="auto"/>
      </w:pPr>
      <w:r>
        <w:separator/>
      </w:r>
    </w:p>
  </w:endnote>
  <w:endnote w:type="continuationSeparator" w:id="0">
    <w:p w14:paraId="4D22325E" w14:textId="77777777" w:rsidR="00271B72" w:rsidRDefault="00271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2B4A4" w14:textId="77777777" w:rsidR="009B09E9" w:rsidRDefault="00000000">
    <w:pPr>
      <w:pStyle w:val="Footer"/>
      <w:jc w:val="center"/>
    </w:pPr>
    <w:r>
      <w:fldChar w:fldCharType="begin"/>
    </w:r>
    <w:r>
      <w:instrText xml:space="preserve"> PAGE </w:instrText>
    </w:r>
    <w:r w:rsidR="00CA70C0">
      <w:fldChar w:fldCharType="separate"/>
    </w:r>
    <w:r w:rsidR="00CA70C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2653D" w14:textId="77777777" w:rsidR="00271B72" w:rsidRDefault="00271B72">
      <w:pPr>
        <w:spacing w:after="0" w:line="240" w:lineRule="auto"/>
      </w:pPr>
      <w:r>
        <w:separator/>
      </w:r>
    </w:p>
  </w:footnote>
  <w:footnote w:type="continuationSeparator" w:id="0">
    <w:p w14:paraId="4C2CED77" w14:textId="77777777" w:rsidR="00271B72" w:rsidRDefault="00271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A9776" w14:textId="77777777" w:rsidR="009B09E9" w:rsidRDefault="009B09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3884899">
    <w:abstractNumId w:val="8"/>
  </w:num>
  <w:num w:numId="2" w16cid:durableId="1876233266">
    <w:abstractNumId w:val="6"/>
  </w:num>
  <w:num w:numId="3" w16cid:durableId="573977325">
    <w:abstractNumId w:val="5"/>
  </w:num>
  <w:num w:numId="4" w16cid:durableId="649670286">
    <w:abstractNumId w:val="4"/>
  </w:num>
  <w:num w:numId="5" w16cid:durableId="1573084183">
    <w:abstractNumId w:val="7"/>
  </w:num>
  <w:num w:numId="6" w16cid:durableId="1595746941">
    <w:abstractNumId w:val="3"/>
  </w:num>
  <w:num w:numId="7" w16cid:durableId="1757823968">
    <w:abstractNumId w:val="2"/>
  </w:num>
  <w:num w:numId="8" w16cid:durableId="449133018">
    <w:abstractNumId w:val="1"/>
  </w:num>
  <w:num w:numId="9" w16cid:durableId="925457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2277"/>
    <w:rsid w:val="0015074B"/>
    <w:rsid w:val="00271B72"/>
    <w:rsid w:val="0029639D"/>
    <w:rsid w:val="00326F90"/>
    <w:rsid w:val="009B09E9"/>
    <w:rsid w:val="009B3D2B"/>
    <w:rsid w:val="00AA1D8D"/>
    <w:rsid w:val="00B47730"/>
    <w:rsid w:val="00CA70C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C22C41"/>
  <w14:defaultImageDpi w14:val="300"/>
  <w15:docId w15:val="{1415D31C-C517-44EB-A7AA-A503C3D6D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color w:val="000000"/>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color w:val="000000"/>
    </w:rPr>
  </w:style>
  <w:style w:type="paragraph" w:styleId="NoSpacing">
    <w:name w:val="No Spacing"/>
    <w:uiPriority w:val="1"/>
    <w:qFormat/>
    <w:rsid w:val="00FC693F"/>
    <w:pPr>
      <w:spacing w:after="0" w:line="240" w:lineRule="auto"/>
    </w:pPr>
    <w:rPr>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rPr>
      <w:color w:val="000000"/>
    </w:rPr>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rPr>
      <w:color w:val="000000"/>
    </w:rPr>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color w:val="000000"/>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color w:val="000000"/>
      <w:sz w:val="20"/>
      <w:szCs w:val="20"/>
    </w:rPr>
  </w:style>
  <w:style w:type="character" w:customStyle="1" w:styleId="MacroTextChar">
    <w:name w:val="Macro Text Char"/>
    <w:basedOn w:val="DefaultParagraphFont"/>
    <w:link w:val="MacroText"/>
    <w:uiPriority w:val="99"/>
    <w:rsid w:val="0029639D"/>
    <w:rPr>
      <w:rFonts w:ascii="Courier" w:hAnsi="Courier"/>
      <w:color w:val="000000"/>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b/>
      <w:bCs/>
      <w:color w:val="000000"/>
    </w:rPr>
  </w:style>
  <w:style w:type="character" w:styleId="Emphasis">
    <w:name w:val="Emphasis"/>
    <w:basedOn w:val="DefaultParagraphFont"/>
    <w:uiPriority w:val="20"/>
    <w:qFormat/>
    <w:rsid w:val="00FC693F"/>
    <w:rPr>
      <w:i/>
      <w:iCs/>
      <w:color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color w:val="000000"/>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rPr>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color w:val="00000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color w:val="000000"/>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color w:val="000000"/>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color w:val="000000"/>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color w:val="000000"/>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color w:val="00000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color w:val="000000"/>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color w:val="00000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color w:val="00000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color w:val="000000"/>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color w:val="000000"/>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color w:val="000000"/>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color w:val="000000"/>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color w:val="00000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color w:val="000000"/>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color w:val="00000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Emaki Gudeta Ugamo (2511481)</cp:lastModifiedBy>
  <cp:revision>3</cp:revision>
  <dcterms:created xsi:type="dcterms:W3CDTF">2026-10-16T11:44:00Z</dcterms:created>
  <dcterms:modified xsi:type="dcterms:W3CDTF">2026-10-16T11:44:00Z</dcterms:modified>
  <cp:category/>
</cp:coreProperties>
</file>