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4D361" w14:textId="77777777" w:rsidR="00CA02A1" w:rsidRDefault="00CA02A1">
      <w:pPr>
        <w:pStyle w:val="p1"/>
      </w:pPr>
      <w:r>
        <w:rPr>
          <w:rStyle w:val="s1"/>
        </w:rPr>
        <w:t>Drama and Theatre in Education Workbook</w:t>
      </w:r>
    </w:p>
    <w:p w14:paraId="401E1E4F" w14:textId="77777777" w:rsidR="00CA02A1" w:rsidRDefault="00CA02A1">
      <w:pPr>
        <w:pStyle w:val="p2"/>
      </w:pPr>
    </w:p>
    <w:p w14:paraId="5E7D9018" w14:textId="77777777" w:rsidR="00CA02A1" w:rsidRDefault="00CA02A1">
      <w:pPr>
        <w:pStyle w:val="p1"/>
      </w:pPr>
      <w:r>
        <w:rPr>
          <w:rStyle w:val="s1"/>
        </w:rPr>
        <w:t>Introduction</w:t>
      </w:r>
    </w:p>
    <w:p w14:paraId="120DC8EE" w14:textId="77777777" w:rsidR="00CA02A1" w:rsidRDefault="00CA02A1">
      <w:pPr>
        <w:pStyle w:val="p2"/>
      </w:pPr>
    </w:p>
    <w:p w14:paraId="35E20EA1" w14:textId="77777777" w:rsidR="00CA02A1" w:rsidRDefault="00CA02A1">
      <w:pPr>
        <w:pStyle w:val="p3"/>
      </w:pPr>
      <w:r>
        <w:rPr>
          <w:rStyle w:val="s2"/>
        </w:rPr>
        <w:t>This workbook outlines my journey and process in using drama and theatre as powerful tools for educational engagement and development. Drawing on key pedagogical approaches such as Mantle of the Expert, I have explored ways to create imaginative and meaningful learning experiences that place students at the heart of inquiry-based learning. My aim has been to integrate drama not just as a subject, but as a method for teaching across the curriculum, fostering creativity, collaboration, and critical thinking.</w:t>
      </w:r>
    </w:p>
    <w:p w14:paraId="3C580ADC" w14:textId="77777777" w:rsidR="00CA02A1" w:rsidRDefault="00CA02A1">
      <w:pPr>
        <w:pStyle w:val="p3"/>
      </w:pPr>
      <w:r>
        <w:rPr>
          <w:rStyle w:val="s2"/>
        </w:rPr>
        <w:t xml:space="preserve">The Mantle of the Expert approach, pioneered by Dorothy Heathcote, has been central to my practice. This method positions students as experts in a fictional enterprise, giving them a sense of agency and purpose within a carefully constructed dramatic context. As Heathcote explains, </w:t>
      </w:r>
      <w:r>
        <w:rPr>
          <w:rStyle w:val="s4"/>
        </w:rPr>
        <w:t>“Children learn best when they are active, when they are responsible, when they are emotionally engaged, and when they are in control of their learning”</w:t>
      </w:r>
      <w:r>
        <w:rPr>
          <w:rStyle w:val="s2"/>
        </w:rPr>
        <w:t xml:space="preserve"> (Heathcote and Bolton, 1995, p. 27). Through this approach, I have seen how students can take on roles, solve problems, and make decisions with real-world relevance—all within the safety of a dramatic frame.</w:t>
      </w:r>
    </w:p>
    <w:p w14:paraId="18A561A2" w14:textId="77777777" w:rsidR="00CA02A1" w:rsidRDefault="00CA02A1">
      <w:pPr>
        <w:pStyle w:val="p3"/>
      </w:pPr>
      <w:r>
        <w:rPr>
          <w:rStyle w:val="s2"/>
        </w:rPr>
        <w:t>In addition to working with students, I have facilitated a series of practical workshops for my peers. These sessions were designed to demonstrate the educational potential of drama strategies and to build confidence among educators in using them. The workshops included role-play, improvisation, teacher-in-role, and reflection exercises, allowing myself to experience firsthand how drama can be embedded in everyday teaching.</w:t>
      </w:r>
    </w:p>
    <w:p w14:paraId="1B9F30D0" w14:textId="77777777" w:rsidR="00CA02A1" w:rsidRDefault="00CA02A1">
      <w:pPr>
        <w:pStyle w:val="p3"/>
      </w:pPr>
      <w:r>
        <w:rPr>
          <w:rStyle w:val="s2"/>
        </w:rPr>
        <w:t>Throughout this process, I have reflected on both the successes and challenges of applying drama in educational contexts. This workbook is both a record and a guide offering insights into planning, delivery, and evaluation of drama-based learning.</w:t>
      </w:r>
    </w:p>
    <w:p w14:paraId="45204E70" w14:textId="77777777" w:rsidR="00CA02A1" w:rsidRDefault="00CA02A1">
      <w:pPr>
        <w:pStyle w:val="p2"/>
      </w:pPr>
    </w:p>
    <w:p w14:paraId="036E0558" w14:textId="77777777" w:rsidR="00CA02A1" w:rsidRDefault="00CA02A1">
      <w:pPr>
        <w:pStyle w:val="p1"/>
      </w:pPr>
      <w:r>
        <w:rPr>
          <w:rStyle w:val="s1"/>
        </w:rPr>
        <w:t>Mantle of the Expert</w:t>
      </w:r>
    </w:p>
    <w:p w14:paraId="2ECFAE9A" w14:textId="77777777" w:rsidR="00CA02A1" w:rsidRDefault="00CA02A1">
      <w:pPr>
        <w:pStyle w:val="p2"/>
      </w:pPr>
    </w:p>
    <w:p w14:paraId="706A152C" w14:textId="77777777" w:rsidR="00CA02A1" w:rsidRDefault="00CA02A1">
      <w:pPr>
        <w:pStyle w:val="p3"/>
      </w:pPr>
      <w:r>
        <w:rPr>
          <w:rStyle w:val="s2"/>
        </w:rPr>
        <w:t xml:space="preserve">I’ve spent time reflecting on why it’s important for me, as a developing drama facilitator, to practice the Mantle of the Expert technique and to research the work of Dorothy Heathcote. This has helped me think more </w:t>
      </w:r>
      <w:r>
        <w:rPr>
          <w:rStyle w:val="s2"/>
        </w:rPr>
        <w:lastRenderedPageBreak/>
        <w:t>deeply about how I want to work with participants in the future and the kind of learning environment I want to create.</w:t>
      </w:r>
    </w:p>
    <w:p w14:paraId="30BB20E9" w14:textId="77777777" w:rsidR="00CA02A1" w:rsidRDefault="00CA02A1">
      <w:pPr>
        <w:pStyle w:val="p3"/>
      </w:pPr>
      <w:r>
        <w:rPr>
          <w:rStyle w:val="s2"/>
        </w:rPr>
        <w:t xml:space="preserve">First, Mantle of the Expert is more than just a drama technique – it’s a full approach to teaching and learning. What makes it so powerful is that it places participants in a position of responsibility and expertise. Heathcote explained that the teacher’s role is to set up situations </w:t>
      </w:r>
      <w:r>
        <w:rPr>
          <w:rStyle w:val="s4"/>
        </w:rPr>
        <w:t>“in which children find themselves making discoveries, forming judgments, exercising responsibility, being inventive and creative, and absorbing knowledge at the same time”</w:t>
      </w:r>
      <w:r>
        <w:rPr>
          <w:rStyle w:val="s2"/>
        </w:rPr>
        <w:t xml:space="preserve"> (Wagner, 1976, p. 58). Rather than being passive recipients of knowledge, students become active contributors and feel responsible for the roles they are given. I’ve learnt that this completely transforms the dynamic in the room. It creates more engagement and allows students to feel valued.</w:t>
      </w:r>
    </w:p>
    <w:p w14:paraId="15EA6217" w14:textId="77777777" w:rsidR="00CA02A1" w:rsidRDefault="00CA02A1">
      <w:pPr>
        <w:pStyle w:val="p3"/>
      </w:pPr>
      <w:r>
        <w:rPr>
          <w:rStyle w:val="s2"/>
        </w:rPr>
        <w:t xml:space="preserve">As a facilitator, it’s crucial for me to practice this technique because it requires a deep level of planning, flexibility, and awareness. It’s not enough to throw participants into a dramatic scenario; I need to craft meaningful contexts and guide them sensitively. I also need to understand how to ask the right questions and when to shift the focus. Heathcote believed that </w:t>
      </w:r>
      <w:r>
        <w:rPr>
          <w:rStyle w:val="s4"/>
        </w:rPr>
        <w:t>“the drama lies in the tension between the task and the role,”</w:t>
      </w:r>
      <w:r>
        <w:rPr>
          <w:rStyle w:val="s2"/>
        </w:rPr>
        <w:t xml:space="preserve"> which means effective planning is essential to maintain that tension and keep learners engaged (Heathcote and Bolton, 1995, p. 37).</w:t>
      </w:r>
    </w:p>
    <w:p w14:paraId="5BC1BEDB" w14:textId="29FCD380" w:rsidR="00CA02A1" w:rsidRDefault="00CA02A1">
      <w:pPr>
        <w:pStyle w:val="p3"/>
      </w:pPr>
      <w:r>
        <w:rPr>
          <w:rStyle w:val="s2"/>
        </w:rPr>
        <w:t xml:space="preserve">Researching Dorothy Heathcote has been equally important in my journey. She wasn’t just a drama teacher—she was a pioneer in how drama can be used as a tool for education and transformation. Her belief in the potential of every individual to contribute meaningfully within a group really speaks to me. I learned that she developed Mantle of the Expert as a way to bring real-world contexts into the classroom, which makes learning more relevant and exciting. </w:t>
      </w:r>
      <w:r>
        <w:rPr>
          <w:rStyle w:val="s4"/>
        </w:rPr>
        <w:t>“Drama is not a subject but a way of learning,”</w:t>
      </w:r>
      <w:r>
        <w:rPr>
          <w:rStyle w:val="s2"/>
        </w:rPr>
        <w:t xml:space="preserve"> she insisted, emphasising its cross-curricular power and transformative potential (Heathcote, 1984, p. 160).</w:t>
      </w:r>
    </w:p>
    <w:p w14:paraId="32C3C1BC" w14:textId="77777777" w:rsidR="00CA02A1" w:rsidRDefault="00CA02A1">
      <w:pPr>
        <w:pStyle w:val="p3"/>
      </w:pPr>
      <w:r>
        <w:rPr>
          <w:rStyle w:val="s2"/>
        </w:rPr>
        <w:t xml:space="preserve">What really struck me about Heathcote’s approach is her emphasis on the teacher’s role as a co-creator of the experience, rather than the sole authority. She described the teacher-in-role strategy as a way of </w:t>
      </w:r>
      <w:r>
        <w:rPr>
          <w:rStyle w:val="s4"/>
        </w:rPr>
        <w:t>“shifting power”</w:t>
      </w:r>
      <w:r>
        <w:rPr>
          <w:rStyle w:val="s2"/>
        </w:rPr>
        <w:t xml:space="preserve"> in the classroom, allowing for more democratic and collaborative learning (Heathcote and Bolton, 1995, p. 45). This challenges me to rethink how I lead sessions—not as someone who delivers information, but as someone who creates the space for meaningful exploration.</w:t>
      </w:r>
    </w:p>
    <w:p w14:paraId="1AEC0B89" w14:textId="77777777" w:rsidR="00CA02A1" w:rsidRDefault="00CA02A1">
      <w:pPr>
        <w:pStyle w:val="p3"/>
      </w:pPr>
      <w:r>
        <w:rPr>
          <w:rStyle w:val="s2"/>
        </w:rPr>
        <w:t xml:space="preserve">Practicing Mantle of the Expert helps me connect drama to other subjects and real-life issues. It also encourages collaboration, critical </w:t>
      </w:r>
      <w:r>
        <w:rPr>
          <w:rStyle w:val="s2"/>
        </w:rPr>
        <w:lastRenderedPageBreak/>
        <w:t>thinking, and empathy. By researching Heathcote, I’ve come to see how drama can be a tool for social change and personal development, not just performance. I now understand why it’s essential for me to keep learning about her work and to try out the technique regularly. It’s only through doing it, reflecting on it, and refining it that I’ll be able to use it effectively with others.</w:t>
      </w:r>
    </w:p>
    <w:p w14:paraId="6C83501F" w14:textId="77777777" w:rsidR="00CA02A1" w:rsidRDefault="00CA02A1">
      <w:pPr>
        <w:pStyle w:val="p2"/>
      </w:pPr>
    </w:p>
    <w:p w14:paraId="04A5AECD" w14:textId="77777777" w:rsidR="00CA02A1" w:rsidRDefault="00CA02A1">
      <w:pPr>
        <w:pStyle w:val="p1"/>
      </w:pPr>
      <w:r>
        <w:rPr>
          <w:rStyle w:val="s1"/>
        </w:rPr>
        <w:t>Lady of the Lake Workshop</w:t>
      </w:r>
    </w:p>
    <w:p w14:paraId="632F9369" w14:textId="77777777" w:rsidR="00CA02A1" w:rsidRDefault="00CA02A1">
      <w:pPr>
        <w:pStyle w:val="p2"/>
      </w:pPr>
    </w:p>
    <w:p w14:paraId="3337120A" w14:textId="77777777" w:rsidR="00CA02A1" w:rsidRDefault="00CA02A1">
      <w:pPr>
        <w:pStyle w:val="p3"/>
      </w:pPr>
      <w:r>
        <w:rPr>
          <w:rStyle w:val="s2"/>
        </w:rPr>
        <w:t xml:space="preserve">This drama workshop we created used the Mantle of the Expert approach to engage Year 6 pupils in exploring the Welsh legend of </w:t>
      </w:r>
      <w:r>
        <w:rPr>
          <w:rStyle w:val="s5"/>
        </w:rPr>
        <w:t>The Lady of the Lake</w:t>
      </w:r>
      <w:r>
        <w:rPr>
          <w:rStyle w:val="s2"/>
        </w:rPr>
        <w:t>. Our main focuses were environmental responsibility and community voice. Pupils were placed in-role as council appointed experts tasked with investigating a man who owns the lake and goes by the name of Farmer John.</w:t>
      </w:r>
    </w:p>
    <w:p w14:paraId="62BBDCE0" w14:textId="77777777" w:rsidR="00CA02A1" w:rsidRDefault="00CA02A1">
      <w:pPr>
        <w:pStyle w:val="p3"/>
      </w:pPr>
      <w:r>
        <w:rPr>
          <w:rStyle w:val="s2"/>
        </w:rPr>
        <w:t xml:space="preserve">Next, the students were told to focus on Farmer John's distressed appearance and were informed that the farmer had a foggy memory due to stress. By offering emotional cues, we allowed pupils to deepen their imaginative investment in the role-play. As Heathcote observed, drama provides a space where </w:t>
      </w:r>
      <w:r>
        <w:rPr>
          <w:rStyle w:val="s4"/>
        </w:rPr>
        <w:t>“learners can explore situations from the inside, taking on responsibilities and experiencing dilemmas”</w:t>
      </w:r>
      <w:r>
        <w:rPr>
          <w:rStyle w:val="s2"/>
        </w:rPr>
        <w:t xml:space="preserve"> (Heathcote and Bolton, 1995, p. 29). To prompt engagement, my peer proposed questions such as: “What’s your favourite memory of the lake?”, “Why is the lake important to him?”, and “Why are you stressed?” These helped students activate empathy and take responsibility within the fictional context.</w:t>
      </w:r>
    </w:p>
    <w:p w14:paraId="5C157602" w14:textId="77777777" w:rsidR="00CA02A1" w:rsidRDefault="00CA02A1">
      <w:pPr>
        <w:pStyle w:val="p3"/>
      </w:pPr>
      <w:r>
        <w:rPr>
          <w:rStyle w:val="s2"/>
        </w:rPr>
        <w:t xml:space="preserve">As Farmer John, I began by inviting the students to ask me questions in-role. Regarding the “hot seating” strategy, I aimed to make the students feel comfortable, to provide context, and to help us achieve the workshop’s learning goals. Heathcote (1984, p. 163) emphasised that when learners are </w:t>
      </w:r>
      <w:r>
        <w:rPr>
          <w:rStyle w:val="s4"/>
        </w:rPr>
        <w:t>“in role with purpose,”</w:t>
      </w:r>
      <w:r>
        <w:rPr>
          <w:rStyle w:val="s2"/>
        </w:rPr>
        <w:t xml:space="preserve"> their thinking becomes more complex and their investment deepens. By embodying a character in need of help, I encouraged them to become emotionally and intellectually involved in the story.</w:t>
      </w:r>
    </w:p>
    <w:p w14:paraId="3E5D1580" w14:textId="77777777" w:rsidR="00CA02A1" w:rsidRDefault="00CA02A1">
      <w:pPr>
        <w:pStyle w:val="p3"/>
      </w:pPr>
      <w:r>
        <w:rPr>
          <w:rStyle w:val="s2"/>
        </w:rPr>
        <w:t xml:space="preserve">To bring the environment and lake of </w:t>
      </w:r>
      <w:proofErr w:type="spellStart"/>
      <w:r>
        <w:rPr>
          <w:rStyle w:val="s2"/>
        </w:rPr>
        <w:t>Llyn</w:t>
      </w:r>
      <w:proofErr w:type="spellEnd"/>
      <w:r>
        <w:rPr>
          <w:rStyle w:val="s2"/>
        </w:rPr>
        <w:t xml:space="preserve"> y Fan </w:t>
      </w:r>
      <w:proofErr w:type="spellStart"/>
      <w:r>
        <w:rPr>
          <w:rStyle w:val="s2"/>
        </w:rPr>
        <w:t>Fach</w:t>
      </w:r>
      <w:proofErr w:type="spellEnd"/>
      <w:r>
        <w:rPr>
          <w:rStyle w:val="s2"/>
        </w:rPr>
        <w:t xml:space="preserve"> to life, my peer introduced the idea of creating the lake together to help Farmer John’s memory. The class collaborated using blue fabric to build a symbolic representation of the lake, adding drawings of flowers and wildlife inspired by Farmer John’s earlier descriptions. This aligns with Heathcote’s belief that drama allows students to </w:t>
      </w:r>
      <w:r>
        <w:rPr>
          <w:rStyle w:val="s4"/>
        </w:rPr>
        <w:t>“build a world”</w:t>
      </w:r>
      <w:r>
        <w:rPr>
          <w:rStyle w:val="s2"/>
        </w:rPr>
        <w:t xml:space="preserve"> </w:t>
      </w:r>
      <w:r>
        <w:rPr>
          <w:rStyle w:val="s2"/>
        </w:rPr>
        <w:lastRenderedPageBreak/>
        <w:t>together in which meaning is negotiated and knowledge is constructed (Wagner, 1976, p. 70).</w:t>
      </w:r>
    </w:p>
    <w:p w14:paraId="140EA31F" w14:textId="77777777" w:rsidR="00CA02A1" w:rsidRDefault="00CA02A1">
      <w:pPr>
        <w:pStyle w:val="p3"/>
      </w:pPr>
      <w:r>
        <w:rPr>
          <w:rStyle w:val="s2"/>
        </w:rPr>
        <w:t xml:space="preserve">The pupils were then informed by a sign that the lake was under threat from a new development project. In-role as council-appointed experts, they were told it was their job to assess the situation and decide whether the development should go ahead. We wanted as a group to give the pupils a decision, by putting them between a position of moral or civic responsibility. Heathcote insisted that the best drama happens when students are </w:t>
      </w:r>
      <w:r>
        <w:rPr>
          <w:rStyle w:val="s4"/>
        </w:rPr>
        <w:t>“engaged in tasks that demand they examine ethical dilemmas”</w:t>
      </w:r>
      <w:r>
        <w:rPr>
          <w:rStyle w:val="s2"/>
        </w:rPr>
        <w:t xml:space="preserve"> (Heathcote and Bolton, 1995, p. 53).</w:t>
      </w:r>
    </w:p>
    <w:p w14:paraId="1094AB04" w14:textId="77777777" w:rsidR="00CA02A1" w:rsidRDefault="00CA02A1">
      <w:pPr>
        <w:pStyle w:val="p3"/>
      </w:pPr>
      <w:r>
        <w:rPr>
          <w:rStyle w:val="s2"/>
        </w:rPr>
        <w:t xml:space="preserve">In this scenario, the students learned that the proposed project involved filling up the lake to build a hospital. This created tension between environmental conservation and social need. Which was a classic Heathcote technique. By us presenting the students with a complex dilemma, we prompted them to explore values, perspectives, and consequences. This kind of task exemplifies Heathcote’s assertion that </w:t>
      </w:r>
      <w:r>
        <w:rPr>
          <w:rStyle w:val="s4"/>
        </w:rPr>
        <w:t>“education must enable learners to function with conscience and competence in a complex world”</w:t>
      </w:r>
      <w:r>
        <w:rPr>
          <w:rStyle w:val="s2"/>
        </w:rPr>
        <w:t xml:space="preserve"> (Heathcote, 1984, p. 169).</w:t>
      </w:r>
    </w:p>
    <w:p w14:paraId="32716842" w14:textId="77777777" w:rsidR="00CA02A1" w:rsidRDefault="00CA02A1">
      <w:pPr>
        <w:pStyle w:val="p3"/>
      </w:pPr>
      <w:r>
        <w:rPr>
          <w:rStyle w:val="s2"/>
        </w:rPr>
        <w:t>In their expert council teams, pupils reviewed what they had learned from the interviews and their creative work. Each team discussed and debated whether they would support the farmer in preserving the lake or back CEO Chad’s development plan. They then presented their decision to the rest of the group, and the judge while justifying their insights from the session.</w:t>
      </w:r>
      <w:r>
        <w:rPr>
          <w:rFonts w:ascii="UICTFontTextStyleBody" w:hAnsi="UICTFontTextStyleBody"/>
        </w:rPr>
        <w:br/>
      </w:r>
      <w:r>
        <w:rPr>
          <w:rStyle w:val="s2"/>
        </w:rPr>
        <w:t>To finish, pupils reflected on what it meant to protect cultural heritage and natural spaces. The session helped them explore complex issues like land ownership, tradition, and progress, all through a creative and dramatic lens.</w:t>
      </w:r>
    </w:p>
    <w:p w14:paraId="43B98178" w14:textId="77777777" w:rsidR="00CA02A1" w:rsidRDefault="00CA02A1">
      <w:pPr>
        <w:pStyle w:val="p4"/>
      </w:pPr>
    </w:p>
    <w:p w14:paraId="3EA8BC19" w14:textId="77777777" w:rsidR="00CA02A1" w:rsidRDefault="00CA02A1">
      <w:pPr>
        <w:pStyle w:val="p1"/>
      </w:pPr>
      <w:r>
        <w:rPr>
          <w:rStyle w:val="s1"/>
        </w:rPr>
        <w:t>Conclusion</w:t>
      </w:r>
      <w:r>
        <w:rPr>
          <w:rStyle w:val="apple-converted-space"/>
          <w:rFonts w:ascii="UICTFontTextStyleBody" w:hAnsi="UICTFontTextStyleBody"/>
          <w:b/>
          <w:bCs/>
        </w:rPr>
        <w:t> </w:t>
      </w:r>
    </w:p>
    <w:p w14:paraId="6A44ED50" w14:textId="77777777" w:rsidR="00CA02A1" w:rsidRDefault="00CA02A1">
      <w:pPr>
        <w:pStyle w:val="p3"/>
      </w:pPr>
      <w:r>
        <w:rPr>
          <w:rFonts w:ascii="UICTFontTextStyleBody" w:hAnsi="UICTFontTextStyleBody"/>
        </w:rPr>
        <w:br/>
      </w:r>
      <w:r>
        <w:rPr>
          <w:rStyle w:val="s2"/>
        </w:rPr>
        <w:t xml:space="preserve">I’ve learnt that drama and theatre in education are powerful tools that support student growth in confidence, creativity, and communication. Through role-play, collaboration, and storytelling, students develop empathy, problem-solving skills, and emotional intelligence. For myself, studying drama and theatre techniques regarding education, it sharpened my character understanding, and encourages self-discipline. It also fostered teamwork and resilience essential qualities for both stage and life. In the classroom, theatre provides a safe space for expression and exploration, and I find it to help learners connect with </w:t>
      </w:r>
      <w:r>
        <w:rPr>
          <w:rStyle w:val="s2"/>
        </w:rPr>
        <w:lastRenderedPageBreak/>
        <w:t>different perspectives. Overall, drama enriches education by blending learning with imagination, and offers aspiring actors and students a strong foundation for personal and professional development.</w:t>
      </w:r>
    </w:p>
    <w:p w14:paraId="7150F4EB" w14:textId="77777777" w:rsidR="00CA02A1" w:rsidRDefault="00CA02A1">
      <w:pPr>
        <w:pStyle w:val="p2"/>
      </w:pPr>
    </w:p>
    <w:p w14:paraId="49D0D9ED" w14:textId="77777777" w:rsidR="00CA02A1" w:rsidRDefault="00CA02A1">
      <w:pPr>
        <w:pStyle w:val="p3"/>
      </w:pPr>
      <w:r>
        <w:rPr>
          <w:rStyle w:val="s3"/>
        </w:rPr>
        <w:t>References</w:t>
      </w:r>
      <w:r>
        <w:rPr>
          <w:rStyle w:val="apple-converted-space"/>
          <w:rFonts w:ascii="UICTFontTextStyleEmphasizedBody" w:hAnsi="UICTFontTextStyleEmphasizedBody"/>
          <w:b/>
          <w:bCs/>
        </w:rPr>
        <w:t> </w:t>
      </w:r>
    </w:p>
    <w:p w14:paraId="6C452AFE" w14:textId="77777777" w:rsidR="00CA02A1" w:rsidRDefault="00CA02A1">
      <w:pPr>
        <w:pStyle w:val="p2"/>
      </w:pPr>
    </w:p>
    <w:p w14:paraId="348F4092" w14:textId="77777777" w:rsidR="00CA02A1" w:rsidRDefault="00CA02A1">
      <w:pPr>
        <w:pStyle w:val="li3"/>
        <w:numPr>
          <w:ilvl w:val="0"/>
          <w:numId w:val="1"/>
        </w:numPr>
        <w:rPr>
          <w:rFonts w:eastAsia="Times New Roman"/>
        </w:rPr>
      </w:pPr>
      <w:r>
        <w:rPr>
          <w:rStyle w:val="s2"/>
          <w:rFonts w:eastAsia="Times New Roman"/>
        </w:rPr>
        <w:t xml:space="preserve">Heathcote, D., 1984. </w:t>
      </w:r>
      <w:r>
        <w:rPr>
          <w:rStyle w:val="s5"/>
          <w:rFonts w:eastAsia="Times New Roman"/>
        </w:rPr>
        <w:t>The Authentic Teacher: Developing a Drama of Authority</w:t>
      </w:r>
      <w:r>
        <w:rPr>
          <w:rStyle w:val="s2"/>
          <w:rFonts w:eastAsia="Times New Roman"/>
        </w:rPr>
        <w:t xml:space="preserve">. In: L. Johnson and C. O’Neill, eds. </w:t>
      </w:r>
      <w:r>
        <w:rPr>
          <w:rStyle w:val="s5"/>
          <w:rFonts w:eastAsia="Times New Roman"/>
        </w:rPr>
        <w:t>Dorothy Heathcote: Collected Writings on Education and Drama</w:t>
      </w:r>
      <w:r>
        <w:rPr>
          <w:rStyle w:val="s2"/>
          <w:rFonts w:eastAsia="Times New Roman"/>
        </w:rPr>
        <w:t>. London: Hutchinson, pp. 157–170.</w:t>
      </w:r>
    </w:p>
    <w:p w14:paraId="76ACE2E6" w14:textId="77777777" w:rsidR="00CA02A1" w:rsidRDefault="00CA02A1">
      <w:pPr>
        <w:pStyle w:val="li3"/>
        <w:numPr>
          <w:ilvl w:val="0"/>
          <w:numId w:val="1"/>
        </w:numPr>
        <w:rPr>
          <w:rFonts w:eastAsia="Times New Roman"/>
        </w:rPr>
      </w:pPr>
      <w:r>
        <w:rPr>
          <w:rStyle w:val="s2"/>
          <w:rFonts w:eastAsia="Times New Roman"/>
        </w:rPr>
        <w:t xml:space="preserve">Heathcote, D. and Bolton, G., 1995. </w:t>
      </w:r>
      <w:r>
        <w:rPr>
          <w:rStyle w:val="s5"/>
          <w:rFonts w:eastAsia="Times New Roman"/>
        </w:rPr>
        <w:t>Drama for Learning: Dorothy Heathcote’s Mantle of the Expert Approach to Education</w:t>
      </w:r>
      <w:r>
        <w:rPr>
          <w:rStyle w:val="s2"/>
          <w:rFonts w:eastAsia="Times New Roman"/>
        </w:rPr>
        <w:t>. Portsmouth, NH: Heinemann.</w:t>
      </w:r>
    </w:p>
    <w:p w14:paraId="618984CB" w14:textId="77777777" w:rsidR="00CA02A1" w:rsidRDefault="00CA02A1">
      <w:pPr>
        <w:pStyle w:val="li3"/>
        <w:numPr>
          <w:ilvl w:val="0"/>
          <w:numId w:val="1"/>
        </w:numPr>
        <w:rPr>
          <w:rFonts w:eastAsia="Times New Roman"/>
        </w:rPr>
      </w:pPr>
      <w:r>
        <w:rPr>
          <w:rStyle w:val="s2"/>
          <w:rFonts w:eastAsia="Times New Roman"/>
        </w:rPr>
        <w:t xml:space="preserve">Wagner, B.J., 1976. </w:t>
      </w:r>
      <w:r>
        <w:rPr>
          <w:rStyle w:val="s5"/>
          <w:rFonts w:eastAsia="Times New Roman"/>
        </w:rPr>
        <w:t>Dorothy Heathcote: Drama as a Learning Medium</w:t>
      </w:r>
      <w:r>
        <w:rPr>
          <w:rStyle w:val="s2"/>
          <w:rFonts w:eastAsia="Times New Roman"/>
        </w:rPr>
        <w:t>. London: Hutchinson.</w:t>
      </w:r>
    </w:p>
    <w:p w14:paraId="63C59764" w14:textId="77777777" w:rsidR="00CA02A1" w:rsidRDefault="00CA02A1"/>
    <w:sectPr w:rsidR="00CA02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66D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788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2A1"/>
    <w:rsid w:val="00CA02A1"/>
    <w:rsid w:val="00E07EAD"/>
    <w:rsid w:val="00E4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5883B0"/>
  <w15:chartTrackingRefBased/>
  <w15:docId w15:val="{596E9913-CD01-534A-AEB9-99F7656CF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2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02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02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02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02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02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2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2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2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2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02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02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02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02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02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2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2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2A1"/>
    <w:rPr>
      <w:rFonts w:eastAsiaTheme="majorEastAsia" w:cstheme="majorBidi"/>
      <w:color w:val="272727" w:themeColor="text1" w:themeTint="D8"/>
    </w:rPr>
  </w:style>
  <w:style w:type="paragraph" w:styleId="Title">
    <w:name w:val="Title"/>
    <w:basedOn w:val="Normal"/>
    <w:next w:val="Normal"/>
    <w:link w:val="TitleChar"/>
    <w:uiPriority w:val="10"/>
    <w:qFormat/>
    <w:rsid w:val="00CA02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2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2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2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2A1"/>
    <w:pPr>
      <w:spacing w:before="160"/>
      <w:jc w:val="center"/>
    </w:pPr>
    <w:rPr>
      <w:i/>
      <w:iCs/>
      <w:color w:val="404040" w:themeColor="text1" w:themeTint="BF"/>
    </w:rPr>
  </w:style>
  <w:style w:type="character" w:customStyle="1" w:styleId="QuoteChar">
    <w:name w:val="Quote Char"/>
    <w:basedOn w:val="DefaultParagraphFont"/>
    <w:link w:val="Quote"/>
    <w:uiPriority w:val="29"/>
    <w:rsid w:val="00CA02A1"/>
    <w:rPr>
      <w:i/>
      <w:iCs/>
      <w:color w:val="404040" w:themeColor="text1" w:themeTint="BF"/>
    </w:rPr>
  </w:style>
  <w:style w:type="paragraph" w:styleId="ListParagraph">
    <w:name w:val="List Paragraph"/>
    <w:basedOn w:val="Normal"/>
    <w:uiPriority w:val="34"/>
    <w:qFormat/>
    <w:rsid w:val="00CA02A1"/>
    <w:pPr>
      <w:ind w:left="720"/>
      <w:contextualSpacing/>
    </w:pPr>
  </w:style>
  <w:style w:type="character" w:styleId="IntenseEmphasis">
    <w:name w:val="Intense Emphasis"/>
    <w:basedOn w:val="DefaultParagraphFont"/>
    <w:uiPriority w:val="21"/>
    <w:qFormat/>
    <w:rsid w:val="00CA02A1"/>
    <w:rPr>
      <w:i/>
      <w:iCs/>
      <w:color w:val="2F5496" w:themeColor="accent1" w:themeShade="BF"/>
    </w:rPr>
  </w:style>
  <w:style w:type="paragraph" w:styleId="IntenseQuote">
    <w:name w:val="Intense Quote"/>
    <w:basedOn w:val="Normal"/>
    <w:next w:val="Normal"/>
    <w:link w:val="IntenseQuoteChar"/>
    <w:uiPriority w:val="30"/>
    <w:qFormat/>
    <w:rsid w:val="00CA02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02A1"/>
    <w:rPr>
      <w:i/>
      <w:iCs/>
      <w:color w:val="2F5496" w:themeColor="accent1" w:themeShade="BF"/>
    </w:rPr>
  </w:style>
  <w:style w:type="character" w:styleId="IntenseReference">
    <w:name w:val="Intense Reference"/>
    <w:basedOn w:val="DefaultParagraphFont"/>
    <w:uiPriority w:val="32"/>
    <w:qFormat/>
    <w:rsid w:val="00CA02A1"/>
    <w:rPr>
      <w:b/>
      <w:bCs/>
      <w:smallCaps/>
      <w:color w:val="2F5496" w:themeColor="accent1" w:themeShade="BF"/>
      <w:spacing w:val="5"/>
    </w:rPr>
  </w:style>
  <w:style w:type="paragraph" w:customStyle="1" w:styleId="p1">
    <w:name w:val="p1"/>
    <w:basedOn w:val="Normal"/>
    <w:rsid w:val="00CA02A1"/>
    <w:pPr>
      <w:spacing w:after="60" w:line="240" w:lineRule="auto"/>
    </w:pPr>
    <w:rPr>
      <w:rFonts w:ascii=".AppleSystemUIFont" w:hAnsi=".AppleSystemUIFont" w:cs="Times New Roman"/>
      <w:kern w:val="0"/>
      <w:sz w:val="38"/>
      <w:szCs w:val="38"/>
      <w14:ligatures w14:val="none"/>
    </w:rPr>
  </w:style>
  <w:style w:type="paragraph" w:customStyle="1" w:styleId="p2">
    <w:name w:val="p2"/>
    <w:basedOn w:val="Normal"/>
    <w:rsid w:val="00CA02A1"/>
    <w:pPr>
      <w:spacing w:after="0" w:line="240" w:lineRule="auto"/>
    </w:pPr>
    <w:rPr>
      <w:rFonts w:ascii=".AppleSystemUIFont" w:hAnsi=".AppleSystemUIFont" w:cs="Times New Roman"/>
      <w:kern w:val="0"/>
      <w:sz w:val="29"/>
      <w:szCs w:val="29"/>
      <w14:ligatures w14:val="none"/>
    </w:rPr>
  </w:style>
  <w:style w:type="paragraph" w:customStyle="1" w:styleId="p3">
    <w:name w:val="p3"/>
    <w:basedOn w:val="Normal"/>
    <w:rsid w:val="00CA02A1"/>
    <w:pPr>
      <w:spacing w:after="0" w:line="240" w:lineRule="auto"/>
    </w:pPr>
    <w:rPr>
      <w:rFonts w:ascii=".AppleSystemUIFont" w:hAnsi=".AppleSystemUIFont" w:cs="Times New Roman"/>
      <w:kern w:val="0"/>
      <w:sz w:val="29"/>
      <w:szCs w:val="29"/>
      <w14:ligatures w14:val="none"/>
    </w:rPr>
  </w:style>
  <w:style w:type="paragraph" w:customStyle="1" w:styleId="p4">
    <w:name w:val="p4"/>
    <w:basedOn w:val="Normal"/>
    <w:rsid w:val="00CA02A1"/>
    <w:pPr>
      <w:spacing w:after="60" w:line="240" w:lineRule="auto"/>
    </w:pPr>
    <w:rPr>
      <w:rFonts w:ascii=".AppleSystemUIFont" w:hAnsi=".AppleSystemUIFont" w:cs="Times New Roman"/>
      <w:kern w:val="0"/>
      <w:sz w:val="38"/>
      <w:szCs w:val="38"/>
      <w14:ligatures w14:val="none"/>
    </w:rPr>
  </w:style>
  <w:style w:type="character" w:customStyle="1" w:styleId="s1">
    <w:name w:val="s1"/>
    <w:basedOn w:val="DefaultParagraphFont"/>
    <w:rsid w:val="00CA02A1"/>
    <w:rPr>
      <w:rFonts w:ascii="UICTFontTextStyleBody" w:hAnsi="UICTFontTextStyleBody" w:hint="default"/>
      <w:b/>
      <w:bCs/>
      <w:i w:val="0"/>
      <w:iCs w:val="0"/>
      <w:sz w:val="38"/>
      <w:szCs w:val="38"/>
    </w:rPr>
  </w:style>
  <w:style w:type="character" w:customStyle="1" w:styleId="s2">
    <w:name w:val="s2"/>
    <w:basedOn w:val="DefaultParagraphFont"/>
    <w:rsid w:val="00CA02A1"/>
    <w:rPr>
      <w:rFonts w:ascii="UICTFontTextStyleBody" w:hAnsi="UICTFontTextStyleBody" w:hint="default"/>
      <w:b w:val="0"/>
      <w:bCs w:val="0"/>
      <w:i w:val="0"/>
      <w:iCs w:val="0"/>
      <w:sz w:val="29"/>
      <w:szCs w:val="29"/>
    </w:rPr>
  </w:style>
  <w:style w:type="character" w:customStyle="1" w:styleId="s3">
    <w:name w:val="s3"/>
    <w:basedOn w:val="DefaultParagraphFont"/>
    <w:rsid w:val="00CA02A1"/>
    <w:rPr>
      <w:rFonts w:ascii="UICTFontTextStyleEmphasizedBody" w:hAnsi="UICTFontTextStyleEmphasizedBody" w:hint="default"/>
      <w:b/>
      <w:bCs/>
      <w:i w:val="0"/>
      <w:iCs w:val="0"/>
      <w:sz w:val="29"/>
      <w:szCs w:val="29"/>
    </w:rPr>
  </w:style>
  <w:style w:type="character" w:customStyle="1" w:styleId="s4">
    <w:name w:val="s4"/>
    <w:basedOn w:val="DefaultParagraphFont"/>
    <w:rsid w:val="00CA02A1"/>
    <w:rPr>
      <w:b/>
      <w:bCs/>
      <w:i/>
      <w:iCs/>
      <w:sz w:val="29"/>
      <w:szCs w:val="29"/>
    </w:rPr>
  </w:style>
  <w:style w:type="character" w:customStyle="1" w:styleId="s5">
    <w:name w:val="s5"/>
    <w:basedOn w:val="DefaultParagraphFont"/>
    <w:rsid w:val="00CA02A1"/>
    <w:rPr>
      <w:rFonts w:ascii="UICTFontTextStyleItalicBody" w:hAnsi="UICTFontTextStyleItalicBody" w:hint="default"/>
      <w:b w:val="0"/>
      <w:bCs w:val="0"/>
      <w:i/>
      <w:iCs/>
      <w:sz w:val="29"/>
      <w:szCs w:val="29"/>
    </w:rPr>
  </w:style>
  <w:style w:type="paragraph" w:customStyle="1" w:styleId="li3">
    <w:name w:val="li3"/>
    <w:basedOn w:val="Normal"/>
    <w:rsid w:val="00CA02A1"/>
    <w:pPr>
      <w:spacing w:after="0" w:line="240" w:lineRule="auto"/>
    </w:pPr>
    <w:rPr>
      <w:rFonts w:ascii=".AppleSystemUIFont" w:hAnsi=".AppleSystemUIFont" w:cs="Times New Roman"/>
      <w:kern w:val="0"/>
      <w:sz w:val="29"/>
      <w:szCs w:val="29"/>
      <w14:ligatures w14:val="none"/>
    </w:rPr>
  </w:style>
  <w:style w:type="character" w:customStyle="1" w:styleId="apple-converted-space">
    <w:name w:val="apple-converted-space"/>
    <w:basedOn w:val="DefaultParagraphFont"/>
    <w:rsid w:val="00CA0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1531</Words>
  <Characters>8732</Characters>
  <Application>Microsoft Office Word</Application>
  <DocSecurity>0</DocSecurity>
  <Lines>72</Lines>
  <Paragraphs>20</Paragraphs>
  <ScaleCrop>false</ScaleCrop>
  <Company/>
  <LinksUpToDate>false</LinksUpToDate>
  <CharactersWithSpaces>10243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Francisco weaver</dc:creator>
  <cp:keywords/>
  <dc:description/>
  <cp:lastModifiedBy>Francisco weaver</cp:lastModifiedBy>
  <cp:revision>2</cp:revision>
  <dcterms:created xsi:type="dcterms:W3CDTF">2025-05-22T19:38:00Z</dcterms:created>
  <dcterms:modified xsi:type="dcterms:W3CDTF">2025-05-22T19:38:00Z</dcterms:modified>
</cp:coreProperties>
</file>