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DD546" w14:textId="26E7C35B" w:rsidR="0003316F" w:rsidRPr="009B3CFB" w:rsidRDefault="00BF01FF" w:rsidP="005C5E81">
      <w:pPr>
        <w:jc w:val="center"/>
        <w:rPr>
          <w:rFonts w:ascii="Arial" w:hAnsi="Arial" w:cs="Arial"/>
          <w:sz w:val="36"/>
          <w:szCs w:val="36"/>
        </w:rPr>
      </w:pPr>
      <w:r w:rsidRPr="009B3CFB">
        <w:rPr>
          <w:rFonts w:ascii="Arial" w:hAnsi="Arial" w:cs="Arial"/>
          <w:sz w:val="36"/>
          <w:szCs w:val="36"/>
        </w:rPr>
        <w:t xml:space="preserve">Jodie Dickinson </w:t>
      </w:r>
    </w:p>
    <w:p w14:paraId="036DCF87" w14:textId="4D2C5CFF" w:rsidR="00BF01FF" w:rsidRPr="009B3CFB" w:rsidRDefault="00BF01FF" w:rsidP="005C5E81">
      <w:pPr>
        <w:jc w:val="center"/>
        <w:rPr>
          <w:rFonts w:ascii="Arial" w:hAnsi="Arial" w:cs="Arial"/>
          <w:sz w:val="36"/>
          <w:szCs w:val="36"/>
        </w:rPr>
      </w:pPr>
      <w:r w:rsidRPr="009B3CFB">
        <w:rPr>
          <w:rFonts w:ascii="Arial" w:hAnsi="Arial" w:cs="Arial"/>
          <w:sz w:val="36"/>
          <w:szCs w:val="36"/>
        </w:rPr>
        <w:t>2309200</w:t>
      </w:r>
    </w:p>
    <w:p w14:paraId="0FDCE2B1" w14:textId="674D3A68" w:rsidR="00BF01FF" w:rsidRPr="009B3CFB" w:rsidRDefault="00BC1C73" w:rsidP="005C5E81">
      <w:pPr>
        <w:jc w:val="center"/>
        <w:rPr>
          <w:rFonts w:ascii="Arial" w:hAnsi="Arial" w:cs="Arial"/>
          <w:sz w:val="36"/>
          <w:szCs w:val="36"/>
        </w:rPr>
      </w:pPr>
      <w:r w:rsidRPr="009B3CFB">
        <w:rPr>
          <w:rFonts w:ascii="Arial" w:hAnsi="Arial" w:cs="Arial"/>
          <w:sz w:val="36"/>
          <w:szCs w:val="36"/>
        </w:rPr>
        <w:t xml:space="preserve">Psychology in Health and Social Care </w:t>
      </w:r>
    </w:p>
    <w:p w14:paraId="63DB891E" w14:textId="68324017" w:rsidR="00005F92" w:rsidRPr="009B3CFB" w:rsidRDefault="00005F92" w:rsidP="005C5E81">
      <w:pPr>
        <w:jc w:val="center"/>
        <w:rPr>
          <w:rFonts w:ascii="Arial" w:hAnsi="Arial" w:cs="Arial"/>
          <w:sz w:val="36"/>
          <w:szCs w:val="36"/>
        </w:rPr>
      </w:pPr>
      <w:r w:rsidRPr="009B3CFB">
        <w:rPr>
          <w:rFonts w:ascii="Arial" w:hAnsi="Arial" w:cs="Arial"/>
          <w:sz w:val="36"/>
          <w:szCs w:val="36"/>
        </w:rPr>
        <w:t>LCH</w:t>
      </w:r>
      <w:r w:rsidR="00F87CD9" w:rsidRPr="009B3CFB">
        <w:rPr>
          <w:rFonts w:ascii="Arial" w:hAnsi="Arial" w:cs="Arial"/>
          <w:sz w:val="36"/>
          <w:szCs w:val="36"/>
        </w:rPr>
        <w:t>S</w:t>
      </w:r>
      <w:r w:rsidRPr="009B3CFB">
        <w:rPr>
          <w:rFonts w:ascii="Arial" w:hAnsi="Arial" w:cs="Arial"/>
          <w:sz w:val="36"/>
          <w:szCs w:val="36"/>
        </w:rPr>
        <w:t>4010</w:t>
      </w:r>
    </w:p>
    <w:p w14:paraId="049764DB" w14:textId="1E3EE353" w:rsidR="00F87CD9" w:rsidRDefault="008C37B2" w:rsidP="005C5E81">
      <w:pPr>
        <w:jc w:val="center"/>
        <w:rPr>
          <w:rFonts w:ascii="Arial" w:hAnsi="Arial" w:cs="Arial"/>
          <w:sz w:val="36"/>
          <w:szCs w:val="36"/>
        </w:rPr>
      </w:pPr>
      <w:r w:rsidRPr="009B3CFB">
        <w:rPr>
          <w:rFonts w:ascii="Arial" w:hAnsi="Arial" w:cs="Arial"/>
          <w:sz w:val="36"/>
          <w:szCs w:val="36"/>
        </w:rPr>
        <w:t>Neale Haddon</w:t>
      </w:r>
    </w:p>
    <w:p w14:paraId="79953E00" w14:textId="77777777" w:rsidR="00BB35C5" w:rsidRDefault="00BB35C5" w:rsidP="005C5E81">
      <w:pPr>
        <w:jc w:val="center"/>
        <w:rPr>
          <w:rFonts w:ascii="Arial" w:hAnsi="Arial" w:cs="Arial"/>
          <w:sz w:val="36"/>
          <w:szCs w:val="36"/>
        </w:rPr>
      </w:pPr>
    </w:p>
    <w:p w14:paraId="44C9BEBD" w14:textId="77777777" w:rsidR="00BB35C5" w:rsidRDefault="00BB35C5" w:rsidP="005C5E81">
      <w:pPr>
        <w:jc w:val="center"/>
        <w:rPr>
          <w:rFonts w:ascii="Arial" w:hAnsi="Arial" w:cs="Arial"/>
          <w:sz w:val="36"/>
          <w:szCs w:val="36"/>
        </w:rPr>
      </w:pPr>
    </w:p>
    <w:p w14:paraId="4CF29708" w14:textId="77777777" w:rsidR="00BB35C5" w:rsidRDefault="00BB35C5" w:rsidP="005C5E81">
      <w:pPr>
        <w:jc w:val="center"/>
        <w:rPr>
          <w:rFonts w:ascii="Arial" w:hAnsi="Arial" w:cs="Arial"/>
          <w:sz w:val="36"/>
          <w:szCs w:val="36"/>
        </w:rPr>
      </w:pPr>
    </w:p>
    <w:p w14:paraId="3283961C" w14:textId="77777777" w:rsidR="00BB35C5" w:rsidRDefault="00BB35C5" w:rsidP="005C5E81">
      <w:pPr>
        <w:jc w:val="center"/>
        <w:rPr>
          <w:rFonts w:ascii="Arial" w:hAnsi="Arial" w:cs="Arial"/>
          <w:sz w:val="36"/>
          <w:szCs w:val="36"/>
        </w:rPr>
      </w:pPr>
    </w:p>
    <w:p w14:paraId="315A63A9" w14:textId="77777777" w:rsidR="00BB35C5" w:rsidRDefault="00BB35C5" w:rsidP="005C5E81">
      <w:pPr>
        <w:jc w:val="center"/>
        <w:rPr>
          <w:rFonts w:ascii="Arial" w:hAnsi="Arial" w:cs="Arial"/>
          <w:sz w:val="36"/>
          <w:szCs w:val="36"/>
        </w:rPr>
      </w:pPr>
    </w:p>
    <w:p w14:paraId="774CCA86" w14:textId="77777777" w:rsidR="00BB35C5" w:rsidRDefault="00BB35C5" w:rsidP="005C5E81">
      <w:pPr>
        <w:jc w:val="center"/>
        <w:rPr>
          <w:rFonts w:ascii="Arial" w:hAnsi="Arial" w:cs="Arial"/>
          <w:sz w:val="36"/>
          <w:szCs w:val="36"/>
        </w:rPr>
      </w:pPr>
    </w:p>
    <w:p w14:paraId="6E50339C" w14:textId="77777777" w:rsidR="00BB35C5" w:rsidRDefault="00BB35C5" w:rsidP="005C5E81">
      <w:pPr>
        <w:jc w:val="center"/>
        <w:rPr>
          <w:rFonts w:ascii="Arial" w:hAnsi="Arial" w:cs="Arial"/>
          <w:sz w:val="36"/>
          <w:szCs w:val="36"/>
        </w:rPr>
      </w:pPr>
    </w:p>
    <w:p w14:paraId="3A9B0CB3" w14:textId="77777777" w:rsidR="00BB35C5" w:rsidRDefault="00BB35C5" w:rsidP="005C5E81">
      <w:pPr>
        <w:jc w:val="center"/>
        <w:rPr>
          <w:rFonts w:ascii="Arial" w:hAnsi="Arial" w:cs="Arial"/>
          <w:sz w:val="36"/>
          <w:szCs w:val="36"/>
        </w:rPr>
      </w:pPr>
    </w:p>
    <w:p w14:paraId="488A82EB" w14:textId="77777777" w:rsidR="00BB35C5" w:rsidRDefault="00BB35C5" w:rsidP="005C5E81">
      <w:pPr>
        <w:jc w:val="center"/>
        <w:rPr>
          <w:rFonts w:ascii="Arial" w:hAnsi="Arial" w:cs="Arial"/>
          <w:sz w:val="36"/>
          <w:szCs w:val="36"/>
        </w:rPr>
      </w:pPr>
    </w:p>
    <w:p w14:paraId="55072E8D" w14:textId="77777777" w:rsidR="00BB35C5" w:rsidRDefault="00BB35C5" w:rsidP="005C5E81">
      <w:pPr>
        <w:jc w:val="center"/>
        <w:rPr>
          <w:rFonts w:ascii="Arial" w:hAnsi="Arial" w:cs="Arial"/>
          <w:sz w:val="36"/>
          <w:szCs w:val="36"/>
        </w:rPr>
      </w:pPr>
    </w:p>
    <w:p w14:paraId="66C63C01" w14:textId="77777777" w:rsidR="00BB35C5" w:rsidRDefault="00BB35C5" w:rsidP="005C5E81">
      <w:pPr>
        <w:jc w:val="center"/>
        <w:rPr>
          <w:rFonts w:ascii="Arial" w:hAnsi="Arial" w:cs="Arial"/>
          <w:sz w:val="36"/>
          <w:szCs w:val="36"/>
        </w:rPr>
      </w:pPr>
    </w:p>
    <w:p w14:paraId="2ED84061" w14:textId="77777777" w:rsidR="00BB35C5" w:rsidRDefault="00BB35C5" w:rsidP="005C5E81">
      <w:pPr>
        <w:jc w:val="center"/>
        <w:rPr>
          <w:rFonts w:ascii="Arial" w:hAnsi="Arial" w:cs="Arial"/>
          <w:sz w:val="36"/>
          <w:szCs w:val="36"/>
        </w:rPr>
      </w:pPr>
    </w:p>
    <w:p w14:paraId="332C6E89" w14:textId="77777777" w:rsidR="00BB35C5" w:rsidRDefault="00BB35C5" w:rsidP="005C5E81">
      <w:pPr>
        <w:jc w:val="center"/>
        <w:rPr>
          <w:rFonts w:ascii="Arial" w:hAnsi="Arial" w:cs="Arial"/>
          <w:sz w:val="36"/>
          <w:szCs w:val="36"/>
        </w:rPr>
      </w:pPr>
    </w:p>
    <w:p w14:paraId="74B210A6" w14:textId="77777777" w:rsidR="00BB35C5" w:rsidRDefault="00BB35C5" w:rsidP="005C5E81">
      <w:pPr>
        <w:jc w:val="center"/>
        <w:rPr>
          <w:rFonts w:ascii="Arial" w:hAnsi="Arial" w:cs="Arial"/>
          <w:sz w:val="36"/>
          <w:szCs w:val="36"/>
        </w:rPr>
      </w:pPr>
    </w:p>
    <w:p w14:paraId="18D04A4B" w14:textId="77777777" w:rsidR="00BB35C5" w:rsidRDefault="00BB35C5" w:rsidP="005C5E81">
      <w:pPr>
        <w:jc w:val="center"/>
        <w:rPr>
          <w:rFonts w:ascii="Arial" w:hAnsi="Arial" w:cs="Arial"/>
          <w:sz w:val="36"/>
          <w:szCs w:val="36"/>
        </w:rPr>
      </w:pPr>
    </w:p>
    <w:p w14:paraId="0725EB65" w14:textId="29D5C60C" w:rsidR="003C1BA4" w:rsidRPr="005203C5" w:rsidRDefault="003C1BA4" w:rsidP="00BB35C5">
      <w:pPr>
        <w:rPr>
          <w:rFonts w:ascii="Arial" w:hAnsi="Arial" w:cs="Arial"/>
          <w:b/>
          <w:bCs/>
          <w:sz w:val="22"/>
          <w:szCs w:val="22"/>
        </w:rPr>
      </w:pPr>
      <w:r w:rsidRPr="005203C5">
        <w:rPr>
          <w:rFonts w:ascii="Arial" w:hAnsi="Arial" w:cs="Arial"/>
          <w:b/>
          <w:bCs/>
          <w:sz w:val="22"/>
          <w:szCs w:val="22"/>
        </w:rPr>
        <w:lastRenderedPageBreak/>
        <w:t xml:space="preserve"> Discuss the Impact of Social Media on Mental Health in Adolescence</w:t>
      </w:r>
    </w:p>
    <w:p w14:paraId="54C42C40" w14:textId="3BA7AF96" w:rsidR="003C1BA4" w:rsidRPr="0008784D" w:rsidRDefault="003C1BA4" w:rsidP="00BB35C5">
      <w:pPr>
        <w:rPr>
          <w:rFonts w:ascii="Arial" w:hAnsi="Arial" w:cs="Arial"/>
          <w:sz w:val="22"/>
          <w:szCs w:val="22"/>
        </w:rPr>
      </w:pPr>
      <w:r>
        <w:rPr>
          <w:rFonts w:ascii="Arial" w:hAnsi="Arial" w:cs="Arial"/>
          <w:sz w:val="36"/>
          <w:szCs w:val="36"/>
        </w:rPr>
        <w:t>​</w:t>
      </w:r>
      <w:r w:rsidRPr="0008784D">
        <w:rPr>
          <w:rFonts w:ascii="Arial" w:hAnsi="Arial" w:cs="Arial"/>
          <w:sz w:val="22"/>
          <w:szCs w:val="22"/>
        </w:rPr>
        <w:t xml:space="preserve">The rapid evolution and widespread adoption of social media platforms have fundamentally altered the landscape of adolescent development and interpersonal communication. Adolescence represents a critical developmental period characterized by significant biological, neurological, and social transitions, during which individuals seek autonomy, establish identity, and form peer bonds. While digital platforms offer opportunities for connection, learning, and self-expression, growing concerns have emerged regarding their potential negative impacts on adolescent mental health, including increased risks of anxiety, depression, body dissatisfaction, and loneliness. To systematically </w:t>
      </w:r>
      <w:r w:rsidR="004403B5" w:rsidRPr="0008784D">
        <w:rPr>
          <w:rFonts w:ascii="Arial" w:hAnsi="Arial" w:cs="Arial"/>
          <w:sz w:val="22"/>
          <w:szCs w:val="22"/>
        </w:rPr>
        <w:t>analyse</w:t>
      </w:r>
      <w:r w:rsidRPr="0008784D">
        <w:rPr>
          <w:rFonts w:ascii="Arial" w:hAnsi="Arial" w:cs="Arial"/>
          <w:sz w:val="22"/>
          <w:szCs w:val="22"/>
        </w:rPr>
        <w:t xml:space="preserve"> these effects, psychological research frequently applies theoretical frameworks to explain how digital interactions influence psychological well-being. This essay will draw on Erikson’s theory of psychosocial development and Bowlby’s attachment theory to explain how and why adolescent mental health may be affected by exposure to social media platforms.</w:t>
      </w:r>
    </w:p>
    <w:p w14:paraId="04E273B0" w14:textId="452A2A77" w:rsidR="003C1BA4" w:rsidRPr="0008784D" w:rsidRDefault="003C1BA4" w:rsidP="00BB35C5">
      <w:pPr>
        <w:rPr>
          <w:rFonts w:ascii="Arial" w:hAnsi="Arial" w:cs="Arial"/>
          <w:sz w:val="22"/>
          <w:szCs w:val="22"/>
        </w:rPr>
      </w:pPr>
      <w:r w:rsidRPr="0008784D">
        <w:rPr>
          <w:rFonts w:ascii="Arial" w:hAnsi="Arial" w:cs="Arial"/>
          <w:sz w:val="22"/>
          <w:szCs w:val="22"/>
        </w:rPr>
        <w:t>​Erikson’s theory of psychosocial development posits that adolescence is defined by the core conflict of identity versus role confusion (Boyd and Bee, 2019; Gillibrand, Lam and O’Donnell, 2016). During this stage, young people experiment with social roles, values, and peer associations to formulate a coherent sense of self. Social media platforms provide an expanded, highly public arena for identity experimentation; however, they also expose adolescents to constant online social comparisons and idealized representations of peers’ lives (Gross, 2020). According to Erikson’s framework, when adolescents repeatedly engage in upward social comparisons</w:t>
      </w:r>
      <w:r w:rsidR="0097718D">
        <w:rPr>
          <w:rFonts w:ascii="Arial" w:hAnsi="Arial" w:cs="Arial"/>
          <w:sz w:val="22"/>
          <w:szCs w:val="22"/>
        </w:rPr>
        <w:t xml:space="preserve"> e</w:t>
      </w:r>
      <w:r w:rsidRPr="0008784D">
        <w:rPr>
          <w:rFonts w:ascii="Arial" w:hAnsi="Arial" w:cs="Arial"/>
          <w:sz w:val="22"/>
          <w:szCs w:val="22"/>
        </w:rPr>
        <w:t>valuating themselves against curated, unrealistic images</w:t>
      </w:r>
      <w:r w:rsidR="0097718D">
        <w:rPr>
          <w:rFonts w:ascii="Arial" w:hAnsi="Arial" w:cs="Arial"/>
          <w:sz w:val="22"/>
          <w:szCs w:val="22"/>
        </w:rPr>
        <w:t xml:space="preserve"> </w:t>
      </w:r>
      <w:r w:rsidRPr="0008784D">
        <w:rPr>
          <w:rFonts w:ascii="Arial" w:hAnsi="Arial" w:cs="Arial"/>
          <w:sz w:val="22"/>
          <w:szCs w:val="22"/>
        </w:rPr>
        <w:t xml:space="preserve">their capacity to form a stable self-identity is disrupted. This continuous evaluation can yield feelings of inadequacy, low self-esteem, and role confusion, ultimately predisposing young individuals to depressive symptoms and heightened social anxiety (Griggs and Jackson, 2020). Conversely, when online environments foster authentic self-expression and supportive peer validation, social media can contribute positively to identity consolidation and psychological well-being (Snyder et al., 2016; </w:t>
      </w:r>
      <w:proofErr w:type="spellStart"/>
      <w:r w:rsidRPr="0008784D">
        <w:rPr>
          <w:rFonts w:ascii="Arial" w:hAnsi="Arial" w:cs="Arial"/>
          <w:sz w:val="22"/>
          <w:szCs w:val="22"/>
        </w:rPr>
        <w:t>Deaux</w:t>
      </w:r>
      <w:proofErr w:type="spellEnd"/>
      <w:r w:rsidRPr="0008784D">
        <w:rPr>
          <w:rFonts w:ascii="Arial" w:hAnsi="Arial" w:cs="Arial"/>
          <w:sz w:val="22"/>
          <w:szCs w:val="22"/>
        </w:rPr>
        <w:t xml:space="preserve"> and Snyder, 2018). Nevertheless, the prevalence of selective self-presentation on digital media frequently undermines this balance, increasing the likelihood of role confusion and associated emotional distress.</w:t>
      </w:r>
    </w:p>
    <w:p w14:paraId="7E7CD1A5" w14:textId="13E3C5B2" w:rsidR="003C1BA4" w:rsidRPr="0008784D" w:rsidRDefault="003C1BA4" w:rsidP="00BB35C5">
      <w:pPr>
        <w:rPr>
          <w:rFonts w:ascii="Arial" w:hAnsi="Arial" w:cs="Arial"/>
          <w:sz w:val="22"/>
          <w:szCs w:val="22"/>
        </w:rPr>
      </w:pPr>
      <w:r w:rsidRPr="0008784D">
        <w:rPr>
          <w:rFonts w:ascii="Arial" w:hAnsi="Arial" w:cs="Arial"/>
          <w:sz w:val="22"/>
          <w:szCs w:val="22"/>
        </w:rPr>
        <w:t xml:space="preserve">​In addition to identity formation, adolescent mental health is profoundly influenced by interpersonal relationships, a domain central to Bowlby’s attachment theory. Attachment theory asserts that early relational dynamics with primary caregivers form internal working models that guide expectations and </w:t>
      </w:r>
      <w:r w:rsidR="00053065" w:rsidRPr="0008784D">
        <w:rPr>
          <w:rFonts w:ascii="Arial" w:hAnsi="Arial" w:cs="Arial"/>
          <w:sz w:val="22"/>
          <w:szCs w:val="22"/>
        </w:rPr>
        <w:t>behaviour’s</w:t>
      </w:r>
      <w:r w:rsidRPr="0008784D">
        <w:rPr>
          <w:rFonts w:ascii="Arial" w:hAnsi="Arial" w:cs="Arial"/>
          <w:sz w:val="22"/>
          <w:szCs w:val="22"/>
        </w:rPr>
        <w:t xml:space="preserve"> in subsequent social relationships (Gillibrand, Lam and O’Donnell, 2016). In adolescence, attachment focus shifts toward peers as principal sources of emotional security and validation. Social media platforms significantly alter how attachment security is experienced and maintained within peer networks. Adolescents with secure attachment styles tend to use digital communication constructively to reinforce existing, high-quality offline friendships, leading to positive mental health outcomes such as enhanced emotional resilience and social support (Snyder et al., 2016). In contrast, adolescents exhibiting insecure attachment styles</w:t>
      </w:r>
      <w:r w:rsidR="00053065">
        <w:rPr>
          <w:rFonts w:ascii="Arial" w:hAnsi="Arial" w:cs="Arial"/>
          <w:sz w:val="22"/>
          <w:szCs w:val="22"/>
        </w:rPr>
        <w:t xml:space="preserve"> </w:t>
      </w:r>
      <w:r w:rsidRPr="0008784D">
        <w:rPr>
          <w:rFonts w:ascii="Arial" w:hAnsi="Arial" w:cs="Arial"/>
          <w:sz w:val="22"/>
          <w:szCs w:val="22"/>
        </w:rPr>
        <w:t>characterized by attachment anxiety or avoidance</w:t>
      </w:r>
      <w:r w:rsidR="00053065">
        <w:rPr>
          <w:rFonts w:ascii="Arial" w:hAnsi="Arial" w:cs="Arial"/>
          <w:sz w:val="22"/>
          <w:szCs w:val="22"/>
        </w:rPr>
        <w:t xml:space="preserve"> </w:t>
      </w:r>
      <w:r w:rsidRPr="0008784D">
        <w:rPr>
          <w:rFonts w:ascii="Arial" w:hAnsi="Arial" w:cs="Arial"/>
          <w:sz w:val="22"/>
          <w:szCs w:val="22"/>
        </w:rPr>
        <w:t>may interact with social media in ways that exacerbate psychological distress. Anxious attachment often manifests online as hypervigilance, excessive reassurance</w:t>
      </w:r>
      <w:r w:rsidR="00053065">
        <w:rPr>
          <w:rFonts w:ascii="Arial" w:hAnsi="Arial" w:cs="Arial"/>
          <w:sz w:val="22"/>
          <w:szCs w:val="22"/>
        </w:rPr>
        <w:t xml:space="preserve"> se</w:t>
      </w:r>
      <w:r w:rsidRPr="0008784D">
        <w:rPr>
          <w:rFonts w:ascii="Arial" w:hAnsi="Arial" w:cs="Arial"/>
          <w:sz w:val="22"/>
          <w:szCs w:val="22"/>
        </w:rPr>
        <w:t xml:space="preserve">eking, and heightened sensitivity </w:t>
      </w:r>
      <w:r w:rsidRPr="0008784D">
        <w:rPr>
          <w:rFonts w:ascii="Arial" w:hAnsi="Arial" w:cs="Arial"/>
          <w:sz w:val="22"/>
          <w:szCs w:val="22"/>
        </w:rPr>
        <w:lastRenderedPageBreak/>
        <w:t>to social rejection or perceived exclusion, commonly termed the “fear of missing out” (FOMO) (</w:t>
      </w:r>
      <w:proofErr w:type="spellStart"/>
      <w:r w:rsidRPr="0008784D">
        <w:rPr>
          <w:rFonts w:ascii="Arial" w:hAnsi="Arial" w:cs="Arial"/>
          <w:sz w:val="22"/>
          <w:szCs w:val="22"/>
        </w:rPr>
        <w:t>Deaux</w:t>
      </w:r>
      <w:proofErr w:type="spellEnd"/>
      <w:r w:rsidRPr="0008784D">
        <w:rPr>
          <w:rFonts w:ascii="Arial" w:hAnsi="Arial" w:cs="Arial"/>
          <w:sz w:val="22"/>
          <w:szCs w:val="22"/>
        </w:rPr>
        <w:t xml:space="preserve"> and Snyder, 2018). This pattern of interaction can heighten baseline anxiety and lead to compulsive social media monitoring, creating a cyclical stress response that impairs mental health.</w:t>
      </w:r>
    </w:p>
    <w:p w14:paraId="15839550" w14:textId="0FC1B0C6" w:rsidR="003C1BA4" w:rsidRPr="0008784D" w:rsidRDefault="003C1BA4" w:rsidP="00BB35C5">
      <w:pPr>
        <w:rPr>
          <w:rFonts w:ascii="Arial" w:hAnsi="Arial" w:cs="Arial"/>
          <w:sz w:val="22"/>
          <w:szCs w:val="22"/>
        </w:rPr>
      </w:pPr>
      <w:r w:rsidRPr="0008784D">
        <w:rPr>
          <w:rFonts w:ascii="Arial" w:hAnsi="Arial" w:cs="Arial"/>
          <w:sz w:val="22"/>
          <w:szCs w:val="22"/>
        </w:rPr>
        <w:t>​Furthermore, the structural features of modern social media platforms</w:t>
      </w:r>
      <w:r w:rsidR="00584A80">
        <w:rPr>
          <w:rFonts w:ascii="Arial" w:hAnsi="Arial" w:cs="Arial"/>
          <w:sz w:val="22"/>
          <w:szCs w:val="22"/>
        </w:rPr>
        <w:t xml:space="preserve"> s</w:t>
      </w:r>
      <w:r w:rsidRPr="0008784D">
        <w:rPr>
          <w:rFonts w:ascii="Arial" w:hAnsi="Arial" w:cs="Arial"/>
          <w:sz w:val="22"/>
          <w:szCs w:val="22"/>
        </w:rPr>
        <w:t>uch as public metric feedback (likes, comments, and follower counts)</w:t>
      </w:r>
      <w:r w:rsidR="00584A80">
        <w:rPr>
          <w:rFonts w:ascii="Arial" w:hAnsi="Arial" w:cs="Arial"/>
          <w:sz w:val="22"/>
          <w:szCs w:val="22"/>
        </w:rPr>
        <w:t xml:space="preserve"> i</w:t>
      </w:r>
      <w:r w:rsidRPr="0008784D">
        <w:rPr>
          <w:rFonts w:ascii="Arial" w:hAnsi="Arial" w:cs="Arial"/>
          <w:sz w:val="22"/>
          <w:szCs w:val="22"/>
        </w:rPr>
        <w:t xml:space="preserve">nteract directly with these theoretical dynamics. From a psychosocial perspective, public metrics quantify peer approval, effectively </w:t>
      </w:r>
      <w:proofErr w:type="spellStart"/>
      <w:r w:rsidRPr="0008784D">
        <w:rPr>
          <w:rFonts w:ascii="Arial" w:hAnsi="Arial" w:cs="Arial"/>
          <w:sz w:val="22"/>
          <w:szCs w:val="22"/>
        </w:rPr>
        <w:t>gamifying</w:t>
      </w:r>
      <w:proofErr w:type="spellEnd"/>
      <w:r w:rsidRPr="0008784D">
        <w:rPr>
          <w:rFonts w:ascii="Arial" w:hAnsi="Arial" w:cs="Arial"/>
          <w:sz w:val="22"/>
          <w:szCs w:val="22"/>
        </w:rPr>
        <w:t xml:space="preserve"> identity validation during a period when peer acceptance is paramount (Boyd and Bee, 2019). For adolescents navigating identity confusion, fluctuating peer approval metrics can precipitate emotional instability and self-worth contingency. Similarly, within attachment theory, delayed or absent digital feedback can be interpreted by insecurely attached individuals as social abandonment or rejection, triggering heightened distress and cognitive rumination (Gross, 2020). Empirical research corroborates that excessive screen time and active involvement in social comparisons correlate with heightened risks of interiorizing disorders, particularly among vulnerable user subgroups (Harris, 2022). Thus, social media platform mechanics exacerbate underlying developmental vulnerabilities outlined by both psychosocial and attachment perspectives.</w:t>
      </w:r>
    </w:p>
    <w:p w14:paraId="7403E6F7" w14:textId="0938A137" w:rsidR="003C1BA4" w:rsidRPr="0008784D" w:rsidRDefault="003C1BA4" w:rsidP="00BB35C5">
      <w:pPr>
        <w:rPr>
          <w:rFonts w:ascii="Arial" w:hAnsi="Arial" w:cs="Arial"/>
          <w:sz w:val="22"/>
          <w:szCs w:val="22"/>
        </w:rPr>
      </w:pPr>
      <w:r w:rsidRPr="0008784D">
        <w:rPr>
          <w:rFonts w:ascii="Arial" w:hAnsi="Arial" w:cs="Arial"/>
          <w:sz w:val="22"/>
          <w:szCs w:val="22"/>
        </w:rPr>
        <w:t xml:space="preserve">​Drawing on the included information, the impact of social media on adolescent mental health depends significantly on individual developmental and relational factors, yielding both adaptive and maladaptive outcomes. Social media influences psychological well-being because, through Erikson’s psychosocial framework, exposure to idealized online environments can disrupt identity consolidation and induce role confusion and low self-esteem when self-evaluations are dominated by upward social comparisons. Simultaneously, through Bowlby’s attachment theory, digital interactions act through existing internal working models, where insecurely attached adolescents experience amplified anxiety, rejection sensitivity, and compulsive </w:t>
      </w:r>
      <w:r w:rsidR="004403B5" w:rsidRPr="0008784D">
        <w:rPr>
          <w:rFonts w:ascii="Arial" w:hAnsi="Arial" w:cs="Arial"/>
          <w:sz w:val="22"/>
          <w:szCs w:val="22"/>
        </w:rPr>
        <w:t>behaviour’s</w:t>
      </w:r>
      <w:r w:rsidRPr="0008784D">
        <w:rPr>
          <w:rFonts w:ascii="Arial" w:hAnsi="Arial" w:cs="Arial"/>
          <w:sz w:val="22"/>
          <w:szCs w:val="22"/>
        </w:rPr>
        <w:t xml:space="preserve"> in response to online relational dynamics. Ultimately, social media is neither inherently harmful nor benign; rather, its impact on adolescent mental health is mediated by the individual’s developmental maturity, attachment security, and the psychological mechanisms governing online interaction.</w:t>
      </w:r>
    </w:p>
    <w:p w14:paraId="54C087D1" w14:textId="67D0530B" w:rsidR="003C1BA4" w:rsidRPr="00D34EE0" w:rsidRDefault="003C1BA4" w:rsidP="00BB35C5">
      <w:pPr>
        <w:rPr>
          <w:rFonts w:ascii="Arial" w:hAnsi="Arial" w:cs="Arial"/>
          <w:sz w:val="22"/>
          <w:szCs w:val="22"/>
        </w:rPr>
      </w:pPr>
      <w:r>
        <w:rPr>
          <w:rFonts w:ascii="Arial" w:hAnsi="Arial" w:cs="Arial"/>
          <w:sz w:val="36"/>
          <w:szCs w:val="36"/>
        </w:rPr>
        <w:t>​</w:t>
      </w:r>
      <w:r w:rsidRPr="00D34EE0">
        <w:rPr>
          <w:rFonts w:ascii="Arial" w:hAnsi="Arial" w:cs="Arial"/>
          <w:sz w:val="22"/>
          <w:szCs w:val="22"/>
        </w:rPr>
        <w:t>Reference List</w:t>
      </w:r>
      <w:r w:rsidR="004403B5" w:rsidRPr="00D34EE0">
        <w:rPr>
          <w:rFonts w:ascii="Arial" w:hAnsi="Arial" w:cs="Arial"/>
          <w:sz w:val="22"/>
          <w:szCs w:val="22"/>
        </w:rPr>
        <w:t>;</w:t>
      </w:r>
    </w:p>
    <w:p w14:paraId="792740F4" w14:textId="77777777" w:rsidR="003C1BA4" w:rsidRPr="00D34EE0" w:rsidRDefault="003C1BA4" w:rsidP="00BB35C5">
      <w:pPr>
        <w:rPr>
          <w:rFonts w:ascii="Arial" w:hAnsi="Arial" w:cs="Arial"/>
          <w:sz w:val="22"/>
          <w:szCs w:val="22"/>
        </w:rPr>
      </w:pPr>
      <w:r w:rsidRPr="00D34EE0">
        <w:rPr>
          <w:rFonts w:ascii="Arial" w:hAnsi="Arial" w:cs="Arial"/>
          <w:sz w:val="22"/>
          <w:szCs w:val="22"/>
        </w:rPr>
        <w:t xml:space="preserve">​Boyd, D.R. and Bee, H.L. (2019) </w:t>
      </w:r>
      <w:r w:rsidRPr="00BF7893">
        <w:rPr>
          <w:rFonts w:ascii="Arial" w:hAnsi="Arial" w:cs="Arial"/>
          <w:i/>
          <w:iCs/>
          <w:sz w:val="22"/>
          <w:szCs w:val="22"/>
        </w:rPr>
        <w:t>Lifespan development.</w:t>
      </w:r>
      <w:r w:rsidRPr="00D34EE0">
        <w:rPr>
          <w:rFonts w:ascii="Arial" w:hAnsi="Arial" w:cs="Arial"/>
          <w:sz w:val="22"/>
          <w:szCs w:val="22"/>
        </w:rPr>
        <w:t xml:space="preserve"> 8</w:t>
      </w:r>
      <w:r w:rsidRPr="00D34EE0">
        <w:rPr>
          <w:rFonts w:ascii="Arial" w:hAnsi="Arial" w:cs="Arial"/>
          <w:sz w:val="22"/>
          <w:szCs w:val="22"/>
          <w:vertAlign w:val="superscript"/>
        </w:rPr>
        <w:t>th</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Harlow: Pearson.</w:t>
      </w:r>
    </w:p>
    <w:p w14:paraId="71F3BD49" w14:textId="399E338E" w:rsidR="003C1BA4" w:rsidRPr="00D34EE0" w:rsidRDefault="003C1BA4" w:rsidP="00BB35C5">
      <w:pPr>
        <w:rPr>
          <w:rFonts w:ascii="Arial" w:hAnsi="Arial" w:cs="Arial"/>
          <w:sz w:val="22"/>
          <w:szCs w:val="22"/>
        </w:rPr>
      </w:pPr>
      <w:r w:rsidRPr="00D34EE0">
        <w:rPr>
          <w:rFonts w:ascii="Arial" w:hAnsi="Arial" w:cs="Arial"/>
          <w:sz w:val="22"/>
          <w:szCs w:val="22"/>
        </w:rPr>
        <w:t>​</w:t>
      </w:r>
      <w:proofErr w:type="spellStart"/>
      <w:r w:rsidRPr="00D34EE0">
        <w:rPr>
          <w:rFonts w:ascii="Arial" w:hAnsi="Arial" w:cs="Arial"/>
          <w:sz w:val="22"/>
          <w:szCs w:val="22"/>
        </w:rPr>
        <w:t>Deaux</w:t>
      </w:r>
      <w:proofErr w:type="spellEnd"/>
      <w:r w:rsidRPr="00D34EE0">
        <w:rPr>
          <w:rFonts w:ascii="Arial" w:hAnsi="Arial" w:cs="Arial"/>
          <w:sz w:val="22"/>
          <w:szCs w:val="22"/>
        </w:rPr>
        <w:t xml:space="preserve">, K. And Snyder, M. (eds.) (2018) </w:t>
      </w:r>
      <w:r w:rsidRPr="00BF7893">
        <w:rPr>
          <w:rFonts w:ascii="Arial" w:hAnsi="Arial" w:cs="Arial"/>
          <w:i/>
          <w:iCs/>
          <w:sz w:val="22"/>
          <w:szCs w:val="22"/>
        </w:rPr>
        <w:t>The Oxford handbook of personality and social psychology.</w:t>
      </w:r>
      <w:r w:rsidRPr="00D34EE0">
        <w:rPr>
          <w:rFonts w:ascii="Arial" w:hAnsi="Arial" w:cs="Arial"/>
          <w:sz w:val="22"/>
          <w:szCs w:val="22"/>
        </w:rPr>
        <w:t xml:space="preserve"> 2</w:t>
      </w:r>
      <w:r w:rsidRPr="00D34EE0">
        <w:rPr>
          <w:rFonts w:ascii="Arial" w:hAnsi="Arial" w:cs="Arial"/>
          <w:sz w:val="22"/>
          <w:szCs w:val="22"/>
          <w:vertAlign w:val="superscript"/>
        </w:rPr>
        <w:t>nd</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New York: Oxford University Press.</w:t>
      </w:r>
    </w:p>
    <w:p w14:paraId="2EB181E5" w14:textId="647FB024" w:rsidR="003C1BA4" w:rsidRPr="00D34EE0" w:rsidRDefault="003C1BA4" w:rsidP="00BB35C5">
      <w:pPr>
        <w:rPr>
          <w:rFonts w:ascii="Arial" w:hAnsi="Arial" w:cs="Arial"/>
          <w:sz w:val="22"/>
          <w:szCs w:val="22"/>
        </w:rPr>
      </w:pPr>
      <w:r w:rsidRPr="00D34EE0">
        <w:rPr>
          <w:rFonts w:ascii="Arial" w:hAnsi="Arial" w:cs="Arial"/>
          <w:sz w:val="22"/>
          <w:szCs w:val="22"/>
        </w:rPr>
        <w:t xml:space="preserve">​Gillibrand, R., Lam, V. And O’Donnell, V.L. (2016) </w:t>
      </w:r>
      <w:r w:rsidRPr="00762F8A">
        <w:rPr>
          <w:rFonts w:ascii="Arial" w:hAnsi="Arial" w:cs="Arial"/>
          <w:i/>
          <w:iCs/>
          <w:sz w:val="22"/>
          <w:szCs w:val="22"/>
        </w:rPr>
        <w:t>Developmental psychology</w:t>
      </w:r>
      <w:r w:rsidRPr="00D34EE0">
        <w:rPr>
          <w:rFonts w:ascii="Arial" w:hAnsi="Arial" w:cs="Arial"/>
          <w:sz w:val="22"/>
          <w:szCs w:val="22"/>
        </w:rPr>
        <w:t>. 2</w:t>
      </w:r>
      <w:r w:rsidRPr="00D34EE0">
        <w:rPr>
          <w:rFonts w:ascii="Arial" w:hAnsi="Arial" w:cs="Arial"/>
          <w:sz w:val="22"/>
          <w:szCs w:val="22"/>
          <w:vertAlign w:val="superscript"/>
        </w:rPr>
        <w:t>nd</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Harlow: Pearson.</w:t>
      </w:r>
    </w:p>
    <w:p w14:paraId="6AD10914" w14:textId="77777777" w:rsidR="003C1BA4" w:rsidRPr="00D34EE0" w:rsidRDefault="003C1BA4" w:rsidP="00BB35C5">
      <w:pPr>
        <w:rPr>
          <w:rFonts w:ascii="Arial" w:hAnsi="Arial" w:cs="Arial"/>
          <w:sz w:val="22"/>
          <w:szCs w:val="22"/>
        </w:rPr>
      </w:pPr>
      <w:r w:rsidRPr="00D34EE0">
        <w:rPr>
          <w:rFonts w:ascii="Arial" w:hAnsi="Arial" w:cs="Arial"/>
          <w:sz w:val="22"/>
          <w:szCs w:val="22"/>
        </w:rPr>
        <w:t xml:space="preserve">​Griggs, R.A. and Jackson, S.L. (2020) </w:t>
      </w:r>
      <w:r w:rsidRPr="00762F8A">
        <w:rPr>
          <w:rFonts w:ascii="Arial" w:hAnsi="Arial" w:cs="Arial"/>
          <w:i/>
          <w:iCs/>
          <w:sz w:val="22"/>
          <w:szCs w:val="22"/>
        </w:rPr>
        <w:t>Psychology: a concise introduction</w:t>
      </w:r>
      <w:r w:rsidRPr="00D34EE0">
        <w:rPr>
          <w:rFonts w:ascii="Arial" w:hAnsi="Arial" w:cs="Arial"/>
          <w:sz w:val="22"/>
          <w:szCs w:val="22"/>
        </w:rPr>
        <w:t>. 6</w:t>
      </w:r>
      <w:r w:rsidRPr="00D34EE0">
        <w:rPr>
          <w:rFonts w:ascii="Arial" w:hAnsi="Arial" w:cs="Arial"/>
          <w:sz w:val="22"/>
          <w:szCs w:val="22"/>
          <w:vertAlign w:val="superscript"/>
        </w:rPr>
        <w:t>th</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New York: Worth Publishers.</w:t>
      </w:r>
    </w:p>
    <w:p w14:paraId="70562AC4" w14:textId="77777777" w:rsidR="003C1BA4" w:rsidRPr="00D34EE0" w:rsidRDefault="003C1BA4" w:rsidP="00BB35C5">
      <w:pPr>
        <w:rPr>
          <w:rFonts w:ascii="Arial" w:hAnsi="Arial" w:cs="Arial"/>
          <w:sz w:val="22"/>
          <w:szCs w:val="22"/>
        </w:rPr>
      </w:pPr>
      <w:r w:rsidRPr="00D34EE0">
        <w:rPr>
          <w:rFonts w:ascii="Arial" w:hAnsi="Arial" w:cs="Arial"/>
          <w:sz w:val="22"/>
          <w:szCs w:val="22"/>
        </w:rPr>
        <w:t xml:space="preserve">​Gross, R.D. (2020) </w:t>
      </w:r>
      <w:r w:rsidRPr="00F33AA3">
        <w:rPr>
          <w:rFonts w:ascii="Arial" w:hAnsi="Arial" w:cs="Arial"/>
          <w:i/>
          <w:iCs/>
          <w:sz w:val="22"/>
          <w:szCs w:val="22"/>
        </w:rPr>
        <w:t>Psychology: the science of mind and behaviour.</w:t>
      </w:r>
      <w:r w:rsidRPr="00D34EE0">
        <w:rPr>
          <w:rFonts w:ascii="Arial" w:hAnsi="Arial" w:cs="Arial"/>
          <w:sz w:val="22"/>
          <w:szCs w:val="22"/>
        </w:rPr>
        <w:t xml:space="preserve"> 8</w:t>
      </w:r>
      <w:r w:rsidRPr="00D34EE0">
        <w:rPr>
          <w:rFonts w:ascii="Arial" w:hAnsi="Arial" w:cs="Arial"/>
          <w:sz w:val="22"/>
          <w:szCs w:val="22"/>
          <w:vertAlign w:val="superscript"/>
        </w:rPr>
        <w:t>th</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London: Hodder Education.</w:t>
      </w:r>
    </w:p>
    <w:p w14:paraId="34B38DA0" w14:textId="77777777" w:rsidR="003C1BA4" w:rsidRPr="00D34EE0" w:rsidRDefault="003C1BA4" w:rsidP="00BB35C5">
      <w:pPr>
        <w:rPr>
          <w:rFonts w:ascii="Arial" w:hAnsi="Arial" w:cs="Arial"/>
          <w:sz w:val="22"/>
          <w:szCs w:val="22"/>
        </w:rPr>
      </w:pPr>
      <w:r w:rsidRPr="00D34EE0">
        <w:rPr>
          <w:rFonts w:ascii="Arial" w:hAnsi="Arial" w:cs="Arial"/>
          <w:sz w:val="22"/>
          <w:szCs w:val="22"/>
        </w:rPr>
        <w:lastRenderedPageBreak/>
        <w:t xml:space="preserve">​Harris, P.L. (2022) </w:t>
      </w:r>
      <w:r w:rsidRPr="00F042F7">
        <w:rPr>
          <w:rFonts w:ascii="Arial" w:hAnsi="Arial" w:cs="Arial"/>
          <w:i/>
          <w:iCs/>
          <w:sz w:val="22"/>
          <w:szCs w:val="22"/>
        </w:rPr>
        <w:t>Child psychology in twelve questions.</w:t>
      </w:r>
      <w:r w:rsidRPr="00D34EE0">
        <w:rPr>
          <w:rFonts w:ascii="Arial" w:hAnsi="Arial" w:cs="Arial"/>
          <w:sz w:val="22"/>
          <w:szCs w:val="22"/>
        </w:rPr>
        <w:t xml:space="preserve"> Oxford: Oxford University Press.</w:t>
      </w:r>
    </w:p>
    <w:p w14:paraId="674D06AB" w14:textId="77777777" w:rsidR="003C1BA4" w:rsidRPr="00D34EE0" w:rsidRDefault="003C1BA4" w:rsidP="00BB35C5">
      <w:pPr>
        <w:rPr>
          <w:rFonts w:ascii="Arial" w:hAnsi="Arial" w:cs="Arial"/>
          <w:sz w:val="22"/>
          <w:szCs w:val="22"/>
        </w:rPr>
      </w:pPr>
      <w:r w:rsidRPr="00D34EE0">
        <w:rPr>
          <w:rFonts w:ascii="Arial" w:hAnsi="Arial" w:cs="Arial"/>
          <w:sz w:val="22"/>
          <w:szCs w:val="22"/>
        </w:rPr>
        <w:t xml:space="preserve">​Snyder, C.R., Lopez, S.J., Edwards, L.M. and Marques, S.C. (eds.) (2016) </w:t>
      </w:r>
      <w:r w:rsidRPr="00CB6ABD">
        <w:rPr>
          <w:rFonts w:ascii="Arial" w:hAnsi="Arial" w:cs="Arial"/>
          <w:i/>
          <w:iCs/>
          <w:sz w:val="22"/>
          <w:szCs w:val="22"/>
        </w:rPr>
        <w:t>The Oxford</w:t>
      </w:r>
      <w:r w:rsidRPr="00D34EE0">
        <w:rPr>
          <w:rFonts w:ascii="Arial" w:hAnsi="Arial" w:cs="Arial"/>
          <w:sz w:val="22"/>
          <w:szCs w:val="22"/>
        </w:rPr>
        <w:t xml:space="preserve"> </w:t>
      </w:r>
      <w:r w:rsidRPr="00CB6ABD">
        <w:rPr>
          <w:rFonts w:ascii="Arial" w:hAnsi="Arial" w:cs="Arial"/>
          <w:i/>
          <w:iCs/>
          <w:sz w:val="22"/>
          <w:szCs w:val="22"/>
        </w:rPr>
        <w:t>handbook of positive psychology.</w:t>
      </w:r>
      <w:r w:rsidRPr="00D34EE0">
        <w:rPr>
          <w:rFonts w:ascii="Arial" w:hAnsi="Arial" w:cs="Arial"/>
          <w:sz w:val="22"/>
          <w:szCs w:val="22"/>
        </w:rPr>
        <w:t xml:space="preserve"> 3</w:t>
      </w:r>
      <w:r w:rsidRPr="00D34EE0">
        <w:rPr>
          <w:rFonts w:ascii="Arial" w:hAnsi="Arial" w:cs="Arial"/>
          <w:sz w:val="22"/>
          <w:szCs w:val="22"/>
          <w:vertAlign w:val="superscript"/>
        </w:rPr>
        <w:t>rd</w:t>
      </w:r>
      <w:r w:rsidRPr="00D34EE0">
        <w:rPr>
          <w:rFonts w:ascii="Arial" w:hAnsi="Arial" w:cs="Arial"/>
          <w:sz w:val="22"/>
          <w:szCs w:val="22"/>
        </w:rPr>
        <w:t xml:space="preserve"> </w:t>
      </w:r>
      <w:proofErr w:type="spellStart"/>
      <w:r w:rsidRPr="00D34EE0">
        <w:rPr>
          <w:rFonts w:ascii="Arial" w:hAnsi="Arial" w:cs="Arial"/>
          <w:sz w:val="22"/>
          <w:szCs w:val="22"/>
        </w:rPr>
        <w:t>edn</w:t>
      </w:r>
      <w:proofErr w:type="spellEnd"/>
      <w:r w:rsidRPr="00D34EE0">
        <w:rPr>
          <w:rFonts w:ascii="Arial" w:hAnsi="Arial" w:cs="Arial"/>
          <w:sz w:val="22"/>
          <w:szCs w:val="22"/>
        </w:rPr>
        <w:t>. New York: Oxford University Press.</w:t>
      </w:r>
    </w:p>
    <w:p w14:paraId="0C22697A" w14:textId="77777777" w:rsidR="00BB35C5" w:rsidRPr="00D34EE0" w:rsidRDefault="00BB35C5" w:rsidP="005C5E81">
      <w:pPr>
        <w:jc w:val="center"/>
        <w:rPr>
          <w:rFonts w:ascii="Arial" w:hAnsi="Arial" w:cs="Arial"/>
          <w:sz w:val="22"/>
          <w:szCs w:val="22"/>
        </w:rPr>
      </w:pPr>
    </w:p>
    <w:p w14:paraId="54FE5ADB" w14:textId="77777777" w:rsidR="00BB35C5" w:rsidRPr="00D34EE0" w:rsidRDefault="00BB35C5" w:rsidP="005C5E81">
      <w:pPr>
        <w:jc w:val="center"/>
        <w:rPr>
          <w:rFonts w:ascii="Arial" w:hAnsi="Arial" w:cs="Arial"/>
          <w:sz w:val="22"/>
          <w:szCs w:val="22"/>
        </w:rPr>
      </w:pPr>
    </w:p>
    <w:sectPr w:rsidR="00BB35C5" w:rsidRPr="00D34E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16F"/>
    <w:rsid w:val="00005F92"/>
    <w:rsid w:val="0003316F"/>
    <w:rsid w:val="00053065"/>
    <w:rsid w:val="0008784D"/>
    <w:rsid w:val="00351176"/>
    <w:rsid w:val="003C1BA4"/>
    <w:rsid w:val="004403B5"/>
    <w:rsid w:val="005203C5"/>
    <w:rsid w:val="00584A80"/>
    <w:rsid w:val="005C5E81"/>
    <w:rsid w:val="00762F8A"/>
    <w:rsid w:val="008C37B2"/>
    <w:rsid w:val="0097718D"/>
    <w:rsid w:val="009B3CFB"/>
    <w:rsid w:val="00BB35C5"/>
    <w:rsid w:val="00BC1C73"/>
    <w:rsid w:val="00BF01FF"/>
    <w:rsid w:val="00BF7893"/>
    <w:rsid w:val="00CB6ABD"/>
    <w:rsid w:val="00D34EE0"/>
    <w:rsid w:val="00F042F7"/>
    <w:rsid w:val="00F33AA3"/>
    <w:rsid w:val="00F87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54A6FF"/>
  <w15:chartTrackingRefBased/>
  <w15:docId w15:val="{307E7029-059F-8A43-9DC5-D43D460F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1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31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31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1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1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3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3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16F"/>
    <w:rPr>
      <w:rFonts w:eastAsiaTheme="majorEastAsia" w:cstheme="majorBidi"/>
      <w:color w:val="272727" w:themeColor="text1" w:themeTint="D8"/>
    </w:rPr>
  </w:style>
  <w:style w:type="paragraph" w:styleId="Title">
    <w:name w:val="Title"/>
    <w:basedOn w:val="Normal"/>
    <w:next w:val="Normal"/>
    <w:link w:val="TitleChar"/>
    <w:uiPriority w:val="10"/>
    <w:qFormat/>
    <w:rsid w:val="00033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16F"/>
    <w:pPr>
      <w:spacing w:before="160"/>
      <w:jc w:val="center"/>
    </w:pPr>
    <w:rPr>
      <w:i/>
      <w:iCs/>
      <w:color w:val="404040" w:themeColor="text1" w:themeTint="BF"/>
    </w:rPr>
  </w:style>
  <w:style w:type="character" w:customStyle="1" w:styleId="QuoteChar">
    <w:name w:val="Quote Char"/>
    <w:basedOn w:val="DefaultParagraphFont"/>
    <w:link w:val="Quote"/>
    <w:uiPriority w:val="29"/>
    <w:rsid w:val="0003316F"/>
    <w:rPr>
      <w:i/>
      <w:iCs/>
      <w:color w:val="404040" w:themeColor="text1" w:themeTint="BF"/>
    </w:rPr>
  </w:style>
  <w:style w:type="paragraph" w:styleId="ListParagraph">
    <w:name w:val="List Paragraph"/>
    <w:basedOn w:val="Normal"/>
    <w:uiPriority w:val="34"/>
    <w:qFormat/>
    <w:rsid w:val="0003316F"/>
    <w:pPr>
      <w:ind w:left="720"/>
      <w:contextualSpacing/>
    </w:pPr>
  </w:style>
  <w:style w:type="character" w:styleId="IntenseEmphasis">
    <w:name w:val="Intense Emphasis"/>
    <w:basedOn w:val="DefaultParagraphFont"/>
    <w:uiPriority w:val="21"/>
    <w:qFormat/>
    <w:rsid w:val="0003316F"/>
    <w:rPr>
      <w:i/>
      <w:iCs/>
      <w:color w:val="0F4761" w:themeColor="accent1" w:themeShade="BF"/>
    </w:rPr>
  </w:style>
  <w:style w:type="paragraph" w:styleId="IntenseQuote">
    <w:name w:val="Intense Quote"/>
    <w:basedOn w:val="Normal"/>
    <w:next w:val="Normal"/>
    <w:link w:val="IntenseQuoteChar"/>
    <w:uiPriority w:val="30"/>
    <w:qFormat/>
    <w:rsid w:val="000331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16F"/>
    <w:rPr>
      <w:i/>
      <w:iCs/>
      <w:color w:val="0F4761" w:themeColor="accent1" w:themeShade="BF"/>
    </w:rPr>
  </w:style>
  <w:style w:type="character" w:styleId="IntenseReference">
    <w:name w:val="Intense Reference"/>
    <w:basedOn w:val="DefaultParagraphFont"/>
    <w:uiPriority w:val="32"/>
    <w:qFormat/>
    <w:rsid w:val="0003316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6059</Characters>
  <Application>Microsoft Office Word</Application>
  <DocSecurity>0</DocSecurity>
  <Lines>50</Lines>
  <Paragraphs>14</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Chanel</dc:creator>
  <cp:keywords/>
  <dc:description/>
  <cp:lastModifiedBy>Jodie Chanel</cp:lastModifiedBy>
  <cp:revision>2</cp:revision>
  <dcterms:created xsi:type="dcterms:W3CDTF">2026-07-26T07:16:00Z</dcterms:created>
  <dcterms:modified xsi:type="dcterms:W3CDTF">2026-07-26T07:16:00Z</dcterms:modified>
</cp:coreProperties>
</file>