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5C684" w14:textId="77777777" w:rsidR="00D1794A" w:rsidRDefault="00D1794A" w:rsidP="00D1794A">
      <w:pPr>
        <w:spacing w:after="200" w:line="360" w:lineRule="auto"/>
        <w:jc w:val="center"/>
        <w:rPr>
          <w:rFonts w:ascii="Times New Roman" w:hAnsi="Times New Roman" w:cs="Times New Roman"/>
          <w:b/>
          <w:bCs/>
          <w:sz w:val="40"/>
          <w:szCs w:val="40"/>
        </w:rPr>
      </w:pPr>
    </w:p>
    <w:p w14:paraId="3CFCB0FE" w14:textId="77777777" w:rsidR="00D1794A" w:rsidRDefault="00D1794A" w:rsidP="00D1794A">
      <w:pPr>
        <w:spacing w:after="200" w:line="360" w:lineRule="auto"/>
        <w:jc w:val="center"/>
        <w:rPr>
          <w:rFonts w:ascii="Times New Roman" w:hAnsi="Times New Roman" w:cs="Times New Roman"/>
          <w:b/>
          <w:bCs/>
          <w:sz w:val="40"/>
          <w:szCs w:val="40"/>
        </w:rPr>
      </w:pPr>
    </w:p>
    <w:p w14:paraId="4AF8C3D6" w14:textId="77777777" w:rsidR="00D1794A" w:rsidRDefault="00D1794A" w:rsidP="00D1794A">
      <w:pPr>
        <w:spacing w:after="200" w:line="360" w:lineRule="auto"/>
        <w:jc w:val="center"/>
        <w:rPr>
          <w:rFonts w:ascii="Times New Roman" w:hAnsi="Times New Roman" w:cs="Times New Roman"/>
          <w:b/>
          <w:bCs/>
          <w:sz w:val="40"/>
          <w:szCs w:val="40"/>
        </w:rPr>
      </w:pPr>
    </w:p>
    <w:p w14:paraId="4FEA2915" w14:textId="451ED5B1" w:rsidR="005067C3" w:rsidRDefault="0053631D" w:rsidP="00D1794A">
      <w:pPr>
        <w:spacing w:after="200" w:line="360" w:lineRule="auto"/>
        <w:jc w:val="center"/>
        <w:rPr>
          <w:rFonts w:ascii="Times New Roman" w:hAnsi="Times New Roman" w:cs="Times New Roman"/>
          <w:b/>
          <w:bCs/>
          <w:sz w:val="40"/>
          <w:szCs w:val="40"/>
        </w:rPr>
      </w:pPr>
      <w:r w:rsidRPr="00D1794A">
        <w:rPr>
          <w:rFonts w:ascii="Times New Roman" w:hAnsi="Times New Roman" w:cs="Times New Roman"/>
          <w:b/>
          <w:bCs/>
          <w:sz w:val="40"/>
          <w:szCs w:val="40"/>
        </w:rPr>
        <w:t>Financial Management</w:t>
      </w:r>
    </w:p>
    <w:p w14:paraId="3183E6B4" w14:textId="77777777" w:rsidR="004E3C5E" w:rsidRDefault="004E3C5E" w:rsidP="00D1794A">
      <w:pPr>
        <w:spacing w:after="200" w:line="360" w:lineRule="auto"/>
        <w:jc w:val="center"/>
        <w:rPr>
          <w:rFonts w:ascii="Times New Roman" w:hAnsi="Times New Roman" w:cs="Times New Roman"/>
          <w:b/>
          <w:bCs/>
          <w:sz w:val="40"/>
          <w:szCs w:val="40"/>
        </w:rPr>
      </w:pPr>
    </w:p>
    <w:p w14:paraId="3BB317D3" w14:textId="5ABC8386" w:rsidR="004E3C5E" w:rsidRDefault="004E3C5E" w:rsidP="00D1794A">
      <w:pPr>
        <w:spacing w:after="200" w:line="360" w:lineRule="auto"/>
        <w:jc w:val="center"/>
        <w:rPr>
          <w:rFonts w:ascii="Times New Roman" w:hAnsi="Times New Roman" w:cs="Times New Roman"/>
          <w:b/>
          <w:bCs/>
          <w:sz w:val="40"/>
          <w:szCs w:val="40"/>
        </w:rPr>
      </w:pPr>
      <w:r>
        <w:rPr>
          <w:rFonts w:ascii="Times New Roman" w:hAnsi="Times New Roman" w:cs="Times New Roman"/>
          <w:b/>
          <w:bCs/>
          <w:sz w:val="40"/>
          <w:szCs w:val="40"/>
        </w:rPr>
        <w:t>Student Name: Gabor Kovacs</w:t>
      </w:r>
    </w:p>
    <w:p w14:paraId="02F0FC4D" w14:textId="68900FB7" w:rsidR="004E3C5E" w:rsidRDefault="004E3C5E" w:rsidP="00D1794A">
      <w:pPr>
        <w:spacing w:after="200" w:line="360" w:lineRule="auto"/>
        <w:jc w:val="center"/>
        <w:rPr>
          <w:rFonts w:ascii="Times New Roman" w:hAnsi="Times New Roman" w:cs="Times New Roman"/>
          <w:b/>
          <w:bCs/>
          <w:sz w:val="40"/>
          <w:szCs w:val="40"/>
        </w:rPr>
      </w:pPr>
      <w:r>
        <w:rPr>
          <w:rFonts w:ascii="Times New Roman" w:hAnsi="Times New Roman" w:cs="Times New Roman"/>
          <w:b/>
          <w:bCs/>
          <w:sz w:val="40"/>
          <w:szCs w:val="40"/>
        </w:rPr>
        <w:t>ID : 2011284</w:t>
      </w:r>
    </w:p>
    <w:p w14:paraId="1AC5B403" w14:textId="39D0F8A3" w:rsidR="004E3C5E" w:rsidRPr="00E31401" w:rsidRDefault="004E3C5E" w:rsidP="00D1794A">
      <w:pPr>
        <w:spacing w:after="200" w:line="360" w:lineRule="auto"/>
        <w:jc w:val="center"/>
        <w:rPr>
          <w:rFonts w:ascii="Times New Roman" w:hAnsi="Times New Roman" w:cs="Times New Roman"/>
          <w:b/>
          <w:bCs/>
          <w:sz w:val="24"/>
          <w:szCs w:val="24"/>
        </w:rPr>
      </w:pPr>
      <w:r>
        <w:rPr>
          <w:rFonts w:ascii="Times New Roman" w:hAnsi="Times New Roman" w:cs="Times New Roman"/>
          <w:b/>
          <w:bCs/>
          <w:sz w:val="40"/>
          <w:szCs w:val="40"/>
        </w:rPr>
        <w:t>Lecturer: David Coker</w:t>
      </w:r>
    </w:p>
    <w:p w14:paraId="7441A0F7" w14:textId="6E8DC5CD" w:rsidR="005053B5" w:rsidRPr="00E31401" w:rsidRDefault="005053B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14:ligatures w14:val="standardContextual"/>
        </w:rPr>
        <w:id w:val="630440558"/>
        <w:docPartObj>
          <w:docPartGallery w:val="Table of Contents"/>
          <w:docPartUnique/>
        </w:docPartObj>
      </w:sdtPr>
      <w:sdtEndPr>
        <w:rPr>
          <w:b/>
          <w:bCs/>
          <w:noProof/>
        </w:rPr>
      </w:sdtEndPr>
      <w:sdtContent>
        <w:p w14:paraId="27401BF9" w14:textId="2019A488" w:rsidR="00E31401" w:rsidRPr="00E31401" w:rsidRDefault="00E31401" w:rsidP="00E31401">
          <w:pPr>
            <w:pStyle w:val="TOCHeading"/>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Contents</w:t>
          </w:r>
        </w:p>
        <w:p w14:paraId="7076A065" w14:textId="39CC9425" w:rsidR="00E31401" w:rsidRPr="00E31401" w:rsidRDefault="00E31401" w:rsidP="00E31401">
          <w:pPr>
            <w:pStyle w:val="TOC1"/>
            <w:tabs>
              <w:tab w:val="right" w:leader="dot" w:pos="9350"/>
            </w:tabs>
            <w:spacing w:after="200" w:line="360" w:lineRule="auto"/>
            <w:jc w:val="both"/>
            <w:rPr>
              <w:rFonts w:ascii="Times New Roman" w:hAnsi="Times New Roman" w:cs="Times New Roman"/>
              <w:noProof/>
              <w:sz w:val="24"/>
              <w:szCs w:val="24"/>
            </w:rPr>
          </w:pPr>
          <w:r w:rsidRPr="00E31401">
            <w:rPr>
              <w:rFonts w:ascii="Times New Roman" w:hAnsi="Times New Roman" w:cs="Times New Roman"/>
              <w:sz w:val="24"/>
              <w:szCs w:val="24"/>
            </w:rPr>
            <w:fldChar w:fldCharType="begin"/>
          </w:r>
          <w:r w:rsidRPr="00E31401">
            <w:rPr>
              <w:rFonts w:ascii="Times New Roman" w:hAnsi="Times New Roman" w:cs="Times New Roman"/>
              <w:sz w:val="24"/>
              <w:szCs w:val="24"/>
            </w:rPr>
            <w:instrText xml:space="preserve"> TOC \o "1-3" \h \z \u </w:instrText>
          </w:r>
          <w:r w:rsidRPr="00E31401">
            <w:rPr>
              <w:rFonts w:ascii="Times New Roman" w:hAnsi="Times New Roman" w:cs="Times New Roman"/>
              <w:sz w:val="24"/>
              <w:szCs w:val="24"/>
            </w:rPr>
            <w:fldChar w:fldCharType="separate"/>
          </w:r>
          <w:hyperlink w:anchor="_Toc161763260" w:history="1">
            <w:r w:rsidRPr="00E31401">
              <w:rPr>
                <w:rStyle w:val="Hyperlink"/>
                <w:rFonts w:ascii="Times New Roman" w:hAnsi="Times New Roman" w:cs="Times New Roman"/>
                <w:noProof/>
                <w:sz w:val="24"/>
                <w:szCs w:val="24"/>
              </w:rPr>
              <w:t>Part A- Overview and Major Events</w:t>
            </w:r>
            <w:r w:rsidRPr="00E31401">
              <w:rPr>
                <w:rFonts w:ascii="Times New Roman" w:hAnsi="Times New Roman" w:cs="Times New Roman"/>
                <w:noProof/>
                <w:webHidden/>
                <w:sz w:val="24"/>
                <w:szCs w:val="24"/>
              </w:rPr>
              <w:tab/>
            </w:r>
            <w:r w:rsidRPr="00E31401">
              <w:rPr>
                <w:rFonts w:ascii="Times New Roman" w:hAnsi="Times New Roman" w:cs="Times New Roman"/>
                <w:noProof/>
                <w:webHidden/>
                <w:sz w:val="24"/>
                <w:szCs w:val="24"/>
              </w:rPr>
              <w:fldChar w:fldCharType="begin"/>
            </w:r>
            <w:r w:rsidRPr="00E31401">
              <w:rPr>
                <w:rFonts w:ascii="Times New Roman" w:hAnsi="Times New Roman" w:cs="Times New Roman"/>
                <w:noProof/>
                <w:webHidden/>
                <w:sz w:val="24"/>
                <w:szCs w:val="24"/>
              </w:rPr>
              <w:instrText xml:space="preserve"> PAGEREF _Toc161763260 \h </w:instrText>
            </w:r>
            <w:r w:rsidRPr="00E31401">
              <w:rPr>
                <w:rFonts w:ascii="Times New Roman" w:hAnsi="Times New Roman" w:cs="Times New Roman"/>
                <w:noProof/>
                <w:webHidden/>
                <w:sz w:val="24"/>
                <w:szCs w:val="24"/>
              </w:rPr>
            </w:r>
            <w:r w:rsidRPr="00E31401">
              <w:rPr>
                <w:rFonts w:ascii="Times New Roman" w:hAnsi="Times New Roman" w:cs="Times New Roman"/>
                <w:noProof/>
                <w:webHidden/>
                <w:sz w:val="24"/>
                <w:szCs w:val="24"/>
              </w:rPr>
              <w:fldChar w:fldCharType="separate"/>
            </w:r>
            <w:r w:rsidRPr="00E31401">
              <w:rPr>
                <w:rFonts w:ascii="Times New Roman" w:hAnsi="Times New Roman" w:cs="Times New Roman"/>
                <w:noProof/>
                <w:webHidden/>
                <w:sz w:val="24"/>
                <w:szCs w:val="24"/>
              </w:rPr>
              <w:t>3</w:t>
            </w:r>
            <w:r w:rsidRPr="00E31401">
              <w:rPr>
                <w:rFonts w:ascii="Times New Roman" w:hAnsi="Times New Roman" w:cs="Times New Roman"/>
                <w:noProof/>
                <w:webHidden/>
                <w:sz w:val="24"/>
                <w:szCs w:val="24"/>
              </w:rPr>
              <w:fldChar w:fldCharType="end"/>
            </w:r>
          </w:hyperlink>
        </w:p>
        <w:p w14:paraId="11F42680" w14:textId="172AE571" w:rsidR="00E31401" w:rsidRPr="00E31401" w:rsidRDefault="00000000" w:rsidP="00E31401">
          <w:pPr>
            <w:pStyle w:val="TOC1"/>
            <w:tabs>
              <w:tab w:val="right" w:leader="dot" w:pos="9350"/>
            </w:tabs>
            <w:spacing w:after="200" w:line="360" w:lineRule="auto"/>
            <w:jc w:val="both"/>
            <w:rPr>
              <w:rFonts w:ascii="Times New Roman" w:hAnsi="Times New Roman" w:cs="Times New Roman"/>
              <w:noProof/>
              <w:sz w:val="24"/>
              <w:szCs w:val="24"/>
            </w:rPr>
          </w:pPr>
          <w:hyperlink w:anchor="_Toc161763261" w:history="1">
            <w:r w:rsidR="00E31401" w:rsidRPr="00E31401">
              <w:rPr>
                <w:rStyle w:val="Hyperlink"/>
                <w:rFonts w:ascii="Times New Roman" w:hAnsi="Times New Roman" w:cs="Times New Roman"/>
                <w:noProof/>
                <w:sz w:val="24"/>
                <w:szCs w:val="24"/>
                <w:lang w:val="en-US"/>
              </w:rPr>
              <w:t>Part B- Financial Statement Analysis</w:t>
            </w:r>
            <w:r w:rsidR="00E31401" w:rsidRPr="00E31401">
              <w:rPr>
                <w:rFonts w:ascii="Times New Roman" w:hAnsi="Times New Roman" w:cs="Times New Roman"/>
                <w:noProof/>
                <w:webHidden/>
                <w:sz w:val="24"/>
                <w:szCs w:val="24"/>
              </w:rPr>
              <w:tab/>
            </w:r>
            <w:r w:rsidR="00E31401" w:rsidRPr="00E31401">
              <w:rPr>
                <w:rFonts w:ascii="Times New Roman" w:hAnsi="Times New Roman" w:cs="Times New Roman"/>
                <w:noProof/>
                <w:webHidden/>
                <w:sz w:val="24"/>
                <w:szCs w:val="24"/>
              </w:rPr>
              <w:fldChar w:fldCharType="begin"/>
            </w:r>
            <w:r w:rsidR="00E31401" w:rsidRPr="00E31401">
              <w:rPr>
                <w:rFonts w:ascii="Times New Roman" w:hAnsi="Times New Roman" w:cs="Times New Roman"/>
                <w:noProof/>
                <w:webHidden/>
                <w:sz w:val="24"/>
                <w:szCs w:val="24"/>
              </w:rPr>
              <w:instrText xml:space="preserve"> PAGEREF _Toc161763261 \h </w:instrText>
            </w:r>
            <w:r w:rsidR="00E31401" w:rsidRPr="00E31401">
              <w:rPr>
                <w:rFonts w:ascii="Times New Roman" w:hAnsi="Times New Roman" w:cs="Times New Roman"/>
                <w:noProof/>
                <w:webHidden/>
                <w:sz w:val="24"/>
                <w:szCs w:val="24"/>
              </w:rPr>
            </w:r>
            <w:r w:rsidR="00E31401" w:rsidRPr="00E31401">
              <w:rPr>
                <w:rFonts w:ascii="Times New Roman" w:hAnsi="Times New Roman" w:cs="Times New Roman"/>
                <w:noProof/>
                <w:webHidden/>
                <w:sz w:val="24"/>
                <w:szCs w:val="24"/>
              </w:rPr>
              <w:fldChar w:fldCharType="separate"/>
            </w:r>
            <w:r w:rsidR="00E31401" w:rsidRPr="00E31401">
              <w:rPr>
                <w:rFonts w:ascii="Times New Roman" w:hAnsi="Times New Roman" w:cs="Times New Roman"/>
                <w:noProof/>
                <w:webHidden/>
                <w:sz w:val="24"/>
                <w:szCs w:val="24"/>
              </w:rPr>
              <w:t>5</w:t>
            </w:r>
            <w:r w:rsidR="00E31401" w:rsidRPr="00E31401">
              <w:rPr>
                <w:rFonts w:ascii="Times New Roman" w:hAnsi="Times New Roman" w:cs="Times New Roman"/>
                <w:noProof/>
                <w:webHidden/>
                <w:sz w:val="24"/>
                <w:szCs w:val="24"/>
              </w:rPr>
              <w:fldChar w:fldCharType="end"/>
            </w:r>
          </w:hyperlink>
        </w:p>
        <w:p w14:paraId="5E75ADE0" w14:textId="6393C26A" w:rsidR="00E31401" w:rsidRPr="00E31401" w:rsidRDefault="00000000" w:rsidP="00E31401">
          <w:pPr>
            <w:pStyle w:val="TOC2"/>
            <w:tabs>
              <w:tab w:val="right" w:leader="dot" w:pos="9350"/>
            </w:tabs>
            <w:spacing w:after="200" w:line="360" w:lineRule="auto"/>
            <w:jc w:val="both"/>
            <w:rPr>
              <w:rFonts w:ascii="Times New Roman" w:hAnsi="Times New Roman" w:cs="Times New Roman"/>
              <w:noProof/>
              <w:sz w:val="24"/>
              <w:szCs w:val="24"/>
            </w:rPr>
          </w:pPr>
          <w:hyperlink w:anchor="_Toc161763262" w:history="1">
            <w:r w:rsidR="00E31401" w:rsidRPr="00E31401">
              <w:rPr>
                <w:rStyle w:val="Hyperlink"/>
                <w:rFonts w:ascii="Times New Roman" w:hAnsi="Times New Roman" w:cs="Times New Roman"/>
                <w:noProof/>
                <w:sz w:val="24"/>
                <w:szCs w:val="24"/>
                <w:lang w:val="en-US"/>
              </w:rPr>
              <w:t>Ratio Calculation</w:t>
            </w:r>
            <w:r w:rsidR="00E31401" w:rsidRPr="00E31401">
              <w:rPr>
                <w:rFonts w:ascii="Times New Roman" w:hAnsi="Times New Roman" w:cs="Times New Roman"/>
                <w:noProof/>
                <w:webHidden/>
                <w:sz w:val="24"/>
                <w:szCs w:val="24"/>
              </w:rPr>
              <w:tab/>
            </w:r>
            <w:r w:rsidR="00E31401" w:rsidRPr="00E31401">
              <w:rPr>
                <w:rFonts w:ascii="Times New Roman" w:hAnsi="Times New Roman" w:cs="Times New Roman"/>
                <w:noProof/>
                <w:webHidden/>
                <w:sz w:val="24"/>
                <w:szCs w:val="24"/>
              </w:rPr>
              <w:fldChar w:fldCharType="begin"/>
            </w:r>
            <w:r w:rsidR="00E31401" w:rsidRPr="00E31401">
              <w:rPr>
                <w:rFonts w:ascii="Times New Roman" w:hAnsi="Times New Roman" w:cs="Times New Roman"/>
                <w:noProof/>
                <w:webHidden/>
                <w:sz w:val="24"/>
                <w:szCs w:val="24"/>
              </w:rPr>
              <w:instrText xml:space="preserve"> PAGEREF _Toc161763262 \h </w:instrText>
            </w:r>
            <w:r w:rsidR="00E31401" w:rsidRPr="00E31401">
              <w:rPr>
                <w:rFonts w:ascii="Times New Roman" w:hAnsi="Times New Roman" w:cs="Times New Roman"/>
                <w:noProof/>
                <w:webHidden/>
                <w:sz w:val="24"/>
                <w:szCs w:val="24"/>
              </w:rPr>
            </w:r>
            <w:r w:rsidR="00E31401" w:rsidRPr="00E31401">
              <w:rPr>
                <w:rFonts w:ascii="Times New Roman" w:hAnsi="Times New Roman" w:cs="Times New Roman"/>
                <w:noProof/>
                <w:webHidden/>
                <w:sz w:val="24"/>
                <w:szCs w:val="24"/>
              </w:rPr>
              <w:fldChar w:fldCharType="separate"/>
            </w:r>
            <w:r w:rsidR="00E31401" w:rsidRPr="00E31401">
              <w:rPr>
                <w:rFonts w:ascii="Times New Roman" w:hAnsi="Times New Roman" w:cs="Times New Roman"/>
                <w:noProof/>
                <w:webHidden/>
                <w:sz w:val="24"/>
                <w:szCs w:val="24"/>
              </w:rPr>
              <w:t>5</w:t>
            </w:r>
            <w:r w:rsidR="00E31401" w:rsidRPr="00E31401">
              <w:rPr>
                <w:rFonts w:ascii="Times New Roman" w:hAnsi="Times New Roman" w:cs="Times New Roman"/>
                <w:noProof/>
                <w:webHidden/>
                <w:sz w:val="24"/>
                <w:szCs w:val="24"/>
              </w:rPr>
              <w:fldChar w:fldCharType="end"/>
            </w:r>
          </w:hyperlink>
        </w:p>
        <w:p w14:paraId="639C5F1D" w14:textId="0C98E472" w:rsidR="00E31401" w:rsidRPr="00E31401" w:rsidRDefault="00000000" w:rsidP="00E31401">
          <w:pPr>
            <w:pStyle w:val="TOC2"/>
            <w:tabs>
              <w:tab w:val="right" w:leader="dot" w:pos="9350"/>
            </w:tabs>
            <w:spacing w:after="200" w:line="360" w:lineRule="auto"/>
            <w:jc w:val="both"/>
            <w:rPr>
              <w:rFonts w:ascii="Times New Roman" w:hAnsi="Times New Roman" w:cs="Times New Roman"/>
              <w:noProof/>
              <w:sz w:val="24"/>
              <w:szCs w:val="24"/>
            </w:rPr>
          </w:pPr>
          <w:hyperlink w:anchor="_Toc161763263" w:history="1">
            <w:r w:rsidR="00E31401" w:rsidRPr="00E31401">
              <w:rPr>
                <w:rStyle w:val="Hyperlink"/>
                <w:rFonts w:ascii="Times New Roman" w:hAnsi="Times New Roman" w:cs="Times New Roman"/>
                <w:noProof/>
                <w:sz w:val="24"/>
                <w:szCs w:val="24"/>
                <w:lang w:val="en-US"/>
              </w:rPr>
              <w:t>Financial ratio analysis</w:t>
            </w:r>
            <w:r w:rsidR="00E31401" w:rsidRPr="00E31401">
              <w:rPr>
                <w:rFonts w:ascii="Times New Roman" w:hAnsi="Times New Roman" w:cs="Times New Roman"/>
                <w:noProof/>
                <w:webHidden/>
                <w:sz w:val="24"/>
                <w:szCs w:val="24"/>
              </w:rPr>
              <w:tab/>
            </w:r>
            <w:r w:rsidR="00E31401" w:rsidRPr="00E31401">
              <w:rPr>
                <w:rFonts w:ascii="Times New Roman" w:hAnsi="Times New Roman" w:cs="Times New Roman"/>
                <w:noProof/>
                <w:webHidden/>
                <w:sz w:val="24"/>
                <w:szCs w:val="24"/>
              </w:rPr>
              <w:fldChar w:fldCharType="begin"/>
            </w:r>
            <w:r w:rsidR="00E31401" w:rsidRPr="00E31401">
              <w:rPr>
                <w:rFonts w:ascii="Times New Roman" w:hAnsi="Times New Roman" w:cs="Times New Roman"/>
                <w:noProof/>
                <w:webHidden/>
                <w:sz w:val="24"/>
                <w:szCs w:val="24"/>
              </w:rPr>
              <w:instrText xml:space="preserve"> PAGEREF _Toc161763263 \h </w:instrText>
            </w:r>
            <w:r w:rsidR="00E31401" w:rsidRPr="00E31401">
              <w:rPr>
                <w:rFonts w:ascii="Times New Roman" w:hAnsi="Times New Roman" w:cs="Times New Roman"/>
                <w:noProof/>
                <w:webHidden/>
                <w:sz w:val="24"/>
                <w:szCs w:val="24"/>
              </w:rPr>
            </w:r>
            <w:r w:rsidR="00E31401" w:rsidRPr="00E31401">
              <w:rPr>
                <w:rFonts w:ascii="Times New Roman" w:hAnsi="Times New Roman" w:cs="Times New Roman"/>
                <w:noProof/>
                <w:webHidden/>
                <w:sz w:val="24"/>
                <w:szCs w:val="24"/>
              </w:rPr>
              <w:fldChar w:fldCharType="separate"/>
            </w:r>
            <w:r w:rsidR="00E31401" w:rsidRPr="00E31401">
              <w:rPr>
                <w:rFonts w:ascii="Times New Roman" w:hAnsi="Times New Roman" w:cs="Times New Roman"/>
                <w:noProof/>
                <w:webHidden/>
                <w:sz w:val="24"/>
                <w:szCs w:val="24"/>
              </w:rPr>
              <w:t>5</w:t>
            </w:r>
            <w:r w:rsidR="00E31401" w:rsidRPr="00E31401">
              <w:rPr>
                <w:rFonts w:ascii="Times New Roman" w:hAnsi="Times New Roman" w:cs="Times New Roman"/>
                <w:noProof/>
                <w:webHidden/>
                <w:sz w:val="24"/>
                <w:szCs w:val="24"/>
              </w:rPr>
              <w:fldChar w:fldCharType="end"/>
            </w:r>
          </w:hyperlink>
        </w:p>
        <w:p w14:paraId="00F9B53A" w14:textId="249EC447" w:rsidR="00E31401" w:rsidRPr="00E31401" w:rsidRDefault="00000000" w:rsidP="00E31401">
          <w:pPr>
            <w:pStyle w:val="TOC2"/>
            <w:tabs>
              <w:tab w:val="right" w:leader="dot" w:pos="9350"/>
            </w:tabs>
            <w:spacing w:after="200" w:line="360" w:lineRule="auto"/>
            <w:jc w:val="both"/>
            <w:rPr>
              <w:rFonts w:ascii="Times New Roman" w:hAnsi="Times New Roman" w:cs="Times New Roman"/>
              <w:noProof/>
              <w:sz w:val="24"/>
              <w:szCs w:val="24"/>
            </w:rPr>
          </w:pPr>
          <w:hyperlink w:anchor="_Toc161763264" w:history="1">
            <w:r w:rsidR="00E31401" w:rsidRPr="00E31401">
              <w:rPr>
                <w:rStyle w:val="Hyperlink"/>
                <w:rFonts w:ascii="Times New Roman" w:eastAsia="Times New Roman" w:hAnsi="Times New Roman" w:cs="Times New Roman"/>
                <w:noProof/>
                <w:sz w:val="24"/>
                <w:szCs w:val="24"/>
                <w:lang w:eastAsia="en-GB"/>
              </w:rPr>
              <w:t>Comparative analysis</w:t>
            </w:r>
            <w:r w:rsidR="00E31401" w:rsidRPr="00E31401">
              <w:rPr>
                <w:rFonts w:ascii="Times New Roman" w:hAnsi="Times New Roman" w:cs="Times New Roman"/>
                <w:noProof/>
                <w:webHidden/>
                <w:sz w:val="24"/>
                <w:szCs w:val="24"/>
              </w:rPr>
              <w:tab/>
            </w:r>
            <w:r w:rsidR="00E31401" w:rsidRPr="00E31401">
              <w:rPr>
                <w:rFonts w:ascii="Times New Roman" w:hAnsi="Times New Roman" w:cs="Times New Roman"/>
                <w:noProof/>
                <w:webHidden/>
                <w:sz w:val="24"/>
                <w:szCs w:val="24"/>
              </w:rPr>
              <w:fldChar w:fldCharType="begin"/>
            </w:r>
            <w:r w:rsidR="00E31401" w:rsidRPr="00E31401">
              <w:rPr>
                <w:rFonts w:ascii="Times New Roman" w:hAnsi="Times New Roman" w:cs="Times New Roman"/>
                <w:noProof/>
                <w:webHidden/>
                <w:sz w:val="24"/>
                <w:szCs w:val="24"/>
              </w:rPr>
              <w:instrText xml:space="preserve"> PAGEREF _Toc161763264 \h </w:instrText>
            </w:r>
            <w:r w:rsidR="00E31401" w:rsidRPr="00E31401">
              <w:rPr>
                <w:rFonts w:ascii="Times New Roman" w:hAnsi="Times New Roman" w:cs="Times New Roman"/>
                <w:noProof/>
                <w:webHidden/>
                <w:sz w:val="24"/>
                <w:szCs w:val="24"/>
              </w:rPr>
            </w:r>
            <w:r w:rsidR="00E31401" w:rsidRPr="00E31401">
              <w:rPr>
                <w:rFonts w:ascii="Times New Roman" w:hAnsi="Times New Roman" w:cs="Times New Roman"/>
                <w:noProof/>
                <w:webHidden/>
                <w:sz w:val="24"/>
                <w:szCs w:val="24"/>
              </w:rPr>
              <w:fldChar w:fldCharType="separate"/>
            </w:r>
            <w:r w:rsidR="00E31401" w:rsidRPr="00E31401">
              <w:rPr>
                <w:rFonts w:ascii="Times New Roman" w:hAnsi="Times New Roman" w:cs="Times New Roman"/>
                <w:noProof/>
                <w:webHidden/>
                <w:sz w:val="24"/>
                <w:szCs w:val="24"/>
              </w:rPr>
              <w:t>8</w:t>
            </w:r>
            <w:r w:rsidR="00E31401" w:rsidRPr="00E31401">
              <w:rPr>
                <w:rFonts w:ascii="Times New Roman" w:hAnsi="Times New Roman" w:cs="Times New Roman"/>
                <w:noProof/>
                <w:webHidden/>
                <w:sz w:val="24"/>
                <w:szCs w:val="24"/>
              </w:rPr>
              <w:fldChar w:fldCharType="end"/>
            </w:r>
          </w:hyperlink>
        </w:p>
        <w:p w14:paraId="06AA35CF" w14:textId="50A9CFF8" w:rsidR="00E31401" w:rsidRPr="00E31401" w:rsidRDefault="00000000" w:rsidP="00E31401">
          <w:pPr>
            <w:pStyle w:val="TOC2"/>
            <w:tabs>
              <w:tab w:val="right" w:leader="dot" w:pos="9350"/>
            </w:tabs>
            <w:spacing w:after="200" w:line="360" w:lineRule="auto"/>
            <w:jc w:val="both"/>
            <w:rPr>
              <w:rFonts w:ascii="Times New Roman" w:hAnsi="Times New Roman" w:cs="Times New Roman"/>
              <w:noProof/>
              <w:sz w:val="24"/>
              <w:szCs w:val="24"/>
            </w:rPr>
          </w:pPr>
          <w:hyperlink w:anchor="_Toc161763265" w:history="1">
            <w:r w:rsidR="00E31401" w:rsidRPr="00E31401">
              <w:rPr>
                <w:rStyle w:val="Hyperlink"/>
                <w:rFonts w:ascii="Times New Roman" w:hAnsi="Times New Roman" w:cs="Times New Roman"/>
                <w:noProof/>
                <w:sz w:val="24"/>
                <w:szCs w:val="24"/>
              </w:rPr>
              <w:t>Recommendations</w:t>
            </w:r>
            <w:r w:rsidR="00E31401" w:rsidRPr="00E31401">
              <w:rPr>
                <w:rFonts w:ascii="Times New Roman" w:hAnsi="Times New Roman" w:cs="Times New Roman"/>
                <w:noProof/>
                <w:webHidden/>
                <w:sz w:val="24"/>
                <w:szCs w:val="24"/>
              </w:rPr>
              <w:tab/>
            </w:r>
            <w:r w:rsidR="00E31401" w:rsidRPr="00E31401">
              <w:rPr>
                <w:rFonts w:ascii="Times New Roman" w:hAnsi="Times New Roman" w:cs="Times New Roman"/>
                <w:noProof/>
                <w:webHidden/>
                <w:sz w:val="24"/>
                <w:szCs w:val="24"/>
              </w:rPr>
              <w:fldChar w:fldCharType="begin"/>
            </w:r>
            <w:r w:rsidR="00E31401" w:rsidRPr="00E31401">
              <w:rPr>
                <w:rFonts w:ascii="Times New Roman" w:hAnsi="Times New Roman" w:cs="Times New Roman"/>
                <w:noProof/>
                <w:webHidden/>
                <w:sz w:val="24"/>
                <w:szCs w:val="24"/>
              </w:rPr>
              <w:instrText xml:space="preserve"> PAGEREF _Toc161763265 \h </w:instrText>
            </w:r>
            <w:r w:rsidR="00E31401" w:rsidRPr="00E31401">
              <w:rPr>
                <w:rFonts w:ascii="Times New Roman" w:hAnsi="Times New Roman" w:cs="Times New Roman"/>
                <w:noProof/>
                <w:webHidden/>
                <w:sz w:val="24"/>
                <w:szCs w:val="24"/>
              </w:rPr>
            </w:r>
            <w:r w:rsidR="00E31401" w:rsidRPr="00E31401">
              <w:rPr>
                <w:rFonts w:ascii="Times New Roman" w:hAnsi="Times New Roman" w:cs="Times New Roman"/>
                <w:noProof/>
                <w:webHidden/>
                <w:sz w:val="24"/>
                <w:szCs w:val="24"/>
              </w:rPr>
              <w:fldChar w:fldCharType="separate"/>
            </w:r>
            <w:r w:rsidR="00E31401" w:rsidRPr="00E31401">
              <w:rPr>
                <w:rFonts w:ascii="Times New Roman" w:hAnsi="Times New Roman" w:cs="Times New Roman"/>
                <w:noProof/>
                <w:webHidden/>
                <w:sz w:val="24"/>
                <w:szCs w:val="24"/>
              </w:rPr>
              <w:t>11</w:t>
            </w:r>
            <w:r w:rsidR="00E31401" w:rsidRPr="00E31401">
              <w:rPr>
                <w:rFonts w:ascii="Times New Roman" w:hAnsi="Times New Roman" w:cs="Times New Roman"/>
                <w:noProof/>
                <w:webHidden/>
                <w:sz w:val="24"/>
                <w:szCs w:val="24"/>
              </w:rPr>
              <w:fldChar w:fldCharType="end"/>
            </w:r>
          </w:hyperlink>
        </w:p>
        <w:p w14:paraId="4ADF0178" w14:textId="40188906" w:rsidR="00E31401" w:rsidRPr="00E31401" w:rsidRDefault="00000000" w:rsidP="00E31401">
          <w:pPr>
            <w:pStyle w:val="TOC1"/>
            <w:tabs>
              <w:tab w:val="right" w:leader="dot" w:pos="9350"/>
            </w:tabs>
            <w:spacing w:after="200" w:line="360" w:lineRule="auto"/>
            <w:jc w:val="both"/>
            <w:rPr>
              <w:rFonts w:ascii="Times New Roman" w:hAnsi="Times New Roman" w:cs="Times New Roman"/>
              <w:noProof/>
              <w:sz w:val="24"/>
              <w:szCs w:val="24"/>
            </w:rPr>
          </w:pPr>
          <w:hyperlink w:anchor="_Toc161763266" w:history="1">
            <w:r w:rsidR="00E31401" w:rsidRPr="00E31401">
              <w:rPr>
                <w:rStyle w:val="Hyperlink"/>
                <w:rFonts w:ascii="Times New Roman" w:hAnsi="Times New Roman" w:cs="Times New Roman"/>
                <w:noProof/>
                <w:sz w:val="24"/>
                <w:szCs w:val="24"/>
              </w:rPr>
              <w:t>Part C- Project Appraisal</w:t>
            </w:r>
            <w:r w:rsidR="00E31401" w:rsidRPr="00E31401">
              <w:rPr>
                <w:rFonts w:ascii="Times New Roman" w:hAnsi="Times New Roman" w:cs="Times New Roman"/>
                <w:noProof/>
                <w:webHidden/>
                <w:sz w:val="24"/>
                <w:szCs w:val="24"/>
              </w:rPr>
              <w:tab/>
            </w:r>
            <w:r w:rsidR="00E31401" w:rsidRPr="00E31401">
              <w:rPr>
                <w:rFonts w:ascii="Times New Roman" w:hAnsi="Times New Roman" w:cs="Times New Roman"/>
                <w:noProof/>
                <w:webHidden/>
                <w:sz w:val="24"/>
                <w:szCs w:val="24"/>
              </w:rPr>
              <w:fldChar w:fldCharType="begin"/>
            </w:r>
            <w:r w:rsidR="00E31401" w:rsidRPr="00E31401">
              <w:rPr>
                <w:rFonts w:ascii="Times New Roman" w:hAnsi="Times New Roman" w:cs="Times New Roman"/>
                <w:noProof/>
                <w:webHidden/>
                <w:sz w:val="24"/>
                <w:szCs w:val="24"/>
              </w:rPr>
              <w:instrText xml:space="preserve"> PAGEREF _Toc161763266 \h </w:instrText>
            </w:r>
            <w:r w:rsidR="00E31401" w:rsidRPr="00E31401">
              <w:rPr>
                <w:rFonts w:ascii="Times New Roman" w:hAnsi="Times New Roman" w:cs="Times New Roman"/>
                <w:noProof/>
                <w:webHidden/>
                <w:sz w:val="24"/>
                <w:szCs w:val="24"/>
              </w:rPr>
            </w:r>
            <w:r w:rsidR="00E31401" w:rsidRPr="00E31401">
              <w:rPr>
                <w:rFonts w:ascii="Times New Roman" w:hAnsi="Times New Roman" w:cs="Times New Roman"/>
                <w:noProof/>
                <w:webHidden/>
                <w:sz w:val="24"/>
                <w:szCs w:val="24"/>
              </w:rPr>
              <w:fldChar w:fldCharType="separate"/>
            </w:r>
            <w:r w:rsidR="00E31401" w:rsidRPr="00E31401">
              <w:rPr>
                <w:rFonts w:ascii="Times New Roman" w:hAnsi="Times New Roman" w:cs="Times New Roman"/>
                <w:noProof/>
                <w:webHidden/>
                <w:sz w:val="24"/>
                <w:szCs w:val="24"/>
              </w:rPr>
              <w:t>13</w:t>
            </w:r>
            <w:r w:rsidR="00E31401" w:rsidRPr="00E31401">
              <w:rPr>
                <w:rFonts w:ascii="Times New Roman" w:hAnsi="Times New Roman" w:cs="Times New Roman"/>
                <w:noProof/>
                <w:webHidden/>
                <w:sz w:val="24"/>
                <w:szCs w:val="24"/>
              </w:rPr>
              <w:fldChar w:fldCharType="end"/>
            </w:r>
          </w:hyperlink>
        </w:p>
        <w:p w14:paraId="68483190" w14:textId="6C373F29" w:rsidR="00E31401" w:rsidRPr="00E31401" w:rsidRDefault="00000000" w:rsidP="00E31401">
          <w:pPr>
            <w:pStyle w:val="TOC2"/>
            <w:tabs>
              <w:tab w:val="right" w:leader="dot" w:pos="9350"/>
            </w:tabs>
            <w:spacing w:after="200" w:line="360" w:lineRule="auto"/>
            <w:jc w:val="both"/>
            <w:rPr>
              <w:rFonts w:ascii="Times New Roman" w:hAnsi="Times New Roman" w:cs="Times New Roman"/>
              <w:noProof/>
              <w:sz w:val="24"/>
              <w:szCs w:val="24"/>
            </w:rPr>
          </w:pPr>
          <w:hyperlink w:anchor="_Toc161763267" w:history="1">
            <w:r w:rsidR="00E31401" w:rsidRPr="00E31401">
              <w:rPr>
                <w:rStyle w:val="Hyperlink"/>
                <w:rFonts w:ascii="Times New Roman" w:hAnsi="Times New Roman" w:cs="Times New Roman"/>
                <w:noProof/>
                <w:sz w:val="24"/>
                <w:szCs w:val="24"/>
              </w:rPr>
              <w:t>Calculation of Payback period, NPV and ARR</w:t>
            </w:r>
            <w:r w:rsidR="00E31401" w:rsidRPr="00E31401">
              <w:rPr>
                <w:rFonts w:ascii="Times New Roman" w:hAnsi="Times New Roman" w:cs="Times New Roman"/>
                <w:noProof/>
                <w:webHidden/>
                <w:sz w:val="24"/>
                <w:szCs w:val="24"/>
              </w:rPr>
              <w:tab/>
            </w:r>
            <w:r w:rsidR="00E31401" w:rsidRPr="00E31401">
              <w:rPr>
                <w:rFonts w:ascii="Times New Roman" w:hAnsi="Times New Roman" w:cs="Times New Roman"/>
                <w:noProof/>
                <w:webHidden/>
                <w:sz w:val="24"/>
                <w:szCs w:val="24"/>
              </w:rPr>
              <w:fldChar w:fldCharType="begin"/>
            </w:r>
            <w:r w:rsidR="00E31401" w:rsidRPr="00E31401">
              <w:rPr>
                <w:rFonts w:ascii="Times New Roman" w:hAnsi="Times New Roman" w:cs="Times New Roman"/>
                <w:noProof/>
                <w:webHidden/>
                <w:sz w:val="24"/>
                <w:szCs w:val="24"/>
              </w:rPr>
              <w:instrText xml:space="preserve"> PAGEREF _Toc161763267 \h </w:instrText>
            </w:r>
            <w:r w:rsidR="00E31401" w:rsidRPr="00E31401">
              <w:rPr>
                <w:rFonts w:ascii="Times New Roman" w:hAnsi="Times New Roman" w:cs="Times New Roman"/>
                <w:noProof/>
                <w:webHidden/>
                <w:sz w:val="24"/>
                <w:szCs w:val="24"/>
              </w:rPr>
            </w:r>
            <w:r w:rsidR="00E31401" w:rsidRPr="00E31401">
              <w:rPr>
                <w:rFonts w:ascii="Times New Roman" w:hAnsi="Times New Roman" w:cs="Times New Roman"/>
                <w:noProof/>
                <w:webHidden/>
                <w:sz w:val="24"/>
                <w:szCs w:val="24"/>
              </w:rPr>
              <w:fldChar w:fldCharType="separate"/>
            </w:r>
            <w:r w:rsidR="00E31401" w:rsidRPr="00E31401">
              <w:rPr>
                <w:rFonts w:ascii="Times New Roman" w:hAnsi="Times New Roman" w:cs="Times New Roman"/>
                <w:noProof/>
                <w:webHidden/>
                <w:sz w:val="24"/>
                <w:szCs w:val="24"/>
              </w:rPr>
              <w:t>13</w:t>
            </w:r>
            <w:r w:rsidR="00E31401" w:rsidRPr="00E31401">
              <w:rPr>
                <w:rFonts w:ascii="Times New Roman" w:hAnsi="Times New Roman" w:cs="Times New Roman"/>
                <w:noProof/>
                <w:webHidden/>
                <w:sz w:val="24"/>
                <w:szCs w:val="24"/>
              </w:rPr>
              <w:fldChar w:fldCharType="end"/>
            </w:r>
          </w:hyperlink>
        </w:p>
        <w:p w14:paraId="34A26184" w14:textId="72F86A53" w:rsidR="00E31401" w:rsidRPr="00E31401" w:rsidRDefault="00000000" w:rsidP="00E31401">
          <w:pPr>
            <w:pStyle w:val="TOC2"/>
            <w:tabs>
              <w:tab w:val="right" w:leader="dot" w:pos="9350"/>
            </w:tabs>
            <w:spacing w:after="200" w:line="360" w:lineRule="auto"/>
            <w:jc w:val="both"/>
            <w:rPr>
              <w:rFonts w:ascii="Times New Roman" w:hAnsi="Times New Roman" w:cs="Times New Roman"/>
              <w:noProof/>
              <w:sz w:val="24"/>
              <w:szCs w:val="24"/>
            </w:rPr>
          </w:pPr>
          <w:hyperlink w:anchor="_Toc161763268" w:history="1">
            <w:r w:rsidR="00E31401" w:rsidRPr="00E31401">
              <w:rPr>
                <w:rStyle w:val="Hyperlink"/>
                <w:rFonts w:ascii="Times New Roman" w:hAnsi="Times New Roman" w:cs="Times New Roman"/>
                <w:noProof/>
                <w:sz w:val="24"/>
                <w:szCs w:val="24"/>
              </w:rPr>
              <w:t>Recalculated NPV and analysis</w:t>
            </w:r>
            <w:r w:rsidR="00E31401" w:rsidRPr="00E31401">
              <w:rPr>
                <w:rFonts w:ascii="Times New Roman" w:hAnsi="Times New Roman" w:cs="Times New Roman"/>
                <w:noProof/>
                <w:webHidden/>
                <w:sz w:val="24"/>
                <w:szCs w:val="24"/>
              </w:rPr>
              <w:tab/>
            </w:r>
            <w:r w:rsidR="00E31401" w:rsidRPr="00E31401">
              <w:rPr>
                <w:rFonts w:ascii="Times New Roman" w:hAnsi="Times New Roman" w:cs="Times New Roman"/>
                <w:noProof/>
                <w:webHidden/>
                <w:sz w:val="24"/>
                <w:szCs w:val="24"/>
              </w:rPr>
              <w:fldChar w:fldCharType="begin"/>
            </w:r>
            <w:r w:rsidR="00E31401" w:rsidRPr="00E31401">
              <w:rPr>
                <w:rFonts w:ascii="Times New Roman" w:hAnsi="Times New Roman" w:cs="Times New Roman"/>
                <w:noProof/>
                <w:webHidden/>
                <w:sz w:val="24"/>
                <w:szCs w:val="24"/>
              </w:rPr>
              <w:instrText xml:space="preserve"> PAGEREF _Toc161763268 \h </w:instrText>
            </w:r>
            <w:r w:rsidR="00E31401" w:rsidRPr="00E31401">
              <w:rPr>
                <w:rFonts w:ascii="Times New Roman" w:hAnsi="Times New Roman" w:cs="Times New Roman"/>
                <w:noProof/>
                <w:webHidden/>
                <w:sz w:val="24"/>
                <w:szCs w:val="24"/>
              </w:rPr>
            </w:r>
            <w:r w:rsidR="00E31401" w:rsidRPr="00E31401">
              <w:rPr>
                <w:rFonts w:ascii="Times New Roman" w:hAnsi="Times New Roman" w:cs="Times New Roman"/>
                <w:noProof/>
                <w:webHidden/>
                <w:sz w:val="24"/>
                <w:szCs w:val="24"/>
              </w:rPr>
              <w:fldChar w:fldCharType="separate"/>
            </w:r>
            <w:r w:rsidR="00E31401" w:rsidRPr="00E31401">
              <w:rPr>
                <w:rFonts w:ascii="Times New Roman" w:hAnsi="Times New Roman" w:cs="Times New Roman"/>
                <w:noProof/>
                <w:webHidden/>
                <w:sz w:val="24"/>
                <w:szCs w:val="24"/>
              </w:rPr>
              <w:t>14</w:t>
            </w:r>
            <w:r w:rsidR="00E31401" w:rsidRPr="00E31401">
              <w:rPr>
                <w:rFonts w:ascii="Times New Roman" w:hAnsi="Times New Roman" w:cs="Times New Roman"/>
                <w:noProof/>
                <w:webHidden/>
                <w:sz w:val="24"/>
                <w:szCs w:val="24"/>
              </w:rPr>
              <w:fldChar w:fldCharType="end"/>
            </w:r>
          </w:hyperlink>
        </w:p>
        <w:p w14:paraId="5483D6A0" w14:textId="3D5DD048" w:rsidR="00E31401" w:rsidRPr="00E31401" w:rsidRDefault="00000000" w:rsidP="00E31401">
          <w:pPr>
            <w:pStyle w:val="TOC2"/>
            <w:tabs>
              <w:tab w:val="right" w:leader="dot" w:pos="9350"/>
            </w:tabs>
            <w:spacing w:after="200" w:line="360" w:lineRule="auto"/>
            <w:jc w:val="both"/>
            <w:rPr>
              <w:rFonts w:ascii="Times New Roman" w:hAnsi="Times New Roman" w:cs="Times New Roman"/>
              <w:noProof/>
              <w:sz w:val="24"/>
              <w:szCs w:val="24"/>
            </w:rPr>
          </w:pPr>
          <w:hyperlink w:anchor="_Toc161763269" w:history="1">
            <w:r w:rsidR="00E31401" w:rsidRPr="00E31401">
              <w:rPr>
                <w:rStyle w:val="Hyperlink"/>
                <w:rFonts w:ascii="Times New Roman" w:hAnsi="Times New Roman" w:cs="Times New Roman"/>
                <w:noProof/>
                <w:sz w:val="24"/>
                <w:szCs w:val="24"/>
              </w:rPr>
              <w:t>Advantages and shortcomings of the PBP, ARR and NPV techniques</w:t>
            </w:r>
            <w:r w:rsidR="00E31401" w:rsidRPr="00E31401">
              <w:rPr>
                <w:rFonts w:ascii="Times New Roman" w:hAnsi="Times New Roman" w:cs="Times New Roman"/>
                <w:noProof/>
                <w:webHidden/>
                <w:sz w:val="24"/>
                <w:szCs w:val="24"/>
              </w:rPr>
              <w:tab/>
            </w:r>
            <w:r w:rsidR="00E31401" w:rsidRPr="00E31401">
              <w:rPr>
                <w:rFonts w:ascii="Times New Roman" w:hAnsi="Times New Roman" w:cs="Times New Roman"/>
                <w:noProof/>
                <w:webHidden/>
                <w:sz w:val="24"/>
                <w:szCs w:val="24"/>
              </w:rPr>
              <w:fldChar w:fldCharType="begin"/>
            </w:r>
            <w:r w:rsidR="00E31401" w:rsidRPr="00E31401">
              <w:rPr>
                <w:rFonts w:ascii="Times New Roman" w:hAnsi="Times New Roman" w:cs="Times New Roman"/>
                <w:noProof/>
                <w:webHidden/>
                <w:sz w:val="24"/>
                <w:szCs w:val="24"/>
              </w:rPr>
              <w:instrText xml:space="preserve"> PAGEREF _Toc161763269 \h </w:instrText>
            </w:r>
            <w:r w:rsidR="00E31401" w:rsidRPr="00E31401">
              <w:rPr>
                <w:rFonts w:ascii="Times New Roman" w:hAnsi="Times New Roman" w:cs="Times New Roman"/>
                <w:noProof/>
                <w:webHidden/>
                <w:sz w:val="24"/>
                <w:szCs w:val="24"/>
              </w:rPr>
            </w:r>
            <w:r w:rsidR="00E31401" w:rsidRPr="00E31401">
              <w:rPr>
                <w:rFonts w:ascii="Times New Roman" w:hAnsi="Times New Roman" w:cs="Times New Roman"/>
                <w:noProof/>
                <w:webHidden/>
                <w:sz w:val="24"/>
                <w:szCs w:val="24"/>
              </w:rPr>
              <w:fldChar w:fldCharType="separate"/>
            </w:r>
            <w:r w:rsidR="00E31401" w:rsidRPr="00E31401">
              <w:rPr>
                <w:rFonts w:ascii="Times New Roman" w:hAnsi="Times New Roman" w:cs="Times New Roman"/>
                <w:noProof/>
                <w:webHidden/>
                <w:sz w:val="24"/>
                <w:szCs w:val="24"/>
              </w:rPr>
              <w:t>15</w:t>
            </w:r>
            <w:r w:rsidR="00E31401" w:rsidRPr="00E31401">
              <w:rPr>
                <w:rFonts w:ascii="Times New Roman" w:hAnsi="Times New Roman" w:cs="Times New Roman"/>
                <w:noProof/>
                <w:webHidden/>
                <w:sz w:val="24"/>
                <w:szCs w:val="24"/>
              </w:rPr>
              <w:fldChar w:fldCharType="end"/>
            </w:r>
          </w:hyperlink>
        </w:p>
        <w:p w14:paraId="60CD9183" w14:textId="3D28ED88" w:rsidR="00E31401" w:rsidRPr="00E31401" w:rsidRDefault="00000000" w:rsidP="00E31401">
          <w:pPr>
            <w:pStyle w:val="TOC2"/>
            <w:tabs>
              <w:tab w:val="right" w:leader="dot" w:pos="9350"/>
            </w:tabs>
            <w:spacing w:after="200" w:line="360" w:lineRule="auto"/>
            <w:jc w:val="both"/>
            <w:rPr>
              <w:rFonts w:ascii="Times New Roman" w:hAnsi="Times New Roman" w:cs="Times New Roman"/>
              <w:noProof/>
              <w:sz w:val="24"/>
              <w:szCs w:val="24"/>
            </w:rPr>
          </w:pPr>
          <w:hyperlink w:anchor="_Toc161763270" w:history="1">
            <w:r w:rsidR="00E31401" w:rsidRPr="00E31401">
              <w:rPr>
                <w:rStyle w:val="Hyperlink"/>
                <w:rFonts w:ascii="Times New Roman" w:hAnsi="Times New Roman" w:cs="Times New Roman"/>
                <w:noProof/>
                <w:sz w:val="24"/>
                <w:szCs w:val="24"/>
              </w:rPr>
              <w:t>Non-financial factors management needs to consider</w:t>
            </w:r>
            <w:r w:rsidR="00E31401" w:rsidRPr="00E31401">
              <w:rPr>
                <w:rFonts w:ascii="Times New Roman" w:hAnsi="Times New Roman" w:cs="Times New Roman"/>
                <w:noProof/>
                <w:webHidden/>
                <w:sz w:val="24"/>
                <w:szCs w:val="24"/>
              </w:rPr>
              <w:tab/>
            </w:r>
            <w:r w:rsidR="00E31401" w:rsidRPr="00E31401">
              <w:rPr>
                <w:rFonts w:ascii="Times New Roman" w:hAnsi="Times New Roman" w:cs="Times New Roman"/>
                <w:noProof/>
                <w:webHidden/>
                <w:sz w:val="24"/>
                <w:szCs w:val="24"/>
              </w:rPr>
              <w:fldChar w:fldCharType="begin"/>
            </w:r>
            <w:r w:rsidR="00E31401" w:rsidRPr="00E31401">
              <w:rPr>
                <w:rFonts w:ascii="Times New Roman" w:hAnsi="Times New Roman" w:cs="Times New Roman"/>
                <w:noProof/>
                <w:webHidden/>
                <w:sz w:val="24"/>
                <w:szCs w:val="24"/>
              </w:rPr>
              <w:instrText xml:space="preserve"> PAGEREF _Toc161763270 \h </w:instrText>
            </w:r>
            <w:r w:rsidR="00E31401" w:rsidRPr="00E31401">
              <w:rPr>
                <w:rFonts w:ascii="Times New Roman" w:hAnsi="Times New Roman" w:cs="Times New Roman"/>
                <w:noProof/>
                <w:webHidden/>
                <w:sz w:val="24"/>
                <w:szCs w:val="24"/>
              </w:rPr>
            </w:r>
            <w:r w:rsidR="00E31401" w:rsidRPr="00E31401">
              <w:rPr>
                <w:rFonts w:ascii="Times New Roman" w:hAnsi="Times New Roman" w:cs="Times New Roman"/>
                <w:noProof/>
                <w:webHidden/>
                <w:sz w:val="24"/>
                <w:szCs w:val="24"/>
              </w:rPr>
              <w:fldChar w:fldCharType="separate"/>
            </w:r>
            <w:r w:rsidR="00E31401" w:rsidRPr="00E31401">
              <w:rPr>
                <w:rFonts w:ascii="Times New Roman" w:hAnsi="Times New Roman" w:cs="Times New Roman"/>
                <w:noProof/>
                <w:webHidden/>
                <w:sz w:val="24"/>
                <w:szCs w:val="24"/>
              </w:rPr>
              <w:t>15</w:t>
            </w:r>
            <w:r w:rsidR="00E31401" w:rsidRPr="00E31401">
              <w:rPr>
                <w:rFonts w:ascii="Times New Roman" w:hAnsi="Times New Roman" w:cs="Times New Roman"/>
                <w:noProof/>
                <w:webHidden/>
                <w:sz w:val="24"/>
                <w:szCs w:val="24"/>
              </w:rPr>
              <w:fldChar w:fldCharType="end"/>
            </w:r>
          </w:hyperlink>
        </w:p>
        <w:p w14:paraId="4954432E" w14:textId="5DB1C47A" w:rsidR="00E31401" w:rsidRPr="00E31401" w:rsidRDefault="00000000" w:rsidP="00E31401">
          <w:pPr>
            <w:pStyle w:val="TOC1"/>
            <w:tabs>
              <w:tab w:val="right" w:leader="dot" w:pos="9350"/>
            </w:tabs>
            <w:spacing w:after="200" w:line="360" w:lineRule="auto"/>
            <w:jc w:val="both"/>
            <w:rPr>
              <w:rFonts w:ascii="Times New Roman" w:hAnsi="Times New Roman" w:cs="Times New Roman"/>
              <w:noProof/>
              <w:sz w:val="24"/>
              <w:szCs w:val="24"/>
            </w:rPr>
          </w:pPr>
          <w:hyperlink w:anchor="_Toc161763271" w:history="1">
            <w:r w:rsidR="00E31401" w:rsidRPr="00E31401">
              <w:rPr>
                <w:rStyle w:val="Hyperlink"/>
                <w:rFonts w:ascii="Times New Roman" w:hAnsi="Times New Roman" w:cs="Times New Roman"/>
                <w:noProof/>
                <w:sz w:val="24"/>
                <w:szCs w:val="24"/>
                <w:lang w:val="en-US"/>
              </w:rPr>
              <w:t>References</w:t>
            </w:r>
            <w:r w:rsidR="00E31401" w:rsidRPr="00E31401">
              <w:rPr>
                <w:rFonts w:ascii="Times New Roman" w:hAnsi="Times New Roman" w:cs="Times New Roman"/>
                <w:noProof/>
                <w:webHidden/>
                <w:sz w:val="24"/>
                <w:szCs w:val="24"/>
              </w:rPr>
              <w:tab/>
            </w:r>
            <w:r w:rsidR="00E31401" w:rsidRPr="00E31401">
              <w:rPr>
                <w:rFonts w:ascii="Times New Roman" w:hAnsi="Times New Roman" w:cs="Times New Roman"/>
                <w:noProof/>
                <w:webHidden/>
                <w:sz w:val="24"/>
                <w:szCs w:val="24"/>
              </w:rPr>
              <w:fldChar w:fldCharType="begin"/>
            </w:r>
            <w:r w:rsidR="00E31401" w:rsidRPr="00E31401">
              <w:rPr>
                <w:rFonts w:ascii="Times New Roman" w:hAnsi="Times New Roman" w:cs="Times New Roman"/>
                <w:noProof/>
                <w:webHidden/>
                <w:sz w:val="24"/>
                <w:szCs w:val="24"/>
              </w:rPr>
              <w:instrText xml:space="preserve"> PAGEREF _Toc161763271 \h </w:instrText>
            </w:r>
            <w:r w:rsidR="00E31401" w:rsidRPr="00E31401">
              <w:rPr>
                <w:rFonts w:ascii="Times New Roman" w:hAnsi="Times New Roman" w:cs="Times New Roman"/>
                <w:noProof/>
                <w:webHidden/>
                <w:sz w:val="24"/>
                <w:szCs w:val="24"/>
              </w:rPr>
            </w:r>
            <w:r w:rsidR="00E31401" w:rsidRPr="00E31401">
              <w:rPr>
                <w:rFonts w:ascii="Times New Roman" w:hAnsi="Times New Roman" w:cs="Times New Roman"/>
                <w:noProof/>
                <w:webHidden/>
                <w:sz w:val="24"/>
                <w:szCs w:val="24"/>
              </w:rPr>
              <w:fldChar w:fldCharType="separate"/>
            </w:r>
            <w:r w:rsidR="00E31401" w:rsidRPr="00E31401">
              <w:rPr>
                <w:rFonts w:ascii="Times New Roman" w:hAnsi="Times New Roman" w:cs="Times New Roman"/>
                <w:noProof/>
                <w:webHidden/>
                <w:sz w:val="24"/>
                <w:szCs w:val="24"/>
              </w:rPr>
              <w:t>17</w:t>
            </w:r>
            <w:r w:rsidR="00E31401" w:rsidRPr="00E31401">
              <w:rPr>
                <w:rFonts w:ascii="Times New Roman" w:hAnsi="Times New Roman" w:cs="Times New Roman"/>
                <w:noProof/>
                <w:webHidden/>
                <w:sz w:val="24"/>
                <w:szCs w:val="24"/>
              </w:rPr>
              <w:fldChar w:fldCharType="end"/>
            </w:r>
          </w:hyperlink>
        </w:p>
        <w:p w14:paraId="617DE583" w14:textId="07CB5F74" w:rsidR="00E31401" w:rsidRPr="00E31401" w:rsidRDefault="00E31401"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b/>
              <w:bCs/>
              <w:noProof/>
              <w:sz w:val="24"/>
              <w:szCs w:val="24"/>
            </w:rPr>
            <w:fldChar w:fldCharType="end"/>
          </w:r>
        </w:p>
      </w:sdtContent>
    </w:sdt>
    <w:p w14:paraId="045D2F06" w14:textId="77777777" w:rsidR="005053B5" w:rsidRPr="00E31401" w:rsidRDefault="005053B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br w:type="page"/>
      </w:r>
    </w:p>
    <w:p w14:paraId="16676FF4" w14:textId="5182A251" w:rsidR="005053B5" w:rsidRPr="00E31401" w:rsidRDefault="005053B5" w:rsidP="00E31401">
      <w:pPr>
        <w:pStyle w:val="Heading1"/>
        <w:spacing w:after="200" w:line="360" w:lineRule="auto"/>
        <w:jc w:val="both"/>
        <w:rPr>
          <w:rFonts w:ascii="Times New Roman" w:hAnsi="Times New Roman" w:cs="Times New Roman"/>
          <w:sz w:val="24"/>
          <w:szCs w:val="24"/>
        </w:rPr>
      </w:pPr>
      <w:bookmarkStart w:id="0" w:name="_Toc161763260"/>
      <w:r w:rsidRPr="00E31401">
        <w:rPr>
          <w:rFonts w:ascii="Times New Roman" w:hAnsi="Times New Roman" w:cs="Times New Roman"/>
          <w:sz w:val="24"/>
          <w:szCs w:val="24"/>
        </w:rPr>
        <w:lastRenderedPageBreak/>
        <w:t>Part A</w:t>
      </w:r>
      <w:r w:rsidR="009F6A3D" w:rsidRPr="00E31401">
        <w:rPr>
          <w:rFonts w:ascii="Times New Roman" w:hAnsi="Times New Roman" w:cs="Times New Roman"/>
          <w:sz w:val="24"/>
          <w:szCs w:val="24"/>
        </w:rPr>
        <w:t>- Overview and Major Events</w:t>
      </w:r>
      <w:bookmarkEnd w:id="0"/>
      <w:r w:rsidR="009F6A3D" w:rsidRPr="00E31401">
        <w:rPr>
          <w:rFonts w:ascii="Times New Roman" w:hAnsi="Times New Roman" w:cs="Times New Roman"/>
          <w:sz w:val="24"/>
          <w:szCs w:val="24"/>
        </w:rPr>
        <w:t xml:space="preserve"> </w:t>
      </w:r>
    </w:p>
    <w:p w14:paraId="28AE783C" w14:textId="2E71517E" w:rsidR="005053B5" w:rsidRPr="00E31401" w:rsidRDefault="005053B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Rio Tinto Group is a multinational corporation headquartered in London, United Kingdom, and a leading player in the global mining industry. The company traces its roots back to the late 19th century when a group of investors established the Rio Tinto Company to mine copper deposits in Spain's Rio Tinto region. Over the decades, the company has grown through a series of mergers and acquisitions, solidifying its position as a global leader in the mining and metals sector. Rio Tinto's primary business model revolves around the exploration, mining, processing, and marketing of various mineral resources, including iron ore, </w:t>
      </w:r>
      <w:r w:rsidR="00E31401" w:rsidRPr="00E31401">
        <w:rPr>
          <w:rFonts w:ascii="Times New Roman" w:hAnsi="Times New Roman" w:cs="Times New Roman"/>
          <w:sz w:val="24"/>
          <w:szCs w:val="24"/>
        </w:rPr>
        <w:t>aluminium</w:t>
      </w:r>
      <w:r w:rsidRPr="00E31401">
        <w:rPr>
          <w:rFonts w:ascii="Times New Roman" w:hAnsi="Times New Roman" w:cs="Times New Roman"/>
          <w:sz w:val="24"/>
          <w:szCs w:val="24"/>
        </w:rPr>
        <w:t xml:space="preserve">, copper, diamonds, gold, industrial minerals, and energy products. The company operates across six continents, with a strong presence in Australia, North America, South America, Asia, Africa, and Europe. Rio Tinto's diverse portfolio of world-class mining assets, including massive iron ore operations in the Pilbara region of Western Australia, contributes significantly to its global market dominance. </w:t>
      </w:r>
    </w:p>
    <w:p w14:paraId="57C3C011" w14:textId="654A844C" w:rsidR="005053B5" w:rsidRPr="00E31401" w:rsidRDefault="005053B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In the highly competitive global mining industry, Rio Tinto faces formidable competitors across different segments. In the iron ore market, the company competes with industry giants such as Vale S.A. (Brazil), BHP Group (Australia), and Fortescue Metals Group (Australia). In the </w:t>
      </w:r>
      <w:r w:rsidR="00E31401" w:rsidRPr="00E31401">
        <w:rPr>
          <w:rFonts w:ascii="Times New Roman" w:hAnsi="Times New Roman" w:cs="Times New Roman"/>
          <w:sz w:val="24"/>
          <w:szCs w:val="24"/>
        </w:rPr>
        <w:t>aluminium</w:t>
      </w:r>
      <w:r w:rsidRPr="00E31401">
        <w:rPr>
          <w:rFonts w:ascii="Times New Roman" w:hAnsi="Times New Roman" w:cs="Times New Roman"/>
          <w:sz w:val="24"/>
          <w:szCs w:val="24"/>
        </w:rPr>
        <w:t xml:space="preserve"> sector, Rio Tinto's main rivals include Alcoa (USA), Rusal (Russia), and Chalco (China). The copper market sees intense competition from companies like Freeport-McMoRan (USA), Codelco (Chile), and Glencore (Switzerland). Additionally, Rio Tinto competes with diamond producers like De Beers (UK/South Africa) and Alrosa (Russia) in the diamond segment.</w:t>
      </w:r>
    </w:p>
    <w:p w14:paraId="6E1BF5BC" w14:textId="38E389DF" w:rsidR="00DD7ADD" w:rsidRPr="00E31401" w:rsidRDefault="005053B5"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 xml:space="preserve">Major Events </w:t>
      </w:r>
    </w:p>
    <w:p w14:paraId="36FC8093" w14:textId="2BBC3F3D" w:rsidR="005053B5" w:rsidRPr="00E31401" w:rsidRDefault="005053B5"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Event 1- Rio Tinto signs Australia’s biggest renewable power deal as it works to repower its Gladstone operations</w:t>
      </w:r>
    </w:p>
    <w:p w14:paraId="0BF5FE06" w14:textId="2019D798" w:rsidR="005053B5" w:rsidRPr="00E31401" w:rsidRDefault="005053B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Rio Tinto has signed Australia's largest renewable power deal with Iberdrola. The agreement will see Iberdrola develop two new hybrid wind and solar power plants with a combined 1,070MW capacity in Queensland. These will supply all the electricity needs for Rio Tinto's operations in Gladstone, meeting 30% of its total Australian power requirements. The shift to renewable energy is part of Rio Tinto's efforts to reduce emissions by 15% by 2025 and 50% by 2030. The Gladstone renewable strategy alone is expected to displace 1.2 million tonnes of carbon dioxide emissions </w:t>
      </w:r>
      <w:r w:rsidRPr="00E31401">
        <w:rPr>
          <w:rFonts w:ascii="Times New Roman" w:hAnsi="Times New Roman" w:cs="Times New Roman"/>
          <w:sz w:val="24"/>
          <w:szCs w:val="24"/>
        </w:rPr>
        <w:lastRenderedPageBreak/>
        <w:t>annually. Rio Tinto is also exploring battery storage to ensure reliable power supply</w:t>
      </w:r>
      <w:r w:rsidR="00503C40" w:rsidRPr="00E31401">
        <w:rPr>
          <w:rFonts w:ascii="Times New Roman" w:hAnsi="Times New Roman" w:cs="Times New Roman"/>
          <w:sz w:val="24"/>
          <w:szCs w:val="24"/>
        </w:rPr>
        <w:t xml:space="preserve"> </w:t>
      </w:r>
      <w:r w:rsidR="00503C40" w:rsidRPr="00E31401">
        <w:rPr>
          <w:rFonts w:ascii="Times New Roman" w:hAnsi="Times New Roman" w:cs="Times New Roman"/>
          <w:sz w:val="24"/>
          <w:szCs w:val="24"/>
          <w:lang w:val="en-US"/>
        </w:rPr>
        <w:t>(Rio Tinto, 2024)</w:t>
      </w:r>
      <w:r w:rsidRPr="00E31401">
        <w:rPr>
          <w:rFonts w:ascii="Times New Roman" w:hAnsi="Times New Roman" w:cs="Times New Roman"/>
          <w:sz w:val="24"/>
          <w:szCs w:val="24"/>
        </w:rPr>
        <w:t>.</w:t>
      </w:r>
    </w:p>
    <w:p w14:paraId="4A083867" w14:textId="6CDD0968" w:rsidR="005053B5" w:rsidRPr="00E31401" w:rsidRDefault="005053B5"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Event 2- Rio Tinto Board change</w:t>
      </w:r>
    </w:p>
    <w:p w14:paraId="644E092F" w14:textId="56F21038" w:rsidR="009F6A3D" w:rsidRPr="00E31401" w:rsidRDefault="009F6A3D" w:rsidP="00E31401">
      <w:pPr>
        <w:spacing w:after="200" w:line="360" w:lineRule="auto"/>
        <w:jc w:val="both"/>
        <w:rPr>
          <w:rFonts w:ascii="Times New Roman" w:hAnsi="Times New Roman" w:cs="Times New Roman"/>
          <w:sz w:val="24"/>
          <w:szCs w:val="24"/>
          <w:lang w:val="en-US"/>
        </w:rPr>
      </w:pPr>
      <w:r w:rsidRPr="00E31401">
        <w:rPr>
          <w:rFonts w:ascii="Times New Roman" w:hAnsi="Times New Roman" w:cs="Times New Roman"/>
          <w:sz w:val="24"/>
          <w:szCs w:val="24"/>
          <w:lang w:val="en-US"/>
        </w:rPr>
        <w:t>Dr Megan Clark has stepped down as a non-executive director of Rio Tinto on December 15, 2023 after serving for nine years on the Board of Directors. Rio Tinto Chair Dominic Barton thanked Megan Clark for her contributions to Rio Tinto over her nine years of service on the board. Dominic Barton said Rio Tinto will miss Clark's insights and wise counsel. He wished her well for the future on behalf of the Board</w:t>
      </w:r>
      <w:r w:rsidR="00503C40" w:rsidRPr="00E31401">
        <w:rPr>
          <w:rFonts w:ascii="Times New Roman" w:hAnsi="Times New Roman" w:cs="Times New Roman"/>
          <w:sz w:val="24"/>
          <w:szCs w:val="24"/>
          <w:lang w:val="en-US"/>
        </w:rPr>
        <w:t xml:space="preserve"> (Rio Tinto, 2023)</w:t>
      </w:r>
      <w:r w:rsidRPr="00E31401">
        <w:rPr>
          <w:rFonts w:ascii="Times New Roman" w:hAnsi="Times New Roman" w:cs="Times New Roman"/>
          <w:sz w:val="24"/>
          <w:szCs w:val="24"/>
          <w:lang w:val="en-US"/>
        </w:rPr>
        <w:t>.</w:t>
      </w:r>
    </w:p>
    <w:p w14:paraId="4FF15374" w14:textId="022EB401" w:rsidR="009F6A3D" w:rsidRPr="00E31401" w:rsidRDefault="009F6A3D" w:rsidP="00E31401">
      <w:pPr>
        <w:spacing w:after="200" w:line="360" w:lineRule="auto"/>
        <w:jc w:val="both"/>
        <w:rPr>
          <w:rFonts w:ascii="Times New Roman" w:hAnsi="Times New Roman" w:cs="Times New Roman"/>
          <w:b/>
          <w:bCs/>
          <w:sz w:val="24"/>
          <w:szCs w:val="24"/>
          <w:lang w:val="en-US"/>
        </w:rPr>
      </w:pPr>
      <w:r w:rsidRPr="00E31401">
        <w:rPr>
          <w:rFonts w:ascii="Times New Roman" w:hAnsi="Times New Roman" w:cs="Times New Roman"/>
          <w:b/>
          <w:bCs/>
          <w:sz w:val="24"/>
          <w:szCs w:val="24"/>
          <w:lang w:val="en-US"/>
        </w:rPr>
        <w:t>Event 3- Kaisa Hietala to join Rio Tinto Board</w:t>
      </w:r>
    </w:p>
    <w:p w14:paraId="34D5C4AB" w14:textId="51D7049B" w:rsidR="009F6A3D" w:rsidRPr="00E31401" w:rsidRDefault="009F6A3D"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Rio Tinto has appointed Kaisa Hietala as a new non-executive director, effective March 1, 2023. Ms. Hietala has experience in oil, gas, renewables and is currently a board member of Exxon Mobil and Smurfit Kappa Group. She will provide expertise in sustainability and the transition to a low-carbon future</w:t>
      </w:r>
      <w:r w:rsidR="00503C40" w:rsidRPr="00E31401">
        <w:rPr>
          <w:rFonts w:ascii="Times New Roman" w:hAnsi="Times New Roman" w:cs="Times New Roman"/>
          <w:sz w:val="24"/>
          <w:szCs w:val="24"/>
        </w:rPr>
        <w:t xml:space="preserve"> </w:t>
      </w:r>
      <w:r w:rsidR="00503C40" w:rsidRPr="00E31401">
        <w:rPr>
          <w:rFonts w:ascii="Times New Roman" w:hAnsi="Times New Roman" w:cs="Times New Roman"/>
          <w:sz w:val="24"/>
          <w:szCs w:val="24"/>
          <w:lang w:val="en-US"/>
        </w:rPr>
        <w:t>(Rio Tinto, 2022)</w:t>
      </w:r>
      <w:r w:rsidRPr="00E31401">
        <w:rPr>
          <w:rFonts w:ascii="Times New Roman" w:hAnsi="Times New Roman" w:cs="Times New Roman"/>
          <w:sz w:val="24"/>
          <w:szCs w:val="24"/>
        </w:rPr>
        <w:t>.</w:t>
      </w:r>
    </w:p>
    <w:p w14:paraId="24D35CDA" w14:textId="5CB7C329" w:rsidR="009F6A3D" w:rsidRPr="00E31401" w:rsidRDefault="009F6A3D" w:rsidP="00E31401">
      <w:pPr>
        <w:spacing w:after="200" w:line="360" w:lineRule="auto"/>
        <w:jc w:val="both"/>
        <w:rPr>
          <w:rFonts w:ascii="Times New Roman" w:hAnsi="Times New Roman" w:cs="Times New Roman"/>
          <w:b/>
          <w:bCs/>
          <w:sz w:val="24"/>
          <w:szCs w:val="24"/>
          <w:lang w:val="en-US"/>
        </w:rPr>
      </w:pPr>
      <w:r w:rsidRPr="00E31401">
        <w:rPr>
          <w:rFonts w:ascii="Times New Roman" w:hAnsi="Times New Roman" w:cs="Times New Roman"/>
          <w:b/>
          <w:bCs/>
          <w:sz w:val="24"/>
          <w:szCs w:val="24"/>
          <w:lang w:val="en-US"/>
        </w:rPr>
        <w:t>Event 4- First female president appointed for Diavik Diamond Mine</w:t>
      </w:r>
    </w:p>
    <w:p w14:paraId="2A52CEA8" w14:textId="50F4088F" w:rsidR="009F6A3D" w:rsidRPr="00E31401" w:rsidRDefault="009F6A3D"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Rio Tinto has appointed Angela Bigg as the first female president and chief operating officer of the Diavik Diamond Mine in Canada's Northwest Territories. Angela was previously general manager of Operations at Diavik and has worked in various roles for Rio Tinto in Mozambique, South Africa, and Australia. She succeeds Richard Storrie and will lead the 1,100 employees at the Diavik mine. Rio Tinto commended Angela for her deep knowledge of operations and community relationships</w:t>
      </w:r>
      <w:r w:rsidR="00503C40" w:rsidRPr="00E31401">
        <w:rPr>
          <w:rFonts w:ascii="Times New Roman" w:hAnsi="Times New Roman" w:cs="Times New Roman"/>
          <w:sz w:val="24"/>
          <w:szCs w:val="24"/>
        </w:rPr>
        <w:t xml:space="preserve"> </w:t>
      </w:r>
      <w:r w:rsidR="00503C40" w:rsidRPr="00E31401">
        <w:rPr>
          <w:rFonts w:ascii="Times New Roman" w:hAnsi="Times New Roman" w:cs="Times New Roman"/>
          <w:sz w:val="24"/>
          <w:szCs w:val="24"/>
          <w:lang w:val="en-US"/>
        </w:rPr>
        <w:t>(Rio Tinto, 2021)</w:t>
      </w:r>
      <w:r w:rsidRPr="00E31401">
        <w:rPr>
          <w:rFonts w:ascii="Times New Roman" w:hAnsi="Times New Roman" w:cs="Times New Roman"/>
          <w:sz w:val="24"/>
          <w:szCs w:val="24"/>
        </w:rPr>
        <w:t>.</w:t>
      </w:r>
    </w:p>
    <w:p w14:paraId="7C137F6C" w14:textId="11A82DDA" w:rsidR="009F6A3D" w:rsidRPr="00E31401" w:rsidRDefault="009F6A3D" w:rsidP="00E31401">
      <w:pPr>
        <w:spacing w:after="200" w:line="360" w:lineRule="auto"/>
        <w:jc w:val="both"/>
        <w:rPr>
          <w:rFonts w:ascii="Times New Roman" w:hAnsi="Times New Roman" w:cs="Times New Roman"/>
          <w:b/>
          <w:bCs/>
          <w:sz w:val="24"/>
          <w:szCs w:val="24"/>
          <w:lang w:val="en-US"/>
        </w:rPr>
      </w:pPr>
      <w:r w:rsidRPr="00E31401">
        <w:rPr>
          <w:rFonts w:ascii="Times New Roman" w:hAnsi="Times New Roman" w:cs="Times New Roman"/>
          <w:b/>
          <w:bCs/>
          <w:sz w:val="24"/>
          <w:szCs w:val="24"/>
          <w:lang w:val="en-US"/>
        </w:rPr>
        <w:t>Event 5- Joint statement from PKKP and Rio Tinto</w:t>
      </w:r>
    </w:p>
    <w:p w14:paraId="2269D132" w14:textId="3E942B17" w:rsidR="009F6A3D" w:rsidRPr="00E31401" w:rsidRDefault="009F6A3D"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Rio Tinto and the Puutu Kunti Kurrama and Pinikura people (PKKP) released a joint statement confirming initial steps taken to rebuild their relationship following the destruction of Juukan Gorge in May 2020. Both parties held a joint board session and will prepare a head of agreement outlining commitments to work together. PKKP acknowledges Rio Tinto's steps but notes more is needed and they hope discussions continue positively under new CEO Jakob Stausholm</w:t>
      </w:r>
      <w:r w:rsidR="00503C40" w:rsidRPr="00E31401">
        <w:rPr>
          <w:rFonts w:ascii="Times New Roman" w:hAnsi="Times New Roman" w:cs="Times New Roman"/>
          <w:sz w:val="24"/>
          <w:szCs w:val="24"/>
        </w:rPr>
        <w:t xml:space="preserve"> </w:t>
      </w:r>
      <w:r w:rsidR="00503C40" w:rsidRPr="00E31401">
        <w:rPr>
          <w:rFonts w:ascii="Times New Roman" w:hAnsi="Times New Roman" w:cs="Times New Roman"/>
          <w:sz w:val="24"/>
          <w:szCs w:val="24"/>
          <w:lang w:val="en-US"/>
        </w:rPr>
        <w:t>(Rio Tinto, 2020)</w:t>
      </w:r>
      <w:r w:rsidRPr="00E31401">
        <w:rPr>
          <w:rFonts w:ascii="Times New Roman" w:hAnsi="Times New Roman" w:cs="Times New Roman"/>
          <w:sz w:val="24"/>
          <w:szCs w:val="24"/>
        </w:rPr>
        <w:t>.</w:t>
      </w:r>
    </w:p>
    <w:p w14:paraId="213F7222" w14:textId="71AA00E3" w:rsidR="009F6A3D" w:rsidRPr="00E31401" w:rsidRDefault="009F6A3D" w:rsidP="00E31401">
      <w:pPr>
        <w:spacing w:after="200" w:line="360" w:lineRule="auto"/>
        <w:jc w:val="both"/>
        <w:rPr>
          <w:rFonts w:ascii="Times New Roman" w:hAnsi="Times New Roman" w:cs="Times New Roman"/>
          <w:sz w:val="24"/>
          <w:szCs w:val="24"/>
          <w:lang w:val="en-US"/>
        </w:rPr>
      </w:pPr>
      <w:r w:rsidRPr="00E31401">
        <w:rPr>
          <w:rFonts w:ascii="Times New Roman" w:hAnsi="Times New Roman" w:cs="Times New Roman"/>
          <w:sz w:val="24"/>
          <w:szCs w:val="24"/>
          <w:lang w:val="en-US"/>
        </w:rPr>
        <w:lastRenderedPageBreak/>
        <w:br w:type="page"/>
      </w:r>
    </w:p>
    <w:p w14:paraId="21F0E8B9" w14:textId="1BE05159" w:rsidR="009F6A3D" w:rsidRPr="00E31401" w:rsidRDefault="009F6A3D" w:rsidP="00E31401">
      <w:pPr>
        <w:pStyle w:val="Heading1"/>
        <w:spacing w:after="200" w:line="360" w:lineRule="auto"/>
        <w:jc w:val="both"/>
        <w:rPr>
          <w:rFonts w:ascii="Times New Roman" w:hAnsi="Times New Roman" w:cs="Times New Roman"/>
          <w:sz w:val="24"/>
          <w:szCs w:val="24"/>
          <w:lang w:val="en-US"/>
        </w:rPr>
      </w:pPr>
      <w:bookmarkStart w:id="1" w:name="_Toc161763261"/>
      <w:r w:rsidRPr="00E31401">
        <w:rPr>
          <w:rFonts w:ascii="Times New Roman" w:hAnsi="Times New Roman" w:cs="Times New Roman"/>
          <w:sz w:val="24"/>
          <w:szCs w:val="24"/>
          <w:lang w:val="en-US"/>
        </w:rPr>
        <w:lastRenderedPageBreak/>
        <w:t>Part B- Financial Statement Analysis</w:t>
      </w:r>
      <w:bookmarkEnd w:id="1"/>
      <w:r w:rsidRPr="00E31401">
        <w:rPr>
          <w:rFonts w:ascii="Times New Roman" w:hAnsi="Times New Roman" w:cs="Times New Roman"/>
          <w:sz w:val="24"/>
          <w:szCs w:val="24"/>
          <w:lang w:val="en-US"/>
        </w:rPr>
        <w:t xml:space="preserve"> </w:t>
      </w:r>
    </w:p>
    <w:p w14:paraId="45F62299" w14:textId="6FF99264" w:rsidR="009F6A3D" w:rsidRPr="00E31401" w:rsidRDefault="009F6A3D" w:rsidP="00E31401">
      <w:pPr>
        <w:pStyle w:val="Heading2"/>
        <w:spacing w:after="200" w:line="360" w:lineRule="auto"/>
        <w:jc w:val="both"/>
        <w:rPr>
          <w:rFonts w:ascii="Times New Roman" w:hAnsi="Times New Roman" w:cs="Times New Roman"/>
          <w:sz w:val="24"/>
          <w:szCs w:val="24"/>
          <w:lang w:val="en-US"/>
        </w:rPr>
      </w:pPr>
      <w:bookmarkStart w:id="2" w:name="_Toc161763262"/>
      <w:r w:rsidRPr="00E31401">
        <w:rPr>
          <w:rFonts w:ascii="Times New Roman" w:hAnsi="Times New Roman" w:cs="Times New Roman"/>
          <w:sz w:val="24"/>
          <w:szCs w:val="24"/>
          <w:lang w:val="en-US"/>
        </w:rPr>
        <w:t>Ratio Calculation</w:t>
      </w:r>
      <w:bookmarkEnd w:id="2"/>
      <w:r w:rsidRPr="00E31401">
        <w:rPr>
          <w:rFonts w:ascii="Times New Roman" w:hAnsi="Times New Roman" w:cs="Times New Roman"/>
          <w:sz w:val="24"/>
          <w:szCs w:val="24"/>
          <w:lang w:val="en-US"/>
        </w:rPr>
        <w:t xml:space="preserve"> </w:t>
      </w:r>
    </w:p>
    <w:tbl>
      <w:tblPr>
        <w:tblW w:w="10288" w:type="dxa"/>
        <w:tblLook w:val="04A0" w:firstRow="1" w:lastRow="0" w:firstColumn="1" w:lastColumn="0" w:noHBand="0" w:noVBand="1"/>
      </w:tblPr>
      <w:tblGrid>
        <w:gridCol w:w="2700"/>
        <w:gridCol w:w="2780"/>
        <w:gridCol w:w="828"/>
        <w:gridCol w:w="980"/>
        <w:gridCol w:w="1040"/>
        <w:gridCol w:w="980"/>
        <w:gridCol w:w="980"/>
      </w:tblGrid>
      <w:tr w:rsidR="000631C6" w:rsidRPr="00E31401" w14:paraId="173559EB" w14:textId="77777777" w:rsidTr="000631C6">
        <w:trPr>
          <w:trHeight w:val="288"/>
        </w:trPr>
        <w:tc>
          <w:tcPr>
            <w:tcW w:w="270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A19CAF3" w14:textId="1B1EF3E5" w:rsidR="000631C6" w:rsidRPr="00E31401" w:rsidRDefault="000631C6" w:rsidP="00E31401">
            <w:pPr>
              <w:spacing w:after="200" w:line="360" w:lineRule="auto"/>
              <w:jc w:val="both"/>
              <w:rPr>
                <w:rFonts w:ascii="Times New Roman" w:eastAsia="Times New Roman" w:hAnsi="Times New Roman" w:cs="Times New Roman"/>
                <w:b/>
                <w:bCs/>
                <w:color w:val="000000"/>
                <w:sz w:val="24"/>
                <w:szCs w:val="24"/>
                <w:lang w:eastAsia="en-GB"/>
                <w14:ligatures w14:val="none"/>
              </w:rPr>
            </w:pPr>
            <w:r w:rsidRPr="00E31401">
              <w:rPr>
                <w:rFonts w:ascii="Times New Roman" w:eastAsia="Times New Roman" w:hAnsi="Times New Roman" w:cs="Times New Roman"/>
                <w:b/>
                <w:bCs/>
                <w:color w:val="000000"/>
                <w:sz w:val="24"/>
                <w:szCs w:val="24"/>
                <w:lang w:eastAsia="en-GB"/>
                <w14:ligatures w14:val="none"/>
              </w:rPr>
              <w:t xml:space="preserve">Profitability ratios </w:t>
            </w:r>
          </w:p>
        </w:tc>
        <w:tc>
          <w:tcPr>
            <w:tcW w:w="2780" w:type="dxa"/>
            <w:tcBorders>
              <w:top w:val="single" w:sz="8" w:space="0" w:color="auto"/>
              <w:left w:val="nil"/>
              <w:bottom w:val="single" w:sz="4" w:space="0" w:color="auto"/>
              <w:right w:val="single" w:sz="4" w:space="0" w:color="auto"/>
            </w:tcBorders>
            <w:shd w:val="clear" w:color="auto" w:fill="auto"/>
            <w:noWrap/>
            <w:vAlign w:val="bottom"/>
            <w:hideMark/>
          </w:tcPr>
          <w:p w14:paraId="5A8BA298" w14:textId="77777777" w:rsidR="000631C6" w:rsidRPr="00E31401" w:rsidRDefault="000631C6" w:rsidP="00E31401">
            <w:pPr>
              <w:spacing w:after="200" w:line="360" w:lineRule="auto"/>
              <w:jc w:val="both"/>
              <w:rPr>
                <w:rFonts w:ascii="Times New Roman" w:eastAsia="Times New Roman" w:hAnsi="Times New Roman" w:cs="Times New Roman"/>
                <w:b/>
                <w:bCs/>
                <w:color w:val="000000"/>
                <w:sz w:val="24"/>
                <w:szCs w:val="24"/>
                <w:lang w:eastAsia="en-GB"/>
                <w14:ligatures w14:val="none"/>
              </w:rPr>
            </w:pPr>
            <w:r w:rsidRPr="00E31401">
              <w:rPr>
                <w:rFonts w:ascii="Times New Roman" w:eastAsia="Times New Roman" w:hAnsi="Times New Roman" w:cs="Times New Roman"/>
                <w:b/>
                <w:bCs/>
                <w:color w:val="000000"/>
                <w:sz w:val="24"/>
                <w:szCs w:val="24"/>
                <w:lang w:eastAsia="en-GB"/>
                <w14:ligatures w14:val="none"/>
              </w:rPr>
              <w:t xml:space="preserve">Formula </w:t>
            </w:r>
          </w:p>
        </w:tc>
        <w:tc>
          <w:tcPr>
            <w:tcW w:w="828" w:type="dxa"/>
            <w:tcBorders>
              <w:top w:val="single" w:sz="8" w:space="0" w:color="auto"/>
              <w:left w:val="nil"/>
              <w:bottom w:val="single" w:sz="4" w:space="0" w:color="auto"/>
              <w:right w:val="single" w:sz="4" w:space="0" w:color="auto"/>
            </w:tcBorders>
            <w:shd w:val="clear" w:color="auto" w:fill="auto"/>
            <w:noWrap/>
            <w:vAlign w:val="bottom"/>
            <w:hideMark/>
          </w:tcPr>
          <w:p w14:paraId="39E984A6" w14:textId="77777777" w:rsidR="000631C6" w:rsidRPr="00E31401" w:rsidRDefault="000631C6" w:rsidP="00E31401">
            <w:pPr>
              <w:spacing w:after="200" w:line="360" w:lineRule="auto"/>
              <w:jc w:val="both"/>
              <w:rPr>
                <w:rFonts w:ascii="Times New Roman" w:eastAsia="Times New Roman" w:hAnsi="Times New Roman" w:cs="Times New Roman"/>
                <w:b/>
                <w:bCs/>
                <w:color w:val="000000"/>
                <w:sz w:val="24"/>
                <w:szCs w:val="24"/>
                <w:lang w:eastAsia="en-GB"/>
                <w14:ligatures w14:val="none"/>
              </w:rPr>
            </w:pPr>
            <w:r w:rsidRPr="00E31401">
              <w:rPr>
                <w:rFonts w:ascii="Times New Roman" w:eastAsia="Times New Roman" w:hAnsi="Times New Roman" w:cs="Times New Roman"/>
                <w:b/>
                <w:bCs/>
                <w:color w:val="000000"/>
                <w:sz w:val="24"/>
                <w:szCs w:val="24"/>
                <w:lang w:eastAsia="en-GB"/>
                <w14:ligatures w14:val="none"/>
              </w:rPr>
              <w:t>2023</w:t>
            </w:r>
          </w:p>
        </w:tc>
        <w:tc>
          <w:tcPr>
            <w:tcW w:w="980" w:type="dxa"/>
            <w:tcBorders>
              <w:top w:val="single" w:sz="8" w:space="0" w:color="auto"/>
              <w:left w:val="nil"/>
              <w:bottom w:val="single" w:sz="4" w:space="0" w:color="auto"/>
              <w:right w:val="single" w:sz="4" w:space="0" w:color="auto"/>
            </w:tcBorders>
            <w:shd w:val="clear" w:color="auto" w:fill="auto"/>
            <w:noWrap/>
            <w:vAlign w:val="bottom"/>
            <w:hideMark/>
          </w:tcPr>
          <w:p w14:paraId="4E92AF91" w14:textId="77777777" w:rsidR="000631C6" w:rsidRPr="00E31401" w:rsidRDefault="000631C6" w:rsidP="00E31401">
            <w:pPr>
              <w:spacing w:after="200" w:line="360" w:lineRule="auto"/>
              <w:jc w:val="both"/>
              <w:rPr>
                <w:rFonts w:ascii="Times New Roman" w:eastAsia="Times New Roman" w:hAnsi="Times New Roman" w:cs="Times New Roman"/>
                <w:b/>
                <w:bCs/>
                <w:color w:val="000000"/>
                <w:sz w:val="24"/>
                <w:szCs w:val="24"/>
                <w:lang w:eastAsia="en-GB"/>
                <w14:ligatures w14:val="none"/>
              </w:rPr>
            </w:pPr>
            <w:r w:rsidRPr="00E31401">
              <w:rPr>
                <w:rFonts w:ascii="Times New Roman" w:eastAsia="Times New Roman" w:hAnsi="Times New Roman" w:cs="Times New Roman"/>
                <w:b/>
                <w:bCs/>
                <w:color w:val="000000"/>
                <w:sz w:val="24"/>
                <w:szCs w:val="24"/>
                <w:lang w:eastAsia="en-GB"/>
                <w14:ligatures w14:val="none"/>
              </w:rPr>
              <w:t>2022</w:t>
            </w:r>
          </w:p>
        </w:tc>
        <w:tc>
          <w:tcPr>
            <w:tcW w:w="1040" w:type="dxa"/>
            <w:tcBorders>
              <w:top w:val="single" w:sz="8" w:space="0" w:color="auto"/>
              <w:left w:val="nil"/>
              <w:bottom w:val="single" w:sz="4" w:space="0" w:color="auto"/>
              <w:right w:val="single" w:sz="4" w:space="0" w:color="auto"/>
            </w:tcBorders>
            <w:shd w:val="clear" w:color="auto" w:fill="auto"/>
            <w:noWrap/>
            <w:vAlign w:val="bottom"/>
            <w:hideMark/>
          </w:tcPr>
          <w:p w14:paraId="6C6630A7" w14:textId="77777777" w:rsidR="000631C6" w:rsidRPr="00E31401" w:rsidRDefault="000631C6" w:rsidP="00E31401">
            <w:pPr>
              <w:spacing w:after="200" w:line="360" w:lineRule="auto"/>
              <w:jc w:val="both"/>
              <w:rPr>
                <w:rFonts w:ascii="Times New Roman" w:eastAsia="Times New Roman" w:hAnsi="Times New Roman" w:cs="Times New Roman"/>
                <w:b/>
                <w:bCs/>
                <w:color w:val="000000"/>
                <w:sz w:val="24"/>
                <w:szCs w:val="24"/>
                <w:lang w:eastAsia="en-GB"/>
                <w14:ligatures w14:val="none"/>
              </w:rPr>
            </w:pPr>
            <w:r w:rsidRPr="00E31401">
              <w:rPr>
                <w:rFonts w:ascii="Times New Roman" w:eastAsia="Times New Roman" w:hAnsi="Times New Roman" w:cs="Times New Roman"/>
                <w:b/>
                <w:bCs/>
                <w:color w:val="000000"/>
                <w:sz w:val="24"/>
                <w:szCs w:val="24"/>
                <w:lang w:eastAsia="en-GB"/>
                <w14:ligatures w14:val="none"/>
              </w:rPr>
              <w:t>2021</w:t>
            </w:r>
          </w:p>
        </w:tc>
        <w:tc>
          <w:tcPr>
            <w:tcW w:w="980" w:type="dxa"/>
            <w:tcBorders>
              <w:top w:val="single" w:sz="8" w:space="0" w:color="auto"/>
              <w:left w:val="nil"/>
              <w:bottom w:val="single" w:sz="4" w:space="0" w:color="auto"/>
              <w:right w:val="single" w:sz="4" w:space="0" w:color="auto"/>
            </w:tcBorders>
            <w:shd w:val="clear" w:color="auto" w:fill="auto"/>
            <w:noWrap/>
            <w:vAlign w:val="bottom"/>
            <w:hideMark/>
          </w:tcPr>
          <w:p w14:paraId="276574D9" w14:textId="77777777" w:rsidR="000631C6" w:rsidRPr="00E31401" w:rsidRDefault="000631C6" w:rsidP="00E31401">
            <w:pPr>
              <w:spacing w:after="200" w:line="360" w:lineRule="auto"/>
              <w:jc w:val="both"/>
              <w:rPr>
                <w:rFonts w:ascii="Times New Roman" w:eastAsia="Times New Roman" w:hAnsi="Times New Roman" w:cs="Times New Roman"/>
                <w:b/>
                <w:bCs/>
                <w:color w:val="000000"/>
                <w:sz w:val="24"/>
                <w:szCs w:val="24"/>
                <w:lang w:eastAsia="en-GB"/>
                <w14:ligatures w14:val="none"/>
              </w:rPr>
            </w:pPr>
            <w:r w:rsidRPr="00E31401">
              <w:rPr>
                <w:rFonts w:ascii="Times New Roman" w:eastAsia="Times New Roman" w:hAnsi="Times New Roman" w:cs="Times New Roman"/>
                <w:b/>
                <w:bCs/>
                <w:color w:val="000000"/>
                <w:sz w:val="24"/>
                <w:szCs w:val="24"/>
                <w:lang w:eastAsia="en-GB"/>
                <w14:ligatures w14:val="none"/>
              </w:rPr>
              <w:t>2020</w:t>
            </w:r>
          </w:p>
        </w:tc>
        <w:tc>
          <w:tcPr>
            <w:tcW w:w="980" w:type="dxa"/>
            <w:tcBorders>
              <w:top w:val="single" w:sz="8" w:space="0" w:color="auto"/>
              <w:left w:val="nil"/>
              <w:bottom w:val="single" w:sz="4" w:space="0" w:color="auto"/>
              <w:right w:val="single" w:sz="8" w:space="0" w:color="auto"/>
            </w:tcBorders>
            <w:shd w:val="clear" w:color="auto" w:fill="auto"/>
            <w:noWrap/>
            <w:vAlign w:val="bottom"/>
            <w:hideMark/>
          </w:tcPr>
          <w:p w14:paraId="7A407E2C" w14:textId="77777777" w:rsidR="000631C6" w:rsidRPr="00E31401" w:rsidRDefault="000631C6" w:rsidP="00E31401">
            <w:pPr>
              <w:spacing w:after="200" w:line="360" w:lineRule="auto"/>
              <w:jc w:val="both"/>
              <w:rPr>
                <w:rFonts w:ascii="Times New Roman" w:eastAsia="Times New Roman" w:hAnsi="Times New Roman" w:cs="Times New Roman"/>
                <w:b/>
                <w:bCs/>
                <w:color w:val="000000"/>
                <w:sz w:val="24"/>
                <w:szCs w:val="24"/>
                <w:lang w:eastAsia="en-GB"/>
                <w14:ligatures w14:val="none"/>
              </w:rPr>
            </w:pPr>
            <w:r w:rsidRPr="00E31401">
              <w:rPr>
                <w:rFonts w:ascii="Times New Roman" w:eastAsia="Times New Roman" w:hAnsi="Times New Roman" w:cs="Times New Roman"/>
                <w:b/>
                <w:bCs/>
                <w:color w:val="000000"/>
                <w:sz w:val="24"/>
                <w:szCs w:val="24"/>
                <w:lang w:eastAsia="en-GB"/>
                <w14:ligatures w14:val="none"/>
              </w:rPr>
              <w:t>2019</w:t>
            </w:r>
          </w:p>
        </w:tc>
      </w:tr>
      <w:tr w:rsidR="000631C6" w:rsidRPr="00E31401" w14:paraId="4BDF4017"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74C750A1"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Net profit ratio </w:t>
            </w:r>
          </w:p>
        </w:tc>
        <w:tc>
          <w:tcPr>
            <w:tcW w:w="2780" w:type="dxa"/>
            <w:tcBorders>
              <w:top w:val="nil"/>
              <w:left w:val="nil"/>
              <w:bottom w:val="single" w:sz="4" w:space="0" w:color="auto"/>
              <w:right w:val="single" w:sz="4" w:space="0" w:color="auto"/>
            </w:tcBorders>
            <w:shd w:val="clear" w:color="auto" w:fill="auto"/>
            <w:noWrap/>
            <w:vAlign w:val="bottom"/>
            <w:hideMark/>
          </w:tcPr>
          <w:p w14:paraId="1D6D1C8A"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Net profit/ total sales </w:t>
            </w:r>
          </w:p>
        </w:tc>
        <w:tc>
          <w:tcPr>
            <w:tcW w:w="828" w:type="dxa"/>
            <w:tcBorders>
              <w:top w:val="nil"/>
              <w:left w:val="nil"/>
              <w:bottom w:val="single" w:sz="4" w:space="0" w:color="auto"/>
              <w:right w:val="single" w:sz="4" w:space="0" w:color="auto"/>
            </w:tcBorders>
            <w:shd w:val="clear" w:color="auto" w:fill="auto"/>
            <w:noWrap/>
            <w:vAlign w:val="bottom"/>
            <w:hideMark/>
          </w:tcPr>
          <w:p w14:paraId="7DEC8AE8"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18.42</w:t>
            </w:r>
          </w:p>
        </w:tc>
        <w:tc>
          <w:tcPr>
            <w:tcW w:w="980" w:type="dxa"/>
            <w:tcBorders>
              <w:top w:val="nil"/>
              <w:left w:val="nil"/>
              <w:bottom w:val="single" w:sz="4" w:space="0" w:color="auto"/>
              <w:right w:val="single" w:sz="4" w:space="0" w:color="auto"/>
            </w:tcBorders>
            <w:shd w:val="clear" w:color="auto" w:fill="auto"/>
            <w:noWrap/>
            <w:vAlign w:val="bottom"/>
            <w:hideMark/>
          </w:tcPr>
          <w:p w14:paraId="7699EFFF"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23.49</w:t>
            </w:r>
          </w:p>
        </w:tc>
        <w:tc>
          <w:tcPr>
            <w:tcW w:w="1040" w:type="dxa"/>
            <w:tcBorders>
              <w:top w:val="nil"/>
              <w:left w:val="nil"/>
              <w:bottom w:val="single" w:sz="4" w:space="0" w:color="auto"/>
              <w:right w:val="single" w:sz="4" w:space="0" w:color="auto"/>
            </w:tcBorders>
            <w:shd w:val="clear" w:color="auto" w:fill="auto"/>
            <w:noWrap/>
            <w:vAlign w:val="bottom"/>
            <w:hideMark/>
          </w:tcPr>
          <w:p w14:paraId="0A990473"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35.59</w:t>
            </w:r>
          </w:p>
        </w:tc>
        <w:tc>
          <w:tcPr>
            <w:tcW w:w="980" w:type="dxa"/>
            <w:tcBorders>
              <w:top w:val="nil"/>
              <w:left w:val="nil"/>
              <w:bottom w:val="single" w:sz="4" w:space="0" w:color="auto"/>
              <w:right w:val="single" w:sz="4" w:space="0" w:color="auto"/>
            </w:tcBorders>
            <w:shd w:val="clear" w:color="auto" w:fill="auto"/>
            <w:noWrap/>
            <w:vAlign w:val="bottom"/>
            <w:hideMark/>
          </w:tcPr>
          <w:p w14:paraId="2B4C582A"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23.31</w:t>
            </w:r>
          </w:p>
        </w:tc>
        <w:tc>
          <w:tcPr>
            <w:tcW w:w="980" w:type="dxa"/>
            <w:tcBorders>
              <w:top w:val="nil"/>
              <w:left w:val="nil"/>
              <w:bottom w:val="single" w:sz="4" w:space="0" w:color="auto"/>
              <w:right w:val="single" w:sz="8" w:space="0" w:color="auto"/>
            </w:tcBorders>
            <w:shd w:val="clear" w:color="auto" w:fill="auto"/>
            <w:noWrap/>
            <w:vAlign w:val="bottom"/>
            <w:hideMark/>
          </w:tcPr>
          <w:p w14:paraId="2ADF196D"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16.15</w:t>
            </w:r>
          </w:p>
        </w:tc>
      </w:tr>
      <w:tr w:rsidR="000631C6" w:rsidRPr="00E31401" w14:paraId="175955AD"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4EAA95DC"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Gross profit ration </w:t>
            </w:r>
          </w:p>
        </w:tc>
        <w:tc>
          <w:tcPr>
            <w:tcW w:w="2780" w:type="dxa"/>
            <w:tcBorders>
              <w:top w:val="nil"/>
              <w:left w:val="nil"/>
              <w:bottom w:val="single" w:sz="4" w:space="0" w:color="auto"/>
              <w:right w:val="single" w:sz="4" w:space="0" w:color="auto"/>
            </w:tcBorders>
            <w:shd w:val="clear" w:color="auto" w:fill="auto"/>
            <w:noWrap/>
            <w:vAlign w:val="bottom"/>
            <w:hideMark/>
          </w:tcPr>
          <w:p w14:paraId="0143FB28"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Gross profit/ total sales </w:t>
            </w:r>
          </w:p>
        </w:tc>
        <w:tc>
          <w:tcPr>
            <w:tcW w:w="828" w:type="dxa"/>
            <w:tcBorders>
              <w:top w:val="nil"/>
              <w:left w:val="nil"/>
              <w:bottom w:val="single" w:sz="4" w:space="0" w:color="auto"/>
              <w:right w:val="single" w:sz="4" w:space="0" w:color="auto"/>
            </w:tcBorders>
            <w:shd w:val="clear" w:color="auto" w:fill="auto"/>
            <w:noWrap/>
            <w:vAlign w:val="bottom"/>
            <w:hideMark/>
          </w:tcPr>
          <w:p w14:paraId="2806E607"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27.43</w:t>
            </w:r>
          </w:p>
        </w:tc>
        <w:tc>
          <w:tcPr>
            <w:tcW w:w="980" w:type="dxa"/>
            <w:tcBorders>
              <w:top w:val="nil"/>
              <w:left w:val="nil"/>
              <w:bottom w:val="single" w:sz="4" w:space="0" w:color="auto"/>
              <w:right w:val="single" w:sz="4" w:space="0" w:color="auto"/>
            </w:tcBorders>
            <w:shd w:val="clear" w:color="auto" w:fill="auto"/>
            <w:noWrap/>
            <w:vAlign w:val="bottom"/>
            <w:hideMark/>
          </w:tcPr>
          <w:p w14:paraId="2BB372BC"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35.88</w:t>
            </w:r>
          </w:p>
        </w:tc>
        <w:tc>
          <w:tcPr>
            <w:tcW w:w="1040" w:type="dxa"/>
            <w:tcBorders>
              <w:top w:val="nil"/>
              <w:left w:val="nil"/>
              <w:bottom w:val="single" w:sz="4" w:space="0" w:color="auto"/>
              <w:right w:val="single" w:sz="4" w:space="0" w:color="auto"/>
            </w:tcBorders>
            <w:shd w:val="clear" w:color="auto" w:fill="auto"/>
            <w:noWrap/>
            <w:vAlign w:val="bottom"/>
            <w:hideMark/>
          </w:tcPr>
          <w:p w14:paraId="1E45739F"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46.96</w:t>
            </w:r>
          </w:p>
        </w:tc>
        <w:tc>
          <w:tcPr>
            <w:tcW w:w="980" w:type="dxa"/>
            <w:tcBorders>
              <w:top w:val="nil"/>
              <w:left w:val="nil"/>
              <w:bottom w:val="single" w:sz="4" w:space="0" w:color="auto"/>
              <w:right w:val="single" w:sz="4" w:space="0" w:color="auto"/>
            </w:tcBorders>
            <w:shd w:val="clear" w:color="auto" w:fill="auto"/>
            <w:noWrap/>
            <w:vAlign w:val="bottom"/>
            <w:hideMark/>
          </w:tcPr>
          <w:p w14:paraId="69716A5F"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37.72</w:t>
            </w:r>
          </w:p>
        </w:tc>
        <w:tc>
          <w:tcPr>
            <w:tcW w:w="980" w:type="dxa"/>
            <w:tcBorders>
              <w:top w:val="nil"/>
              <w:left w:val="nil"/>
              <w:bottom w:val="single" w:sz="4" w:space="0" w:color="auto"/>
              <w:right w:val="single" w:sz="8" w:space="0" w:color="auto"/>
            </w:tcBorders>
            <w:shd w:val="clear" w:color="auto" w:fill="auto"/>
            <w:noWrap/>
            <w:vAlign w:val="bottom"/>
            <w:hideMark/>
          </w:tcPr>
          <w:p w14:paraId="3F0AAB45"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26.56</w:t>
            </w:r>
          </w:p>
        </w:tc>
      </w:tr>
      <w:tr w:rsidR="000631C6" w:rsidRPr="00E31401" w14:paraId="32DBBB22"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59389EFE"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Return on equity ratio </w:t>
            </w:r>
          </w:p>
        </w:tc>
        <w:tc>
          <w:tcPr>
            <w:tcW w:w="2780" w:type="dxa"/>
            <w:tcBorders>
              <w:top w:val="nil"/>
              <w:left w:val="nil"/>
              <w:bottom w:val="single" w:sz="4" w:space="0" w:color="auto"/>
              <w:right w:val="single" w:sz="4" w:space="0" w:color="auto"/>
            </w:tcBorders>
            <w:shd w:val="clear" w:color="auto" w:fill="auto"/>
            <w:noWrap/>
            <w:vAlign w:val="bottom"/>
            <w:hideMark/>
          </w:tcPr>
          <w:p w14:paraId="6C386B9C"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Net profit/ Total equity </w:t>
            </w:r>
          </w:p>
        </w:tc>
        <w:tc>
          <w:tcPr>
            <w:tcW w:w="828" w:type="dxa"/>
            <w:tcBorders>
              <w:top w:val="nil"/>
              <w:left w:val="nil"/>
              <w:bottom w:val="single" w:sz="4" w:space="0" w:color="auto"/>
              <w:right w:val="single" w:sz="4" w:space="0" w:color="auto"/>
            </w:tcBorders>
            <w:shd w:val="clear" w:color="auto" w:fill="auto"/>
            <w:noWrap/>
            <w:vAlign w:val="bottom"/>
            <w:hideMark/>
          </w:tcPr>
          <w:p w14:paraId="4B852ABE"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17.67</w:t>
            </w:r>
          </w:p>
        </w:tc>
        <w:tc>
          <w:tcPr>
            <w:tcW w:w="980" w:type="dxa"/>
            <w:tcBorders>
              <w:top w:val="nil"/>
              <w:left w:val="nil"/>
              <w:bottom w:val="single" w:sz="4" w:space="0" w:color="auto"/>
              <w:right w:val="single" w:sz="4" w:space="0" w:color="auto"/>
            </w:tcBorders>
            <w:shd w:val="clear" w:color="auto" w:fill="auto"/>
            <w:noWrap/>
            <w:vAlign w:val="bottom"/>
            <w:hideMark/>
          </w:tcPr>
          <w:p w14:paraId="4EC5AA97"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24.74</w:t>
            </w:r>
          </w:p>
        </w:tc>
        <w:tc>
          <w:tcPr>
            <w:tcW w:w="1040" w:type="dxa"/>
            <w:tcBorders>
              <w:top w:val="nil"/>
              <w:left w:val="nil"/>
              <w:bottom w:val="single" w:sz="4" w:space="0" w:color="auto"/>
              <w:right w:val="single" w:sz="4" w:space="0" w:color="auto"/>
            </w:tcBorders>
            <w:shd w:val="clear" w:color="auto" w:fill="auto"/>
            <w:noWrap/>
            <w:vAlign w:val="bottom"/>
            <w:hideMark/>
          </w:tcPr>
          <w:p w14:paraId="102E4E75"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39.93</w:t>
            </w:r>
          </w:p>
        </w:tc>
        <w:tc>
          <w:tcPr>
            <w:tcW w:w="980" w:type="dxa"/>
            <w:tcBorders>
              <w:top w:val="nil"/>
              <w:left w:val="nil"/>
              <w:bottom w:val="single" w:sz="4" w:space="0" w:color="auto"/>
              <w:right w:val="single" w:sz="4" w:space="0" w:color="auto"/>
            </w:tcBorders>
            <w:shd w:val="clear" w:color="auto" w:fill="auto"/>
            <w:noWrap/>
            <w:vAlign w:val="bottom"/>
            <w:hideMark/>
          </w:tcPr>
          <w:p w14:paraId="5B848BAF"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20.04</w:t>
            </w:r>
          </w:p>
        </w:tc>
        <w:tc>
          <w:tcPr>
            <w:tcW w:w="980" w:type="dxa"/>
            <w:tcBorders>
              <w:top w:val="nil"/>
              <w:left w:val="nil"/>
              <w:bottom w:val="single" w:sz="4" w:space="0" w:color="auto"/>
              <w:right w:val="single" w:sz="8" w:space="0" w:color="auto"/>
            </w:tcBorders>
            <w:shd w:val="clear" w:color="auto" w:fill="auto"/>
            <w:noWrap/>
            <w:vAlign w:val="bottom"/>
            <w:hideMark/>
          </w:tcPr>
          <w:p w14:paraId="06EFA6B9"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15.41</w:t>
            </w:r>
          </w:p>
        </w:tc>
      </w:tr>
      <w:tr w:rsidR="000631C6" w:rsidRPr="00E31401" w14:paraId="79C3376B"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32A6DC79"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2780" w:type="dxa"/>
            <w:tcBorders>
              <w:top w:val="nil"/>
              <w:left w:val="nil"/>
              <w:bottom w:val="single" w:sz="4" w:space="0" w:color="auto"/>
              <w:right w:val="single" w:sz="4" w:space="0" w:color="auto"/>
            </w:tcBorders>
            <w:shd w:val="clear" w:color="auto" w:fill="auto"/>
            <w:noWrap/>
            <w:vAlign w:val="bottom"/>
            <w:hideMark/>
          </w:tcPr>
          <w:p w14:paraId="4664CE9F"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828" w:type="dxa"/>
            <w:tcBorders>
              <w:top w:val="nil"/>
              <w:left w:val="nil"/>
              <w:bottom w:val="single" w:sz="4" w:space="0" w:color="auto"/>
              <w:right w:val="single" w:sz="4" w:space="0" w:color="auto"/>
            </w:tcBorders>
            <w:shd w:val="clear" w:color="auto" w:fill="auto"/>
            <w:noWrap/>
            <w:vAlign w:val="bottom"/>
            <w:hideMark/>
          </w:tcPr>
          <w:p w14:paraId="24577A3D"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4" w:space="0" w:color="auto"/>
            </w:tcBorders>
            <w:shd w:val="clear" w:color="auto" w:fill="auto"/>
            <w:noWrap/>
            <w:vAlign w:val="bottom"/>
            <w:hideMark/>
          </w:tcPr>
          <w:p w14:paraId="4AF92CC8"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040" w:type="dxa"/>
            <w:tcBorders>
              <w:top w:val="nil"/>
              <w:left w:val="nil"/>
              <w:bottom w:val="single" w:sz="4" w:space="0" w:color="auto"/>
              <w:right w:val="single" w:sz="4" w:space="0" w:color="auto"/>
            </w:tcBorders>
            <w:shd w:val="clear" w:color="auto" w:fill="auto"/>
            <w:noWrap/>
            <w:vAlign w:val="bottom"/>
            <w:hideMark/>
          </w:tcPr>
          <w:p w14:paraId="5437DE74"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4" w:space="0" w:color="auto"/>
            </w:tcBorders>
            <w:shd w:val="clear" w:color="auto" w:fill="auto"/>
            <w:noWrap/>
            <w:vAlign w:val="bottom"/>
            <w:hideMark/>
          </w:tcPr>
          <w:p w14:paraId="7E5DF442"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8" w:space="0" w:color="auto"/>
            </w:tcBorders>
            <w:shd w:val="clear" w:color="auto" w:fill="auto"/>
            <w:noWrap/>
            <w:vAlign w:val="bottom"/>
            <w:hideMark/>
          </w:tcPr>
          <w:p w14:paraId="75708C4C"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r>
      <w:tr w:rsidR="000631C6" w:rsidRPr="00E31401" w14:paraId="3C7D49F5"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5131EECB"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Liquidity ratio </w:t>
            </w:r>
          </w:p>
        </w:tc>
        <w:tc>
          <w:tcPr>
            <w:tcW w:w="2780" w:type="dxa"/>
            <w:tcBorders>
              <w:top w:val="nil"/>
              <w:left w:val="nil"/>
              <w:bottom w:val="single" w:sz="4" w:space="0" w:color="auto"/>
              <w:right w:val="single" w:sz="4" w:space="0" w:color="auto"/>
            </w:tcBorders>
            <w:shd w:val="clear" w:color="auto" w:fill="auto"/>
            <w:noWrap/>
            <w:vAlign w:val="bottom"/>
            <w:hideMark/>
          </w:tcPr>
          <w:p w14:paraId="03A2C362"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828" w:type="dxa"/>
            <w:tcBorders>
              <w:top w:val="nil"/>
              <w:left w:val="nil"/>
              <w:bottom w:val="single" w:sz="4" w:space="0" w:color="auto"/>
              <w:right w:val="single" w:sz="4" w:space="0" w:color="auto"/>
            </w:tcBorders>
            <w:shd w:val="clear" w:color="auto" w:fill="auto"/>
            <w:noWrap/>
            <w:vAlign w:val="bottom"/>
            <w:hideMark/>
          </w:tcPr>
          <w:p w14:paraId="162E2DB8"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4" w:space="0" w:color="auto"/>
            </w:tcBorders>
            <w:shd w:val="clear" w:color="auto" w:fill="auto"/>
            <w:noWrap/>
            <w:vAlign w:val="bottom"/>
            <w:hideMark/>
          </w:tcPr>
          <w:p w14:paraId="049C9848"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040" w:type="dxa"/>
            <w:tcBorders>
              <w:top w:val="nil"/>
              <w:left w:val="nil"/>
              <w:bottom w:val="single" w:sz="4" w:space="0" w:color="auto"/>
              <w:right w:val="single" w:sz="4" w:space="0" w:color="auto"/>
            </w:tcBorders>
            <w:shd w:val="clear" w:color="auto" w:fill="auto"/>
            <w:noWrap/>
            <w:vAlign w:val="bottom"/>
            <w:hideMark/>
          </w:tcPr>
          <w:p w14:paraId="068AAA9F"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4" w:space="0" w:color="auto"/>
            </w:tcBorders>
            <w:shd w:val="clear" w:color="auto" w:fill="auto"/>
            <w:noWrap/>
            <w:vAlign w:val="bottom"/>
            <w:hideMark/>
          </w:tcPr>
          <w:p w14:paraId="10C04C8A"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8" w:space="0" w:color="auto"/>
            </w:tcBorders>
            <w:shd w:val="clear" w:color="auto" w:fill="auto"/>
            <w:noWrap/>
            <w:vAlign w:val="bottom"/>
            <w:hideMark/>
          </w:tcPr>
          <w:p w14:paraId="3C44F524"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r>
      <w:tr w:rsidR="000631C6" w:rsidRPr="00E31401" w14:paraId="15118821"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2D8B1AB7"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Current ratio</w:t>
            </w:r>
          </w:p>
        </w:tc>
        <w:tc>
          <w:tcPr>
            <w:tcW w:w="2780" w:type="dxa"/>
            <w:tcBorders>
              <w:top w:val="nil"/>
              <w:left w:val="nil"/>
              <w:bottom w:val="single" w:sz="4" w:space="0" w:color="auto"/>
              <w:right w:val="single" w:sz="4" w:space="0" w:color="auto"/>
            </w:tcBorders>
            <w:shd w:val="clear" w:color="auto" w:fill="auto"/>
            <w:noWrap/>
            <w:vAlign w:val="bottom"/>
            <w:hideMark/>
          </w:tcPr>
          <w:p w14:paraId="4C8CA8BC"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Current assets/ current liabilities </w:t>
            </w:r>
          </w:p>
        </w:tc>
        <w:tc>
          <w:tcPr>
            <w:tcW w:w="828" w:type="dxa"/>
            <w:tcBorders>
              <w:top w:val="nil"/>
              <w:left w:val="nil"/>
              <w:bottom w:val="single" w:sz="4" w:space="0" w:color="auto"/>
              <w:right w:val="single" w:sz="4" w:space="0" w:color="auto"/>
            </w:tcBorders>
            <w:shd w:val="clear" w:color="auto" w:fill="auto"/>
            <w:noWrap/>
            <w:vAlign w:val="bottom"/>
            <w:hideMark/>
          </w:tcPr>
          <w:p w14:paraId="4B320E5C"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1.69</w:t>
            </w:r>
          </w:p>
        </w:tc>
        <w:tc>
          <w:tcPr>
            <w:tcW w:w="980" w:type="dxa"/>
            <w:tcBorders>
              <w:top w:val="nil"/>
              <w:left w:val="nil"/>
              <w:bottom w:val="single" w:sz="4" w:space="0" w:color="auto"/>
              <w:right w:val="single" w:sz="4" w:space="0" w:color="auto"/>
            </w:tcBorders>
            <w:shd w:val="clear" w:color="auto" w:fill="auto"/>
            <w:noWrap/>
            <w:vAlign w:val="bottom"/>
            <w:hideMark/>
          </w:tcPr>
          <w:p w14:paraId="5A5DC5FF"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1.64</w:t>
            </w:r>
          </w:p>
        </w:tc>
        <w:tc>
          <w:tcPr>
            <w:tcW w:w="1040" w:type="dxa"/>
            <w:tcBorders>
              <w:top w:val="nil"/>
              <w:left w:val="nil"/>
              <w:bottom w:val="single" w:sz="4" w:space="0" w:color="auto"/>
              <w:right w:val="single" w:sz="4" w:space="0" w:color="auto"/>
            </w:tcBorders>
            <w:shd w:val="clear" w:color="auto" w:fill="auto"/>
            <w:noWrap/>
            <w:vAlign w:val="bottom"/>
            <w:hideMark/>
          </w:tcPr>
          <w:p w14:paraId="5A81BB06"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1.93</w:t>
            </w:r>
          </w:p>
        </w:tc>
        <w:tc>
          <w:tcPr>
            <w:tcW w:w="980" w:type="dxa"/>
            <w:tcBorders>
              <w:top w:val="nil"/>
              <w:left w:val="nil"/>
              <w:bottom w:val="single" w:sz="4" w:space="0" w:color="auto"/>
              <w:right w:val="single" w:sz="4" w:space="0" w:color="auto"/>
            </w:tcBorders>
            <w:shd w:val="clear" w:color="auto" w:fill="auto"/>
            <w:noWrap/>
            <w:vAlign w:val="bottom"/>
            <w:hideMark/>
          </w:tcPr>
          <w:p w14:paraId="3DF0CAE4"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1.80</w:t>
            </w:r>
          </w:p>
        </w:tc>
        <w:tc>
          <w:tcPr>
            <w:tcW w:w="980" w:type="dxa"/>
            <w:tcBorders>
              <w:top w:val="nil"/>
              <w:left w:val="nil"/>
              <w:bottom w:val="single" w:sz="4" w:space="0" w:color="auto"/>
              <w:right w:val="single" w:sz="8" w:space="0" w:color="auto"/>
            </w:tcBorders>
            <w:shd w:val="clear" w:color="auto" w:fill="auto"/>
            <w:noWrap/>
            <w:vAlign w:val="bottom"/>
            <w:hideMark/>
          </w:tcPr>
          <w:p w14:paraId="59A47461"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1.56</w:t>
            </w:r>
          </w:p>
        </w:tc>
      </w:tr>
      <w:tr w:rsidR="000631C6" w:rsidRPr="00E31401" w14:paraId="2F12292C"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5CA01A20"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Quick ratio</w:t>
            </w:r>
          </w:p>
        </w:tc>
        <w:tc>
          <w:tcPr>
            <w:tcW w:w="2780" w:type="dxa"/>
            <w:tcBorders>
              <w:top w:val="nil"/>
              <w:left w:val="nil"/>
              <w:bottom w:val="single" w:sz="4" w:space="0" w:color="auto"/>
              <w:right w:val="single" w:sz="4" w:space="0" w:color="auto"/>
            </w:tcBorders>
            <w:shd w:val="clear" w:color="auto" w:fill="auto"/>
            <w:noWrap/>
            <w:vAlign w:val="bottom"/>
            <w:hideMark/>
          </w:tcPr>
          <w:p w14:paraId="05172A0D" w14:textId="00099666"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Quick assets/ current liabilities </w:t>
            </w:r>
          </w:p>
        </w:tc>
        <w:tc>
          <w:tcPr>
            <w:tcW w:w="828" w:type="dxa"/>
            <w:tcBorders>
              <w:top w:val="nil"/>
              <w:left w:val="nil"/>
              <w:bottom w:val="single" w:sz="4" w:space="0" w:color="auto"/>
              <w:right w:val="single" w:sz="4" w:space="0" w:color="auto"/>
            </w:tcBorders>
            <w:shd w:val="clear" w:color="auto" w:fill="auto"/>
            <w:noWrap/>
            <w:vAlign w:val="bottom"/>
            <w:hideMark/>
          </w:tcPr>
          <w:p w14:paraId="64B4E1D4"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0.48</w:t>
            </w:r>
          </w:p>
        </w:tc>
        <w:tc>
          <w:tcPr>
            <w:tcW w:w="980" w:type="dxa"/>
            <w:tcBorders>
              <w:top w:val="nil"/>
              <w:left w:val="nil"/>
              <w:bottom w:val="single" w:sz="4" w:space="0" w:color="auto"/>
              <w:right w:val="single" w:sz="4" w:space="0" w:color="auto"/>
            </w:tcBorders>
            <w:shd w:val="clear" w:color="auto" w:fill="auto"/>
            <w:noWrap/>
            <w:vAlign w:val="bottom"/>
            <w:hideMark/>
          </w:tcPr>
          <w:p w14:paraId="0A486932"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0.46</w:t>
            </w:r>
          </w:p>
        </w:tc>
        <w:tc>
          <w:tcPr>
            <w:tcW w:w="1040" w:type="dxa"/>
            <w:tcBorders>
              <w:top w:val="nil"/>
              <w:left w:val="nil"/>
              <w:bottom w:val="single" w:sz="4" w:space="0" w:color="auto"/>
              <w:right w:val="single" w:sz="4" w:space="0" w:color="auto"/>
            </w:tcBorders>
            <w:shd w:val="clear" w:color="auto" w:fill="auto"/>
            <w:noWrap/>
            <w:vAlign w:val="bottom"/>
            <w:hideMark/>
          </w:tcPr>
          <w:p w14:paraId="16F85B37"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0.57</w:t>
            </w:r>
          </w:p>
        </w:tc>
        <w:tc>
          <w:tcPr>
            <w:tcW w:w="980" w:type="dxa"/>
            <w:tcBorders>
              <w:top w:val="nil"/>
              <w:left w:val="nil"/>
              <w:bottom w:val="single" w:sz="4" w:space="0" w:color="auto"/>
              <w:right w:val="single" w:sz="4" w:space="0" w:color="auto"/>
            </w:tcBorders>
            <w:shd w:val="clear" w:color="auto" w:fill="auto"/>
            <w:noWrap/>
            <w:vAlign w:val="bottom"/>
            <w:hideMark/>
          </w:tcPr>
          <w:p w14:paraId="50CFFB5C"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0.66</w:t>
            </w:r>
          </w:p>
        </w:tc>
        <w:tc>
          <w:tcPr>
            <w:tcW w:w="980" w:type="dxa"/>
            <w:tcBorders>
              <w:top w:val="nil"/>
              <w:left w:val="nil"/>
              <w:bottom w:val="single" w:sz="4" w:space="0" w:color="auto"/>
              <w:right w:val="single" w:sz="8" w:space="0" w:color="auto"/>
            </w:tcBorders>
            <w:shd w:val="clear" w:color="auto" w:fill="auto"/>
            <w:noWrap/>
            <w:vAlign w:val="bottom"/>
            <w:hideMark/>
          </w:tcPr>
          <w:p w14:paraId="55EAE2F8"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0.69</w:t>
            </w:r>
          </w:p>
        </w:tc>
      </w:tr>
      <w:tr w:rsidR="000631C6" w:rsidRPr="00E31401" w14:paraId="7136E568"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66C25818"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2780" w:type="dxa"/>
            <w:tcBorders>
              <w:top w:val="nil"/>
              <w:left w:val="nil"/>
              <w:bottom w:val="single" w:sz="4" w:space="0" w:color="auto"/>
              <w:right w:val="single" w:sz="4" w:space="0" w:color="auto"/>
            </w:tcBorders>
            <w:shd w:val="clear" w:color="auto" w:fill="auto"/>
            <w:noWrap/>
            <w:vAlign w:val="bottom"/>
            <w:hideMark/>
          </w:tcPr>
          <w:p w14:paraId="48BA8C20"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828" w:type="dxa"/>
            <w:tcBorders>
              <w:top w:val="nil"/>
              <w:left w:val="nil"/>
              <w:bottom w:val="single" w:sz="4" w:space="0" w:color="auto"/>
              <w:right w:val="single" w:sz="4" w:space="0" w:color="auto"/>
            </w:tcBorders>
            <w:shd w:val="clear" w:color="auto" w:fill="auto"/>
            <w:noWrap/>
            <w:vAlign w:val="bottom"/>
            <w:hideMark/>
          </w:tcPr>
          <w:p w14:paraId="379E87AF"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4" w:space="0" w:color="auto"/>
            </w:tcBorders>
            <w:shd w:val="clear" w:color="auto" w:fill="auto"/>
            <w:noWrap/>
            <w:vAlign w:val="bottom"/>
            <w:hideMark/>
          </w:tcPr>
          <w:p w14:paraId="57C8192B"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040" w:type="dxa"/>
            <w:tcBorders>
              <w:top w:val="nil"/>
              <w:left w:val="nil"/>
              <w:bottom w:val="single" w:sz="4" w:space="0" w:color="auto"/>
              <w:right w:val="single" w:sz="4" w:space="0" w:color="auto"/>
            </w:tcBorders>
            <w:shd w:val="clear" w:color="auto" w:fill="auto"/>
            <w:noWrap/>
            <w:vAlign w:val="bottom"/>
            <w:hideMark/>
          </w:tcPr>
          <w:p w14:paraId="327A633C"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4" w:space="0" w:color="auto"/>
            </w:tcBorders>
            <w:shd w:val="clear" w:color="auto" w:fill="auto"/>
            <w:noWrap/>
            <w:vAlign w:val="bottom"/>
            <w:hideMark/>
          </w:tcPr>
          <w:p w14:paraId="1C3DBBC2"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8" w:space="0" w:color="auto"/>
            </w:tcBorders>
            <w:shd w:val="clear" w:color="auto" w:fill="auto"/>
            <w:noWrap/>
            <w:vAlign w:val="bottom"/>
            <w:hideMark/>
          </w:tcPr>
          <w:p w14:paraId="0758B57B"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r>
      <w:tr w:rsidR="000631C6" w:rsidRPr="00E31401" w14:paraId="4CEC2616"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620BA9AF"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Efficiency ratio </w:t>
            </w:r>
          </w:p>
        </w:tc>
        <w:tc>
          <w:tcPr>
            <w:tcW w:w="2780" w:type="dxa"/>
            <w:tcBorders>
              <w:top w:val="nil"/>
              <w:left w:val="nil"/>
              <w:bottom w:val="single" w:sz="4" w:space="0" w:color="auto"/>
              <w:right w:val="single" w:sz="4" w:space="0" w:color="auto"/>
            </w:tcBorders>
            <w:shd w:val="clear" w:color="auto" w:fill="auto"/>
            <w:noWrap/>
            <w:vAlign w:val="bottom"/>
            <w:hideMark/>
          </w:tcPr>
          <w:p w14:paraId="747995C8"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828" w:type="dxa"/>
            <w:tcBorders>
              <w:top w:val="nil"/>
              <w:left w:val="nil"/>
              <w:bottom w:val="single" w:sz="4" w:space="0" w:color="auto"/>
              <w:right w:val="single" w:sz="4" w:space="0" w:color="auto"/>
            </w:tcBorders>
            <w:shd w:val="clear" w:color="auto" w:fill="auto"/>
            <w:noWrap/>
            <w:vAlign w:val="bottom"/>
            <w:hideMark/>
          </w:tcPr>
          <w:p w14:paraId="7774197B"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4" w:space="0" w:color="auto"/>
            </w:tcBorders>
            <w:shd w:val="clear" w:color="auto" w:fill="auto"/>
            <w:noWrap/>
            <w:vAlign w:val="bottom"/>
            <w:hideMark/>
          </w:tcPr>
          <w:p w14:paraId="3C027F64"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040" w:type="dxa"/>
            <w:tcBorders>
              <w:top w:val="nil"/>
              <w:left w:val="nil"/>
              <w:bottom w:val="single" w:sz="4" w:space="0" w:color="auto"/>
              <w:right w:val="single" w:sz="4" w:space="0" w:color="auto"/>
            </w:tcBorders>
            <w:shd w:val="clear" w:color="auto" w:fill="auto"/>
            <w:noWrap/>
            <w:vAlign w:val="bottom"/>
            <w:hideMark/>
          </w:tcPr>
          <w:p w14:paraId="46DDF4F9"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4" w:space="0" w:color="auto"/>
            </w:tcBorders>
            <w:shd w:val="clear" w:color="auto" w:fill="auto"/>
            <w:noWrap/>
            <w:vAlign w:val="bottom"/>
            <w:hideMark/>
          </w:tcPr>
          <w:p w14:paraId="4C0BBF89"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8" w:space="0" w:color="auto"/>
            </w:tcBorders>
            <w:shd w:val="clear" w:color="auto" w:fill="auto"/>
            <w:noWrap/>
            <w:vAlign w:val="bottom"/>
            <w:hideMark/>
          </w:tcPr>
          <w:p w14:paraId="79BFC4C1"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r>
      <w:tr w:rsidR="000631C6" w:rsidRPr="00E31401" w14:paraId="6F8A652A"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1A7DEB24"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Accounts receivable turnover</w:t>
            </w:r>
          </w:p>
        </w:tc>
        <w:tc>
          <w:tcPr>
            <w:tcW w:w="2780" w:type="dxa"/>
            <w:tcBorders>
              <w:top w:val="nil"/>
              <w:left w:val="nil"/>
              <w:bottom w:val="single" w:sz="4" w:space="0" w:color="auto"/>
              <w:right w:val="single" w:sz="4" w:space="0" w:color="auto"/>
            </w:tcBorders>
            <w:shd w:val="clear" w:color="auto" w:fill="auto"/>
            <w:noWrap/>
            <w:vAlign w:val="bottom"/>
            <w:hideMark/>
          </w:tcPr>
          <w:p w14:paraId="6BB2930D"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Net credit sales/ average accounts receivable</w:t>
            </w:r>
          </w:p>
        </w:tc>
        <w:tc>
          <w:tcPr>
            <w:tcW w:w="828" w:type="dxa"/>
            <w:tcBorders>
              <w:top w:val="nil"/>
              <w:left w:val="nil"/>
              <w:bottom w:val="single" w:sz="4" w:space="0" w:color="auto"/>
              <w:right w:val="single" w:sz="4" w:space="0" w:color="auto"/>
            </w:tcBorders>
            <w:shd w:val="clear" w:color="auto" w:fill="auto"/>
            <w:noWrap/>
            <w:vAlign w:val="bottom"/>
            <w:hideMark/>
          </w:tcPr>
          <w:p w14:paraId="3CC044CC"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13.70</w:t>
            </w:r>
          </w:p>
        </w:tc>
        <w:tc>
          <w:tcPr>
            <w:tcW w:w="980" w:type="dxa"/>
            <w:tcBorders>
              <w:top w:val="nil"/>
              <w:left w:val="nil"/>
              <w:bottom w:val="single" w:sz="4" w:space="0" w:color="auto"/>
              <w:right w:val="single" w:sz="4" w:space="0" w:color="auto"/>
            </w:tcBorders>
            <w:shd w:val="clear" w:color="auto" w:fill="auto"/>
            <w:noWrap/>
            <w:vAlign w:val="bottom"/>
            <w:hideMark/>
          </w:tcPr>
          <w:p w14:paraId="371C0F51"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15.97</w:t>
            </w:r>
          </w:p>
        </w:tc>
        <w:tc>
          <w:tcPr>
            <w:tcW w:w="1040" w:type="dxa"/>
            <w:tcBorders>
              <w:top w:val="nil"/>
              <w:left w:val="nil"/>
              <w:bottom w:val="single" w:sz="4" w:space="0" w:color="auto"/>
              <w:right w:val="single" w:sz="4" w:space="0" w:color="auto"/>
            </w:tcBorders>
            <w:shd w:val="clear" w:color="auto" w:fill="auto"/>
            <w:noWrap/>
            <w:vAlign w:val="bottom"/>
            <w:hideMark/>
          </w:tcPr>
          <w:p w14:paraId="4A845BA9"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17.77</w:t>
            </w:r>
          </w:p>
        </w:tc>
        <w:tc>
          <w:tcPr>
            <w:tcW w:w="980" w:type="dxa"/>
            <w:tcBorders>
              <w:top w:val="nil"/>
              <w:left w:val="nil"/>
              <w:bottom w:val="single" w:sz="4" w:space="0" w:color="auto"/>
              <w:right w:val="single" w:sz="4" w:space="0" w:color="auto"/>
            </w:tcBorders>
            <w:shd w:val="clear" w:color="auto" w:fill="auto"/>
            <w:noWrap/>
            <w:vAlign w:val="bottom"/>
            <w:hideMark/>
          </w:tcPr>
          <w:p w14:paraId="52BD35F0"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12.24</w:t>
            </w:r>
          </w:p>
        </w:tc>
        <w:tc>
          <w:tcPr>
            <w:tcW w:w="980" w:type="dxa"/>
            <w:tcBorders>
              <w:top w:val="nil"/>
              <w:left w:val="nil"/>
              <w:bottom w:val="single" w:sz="4" w:space="0" w:color="auto"/>
              <w:right w:val="single" w:sz="8" w:space="0" w:color="auto"/>
            </w:tcBorders>
            <w:shd w:val="clear" w:color="auto" w:fill="auto"/>
            <w:noWrap/>
            <w:vAlign w:val="bottom"/>
            <w:hideMark/>
          </w:tcPr>
          <w:p w14:paraId="3FCB2655"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14.26</w:t>
            </w:r>
          </w:p>
        </w:tc>
      </w:tr>
      <w:tr w:rsidR="000631C6" w:rsidRPr="00E31401" w14:paraId="3734BEEE"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2B57F7BE"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Fixed asset turnover</w:t>
            </w:r>
          </w:p>
        </w:tc>
        <w:tc>
          <w:tcPr>
            <w:tcW w:w="2780" w:type="dxa"/>
            <w:tcBorders>
              <w:top w:val="nil"/>
              <w:left w:val="nil"/>
              <w:bottom w:val="single" w:sz="4" w:space="0" w:color="auto"/>
              <w:right w:val="single" w:sz="4" w:space="0" w:color="auto"/>
            </w:tcBorders>
            <w:shd w:val="clear" w:color="auto" w:fill="auto"/>
            <w:noWrap/>
            <w:vAlign w:val="bottom"/>
            <w:hideMark/>
          </w:tcPr>
          <w:p w14:paraId="68C7F4AF"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Net sales/ Net fixed assets</w:t>
            </w:r>
          </w:p>
        </w:tc>
        <w:tc>
          <w:tcPr>
            <w:tcW w:w="828" w:type="dxa"/>
            <w:tcBorders>
              <w:top w:val="nil"/>
              <w:left w:val="nil"/>
              <w:bottom w:val="single" w:sz="4" w:space="0" w:color="auto"/>
              <w:right w:val="single" w:sz="4" w:space="0" w:color="auto"/>
            </w:tcBorders>
            <w:shd w:val="clear" w:color="auto" w:fill="auto"/>
            <w:noWrap/>
            <w:vAlign w:val="bottom"/>
            <w:hideMark/>
          </w:tcPr>
          <w:p w14:paraId="5A02D469"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0.66</w:t>
            </w:r>
          </w:p>
        </w:tc>
        <w:tc>
          <w:tcPr>
            <w:tcW w:w="980" w:type="dxa"/>
            <w:tcBorders>
              <w:top w:val="nil"/>
              <w:left w:val="nil"/>
              <w:bottom w:val="single" w:sz="4" w:space="0" w:color="auto"/>
              <w:right w:val="single" w:sz="4" w:space="0" w:color="auto"/>
            </w:tcBorders>
            <w:shd w:val="clear" w:color="auto" w:fill="auto"/>
            <w:noWrap/>
            <w:vAlign w:val="bottom"/>
            <w:hideMark/>
          </w:tcPr>
          <w:p w14:paraId="399B9D22"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0.71</w:t>
            </w:r>
          </w:p>
        </w:tc>
        <w:tc>
          <w:tcPr>
            <w:tcW w:w="1040" w:type="dxa"/>
            <w:tcBorders>
              <w:top w:val="nil"/>
              <w:left w:val="nil"/>
              <w:bottom w:val="single" w:sz="4" w:space="0" w:color="auto"/>
              <w:right w:val="single" w:sz="4" w:space="0" w:color="auto"/>
            </w:tcBorders>
            <w:shd w:val="clear" w:color="auto" w:fill="auto"/>
            <w:noWrap/>
            <w:vAlign w:val="bottom"/>
            <w:hideMark/>
          </w:tcPr>
          <w:p w14:paraId="21E7E4CA"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0.81</w:t>
            </w:r>
          </w:p>
        </w:tc>
        <w:tc>
          <w:tcPr>
            <w:tcW w:w="980" w:type="dxa"/>
            <w:tcBorders>
              <w:top w:val="nil"/>
              <w:left w:val="nil"/>
              <w:bottom w:val="single" w:sz="4" w:space="0" w:color="auto"/>
              <w:right w:val="single" w:sz="4" w:space="0" w:color="auto"/>
            </w:tcBorders>
            <w:shd w:val="clear" w:color="auto" w:fill="auto"/>
            <w:noWrap/>
            <w:vAlign w:val="bottom"/>
            <w:hideMark/>
          </w:tcPr>
          <w:p w14:paraId="5840DF24"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0.58</w:t>
            </w:r>
          </w:p>
        </w:tc>
        <w:tc>
          <w:tcPr>
            <w:tcW w:w="980" w:type="dxa"/>
            <w:tcBorders>
              <w:top w:val="nil"/>
              <w:left w:val="nil"/>
              <w:bottom w:val="single" w:sz="4" w:space="0" w:color="auto"/>
              <w:right w:val="single" w:sz="8" w:space="0" w:color="auto"/>
            </w:tcBorders>
            <w:shd w:val="clear" w:color="auto" w:fill="auto"/>
            <w:noWrap/>
            <w:vAlign w:val="bottom"/>
            <w:hideMark/>
          </w:tcPr>
          <w:p w14:paraId="4BBD460A"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0.61</w:t>
            </w:r>
          </w:p>
        </w:tc>
      </w:tr>
      <w:tr w:rsidR="000631C6" w:rsidRPr="00E31401" w14:paraId="0BE9A75F"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7D8D8D5E"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Sales to inventory</w:t>
            </w:r>
          </w:p>
        </w:tc>
        <w:tc>
          <w:tcPr>
            <w:tcW w:w="2780" w:type="dxa"/>
            <w:tcBorders>
              <w:top w:val="nil"/>
              <w:left w:val="nil"/>
              <w:bottom w:val="single" w:sz="4" w:space="0" w:color="auto"/>
              <w:right w:val="single" w:sz="4" w:space="0" w:color="auto"/>
            </w:tcBorders>
            <w:shd w:val="clear" w:color="auto" w:fill="auto"/>
            <w:noWrap/>
            <w:vAlign w:val="bottom"/>
            <w:hideMark/>
          </w:tcPr>
          <w:p w14:paraId="3A755858"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Average inventory/ Net sales</w:t>
            </w:r>
          </w:p>
        </w:tc>
        <w:tc>
          <w:tcPr>
            <w:tcW w:w="828" w:type="dxa"/>
            <w:tcBorders>
              <w:top w:val="nil"/>
              <w:left w:val="nil"/>
              <w:bottom w:val="single" w:sz="4" w:space="0" w:color="auto"/>
              <w:right w:val="single" w:sz="4" w:space="0" w:color="auto"/>
            </w:tcBorders>
            <w:shd w:val="clear" w:color="auto" w:fill="auto"/>
            <w:noWrap/>
            <w:vAlign w:val="bottom"/>
            <w:hideMark/>
          </w:tcPr>
          <w:p w14:paraId="42CAF1EC"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0.12</w:t>
            </w:r>
          </w:p>
        </w:tc>
        <w:tc>
          <w:tcPr>
            <w:tcW w:w="980" w:type="dxa"/>
            <w:tcBorders>
              <w:top w:val="nil"/>
              <w:left w:val="nil"/>
              <w:bottom w:val="single" w:sz="4" w:space="0" w:color="auto"/>
              <w:right w:val="single" w:sz="4" w:space="0" w:color="auto"/>
            </w:tcBorders>
            <w:shd w:val="clear" w:color="auto" w:fill="auto"/>
            <w:noWrap/>
            <w:vAlign w:val="bottom"/>
            <w:hideMark/>
          </w:tcPr>
          <w:p w14:paraId="7EAFCF49"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0.11</w:t>
            </w:r>
          </w:p>
        </w:tc>
        <w:tc>
          <w:tcPr>
            <w:tcW w:w="1040" w:type="dxa"/>
            <w:tcBorders>
              <w:top w:val="nil"/>
              <w:left w:val="nil"/>
              <w:bottom w:val="single" w:sz="4" w:space="0" w:color="auto"/>
              <w:right w:val="single" w:sz="4" w:space="0" w:color="auto"/>
            </w:tcBorders>
            <w:shd w:val="clear" w:color="auto" w:fill="auto"/>
            <w:noWrap/>
            <w:vAlign w:val="bottom"/>
            <w:hideMark/>
          </w:tcPr>
          <w:p w14:paraId="39B01A95"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0.09</w:t>
            </w:r>
          </w:p>
        </w:tc>
        <w:tc>
          <w:tcPr>
            <w:tcW w:w="980" w:type="dxa"/>
            <w:tcBorders>
              <w:top w:val="nil"/>
              <w:left w:val="nil"/>
              <w:bottom w:val="single" w:sz="4" w:space="0" w:color="auto"/>
              <w:right w:val="single" w:sz="4" w:space="0" w:color="auto"/>
            </w:tcBorders>
            <w:shd w:val="clear" w:color="auto" w:fill="auto"/>
            <w:noWrap/>
            <w:vAlign w:val="bottom"/>
            <w:hideMark/>
          </w:tcPr>
          <w:p w14:paraId="33F891BC"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0.09</w:t>
            </w:r>
          </w:p>
        </w:tc>
        <w:tc>
          <w:tcPr>
            <w:tcW w:w="980" w:type="dxa"/>
            <w:tcBorders>
              <w:top w:val="nil"/>
              <w:left w:val="nil"/>
              <w:bottom w:val="single" w:sz="4" w:space="0" w:color="auto"/>
              <w:right w:val="single" w:sz="8" w:space="0" w:color="auto"/>
            </w:tcBorders>
            <w:shd w:val="clear" w:color="auto" w:fill="auto"/>
            <w:noWrap/>
            <w:vAlign w:val="bottom"/>
            <w:hideMark/>
          </w:tcPr>
          <w:p w14:paraId="61FB9756"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0.08</w:t>
            </w:r>
          </w:p>
        </w:tc>
      </w:tr>
      <w:tr w:rsidR="000631C6" w:rsidRPr="00E31401" w14:paraId="58994063"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1DC694EC"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2780" w:type="dxa"/>
            <w:tcBorders>
              <w:top w:val="nil"/>
              <w:left w:val="nil"/>
              <w:bottom w:val="single" w:sz="4" w:space="0" w:color="auto"/>
              <w:right w:val="single" w:sz="4" w:space="0" w:color="auto"/>
            </w:tcBorders>
            <w:shd w:val="clear" w:color="auto" w:fill="auto"/>
            <w:noWrap/>
            <w:vAlign w:val="bottom"/>
            <w:hideMark/>
          </w:tcPr>
          <w:p w14:paraId="664BD80E"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828" w:type="dxa"/>
            <w:tcBorders>
              <w:top w:val="nil"/>
              <w:left w:val="nil"/>
              <w:bottom w:val="single" w:sz="4" w:space="0" w:color="auto"/>
              <w:right w:val="single" w:sz="4" w:space="0" w:color="auto"/>
            </w:tcBorders>
            <w:shd w:val="clear" w:color="auto" w:fill="auto"/>
            <w:noWrap/>
            <w:vAlign w:val="bottom"/>
            <w:hideMark/>
          </w:tcPr>
          <w:p w14:paraId="06AC8561"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4" w:space="0" w:color="auto"/>
            </w:tcBorders>
            <w:shd w:val="clear" w:color="auto" w:fill="auto"/>
            <w:noWrap/>
            <w:vAlign w:val="bottom"/>
            <w:hideMark/>
          </w:tcPr>
          <w:p w14:paraId="23858A1F"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040" w:type="dxa"/>
            <w:tcBorders>
              <w:top w:val="nil"/>
              <w:left w:val="nil"/>
              <w:bottom w:val="single" w:sz="4" w:space="0" w:color="auto"/>
              <w:right w:val="single" w:sz="4" w:space="0" w:color="auto"/>
            </w:tcBorders>
            <w:shd w:val="clear" w:color="auto" w:fill="auto"/>
            <w:noWrap/>
            <w:vAlign w:val="bottom"/>
            <w:hideMark/>
          </w:tcPr>
          <w:p w14:paraId="55107D5C"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4" w:space="0" w:color="auto"/>
            </w:tcBorders>
            <w:shd w:val="clear" w:color="auto" w:fill="auto"/>
            <w:noWrap/>
            <w:vAlign w:val="bottom"/>
            <w:hideMark/>
          </w:tcPr>
          <w:p w14:paraId="74A611CD"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8" w:space="0" w:color="auto"/>
            </w:tcBorders>
            <w:shd w:val="clear" w:color="auto" w:fill="auto"/>
            <w:noWrap/>
            <w:vAlign w:val="bottom"/>
            <w:hideMark/>
          </w:tcPr>
          <w:p w14:paraId="2205EE72"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r>
      <w:tr w:rsidR="000631C6" w:rsidRPr="00E31401" w14:paraId="5401A5C5"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0A47FFEB"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Gearing ratio </w:t>
            </w:r>
          </w:p>
        </w:tc>
        <w:tc>
          <w:tcPr>
            <w:tcW w:w="2780" w:type="dxa"/>
            <w:tcBorders>
              <w:top w:val="nil"/>
              <w:left w:val="nil"/>
              <w:bottom w:val="single" w:sz="4" w:space="0" w:color="auto"/>
              <w:right w:val="single" w:sz="4" w:space="0" w:color="auto"/>
            </w:tcBorders>
            <w:shd w:val="clear" w:color="auto" w:fill="auto"/>
            <w:noWrap/>
            <w:vAlign w:val="bottom"/>
            <w:hideMark/>
          </w:tcPr>
          <w:p w14:paraId="073187B5"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828" w:type="dxa"/>
            <w:tcBorders>
              <w:top w:val="nil"/>
              <w:left w:val="nil"/>
              <w:bottom w:val="single" w:sz="4" w:space="0" w:color="auto"/>
              <w:right w:val="single" w:sz="4" w:space="0" w:color="auto"/>
            </w:tcBorders>
            <w:shd w:val="clear" w:color="auto" w:fill="auto"/>
            <w:noWrap/>
            <w:vAlign w:val="bottom"/>
            <w:hideMark/>
          </w:tcPr>
          <w:p w14:paraId="122FDA1D"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4" w:space="0" w:color="auto"/>
            </w:tcBorders>
            <w:shd w:val="clear" w:color="auto" w:fill="auto"/>
            <w:noWrap/>
            <w:vAlign w:val="bottom"/>
            <w:hideMark/>
          </w:tcPr>
          <w:p w14:paraId="50CF3638"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040" w:type="dxa"/>
            <w:tcBorders>
              <w:top w:val="nil"/>
              <w:left w:val="nil"/>
              <w:bottom w:val="single" w:sz="4" w:space="0" w:color="auto"/>
              <w:right w:val="single" w:sz="4" w:space="0" w:color="auto"/>
            </w:tcBorders>
            <w:shd w:val="clear" w:color="auto" w:fill="auto"/>
            <w:noWrap/>
            <w:vAlign w:val="bottom"/>
            <w:hideMark/>
          </w:tcPr>
          <w:p w14:paraId="385FD836"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4" w:space="0" w:color="auto"/>
            </w:tcBorders>
            <w:shd w:val="clear" w:color="auto" w:fill="auto"/>
            <w:noWrap/>
            <w:vAlign w:val="bottom"/>
            <w:hideMark/>
          </w:tcPr>
          <w:p w14:paraId="4FF66F9A"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980" w:type="dxa"/>
            <w:tcBorders>
              <w:top w:val="nil"/>
              <w:left w:val="nil"/>
              <w:bottom w:val="single" w:sz="4" w:space="0" w:color="auto"/>
              <w:right w:val="single" w:sz="8" w:space="0" w:color="auto"/>
            </w:tcBorders>
            <w:shd w:val="clear" w:color="auto" w:fill="auto"/>
            <w:noWrap/>
            <w:vAlign w:val="bottom"/>
            <w:hideMark/>
          </w:tcPr>
          <w:p w14:paraId="3C243492"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r>
      <w:tr w:rsidR="000631C6" w:rsidRPr="00E31401" w14:paraId="610B2D45" w14:textId="77777777" w:rsidTr="000631C6">
        <w:trPr>
          <w:trHeight w:val="288"/>
        </w:trPr>
        <w:tc>
          <w:tcPr>
            <w:tcW w:w="2700" w:type="dxa"/>
            <w:tcBorders>
              <w:top w:val="nil"/>
              <w:left w:val="single" w:sz="8" w:space="0" w:color="auto"/>
              <w:bottom w:val="single" w:sz="4" w:space="0" w:color="auto"/>
              <w:right w:val="single" w:sz="4" w:space="0" w:color="auto"/>
            </w:tcBorders>
            <w:shd w:val="clear" w:color="auto" w:fill="auto"/>
            <w:noWrap/>
            <w:vAlign w:val="bottom"/>
            <w:hideMark/>
          </w:tcPr>
          <w:p w14:paraId="5E416383"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Debt-to-Equity Ratio</w:t>
            </w:r>
          </w:p>
        </w:tc>
        <w:tc>
          <w:tcPr>
            <w:tcW w:w="2780" w:type="dxa"/>
            <w:tcBorders>
              <w:top w:val="nil"/>
              <w:left w:val="nil"/>
              <w:bottom w:val="single" w:sz="4" w:space="0" w:color="auto"/>
              <w:right w:val="single" w:sz="4" w:space="0" w:color="auto"/>
            </w:tcBorders>
            <w:shd w:val="clear" w:color="auto" w:fill="auto"/>
            <w:noWrap/>
            <w:vAlign w:val="bottom"/>
            <w:hideMark/>
          </w:tcPr>
          <w:p w14:paraId="0D93767A"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Debt/ Equity </w:t>
            </w:r>
          </w:p>
        </w:tc>
        <w:tc>
          <w:tcPr>
            <w:tcW w:w="828" w:type="dxa"/>
            <w:tcBorders>
              <w:top w:val="nil"/>
              <w:left w:val="nil"/>
              <w:bottom w:val="single" w:sz="4" w:space="0" w:color="auto"/>
              <w:right w:val="single" w:sz="4" w:space="0" w:color="auto"/>
            </w:tcBorders>
            <w:shd w:val="clear" w:color="auto" w:fill="auto"/>
            <w:noWrap/>
            <w:vAlign w:val="bottom"/>
            <w:hideMark/>
          </w:tcPr>
          <w:p w14:paraId="6D34F0A6"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0.22</w:t>
            </w:r>
          </w:p>
        </w:tc>
        <w:tc>
          <w:tcPr>
            <w:tcW w:w="980" w:type="dxa"/>
            <w:tcBorders>
              <w:top w:val="nil"/>
              <w:left w:val="nil"/>
              <w:bottom w:val="single" w:sz="4" w:space="0" w:color="auto"/>
              <w:right w:val="single" w:sz="4" w:space="0" w:color="auto"/>
            </w:tcBorders>
            <w:shd w:val="clear" w:color="auto" w:fill="auto"/>
            <w:noWrap/>
            <w:vAlign w:val="bottom"/>
            <w:hideMark/>
          </w:tcPr>
          <w:p w14:paraId="2300F157"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0.19</w:t>
            </w:r>
          </w:p>
        </w:tc>
        <w:tc>
          <w:tcPr>
            <w:tcW w:w="1040" w:type="dxa"/>
            <w:tcBorders>
              <w:top w:val="nil"/>
              <w:left w:val="nil"/>
              <w:bottom w:val="single" w:sz="4" w:space="0" w:color="auto"/>
              <w:right w:val="single" w:sz="4" w:space="0" w:color="auto"/>
            </w:tcBorders>
            <w:shd w:val="clear" w:color="auto" w:fill="auto"/>
            <w:noWrap/>
            <w:vAlign w:val="bottom"/>
            <w:hideMark/>
          </w:tcPr>
          <w:p w14:paraId="763752C5"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0.23</w:t>
            </w:r>
          </w:p>
        </w:tc>
        <w:tc>
          <w:tcPr>
            <w:tcW w:w="980" w:type="dxa"/>
            <w:tcBorders>
              <w:top w:val="nil"/>
              <w:left w:val="nil"/>
              <w:bottom w:val="single" w:sz="4" w:space="0" w:color="auto"/>
              <w:right w:val="single" w:sz="4" w:space="0" w:color="auto"/>
            </w:tcBorders>
            <w:shd w:val="clear" w:color="auto" w:fill="auto"/>
            <w:noWrap/>
            <w:vAlign w:val="bottom"/>
            <w:hideMark/>
          </w:tcPr>
          <w:p w14:paraId="436F4A4D"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0.26</w:t>
            </w:r>
          </w:p>
        </w:tc>
        <w:tc>
          <w:tcPr>
            <w:tcW w:w="980" w:type="dxa"/>
            <w:tcBorders>
              <w:top w:val="nil"/>
              <w:left w:val="nil"/>
              <w:bottom w:val="single" w:sz="4" w:space="0" w:color="auto"/>
              <w:right w:val="single" w:sz="8" w:space="0" w:color="auto"/>
            </w:tcBorders>
            <w:shd w:val="clear" w:color="auto" w:fill="auto"/>
            <w:noWrap/>
            <w:vAlign w:val="bottom"/>
            <w:hideMark/>
          </w:tcPr>
          <w:p w14:paraId="1F8233D5"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0.29</w:t>
            </w:r>
          </w:p>
        </w:tc>
      </w:tr>
      <w:tr w:rsidR="000631C6" w:rsidRPr="00E31401" w14:paraId="7EAF1081" w14:textId="77777777" w:rsidTr="000631C6">
        <w:trPr>
          <w:trHeight w:val="300"/>
        </w:trPr>
        <w:tc>
          <w:tcPr>
            <w:tcW w:w="2700" w:type="dxa"/>
            <w:tcBorders>
              <w:top w:val="nil"/>
              <w:left w:val="single" w:sz="8" w:space="0" w:color="auto"/>
              <w:bottom w:val="single" w:sz="8" w:space="0" w:color="auto"/>
              <w:right w:val="single" w:sz="4" w:space="0" w:color="auto"/>
            </w:tcBorders>
            <w:shd w:val="clear" w:color="auto" w:fill="auto"/>
            <w:noWrap/>
            <w:vAlign w:val="bottom"/>
            <w:hideMark/>
          </w:tcPr>
          <w:p w14:paraId="04D4A76E"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lastRenderedPageBreak/>
              <w:t>Times Interest Earned</w:t>
            </w:r>
          </w:p>
        </w:tc>
        <w:tc>
          <w:tcPr>
            <w:tcW w:w="2780" w:type="dxa"/>
            <w:tcBorders>
              <w:top w:val="nil"/>
              <w:left w:val="nil"/>
              <w:bottom w:val="single" w:sz="8" w:space="0" w:color="auto"/>
              <w:right w:val="single" w:sz="4" w:space="0" w:color="auto"/>
            </w:tcBorders>
            <w:shd w:val="clear" w:color="auto" w:fill="auto"/>
            <w:noWrap/>
            <w:vAlign w:val="bottom"/>
            <w:hideMark/>
          </w:tcPr>
          <w:p w14:paraId="6D27E7FF"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EBIT/ Total interest </w:t>
            </w:r>
          </w:p>
        </w:tc>
        <w:tc>
          <w:tcPr>
            <w:tcW w:w="828" w:type="dxa"/>
            <w:tcBorders>
              <w:top w:val="nil"/>
              <w:left w:val="nil"/>
              <w:bottom w:val="single" w:sz="8" w:space="0" w:color="auto"/>
              <w:right w:val="single" w:sz="4" w:space="0" w:color="auto"/>
            </w:tcBorders>
            <w:shd w:val="clear" w:color="auto" w:fill="auto"/>
            <w:noWrap/>
            <w:vAlign w:val="bottom"/>
            <w:hideMark/>
          </w:tcPr>
          <w:p w14:paraId="2EFC14F4"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16.03</w:t>
            </w:r>
          </w:p>
        </w:tc>
        <w:tc>
          <w:tcPr>
            <w:tcW w:w="980" w:type="dxa"/>
            <w:tcBorders>
              <w:top w:val="nil"/>
              <w:left w:val="nil"/>
              <w:bottom w:val="single" w:sz="8" w:space="0" w:color="auto"/>
              <w:right w:val="single" w:sz="4" w:space="0" w:color="auto"/>
            </w:tcBorders>
            <w:shd w:val="clear" w:color="auto" w:fill="auto"/>
            <w:noWrap/>
            <w:vAlign w:val="bottom"/>
            <w:hideMark/>
          </w:tcPr>
          <w:p w14:paraId="17BC9D19"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61.22</w:t>
            </w:r>
          </w:p>
        </w:tc>
        <w:tc>
          <w:tcPr>
            <w:tcW w:w="1040" w:type="dxa"/>
            <w:tcBorders>
              <w:top w:val="nil"/>
              <w:left w:val="nil"/>
              <w:bottom w:val="single" w:sz="8" w:space="0" w:color="auto"/>
              <w:right w:val="single" w:sz="4" w:space="0" w:color="auto"/>
            </w:tcBorders>
            <w:shd w:val="clear" w:color="auto" w:fill="auto"/>
            <w:noWrap/>
            <w:vAlign w:val="bottom"/>
            <w:hideMark/>
          </w:tcPr>
          <w:p w14:paraId="39E3945C"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126.99</w:t>
            </w:r>
          </w:p>
        </w:tc>
        <w:tc>
          <w:tcPr>
            <w:tcW w:w="980" w:type="dxa"/>
            <w:tcBorders>
              <w:top w:val="nil"/>
              <w:left w:val="nil"/>
              <w:bottom w:val="single" w:sz="8" w:space="0" w:color="auto"/>
              <w:right w:val="single" w:sz="4" w:space="0" w:color="auto"/>
            </w:tcBorders>
            <w:shd w:val="clear" w:color="auto" w:fill="auto"/>
            <w:noWrap/>
            <w:vAlign w:val="bottom"/>
            <w:hideMark/>
          </w:tcPr>
          <w:p w14:paraId="6ABF63D0"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63.96</w:t>
            </w:r>
          </w:p>
        </w:tc>
        <w:tc>
          <w:tcPr>
            <w:tcW w:w="980" w:type="dxa"/>
            <w:tcBorders>
              <w:top w:val="nil"/>
              <w:left w:val="nil"/>
              <w:bottom w:val="single" w:sz="8" w:space="0" w:color="auto"/>
              <w:right w:val="single" w:sz="8" w:space="0" w:color="auto"/>
            </w:tcBorders>
            <w:shd w:val="clear" w:color="auto" w:fill="auto"/>
            <w:noWrap/>
            <w:vAlign w:val="bottom"/>
            <w:hideMark/>
          </w:tcPr>
          <w:p w14:paraId="4B650CF6" w14:textId="77777777" w:rsidR="000631C6" w:rsidRPr="00E31401" w:rsidRDefault="000631C6"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21.24</w:t>
            </w:r>
          </w:p>
        </w:tc>
      </w:tr>
    </w:tbl>
    <w:p w14:paraId="5539DE0A" w14:textId="77777777" w:rsidR="009F6A3D" w:rsidRPr="00E31401" w:rsidRDefault="009F6A3D" w:rsidP="00E31401">
      <w:pPr>
        <w:spacing w:after="200" w:line="360" w:lineRule="auto"/>
        <w:jc w:val="both"/>
        <w:rPr>
          <w:rFonts w:ascii="Times New Roman" w:hAnsi="Times New Roman" w:cs="Times New Roman"/>
          <w:sz w:val="24"/>
          <w:szCs w:val="24"/>
          <w:lang w:val="en-US"/>
        </w:rPr>
      </w:pPr>
    </w:p>
    <w:p w14:paraId="6B35865F" w14:textId="43E761D2" w:rsidR="000631C6" w:rsidRPr="00E31401" w:rsidRDefault="000631C6" w:rsidP="00E31401">
      <w:pPr>
        <w:pStyle w:val="Heading2"/>
        <w:spacing w:after="200" w:line="360" w:lineRule="auto"/>
        <w:jc w:val="both"/>
        <w:rPr>
          <w:rFonts w:ascii="Times New Roman" w:hAnsi="Times New Roman" w:cs="Times New Roman"/>
          <w:sz w:val="24"/>
          <w:szCs w:val="24"/>
          <w:lang w:val="en-US"/>
        </w:rPr>
      </w:pPr>
      <w:bookmarkStart w:id="3" w:name="_Toc161763263"/>
      <w:r w:rsidRPr="00E31401">
        <w:rPr>
          <w:rFonts w:ascii="Times New Roman" w:hAnsi="Times New Roman" w:cs="Times New Roman"/>
          <w:sz w:val="24"/>
          <w:szCs w:val="24"/>
          <w:lang w:val="en-US"/>
        </w:rPr>
        <w:t>Financial ratio analysis</w:t>
      </w:r>
      <w:bookmarkEnd w:id="3"/>
      <w:r w:rsidRPr="00E31401">
        <w:rPr>
          <w:rFonts w:ascii="Times New Roman" w:hAnsi="Times New Roman" w:cs="Times New Roman"/>
          <w:sz w:val="24"/>
          <w:szCs w:val="24"/>
          <w:lang w:val="en-US"/>
        </w:rPr>
        <w:t xml:space="preserve"> </w:t>
      </w:r>
    </w:p>
    <w:p w14:paraId="13433846" w14:textId="5DDCEF59" w:rsidR="000631C6" w:rsidRPr="00E31401" w:rsidRDefault="000631C6" w:rsidP="00E31401">
      <w:pPr>
        <w:spacing w:after="200" w:line="360" w:lineRule="auto"/>
        <w:jc w:val="both"/>
        <w:rPr>
          <w:rFonts w:ascii="Times New Roman" w:hAnsi="Times New Roman" w:cs="Times New Roman"/>
          <w:sz w:val="24"/>
          <w:szCs w:val="24"/>
          <w:lang w:val="en-US"/>
        </w:rPr>
      </w:pPr>
      <w:r w:rsidRPr="00E31401">
        <w:rPr>
          <w:rFonts w:ascii="Times New Roman" w:hAnsi="Times New Roman" w:cs="Times New Roman"/>
          <w:sz w:val="24"/>
          <w:szCs w:val="24"/>
          <w:lang w:val="en-US"/>
        </w:rPr>
        <w:t xml:space="preserve">Profit analysis </w:t>
      </w:r>
    </w:p>
    <w:p w14:paraId="49A7F47D" w14:textId="0C20EA25"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Rio Tinto is a large mining company that operates worldwide. They mine many resources like iron ore, copper and </w:t>
      </w:r>
      <w:r w:rsidR="00E31401" w:rsidRPr="00E31401">
        <w:rPr>
          <w:rFonts w:ascii="Times New Roman" w:hAnsi="Times New Roman" w:cs="Times New Roman"/>
          <w:sz w:val="24"/>
          <w:szCs w:val="24"/>
        </w:rPr>
        <w:t>aluminium</w:t>
      </w:r>
      <w:r w:rsidRPr="00E31401">
        <w:rPr>
          <w:rFonts w:ascii="Times New Roman" w:hAnsi="Times New Roman" w:cs="Times New Roman"/>
          <w:sz w:val="24"/>
          <w:szCs w:val="24"/>
        </w:rPr>
        <w:t>. Every year they publish financial reports on how much money they make from their operations. This helps understand how well the company is doing. There are some calculations called ratios that can be done using numbers from the reports. Ratios compare two numbers and show what percentage one is of the other. This makes it easy to compare between years and see if profitability is increasing or decreasing</w:t>
      </w:r>
      <w:r w:rsidR="0094076C" w:rsidRPr="00E31401">
        <w:rPr>
          <w:rFonts w:ascii="Times New Roman" w:hAnsi="Times New Roman" w:cs="Times New Roman"/>
          <w:sz w:val="24"/>
          <w:szCs w:val="24"/>
        </w:rPr>
        <w:t xml:space="preserve"> (</w:t>
      </w:r>
      <w:r w:rsidR="0094076C" w:rsidRPr="00E31401">
        <w:rPr>
          <w:rFonts w:ascii="Times New Roman" w:hAnsi="Times New Roman" w:cs="Times New Roman"/>
          <w:color w:val="222222"/>
          <w:sz w:val="24"/>
          <w:szCs w:val="24"/>
          <w:shd w:val="clear" w:color="auto" w:fill="FFFFFF"/>
        </w:rPr>
        <w:t>Wahlen, Baginski and Bradshaw, 2018</w:t>
      </w:r>
      <w:r w:rsidR="0094076C" w:rsidRPr="00E31401">
        <w:rPr>
          <w:rFonts w:ascii="Times New Roman" w:hAnsi="Times New Roman" w:cs="Times New Roman"/>
          <w:sz w:val="24"/>
          <w:szCs w:val="24"/>
        </w:rPr>
        <w:t>)</w:t>
      </w:r>
      <w:r w:rsidRPr="00E31401">
        <w:rPr>
          <w:rFonts w:ascii="Times New Roman" w:hAnsi="Times New Roman" w:cs="Times New Roman"/>
          <w:sz w:val="24"/>
          <w:szCs w:val="24"/>
        </w:rPr>
        <w:t>. The net profit ratio looks at how much net profit Rio Tinto makes compared to the total money they take in from selling things. Net profit is the money left after paying all costs and taxes. In 2023 their net profit was 18.42% of total sales. This means for every $1 in sales, they made 18 cents in net profit. The ratio has fallen from earlier years like 2021 when it was higher at 35.59%.</w:t>
      </w:r>
    </w:p>
    <w:p w14:paraId="077C093C" w14:textId="0B3D9921"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The gross profit ratio compares gross profit to total sales. Gross profit is a bit higher as it's before paying some costs. This ratio also shows a decline, from 46.96% in 2021 to 27.43% in 2023. So while sales remain similar, costs appear higher now meaning less profit percentage. The return on equity ratio indicates profit generated from the money shareholders have invested in the company. It compares net profit with total equity on the balance sheet. For 2023 it was 17.67%, meaning money from profits gave just under 18 cents return for each $1 that shareholders have in the company. Profit returned has reduced compared to earlier years like 2021 at 39.93%.</w:t>
      </w:r>
    </w:p>
    <w:p w14:paraId="3C7AEEA1" w14:textId="77777777"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In summary, all three key profitability ratios for Rio Tinto have experienced a downward trend over the years 2021 to 2023. Costs seem to be rising faster than sales which is squeezing profits. Returns for shareholders have also decreased according to the ROIs. This could be due to fluctuating commodity prices or rising operational expenses which impact profitability numbers from year to year for the mining company.</w:t>
      </w:r>
    </w:p>
    <w:p w14:paraId="777ED6B2" w14:textId="75FB84FE" w:rsidR="000631C6" w:rsidRPr="00E31401" w:rsidRDefault="000631C6" w:rsidP="00E31401">
      <w:pPr>
        <w:spacing w:after="200" w:line="360" w:lineRule="auto"/>
        <w:jc w:val="both"/>
        <w:rPr>
          <w:rFonts w:ascii="Times New Roman" w:hAnsi="Times New Roman" w:cs="Times New Roman"/>
          <w:sz w:val="24"/>
          <w:szCs w:val="24"/>
          <w:lang w:val="en-US"/>
        </w:rPr>
      </w:pPr>
      <w:r w:rsidRPr="00E31401">
        <w:rPr>
          <w:rFonts w:ascii="Times New Roman" w:hAnsi="Times New Roman" w:cs="Times New Roman"/>
          <w:sz w:val="24"/>
          <w:szCs w:val="24"/>
          <w:lang w:val="en-US"/>
        </w:rPr>
        <w:t xml:space="preserve">Liquidity ratio analysis </w:t>
      </w:r>
    </w:p>
    <w:p w14:paraId="76200DD2" w14:textId="10CECFD4"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lastRenderedPageBreak/>
        <w:t xml:space="preserve">For any company, it is important to understand if they have enough current assets to meet obligations that are due in the short term. This is known as liquidity. Two main ratios are used to </w:t>
      </w:r>
      <w:r w:rsidR="00E31401" w:rsidRPr="00E31401">
        <w:rPr>
          <w:rFonts w:ascii="Times New Roman" w:hAnsi="Times New Roman" w:cs="Times New Roman"/>
          <w:sz w:val="24"/>
          <w:szCs w:val="24"/>
        </w:rPr>
        <w:t>analyse</w:t>
      </w:r>
      <w:r w:rsidRPr="00E31401">
        <w:rPr>
          <w:rFonts w:ascii="Times New Roman" w:hAnsi="Times New Roman" w:cs="Times New Roman"/>
          <w:sz w:val="24"/>
          <w:szCs w:val="24"/>
        </w:rPr>
        <w:t xml:space="preserve"> Rio Tinto's liquidity position over the years. The current ratio compares current assets to current liabilities. Current assets can be easily turned into cash within one year, like cash, stock and debtors. It shows if current assets can pay current debts like accounts payable which are due in the short term</w:t>
      </w:r>
      <w:r w:rsidR="0094076C" w:rsidRPr="00E31401">
        <w:rPr>
          <w:rFonts w:ascii="Times New Roman" w:hAnsi="Times New Roman" w:cs="Times New Roman"/>
          <w:sz w:val="24"/>
          <w:szCs w:val="24"/>
        </w:rPr>
        <w:t xml:space="preserve"> (</w:t>
      </w:r>
      <w:r w:rsidR="0094076C" w:rsidRPr="00E31401">
        <w:rPr>
          <w:rFonts w:ascii="Times New Roman" w:hAnsi="Times New Roman" w:cs="Times New Roman"/>
          <w:color w:val="222222"/>
          <w:sz w:val="24"/>
          <w:szCs w:val="24"/>
          <w:shd w:val="clear" w:color="auto" w:fill="FFFFFF"/>
        </w:rPr>
        <w:t>Revsine, Collins and Johnson, 2021</w:t>
      </w:r>
      <w:r w:rsidR="0094076C" w:rsidRPr="00E31401">
        <w:rPr>
          <w:rFonts w:ascii="Times New Roman" w:hAnsi="Times New Roman" w:cs="Times New Roman"/>
          <w:sz w:val="24"/>
          <w:szCs w:val="24"/>
        </w:rPr>
        <w:t>)</w:t>
      </w:r>
      <w:r w:rsidRPr="00E31401">
        <w:rPr>
          <w:rFonts w:ascii="Times New Roman" w:hAnsi="Times New Roman" w:cs="Times New Roman"/>
          <w:sz w:val="24"/>
          <w:szCs w:val="24"/>
        </w:rPr>
        <w:t>.</w:t>
      </w:r>
    </w:p>
    <w:p w14:paraId="308F9873" w14:textId="5FB1B91D"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In 2023, Rio Tinto's current ratio was 1.69. This means they had $1.69 in current assets for every $1 in current debts. The ratio increased slightly from 1.56 in 2019 but was lower than 1.93 in 2021. Overall it has stayed reasonably close to 2, which is generally a benchmark level. The quick ratio only considers quick assets like cash and stock in the calculation. It provides a stricter measure of liquidity than current ratio as it ignores</w:t>
      </w:r>
      <w:r w:rsidR="0094076C" w:rsidRPr="00E31401">
        <w:rPr>
          <w:rFonts w:ascii="Times New Roman" w:hAnsi="Times New Roman" w:cs="Times New Roman"/>
          <w:sz w:val="24"/>
          <w:szCs w:val="24"/>
        </w:rPr>
        <w:t xml:space="preserve"> a</w:t>
      </w:r>
      <w:r w:rsidRPr="00E31401">
        <w:rPr>
          <w:rFonts w:ascii="Times New Roman" w:hAnsi="Times New Roman" w:cs="Times New Roman"/>
          <w:sz w:val="24"/>
          <w:szCs w:val="24"/>
        </w:rPr>
        <w:t>ssets like debtors which take time to collect.</w:t>
      </w:r>
    </w:p>
    <w:p w14:paraId="75C2339D" w14:textId="38481F99"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In 2023, Rio Tinto's quick ratio was 0.48. This implies they had $0.48 in fast assets for every $1 in short term obligations. The ratio dropped from a high of 0.69 in 2019 and was lower than 0.57 in 2021. This shows current assets without stock and debtors may not fully cover current liabilities immediately. From 2019 to 2023, while the current ratio has largely remained above 2, the quick ratio for Rio Tinto has generally declined. This could mean more current assets are held in slower items like debtors rather than quickly realizable stock or cash balances over the years</w:t>
      </w:r>
      <w:r w:rsidR="0094076C" w:rsidRPr="00E31401">
        <w:rPr>
          <w:rFonts w:ascii="Times New Roman" w:hAnsi="Times New Roman" w:cs="Times New Roman"/>
          <w:sz w:val="24"/>
          <w:szCs w:val="24"/>
        </w:rPr>
        <w:t xml:space="preserve"> (</w:t>
      </w:r>
      <w:r w:rsidR="0094076C" w:rsidRPr="00E31401">
        <w:rPr>
          <w:rFonts w:ascii="Times New Roman" w:hAnsi="Times New Roman" w:cs="Times New Roman"/>
          <w:color w:val="222222"/>
          <w:sz w:val="24"/>
          <w:szCs w:val="24"/>
          <w:shd w:val="clear" w:color="auto" w:fill="FFFFFF"/>
        </w:rPr>
        <w:t>Palepu, 2020</w:t>
      </w:r>
      <w:r w:rsidR="0094076C" w:rsidRPr="00E31401">
        <w:rPr>
          <w:rFonts w:ascii="Times New Roman" w:hAnsi="Times New Roman" w:cs="Times New Roman"/>
          <w:sz w:val="24"/>
          <w:szCs w:val="24"/>
        </w:rPr>
        <w:t>)</w:t>
      </w:r>
      <w:r w:rsidRPr="00E31401">
        <w:rPr>
          <w:rFonts w:ascii="Times New Roman" w:hAnsi="Times New Roman" w:cs="Times New Roman"/>
          <w:sz w:val="24"/>
          <w:szCs w:val="24"/>
        </w:rPr>
        <w:t>.</w:t>
      </w:r>
    </w:p>
    <w:p w14:paraId="44C5747F" w14:textId="0FE65F69"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Overall, Rio Tinto's strong current ratio shows it is reasonably liquid currently. But the downward quick ratio trend points to less ultra-short term funds to settle all current debts immediately without delay if needs be. Careful working capital management is thus important to avoid potential liquidity issues. In volatile industries like mining, liquidity risks requiring extra monitoring. Balancing current assets and debts profile is a task Rio Tinto should focus on to ensure continual smooth operations and meeting obligations as they fall due without disruptions arising from inadequate instant funds if markets see downturns.</w:t>
      </w:r>
    </w:p>
    <w:p w14:paraId="5EFD9972" w14:textId="77525A0A" w:rsidR="000631C6" w:rsidRPr="00E31401" w:rsidRDefault="000631C6" w:rsidP="00E31401">
      <w:pPr>
        <w:spacing w:after="200" w:line="360" w:lineRule="auto"/>
        <w:jc w:val="both"/>
        <w:rPr>
          <w:rFonts w:ascii="Times New Roman" w:hAnsi="Times New Roman" w:cs="Times New Roman"/>
          <w:b/>
          <w:bCs/>
          <w:sz w:val="24"/>
          <w:szCs w:val="24"/>
          <w:lang w:val="en-US"/>
        </w:rPr>
      </w:pPr>
      <w:r w:rsidRPr="00E31401">
        <w:rPr>
          <w:rFonts w:ascii="Times New Roman" w:hAnsi="Times New Roman" w:cs="Times New Roman"/>
          <w:b/>
          <w:bCs/>
          <w:sz w:val="24"/>
          <w:szCs w:val="24"/>
          <w:lang w:val="en-US"/>
        </w:rPr>
        <w:t xml:space="preserve">Efficiency ratio analysis </w:t>
      </w:r>
    </w:p>
    <w:p w14:paraId="072A7119" w14:textId="66872FBA"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It is important for any large business like Rio Tinto to carefully monitor key performance indicators to understand how efficiently resources are being utilized and identify opportunities for </w:t>
      </w:r>
      <w:r w:rsidRPr="00E31401">
        <w:rPr>
          <w:rFonts w:ascii="Times New Roman" w:hAnsi="Times New Roman" w:cs="Times New Roman"/>
          <w:sz w:val="24"/>
          <w:szCs w:val="24"/>
        </w:rPr>
        <w:lastRenderedPageBreak/>
        <w:t xml:space="preserve">improvement. Various metrics can be </w:t>
      </w:r>
      <w:r w:rsidR="00E31401" w:rsidRPr="00E31401">
        <w:rPr>
          <w:rFonts w:ascii="Times New Roman" w:hAnsi="Times New Roman" w:cs="Times New Roman"/>
          <w:sz w:val="24"/>
          <w:szCs w:val="24"/>
        </w:rPr>
        <w:t>analysed</w:t>
      </w:r>
      <w:r w:rsidRPr="00E31401">
        <w:rPr>
          <w:rFonts w:ascii="Times New Roman" w:hAnsi="Times New Roman" w:cs="Times New Roman"/>
          <w:sz w:val="24"/>
          <w:szCs w:val="24"/>
        </w:rPr>
        <w:t xml:space="preserve"> through financial ratios calculated from income statements and balance sheets.</w:t>
      </w:r>
    </w:p>
    <w:p w14:paraId="37F7AA99" w14:textId="77777777"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Accounts Receivable Turnover Ratio</w:t>
      </w:r>
    </w:p>
    <w:p w14:paraId="02418362" w14:textId="67C97E1A"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This ratio examines the efficiency of credit sales collection by comparing net credit sales to average accounts receivable over a period. For Rio Tinto, this was 13.7 times in 2023. While still reasonable, it has decreased from a high of 17.77 times in 2021.</w:t>
      </w:r>
    </w:p>
    <w:p w14:paraId="265A0787" w14:textId="77777777"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This slight lengthening in collection days suggests customers may be taking more time on average to settle payments compared to prior years. A few potential factors could be contributing to this trend:</w:t>
      </w:r>
    </w:p>
    <w:p w14:paraId="66DF9BB9" w14:textId="77777777" w:rsidR="000631C6" w:rsidRPr="00E31401" w:rsidRDefault="000631C6" w:rsidP="00E31401">
      <w:pPr>
        <w:numPr>
          <w:ilvl w:val="0"/>
          <w:numId w:val="1"/>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Macroeconomic uncertainty may be impacting cash flows of some customers, causing delays in paying Rio Tinto on time. Rising inflation and higher borrowing costs globally pose challenges.</w:t>
      </w:r>
    </w:p>
    <w:p w14:paraId="2B6600F5" w14:textId="77777777" w:rsidR="000631C6" w:rsidRPr="00E31401" w:rsidRDefault="000631C6" w:rsidP="00E31401">
      <w:pPr>
        <w:numPr>
          <w:ilvl w:val="0"/>
          <w:numId w:val="1"/>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Changes in customer or geographic mix - The company may be doing relatively more business with customers in regions/industries experiencing temporary financial difficulties, pushing out collection durations.</w:t>
      </w:r>
    </w:p>
    <w:p w14:paraId="033F72A7" w14:textId="7F88AD63" w:rsidR="000631C6" w:rsidRPr="00E31401" w:rsidRDefault="000631C6" w:rsidP="00E31401">
      <w:pPr>
        <w:numPr>
          <w:ilvl w:val="0"/>
          <w:numId w:val="1"/>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Less stringent credit policies - Over time, Rio Tinto's credit terms could have become slightly lax compared to before, allowing buyers more flexibility without negatively impacting relationships in the short run. But </w:t>
      </w:r>
      <w:r w:rsidR="00E31401" w:rsidRPr="00E31401">
        <w:rPr>
          <w:rFonts w:ascii="Times New Roman" w:hAnsi="Times New Roman" w:cs="Times New Roman"/>
          <w:sz w:val="24"/>
          <w:szCs w:val="24"/>
        </w:rPr>
        <w:t>these hurts</w:t>
      </w:r>
      <w:r w:rsidRPr="00E31401">
        <w:rPr>
          <w:rFonts w:ascii="Times New Roman" w:hAnsi="Times New Roman" w:cs="Times New Roman"/>
          <w:sz w:val="24"/>
          <w:szCs w:val="24"/>
        </w:rPr>
        <w:t xml:space="preserve"> working capital cycle.</w:t>
      </w:r>
    </w:p>
    <w:p w14:paraId="341E1443" w14:textId="77777777"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Faster receivables turnover is preferable as it releases capital for more sales and profits. Rio Tinto should closely monitor top slow-paying customer accounts and industries. Tighter credit controls or even credit insurance can incentivize early payment while protecting cash flows. Proactive discussions around payments with strategic clients and improving internal follow-ups can help.</w:t>
      </w:r>
    </w:p>
    <w:p w14:paraId="53B580AB" w14:textId="77777777" w:rsidR="0094076C"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Fixed Asset Turnover Ratio</w:t>
      </w:r>
    </w:p>
    <w:p w14:paraId="00FC0C89" w14:textId="5685525C"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This measures a critical aspect of asset productivity by relating annual sales to net fixed assets such as plants, mining machinery, transportation vehicles and buildings.</w:t>
      </w:r>
    </w:p>
    <w:p w14:paraId="6079A51B" w14:textId="4B8ABA90"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lastRenderedPageBreak/>
        <w:t>Rio Tinto's fixed asset turnover declined from 0.81 times in 2021 to 0.66 times in 2023. This indicates slightly lower efficiency, as a greater amount of investment in assets is generating proportionately lesser revenues currently</w:t>
      </w:r>
      <w:r w:rsidR="0094076C" w:rsidRPr="00E31401">
        <w:rPr>
          <w:rFonts w:ascii="Times New Roman" w:hAnsi="Times New Roman" w:cs="Times New Roman"/>
          <w:sz w:val="24"/>
          <w:szCs w:val="24"/>
        </w:rPr>
        <w:t xml:space="preserve"> (</w:t>
      </w:r>
      <w:r w:rsidR="0094076C" w:rsidRPr="00E31401">
        <w:rPr>
          <w:rFonts w:ascii="Times New Roman" w:hAnsi="Times New Roman" w:cs="Times New Roman"/>
          <w:color w:val="222222"/>
          <w:sz w:val="24"/>
          <w:szCs w:val="24"/>
          <w:shd w:val="clear" w:color="auto" w:fill="FFFFFF"/>
        </w:rPr>
        <w:t>Robinson, 2020</w:t>
      </w:r>
      <w:r w:rsidR="0094076C" w:rsidRPr="00E31401">
        <w:rPr>
          <w:rFonts w:ascii="Times New Roman" w:hAnsi="Times New Roman" w:cs="Times New Roman"/>
          <w:sz w:val="24"/>
          <w:szCs w:val="24"/>
        </w:rPr>
        <w:t>)</w:t>
      </w:r>
      <w:r w:rsidRPr="00E31401">
        <w:rPr>
          <w:rFonts w:ascii="Times New Roman" w:hAnsi="Times New Roman" w:cs="Times New Roman"/>
          <w:sz w:val="24"/>
          <w:szCs w:val="24"/>
        </w:rPr>
        <w:t>.</w:t>
      </w:r>
    </w:p>
    <w:p w14:paraId="35BFE5A3" w14:textId="77777777"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Possible reasons for weaker asset utilization include:</w:t>
      </w:r>
    </w:p>
    <w:p w14:paraId="1DD96194" w14:textId="77777777" w:rsidR="000631C6" w:rsidRPr="00E31401" w:rsidRDefault="000631C6" w:rsidP="00E31401">
      <w:pPr>
        <w:numPr>
          <w:ilvl w:val="0"/>
          <w:numId w:val="2"/>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Surplus production capacity after expansions not fully absorbed in demand. Under-recovery of high fixed costs.</w:t>
      </w:r>
    </w:p>
    <w:p w14:paraId="3781298E" w14:textId="77777777" w:rsidR="000631C6" w:rsidRPr="00E31401" w:rsidRDefault="000631C6" w:rsidP="00E31401">
      <w:pPr>
        <w:numPr>
          <w:ilvl w:val="0"/>
          <w:numId w:val="2"/>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Older fleets/factories operating at sub-optimal efficiency levels due to under-maintenance in past, driving up average asset bases in calculation.</w:t>
      </w:r>
    </w:p>
    <w:p w14:paraId="71240EAA" w14:textId="77777777" w:rsidR="000631C6" w:rsidRPr="00E31401" w:rsidRDefault="000631C6" w:rsidP="00E31401">
      <w:pPr>
        <w:numPr>
          <w:ilvl w:val="0"/>
          <w:numId w:val="2"/>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Shift to lower volume but more complex, capital intensive mining projects impacting total asset levels.</w:t>
      </w:r>
    </w:p>
    <w:p w14:paraId="0F53870C" w14:textId="77777777"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Rio Tinto can focus on wringing out additional capacity from existing assets through better planning before adding new investments. Upgrading plants on priority based on exhaustive performance reviews and installing monitoring systems helps maximize throughput. Assets past useful lives must be replaced timely.</w:t>
      </w:r>
    </w:p>
    <w:p w14:paraId="39A0EBF8" w14:textId="77777777" w:rsidR="008928A8"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Inventory Turnover Ratio</w:t>
      </w:r>
    </w:p>
    <w:p w14:paraId="1270916F" w14:textId="6E12A054" w:rsidR="000631C6" w:rsidRPr="00E31401" w:rsidRDefault="00E31401"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These metric measures</w:t>
      </w:r>
      <w:r w:rsidR="000631C6" w:rsidRPr="00E31401">
        <w:rPr>
          <w:rFonts w:ascii="Times New Roman" w:hAnsi="Times New Roman" w:cs="Times New Roman"/>
          <w:sz w:val="24"/>
          <w:szCs w:val="24"/>
        </w:rPr>
        <w:t xml:space="preserve"> stock efficiency by relating average inventory to annual net sales. For Rio Tinto, this stood around 0.12 times since 2019, implying inventory is sufficient to support roughly 3 months of sales.</w:t>
      </w:r>
    </w:p>
    <w:p w14:paraId="0387FA0A" w14:textId="77777777" w:rsidR="000631C6" w:rsidRPr="00E31401" w:rsidRDefault="000631C6"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The company has demonstrated effective working capital management through low inventory holding periods, ensuring optimum cash allocation. Advanced supply chain planning and tight controls aid this. Minimal safety stocks provide agility to market changes while meeting production needs.</w:t>
      </w:r>
    </w:p>
    <w:p w14:paraId="37D03737" w14:textId="705B15B2" w:rsidR="000631C6" w:rsidRPr="00E31401" w:rsidRDefault="000631C6"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 xml:space="preserve">Gearing ratio analysis </w:t>
      </w:r>
    </w:p>
    <w:p w14:paraId="7E15CA7A" w14:textId="0F9B89AB" w:rsidR="008928A8" w:rsidRPr="00E31401" w:rsidRDefault="008928A8"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Gearing ratios assess a company's use of debt financing versus equity. This influences financial risks. Rio Tinto's gearing ratios for scrutiny are Debt-to-Equity Ratio and Times Interest Earned ratio.</w:t>
      </w:r>
    </w:p>
    <w:p w14:paraId="2505AEA5" w14:textId="77777777" w:rsidR="008928A8" w:rsidRPr="00E31401" w:rsidRDefault="008928A8"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lastRenderedPageBreak/>
        <w:t>Debt-to-Equity Ratio</w:t>
      </w:r>
    </w:p>
    <w:p w14:paraId="386122A2" w14:textId="14306999" w:rsidR="008928A8" w:rsidRPr="00E31401" w:rsidRDefault="008928A8"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This ratio indicates the degree financing comes from shareholders vs. lenders. It divides total debt by total equity on the balance sheet. For 2023, Rio Tinto's ratio was 0.22, meaning for every $1 of equity, there was $0.22 in debt. This ratio has stayed under 0.3 since 2019, showing a prudent debt level less than equity capital provided. While debt enables expansion, high leverage constrains flexibility during downturns as debt payments continue. Rio Tinto uses debt in moderation as a cheaper financing method after equity. This maintains low-risk tolerance.</w:t>
      </w:r>
    </w:p>
    <w:p w14:paraId="5ECCBCA8" w14:textId="79F49E12" w:rsidR="008928A8" w:rsidRPr="00E31401" w:rsidRDefault="008928A8"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Times Interest Earned Ratio</w:t>
      </w:r>
    </w:p>
    <w:p w14:paraId="3FAEB225" w14:textId="44660CC1" w:rsidR="008928A8" w:rsidRPr="00E31401" w:rsidRDefault="008928A8"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This signifies a firm's comfort level in servicing interest expenses from operating profits. It divides EBIT (earnings before interest &amp; tax) by total annualized interest. In 2023, Rio Tinto's ratio was 16.03, implying profits were 16 times interest cost. Despite fluctuation, it remained robustly above minimum safe threshold of 10x coverage since 2019 except 2020. This comfortable ratio safeguards against deficits hindering debt payment even in earnings declines, preventing technical default risk. Stable credit ratings aid competitiveness</w:t>
      </w:r>
      <w:r w:rsidR="0094076C" w:rsidRPr="00E31401">
        <w:rPr>
          <w:rFonts w:ascii="Times New Roman" w:hAnsi="Times New Roman" w:cs="Times New Roman"/>
          <w:sz w:val="24"/>
          <w:szCs w:val="24"/>
        </w:rPr>
        <w:t xml:space="preserve"> (</w:t>
      </w:r>
      <w:r w:rsidR="0094076C" w:rsidRPr="00E31401">
        <w:rPr>
          <w:rFonts w:ascii="Times New Roman" w:hAnsi="Times New Roman" w:cs="Times New Roman"/>
          <w:color w:val="222222"/>
          <w:sz w:val="24"/>
          <w:szCs w:val="24"/>
          <w:shd w:val="clear" w:color="auto" w:fill="FFFFFF"/>
        </w:rPr>
        <w:t>Fridson and Alvarez, 2022</w:t>
      </w:r>
      <w:r w:rsidR="0094076C" w:rsidRPr="00E31401">
        <w:rPr>
          <w:rFonts w:ascii="Times New Roman" w:hAnsi="Times New Roman" w:cs="Times New Roman"/>
          <w:sz w:val="24"/>
          <w:szCs w:val="24"/>
        </w:rPr>
        <w:t>)</w:t>
      </w:r>
      <w:r w:rsidRPr="00E31401">
        <w:rPr>
          <w:rFonts w:ascii="Times New Roman" w:hAnsi="Times New Roman" w:cs="Times New Roman"/>
          <w:sz w:val="24"/>
          <w:szCs w:val="24"/>
        </w:rPr>
        <w:t>.</w:t>
      </w:r>
    </w:p>
    <w:p w14:paraId="145CD184" w14:textId="234F3C3D" w:rsidR="008928A8" w:rsidRPr="00E31401" w:rsidRDefault="008928A8"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In summary, Rio Tinto's disciplined financial management is visible. Conservative gearing with debt levels beneath equity provides lower risk appetite. Strong interest coverage strengthens creditworthiness avoiding liquidity issues from high leverage burden. A balanced capital structure allows managing ups and downs effectively while retaining strategic financial flexibility for advantageous growth. Rio Tinto will seek to sustain this optimal risk profile maintaining high regard in financial markets. Periodical reviews monitor evolving dynamics.</w:t>
      </w:r>
    </w:p>
    <w:p w14:paraId="78D16142" w14:textId="2504D874" w:rsidR="000631C6" w:rsidRPr="00E31401" w:rsidRDefault="008928A8" w:rsidP="00E31401">
      <w:pPr>
        <w:pStyle w:val="Heading2"/>
        <w:spacing w:after="200" w:line="360" w:lineRule="auto"/>
        <w:jc w:val="both"/>
        <w:rPr>
          <w:rFonts w:ascii="Times New Roman" w:eastAsia="Times New Roman" w:hAnsi="Times New Roman" w:cs="Times New Roman"/>
          <w:sz w:val="24"/>
          <w:szCs w:val="24"/>
          <w:lang w:eastAsia="en-GB"/>
        </w:rPr>
      </w:pPr>
      <w:bookmarkStart w:id="4" w:name="_Toc161763264"/>
      <w:r w:rsidRPr="00E31401">
        <w:rPr>
          <w:rFonts w:ascii="Times New Roman" w:eastAsia="Times New Roman" w:hAnsi="Times New Roman" w:cs="Times New Roman"/>
          <w:sz w:val="24"/>
          <w:szCs w:val="24"/>
          <w:lang w:eastAsia="en-GB"/>
        </w:rPr>
        <w:t>Comparative analysis</w:t>
      </w:r>
      <w:bookmarkEnd w:id="4"/>
      <w:r w:rsidRPr="00E31401">
        <w:rPr>
          <w:rFonts w:ascii="Times New Roman" w:eastAsia="Times New Roman" w:hAnsi="Times New Roman" w:cs="Times New Roman"/>
          <w:sz w:val="24"/>
          <w:szCs w:val="24"/>
          <w:lang w:eastAsia="en-GB"/>
        </w:rPr>
        <w:t xml:space="preserve"> </w:t>
      </w:r>
    </w:p>
    <w:p w14:paraId="3C470C1A" w14:textId="77777777" w:rsidR="008928A8" w:rsidRPr="00E31401" w:rsidRDefault="008928A8" w:rsidP="00E31401">
      <w:pPr>
        <w:spacing w:after="200" w:line="360" w:lineRule="auto"/>
        <w:jc w:val="both"/>
        <w:rPr>
          <w:rFonts w:ascii="Times New Roman" w:eastAsia="Times New Roman" w:hAnsi="Times New Roman" w:cs="Times New Roman"/>
          <w:color w:val="000000"/>
          <w:sz w:val="24"/>
          <w:szCs w:val="24"/>
          <w:lang w:eastAsia="en-GB"/>
          <w14:ligatures w14:val="none"/>
        </w:rPr>
      </w:pPr>
    </w:p>
    <w:tbl>
      <w:tblPr>
        <w:tblW w:w="6920" w:type="dxa"/>
        <w:tblLook w:val="04A0" w:firstRow="1" w:lastRow="0" w:firstColumn="1" w:lastColumn="0" w:noHBand="0" w:noVBand="1"/>
      </w:tblPr>
      <w:tblGrid>
        <w:gridCol w:w="4160"/>
        <w:gridCol w:w="1520"/>
        <w:gridCol w:w="1240"/>
      </w:tblGrid>
      <w:tr w:rsidR="00343C8A" w:rsidRPr="00E31401" w14:paraId="46ECDA47" w14:textId="77777777" w:rsidTr="00343C8A">
        <w:trPr>
          <w:trHeight w:val="288"/>
        </w:trPr>
        <w:tc>
          <w:tcPr>
            <w:tcW w:w="416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E57BE0C" w14:textId="3F8CBF6B" w:rsidR="00343C8A" w:rsidRPr="00E31401" w:rsidRDefault="00343C8A" w:rsidP="00E31401">
            <w:pPr>
              <w:spacing w:after="200" w:line="360" w:lineRule="auto"/>
              <w:jc w:val="both"/>
              <w:rPr>
                <w:rFonts w:ascii="Times New Roman" w:eastAsia="Times New Roman" w:hAnsi="Times New Roman" w:cs="Times New Roman"/>
                <w:b/>
                <w:bCs/>
                <w:color w:val="000000"/>
                <w:sz w:val="24"/>
                <w:szCs w:val="24"/>
                <w:lang w:eastAsia="en-GB"/>
                <w14:ligatures w14:val="none"/>
              </w:rPr>
            </w:pPr>
            <w:r w:rsidRPr="00E31401">
              <w:rPr>
                <w:rFonts w:ascii="Times New Roman" w:eastAsia="Times New Roman" w:hAnsi="Times New Roman" w:cs="Times New Roman"/>
                <w:b/>
                <w:bCs/>
                <w:color w:val="000000"/>
                <w:sz w:val="24"/>
                <w:szCs w:val="24"/>
                <w:lang w:eastAsia="en-GB"/>
                <w14:ligatures w14:val="none"/>
              </w:rPr>
              <w:t xml:space="preserve">Profitability ratios </w:t>
            </w:r>
          </w:p>
        </w:tc>
        <w:tc>
          <w:tcPr>
            <w:tcW w:w="1520" w:type="dxa"/>
            <w:tcBorders>
              <w:top w:val="single" w:sz="8" w:space="0" w:color="auto"/>
              <w:left w:val="nil"/>
              <w:bottom w:val="single" w:sz="4" w:space="0" w:color="auto"/>
              <w:right w:val="single" w:sz="4" w:space="0" w:color="auto"/>
            </w:tcBorders>
            <w:shd w:val="clear" w:color="auto" w:fill="auto"/>
            <w:noWrap/>
            <w:vAlign w:val="bottom"/>
            <w:hideMark/>
          </w:tcPr>
          <w:p w14:paraId="3722D39D"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Rio Tinto (2023)</w:t>
            </w:r>
          </w:p>
        </w:tc>
        <w:tc>
          <w:tcPr>
            <w:tcW w:w="1240" w:type="dxa"/>
            <w:tcBorders>
              <w:top w:val="single" w:sz="8" w:space="0" w:color="auto"/>
              <w:left w:val="nil"/>
              <w:bottom w:val="single" w:sz="4" w:space="0" w:color="auto"/>
              <w:right w:val="single" w:sz="8" w:space="0" w:color="auto"/>
            </w:tcBorders>
            <w:shd w:val="clear" w:color="auto" w:fill="auto"/>
            <w:noWrap/>
            <w:vAlign w:val="bottom"/>
            <w:hideMark/>
          </w:tcPr>
          <w:p w14:paraId="4E1CEE40"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BHP (2023)</w:t>
            </w:r>
          </w:p>
        </w:tc>
      </w:tr>
      <w:tr w:rsidR="00343C8A" w:rsidRPr="00E31401" w14:paraId="01A75D62"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077EA525"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Net profit ratio </w:t>
            </w:r>
          </w:p>
        </w:tc>
        <w:tc>
          <w:tcPr>
            <w:tcW w:w="1520" w:type="dxa"/>
            <w:tcBorders>
              <w:top w:val="nil"/>
              <w:left w:val="nil"/>
              <w:bottom w:val="single" w:sz="4" w:space="0" w:color="auto"/>
              <w:right w:val="single" w:sz="4" w:space="0" w:color="auto"/>
            </w:tcBorders>
            <w:shd w:val="clear" w:color="auto" w:fill="auto"/>
            <w:noWrap/>
            <w:vAlign w:val="bottom"/>
            <w:hideMark/>
          </w:tcPr>
          <w:p w14:paraId="20923DA2"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18.42</w:t>
            </w:r>
          </w:p>
        </w:tc>
        <w:tc>
          <w:tcPr>
            <w:tcW w:w="1240" w:type="dxa"/>
            <w:tcBorders>
              <w:top w:val="nil"/>
              <w:left w:val="nil"/>
              <w:bottom w:val="single" w:sz="4" w:space="0" w:color="auto"/>
              <w:right w:val="single" w:sz="8" w:space="0" w:color="auto"/>
            </w:tcBorders>
            <w:shd w:val="clear" w:color="auto" w:fill="auto"/>
            <w:noWrap/>
            <w:vAlign w:val="bottom"/>
            <w:hideMark/>
          </w:tcPr>
          <w:p w14:paraId="25532461"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26.62</w:t>
            </w:r>
          </w:p>
        </w:tc>
      </w:tr>
      <w:tr w:rsidR="00343C8A" w:rsidRPr="00E31401" w14:paraId="47AE3EA5"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0CB6184D"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Gross profit ration </w:t>
            </w:r>
          </w:p>
        </w:tc>
        <w:tc>
          <w:tcPr>
            <w:tcW w:w="1520" w:type="dxa"/>
            <w:tcBorders>
              <w:top w:val="nil"/>
              <w:left w:val="nil"/>
              <w:bottom w:val="single" w:sz="4" w:space="0" w:color="auto"/>
              <w:right w:val="single" w:sz="4" w:space="0" w:color="auto"/>
            </w:tcBorders>
            <w:shd w:val="clear" w:color="auto" w:fill="auto"/>
            <w:noWrap/>
            <w:vAlign w:val="bottom"/>
            <w:hideMark/>
          </w:tcPr>
          <w:p w14:paraId="40CEEF15"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27.43</w:t>
            </w:r>
          </w:p>
        </w:tc>
        <w:tc>
          <w:tcPr>
            <w:tcW w:w="1240" w:type="dxa"/>
            <w:tcBorders>
              <w:top w:val="nil"/>
              <w:left w:val="nil"/>
              <w:bottom w:val="single" w:sz="4" w:space="0" w:color="auto"/>
              <w:right w:val="single" w:sz="8" w:space="0" w:color="auto"/>
            </w:tcBorders>
            <w:shd w:val="clear" w:color="auto" w:fill="auto"/>
            <w:noWrap/>
            <w:vAlign w:val="bottom"/>
            <w:hideMark/>
          </w:tcPr>
          <w:p w14:paraId="5DB6C4F1"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42.61</w:t>
            </w:r>
          </w:p>
        </w:tc>
      </w:tr>
      <w:tr w:rsidR="00343C8A" w:rsidRPr="00E31401" w14:paraId="5EF3442C"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02A62BC4"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lastRenderedPageBreak/>
              <w:t xml:space="preserve">Return on equity ratio </w:t>
            </w:r>
          </w:p>
        </w:tc>
        <w:tc>
          <w:tcPr>
            <w:tcW w:w="1520" w:type="dxa"/>
            <w:tcBorders>
              <w:top w:val="nil"/>
              <w:left w:val="nil"/>
              <w:bottom w:val="single" w:sz="4" w:space="0" w:color="auto"/>
              <w:right w:val="single" w:sz="4" w:space="0" w:color="auto"/>
            </w:tcBorders>
            <w:shd w:val="clear" w:color="auto" w:fill="auto"/>
            <w:noWrap/>
            <w:vAlign w:val="bottom"/>
            <w:hideMark/>
          </w:tcPr>
          <w:p w14:paraId="3BE9C04A"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17.67</w:t>
            </w:r>
          </w:p>
        </w:tc>
        <w:tc>
          <w:tcPr>
            <w:tcW w:w="1240" w:type="dxa"/>
            <w:tcBorders>
              <w:top w:val="nil"/>
              <w:left w:val="nil"/>
              <w:bottom w:val="single" w:sz="4" w:space="0" w:color="auto"/>
              <w:right w:val="single" w:sz="8" w:space="0" w:color="auto"/>
            </w:tcBorders>
            <w:shd w:val="clear" w:color="auto" w:fill="auto"/>
            <w:noWrap/>
            <w:vAlign w:val="bottom"/>
            <w:hideMark/>
          </w:tcPr>
          <w:p w14:paraId="1182B8AB"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29.52</w:t>
            </w:r>
          </w:p>
        </w:tc>
      </w:tr>
      <w:tr w:rsidR="00343C8A" w:rsidRPr="00E31401" w14:paraId="111966A4"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358B33D6"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520" w:type="dxa"/>
            <w:tcBorders>
              <w:top w:val="nil"/>
              <w:left w:val="nil"/>
              <w:bottom w:val="single" w:sz="4" w:space="0" w:color="auto"/>
              <w:right w:val="single" w:sz="4" w:space="0" w:color="auto"/>
            </w:tcBorders>
            <w:shd w:val="clear" w:color="auto" w:fill="auto"/>
            <w:noWrap/>
            <w:vAlign w:val="bottom"/>
            <w:hideMark/>
          </w:tcPr>
          <w:p w14:paraId="38506924"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240" w:type="dxa"/>
            <w:tcBorders>
              <w:top w:val="nil"/>
              <w:left w:val="nil"/>
              <w:bottom w:val="single" w:sz="4" w:space="0" w:color="auto"/>
              <w:right w:val="single" w:sz="8" w:space="0" w:color="auto"/>
            </w:tcBorders>
            <w:shd w:val="clear" w:color="auto" w:fill="auto"/>
            <w:noWrap/>
            <w:vAlign w:val="bottom"/>
            <w:hideMark/>
          </w:tcPr>
          <w:p w14:paraId="7FDE6018"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r>
      <w:tr w:rsidR="00343C8A" w:rsidRPr="00E31401" w14:paraId="3B46058A"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1683670A"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Liquidity ratio </w:t>
            </w:r>
          </w:p>
        </w:tc>
        <w:tc>
          <w:tcPr>
            <w:tcW w:w="1520" w:type="dxa"/>
            <w:tcBorders>
              <w:top w:val="nil"/>
              <w:left w:val="nil"/>
              <w:bottom w:val="single" w:sz="4" w:space="0" w:color="auto"/>
              <w:right w:val="single" w:sz="4" w:space="0" w:color="auto"/>
            </w:tcBorders>
            <w:shd w:val="clear" w:color="auto" w:fill="auto"/>
            <w:noWrap/>
            <w:vAlign w:val="bottom"/>
            <w:hideMark/>
          </w:tcPr>
          <w:p w14:paraId="4A14ACB8"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240" w:type="dxa"/>
            <w:tcBorders>
              <w:top w:val="nil"/>
              <w:left w:val="nil"/>
              <w:bottom w:val="single" w:sz="4" w:space="0" w:color="auto"/>
              <w:right w:val="single" w:sz="8" w:space="0" w:color="auto"/>
            </w:tcBorders>
            <w:shd w:val="clear" w:color="auto" w:fill="auto"/>
            <w:noWrap/>
            <w:vAlign w:val="bottom"/>
            <w:hideMark/>
          </w:tcPr>
          <w:p w14:paraId="1632F0A1"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r>
      <w:tr w:rsidR="00343C8A" w:rsidRPr="00E31401" w14:paraId="5DA79719"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084F49B1"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Current ratio</w:t>
            </w:r>
          </w:p>
        </w:tc>
        <w:tc>
          <w:tcPr>
            <w:tcW w:w="1520" w:type="dxa"/>
            <w:tcBorders>
              <w:top w:val="nil"/>
              <w:left w:val="nil"/>
              <w:bottom w:val="single" w:sz="4" w:space="0" w:color="auto"/>
              <w:right w:val="single" w:sz="4" w:space="0" w:color="auto"/>
            </w:tcBorders>
            <w:shd w:val="clear" w:color="auto" w:fill="auto"/>
            <w:noWrap/>
            <w:vAlign w:val="bottom"/>
            <w:hideMark/>
          </w:tcPr>
          <w:p w14:paraId="64CAB482"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1.69</w:t>
            </w:r>
          </w:p>
        </w:tc>
        <w:tc>
          <w:tcPr>
            <w:tcW w:w="1240" w:type="dxa"/>
            <w:tcBorders>
              <w:top w:val="nil"/>
              <w:left w:val="nil"/>
              <w:bottom w:val="single" w:sz="4" w:space="0" w:color="auto"/>
              <w:right w:val="single" w:sz="8" w:space="0" w:color="auto"/>
            </w:tcBorders>
            <w:shd w:val="clear" w:color="auto" w:fill="auto"/>
            <w:noWrap/>
            <w:vAlign w:val="bottom"/>
            <w:hideMark/>
          </w:tcPr>
          <w:p w14:paraId="4F7BDBAF"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1.23</w:t>
            </w:r>
          </w:p>
        </w:tc>
      </w:tr>
      <w:tr w:rsidR="00343C8A" w:rsidRPr="00E31401" w14:paraId="11E98FFC"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015C81B6"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Quick ratio</w:t>
            </w:r>
          </w:p>
        </w:tc>
        <w:tc>
          <w:tcPr>
            <w:tcW w:w="1520" w:type="dxa"/>
            <w:tcBorders>
              <w:top w:val="nil"/>
              <w:left w:val="nil"/>
              <w:bottom w:val="single" w:sz="4" w:space="0" w:color="auto"/>
              <w:right w:val="single" w:sz="4" w:space="0" w:color="auto"/>
            </w:tcBorders>
            <w:shd w:val="clear" w:color="auto" w:fill="auto"/>
            <w:noWrap/>
            <w:vAlign w:val="bottom"/>
            <w:hideMark/>
          </w:tcPr>
          <w:p w14:paraId="54E8DE9C"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0.48</w:t>
            </w:r>
          </w:p>
        </w:tc>
        <w:tc>
          <w:tcPr>
            <w:tcW w:w="1240" w:type="dxa"/>
            <w:tcBorders>
              <w:top w:val="nil"/>
              <w:left w:val="nil"/>
              <w:bottom w:val="single" w:sz="4" w:space="0" w:color="auto"/>
              <w:right w:val="single" w:sz="8" w:space="0" w:color="auto"/>
            </w:tcBorders>
            <w:shd w:val="clear" w:color="auto" w:fill="auto"/>
            <w:noWrap/>
            <w:vAlign w:val="bottom"/>
            <w:hideMark/>
          </w:tcPr>
          <w:p w14:paraId="04B0E90F"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-2.77</w:t>
            </w:r>
          </w:p>
        </w:tc>
      </w:tr>
      <w:tr w:rsidR="00343C8A" w:rsidRPr="00E31401" w14:paraId="29B08513"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48457E7A"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520" w:type="dxa"/>
            <w:tcBorders>
              <w:top w:val="nil"/>
              <w:left w:val="nil"/>
              <w:bottom w:val="single" w:sz="4" w:space="0" w:color="auto"/>
              <w:right w:val="single" w:sz="4" w:space="0" w:color="auto"/>
            </w:tcBorders>
            <w:shd w:val="clear" w:color="auto" w:fill="auto"/>
            <w:noWrap/>
            <w:vAlign w:val="bottom"/>
            <w:hideMark/>
          </w:tcPr>
          <w:p w14:paraId="2D11F68C"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240" w:type="dxa"/>
            <w:tcBorders>
              <w:top w:val="nil"/>
              <w:left w:val="nil"/>
              <w:bottom w:val="single" w:sz="4" w:space="0" w:color="auto"/>
              <w:right w:val="single" w:sz="8" w:space="0" w:color="auto"/>
            </w:tcBorders>
            <w:shd w:val="clear" w:color="auto" w:fill="auto"/>
            <w:noWrap/>
            <w:vAlign w:val="bottom"/>
            <w:hideMark/>
          </w:tcPr>
          <w:p w14:paraId="252C25BD"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r>
      <w:tr w:rsidR="00343C8A" w:rsidRPr="00E31401" w14:paraId="381401C7"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73EDF354"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Efficiency ratio </w:t>
            </w:r>
          </w:p>
        </w:tc>
        <w:tc>
          <w:tcPr>
            <w:tcW w:w="1520" w:type="dxa"/>
            <w:tcBorders>
              <w:top w:val="nil"/>
              <w:left w:val="nil"/>
              <w:bottom w:val="single" w:sz="4" w:space="0" w:color="auto"/>
              <w:right w:val="single" w:sz="4" w:space="0" w:color="auto"/>
            </w:tcBorders>
            <w:shd w:val="clear" w:color="auto" w:fill="auto"/>
            <w:noWrap/>
            <w:vAlign w:val="bottom"/>
            <w:hideMark/>
          </w:tcPr>
          <w:p w14:paraId="0A9CDE05"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240" w:type="dxa"/>
            <w:tcBorders>
              <w:top w:val="nil"/>
              <w:left w:val="nil"/>
              <w:bottom w:val="single" w:sz="4" w:space="0" w:color="auto"/>
              <w:right w:val="single" w:sz="8" w:space="0" w:color="auto"/>
            </w:tcBorders>
            <w:shd w:val="clear" w:color="auto" w:fill="auto"/>
            <w:noWrap/>
            <w:vAlign w:val="bottom"/>
            <w:hideMark/>
          </w:tcPr>
          <w:p w14:paraId="3EFE2D13"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r>
      <w:tr w:rsidR="00343C8A" w:rsidRPr="00E31401" w14:paraId="2E9B72BD"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7294FAE5"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Accounts receivable turnover</w:t>
            </w:r>
          </w:p>
        </w:tc>
        <w:tc>
          <w:tcPr>
            <w:tcW w:w="1520" w:type="dxa"/>
            <w:tcBorders>
              <w:top w:val="nil"/>
              <w:left w:val="nil"/>
              <w:bottom w:val="single" w:sz="4" w:space="0" w:color="auto"/>
              <w:right w:val="single" w:sz="4" w:space="0" w:color="auto"/>
            </w:tcBorders>
            <w:shd w:val="clear" w:color="auto" w:fill="auto"/>
            <w:noWrap/>
            <w:vAlign w:val="bottom"/>
            <w:hideMark/>
          </w:tcPr>
          <w:p w14:paraId="586A0798"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13.70</w:t>
            </w:r>
          </w:p>
        </w:tc>
        <w:tc>
          <w:tcPr>
            <w:tcW w:w="1240" w:type="dxa"/>
            <w:tcBorders>
              <w:top w:val="nil"/>
              <w:left w:val="nil"/>
              <w:bottom w:val="single" w:sz="4" w:space="0" w:color="auto"/>
              <w:right w:val="single" w:sz="8" w:space="0" w:color="auto"/>
            </w:tcBorders>
            <w:shd w:val="clear" w:color="auto" w:fill="auto"/>
            <w:noWrap/>
            <w:vAlign w:val="bottom"/>
            <w:hideMark/>
          </w:tcPr>
          <w:p w14:paraId="76B23B57"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363.63</w:t>
            </w:r>
          </w:p>
        </w:tc>
      </w:tr>
      <w:tr w:rsidR="00343C8A" w:rsidRPr="00E31401" w14:paraId="11F1B44A"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1C8D9980"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Fixed asset turnover</w:t>
            </w:r>
          </w:p>
        </w:tc>
        <w:tc>
          <w:tcPr>
            <w:tcW w:w="1520" w:type="dxa"/>
            <w:tcBorders>
              <w:top w:val="nil"/>
              <w:left w:val="nil"/>
              <w:bottom w:val="single" w:sz="4" w:space="0" w:color="auto"/>
              <w:right w:val="single" w:sz="4" w:space="0" w:color="auto"/>
            </w:tcBorders>
            <w:shd w:val="clear" w:color="auto" w:fill="auto"/>
            <w:noWrap/>
            <w:vAlign w:val="bottom"/>
            <w:hideMark/>
          </w:tcPr>
          <w:p w14:paraId="7F4678FF"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0.66</w:t>
            </w:r>
          </w:p>
        </w:tc>
        <w:tc>
          <w:tcPr>
            <w:tcW w:w="1240" w:type="dxa"/>
            <w:tcBorders>
              <w:top w:val="nil"/>
              <w:left w:val="nil"/>
              <w:bottom w:val="single" w:sz="4" w:space="0" w:color="auto"/>
              <w:right w:val="single" w:sz="8" w:space="0" w:color="auto"/>
            </w:tcBorders>
            <w:shd w:val="clear" w:color="auto" w:fill="auto"/>
            <w:noWrap/>
            <w:vAlign w:val="bottom"/>
            <w:hideMark/>
          </w:tcPr>
          <w:p w14:paraId="4D9CC300"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0.53</w:t>
            </w:r>
          </w:p>
        </w:tc>
      </w:tr>
      <w:tr w:rsidR="00343C8A" w:rsidRPr="00E31401" w14:paraId="6412EDA9"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009E33D5"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Sales to inventory</w:t>
            </w:r>
          </w:p>
        </w:tc>
        <w:tc>
          <w:tcPr>
            <w:tcW w:w="1520" w:type="dxa"/>
            <w:tcBorders>
              <w:top w:val="nil"/>
              <w:left w:val="nil"/>
              <w:bottom w:val="single" w:sz="4" w:space="0" w:color="auto"/>
              <w:right w:val="single" w:sz="4" w:space="0" w:color="auto"/>
            </w:tcBorders>
            <w:shd w:val="clear" w:color="auto" w:fill="auto"/>
            <w:noWrap/>
            <w:vAlign w:val="bottom"/>
            <w:hideMark/>
          </w:tcPr>
          <w:p w14:paraId="503727A7"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0.12</w:t>
            </w:r>
          </w:p>
        </w:tc>
        <w:tc>
          <w:tcPr>
            <w:tcW w:w="1240" w:type="dxa"/>
            <w:tcBorders>
              <w:top w:val="nil"/>
              <w:left w:val="nil"/>
              <w:bottom w:val="single" w:sz="4" w:space="0" w:color="auto"/>
              <w:right w:val="single" w:sz="8" w:space="0" w:color="auto"/>
            </w:tcBorders>
            <w:shd w:val="clear" w:color="auto" w:fill="auto"/>
            <w:noWrap/>
            <w:vAlign w:val="bottom"/>
            <w:hideMark/>
          </w:tcPr>
          <w:p w14:paraId="6EF91120"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1.33</w:t>
            </w:r>
          </w:p>
        </w:tc>
      </w:tr>
      <w:tr w:rsidR="00343C8A" w:rsidRPr="00E31401" w14:paraId="056A0634"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4534621B"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520" w:type="dxa"/>
            <w:tcBorders>
              <w:top w:val="nil"/>
              <w:left w:val="nil"/>
              <w:bottom w:val="single" w:sz="4" w:space="0" w:color="auto"/>
              <w:right w:val="single" w:sz="4" w:space="0" w:color="auto"/>
            </w:tcBorders>
            <w:shd w:val="clear" w:color="auto" w:fill="auto"/>
            <w:noWrap/>
            <w:vAlign w:val="bottom"/>
            <w:hideMark/>
          </w:tcPr>
          <w:p w14:paraId="05A48D5D"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240" w:type="dxa"/>
            <w:tcBorders>
              <w:top w:val="nil"/>
              <w:left w:val="nil"/>
              <w:bottom w:val="single" w:sz="4" w:space="0" w:color="auto"/>
              <w:right w:val="single" w:sz="8" w:space="0" w:color="auto"/>
            </w:tcBorders>
            <w:shd w:val="clear" w:color="auto" w:fill="auto"/>
            <w:noWrap/>
            <w:vAlign w:val="bottom"/>
            <w:hideMark/>
          </w:tcPr>
          <w:p w14:paraId="14CFDD50"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r>
      <w:tr w:rsidR="00343C8A" w:rsidRPr="00E31401" w14:paraId="75ADBBCB"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4F7CBEF3"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xml:space="preserve">Gearing ratio </w:t>
            </w:r>
          </w:p>
        </w:tc>
        <w:tc>
          <w:tcPr>
            <w:tcW w:w="1520" w:type="dxa"/>
            <w:tcBorders>
              <w:top w:val="nil"/>
              <w:left w:val="nil"/>
              <w:bottom w:val="single" w:sz="4" w:space="0" w:color="auto"/>
              <w:right w:val="single" w:sz="4" w:space="0" w:color="auto"/>
            </w:tcBorders>
            <w:shd w:val="clear" w:color="auto" w:fill="auto"/>
            <w:noWrap/>
            <w:vAlign w:val="bottom"/>
            <w:hideMark/>
          </w:tcPr>
          <w:p w14:paraId="7FB643BE"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c>
          <w:tcPr>
            <w:tcW w:w="1240" w:type="dxa"/>
            <w:tcBorders>
              <w:top w:val="nil"/>
              <w:left w:val="nil"/>
              <w:bottom w:val="single" w:sz="4" w:space="0" w:color="auto"/>
              <w:right w:val="single" w:sz="8" w:space="0" w:color="auto"/>
            </w:tcBorders>
            <w:shd w:val="clear" w:color="auto" w:fill="auto"/>
            <w:noWrap/>
            <w:vAlign w:val="bottom"/>
            <w:hideMark/>
          </w:tcPr>
          <w:p w14:paraId="0E51DD91"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 </w:t>
            </w:r>
          </w:p>
        </w:tc>
      </w:tr>
      <w:tr w:rsidR="00343C8A" w:rsidRPr="00E31401" w14:paraId="532BAF6A" w14:textId="77777777" w:rsidTr="00343C8A">
        <w:trPr>
          <w:trHeight w:val="288"/>
        </w:trPr>
        <w:tc>
          <w:tcPr>
            <w:tcW w:w="4160" w:type="dxa"/>
            <w:tcBorders>
              <w:top w:val="nil"/>
              <w:left w:val="single" w:sz="8" w:space="0" w:color="auto"/>
              <w:bottom w:val="single" w:sz="4" w:space="0" w:color="auto"/>
              <w:right w:val="single" w:sz="4" w:space="0" w:color="auto"/>
            </w:tcBorders>
            <w:shd w:val="clear" w:color="auto" w:fill="auto"/>
            <w:noWrap/>
            <w:vAlign w:val="bottom"/>
            <w:hideMark/>
          </w:tcPr>
          <w:p w14:paraId="250A5CD3"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Debt-to-Equity Ratio</w:t>
            </w:r>
          </w:p>
        </w:tc>
        <w:tc>
          <w:tcPr>
            <w:tcW w:w="1520" w:type="dxa"/>
            <w:tcBorders>
              <w:top w:val="nil"/>
              <w:left w:val="nil"/>
              <w:bottom w:val="single" w:sz="4" w:space="0" w:color="auto"/>
              <w:right w:val="single" w:sz="4" w:space="0" w:color="auto"/>
            </w:tcBorders>
            <w:shd w:val="clear" w:color="auto" w:fill="auto"/>
            <w:noWrap/>
            <w:vAlign w:val="bottom"/>
            <w:hideMark/>
          </w:tcPr>
          <w:p w14:paraId="1997CAB8"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0.22</w:t>
            </w:r>
          </w:p>
        </w:tc>
        <w:tc>
          <w:tcPr>
            <w:tcW w:w="1240" w:type="dxa"/>
            <w:tcBorders>
              <w:top w:val="nil"/>
              <w:left w:val="nil"/>
              <w:bottom w:val="single" w:sz="4" w:space="0" w:color="auto"/>
              <w:right w:val="single" w:sz="8" w:space="0" w:color="auto"/>
            </w:tcBorders>
            <w:shd w:val="clear" w:color="auto" w:fill="auto"/>
            <w:noWrap/>
            <w:vAlign w:val="bottom"/>
            <w:hideMark/>
          </w:tcPr>
          <w:p w14:paraId="6F48B3EE"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0.31</w:t>
            </w:r>
          </w:p>
        </w:tc>
      </w:tr>
      <w:tr w:rsidR="00343C8A" w:rsidRPr="00E31401" w14:paraId="522ED39E" w14:textId="77777777" w:rsidTr="00343C8A">
        <w:trPr>
          <w:trHeight w:val="300"/>
        </w:trPr>
        <w:tc>
          <w:tcPr>
            <w:tcW w:w="4160" w:type="dxa"/>
            <w:tcBorders>
              <w:top w:val="nil"/>
              <w:left w:val="single" w:sz="8" w:space="0" w:color="auto"/>
              <w:bottom w:val="single" w:sz="8" w:space="0" w:color="auto"/>
              <w:right w:val="single" w:sz="4" w:space="0" w:color="auto"/>
            </w:tcBorders>
            <w:shd w:val="clear" w:color="auto" w:fill="auto"/>
            <w:noWrap/>
            <w:vAlign w:val="bottom"/>
            <w:hideMark/>
          </w:tcPr>
          <w:p w14:paraId="4DF55C62"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Times Interest Earned</w:t>
            </w:r>
          </w:p>
        </w:tc>
        <w:tc>
          <w:tcPr>
            <w:tcW w:w="1520" w:type="dxa"/>
            <w:tcBorders>
              <w:top w:val="nil"/>
              <w:left w:val="nil"/>
              <w:bottom w:val="single" w:sz="8" w:space="0" w:color="auto"/>
              <w:right w:val="single" w:sz="4" w:space="0" w:color="auto"/>
            </w:tcBorders>
            <w:shd w:val="clear" w:color="auto" w:fill="auto"/>
            <w:noWrap/>
            <w:vAlign w:val="bottom"/>
            <w:hideMark/>
          </w:tcPr>
          <w:p w14:paraId="58E60480"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16.03</w:t>
            </w:r>
          </w:p>
        </w:tc>
        <w:tc>
          <w:tcPr>
            <w:tcW w:w="1240" w:type="dxa"/>
            <w:tcBorders>
              <w:top w:val="nil"/>
              <w:left w:val="nil"/>
              <w:bottom w:val="single" w:sz="8" w:space="0" w:color="auto"/>
              <w:right w:val="single" w:sz="8" w:space="0" w:color="auto"/>
            </w:tcBorders>
            <w:shd w:val="clear" w:color="auto" w:fill="auto"/>
            <w:noWrap/>
            <w:vAlign w:val="bottom"/>
            <w:hideMark/>
          </w:tcPr>
          <w:p w14:paraId="0B4787BB" w14:textId="77777777"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eastAsia="Times New Roman" w:hAnsi="Times New Roman" w:cs="Times New Roman"/>
                <w:color w:val="000000"/>
                <w:sz w:val="24"/>
                <w:szCs w:val="24"/>
                <w:lang w:eastAsia="en-GB"/>
                <w14:ligatures w14:val="none"/>
              </w:rPr>
              <w:t>13.98</w:t>
            </w:r>
          </w:p>
        </w:tc>
      </w:tr>
    </w:tbl>
    <w:p w14:paraId="7A967160" w14:textId="77777777" w:rsidR="008928A8" w:rsidRPr="00E31401" w:rsidRDefault="008928A8" w:rsidP="00E31401">
      <w:pPr>
        <w:spacing w:after="200" w:line="360" w:lineRule="auto"/>
        <w:jc w:val="both"/>
        <w:rPr>
          <w:rFonts w:ascii="Times New Roman" w:eastAsia="Times New Roman" w:hAnsi="Times New Roman" w:cs="Times New Roman"/>
          <w:color w:val="000000"/>
          <w:sz w:val="24"/>
          <w:szCs w:val="24"/>
          <w:lang w:eastAsia="en-GB"/>
          <w14:ligatures w14:val="none"/>
        </w:rPr>
      </w:pPr>
    </w:p>
    <w:p w14:paraId="19B96FC6" w14:textId="77777777" w:rsidR="00343C8A" w:rsidRPr="00E31401" w:rsidRDefault="00343C8A" w:rsidP="00E31401">
      <w:pPr>
        <w:spacing w:after="200" w:line="360" w:lineRule="auto"/>
        <w:jc w:val="both"/>
        <w:rPr>
          <w:rFonts w:ascii="Times New Roman" w:eastAsia="Times New Roman" w:hAnsi="Times New Roman" w:cs="Times New Roman"/>
          <w:b/>
          <w:bCs/>
          <w:color w:val="000000"/>
          <w:sz w:val="24"/>
          <w:szCs w:val="24"/>
          <w:lang w:eastAsia="en-GB"/>
          <w14:ligatures w14:val="none"/>
        </w:rPr>
      </w:pPr>
      <w:r w:rsidRPr="00E31401">
        <w:rPr>
          <w:rFonts w:ascii="Times New Roman" w:eastAsia="Times New Roman" w:hAnsi="Times New Roman" w:cs="Times New Roman"/>
          <w:b/>
          <w:bCs/>
          <w:color w:val="000000"/>
          <w:sz w:val="24"/>
          <w:szCs w:val="24"/>
          <w:lang w:eastAsia="en-GB"/>
          <w14:ligatures w14:val="none"/>
        </w:rPr>
        <w:t>Profitability ratios</w:t>
      </w:r>
    </w:p>
    <w:p w14:paraId="39C342E7" w14:textId="21461C53" w:rsidR="00343C8A" w:rsidRPr="00E31401" w:rsidRDefault="00343C8A"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E31401">
        <w:rPr>
          <w:rFonts w:ascii="Times New Roman" w:hAnsi="Times New Roman" w:cs="Times New Roman"/>
          <w:sz w:val="24"/>
          <w:szCs w:val="24"/>
        </w:rPr>
        <w:t>Net Profit Ratio:</w:t>
      </w:r>
    </w:p>
    <w:p w14:paraId="60C2956E" w14:textId="4FAF28AB"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BHP's 2023 net profit ratio of 26.62% indicates it successfully managed production costs while achieving higher sales realizations for its mineral offerings compared to Rio Tinto's 18.42%. Mining is a capital intensive industry with volatile commodity prices, so maintaining strong net margins provides an important buffer against downswings in revenues when input or market factors turn </w:t>
      </w:r>
      <w:r w:rsidR="00E31401" w:rsidRPr="00E31401">
        <w:rPr>
          <w:rFonts w:ascii="Times New Roman" w:hAnsi="Times New Roman" w:cs="Times New Roman"/>
          <w:sz w:val="24"/>
          <w:szCs w:val="24"/>
        </w:rPr>
        <w:t>unfavourable</w:t>
      </w:r>
      <w:r w:rsidRPr="00E31401">
        <w:rPr>
          <w:rFonts w:ascii="Times New Roman" w:hAnsi="Times New Roman" w:cs="Times New Roman"/>
          <w:sz w:val="24"/>
          <w:szCs w:val="24"/>
        </w:rPr>
        <w:t xml:space="preserve">. BHP appears to have a relative cost advantage as well as superior commercial strategies for product pricing. </w:t>
      </w:r>
    </w:p>
    <w:p w14:paraId="0B5A970E" w14:textId="77777777"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lastRenderedPageBreak/>
        <w:t>Gross Profit Ratio:</w:t>
      </w:r>
    </w:p>
    <w:p w14:paraId="23EB826A" w14:textId="66021B58"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The gross profit margin, at 42.61% for BHP, suggests its effective handling and control of direct expenses involved in the extraction and initial processing of minerals extracted from the earth. These would include mining contractors, energy and fuel costs, ore processing </w:t>
      </w:r>
      <w:r w:rsidR="00E31401" w:rsidRPr="00E31401">
        <w:rPr>
          <w:rFonts w:ascii="Times New Roman" w:hAnsi="Times New Roman" w:cs="Times New Roman"/>
          <w:sz w:val="24"/>
          <w:szCs w:val="24"/>
        </w:rPr>
        <w:t>labour</w:t>
      </w:r>
      <w:r w:rsidRPr="00E31401">
        <w:rPr>
          <w:rFonts w:ascii="Times New Roman" w:hAnsi="Times New Roman" w:cs="Times New Roman"/>
          <w:sz w:val="24"/>
          <w:szCs w:val="24"/>
        </w:rPr>
        <w:t>, maintenance, consumables etc. In contrast, Rio Tinto's ratio of 27.43% points to slightly higher direct costs incurred per dollar of sales. There may be potential for Rio Tinto to implement more efficient mining techniques, automate manual tasks, right-size equipment fleets based on true production requirements, aggressively negotiate with suppliers on discounts, or upgrade older plants</w:t>
      </w:r>
      <w:r w:rsidR="0094076C" w:rsidRPr="00E31401">
        <w:rPr>
          <w:rFonts w:ascii="Times New Roman" w:hAnsi="Times New Roman" w:cs="Times New Roman"/>
          <w:sz w:val="24"/>
          <w:szCs w:val="24"/>
        </w:rPr>
        <w:t xml:space="preserve"> (</w:t>
      </w:r>
      <w:r w:rsidR="0094076C" w:rsidRPr="00E31401">
        <w:rPr>
          <w:rFonts w:ascii="Times New Roman" w:hAnsi="Times New Roman" w:cs="Times New Roman"/>
          <w:color w:val="222222"/>
          <w:sz w:val="24"/>
          <w:szCs w:val="24"/>
          <w:shd w:val="clear" w:color="auto" w:fill="FFFFFF"/>
        </w:rPr>
        <w:t>Higgins, 2016</w:t>
      </w:r>
      <w:r w:rsidR="0094076C" w:rsidRPr="00E31401">
        <w:rPr>
          <w:rFonts w:ascii="Times New Roman" w:hAnsi="Times New Roman" w:cs="Times New Roman"/>
          <w:sz w:val="24"/>
          <w:szCs w:val="24"/>
        </w:rPr>
        <w:t>)</w:t>
      </w:r>
      <w:r w:rsidRPr="00E31401">
        <w:rPr>
          <w:rFonts w:ascii="Times New Roman" w:hAnsi="Times New Roman" w:cs="Times New Roman"/>
          <w:sz w:val="24"/>
          <w:szCs w:val="24"/>
        </w:rPr>
        <w:t xml:space="preserve">. </w:t>
      </w:r>
    </w:p>
    <w:p w14:paraId="45CF8B4A" w14:textId="77777777"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Return on Equity:</w:t>
      </w:r>
    </w:p>
    <w:p w14:paraId="1CF6F41A" w14:textId="1862ED02"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While BHP recorded a marginally superior ROE of 29.52% compared to Rio Tinto's 17.67%, both mining giants have demonstrated reasonable ability to generate returns for their shareholders from the capital deployed in business operations. This indicates profits earned are being efficiently </w:t>
      </w:r>
      <w:r w:rsidR="00E31401" w:rsidRPr="00E31401">
        <w:rPr>
          <w:rFonts w:ascii="Times New Roman" w:hAnsi="Times New Roman" w:cs="Times New Roman"/>
          <w:sz w:val="24"/>
          <w:szCs w:val="24"/>
        </w:rPr>
        <w:t>ploughed</w:t>
      </w:r>
      <w:r w:rsidRPr="00E31401">
        <w:rPr>
          <w:rFonts w:ascii="Times New Roman" w:hAnsi="Times New Roman" w:cs="Times New Roman"/>
          <w:sz w:val="24"/>
          <w:szCs w:val="24"/>
        </w:rPr>
        <w:t xml:space="preserve"> back rather than just accumulating on the balance sheet unproductively. An ROE of over 15% is generally acceptable for capital-intensive sectors like mining. Some improvement may still be possible for Rio Tinto through working capital optimization, tax planning, productivity enhancements or more competitive sourcing/pricing. </w:t>
      </w:r>
    </w:p>
    <w:p w14:paraId="48FF49E2" w14:textId="415EF7AE" w:rsidR="00343C8A" w:rsidRPr="00E31401" w:rsidRDefault="00343C8A"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 xml:space="preserve">Liquidity Ratios </w:t>
      </w:r>
    </w:p>
    <w:p w14:paraId="2BE22D49" w14:textId="77777777"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Current Ratio:</w:t>
      </w:r>
    </w:p>
    <w:p w14:paraId="04C24509" w14:textId="6C8455F3"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Rio Tinto's current ratio of 1.69 slightly tops the generally adequate benchmark of 1.5 and is higher than BHP's 1.23. This suggests Rio Tinto maintains a larger buffer of quick assets that can be readily converted to cash if needed to repay obligations due over the next year. In mining, fluctuating output and market demands require comfortable working capital cushions as a safety measure. BHP's ratio reflects sufficient coverage but the company would need to bolster short term reserves for a small additional layer of protection against unforeseen downturns impacting cash flows.</w:t>
      </w:r>
    </w:p>
    <w:p w14:paraId="1E0B6FEA" w14:textId="77777777"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Quick Ratio:</w:t>
      </w:r>
    </w:p>
    <w:p w14:paraId="2BDF2D42" w14:textId="00D4F480"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lastRenderedPageBreak/>
        <w:t>In contrast, BHP's quick ratio of -2.77 is concerning as it points to inadequate cash and near-cash current assets in the absence of slow inventory items to immediately settle all current liabilities on the books. This poses risks in a squeeze. Rio Tinto at 0.48 maintains a balanced current assets profile with sufficient quick funds proportionate to immediate liabilities. BHP needs to strengthen its cash position, speedily collect debtors, release tied-up capital to streamline the working capital cycle, or diversify funding sources including credit lines to guard against short-notice liquidity shortfalls. Conservative cash management practices spanning collection/disbursement periods aim to consistently report ratios well above zero by both miners</w:t>
      </w:r>
      <w:r w:rsidR="0094076C" w:rsidRPr="00E31401">
        <w:rPr>
          <w:rFonts w:ascii="Times New Roman" w:hAnsi="Times New Roman" w:cs="Times New Roman"/>
          <w:sz w:val="24"/>
          <w:szCs w:val="24"/>
        </w:rPr>
        <w:t xml:space="preserve"> (</w:t>
      </w:r>
      <w:r w:rsidR="0094076C" w:rsidRPr="00E31401">
        <w:rPr>
          <w:rFonts w:ascii="Times New Roman" w:hAnsi="Times New Roman" w:cs="Times New Roman"/>
          <w:color w:val="222222"/>
          <w:sz w:val="24"/>
          <w:szCs w:val="24"/>
          <w:shd w:val="clear" w:color="auto" w:fill="FFFFFF"/>
        </w:rPr>
        <w:t>Brigham and Daves, 2019</w:t>
      </w:r>
      <w:r w:rsidR="0094076C" w:rsidRPr="00E31401">
        <w:rPr>
          <w:rFonts w:ascii="Times New Roman" w:hAnsi="Times New Roman" w:cs="Times New Roman"/>
          <w:sz w:val="24"/>
          <w:szCs w:val="24"/>
        </w:rPr>
        <w:t>)</w:t>
      </w:r>
      <w:r w:rsidRPr="00E31401">
        <w:rPr>
          <w:rFonts w:ascii="Times New Roman" w:hAnsi="Times New Roman" w:cs="Times New Roman"/>
          <w:sz w:val="24"/>
          <w:szCs w:val="24"/>
        </w:rPr>
        <w:t>.</w:t>
      </w:r>
    </w:p>
    <w:p w14:paraId="2BD7FF4A" w14:textId="46C5DA72"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To conclude, while both mining giants satisfy current liability obligations from current assets pools as per wider industry standards, Rio Tinto demonstrates relatively safer liquidity standing with an equilibrium between short term commitments and realizable current asset reserves readily meeting payment conditions. BHP can focus on selectively expanding rapidly realizable current assets categories or moderating creditors to bolster its liquid cover, strengthening resilience against unforeseen cash drain scenarios. Prudently planning production against demand volatility facilitates dependable current ratios supportive of sustainable operations across market cycles.</w:t>
      </w:r>
    </w:p>
    <w:p w14:paraId="18698A35" w14:textId="66CA1B14" w:rsidR="00343C8A" w:rsidRPr="00E31401" w:rsidRDefault="00343C8A"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 xml:space="preserve">Efficiency Ratios </w:t>
      </w:r>
    </w:p>
    <w:p w14:paraId="19E0F956" w14:textId="77777777"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Accounts Receivable Turnover:</w:t>
      </w:r>
    </w:p>
    <w:p w14:paraId="23E7E24E" w14:textId="29616EB6"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BHP highlights superior collection efficiency by recovering debtors a remarkable 363.63 times annually compared to Rio Tinto's 13.70 times. This underscores faster payment recoveries from buyers, releasing capital for more sales/margins. BHP has likely refined credit management practices leveraging digital technologies - from electronic invoicing and automated dunning to data-based customer profiling. Rio Tinto can study BHP's strategies and adapt efficacious policies e.g. differential credit terms depending on purchase volume/payment history; credit insurance for high risk accounts; incentivizing early settlement. Faster debtor recovery cycles boost solvency and competitive responsiveness.</w:t>
      </w:r>
    </w:p>
    <w:p w14:paraId="073D964F" w14:textId="77777777"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Fixed Asset Turnover:</w:t>
      </w:r>
    </w:p>
    <w:p w14:paraId="11E19604" w14:textId="61DAC462"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While both miners realized ratios around 0.5-0.7 times, scope remains to extract incremental revenues from sunk capital equipment and facilities. Regular reviews of asset utilization quantify </w:t>
      </w:r>
      <w:r w:rsidRPr="00E31401">
        <w:rPr>
          <w:rFonts w:ascii="Times New Roman" w:hAnsi="Times New Roman" w:cs="Times New Roman"/>
          <w:sz w:val="24"/>
          <w:szCs w:val="24"/>
        </w:rPr>
        <w:lastRenderedPageBreak/>
        <w:t>surplus capacities for asset right-sizing decisions. Outdated machinery is refreshed before total breakdown to optimize efficiencies. Predictive maintenance using sensors minimizes downtime. Asset performance transparency across sites via digital dashboards facilitates optimizations in conjunction with production planning for maximum asset turns ensuring ongoing viability</w:t>
      </w:r>
      <w:r w:rsidR="0094076C" w:rsidRPr="00E31401">
        <w:rPr>
          <w:rFonts w:ascii="Times New Roman" w:hAnsi="Times New Roman" w:cs="Times New Roman"/>
          <w:sz w:val="24"/>
          <w:szCs w:val="24"/>
        </w:rPr>
        <w:t xml:space="preserve"> (</w:t>
      </w:r>
      <w:r w:rsidR="0094076C" w:rsidRPr="00E31401">
        <w:rPr>
          <w:rFonts w:ascii="Times New Roman" w:hAnsi="Times New Roman" w:cs="Times New Roman"/>
          <w:color w:val="222222"/>
          <w:sz w:val="24"/>
          <w:szCs w:val="24"/>
          <w:shd w:val="clear" w:color="auto" w:fill="FFFFFF"/>
        </w:rPr>
        <w:t>Ross, Westerfield and Jordan, 2017</w:t>
      </w:r>
      <w:r w:rsidR="0094076C" w:rsidRPr="00E31401">
        <w:rPr>
          <w:rFonts w:ascii="Times New Roman" w:hAnsi="Times New Roman" w:cs="Times New Roman"/>
          <w:sz w:val="24"/>
          <w:szCs w:val="24"/>
        </w:rPr>
        <w:t>)</w:t>
      </w:r>
      <w:r w:rsidRPr="00E31401">
        <w:rPr>
          <w:rFonts w:ascii="Times New Roman" w:hAnsi="Times New Roman" w:cs="Times New Roman"/>
          <w:sz w:val="24"/>
          <w:szCs w:val="24"/>
        </w:rPr>
        <w:t>.</w:t>
      </w:r>
    </w:p>
    <w:p w14:paraId="713B964E" w14:textId="77777777"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Inventory Turnover:</w:t>
      </w:r>
    </w:p>
    <w:p w14:paraId="1644DC77" w14:textId="0820E69C"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Keeping inventories under 2 months of sales demonstrates careful inventory management by Rio Tinto and BHP to avoid capital blocks, aid agility, and sustain consistent offtake. Lean buffers sufficient to satisfy production needs minimize inventory carrying costs and obsolescence risks. Advanced demand projections and optimized inter-site logistics underpin minimal safety stocks supportive of smooth operations amid volatilities.</w:t>
      </w:r>
    </w:p>
    <w:p w14:paraId="75986227" w14:textId="7DA6B81A" w:rsidR="00343C8A" w:rsidRPr="00E31401" w:rsidRDefault="00343C8A"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 xml:space="preserve">Gearing Ratios </w:t>
      </w:r>
    </w:p>
    <w:p w14:paraId="59A22500" w14:textId="77777777"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Debt-to-Equity Ratio:</w:t>
      </w:r>
    </w:p>
    <w:p w14:paraId="71FA71C5" w14:textId="34FB9376"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While BHP's 0.31 ratio comports with industry norms, Rio Tinto embraces a more risk-averse financial profile through its lower debt reliance of 0.22. This lends greater resilience amid macroeconomic headwinds impacting cash flows or mineral demand/pricing that may constrain debt-servicing ability. A lower leverage cushion reduces volatility, protects credit ratings supporting lower-cost funding to reinvest over cycles</w:t>
      </w:r>
      <w:r w:rsidR="0094076C" w:rsidRPr="00E31401">
        <w:rPr>
          <w:rFonts w:ascii="Times New Roman" w:hAnsi="Times New Roman" w:cs="Times New Roman"/>
          <w:sz w:val="24"/>
          <w:szCs w:val="24"/>
        </w:rPr>
        <w:t xml:space="preserve"> (</w:t>
      </w:r>
      <w:r w:rsidR="0094076C" w:rsidRPr="00E31401">
        <w:rPr>
          <w:rFonts w:ascii="Times New Roman" w:hAnsi="Times New Roman" w:cs="Times New Roman"/>
          <w:color w:val="222222"/>
          <w:sz w:val="24"/>
          <w:szCs w:val="24"/>
          <w:shd w:val="clear" w:color="auto" w:fill="FFFFFF"/>
        </w:rPr>
        <w:t>Warren, Jones and Tayler, 2020</w:t>
      </w:r>
      <w:r w:rsidR="0094076C" w:rsidRPr="00E31401">
        <w:rPr>
          <w:rFonts w:ascii="Times New Roman" w:hAnsi="Times New Roman" w:cs="Times New Roman"/>
          <w:sz w:val="24"/>
          <w:szCs w:val="24"/>
        </w:rPr>
        <w:t>)</w:t>
      </w:r>
      <w:r w:rsidRPr="00E31401">
        <w:rPr>
          <w:rFonts w:ascii="Times New Roman" w:hAnsi="Times New Roman" w:cs="Times New Roman"/>
          <w:sz w:val="24"/>
          <w:szCs w:val="24"/>
        </w:rPr>
        <w:t>.</w:t>
      </w:r>
    </w:p>
    <w:p w14:paraId="5579DAFE" w14:textId="77777777"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Times Interest Earned:</w:t>
      </w:r>
    </w:p>
    <w:p w14:paraId="2FEB794B" w14:textId="401DE227" w:rsidR="00343C8A" w:rsidRPr="00E31401" w:rsidRDefault="00343C8A"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Rio Tinto distinguishes itself from BHP through a superior interest coverage of 16.03x, suggesting wider margins of safety for servicing interest outgo even allowing for moderate earnings dipping without default threat, compared to BHP's 13.98x coverage. Strong coverage safeguards against profitability squash scenarios and preserves financing flexibility due to consistent creditworthiness.</w:t>
      </w:r>
    </w:p>
    <w:p w14:paraId="7673CFCD" w14:textId="77777777" w:rsidR="00343C8A" w:rsidRPr="00E31401" w:rsidRDefault="00343C8A" w:rsidP="00E31401">
      <w:pPr>
        <w:spacing w:after="200" w:line="360" w:lineRule="auto"/>
        <w:jc w:val="both"/>
        <w:rPr>
          <w:rFonts w:ascii="Times New Roman" w:hAnsi="Times New Roman" w:cs="Times New Roman"/>
          <w:sz w:val="24"/>
          <w:szCs w:val="24"/>
        </w:rPr>
      </w:pPr>
    </w:p>
    <w:p w14:paraId="228BB75F" w14:textId="3E770125" w:rsidR="00343C8A" w:rsidRPr="00E31401" w:rsidRDefault="00343C8A" w:rsidP="00E31401">
      <w:pPr>
        <w:pStyle w:val="Heading2"/>
        <w:spacing w:after="200" w:line="360" w:lineRule="auto"/>
        <w:jc w:val="both"/>
        <w:rPr>
          <w:rFonts w:ascii="Times New Roman" w:hAnsi="Times New Roman" w:cs="Times New Roman"/>
          <w:sz w:val="24"/>
          <w:szCs w:val="24"/>
        </w:rPr>
      </w:pPr>
      <w:bookmarkStart w:id="5" w:name="_Toc161763265"/>
      <w:r w:rsidRPr="00E31401">
        <w:rPr>
          <w:rFonts w:ascii="Times New Roman" w:hAnsi="Times New Roman" w:cs="Times New Roman"/>
          <w:sz w:val="24"/>
          <w:szCs w:val="24"/>
        </w:rPr>
        <w:lastRenderedPageBreak/>
        <w:t>Recommendations</w:t>
      </w:r>
      <w:bookmarkEnd w:id="5"/>
      <w:r w:rsidRPr="00E31401">
        <w:rPr>
          <w:rFonts w:ascii="Times New Roman" w:hAnsi="Times New Roman" w:cs="Times New Roman"/>
          <w:sz w:val="24"/>
          <w:szCs w:val="24"/>
        </w:rPr>
        <w:t xml:space="preserve"> </w:t>
      </w:r>
    </w:p>
    <w:p w14:paraId="7B776C18" w14:textId="77777777" w:rsidR="00343C8A" w:rsidRPr="00E31401" w:rsidRDefault="00343C8A" w:rsidP="00E31401">
      <w:pPr>
        <w:numPr>
          <w:ilvl w:val="0"/>
          <w:numId w:val="3"/>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Tighten credit controls and expedite debt collection to boost receivables turnover closer to industry leaders. Regularly monitor top slow-paying customers.</w:t>
      </w:r>
    </w:p>
    <w:p w14:paraId="2F7AD4EC" w14:textId="77777777" w:rsidR="00343C8A" w:rsidRPr="00E31401" w:rsidRDefault="00343C8A" w:rsidP="00E31401">
      <w:pPr>
        <w:numPr>
          <w:ilvl w:val="0"/>
          <w:numId w:val="3"/>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Conduct operational efficiency drives across mines focusing on reducing unit costs of key inputs like energy, materials, contractors. Optimize production planning.</w:t>
      </w:r>
    </w:p>
    <w:p w14:paraId="1647337C" w14:textId="77777777" w:rsidR="00343C8A" w:rsidRPr="00E31401" w:rsidRDefault="00343C8A" w:rsidP="00E31401">
      <w:pPr>
        <w:numPr>
          <w:ilvl w:val="0"/>
          <w:numId w:val="3"/>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Review fixed asset utilization through site visits and performance tracking. Replace outdated equipment on priority and extract marginal gains from existing fleets through automation/condition monitoring.</w:t>
      </w:r>
    </w:p>
    <w:p w14:paraId="448ED60B" w14:textId="77777777" w:rsidR="00343C8A" w:rsidRPr="00E31401" w:rsidRDefault="00343C8A" w:rsidP="00E31401">
      <w:pPr>
        <w:numPr>
          <w:ilvl w:val="0"/>
          <w:numId w:val="3"/>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Explore partnerships with suppliers to jointly optimize efficient scaling of inputs aligned with demand outlook. Negotiate discounts through long-term agreements.</w:t>
      </w:r>
    </w:p>
    <w:p w14:paraId="36B62E1A" w14:textId="77777777" w:rsidR="00343C8A" w:rsidRPr="00E31401" w:rsidRDefault="00343C8A" w:rsidP="00E31401">
      <w:pPr>
        <w:numPr>
          <w:ilvl w:val="0"/>
          <w:numId w:val="3"/>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Consider incentivizing early payment settlements via differential credit terms based on volume/compliance. Investigate accounts receivables factoring or insurance.</w:t>
      </w:r>
    </w:p>
    <w:p w14:paraId="06136794" w14:textId="77777777" w:rsidR="00343C8A" w:rsidRPr="00E31401" w:rsidRDefault="00343C8A" w:rsidP="00E31401">
      <w:pPr>
        <w:numPr>
          <w:ilvl w:val="0"/>
          <w:numId w:val="3"/>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Maximize sales realizations through stronger market intelligence function. Constantly benchmark product pricing against top competitors.</w:t>
      </w:r>
    </w:p>
    <w:p w14:paraId="31793ADC" w14:textId="77777777" w:rsidR="00343C8A" w:rsidRPr="00E31401" w:rsidRDefault="00343C8A" w:rsidP="00E31401">
      <w:pPr>
        <w:numPr>
          <w:ilvl w:val="0"/>
          <w:numId w:val="3"/>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Strengthen liquidity reserves proportionate to scale of operations through cash flow projection agility and treasury management practices.</w:t>
      </w:r>
    </w:p>
    <w:p w14:paraId="12D3D634" w14:textId="77777777" w:rsidR="00343C8A" w:rsidRPr="00E31401" w:rsidRDefault="00343C8A" w:rsidP="00E31401">
      <w:pPr>
        <w:numPr>
          <w:ilvl w:val="0"/>
          <w:numId w:val="3"/>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Adopt Industry 4.0 technologies for end-to-end value chain visibility and predictive maintenance/planning. Identify non-value add activities for elimination.</w:t>
      </w:r>
    </w:p>
    <w:p w14:paraId="63CD38EB" w14:textId="77777777" w:rsidR="00343C8A" w:rsidRPr="00E31401" w:rsidRDefault="00343C8A" w:rsidP="00E31401">
      <w:pPr>
        <w:numPr>
          <w:ilvl w:val="0"/>
          <w:numId w:val="3"/>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Maintain a conservative leverage profile with more equity financing and adequate interest coverage for resilience through volatility.</w:t>
      </w:r>
    </w:p>
    <w:p w14:paraId="530D79C5" w14:textId="5F908F41" w:rsidR="00343C8A" w:rsidRPr="00E31401" w:rsidRDefault="00343C8A" w:rsidP="00E31401">
      <w:pPr>
        <w:numPr>
          <w:ilvl w:val="0"/>
          <w:numId w:val="3"/>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Strengthen shareholder returns over the long-run in a sustained manner through profitable growth strategies and working capital optimizations</w:t>
      </w:r>
      <w:r w:rsidR="00C500E8" w:rsidRPr="00E31401">
        <w:rPr>
          <w:rFonts w:ascii="Times New Roman" w:hAnsi="Times New Roman" w:cs="Times New Roman"/>
          <w:sz w:val="24"/>
          <w:szCs w:val="24"/>
        </w:rPr>
        <w:t xml:space="preserve"> (</w:t>
      </w:r>
      <w:r w:rsidR="00C500E8" w:rsidRPr="00E31401">
        <w:rPr>
          <w:rFonts w:ascii="Times New Roman" w:hAnsi="Times New Roman" w:cs="Times New Roman"/>
          <w:color w:val="222222"/>
          <w:sz w:val="24"/>
          <w:szCs w:val="24"/>
          <w:shd w:val="clear" w:color="auto" w:fill="FFFFFF"/>
        </w:rPr>
        <w:t>Titman, Keown and Martin, 2018</w:t>
      </w:r>
      <w:r w:rsidR="00C500E8" w:rsidRPr="00E31401">
        <w:rPr>
          <w:rFonts w:ascii="Times New Roman" w:hAnsi="Times New Roman" w:cs="Times New Roman"/>
          <w:sz w:val="24"/>
          <w:szCs w:val="24"/>
        </w:rPr>
        <w:t>)</w:t>
      </w:r>
      <w:r w:rsidRPr="00E31401">
        <w:rPr>
          <w:rFonts w:ascii="Times New Roman" w:hAnsi="Times New Roman" w:cs="Times New Roman"/>
          <w:sz w:val="24"/>
          <w:szCs w:val="24"/>
        </w:rPr>
        <w:t>.</w:t>
      </w:r>
    </w:p>
    <w:p w14:paraId="470551B5" w14:textId="77777777" w:rsidR="00343C8A" w:rsidRPr="00E31401" w:rsidRDefault="00343C8A" w:rsidP="00E31401">
      <w:pPr>
        <w:numPr>
          <w:ilvl w:val="0"/>
          <w:numId w:val="3"/>
        </w:num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Continue diligent monitoring and comparisons of key financial metrics with industry majors to identify variances prompting self-improvements on an ongoing basis.</w:t>
      </w:r>
    </w:p>
    <w:p w14:paraId="698378BB" w14:textId="21FC7518" w:rsidR="00E41325" w:rsidRPr="00E31401" w:rsidRDefault="00E4132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br w:type="page"/>
      </w:r>
    </w:p>
    <w:p w14:paraId="6D24DDE7" w14:textId="33F92234" w:rsidR="00343C8A" w:rsidRPr="00E31401" w:rsidRDefault="00E41325" w:rsidP="00E31401">
      <w:pPr>
        <w:pStyle w:val="Heading1"/>
        <w:spacing w:after="200" w:line="360" w:lineRule="auto"/>
        <w:jc w:val="both"/>
        <w:rPr>
          <w:rFonts w:ascii="Times New Roman" w:hAnsi="Times New Roman" w:cs="Times New Roman"/>
          <w:sz w:val="24"/>
          <w:szCs w:val="24"/>
        </w:rPr>
      </w:pPr>
      <w:bookmarkStart w:id="6" w:name="_Toc161763266"/>
      <w:r w:rsidRPr="00E31401">
        <w:rPr>
          <w:rFonts w:ascii="Times New Roman" w:hAnsi="Times New Roman" w:cs="Times New Roman"/>
          <w:sz w:val="24"/>
          <w:szCs w:val="24"/>
        </w:rPr>
        <w:lastRenderedPageBreak/>
        <w:t>Part C- Project Appraisal</w:t>
      </w:r>
      <w:bookmarkEnd w:id="6"/>
    </w:p>
    <w:p w14:paraId="6626C19E" w14:textId="67FF7A71" w:rsidR="00E41325" w:rsidRPr="00E31401" w:rsidRDefault="00E41325" w:rsidP="00E31401">
      <w:pPr>
        <w:pStyle w:val="Heading2"/>
        <w:spacing w:after="200" w:line="360" w:lineRule="auto"/>
        <w:jc w:val="both"/>
        <w:rPr>
          <w:rFonts w:ascii="Times New Roman" w:hAnsi="Times New Roman" w:cs="Times New Roman"/>
          <w:sz w:val="24"/>
          <w:szCs w:val="24"/>
        </w:rPr>
      </w:pPr>
      <w:bookmarkStart w:id="7" w:name="_Toc161763267"/>
      <w:r w:rsidRPr="00E31401">
        <w:rPr>
          <w:rFonts w:ascii="Times New Roman" w:hAnsi="Times New Roman" w:cs="Times New Roman"/>
          <w:sz w:val="24"/>
          <w:szCs w:val="24"/>
        </w:rPr>
        <w:t>Calculation of Payback period, NPV and ARR</w:t>
      </w:r>
      <w:bookmarkEnd w:id="7"/>
      <w:r w:rsidRPr="00E31401">
        <w:rPr>
          <w:rFonts w:ascii="Times New Roman" w:hAnsi="Times New Roman" w:cs="Times New Roman"/>
          <w:sz w:val="24"/>
          <w:szCs w:val="24"/>
        </w:rPr>
        <w:t xml:space="preserve"> </w:t>
      </w:r>
    </w:p>
    <w:p w14:paraId="2C08C69D" w14:textId="23E79F17" w:rsidR="00E41325" w:rsidRPr="00E31401" w:rsidRDefault="00E41325"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 xml:space="preserve">Payback period </w:t>
      </w:r>
    </w:p>
    <w:p w14:paraId="74DBA001" w14:textId="77777777" w:rsidR="00E41325" w:rsidRPr="00E31401" w:rsidRDefault="00E4132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Years before full recovery + Unrecovered cost at the start of the year / Cash flow during the year</w:t>
      </w:r>
    </w:p>
    <w:p w14:paraId="2AD7C1BF" w14:textId="020E90C3" w:rsidR="00E41325" w:rsidRPr="00E31401" w:rsidRDefault="00E4132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Project A- 2+ (500/1000) = 2.5 years </w:t>
      </w:r>
    </w:p>
    <w:p w14:paraId="02F823DC" w14:textId="37B3673E" w:rsidR="00E41325" w:rsidRPr="00E31401" w:rsidRDefault="00E4132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Project B- Within first year </w:t>
      </w:r>
    </w:p>
    <w:p w14:paraId="5238B774" w14:textId="77777777" w:rsidR="00E41325" w:rsidRPr="00E31401" w:rsidRDefault="00E41325"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Accounting rate of return (ARR)</w:t>
      </w:r>
    </w:p>
    <w:p w14:paraId="36AF3E6F" w14:textId="296C1E0A" w:rsidR="00E41325" w:rsidRPr="00E31401" w:rsidRDefault="00E41325"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 xml:space="preserve">Project A </w:t>
      </w:r>
    </w:p>
    <w:p w14:paraId="4278FF10" w14:textId="7D86C7E3" w:rsidR="00E41325" w:rsidRPr="00E31401" w:rsidRDefault="00E4132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 Average annual profit / average investment </w:t>
      </w:r>
    </w:p>
    <w:p w14:paraId="1C2FAE74" w14:textId="77777777" w:rsidR="00E41325" w:rsidRPr="00E31401" w:rsidRDefault="00E4132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{(2500+2000+ 1000 -442)/4}/ 5000* 100</w:t>
      </w:r>
    </w:p>
    <w:p w14:paraId="52CC2A7C" w14:textId="77777777" w:rsidR="00E41325" w:rsidRPr="00E31401" w:rsidRDefault="00E4132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25.29%</w:t>
      </w:r>
    </w:p>
    <w:p w14:paraId="3C882A6A" w14:textId="77777777" w:rsidR="00E41325" w:rsidRPr="00E31401" w:rsidRDefault="00E4132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Project B</w:t>
      </w:r>
    </w:p>
    <w:p w14:paraId="6A4B96E5" w14:textId="77777777" w:rsidR="00E41325" w:rsidRPr="00E31401" w:rsidRDefault="00E4132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 Average annual profit / average investment </w:t>
      </w:r>
    </w:p>
    <w:p w14:paraId="70E8B863" w14:textId="28B48C2E" w:rsidR="00E41325" w:rsidRPr="00E31401" w:rsidRDefault="00E4132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 {(1500+1000+ 1000 -470)/4}/ </w:t>
      </w:r>
      <w:r w:rsidR="00B85D9B" w:rsidRPr="00E31401">
        <w:rPr>
          <w:rFonts w:ascii="Times New Roman" w:hAnsi="Times New Roman" w:cs="Times New Roman"/>
          <w:sz w:val="24"/>
          <w:szCs w:val="24"/>
        </w:rPr>
        <w:t>1000</w:t>
      </w:r>
      <w:r w:rsidRPr="00E31401">
        <w:rPr>
          <w:rFonts w:ascii="Times New Roman" w:hAnsi="Times New Roman" w:cs="Times New Roman"/>
          <w:sz w:val="24"/>
          <w:szCs w:val="24"/>
        </w:rPr>
        <w:t>* 100</w:t>
      </w:r>
    </w:p>
    <w:p w14:paraId="2AF6AF11" w14:textId="54E43BFF" w:rsidR="00E41325" w:rsidRPr="00E31401" w:rsidRDefault="00E41325"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 </w:t>
      </w:r>
      <w:r w:rsidR="00B85D9B" w:rsidRPr="00E31401">
        <w:rPr>
          <w:rFonts w:ascii="Times New Roman" w:hAnsi="Times New Roman" w:cs="Times New Roman"/>
          <w:sz w:val="24"/>
          <w:szCs w:val="24"/>
        </w:rPr>
        <w:t>75</w:t>
      </w:r>
      <w:r w:rsidRPr="00E31401">
        <w:rPr>
          <w:rFonts w:ascii="Times New Roman" w:hAnsi="Times New Roman" w:cs="Times New Roman"/>
          <w:sz w:val="24"/>
          <w:szCs w:val="24"/>
        </w:rPr>
        <w:t>.</w:t>
      </w:r>
      <w:r w:rsidR="00B85D9B" w:rsidRPr="00E31401">
        <w:rPr>
          <w:rFonts w:ascii="Times New Roman" w:hAnsi="Times New Roman" w:cs="Times New Roman"/>
          <w:sz w:val="24"/>
          <w:szCs w:val="24"/>
        </w:rPr>
        <w:t>75</w:t>
      </w:r>
      <w:r w:rsidRPr="00E31401">
        <w:rPr>
          <w:rFonts w:ascii="Times New Roman" w:hAnsi="Times New Roman" w:cs="Times New Roman"/>
          <w:sz w:val="24"/>
          <w:szCs w:val="24"/>
        </w:rPr>
        <w:t>%</w:t>
      </w:r>
    </w:p>
    <w:p w14:paraId="71D6C28A" w14:textId="48F1B528" w:rsidR="00E41325" w:rsidRPr="00E31401" w:rsidRDefault="00FE65E7"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Net present value (NPV)</w:t>
      </w:r>
      <w:r w:rsidR="00E41325" w:rsidRPr="00E31401">
        <w:rPr>
          <w:rFonts w:ascii="Times New Roman" w:hAnsi="Times New Roman" w:cs="Times New Roman"/>
          <w:sz w:val="24"/>
          <w:szCs w:val="24"/>
        </w:rPr>
        <w:t xml:space="preserve"> </w:t>
      </w:r>
    </w:p>
    <w:tbl>
      <w:tblPr>
        <w:tblW w:w="5960" w:type="dxa"/>
        <w:tblLook w:val="04A0" w:firstRow="1" w:lastRow="0" w:firstColumn="1" w:lastColumn="0" w:noHBand="0" w:noVBand="1"/>
      </w:tblPr>
      <w:tblGrid>
        <w:gridCol w:w="960"/>
        <w:gridCol w:w="960"/>
        <w:gridCol w:w="960"/>
        <w:gridCol w:w="1566"/>
        <w:gridCol w:w="996"/>
        <w:gridCol w:w="996"/>
      </w:tblGrid>
      <w:tr w:rsidR="00FE65E7" w:rsidRPr="00FE65E7" w14:paraId="65855A20" w14:textId="77777777" w:rsidTr="00FE65E7">
        <w:trPr>
          <w:trHeight w:val="288"/>
        </w:trPr>
        <w:tc>
          <w:tcPr>
            <w:tcW w:w="960" w:type="dxa"/>
            <w:tcBorders>
              <w:top w:val="single" w:sz="8" w:space="0" w:color="auto"/>
              <w:left w:val="single" w:sz="8" w:space="0" w:color="auto"/>
              <w:bottom w:val="nil"/>
              <w:right w:val="nil"/>
            </w:tcBorders>
            <w:shd w:val="clear" w:color="auto" w:fill="auto"/>
            <w:noWrap/>
            <w:vAlign w:val="bottom"/>
            <w:hideMark/>
          </w:tcPr>
          <w:p w14:paraId="16C59FC0" w14:textId="77777777" w:rsidR="00FE65E7" w:rsidRPr="00FE65E7" w:rsidRDefault="00FE65E7" w:rsidP="00E31401">
            <w:pPr>
              <w:spacing w:after="200" w:line="360" w:lineRule="auto"/>
              <w:jc w:val="both"/>
              <w:rPr>
                <w:rFonts w:ascii="Times New Roman" w:eastAsia="Times New Roman" w:hAnsi="Times New Roman" w:cs="Times New Roman"/>
                <w:b/>
                <w:bCs/>
                <w:color w:val="000000"/>
                <w:sz w:val="24"/>
                <w:szCs w:val="24"/>
                <w:lang w:eastAsia="en-GB"/>
                <w14:ligatures w14:val="none"/>
              </w:rPr>
            </w:pPr>
            <w:r w:rsidRPr="00FE65E7">
              <w:rPr>
                <w:rFonts w:ascii="Times New Roman" w:eastAsia="Times New Roman" w:hAnsi="Times New Roman" w:cs="Times New Roman"/>
                <w:b/>
                <w:bCs/>
                <w:color w:val="000000"/>
                <w:sz w:val="24"/>
                <w:szCs w:val="24"/>
                <w:lang w:eastAsia="en-GB"/>
                <w14:ligatures w14:val="none"/>
              </w:rPr>
              <w:t xml:space="preserve">Year </w:t>
            </w:r>
          </w:p>
        </w:tc>
        <w:tc>
          <w:tcPr>
            <w:tcW w:w="960" w:type="dxa"/>
            <w:tcBorders>
              <w:top w:val="single" w:sz="8" w:space="0" w:color="auto"/>
              <w:left w:val="nil"/>
              <w:bottom w:val="nil"/>
              <w:right w:val="nil"/>
            </w:tcBorders>
            <w:shd w:val="clear" w:color="auto" w:fill="auto"/>
            <w:noWrap/>
            <w:vAlign w:val="bottom"/>
            <w:hideMark/>
          </w:tcPr>
          <w:p w14:paraId="368E3AE1" w14:textId="77777777" w:rsidR="00FE65E7" w:rsidRPr="00FE65E7" w:rsidRDefault="00FE65E7" w:rsidP="00E31401">
            <w:pPr>
              <w:spacing w:after="200" w:line="360" w:lineRule="auto"/>
              <w:jc w:val="both"/>
              <w:rPr>
                <w:rFonts w:ascii="Times New Roman" w:eastAsia="Times New Roman" w:hAnsi="Times New Roman" w:cs="Times New Roman"/>
                <w:b/>
                <w:bCs/>
                <w:color w:val="000000"/>
                <w:sz w:val="24"/>
                <w:szCs w:val="24"/>
                <w:lang w:eastAsia="en-GB"/>
                <w14:ligatures w14:val="none"/>
              </w:rPr>
            </w:pPr>
            <w:r w:rsidRPr="00FE65E7">
              <w:rPr>
                <w:rFonts w:ascii="Times New Roman" w:eastAsia="Times New Roman" w:hAnsi="Times New Roman" w:cs="Times New Roman"/>
                <w:b/>
                <w:bCs/>
                <w:color w:val="000000"/>
                <w:sz w:val="24"/>
                <w:szCs w:val="24"/>
                <w:lang w:eastAsia="en-GB"/>
                <w14:ligatures w14:val="none"/>
              </w:rPr>
              <w:t>A</w:t>
            </w:r>
          </w:p>
        </w:tc>
        <w:tc>
          <w:tcPr>
            <w:tcW w:w="960" w:type="dxa"/>
            <w:tcBorders>
              <w:top w:val="single" w:sz="8" w:space="0" w:color="auto"/>
              <w:left w:val="nil"/>
              <w:bottom w:val="nil"/>
              <w:right w:val="nil"/>
            </w:tcBorders>
            <w:shd w:val="clear" w:color="auto" w:fill="auto"/>
            <w:noWrap/>
            <w:vAlign w:val="bottom"/>
            <w:hideMark/>
          </w:tcPr>
          <w:p w14:paraId="09759113" w14:textId="77777777" w:rsidR="00FE65E7" w:rsidRPr="00FE65E7" w:rsidRDefault="00FE65E7" w:rsidP="00E31401">
            <w:pPr>
              <w:spacing w:after="200" w:line="360" w:lineRule="auto"/>
              <w:jc w:val="both"/>
              <w:rPr>
                <w:rFonts w:ascii="Times New Roman" w:eastAsia="Times New Roman" w:hAnsi="Times New Roman" w:cs="Times New Roman"/>
                <w:b/>
                <w:bCs/>
                <w:color w:val="000000"/>
                <w:sz w:val="24"/>
                <w:szCs w:val="24"/>
                <w:lang w:eastAsia="en-GB"/>
                <w14:ligatures w14:val="none"/>
              </w:rPr>
            </w:pPr>
            <w:r w:rsidRPr="00FE65E7">
              <w:rPr>
                <w:rFonts w:ascii="Times New Roman" w:eastAsia="Times New Roman" w:hAnsi="Times New Roman" w:cs="Times New Roman"/>
                <w:b/>
                <w:bCs/>
                <w:color w:val="000000"/>
                <w:sz w:val="24"/>
                <w:szCs w:val="24"/>
                <w:lang w:eastAsia="en-GB"/>
                <w14:ligatures w14:val="none"/>
              </w:rPr>
              <w:t>B</w:t>
            </w:r>
          </w:p>
        </w:tc>
        <w:tc>
          <w:tcPr>
            <w:tcW w:w="1160" w:type="dxa"/>
            <w:tcBorders>
              <w:top w:val="single" w:sz="8" w:space="0" w:color="auto"/>
              <w:left w:val="nil"/>
              <w:bottom w:val="nil"/>
              <w:right w:val="nil"/>
            </w:tcBorders>
            <w:shd w:val="clear" w:color="auto" w:fill="auto"/>
            <w:noWrap/>
            <w:vAlign w:val="bottom"/>
            <w:hideMark/>
          </w:tcPr>
          <w:p w14:paraId="7E4B3661" w14:textId="77777777" w:rsidR="00FE65E7" w:rsidRPr="00FE65E7" w:rsidRDefault="00000000" w:rsidP="00E31401">
            <w:pPr>
              <w:spacing w:after="200" w:line="360" w:lineRule="auto"/>
              <w:jc w:val="both"/>
              <w:rPr>
                <w:rFonts w:ascii="Times New Roman" w:eastAsia="Times New Roman" w:hAnsi="Times New Roman" w:cs="Times New Roman"/>
                <w:b/>
                <w:bCs/>
                <w:color w:val="0563C1"/>
                <w:sz w:val="24"/>
                <w:szCs w:val="24"/>
                <w:u w:val="single"/>
                <w:lang w:eastAsia="en-GB"/>
                <w14:ligatures w14:val="none"/>
              </w:rPr>
            </w:pPr>
            <w:hyperlink r:id="rId8" w:history="1">
              <w:r w:rsidR="00FE65E7" w:rsidRPr="00FE65E7">
                <w:rPr>
                  <w:rFonts w:ascii="Times New Roman" w:eastAsia="Times New Roman" w:hAnsi="Times New Roman" w:cs="Times New Roman"/>
                  <w:b/>
                  <w:bCs/>
                  <w:color w:val="0563C1"/>
                  <w:sz w:val="24"/>
                  <w:szCs w:val="24"/>
                  <w:u w:val="single"/>
                  <w:lang w:eastAsia="en-GB"/>
                  <w14:ligatures w14:val="none"/>
                </w:rPr>
                <w:t>PVF@0.75%</w:t>
              </w:r>
            </w:hyperlink>
          </w:p>
        </w:tc>
        <w:tc>
          <w:tcPr>
            <w:tcW w:w="960" w:type="dxa"/>
            <w:tcBorders>
              <w:top w:val="single" w:sz="8" w:space="0" w:color="auto"/>
              <w:left w:val="nil"/>
              <w:bottom w:val="nil"/>
              <w:right w:val="nil"/>
            </w:tcBorders>
            <w:shd w:val="clear" w:color="auto" w:fill="auto"/>
            <w:noWrap/>
            <w:vAlign w:val="bottom"/>
            <w:hideMark/>
          </w:tcPr>
          <w:p w14:paraId="26721516" w14:textId="77777777" w:rsidR="00FE65E7" w:rsidRPr="00FE65E7" w:rsidRDefault="00FE65E7" w:rsidP="00E31401">
            <w:pPr>
              <w:spacing w:after="200" w:line="360" w:lineRule="auto"/>
              <w:jc w:val="both"/>
              <w:rPr>
                <w:rFonts w:ascii="Times New Roman" w:eastAsia="Times New Roman" w:hAnsi="Times New Roman" w:cs="Times New Roman"/>
                <w:b/>
                <w:bCs/>
                <w:color w:val="000000"/>
                <w:sz w:val="24"/>
                <w:szCs w:val="24"/>
                <w:lang w:eastAsia="en-GB"/>
                <w14:ligatures w14:val="none"/>
              </w:rPr>
            </w:pPr>
            <w:r w:rsidRPr="00FE65E7">
              <w:rPr>
                <w:rFonts w:ascii="Times New Roman" w:eastAsia="Times New Roman" w:hAnsi="Times New Roman" w:cs="Times New Roman"/>
                <w:b/>
                <w:bCs/>
                <w:color w:val="000000"/>
                <w:sz w:val="24"/>
                <w:szCs w:val="24"/>
                <w:lang w:eastAsia="en-GB"/>
                <w14:ligatures w14:val="none"/>
              </w:rPr>
              <w:t>NPV (A)</w:t>
            </w:r>
          </w:p>
        </w:tc>
        <w:tc>
          <w:tcPr>
            <w:tcW w:w="960" w:type="dxa"/>
            <w:tcBorders>
              <w:top w:val="single" w:sz="8" w:space="0" w:color="auto"/>
              <w:left w:val="nil"/>
              <w:bottom w:val="nil"/>
              <w:right w:val="single" w:sz="8" w:space="0" w:color="auto"/>
            </w:tcBorders>
            <w:shd w:val="clear" w:color="auto" w:fill="auto"/>
            <w:noWrap/>
            <w:vAlign w:val="bottom"/>
            <w:hideMark/>
          </w:tcPr>
          <w:p w14:paraId="019FAB90" w14:textId="77777777" w:rsidR="00FE65E7" w:rsidRPr="00FE65E7" w:rsidRDefault="00FE65E7" w:rsidP="00E31401">
            <w:pPr>
              <w:spacing w:after="200" w:line="360" w:lineRule="auto"/>
              <w:jc w:val="both"/>
              <w:rPr>
                <w:rFonts w:ascii="Times New Roman" w:eastAsia="Times New Roman" w:hAnsi="Times New Roman" w:cs="Times New Roman"/>
                <w:b/>
                <w:bCs/>
                <w:color w:val="000000"/>
                <w:sz w:val="24"/>
                <w:szCs w:val="24"/>
                <w:lang w:eastAsia="en-GB"/>
                <w14:ligatures w14:val="none"/>
              </w:rPr>
            </w:pPr>
            <w:r w:rsidRPr="00FE65E7">
              <w:rPr>
                <w:rFonts w:ascii="Times New Roman" w:eastAsia="Times New Roman" w:hAnsi="Times New Roman" w:cs="Times New Roman"/>
                <w:b/>
                <w:bCs/>
                <w:color w:val="000000"/>
                <w:sz w:val="24"/>
                <w:szCs w:val="24"/>
                <w:lang w:eastAsia="en-GB"/>
                <w14:ligatures w14:val="none"/>
              </w:rPr>
              <w:t>NPV (B)</w:t>
            </w:r>
          </w:p>
        </w:tc>
      </w:tr>
      <w:tr w:rsidR="00FE65E7" w:rsidRPr="00FE65E7" w14:paraId="4F5EC6A8" w14:textId="77777777" w:rsidTr="00FE65E7">
        <w:trPr>
          <w:trHeight w:val="288"/>
        </w:trPr>
        <w:tc>
          <w:tcPr>
            <w:tcW w:w="960" w:type="dxa"/>
            <w:tcBorders>
              <w:top w:val="nil"/>
              <w:left w:val="single" w:sz="8" w:space="0" w:color="auto"/>
              <w:bottom w:val="nil"/>
              <w:right w:val="nil"/>
            </w:tcBorders>
            <w:shd w:val="clear" w:color="auto" w:fill="auto"/>
            <w:noWrap/>
            <w:vAlign w:val="bottom"/>
            <w:hideMark/>
          </w:tcPr>
          <w:p w14:paraId="47DF5AE9"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0</w:t>
            </w:r>
          </w:p>
        </w:tc>
        <w:tc>
          <w:tcPr>
            <w:tcW w:w="960" w:type="dxa"/>
            <w:tcBorders>
              <w:top w:val="nil"/>
              <w:left w:val="nil"/>
              <w:bottom w:val="nil"/>
              <w:right w:val="nil"/>
            </w:tcBorders>
            <w:shd w:val="clear" w:color="auto" w:fill="auto"/>
            <w:noWrap/>
            <w:vAlign w:val="bottom"/>
            <w:hideMark/>
          </w:tcPr>
          <w:p w14:paraId="5EAF876A"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-5000</w:t>
            </w:r>
          </w:p>
        </w:tc>
        <w:tc>
          <w:tcPr>
            <w:tcW w:w="960" w:type="dxa"/>
            <w:tcBorders>
              <w:top w:val="nil"/>
              <w:left w:val="nil"/>
              <w:bottom w:val="nil"/>
              <w:right w:val="nil"/>
            </w:tcBorders>
            <w:shd w:val="clear" w:color="auto" w:fill="auto"/>
            <w:noWrap/>
            <w:vAlign w:val="bottom"/>
            <w:hideMark/>
          </w:tcPr>
          <w:p w14:paraId="0EEAE77F"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-1000</w:t>
            </w:r>
          </w:p>
        </w:tc>
        <w:tc>
          <w:tcPr>
            <w:tcW w:w="1160" w:type="dxa"/>
            <w:tcBorders>
              <w:top w:val="nil"/>
              <w:left w:val="nil"/>
              <w:bottom w:val="nil"/>
              <w:right w:val="nil"/>
            </w:tcBorders>
            <w:shd w:val="clear" w:color="auto" w:fill="auto"/>
            <w:noWrap/>
            <w:vAlign w:val="bottom"/>
            <w:hideMark/>
          </w:tcPr>
          <w:p w14:paraId="64BF9B85"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1</w:t>
            </w:r>
          </w:p>
        </w:tc>
        <w:tc>
          <w:tcPr>
            <w:tcW w:w="960" w:type="dxa"/>
            <w:tcBorders>
              <w:top w:val="nil"/>
              <w:left w:val="nil"/>
              <w:bottom w:val="nil"/>
              <w:right w:val="nil"/>
            </w:tcBorders>
            <w:shd w:val="clear" w:color="auto" w:fill="auto"/>
            <w:noWrap/>
            <w:vAlign w:val="bottom"/>
            <w:hideMark/>
          </w:tcPr>
          <w:p w14:paraId="25BE39D9"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-5000</w:t>
            </w:r>
          </w:p>
        </w:tc>
        <w:tc>
          <w:tcPr>
            <w:tcW w:w="960" w:type="dxa"/>
            <w:tcBorders>
              <w:top w:val="nil"/>
              <w:left w:val="nil"/>
              <w:bottom w:val="nil"/>
              <w:right w:val="single" w:sz="8" w:space="0" w:color="auto"/>
            </w:tcBorders>
            <w:shd w:val="clear" w:color="auto" w:fill="auto"/>
            <w:noWrap/>
            <w:vAlign w:val="bottom"/>
            <w:hideMark/>
          </w:tcPr>
          <w:p w14:paraId="0DBE0F54"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-1000</w:t>
            </w:r>
          </w:p>
        </w:tc>
      </w:tr>
      <w:tr w:rsidR="00FE65E7" w:rsidRPr="00FE65E7" w14:paraId="0D726193" w14:textId="77777777" w:rsidTr="00FE65E7">
        <w:trPr>
          <w:trHeight w:val="288"/>
        </w:trPr>
        <w:tc>
          <w:tcPr>
            <w:tcW w:w="960" w:type="dxa"/>
            <w:tcBorders>
              <w:top w:val="nil"/>
              <w:left w:val="single" w:sz="8" w:space="0" w:color="auto"/>
              <w:bottom w:val="nil"/>
              <w:right w:val="nil"/>
            </w:tcBorders>
            <w:shd w:val="clear" w:color="auto" w:fill="auto"/>
            <w:noWrap/>
            <w:vAlign w:val="bottom"/>
            <w:hideMark/>
          </w:tcPr>
          <w:p w14:paraId="01F7FD44"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1</w:t>
            </w:r>
          </w:p>
        </w:tc>
        <w:tc>
          <w:tcPr>
            <w:tcW w:w="960" w:type="dxa"/>
            <w:tcBorders>
              <w:top w:val="nil"/>
              <w:left w:val="nil"/>
              <w:bottom w:val="nil"/>
              <w:right w:val="nil"/>
            </w:tcBorders>
            <w:shd w:val="clear" w:color="auto" w:fill="auto"/>
            <w:noWrap/>
            <w:vAlign w:val="bottom"/>
            <w:hideMark/>
          </w:tcPr>
          <w:p w14:paraId="21BBD234"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2500</w:t>
            </w:r>
          </w:p>
        </w:tc>
        <w:tc>
          <w:tcPr>
            <w:tcW w:w="960" w:type="dxa"/>
            <w:tcBorders>
              <w:top w:val="nil"/>
              <w:left w:val="nil"/>
              <w:bottom w:val="nil"/>
              <w:right w:val="nil"/>
            </w:tcBorders>
            <w:shd w:val="clear" w:color="auto" w:fill="auto"/>
            <w:noWrap/>
            <w:vAlign w:val="bottom"/>
            <w:hideMark/>
          </w:tcPr>
          <w:p w14:paraId="3D7BC6B9"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1500</w:t>
            </w:r>
          </w:p>
        </w:tc>
        <w:tc>
          <w:tcPr>
            <w:tcW w:w="1160" w:type="dxa"/>
            <w:tcBorders>
              <w:top w:val="nil"/>
              <w:left w:val="nil"/>
              <w:bottom w:val="nil"/>
              <w:right w:val="nil"/>
            </w:tcBorders>
            <w:shd w:val="clear" w:color="auto" w:fill="auto"/>
            <w:noWrap/>
            <w:vAlign w:val="bottom"/>
            <w:hideMark/>
          </w:tcPr>
          <w:p w14:paraId="508369AB"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0.992</w:t>
            </w:r>
          </w:p>
        </w:tc>
        <w:tc>
          <w:tcPr>
            <w:tcW w:w="960" w:type="dxa"/>
            <w:tcBorders>
              <w:top w:val="nil"/>
              <w:left w:val="nil"/>
              <w:bottom w:val="nil"/>
              <w:right w:val="nil"/>
            </w:tcBorders>
            <w:shd w:val="clear" w:color="auto" w:fill="auto"/>
            <w:noWrap/>
            <w:vAlign w:val="bottom"/>
            <w:hideMark/>
          </w:tcPr>
          <w:p w14:paraId="5C79A361"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2480</w:t>
            </w:r>
          </w:p>
        </w:tc>
        <w:tc>
          <w:tcPr>
            <w:tcW w:w="960" w:type="dxa"/>
            <w:tcBorders>
              <w:top w:val="nil"/>
              <w:left w:val="nil"/>
              <w:bottom w:val="nil"/>
              <w:right w:val="single" w:sz="8" w:space="0" w:color="auto"/>
            </w:tcBorders>
            <w:shd w:val="clear" w:color="auto" w:fill="auto"/>
            <w:noWrap/>
            <w:vAlign w:val="bottom"/>
            <w:hideMark/>
          </w:tcPr>
          <w:p w14:paraId="417DAD69"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1488</w:t>
            </w:r>
          </w:p>
        </w:tc>
      </w:tr>
      <w:tr w:rsidR="00FE65E7" w:rsidRPr="00FE65E7" w14:paraId="2171972D" w14:textId="77777777" w:rsidTr="00FE65E7">
        <w:trPr>
          <w:trHeight w:val="288"/>
        </w:trPr>
        <w:tc>
          <w:tcPr>
            <w:tcW w:w="960" w:type="dxa"/>
            <w:tcBorders>
              <w:top w:val="nil"/>
              <w:left w:val="single" w:sz="8" w:space="0" w:color="auto"/>
              <w:bottom w:val="nil"/>
              <w:right w:val="nil"/>
            </w:tcBorders>
            <w:shd w:val="clear" w:color="auto" w:fill="auto"/>
            <w:noWrap/>
            <w:vAlign w:val="bottom"/>
            <w:hideMark/>
          </w:tcPr>
          <w:p w14:paraId="7816025D"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2</w:t>
            </w:r>
          </w:p>
        </w:tc>
        <w:tc>
          <w:tcPr>
            <w:tcW w:w="960" w:type="dxa"/>
            <w:tcBorders>
              <w:top w:val="nil"/>
              <w:left w:val="nil"/>
              <w:bottom w:val="nil"/>
              <w:right w:val="nil"/>
            </w:tcBorders>
            <w:shd w:val="clear" w:color="auto" w:fill="auto"/>
            <w:noWrap/>
            <w:vAlign w:val="bottom"/>
            <w:hideMark/>
          </w:tcPr>
          <w:p w14:paraId="7F65B24D"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2000</w:t>
            </w:r>
          </w:p>
        </w:tc>
        <w:tc>
          <w:tcPr>
            <w:tcW w:w="960" w:type="dxa"/>
            <w:tcBorders>
              <w:top w:val="nil"/>
              <w:left w:val="nil"/>
              <w:bottom w:val="nil"/>
              <w:right w:val="nil"/>
            </w:tcBorders>
            <w:shd w:val="clear" w:color="auto" w:fill="auto"/>
            <w:noWrap/>
            <w:vAlign w:val="bottom"/>
            <w:hideMark/>
          </w:tcPr>
          <w:p w14:paraId="7B763260"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1000</w:t>
            </w:r>
          </w:p>
        </w:tc>
        <w:tc>
          <w:tcPr>
            <w:tcW w:w="1160" w:type="dxa"/>
            <w:tcBorders>
              <w:top w:val="nil"/>
              <w:left w:val="nil"/>
              <w:bottom w:val="nil"/>
              <w:right w:val="nil"/>
            </w:tcBorders>
            <w:shd w:val="clear" w:color="auto" w:fill="auto"/>
            <w:noWrap/>
            <w:vAlign w:val="bottom"/>
            <w:hideMark/>
          </w:tcPr>
          <w:p w14:paraId="00777734"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0.985</w:t>
            </w:r>
          </w:p>
        </w:tc>
        <w:tc>
          <w:tcPr>
            <w:tcW w:w="960" w:type="dxa"/>
            <w:tcBorders>
              <w:top w:val="nil"/>
              <w:left w:val="nil"/>
              <w:bottom w:val="nil"/>
              <w:right w:val="nil"/>
            </w:tcBorders>
            <w:shd w:val="clear" w:color="auto" w:fill="auto"/>
            <w:noWrap/>
            <w:vAlign w:val="bottom"/>
            <w:hideMark/>
          </w:tcPr>
          <w:p w14:paraId="0224AFC8"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1970</w:t>
            </w:r>
          </w:p>
        </w:tc>
        <w:tc>
          <w:tcPr>
            <w:tcW w:w="960" w:type="dxa"/>
            <w:tcBorders>
              <w:top w:val="nil"/>
              <w:left w:val="nil"/>
              <w:bottom w:val="nil"/>
              <w:right w:val="single" w:sz="8" w:space="0" w:color="auto"/>
            </w:tcBorders>
            <w:shd w:val="clear" w:color="auto" w:fill="auto"/>
            <w:noWrap/>
            <w:vAlign w:val="bottom"/>
            <w:hideMark/>
          </w:tcPr>
          <w:p w14:paraId="54782D60"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985</w:t>
            </w:r>
          </w:p>
        </w:tc>
      </w:tr>
      <w:tr w:rsidR="00FE65E7" w:rsidRPr="00FE65E7" w14:paraId="6B4E8B13" w14:textId="77777777" w:rsidTr="00FE65E7">
        <w:trPr>
          <w:trHeight w:val="288"/>
        </w:trPr>
        <w:tc>
          <w:tcPr>
            <w:tcW w:w="960" w:type="dxa"/>
            <w:tcBorders>
              <w:top w:val="nil"/>
              <w:left w:val="single" w:sz="8" w:space="0" w:color="auto"/>
              <w:bottom w:val="nil"/>
              <w:right w:val="nil"/>
            </w:tcBorders>
            <w:shd w:val="clear" w:color="auto" w:fill="auto"/>
            <w:noWrap/>
            <w:vAlign w:val="bottom"/>
            <w:hideMark/>
          </w:tcPr>
          <w:p w14:paraId="1DC155AB"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lastRenderedPageBreak/>
              <w:t>3</w:t>
            </w:r>
          </w:p>
        </w:tc>
        <w:tc>
          <w:tcPr>
            <w:tcW w:w="960" w:type="dxa"/>
            <w:tcBorders>
              <w:top w:val="nil"/>
              <w:left w:val="nil"/>
              <w:bottom w:val="nil"/>
              <w:right w:val="nil"/>
            </w:tcBorders>
            <w:shd w:val="clear" w:color="auto" w:fill="auto"/>
            <w:noWrap/>
            <w:vAlign w:val="bottom"/>
            <w:hideMark/>
          </w:tcPr>
          <w:p w14:paraId="1D003D11"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1000</w:t>
            </w:r>
          </w:p>
        </w:tc>
        <w:tc>
          <w:tcPr>
            <w:tcW w:w="960" w:type="dxa"/>
            <w:tcBorders>
              <w:top w:val="nil"/>
              <w:left w:val="nil"/>
              <w:bottom w:val="nil"/>
              <w:right w:val="nil"/>
            </w:tcBorders>
            <w:shd w:val="clear" w:color="auto" w:fill="auto"/>
            <w:noWrap/>
            <w:vAlign w:val="bottom"/>
            <w:hideMark/>
          </w:tcPr>
          <w:p w14:paraId="2D3374A4"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1000</w:t>
            </w:r>
          </w:p>
        </w:tc>
        <w:tc>
          <w:tcPr>
            <w:tcW w:w="1160" w:type="dxa"/>
            <w:tcBorders>
              <w:top w:val="nil"/>
              <w:left w:val="nil"/>
              <w:bottom w:val="nil"/>
              <w:right w:val="nil"/>
            </w:tcBorders>
            <w:shd w:val="clear" w:color="auto" w:fill="auto"/>
            <w:noWrap/>
            <w:vAlign w:val="bottom"/>
            <w:hideMark/>
          </w:tcPr>
          <w:p w14:paraId="2A0E8BA6"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0.977</w:t>
            </w:r>
          </w:p>
        </w:tc>
        <w:tc>
          <w:tcPr>
            <w:tcW w:w="960" w:type="dxa"/>
            <w:tcBorders>
              <w:top w:val="nil"/>
              <w:left w:val="nil"/>
              <w:bottom w:val="nil"/>
              <w:right w:val="nil"/>
            </w:tcBorders>
            <w:shd w:val="clear" w:color="auto" w:fill="auto"/>
            <w:noWrap/>
            <w:vAlign w:val="bottom"/>
            <w:hideMark/>
          </w:tcPr>
          <w:p w14:paraId="0B103181"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977</w:t>
            </w:r>
          </w:p>
        </w:tc>
        <w:tc>
          <w:tcPr>
            <w:tcW w:w="960" w:type="dxa"/>
            <w:tcBorders>
              <w:top w:val="nil"/>
              <w:left w:val="nil"/>
              <w:bottom w:val="nil"/>
              <w:right w:val="single" w:sz="8" w:space="0" w:color="auto"/>
            </w:tcBorders>
            <w:shd w:val="clear" w:color="auto" w:fill="auto"/>
            <w:noWrap/>
            <w:vAlign w:val="bottom"/>
            <w:hideMark/>
          </w:tcPr>
          <w:p w14:paraId="0747DF4F"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977</w:t>
            </w:r>
          </w:p>
        </w:tc>
      </w:tr>
      <w:tr w:rsidR="00FE65E7" w:rsidRPr="00FE65E7" w14:paraId="0B884111" w14:textId="77777777" w:rsidTr="00FE65E7">
        <w:trPr>
          <w:trHeight w:val="288"/>
        </w:trPr>
        <w:tc>
          <w:tcPr>
            <w:tcW w:w="960" w:type="dxa"/>
            <w:tcBorders>
              <w:top w:val="nil"/>
              <w:left w:val="single" w:sz="8" w:space="0" w:color="auto"/>
              <w:bottom w:val="nil"/>
              <w:right w:val="nil"/>
            </w:tcBorders>
            <w:shd w:val="clear" w:color="auto" w:fill="auto"/>
            <w:noWrap/>
            <w:vAlign w:val="bottom"/>
            <w:hideMark/>
          </w:tcPr>
          <w:p w14:paraId="3F3A4CA4"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4</w:t>
            </w:r>
          </w:p>
        </w:tc>
        <w:tc>
          <w:tcPr>
            <w:tcW w:w="960" w:type="dxa"/>
            <w:tcBorders>
              <w:top w:val="nil"/>
              <w:left w:val="nil"/>
              <w:bottom w:val="nil"/>
              <w:right w:val="nil"/>
            </w:tcBorders>
            <w:shd w:val="clear" w:color="auto" w:fill="auto"/>
            <w:noWrap/>
            <w:vAlign w:val="bottom"/>
            <w:hideMark/>
          </w:tcPr>
          <w:p w14:paraId="3A9B096B"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-442</w:t>
            </w:r>
          </w:p>
        </w:tc>
        <w:tc>
          <w:tcPr>
            <w:tcW w:w="960" w:type="dxa"/>
            <w:tcBorders>
              <w:top w:val="nil"/>
              <w:left w:val="nil"/>
              <w:bottom w:val="nil"/>
              <w:right w:val="nil"/>
            </w:tcBorders>
            <w:shd w:val="clear" w:color="auto" w:fill="auto"/>
            <w:noWrap/>
            <w:vAlign w:val="bottom"/>
            <w:hideMark/>
          </w:tcPr>
          <w:p w14:paraId="68C51F8A"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-470</w:t>
            </w:r>
          </w:p>
        </w:tc>
        <w:tc>
          <w:tcPr>
            <w:tcW w:w="1160" w:type="dxa"/>
            <w:tcBorders>
              <w:top w:val="nil"/>
              <w:left w:val="nil"/>
              <w:bottom w:val="nil"/>
              <w:right w:val="nil"/>
            </w:tcBorders>
            <w:shd w:val="clear" w:color="auto" w:fill="auto"/>
            <w:noWrap/>
            <w:vAlign w:val="bottom"/>
            <w:hideMark/>
          </w:tcPr>
          <w:p w14:paraId="6D57F0E2"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0.971</w:t>
            </w:r>
          </w:p>
        </w:tc>
        <w:tc>
          <w:tcPr>
            <w:tcW w:w="960" w:type="dxa"/>
            <w:tcBorders>
              <w:top w:val="nil"/>
              <w:left w:val="nil"/>
              <w:bottom w:val="nil"/>
              <w:right w:val="nil"/>
            </w:tcBorders>
            <w:shd w:val="clear" w:color="auto" w:fill="auto"/>
            <w:noWrap/>
            <w:vAlign w:val="bottom"/>
            <w:hideMark/>
          </w:tcPr>
          <w:p w14:paraId="61C102B0"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-429.182</w:t>
            </w:r>
          </w:p>
        </w:tc>
        <w:tc>
          <w:tcPr>
            <w:tcW w:w="960" w:type="dxa"/>
            <w:tcBorders>
              <w:top w:val="nil"/>
              <w:left w:val="nil"/>
              <w:bottom w:val="nil"/>
              <w:right w:val="single" w:sz="8" w:space="0" w:color="auto"/>
            </w:tcBorders>
            <w:shd w:val="clear" w:color="auto" w:fill="auto"/>
            <w:noWrap/>
            <w:vAlign w:val="bottom"/>
            <w:hideMark/>
          </w:tcPr>
          <w:p w14:paraId="44910C0E"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-456.37</w:t>
            </w:r>
          </w:p>
        </w:tc>
      </w:tr>
      <w:tr w:rsidR="00FE65E7" w:rsidRPr="00FE65E7" w14:paraId="09A5D314" w14:textId="77777777" w:rsidTr="00FE65E7">
        <w:trPr>
          <w:trHeight w:val="300"/>
        </w:trPr>
        <w:tc>
          <w:tcPr>
            <w:tcW w:w="960" w:type="dxa"/>
            <w:tcBorders>
              <w:top w:val="nil"/>
              <w:left w:val="single" w:sz="8" w:space="0" w:color="auto"/>
              <w:bottom w:val="single" w:sz="8" w:space="0" w:color="auto"/>
              <w:right w:val="nil"/>
            </w:tcBorders>
            <w:shd w:val="clear" w:color="auto" w:fill="auto"/>
            <w:noWrap/>
            <w:vAlign w:val="bottom"/>
            <w:hideMark/>
          </w:tcPr>
          <w:p w14:paraId="0534E3B3"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 </w:t>
            </w:r>
          </w:p>
        </w:tc>
        <w:tc>
          <w:tcPr>
            <w:tcW w:w="960" w:type="dxa"/>
            <w:tcBorders>
              <w:top w:val="nil"/>
              <w:left w:val="nil"/>
              <w:bottom w:val="single" w:sz="8" w:space="0" w:color="auto"/>
              <w:right w:val="nil"/>
            </w:tcBorders>
            <w:shd w:val="clear" w:color="auto" w:fill="auto"/>
            <w:noWrap/>
            <w:vAlign w:val="bottom"/>
            <w:hideMark/>
          </w:tcPr>
          <w:p w14:paraId="590FF82F"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1264.5</w:t>
            </w:r>
          </w:p>
        </w:tc>
        <w:tc>
          <w:tcPr>
            <w:tcW w:w="960" w:type="dxa"/>
            <w:tcBorders>
              <w:top w:val="nil"/>
              <w:left w:val="nil"/>
              <w:bottom w:val="single" w:sz="8" w:space="0" w:color="auto"/>
              <w:right w:val="nil"/>
            </w:tcBorders>
            <w:shd w:val="clear" w:color="auto" w:fill="auto"/>
            <w:noWrap/>
            <w:vAlign w:val="bottom"/>
            <w:hideMark/>
          </w:tcPr>
          <w:p w14:paraId="54B0F8B7"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757.5</w:t>
            </w:r>
          </w:p>
        </w:tc>
        <w:tc>
          <w:tcPr>
            <w:tcW w:w="1160" w:type="dxa"/>
            <w:tcBorders>
              <w:top w:val="nil"/>
              <w:left w:val="nil"/>
              <w:bottom w:val="single" w:sz="8" w:space="0" w:color="auto"/>
              <w:right w:val="nil"/>
            </w:tcBorders>
            <w:shd w:val="clear" w:color="auto" w:fill="auto"/>
            <w:noWrap/>
            <w:vAlign w:val="bottom"/>
            <w:hideMark/>
          </w:tcPr>
          <w:p w14:paraId="244275ED"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 </w:t>
            </w:r>
          </w:p>
        </w:tc>
        <w:tc>
          <w:tcPr>
            <w:tcW w:w="960" w:type="dxa"/>
            <w:tcBorders>
              <w:top w:val="nil"/>
              <w:left w:val="nil"/>
              <w:bottom w:val="single" w:sz="8" w:space="0" w:color="auto"/>
              <w:right w:val="nil"/>
            </w:tcBorders>
            <w:shd w:val="clear" w:color="auto" w:fill="auto"/>
            <w:noWrap/>
            <w:vAlign w:val="bottom"/>
            <w:hideMark/>
          </w:tcPr>
          <w:p w14:paraId="24B2B8BA"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-2.182</w:t>
            </w:r>
          </w:p>
        </w:tc>
        <w:tc>
          <w:tcPr>
            <w:tcW w:w="960" w:type="dxa"/>
            <w:tcBorders>
              <w:top w:val="nil"/>
              <w:left w:val="nil"/>
              <w:bottom w:val="single" w:sz="8" w:space="0" w:color="auto"/>
              <w:right w:val="single" w:sz="8" w:space="0" w:color="auto"/>
            </w:tcBorders>
            <w:shd w:val="clear" w:color="auto" w:fill="auto"/>
            <w:noWrap/>
            <w:vAlign w:val="bottom"/>
            <w:hideMark/>
          </w:tcPr>
          <w:p w14:paraId="776570D0" w14:textId="77777777" w:rsidR="00FE65E7" w:rsidRPr="00FE65E7" w:rsidRDefault="00FE65E7" w:rsidP="00E31401">
            <w:pPr>
              <w:spacing w:after="200" w:line="360" w:lineRule="auto"/>
              <w:jc w:val="both"/>
              <w:rPr>
                <w:rFonts w:ascii="Times New Roman" w:eastAsia="Times New Roman" w:hAnsi="Times New Roman" w:cs="Times New Roman"/>
                <w:color w:val="000000"/>
                <w:sz w:val="24"/>
                <w:szCs w:val="24"/>
                <w:lang w:eastAsia="en-GB"/>
                <w14:ligatures w14:val="none"/>
              </w:rPr>
            </w:pPr>
            <w:r w:rsidRPr="00FE65E7">
              <w:rPr>
                <w:rFonts w:ascii="Times New Roman" w:eastAsia="Times New Roman" w:hAnsi="Times New Roman" w:cs="Times New Roman"/>
                <w:color w:val="000000"/>
                <w:sz w:val="24"/>
                <w:szCs w:val="24"/>
                <w:lang w:eastAsia="en-GB"/>
                <w14:ligatures w14:val="none"/>
              </w:rPr>
              <w:t>1993.63</w:t>
            </w:r>
          </w:p>
        </w:tc>
      </w:tr>
    </w:tbl>
    <w:p w14:paraId="1476A93C" w14:textId="77777777" w:rsidR="00E41325" w:rsidRPr="00E31401" w:rsidRDefault="00E41325" w:rsidP="00E31401">
      <w:pPr>
        <w:spacing w:after="200" w:line="360" w:lineRule="auto"/>
        <w:jc w:val="both"/>
        <w:rPr>
          <w:rFonts w:ascii="Times New Roman" w:hAnsi="Times New Roman" w:cs="Times New Roman"/>
          <w:sz w:val="24"/>
          <w:szCs w:val="24"/>
        </w:rPr>
      </w:pPr>
    </w:p>
    <w:p w14:paraId="7591A0AF" w14:textId="5C9536B9" w:rsidR="00FE65E7" w:rsidRPr="00E31401" w:rsidRDefault="00FE65E7" w:rsidP="00E31401">
      <w:pPr>
        <w:spacing w:after="200" w:line="360" w:lineRule="auto"/>
        <w:jc w:val="both"/>
        <w:rPr>
          <w:rFonts w:ascii="Times New Roman" w:hAnsi="Times New Roman" w:cs="Times New Roman"/>
          <w:b/>
          <w:bCs/>
          <w:sz w:val="24"/>
          <w:szCs w:val="24"/>
          <w:lang w:val="en-US"/>
        </w:rPr>
      </w:pPr>
      <w:r w:rsidRPr="00E31401">
        <w:rPr>
          <w:rFonts w:ascii="Times New Roman" w:hAnsi="Times New Roman" w:cs="Times New Roman"/>
          <w:b/>
          <w:bCs/>
          <w:sz w:val="24"/>
          <w:szCs w:val="24"/>
        </w:rPr>
        <w:t xml:space="preserve">Analysis and recommendation </w:t>
      </w:r>
    </w:p>
    <w:p w14:paraId="2BC646C1" w14:textId="6A59B112" w:rsidR="00FE65E7" w:rsidRPr="00E31401" w:rsidRDefault="00FE65E7"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 xml:space="preserve">Payback period </w:t>
      </w:r>
    </w:p>
    <w:p w14:paraId="3D939DD8" w14:textId="0CD83C1E" w:rsidR="00FE65E7" w:rsidRPr="00FE65E7" w:rsidRDefault="00FE65E7" w:rsidP="00E31401">
      <w:pPr>
        <w:spacing w:after="200" w:line="360" w:lineRule="auto"/>
        <w:jc w:val="both"/>
        <w:rPr>
          <w:rFonts w:ascii="Times New Roman" w:hAnsi="Times New Roman" w:cs="Times New Roman"/>
          <w:sz w:val="24"/>
          <w:szCs w:val="24"/>
        </w:rPr>
      </w:pPr>
      <w:r w:rsidRPr="00FE65E7">
        <w:rPr>
          <w:rFonts w:ascii="Times New Roman" w:hAnsi="Times New Roman" w:cs="Times New Roman"/>
          <w:sz w:val="24"/>
          <w:szCs w:val="24"/>
        </w:rPr>
        <w:t>Project A has a payback period of 2.5 years which means it will take 2.5 years for the cash inflows from the project to recover the initial investment amount. Though the payback seems reasonable, it is significantly higher than Project B which has a payback within the first year itself. A shorter payback period is always preferable as it means the project funds will be available sooner for alternative uses</w:t>
      </w:r>
      <w:r w:rsidR="00C500E8" w:rsidRPr="00E31401">
        <w:rPr>
          <w:rFonts w:ascii="Times New Roman" w:hAnsi="Times New Roman" w:cs="Times New Roman"/>
          <w:sz w:val="24"/>
          <w:szCs w:val="24"/>
        </w:rPr>
        <w:t xml:space="preserve"> (</w:t>
      </w:r>
      <w:r w:rsidR="00C500E8" w:rsidRPr="00E31401">
        <w:rPr>
          <w:rFonts w:ascii="Times New Roman" w:hAnsi="Times New Roman" w:cs="Times New Roman"/>
          <w:color w:val="222222"/>
          <w:sz w:val="24"/>
          <w:szCs w:val="24"/>
          <w:shd w:val="clear" w:color="auto" w:fill="FFFFFF"/>
        </w:rPr>
        <w:t>Gorshkov et.al, 2018</w:t>
      </w:r>
      <w:r w:rsidR="00C500E8" w:rsidRPr="00E31401">
        <w:rPr>
          <w:rFonts w:ascii="Times New Roman" w:hAnsi="Times New Roman" w:cs="Times New Roman"/>
          <w:sz w:val="24"/>
          <w:szCs w:val="24"/>
        </w:rPr>
        <w:t>)</w:t>
      </w:r>
      <w:r w:rsidRPr="00FE65E7">
        <w:rPr>
          <w:rFonts w:ascii="Times New Roman" w:hAnsi="Times New Roman" w:cs="Times New Roman"/>
          <w:sz w:val="24"/>
          <w:szCs w:val="24"/>
        </w:rPr>
        <w:t>.</w:t>
      </w:r>
    </w:p>
    <w:p w14:paraId="0845B186" w14:textId="0E3ABAB1" w:rsidR="00FE65E7" w:rsidRPr="00E31401" w:rsidRDefault="00FE65E7"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 xml:space="preserve">ARR </w:t>
      </w:r>
    </w:p>
    <w:p w14:paraId="631B2B94" w14:textId="0DEAEAFD" w:rsidR="00FE65E7" w:rsidRPr="00FE65E7" w:rsidRDefault="00FE65E7" w:rsidP="00E31401">
      <w:pPr>
        <w:spacing w:after="200" w:line="360" w:lineRule="auto"/>
        <w:jc w:val="both"/>
        <w:rPr>
          <w:rFonts w:ascii="Times New Roman" w:hAnsi="Times New Roman" w:cs="Times New Roman"/>
          <w:sz w:val="24"/>
          <w:szCs w:val="24"/>
        </w:rPr>
      </w:pPr>
      <w:r w:rsidRPr="00FE65E7">
        <w:rPr>
          <w:rFonts w:ascii="Times New Roman" w:hAnsi="Times New Roman" w:cs="Times New Roman"/>
          <w:sz w:val="24"/>
          <w:szCs w:val="24"/>
        </w:rPr>
        <w:t>In terms of annual rate of return (ARR), Project B performs much better with an ARR of 75.75% whereas Project A's ARR is only 25.29%. A higher annual rate of return indicates a more profitable project. It is evident that Project B has the potential to generate greater returns each year from the investment as compared to Project A.</w:t>
      </w:r>
    </w:p>
    <w:p w14:paraId="18DE73DB" w14:textId="77777777" w:rsidR="00FE65E7" w:rsidRPr="00E31401" w:rsidRDefault="00FE65E7"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 xml:space="preserve">NPV </w:t>
      </w:r>
    </w:p>
    <w:p w14:paraId="2463AAE1" w14:textId="60C5B6CA" w:rsidR="00FE65E7" w:rsidRPr="00FE65E7" w:rsidRDefault="00FE65E7" w:rsidP="00E31401">
      <w:pPr>
        <w:spacing w:after="200" w:line="360" w:lineRule="auto"/>
        <w:jc w:val="both"/>
        <w:rPr>
          <w:rFonts w:ascii="Times New Roman" w:hAnsi="Times New Roman" w:cs="Times New Roman"/>
          <w:sz w:val="24"/>
          <w:szCs w:val="24"/>
        </w:rPr>
      </w:pPr>
      <w:r w:rsidRPr="00FE65E7">
        <w:rPr>
          <w:rFonts w:ascii="Times New Roman" w:hAnsi="Times New Roman" w:cs="Times New Roman"/>
          <w:sz w:val="24"/>
          <w:szCs w:val="24"/>
        </w:rPr>
        <w:t xml:space="preserve">When we </w:t>
      </w:r>
      <w:r w:rsidR="00E31401" w:rsidRPr="00FE65E7">
        <w:rPr>
          <w:rFonts w:ascii="Times New Roman" w:hAnsi="Times New Roman" w:cs="Times New Roman"/>
          <w:sz w:val="24"/>
          <w:szCs w:val="24"/>
        </w:rPr>
        <w:t>analyse</w:t>
      </w:r>
      <w:r w:rsidRPr="00FE65E7">
        <w:rPr>
          <w:rFonts w:ascii="Times New Roman" w:hAnsi="Times New Roman" w:cs="Times New Roman"/>
          <w:sz w:val="24"/>
          <w:szCs w:val="24"/>
        </w:rPr>
        <w:t xml:space="preserve"> the net present value (NPV) of the projects, Project B has a positive NPV of 1993.63 whereas Project A has a negative NPV of -2182 indicating a loss. A positive NPV suggests the project will generate returns greater than the minimum acceptable return while a negative NPV means the returns will be less than the minimum acceptable return. From the NPV perspective, Project B seems like a better investment opportunity.</w:t>
      </w:r>
    </w:p>
    <w:p w14:paraId="456681AD" w14:textId="715EFFE0" w:rsidR="00FE65E7" w:rsidRPr="00FE65E7" w:rsidRDefault="00FE65E7" w:rsidP="00E31401">
      <w:pPr>
        <w:spacing w:after="200" w:line="360" w:lineRule="auto"/>
        <w:jc w:val="both"/>
        <w:rPr>
          <w:rFonts w:ascii="Times New Roman" w:hAnsi="Times New Roman" w:cs="Times New Roman"/>
          <w:sz w:val="24"/>
          <w:szCs w:val="24"/>
        </w:rPr>
      </w:pPr>
      <w:r w:rsidRPr="00FE65E7">
        <w:rPr>
          <w:rFonts w:ascii="Times New Roman" w:hAnsi="Times New Roman" w:cs="Times New Roman"/>
          <w:sz w:val="24"/>
          <w:szCs w:val="24"/>
        </w:rPr>
        <w:t xml:space="preserve">Considering all the parameters of evaluation together, from financial metrics like payback period, ARR and NPV to additional risk-return analysis, it is unambiguously clear that Project B is the better choice among the alternatives currently on the table. While payback may seem long at first </w:t>
      </w:r>
      <w:r w:rsidRPr="00FE65E7">
        <w:rPr>
          <w:rFonts w:ascii="Times New Roman" w:hAnsi="Times New Roman" w:cs="Times New Roman"/>
          <w:sz w:val="24"/>
          <w:szCs w:val="24"/>
        </w:rPr>
        <w:lastRenderedPageBreak/>
        <w:t>glance for Project B, the subsequent cashflows and returns more than compensate for the initial higher cash outlay. The annual returns from Project B are also far greater than Project A making it the optimal selection. Project B also provides our organization strategic advantage through new technology adoption apart from being financially superior based on objective criteria</w:t>
      </w:r>
      <w:r w:rsidR="00C500E8" w:rsidRPr="00E31401">
        <w:rPr>
          <w:rFonts w:ascii="Times New Roman" w:hAnsi="Times New Roman" w:cs="Times New Roman"/>
          <w:sz w:val="24"/>
          <w:szCs w:val="24"/>
        </w:rPr>
        <w:t xml:space="preserve"> (</w:t>
      </w:r>
      <w:r w:rsidR="00C500E8" w:rsidRPr="00E31401">
        <w:rPr>
          <w:rFonts w:ascii="Times New Roman" w:hAnsi="Times New Roman" w:cs="Times New Roman"/>
          <w:color w:val="222222"/>
          <w:sz w:val="24"/>
          <w:szCs w:val="24"/>
          <w:shd w:val="clear" w:color="auto" w:fill="FFFFFF"/>
        </w:rPr>
        <w:t>Bora, 2015</w:t>
      </w:r>
      <w:r w:rsidR="00C500E8" w:rsidRPr="00E31401">
        <w:rPr>
          <w:rFonts w:ascii="Times New Roman" w:hAnsi="Times New Roman" w:cs="Times New Roman"/>
          <w:sz w:val="24"/>
          <w:szCs w:val="24"/>
        </w:rPr>
        <w:t>)</w:t>
      </w:r>
      <w:r w:rsidRPr="00FE65E7">
        <w:rPr>
          <w:rFonts w:ascii="Times New Roman" w:hAnsi="Times New Roman" w:cs="Times New Roman"/>
          <w:sz w:val="24"/>
          <w:szCs w:val="24"/>
        </w:rPr>
        <w:t>.</w:t>
      </w:r>
    </w:p>
    <w:p w14:paraId="6219DA9C" w14:textId="49D57D9F" w:rsidR="00FE65E7" w:rsidRPr="00E31401" w:rsidRDefault="00D806EE" w:rsidP="00E31401">
      <w:pPr>
        <w:pStyle w:val="Heading2"/>
        <w:spacing w:after="200" w:line="360" w:lineRule="auto"/>
        <w:jc w:val="both"/>
        <w:rPr>
          <w:rFonts w:ascii="Times New Roman" w:hAnsi="Times New Roman" w:cs="Times New Roman"/>
          <w:sz w:val="24"/>
          <w:szCs w:val="24"/>
        </w:rPr>
      </w:pPr>
      <w:bookmarkStart w:id="8" w:name="_Toc161763268"/>
      <w:r w:rsidRPr="00E31401">
        <w:rPr>
          <w:rFonts w:ascii="Times New Roman" w:hAnsi="Times New Roman" w:cs="Times New Roman"/>
          <w:sz w:val="24"/>
          <w:szCs w:val="24"/>
        </w:rPr>
        <w:t>Recalculated NPV and analysis</w:t>
      </w:r>
      <w:bookmarkEnd w:id="8"/>
      <w:r w:rsidRPr="00E31401">
        <w:rPr>
          <w:rFonts w:ascii="Times New Roman" w:hAnsi="Times New Roman" w:cs="Times New Roman"/>
          <w:sz w:val="24"/>
          <w:szCs w:val="24"/>
        </w:rPr>
        <w:t xml:space="preserve"> </w:t>
      </w:r>
    </w:p>
    <w:p w14:paraId="21173DA0" w14:textId="4FB8E0BA" w:rsidR="00D806EE" w:rsidRPr="00D806EE" w:rsidRDefault="00D806EE" w:rsidP="00E31401">
      <w:pPr>
        <w:spacing w:after="200" w:line="360" w:lineRule="auto"/>
        <w:jc w:val="both"/>
        <w:rPr>
          <w:rFonts w:ascii="Times New Roman" w:hAnsi="Times New Roman" w:cs="Times New Roman"/>
          <w:sz w:val="24"/>
          <w:szCs w:val="24"/>
        </w:rPr>
      </w:pPr>
      <w:r w:rsidRPr="00D806EE">
        <w:rPr>
          <w:rFonts w:ascii="Times New Roman" w:hAnsi="Times New Roman" w:cs="Times New Roman"/>
          <w:sz w:val="24"/>
          <w:szCs w:val="24"/>
        </w:rPr>
        <w:t xml:space="preserve">The company is considering two different investment projects, project A and project B. Both projects require an initial investment but have different cash flow patterns over the next </w:t>
      </w:r>
      <w:r w:rsidRPr="00E31401">
        <w:rPr>
          <w:rFonts w:ascii="Times New Roman" w:hAnsi="Times New Roman" w:cs="Times New Roman"/>
          <w:sz w:val="24"/>
          <w:szCs w:val="24"/>
        </w:rPr>
        <w:t>4</w:t>
      </w:r>
      <w:r w:rsidRPr="00D806EE">
        <w:rPr>
          <w:rFonts w:ascii="Times New Roman" w:hAnsi="Times New Roman" w:cs="Times New Roman"/>
          <w:sz w:val="24"/>
          <w:szCs w:val="24"/>
        </w:rPr>
        <w:t xml:space="preserve"> years. To evaluate which project is better, we conducted a net present value (NPV) analysis for each.</w:t>
      </w:r>
      <w:r w:rsidRPr="00E31401">
        <w:rPr>
          <w:rFonts w:ascii="Times New Roman" w:hAnsi="Times New Roman" w:cs="Times New Roman"/>
          <w:sz w:val="24"/>
          <w:szCs w:val="24"/>
        </w:rPr>
        <w:t xml:space="preserve"> </w:t>
      </w:r>
      <w:r w:rsidRPr="00D806EE">
        <w:rPr>
          <w:rFonts w:ascii="Times New Roman" w:hAnsi="Times New Roman" w:cs="Times New Roman"/>
          <w:sz w:val="24"/>
          <w:szCs w:val="24"/>
        </w:rPr>
        <w:t>For project A, the initial investment is $</w:t>
      </w:r>
      <w:r w:rsidRPr="00E31401">
        <w:rPr>
          <w:rFonts w:ascii="Times New Roman" w:hAnsi="Times New Roman" w:cs="Times New Roman"/>
          <w:sz w:val="24"/>
          <w:szCs w:val="24"/>
        </w:rPr>
        <w:t>5</w:t>
      </w:r>
      <w:r w:rsidRPr="00D806EE">
        <w:rPr>
          <w:rFonts w:ascii="Times New Roman" w:hAnsi="Times New Roman" w:cs="Times New Roman"/>
          <w:sz w:val="24"/>
          <w:szCs w:val="24"/>
        </w:rPr>
        <w:t>,</w:t>
      </w:r>
      <w:r w:rsidRPr="00E31401">
        <w:rPr>
          <w:rFonts w:ascii="Times New Roman" w:hAnsi="Times New Roman" w:cs="Times New Roman"/>
          <w:sz w:val="24"/>
          <w:szCs w:val="24"/>
        </w:rPr>
        <w:t>5</w:t>
      </w:r>
      <w:r w:rsidRPr="00D806EE">
        <w:rPr>
          <w:rFonts w:ascii="Times New Roman" w:hAnsi="Times New Roman" w:cs="Times New Roman"/>
          <w:sz w:val="24"/>
          <w:szCs w:val="24"/>
        </w:rPr>
        <w:t xml:space="preserve">00 with expected negative cash flows in each of the next 5 years. The cash flows are </w:t>
      </w:r>
      <w:r w:rsidRPr="00E31401">
        <w:rPr>
          <w:rFonts w:ascii="Times New Roman" w:hAnsi="Times New Roman" w:cs="Times New Roman"/>
          <w:sz w:val="24"/>
          <w:szCs w:val="24"/>
        </w:rPr>
        <w:t>2</w:t>
      </w:r>
      <w:r w:rsidRPr="00D806EE">
        <w:rPr>
          <w:rFonts w:ascii="Times New Roman" w:hAnsi="Times New Roman" w:cs="Times New Roman"/>
          <w:sz w:val="24"/>
          <w:szCs w:val="24"/>
        </w:rPr>
        <w:t>,</w:t>
      </w:r>
      <w:r w:rsidRPr="00E31401">
        <w:rPr>
          <w:rFonts w:ascii="Times New Roman" w:hAnsi="Times New Roman" w:cs="Times New Roman"/>
          <w:sz w:val="24"/>
          <w:szCs w:val="24"/>
        </w:rPr>
        <w:t xml:space="preserve">250 </w:t>
      </w:r>
      <w:r w:rsidRPr="00D806EE">
        <w:rPr>
          <w:rFonts w:ascii="Times New Roman" w:hAnsi="Times New Roman" w:cs="Times New Roman"/>
          <w:sz w:val="24"/>
          <w:szCs w:val="24"/>
        </w:rPr>
        <w:t xml:space="preserve">in year 1, </w:t>
      </w:r>
      <w:r w:rsidRPr="00E31401">
        <w:rPr>
          <w:rFonts w:ascii="Times New Roman" w:hAnsi="Times New Roman" w:cs="Times New Roman"/>
          <w:sz w:val="24"/>
          <w:szCs w:val="24"/>
        </w:rPr>
        <w:t xml:space="preserve">1800 </w:t>
      </w:r>
      <w:r w:rsidRPr="00D806EE">
        <w:rPr>
          <w:rFonts w:ascii="Times New Roman" w:hAnsi="Times New Roman" w:cs="Times New Roman"/>
          <w:sz w:val="24"/>
          <w:szCs w:val="24"/>
        </w:rPr>
        <w:t>in year 2, $</w:t>
      </w:r>
      <w:r w:rsidRPr="00E31401">
        <w:rPr>
          <w:rFonts w:ascii="Times New Roman" w:hAnsi="Times New Roman" w:cs="Times New Roman"/>
          <w:sz w:val="24"/>
          <w:szCs w:val="24"/>
        </w:rPr>
        <w:t xml:space="preserve">900 </w:t>
      </w:r>
      <w:r w:rsidRPr="00D806EE">
        <w:rPr>
          <w:rFonts w:ascii="Times New Roman" w:hAnsi="Times New Roman" w:cs="Times New Roman"/>
          <w:sz w:val="24"/>
          <w:szCs w:val="24"/>
        </w:rPr>
        <w:t>in year 3</w:t>
      </w:r>
      <w:r w:rsidRPr="00E31401">
        <w:rPr>
          <w:rFonts w:ascii="Times New Roman" w:hAnsi="Times New Roman" w:cs="Times New Roman"/>
          <w:sz w:val="24"/>
          <w:szCs w:val="24"/>
        </w:rPr>
        <w:t xml:space="preserve"> and </w:t>
      </w:r>
      <w:r w:rsidRPr="00D806EE">
        <w:rPr>
          <w:rFonts w:ascii="Times New Roman" w:hAnsi="Times New Roman" w:cs="Times New Roman"/>
          <w:sz w:val="24"/>
          <w:szCs w:val="24"/>
        </w:rPr>
        <w:t>-$</w:t>
      </w:r>
      <w:r w:rsidRPr="00E31401">
        <w:rPr>
          <w:rFonts w:ascii="Times New Roman" w:hAnsi="Times New Roman" w:cs="Times New Roman"/>
          <w:sz w:val="24"/>
          <w:szCs w:val="24"/>
        </w:rPr>
        <w:t xml:space="preserve">397 </w:t>
      </w:r>
      <w:r w:rsidRPr="00D806EE">
        <w:rPr>
          <w:rFonts w:ascii="Times New Roman" w:hAnsi="Times New Roman" w:cs="Times New Roman"/>
          <w:sz w:val="24"/>
          <w:szCs w:val="24"/>
        </w:rPr>
        <w:t xml:space="preserve">in year 4. Using a discount rate of </w:t>
      </w:r>
      <w:r w:rsidRPr="00E31401">
        <w:rPr>
          <w:rFonts w:ascii="Times New Roman" w:hAnsi="Times New Roman" w:cs="Times New Roman"/>
          <w:sz w:val="24"/>
          <w:szCs w:val="24"/>
        </w:rPr>
        <w:t>0.75</w:t>
      </w:r>
      <w:r w:rsidRPr="00D806EE">
        <w:rPr>
          <w:rFonts w:ascii="Times New Roman" w:hAnsi="Times New Roman" w:cs="Times New Roman"/>
          <w:sz w:val="24"/>
          <w:szCs w:val="24"/>
        </w:rPr>
        <w:t xml:space="preserve">%, the NPV of project A is -1,001.9638. This means that over the </w:t>
      </w:r>
      <w:r w:rsidRPr="00E31401">
        <w:rPr>
          <w:rFonts w:ascii="Times New Roman" w:hAnsi="Times New Roman" w:cs="Times New Roman"/>
          <w:sz w:val="24"/>
          <w:szCs w:val="24"/>
        </w:rPr>
        <w:t xml:space="preserve">4 </w:t>
      </w:r>
      <w:r w:rsidRPr="00D806EE">
        <w:rPr>
          <w:rFonts w:ascii="Times New Roman" w:hAnsi="Times New Roman" w:cs="Times New Roman"/>
          <w:sz w:val="24"/>
          <w:szCs w:val="24"/>
        </w:rPr>
        <w:t>year period, the total value of the negative cash flows in present dollar terms is $1,001.9638 less than the initial investment. Therefore, project A is expected to lose money overall.</w:t>
      </w:r>
    </w:p>
    <w:p w14:paraId="13A3FA45" w14:textId="42158C6C" w:rsidR="00D806EE" w:rsidRPr="00D806EE" w:rsidRDefault="00D806EE" w:rsidP="00E31401">
      <w:pPr>
        <w:spacing w:after="200" w:line="360" w:lineRule="auto"/>
        <w:jc w:val="both"/>
        <w:rPr>
          <w:rFonts w:ascii="Times New Roman" w:hAnsi="Times New Roman" w:cs="Times New Roman"/>
          <w:sz w:val="24"/>
          <w:szCs w:val="24"/>
        </w:rPr>
      </w:pPr>
      <w:r w:rsidRPr="00D806EE">
        <w:rPr>
          <w:rFonts w:ascii="Times New Roman" w:hAnsi="Times New Roman" w:cs="Times New Roman"/>
          <w:sz w:val="24"/>
          <w:szCs w:val="24"/>
        </w:rPr>
        <w:t xml:space="preserve">Project B requires an initial investment of </w:t>
      </w:r>
      <w:r w:rsidRPr="00E31401">
        <w:rPr>
          <w:rFonts w:ascii="Times New Roman" w:hAnsi="Times New Roman" w:cs="Times New Roman"/>
          <w:sz w:val="24"/>
          <w:szCs w:val="24"/>
        </w:rPr>
        <w:t>1100</w:t>
      </w:r>
      <w:r w:rsidRPr="00D806EE">
        <w:rPr>
          <w:rFonts w:ascii="Times New Roman" w:hAnsi="Times New Roman" w:cs="Times New Roman"/>
          <w:sz w:val="24"/>
          <w:szCs w:val="24"/>
        </w:rPr>
        <w:t xml:space="preserve">. The expected positive cash flows are </w:t>
      </w:r>
      <w:r w:rsidRPr="00E31401">
        <w:rPr>
          <w:rFonts w:ascii="Times New Roman" w:hAnsi="Times New Roman" w:cs="Times New Roman"/>
          <w:sz w:val="24"/>
          <w:szCs w:val="24"/>
        </w:rPr>
        <w:t xml:space="preserve">1350 </w:t>
      </w:r>
      <w:r w:rsidRPr="00D806EE">
        <w:rPr>
          <w:rFonts w:ascii="Times New Roman" w:hAnsi="Times New Roman" w:cs="Times New Roman"/>
          <w:sz w:val="24"/>
          <w:szCs w:val="24"/>
        </w:rPr>
        <w:t xml:space="preserve">in year 1, </w:t>
      </w:r>
      <w:r w:rsidRPr="00E31401">
        <w:rPr>
          <w:rFonts w:ascii="Times New Roman" w:hAnsi="Times New Roman" w:cs="Times New Roman"/>
          <w:sz w:val="24"/>
          <w:szCs w:val="24"/>
        </w:rPr>
        <w:t xml:space="preserve">900 </w:t>
      </w:r>
      <w:r w:rsidRPr="00D806EE">
        <w:rPr>
          <w:rFonts w:ascii="Times New Roman" w:hAnsi="Times New Roman" w:cs="Times New Roman"/>
          <w:sz w:val="24"/>
          <w:szCs w:val="24"/>
        </w:rPr>
        <w:t xml:space="preserve">in year 2, </w:t>
      </w:r>
      <w:r w:rsidRPr="00E31401">
        <w:rPr>
          <w:rFonts w:ascii="Times New Roman" w:hAnsi="Times New Roman" w:cs="Times New Roman"/>
          <w:sz w:val="24"/>
          <w:szCs w:val="24"/>
        </w:rPr>
        <w:t xml:space="preserve">900 </w:t>
      </w:r>
      <w:r w:rsidRPr="00D806EE">
        <w:rPr>
          <w:rFonts w:ascii="Times New Roman" w:hAnsi="Times New Roman" w:cs="Times New Roman"/>
          <w:sz w:val="24"/>
          <w:szCs w:val="24"/>
        </w:rPr>
        <w:t>in year 3</w:t>
      </w:r>
      <w:r w:rsidRPr="00E31401">
        <w:rPr>
          <w:rFonts w:ascii="Times New Roman" w:hAnsi="Times New Roman" w:cs="Times New Roman"/>
          <w:sz w:val="24"/>
          <w:szCs w:val="24"/>
        </w:rPr>
        <w:t xml:space="preserve"> and 423 </w:t>
      </w:r>
      <w:r w:rsidRPr="00D806EE">
        <w:rPr>
          <w:rFonts w:ascii="Times New Roman" w:hAnsi="Times New Roman" w:cs="Times New Roman"/>
          <w:sz w:val="24"/>
          <w:szCs w:val="24"/>
        </w:rPr>
        <w:t xml:space="preserve">in year 4. Conducting the same NPV calculation using a </w:t>
      </w:r>
      <w:r w:rsidRPr="00E31401">
        <w:rPr>
          <w:rFonts w:ascii="Times New Roman" w:hAnsi="Times New Roman" w:cs="Times New Roman"/>
          <w:sz w:val="24"/>
          <w:szCs w:val="24"/>
        </w:rPr>
        <w:t>0.75</w:t>
      </w:r>
      <w:r w:rsidRPr="00D806EE">
        <w:rPr>
          <w:rFonts w:ascii="Times New Roman" w:hAnsi="Times New Roman" w:cs="Times New Roman"/>
          <w:sz w:val="24"/>
          <w:szCs w:val="24"/>
        </w:rPr>
        <w:t>% discount rate, the NPV of project B is 1,594.267. For project B, the total value of the positive cash flows in present dollar terms is $1,594.267 more than the initial investment. Therefore, project B is expected to make money overall.</w:t>
      </w:r>
    </w:p>
    <w:p w14:paraId="14C4E610" w14:textId="3F9F953D" w:rsidR="00D806EE" w:rsidRPr="00E31401" w:rsidRDefault="00D806EE"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W</w:t>
      </w:r>
      <w:r w:rsidRPr="00D806EE">
        <w:rPr>
          <w:rFonts w:ascii="Times New Roman" w:hAnsi="Times New Roman" w:cs="Times New Roman"/>
          <w:sz w:val="24"/>
          <w:szCs w:val="24"/>
        </w:rPr>
        <w:t>hile both projects require an initial cash outlay, project A is expected to lose $1,001.9638 according to its NPV calculation whereas project B is expected to gain $1,594.267 based on its NPV. As the goal is to choose the project expected to make rather than lose money, project B appears to be the better option based on this financial analysis</w:t>
      </w:r>
      <w:r w:rsidR="00C500E8" w:rsidRPr="00E31401">
        <w:rPr>
          <w:rFonts w:ascii="Times New Roman" w:hAnsi="Times New Roman" w:cs="Times New Roman"/>
          <w:sz w:val="24"/>
          <w:szCs w:val="24"/>
        </w:rPr>
        <w:t xml:space="preserve"> (</w:t>
      </w:r>
      <w:r w:rsidR="00C500E8" w:rsidRPr="00E31401">
        <w:rPr>
          <w:rFonts w:ascii="Times New Roman" w:hAnsi="Times New Roman" w:cs="Times New Roman"/>
          <w:color w:val="222222"/>
          <w:sz w:val="24"/>
          <w:szCs w:val="24"/>
          <w:shd w:val="clear" w:color="auto" w:fill="FFFFFF"/>
        </w:rPr>
        <w:t>Hopkinson, 2017</w:t>
      </w:r>
      <w:r w:rsidR="00C500E8" w:rsidRPr="00E31401">
        <w:rPr>
          <w:rFonts w:ascii="Times New Roman" w:hAnsi="Times New Roman" w:cs="Times New Roman"/>
          <w:sz w:val="24"/>
          <w:szCs w:val="24"/>
        </w:rPr>
        <w:t>)</w:t>
      </w:r>
      <w:r w:rsidRPr="00D806EE">
        <w:rPr>
          <w:rFonts w:ascii="Times New Roman" w:hAnsi="Times New Roman" w:cs="Times New Roman"/>
          <w:sz w:val="24"/>
          <w:szCs w:val="24"/>
        </w:rPr>
        <w:t xml:space="preserve">. Its higher positive NPV indicates project B will more than cover its initial investment and make a return over the </w:t>
      </w:r>
      <w:r w:rsidRPr="00E31401">
        <w:rPr>
          <w:rFonts w:ascii="Times New Roman" w:hAnsi="Times New Roman" w:cs="Times New Roman"/>
          <w:sz w:val="24"/>
          <w:szCs w:val="24"/>
        </w:rPr>
        <w:t xml:space="preserve">4 </w:t>
      </w:r>
      <w:r w:rsidRPr="00D806EE">
        <w:rPr>
          <w:rFonts w:ascii="Times New Roman" w:hAnsi="Times New Roman" w:cs="Times New Roman"/>
          <w:sz w:val="24"/>
          <w:szCs w:val="24"/>
        </w:rPr>
        <w:t>year period whereas project A will not generate enough positive cash flow to outweigh its costs. Therefore, if the company's objective is to maximize value, project B is the recommended choice between these two mutually exclusive investment opportunities based on the NPV analysis.</w:t>
      </w:r>
    </w:p>
    <w:p w14:paraId="3F78AB98" w14:textId="3E70D49E" w:rsidR="00503C40" w:rsidRPr="00E31401" w:rsidRDefault="00503C40" w:rsidP="00E31401">
      <w:pPr>
        <w:pStyle w:val="Heading2"/>
        <w:spacing w:after="200" w:line="360" w:lineRule="auto"/>
        <w:jc w:val="both"/>
        <w:rPr>
          <w:rFonts w:ascii="Times New Roman" w:hAnsi="Times New Roman" w:cs="Times New Roman"/>
          <w:sz w:val="24"/>
          <w:szCs w:val="24"/>
        </w:rPr>
      </w:pPr>
      <w:bookmarkStart w:id="9" w:name="_Toc161763269"/>
      <w:r w:rsidRPr="00E31401">
        <w:rPr>
          <w:rFonts w:ascii="Times New Roman" w:hAnsi="Times New Roman" w:cs="Times New Roman"/>
          <w:sz w:val="24"/>
          <w:szCs w:val="24"/>
        </w:rPr>
        <w:lastRenderedPageBreak/>
        <w:t>Advantages and shortcomings of the PBP, ARR and NPV techniques</w:t>
      </w:r>
      <w:bookmarkEnd w:id="9"/>
    </w:p>
    <w:p w14:paraId="532DA54A" w14:textId="21463397" w:rsidR="00503C40" w:rsidRPr="00503C40" w:rsidRDefault="00503C40" w:rsidP="00E31401">
      <w:pPr>
        <w:spacing w:after="200" w:line="360" w:lineRule="auto"/>
        <w:jc w:val="both"/>
        <w:rPr>
          <w:rFonts w:ascii="Times New Roman" w:hAnsi="Times New Roman" w:cs="Times New Roman"/>
          <w:sz w:val="24"/>
          <w:szCs w:val="24"/>
        </w:rPr>
      </w:pPr>
      <w:r w:rsidRPr="00503C40">
        <w:rPr>
          <w:rFonts w:ascii="Times New Roman" w:hAnsi="Times New Roman" w:cs="Times New Roman"/>
          <w:sz w:val="24"/>
          <w:szCs w:val="24"/>
        </w:rPr>
        <w:t xml:space="preserve">There are a few key financial tools that can be used to </w:t>
      </w:r>
      <w:r w:rsidR="00E31401" w:rsidRPr="00503C40">
        <w:rPr>
          <w:rFonts w:ascii="Times New Roman" w:hAnsi="Times New Roman" w:cs="Times New Roman"/>
          <w:sz w:val="24"/>
          <w:szCs w:val="24"/>
        </w:rPr>
        <w:t>analyse</w:t>
      </w:r>
      <w:r w:rsidRPr="00503C40">
        <w:rPr>
          <w:rFonts w:ascii="Times New Roman" w:hAnsi="Times New Roman" w:cs="Times New Roman"/>
          <w:sz w:val="24"/>
          <w:szCs w:val="24"/>
        </w:rPr>
        <w:t xml:space="preserve"> capital investment projects - the payback period, accounting rate of return, and net present value. Each method has its advantages but also some potential shortcomings.</w:t>
      </w:r>
    </w:p>
    <w:p w14:paraId="0D462DE8" w14:textId="5869B4FE" w:rsidR="00503C40" w:rsidRPr="00E31401" w:rsidRDefault="00503C40"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PBP</w:t>
      </w:r>
    </w:p>
    <w:p w14:paraId="192AECBD" w14:textId="26A46F15" w:rsidR="00503C40" w:rsidRPr="00503C40" w:rsidRDefault="00503C40" w:rsidP="00E31401">
      <w:pPr>
        <w:spacing w:after="200" w:line="360" w:lineRule="auto"/>
        <w:jc w:val="both"/>
        <w:rPr>
          <w:rFonts w:ascii="Times New Roman" w:hAnsi="Times New Roman" w:cs="Times New Roman"/>
          <w:sz w:val="24"/>
          <w:szCs w:val="24"/>
        </w:rPr>
      </w:pPr>
      <w:r w:rsidRPr="00503C40">
        <w:rPr>
          <w:rFonts w:ascii="Times New Roman" w:hAnsi="Times New Roman" w:cs="Times New Roman"/>
          <w:sz w:val="24"/>
          <w:szCs w:val="24"/>
        </w:rPr>
        <w:t>The payback period is one of the simplest techniques, calculating the number of years required to recover the initial cash outlay of the project through cash inflows. It is easy to understand and calculate. However, it does not consider the timing of cash flows beyond the payback period or the total profitability of investments with longer lives. As such, projects with equal paybacks may not be economically equal if they have different total cash flows.</w:t>
      </w:r>
    </w:p>
    <w:p w14:paraId="024656C7" w14:textId="62219C2A" w:rsidR="00503C40" w:rsidRPr="00E31401" w:rsidRDefault="00503C40"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 xml:space="preserve">ARR </w:t>
      </w:r>
    </w:p>
    <w:p w14:paraId="1EC8D4DF" w14:textId="737C4A96" w:rsidR="00503C40" w:rsidRPr="00503C40" w:rsidRDefault="00503C40" w:rsidP="00E31401">
      <w:pPr>
        <w:spacing w:after="200" w:line="360" w:lineRule="auto"/>
        <w:jc w:val="both"/>
        <w:rPr>
          <w:rFonts w:ascii="Times New Roman" w:hAnsi="Times New Roman" w:cs="Times New Roman"/>
          <w:sz w:val="24"/>
          <w:szCs w:val="24"/>
        </w:rPr>
      </w:pPr>
      <w:r w:rsidRPr="00503C40">
        <w:rPr>
          <w:rFonts w:ascii="Times New Roman" w:hAnsi="Times New Roman" w:cs="Times New Roman"/>
          <w:sz w:val="24"/>
          <w:szCs w:val="24"/>
        </w:rPr>
        <w:t>The accounting rate of return expresses profit as a percentage of the average investment over a period. It is straightforward to interpret. However, it does not consider the timing of cash flows and assumes cash flows occur at the end of each period rather than considering the time value of money. Two projects could have the same ARR but different risks and total profits due to uneven cash flow patterns.</w:t>
      </w:r>
    </w:p>
    <w:p w14:paraId="5C5C93DF" w14:textId="2A4EA88A" w:rsidR="00503C40" w:rsidRPr="00E31401" w:rsidRDefault="00503C40" w:rsidP="00E31401">
      <w:pPr>
        <w:spacing w:after="200" w:line="360" w:lineRule="auto"/>
        <w:jc w:val="both"/>
        <w:rPr>
          <w:rFonts w:ascii="Times New Roman" w:hAnsi="Times New Roman" w:cs="Times New Roman"/>
          <w:b/>
          <w:bCs/>
          <w:sz w:val="24"/>
          <w:szCs w:val="24"/>
        </w:rPr>
      </w:pPr>
      <w:r w:rsidRPr="00E31401">
        <w:rPr>
          <w:rFonts w:ascii="Times New Roman" w:hAnsi="Times New Roman" w:cs="Times New Roman"/>
          <w:b/>
          <w:bCs/>
          <w:sz w:val="24"/>
          <w:szCs w:val="24"/>
        </w:rPr>
        <w:t xml:space="preserve">NPV </w:t>
      </w:r>
    </w:p>
    <w:p w14:paraId="70A93A04" w14:textId="2CDD616B" w:rsidR="00503C40" w:rsidRPr="00503C40" w:rsidRDefault="00503C40" w:rsidP="00E31401">
      <w:pPr>
        <w:spacing w:after="200" w:line="360" w:lineRule="auto"/>
        <w:jc w:val="both"/>
        <w:rPr>
          <w:rFonts w:ascii="Times New Roman" w:hAnsi="Times New Roman" w:cs="Times New Roman"/>
          <w:sz w:val="24"/>
          <w:szCs w:val="24"/>
        </w:rPr>
      </w:pPr>
      <w:r w:rsidRPr="00503C40">
        <w:rPr>
          <w:rFonts w:ascii="Times New Roman" w:hAnsi="Times New Roman" w:cs="Times New Roman"/>
          <w:sz w:val="24"/>
          <w:szCs w:val="24"/>
        </w:rPr>
        <w:t>Net present value analysis addresses some of the limitations of the other methods. By discounting all future cash flows to determine their present value, it incorporates the time value of money. This allows an "apples to apples" comparison of projects with different cash flow profiles. The higher a project's NPV, the more value it is expected to create.</w:t>
      </w:r>
      <w:r w:rsidRPr="00E31401">
        <w:rPr>
          <w:rFonts w:ascii="Times New Roman" w:hAnsi="Times New Roman" w:cs="Times New Roman"/>
          <w:sz w:val="24"/>
          <w:szCs w:val="24"/>
        </w:rPr>
        <w:t xml:space="preserve"> </w:t>
      </w:r>
      <w:r w:rsidRPr="00503C40">
        <w:rPr>
          <w:rFonts w:ascii="Times New Roman" w:hAnsi="Times New Roman" w:cs="Times New Roman"/>
          <w:sz w:val="24"/>
          <w:szCs w:val="24"/>
        </w:rPr>
        <w:t>However, NPV can also be more complex to calculate as it requires determining an accurate discount rate. The discount rate assumption can significantly impact results. There is also some subjectivity in determining expected cash flows far into the future. Small changes in assumptions can change the NPV and recommended choice of projects</w:t>
      </w:r>
      <w:r w:rsidR="00C500E8" w:rsidRPr="00E31401">
        <w:rPr>
          <w:rFonts w:ascii="Times New Roman" w:hAnsi="Times New Roman" w:cs="Times New Roman"/>
          <w:sz w:val="24"/>
          <w:szCs w:val="24"/>
        </w:rPr>
        <w:t xml:space="preserve"> (</w:t>
      </w:r>
      <w:r w:rsidR="00C500E8" w:rsidRPr="00E31401">
        <w:rPr>
          <w:rFonts w:ascii="Times New Roman" w:hAnsi="Times New Roman" w:cs="Times New Roman"/>
          <w:color w:val="222222"/>
          <w:sz w:val="24"/>
          <w:szCs w:val="24"/>
          <w:shd w:val="clear" w:color="auto" w:fill="FFFFFF"/>
        </w:rPr>
        <w:t>Higgins, 2016</w:t>
      </w:r>
      <w:r w:rsidR="00C500E8" w:rsidRPr="00E31401">
        <w:rPr>
          <w:rFonts w:ascii="Times New Roman" w:hAnsi="Times New Roman" w:cs="Times New Roman"/>
          <w:sz w:val="24"/>
          <w:szCs w:val="24"/>
        </w:rPr>
        <w:t>)</w:t>
      </w:r>
      <w:r w:rsidRPr="00503C40">
        <w:rPr>
          <w:rFonts w:ascii="Times New Roman" w:hAnsi="Times New Roman" w:cs="Times New Roman"/>
          <w:sz w:val="24"/>
          <w:szCs w:val="24"/>
        </w:rPr>
        <w:t>.</w:t>
      </w:r>
    </w:p>
    <w:p w14:paraId="7537A663" w14:textId="4C344FFB" w:rsidR="00503C40" w:rsidRPr="00D806EE" w:rsidRDefault="00503C40"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It can be said that </w:t>
      </w:r>
      <w:r w:rsidRPr="00503C40">
        <w:rPr>
          <w:rFonts w:ascii="Times New Roman" w:hAnsi="Times New Roman" w:cs="Times New Roman"/>
          <w:sz w:val="24"/>
          <w:szCs w:val="24"/>
        </w:rPr>
        <w:t xml:space="preserve">each technique has advantages depending on the situation. Payback period and ARR are simpler but do not fully account for the timing of cash flows. NPV provides the most </w:t>
      </w:r>
      <w:r w:rsidRPr="00503C40">
        <w:rPr>
          <w:rFonts w:ascii="Times New Roman" w:hAnsi="Times New Roman" w:cs="Times New Roman"/>
          <w:sz w:val="24"/>
          <w:szCs w:val="24"/>
        </w:rPr>
        <w:lastRenderedPageBreak/>
        <w:t>complete picture but involves more assumptions and calculations. The best approach may be to use multiple techniques to evaluate projects from different perspectives and highlight the strengths and weaknesses of each. Given reasonably well-defined future cash flows, NPV should provide the most accurate assessment of long-term value. Shorter term investments or more risky projects may warrant placing more weight on simpler metrics as well.</w:t>
      </w:r>
    </w:p>
    <w:p w14:paraId="4541D614" w14:textId="77777777" w:rsidR="00C500E8" w:rsidRPr="00E31401" w:rsidRDefault="00C500E8" w:rsidP="00E31401">
      <w:pPr>
        <w:pStyle w:val="Heading2"/>
        <w:spacing w:after="200" w:line="360" w:lineRule="auto"/>
        <w:jc w:val="both"/>
        <w:rPr>
          <w:rFonts w:ascii="Times New Roman" w:hAnsi="Times New Roman" w:cs="Times New Roman"/>
          <w:sz w:val="24"/>
          <w:szCs w:val="24"/>
        </w:rPr>
      </w:pPr>
    </w:p>
    <w:p w14:paraId="4191492E" w14:textId="43EF0FE6" w:rsidR="00D806EE" w:rsidRPr="00E31401" w:rsidRDefault="00503C40" w:rsidP="00E31401">
      <w:pPr>
        <w:pStyle w:val="Heading2"/>
        <w:spacing w:after="200" w:line="360" w:lineRule="auto"/>
        <w:jc w:val="both"/>
        <w:rPr>
          <w:rFonts w:ascii="Times New Roman" w:hAnsi="Times New Roman" w:cs="Times New Roman"/>
          <w:sz w:val="24"/>
          <w:szCs w:val="24"/>
        </w:rPr>
      </w:pPr>
      <w:bookmarkStart w:id="10" w:name="_Toc161763270"/>
      <w:r w:rsidRPr="00E31401">
        <w:rPr>
          <w:rFonts w:ascii="Times New Roman" w:hAnsi="Times New Roman" w:cs="Times New Roman"/>
          <w:sz w:val="24"/>
          <w:szCs w:val="24"/>
        </w:rPr>
        <w:t>Non-financial factors management needs to consider</w:t>
      </w:r>
      <w:bookmarkEnd w:id="10"/>
    </w:p>
    <w:p w14:paraId="07743A27" w14:textId="77777777" w:rsidR="00503C40" w:rsidRPr="00503C40" w:rsidRDefault="00503C40" w:rsidP="00E31401">
      <w:pPr>
        <w:spacing w:after="200" w:line="360" w:lineRule="auto"/>
        <w:jc w:val="both"/>
        <w:rPr>
          <w:rFonts w:ascii="Times New Roman" w:hAnsi="Times New Roman" w:cs="Times New Roman"/>
          <w:sz w:val="24"/>
          <w:szCs w:val="24"/>
        </w:rPr>
      </w:pPr>
      <w:r w:rsidRPr="00503C40">
        <w:rPr>
          <w:rFonts w:ascii="Times New Roman" w:hAnsi="Times New Roman" w:cs="Times New Roman"/>
          <w:sz w:val="24"/>
          <w:szCs w:val="24"/>
        </w:rPr>
        <w:t>While financial analysis provides valuable insights, management must also take non-financial factors into account when choosing between capital projects. Financial metrics alone do not tell the complete story. Other considerations may include:</w:t>
      </w:r>
    </w:p>
    <w:p w14:paraId="10E7A3A4" w14:textId="77777777" w:rsidR="00503C40" w:rsidRPr="00E31401" w:rsidRDefault="00503C40" w:rsidP="00E31401">
      <w:pPr>
        <w:pStyle w:val="ListParagraph"/>
        <w:numPr>
          <w:ilvl w:val="0"/>
          <w:numId w:val="4"/>
        </w:numPr>
        <w:spacing w:after="200" w:line="360" w:lineRule="auto"/>
        <w:jc w:val="both"/>
        <w:rPr>
          <w:rFonts w:ascii="Times New Roman" w:hAnsi="Times New Roman" w:cs="Times New Roman"/>
          <w:sz w:val="24"/>
          <w:szCs w:val="24"/>
        </w:rPr>
      </w:pPr>
      <w:r w:rsidRPr="00E31401">
        <w:rPr>
          <w:rFonts w:ascii="Times New Roman" w:hAnsi="Times New Roman" w:cs="Times New Roman"/>
          <w:b/>
          <w:bCs/>
          <w:sz w:val="24"/>
          <w:szCs w:val="24"/>
        </w:rPr>
        <w:t>Strategic Fit</w:t>
      </w:r>
      <w:r w:rsidRPr="00E31401">
        <w:rPr>
          <w:rFonts w:ascii="Times New Roman" w:hAnsi="Times New Roman" w:cs="Times New Roman"/>
          <w:sz w:val="24"/>
          <w:szCs w:val="24"/>
        </w:rPr>
        <w:t xml:space="preserve"> - Does the project align with the company's overall business strategy and long term goals? Will it help the company enter new markets or strengthen its position in existing ones? Project B may be more strategic even if its financials are slightly lower.</w:t>
      </w:r>
    </w:p>
    <w:p w14:paraId="217D8A45" w14:textId="37E75B23" w:rsidR="00503C40" w:rsidRPr="00E31401" w:rsidRDefault="00503C40" w:rsidP="00E31401">
      <w:pPr>
        <w:pStyle w:val="ListParagraph"/>
        <w:numPr>
          <w:ilvl w:val="0"/>
          <w:numId w:val="4"/>
        </w:numPr>
        <w:spacing w:after="200" w:line="360" w:lineRule="auto"/>
        <w:jc w:val="both"/>
        <w:rPr>
          <w:rFonts w:ascii="Times New Roman" w:hAnsi="Times New Roman" w:cs="Times New Roman"/>
          <w:sz w:val="24"/>
          <w:szCs w:val="24"/>
        </w:rPr>
      </w:pPr>
      <w:r w:rsidRPr="00E31401">
        <w:rPr>
          <w:rFonts w:ascii="Times New Roman" w:hAnsi="Times New Roman" w:cs="Times New Roman"/>
          <w:b/>
          <w:bCs/>
          <w:sz w:val="24"/>
          <w:szCs w:val="24"/>
        </w:rPr>
        <w:t>Resource Requirements</w:t>
      </w:r>
      <w:r w:rsidRPr="00E31401">
        <w:rPr>
          <w:rFonts w:ascii="Times New Roman" w:hAnsi="Times New Roman" w:cs="Times New Roman"/>
          <w:sz w:val="24"/>
          <w:szCs w:val="24"/>
        </w:rPr>
        <w:t xml:space="preserve"> - What production, personnel, technology and infrastructure is required? The availability and opportunity cost of allocating scarce resources could influence the decision if one project requires significantly more commitment upfront</w:t>
      </w:r>
      <w:r w:rsidR="00C500E8" w:rsidRPr="00E31401">
        <w:rPr>
          <w:rFonts w:ascii="Times New Roman" w:hAnsi="Times New Roman" w:cs="Times New Roman"/>
          <w:sz w:val="24"/>
          <w:szCs w:val="24"/>
        </w:rPr>
        <w:t xml:space="preserve"> (</w:t>
      </w:r>
      <w:r w:rsidR="00C500E8" w:rsidRPr="00E31401">
        <w:rPr>
          <w:rFonts w:ascii="Times New Roman" w:hAnsi="Times New Roman" w:cs="Times New Roman"/>
          <w:color w:val="222222"/>
          <w:sz w:val="24"/>
          <w:szCs w:val="24"/>
          <w:shd w:val="clear" w:color="auto" w:fill="FFFFFF"/>
        </w:rPr>
        <w:t>Kotane, 2015</w:t>
      </w:r>
      <w:r w:rsidR="00C500E8" w:rsidRPr="00E31401">
        <w:rPr>
          <w:rFonts w:ascii="Times New Roman" w:hAnsi="Times New Roman" w:cs="Times New Roman"/>
          <w:sz w:val="24"/>
          <w:szCs w:val="24"/>
        </w:rPr>
        <w:t>)</w:t>
      </w:r>
      <w:r w:rsidRPr="00E31401">
        <w:rPr>
          <w:rFonts w:ascii="Times New Roman" w:hAnsi="Times New Roman" w:cs="Times New Roman"/>
          <w:sz w:val="24"/>
          <w:szCs w:val="24"/>
        </w:rPr>
        <w:t>.</w:t>
      </w:r>
    </w:p>
    <w:p w14:paraId="682E3BAD" w14:textId="77777777" w:rsidR="00503C40" w:rsidRPr="00E31401" w:rsidRDefault="00503C40" w:rsidP="00E31401">
      <w:pPr>
        <w:pStyle w:val="ListParagraph"/>
        <w:numPr>
          <w:ilvl w:val="0"/>
          <w:numId w:val="4"/>
        </w:numPr>
        <w:spacing w:after="200" w:line="360" w:lineRule="auto"/>
        <w:jc w:val="both"/>
        <w:rPr>
          <w:rFonts w:ascii="Times New Roman" w:hAnsi="Times New Roman" w:cs="Times New Roman"/>
          <w:sz w:val="24"/>
          <w:szCs w:val="24"/>
        </w:rPr>
      </w:pPr>
      <w:r w:rsidRPr="00E31401">
        <w:rPr>
          <w:rFonts w:ascii="Times New Roman" w:hAnsi="Times New Roman" w:cs="Times New Roman"/>
          <w:b/>
          <w:bCs/>
          <w:sz w:val="24"/>
          <w:szCs w:val="24"/>
        </w:rPr>
        <w:t>Risk Profile</w:t>
      </w:r>
      <w:r w:rsidRPr="00E31401">
        <w:rPr>
          <w:rFonts w:ascii="Times New Roman" w:hAnsi="Times New Roman" w:cs="Times New Roman"/>
          <w:sz w:val="24"/>
          <w:szCs w:val="24"/>
        </w:rPr>
        <w:t xml:space="preserve"> - Financial analysis uses assumptions which may not reflect all risks. What are the regulatory, competition, technological and execution risks? Project A's risks may outweigh its slightly higher projected financial returns. Non-financial risks are difficult to quantify but still important.</w:t>
      </w:r>
    </w:p>
    <w:p w14:paraId="50B4480B" w14:textId="77777777" w:rsidR="00503C40" w:rsidRPr="00E31401" w:rsidRDefault="00503C40" w:rsidP="00E31401">
      <w:pPr>
        <w:pStyle w:val="ListParagraph"/>
        <w:numPr>
          <w:ilvl w:val="0"/>
          <w:numId w:val="4"/>
        </w:numPr>
        <w:spacing w:after="200" w:line="360" w:lineRule="auto"/>
        <w:jc w:val="both"/>
        <w:rPr>
          <w:rFonts w:ascii="Times New Roman" w:hAnsi="Times New Roman" w:cs="Times New Roman"/>
          <w:sz w:val="24"/>
          <w:szCs w:val="24"/>
        </w:rPr>
      </w:pPr>
      <w:r w:rsidRPr="00E31401">
        <w:rPr>
          <w:rFonts w:ascii="Times New Roman" w:hAnsi="Times New Roman" w:cs="Times New Roman"/>
          <w:b/>
          <w:bCs/>
          <w:sz w:val="24"/>
          <w:szCs w:val="24"/>
        </w:rPr>
        <w:t>Customer Demand</w:t>
      </w:r>
      <w:r w:rsidRPr="00E31401">
        <w:rPr>
          <w:rFonts w:ascii="Times New Roman" w:hAnsi="Times New Roman" w:cs="Times New Roman"/>
          <w:sz w:val="24"/>
          <w:szCs w:val="24"/>
        </w:rPr>
        <w:t xml:space="preserve"> - How certain is the expected demand for the product or service? Early customer feedback or pilot program results could provide more confidence in projections for one project. Demand risk is a key non-financial consideration.</w:t>
      </w:r>
    </w:p>
    <w:p w14:paraId="2F3CB2ED" w14:textId="39CC93C7" w:rsidR="00503C40" w:rsidRPr="00E31401" w:rsidRDefault="00503C40" w:rsidP="00E31401">
      <w:pPr>
        <w:pStyle w:val="ListParagraph"/>
        <w:numPr>
          <w:ilvl w:val="0"/>
          <w:numId w:val="4"/>
        </w:numPr>
        <w:spacing w:after="200" w:line="360" w:lineRule="auto"/>
        <w:jc w:val="both"/>
        <w:rPr>
          <w:rFonts w:ascii="Times New Roman" w:hAnsi="Times New Roman" w:cs="Times New Roman"/>
          <w:sz w:val="24"/>
          <w:szCs w:val="24"/>
        </w:rPr>
      </w:pPr>
      <w:r w:rsidRPr="00E31401">
        <w:rPr>
          <w:rFonts w:ascii="Times New Roman" w:hAnsi="Times New Roman" w:cs="Times New Roman"/>
          <w:b/>
          <w:bCs/>
          <w:sz w:val="24"/>
          <w:szCs w:val="24"/>
        </w:rPr>
        <w:t>Environmental Impact</w:t>
      </w:r>
      <w:r w:rsidRPr="00E31401">
        <w:rPr>
          <w:rFonts w:ascii="Times New Roman" w:hAnsi="Times New Roman" w:cs="Times New Roman"/>
          <w:sz w:val="24"/>
          <w:szCs w:val="24"/>
        </w:rPr>
        <w:t xml:space="preserve"> - One option may be more environmentally sustainable or have a smaller carbon footprint. Public opinion and future regulations could </w:t>
      </w:r>
      <w:r w:rsidR="00E31401" w:rsidRPr="00E31401">
        <w:rPr>
          <w:rFonts w:ascii="Times New Roman" w:hAnsi="Times New Roman" w:cs="Times New Roman"/>
          <w:sz w:val="24"/>
          <w:szCs w:val="24"/>
        </w:rPr>
        <w:t>Favor</w:t>
      </w:r>
      <w:r w:rsidRPr="00E31401">
        <w:rPr>
          <w:rFonts w:ascii="Times New Roman" w:hAnsi="Times New Roman" w:cs="Times New Roman"/>
          <w:sz w:val="24"/>
          <w:szCs w:val="24"/>
        </w:rPr>
        <w:t xml:space="preserve"> the "greener" choice even if short term financials are lower.</w:t>
      </w:r>
    </w:p>
    <w:p w14:paraId="46A8FB46" w14:textId="0E9B4E5B" w:rsidR="00503C40" w:rsidRPr="00E31401" w:rsidRDefault="00503C40" w:rsidP="00E31401">
      <w:pPr>
        <w:pStyle w:val="ListParagraph"/>
        <w:numPr>
          <w:ilvl w:val="0"/>
          <w:numId w:val="4"/>
        </w:numPr>
        <w:spacing w:after="200" w:line="360" w:lineRule="auto"/>
        <w:jc w:val="both"/>
        <w:rPr>
          <w:rFonts w:ascii="Times New Roman" w:hAnsi="Times New Roman" w:cs="Times New Roman"/>
          <w:sz w:val="24"/>
          <w:szCs w:val="24"/>
        </w:rPr>
      </w:pPr>
      <w:r w:rsidRPr="00E31401">
        <w:rPr>
          <w:rFonts w:ascii="Times New Roman" w:hAnsi="Times New Roman" w:cs="Times New Roman"/>
          <w:b/>
          <w:bCs/>
          <w:sz w:val="24"/>
          <w:szCs w:val="24"/>
        </w:rPr>
        <w:lastRenderedPageBreak/>
        <w:t>Stakeholder Support</w:t>
      </w:r>
      <w:r w:rsidRPr="00E31401">
        <w:rPr>
          <w:rFonts w:ascii="Times New Roman" w:hAnsi="Times New Roman" w:cs="Times New Roman"/>
          <w:sz w:val="24"/>
          <w:szCs w:val="24"/>
        </w:rPr>
        <w:t xml:space="preserve"> - Buy-in from employees, partners, regulators and the community </w:t>
      </w:r>
      <w:r w:rsidR="00E31401" w:rsidRPr="00E31401">
        <w:rPr>
          <w:rFonts w:ascii="Times New Roman" w:hAnsi="Times New Roman" w:cs="Times New Roman"/>
          <w:sz w:val="24"/>
          <w:szCs w:val="24"/>
        </w:rPr>
        <w:t>are</w:t>
      </w:r>
      <w:r w:rsidRPr="00E31401">
        <w:rPr>
          <w:rFonts w:ascii="Times New Roman" w:hAnsi="Times New Roman" w:cs="Times New Roman"/>
          <w:sz w:val="24"/>
          <w:szCs w:val="24"/>
        </w:rPr>
        <w:t xml:space="preserve"> important for complex projects. One choice may require overcoming more entrenched stakeholder opposition, weighing against internal rates of return.</w:t>
      </w:r>
    </w:p>
    <w:p w14:paraId="5BBC89B7" w14:textId="77777777" w:rsidR="00503C40" w:rsidRPr="00E31401" w:rsidRDefault="00503C40" w:rsidP="00E31401">
      <w:pPr>
        <w:pStyle w:val="ListParagraph"/>
        <w:numPr>
          <w:ilvl w:val="0"/>
          <w:numId w:val="4"/>
        </w:numPr>
        <w:spacing w:after="200" w:line="360" w:lineRule="auto"/>
        <w:jc w:val="both"/>
        <w:rPr>
          <w:rFonts w:ascii="Times New Roman" w:hAnsi="Times New Roman" w:cs="Times New Roman"/>
          <w:sz w:val="24"/>
          <w:szCs w:val="24"/>
        </w:rPr>
      </w:pPr>
      <w:r w:rsidRPr="00E31401">
        <w:rPr>
          <w:rFonts w:ascii="Times New Roman" w:hAnsi="Times New Roman" w:cs="Times New Roman"/>
          <w:b/>
          <w:bCs/>
          <w:sz w:val="24"/>
          <w:szCs w:val="24"/>
        </w:rPr>
        <w:t>Management Bandwidth</w:t>
      </w:r>
      <w:r w:rsidRPr="00E31401">
        <w:rPr>
          <w:rFonts w:ascii="Times New Roman" w:hAnsi="Times New Roman" w:cs="Times New Roman"/>
          <w:sz w:val="24"/>
          <w:szCs w:val="24"/>
        </w:rPr>
        <w:t xml:space="preserve"> - More complex projects demand greater oversight. Available management time and expertise must be considered along with external advisors or consultants needed. The less resource-intensive option may be preferable.</w:t>
      </w:r>
    </w:p>
    <w:p w14:paraId="6AFC10C9" w14:textId="73B2FA17" w:rsidR="00503C40" w:rsidRPr="00E31401" w:rsidRDefault="00503C40" w:rsidP="00E31401">
      <w:pPr>
        <w:pStyle w:val="ListParagraph"/>
        <w:numPr>
          <w:ilvl w:val="0"/>
          <w:numId w:val="4"/>
        </w:numPr>
        <w:spacing w:after="200" w:line="360" w:lineRule="auto"/>
        <w:jc w:val="both"/>
        <w:rPr>
          <w:rFonts w:ascii="Times New Roman" w:hAnsi="Times New Roman" w:cs="Times New Roman"/>
          <w:sz w:val="24"/>
          <w:szCs w:val="24"/>
        </w:rPr>
      </w:pPr>
      <w:r w:rsidRPr="00E31401">
        <w:rPr>
          <w:rFonts w:ascii="Times New Roman" w:hAnsi="Times New Roman" w:cs="Times New Roman"/>
          <w:b/>
          <w:bCs/>
          <w:sz w:val="24"/>
          <w:szCs w:val="24"/>
        </w:rPr>
        <w:t>Flexibility</w:t>
      </w:r>
      <w:r w:rsidRPr="00E31401">
        <w:rPr>
          <w:rFonts w:ascii="Times New Roman" w:hAnsi="Times New Roman" w:cs="Times New Roman"/>
          <w:sz w:val="24"/>
          <w:szCs w:val="24"/>
        </w:rPr>
        <w:t xml:space="preserve"> - Will one investment lock the company into a particular strategy or technology path? Choosing the more flexible option could allow the company to better adapt to unexpected changes in the coming years</w:t>
      </w:r>
      <w:r w:rsidR="00C500E8" w:rsidRPr="00E31401">
        <w:rPr>
          <w:rFonts w:ascii="Times New Roman" w:hAnsi="Times New Roman" w:cs="Times New Roman"/>
          <w:sz w:val="24"/>
          <w:szCs w:val="24"/>
        </w:rPr>
        <w:t xml:space="preserve"> (</w:t>
      </w:r>
      <w:r w:rsidR="00C500E8" w:rsidRPr="00E31401">
        <w:rPr>
          <w:rFonts w:ascii="Times New Roman" w:hAnsi="Times New Roman" w:cs="Times New Roman"/>
          <w:color w:val="222222"/>
          <w:sz w:val="24"/>
          <w:szCs w:val="24"/>
          <w:shd w:val="clear" w:color="auto" w:fill="FFFFFF"/>
        </w:rPr>
        <w:t>Dobrovic et.al, 2018</w:t>
      </w:r>
      <w:r w:rsidR="00C500E8" w:rsidRPr="00E31401">
        <w:rPr>
          <w:rFonts w:ascii="Times New Roman" w:hAnsi="Times New Roman" w:cs="Times New Roman"/>
          <w:sz w:val="24"/>
          <w:szCs w:val="24"/>
        </w:rPr>
        <w:t>)</w:t>
      </w:r>
      <w:r w:rsidRPr="00E31401">
        <w:rPr>
          <w:rFonts w:ascii="Times New Roman" w:hAnsi="Times New Roman" w:cs="Times New Roman"/>
          <w:sz w:val="24"/>
          <w:szCs w:val="24"/>
        </w:rPr>
        <w:t>.</w:t>
      </w:r>
    </w:p>
    <w:p w14:paraId="631CF105" w14:textId="77777777" w:rsidR="00503C40" w:rsidRPr="00E31401" w:rsidRDefault="00503C40" w:rsidP="00E31401">
      <w:pPr>
        <w:pStyle w:val="ListParagraph"/>
        <w:numPr>
          <w:ilvl w:val="0"/>
          <w:numId w:val="4"/>
        </w:numPr>
        <w:spacing w:after="200" w:line="360" w:lineRule="auto"/>
        <w:jc w:val="both"/>
        <w:rPr>
          <w:rFonts w:ascii="Times New Roman" w:hAnsi="Times New Roman" w:cs="Times New Roman"/>
          <w:sz w:val="24"/>
          <w:szCs w:val="24"/>
        </w:rPr>
      </w:pPr>
      <w:r w:rsidRPr="00E31401">
        <w:rPr>
          <w:rFonts w:ascii="Times New Roman" w:hAnsi="Times New Roman" w:cs="Times New Roman"/>
          <w:b/>
          <w:bCs/>
          <w:sz w:val="24"/>
          <w:szCs w:val="24"/>
        </w:rPr>
        <w:t>Reputational Impact</w:t>
      </w:r>
      <w:r w:rsidRPr="00E31401">
        <w:rPr>
          <w:rFonts w:ascii="Times New Roman" w:hAnsi="Times New Roman" w:cs="Times New Roman"/>
          <w:sz w:val="24"/>
          <w:szCs w:val="24"/>
        </w:rPr>
        <w:t xml:space="preserve"> - How might each choice impact the company's brand, community relationships or ESG credentials? These "soft" non-financial factors are increasingly valued by customers, investors and employees alike.</w:t>
      </w:r>
    </w:p>
    <w:p w14:paraId="68572C59" w14:textId="77777777" w:rsidR="00503C40" w:rsidRPr="00503C40" w:rsidRDefault="00503C40" w:rsidP="00E31401">
      <w:pPr>
        <w:spacing w:after="200" w:line="360" w:lineRule="auto"/>
        <w:jc w:val="both"/>
        <w:rPr>
          <w:rFonts w:ascii="Times New Roman" w:hAnsi="Times New Roman" w:cs="Times New Roman"/>
          <w:sz w:val="24"/>
          <w:szCs w:val="24"/>
        </w:rPr>
      </w:pPr>
      <w:r w:rsidRPr="00503C40">
        <w:rPr>
          <w:rFonts w:ascii="Times New Roman" w:hAnsi="Times New Roman" w:cs="Times New Roman"/>
          <w:sz w:val="24"/>
          <w:szCs w:val="24"/>
        </w:rPr>
        <w:t>Any capital allocation decision requires weighing both financial and non-financial pros and cons. While financial metrics provide an objective starting point, the subjective judgement of management is also needed to determine which factors ultimately carry the most significance and which project best positions the company for long term sustainable success.</w:t>
      </w:r>
    </w:p>
    <w:p w14:paraId="3BD8E568" w14:textId="77777777" w:rsidR="00503C40" w:rsidRPr="00E31401" w:rsidRDefault="00503C40" w:rsidP="00E31401">
      <w:pPr>
        <w:spacing w:after="200" w:line="360" w:lineRule="auto"/>
        <w:jc w:val="both"/>
        <w:rPr>
          <w:rFonts w:ascii="Times New Roman" w:hAnsi="Times New Roman" w:cs="Times New Roman"/>
          <w:sz w:val="24"/>
          <w:szCs w:val="24"/>
        </w:rPr>
      </w:pPr>
    </w:p>
    <w:p w14:paraId="031F8143" w14:textId="34314B4E" w:rsidR="00C500E8" w:rsidRPr="00E31401" w:rsidRDefault="00C500E8"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br w:type="page"/>
      </w:r>
    </w:p>
    <w:p w14:paraId="6222BEFC" w14:textId="5589CE40" w:rsidR="00503C40" w:rsidRPr="00E31401" w:rsidRDefault="00C500E8" w:rsidP="00E31401">
      <w:pPr>
        <w:pStyle w:val="Heading1"/>
        <w:spacing w:after="200" w:line="360" w:lineRule="auto"/>
        <w:jc w:val="both"/>
        <w:rPr>
          <w:rFonts w:ascii="Times New Roman" w:hAnsi="Times New Roman" w:cs="Times New Roman"/>
          <w:sz w:val="24"/>
          <w:szCs w:val="24"/>
          <w:lang w:val="en-US"/>
        </w:rPr>
      </w:pPr>
      <w:bookmarkStart w:id="11" w:name="_Toc161763271"/>
      <w:r w:rsidRPr="00E31401">
        <w:rPr>
          <w:rFonts w:ascii="Times New Roman" w:hAnsi="Times New Roman" w:cs="Times New Roman"/>
          <w:sz w:val="24"/>
          <w:szCs w:val="24"/>
          <w:lang w:val="en-US"/>
        </w:rPr>
        <w:lastRenderedPageBreak/>
        <w:t>References</w:t>
      </w:r>
      <w:bookmarkEnd w:id="11"/>
      <w:r w:rsidRPr="00E31401">
        <w:rPr>
          <w:rFonts w:ascii="Times New Roman" w:hAnsi="Times New Roman" w:cs="Times New Roman"/>
          <w:sz w:val="24"/>
          <w:szCs w:val="24"/>
          <w:lang w:val="en-US"/>
        </w:rPr>
        <w:t xml:space="preserve"> </w:t>
      </w:r>
    </w:p>
    <w:p w14:paraId="73CB0B1E" w14:textId="77777777" w:rsidR="00C500E8" w:rsidRPr="00E31401" w:rsidRDefault="00C500E8" w:rsidP="00E31401">
      <w:pPr>
        <w:spacing w:after="200" w:line="360" w:lineRule="auto"/>
        <w:jc w:val="both"/>
        <w:rPr>
          <w:rFonts w:ascii="Times New Roman" w:hAnsi="Times New Roman" w:cs="Times New Roman"/>
          <w:color w:val="222222"/>
          <w:sz w:val="24"/>
          <w:szCs w:val="24"/>
          <w:shd w:val="clear" w:color="auto" w:fill="FFFFFF"/>
        </w:rPr>
      </w:pPr>
      <w:r w:rsidRPr="00E31401">
        <w:rPr>
          <w:rFonts w:ascii="Times New Roman" w:hAnsi="Times New Roman" w:cs="Times New Roman"/>
          <w:color w:val="222222"/>
          <w:sz w:val="24"/>
          <w:szCs w:val="24"/>
          <w:shd w:val="clear" w:color="auto" w:fill="FFFFFF"/>
        </w:rPr>
        <w:t>Bora, B., 2015. Comparison between net present value and internal rate of return. </w:t>
      </w:r>
      <w:r w:rsidRPr="00E31401">
        <w:rPr>
          <w:rFonts w:ascii="Times New Roman" w:hAnsi="Times New Roman" w:cs="Times New Roman"/>
          <w:i/>
          <w:iCs/>
          <w:color w:val="222222"/>
          <w:sz w:val="24"/>
          <w:szCs w:val="24"/>
          <w:shd w:val="clear" w:color="auto" w:fill="FFFFFF"/>
        </w:rPr>
        <w:t>International journal of research in finance and marketing</w:t>
      </w:r>
      <w:r w:rsidRPr="00E31401">
        <w:rPr>
          <w:rFonts w:ascii="Times New Roman" w:hAnsi="Times New Roman" w:cs="Times New Roman"/>
          <w:color w:val="222222"/>
          <w:sz w:val="24"/>
          <w:szCs w:val="24"/>
          <w:shd w:val="clear" w:color="auto" w:fill="FFFFFF"/>
        </w:rPr>
        <w:t>, </w:t>
      </w:r>
      <w:r w:rsidRPr="00E31401">
        <w:rPr>
          <w:rFonts w:ascii="Times New Roman" w:hAnsi="Times New Roman" w:cs="Times New Roman"/>
          <w:i/>
          <w:iCs/>
          <w:color w:val="222222"/>
          <w:sz w:val="24"/>
          <w:szCs w:val="24"/>
          <w:shd w:val="clear" w:color="auto" w:fill="FFFFFF"/>
        </w:rPr>
        <w:t>5</w:t>
      </w:r>
      <w:r w:rsidRPr="00E31401">
        <w:rPr>
          <w:rFonts w:ascii="Times New Roman" w:hAnsi="Times New Roman" w:cs="Times New Roman"/>
          <w:color w:val="222222"/>
          <w:sz w:val="24"/>
          <w:szCs w:val="24"/>
          <w:shd w:val="clear" w:color="auto" w:fill="FFFFFF"/>
        </w:rPr>
        <w:t>(12), pp.61-71.</w:t>
      </w:r>
    </w:p>
    <w:p w14:paraId="4F766A52" w14:textId="77777777" w:rsidR="00C500E8" w:rsidRPr="00E31401" w:rsidRDefault="00C500E8" w:rsidP="00E31401">
      <w:pPr>
        <w:spacing w:after="200" w:line="360" w:lineRule="auto"/>
        <w:jc w:val="both"/>
        <w:rPr>
          <w:rFonts w:ascii="Times New Roman" w:hAnsi="Times New Roman" w:cs="Times New Roman"/>
          <w:color w:val="222222"/>
          <w:sz w:val="24"/>
          <w:szCs w:val="24"/>
          <w:shd w:val="clear" w:color="auto" w:fill="FFFFFF"/>
        </w:rPr>
      </w:pPr>
      <w:r w:rsidRPr="00E31401">
        <w:rPr>
          <w:rFonts w:ascii="Times New Roman" w:hAnsi="Times New Roman" w:cs="Times New Roman"/>
          <w:color w:val="222222"/>
          <w:sz w:val="24"/>
          <w:szCs w:val="24"/>
          <w:shd w:val="clear" w:color="auto" w:fill="FFFFFF"/>
        </w:rPr>
        <w:t>Brigham, E.F. and Daves, P.R., 2019. </w:t>
      </w:r>
      <w:r w:rsidRPr="00E31401">
        <w:rPr>
          <w:rFonts w:ascii="Times New Roman" w:hAnsi="Times New Roman" w:cs="Times New Roman"/>
          <w:i/>
          <w:iCs/>
          <w:color w:val="222222"/>
          <w:sz w:val="24"/>
          <w:szCs w:val="24"/>
          <w:shd w:val="clear" w:color="auto" w:fill="FFFFFF"/>
        </w:rPr>
        <w:t>Intermediate financial management</w:t>
      </w:r>
      <w:r w:rsidRPr="00E31401">
        <w:rPr>
          <w:rFonts w:ascii="Times New Roman" w:hAnsi="Times New Roman" w:cs="Times New Roman"/>
          <w:color w:val="222222"/>
          <w:sz w:val="24"/>
          <w:szCs w:val="24"/>
          <w:shd w:val="clear" w:color="auto" w:fill="FFFFFF"/>
        </w:rPr>
        <w:t>. Cengage Learning.</w:t>
      </w:r>
    </w:p>
    <w:p w14:paraId="0CD99F56" w14:textId="77777777" w:rsidR="00C500E8" w:rsidRPr="00E31401" w:rsidRDefault="00C500E8"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color w:val="222222"/>
          <w:sz w:val="24"/>
          <w:szCs w:val="24"/>
          <w:shd w:val="clear" w:color="auto" w:fill="FFFFFF"/>
        </w:rPr>
        <w:t>Dobrovic, J., Lambovska, M., Gallo, P. and Timkova, V., 2018. Non-financial indicators and their importance in small and medium-sized enterprises. </w:t>
      </w:r>
      <w:r w:rsidRPr="00E31401">
        <w:rPr>
          <w:rFonts w:ascii="Times New Roman" w:hAnsi="Times New Roman" w:cs="Times New Roman"/>
          <w:i/>
          <w:iCs/>
          <w:color w:val="222222"/>
          <w:sz w:val="24"/>
          <w:szCs w:val="24"/>
          <w:shd w:val="clear" w:color="auto" w:fill="FFFFFF"/>
        </w:rPr>
        <w:t>Journal of Competitiveness</w:t>
      </w:r>
      <w:r w:rsidRPr="00E31401">
        <w:rPr>
          <w:rFonts w:ascii="Times New Roman" w:hAnsi="Times New Roman" w:cs="Times New Roman"/>
          <w:color w:val="222222"/>
          <w:sz w:val="24"/>
          <w:szCs w:val="24"/>
          <w:shd w:val="clear" w:color="auto" w:fill="FFFFFF"/>
        </w:rPr>
        <w:t>, </w:t>
      </w:r>
      <w:r w:rsidRPr="00E31401">
        <w:rPr>
          <w:rFonts w:ascii="Times New Roman" w:hAnsi="Times New Roman" w:cs="Times New Roman"/>
          <w:i/>
          <w:iCs/>
          <w:color w:val="222222"/>
          <w:sz w:val="24"/>
          <w:szCs w:val="24"/>
          <w:shd w:val="clear" w:color="auto" w:fill="FFFFFF"/>
        </w:rPr>
        <w:t>10</w:t>
      </w:r>
      <w:r w:rsidRPr="00E31401">
        <w:rPr>
          <w:rFonts w:ascii="Times New Roman" w:hAnsi="Times New Roman" w:cs="Times New Roman"/>
          <w:color w:val="222222"/>
          <w:sz w:val="24"/>
          <w:szCs w:val="24"/>
          <w:shd w:val="clear" w:color="auto" w:fill="FFFFFF"/>
        </w:rPr>
        <w:t>(2), pp.41-55.</w:t>
      </w:r>
    </w:p>
    <w:p w14:paraId="13C26E07" w14:textId="77777777" w:rsidR="00C500E8" w:rsidRPr="00E31401" w:rsidRDefault="00C500E8" w:rsidP="00E31401">
      <w:pPr>
        <w:spacing w:after="200" w:line="360" w:lineRule="auto"/>
        <w:jc w:val="both"/>
        <w:rPr>
          <w:rFonts w:ascii="Times New Roman" w:hAnsi="Times New Roman" w:cs="Times New Roman"/>
          <w:color w:val="222222"/>
          <w:sz w:val="24"/>
          <w:szCs w:val="24"/>
          <w:shd w:val="clear" w:color="auto" w:fill="FFFFFF"/>
        </w:rPr>
      </w:pPr>
      <w:r w:rsidRPr="00E31401">
        <w:rPr>
          <w:rFonts w:ascii="Times New Roman" w:hAnsi="Times New Roman" w:cs="Times New Roman"/>
          <w:color w:val="222222"/>
          <w:sz w:val="24"/>
          <w:szCs w:val="24"/>
          <w:shd w:val="clear" w:color="auto" w:fill="FFFFFF"/>
        </w:rPr>
        <w:t>Fridson, M.S. and Alvarez, F., 2022. </w:t>
      </w:r>
      <w:r w:rsidRPr="00E31401">
        <w:rPr>
          <w:rFonts w:ascii="Times New Roman" w:hAnsi="Times New Roman" w:cs="Times New Roman"/>
          <w:i/>
          <w:iCs/>
          <w:color w:val="222222"/>
          <w:sz w:val="24"/>
          <w:szCs w:val="24"/>
          <w:shd w:val="clear" w:color="auto" w:fill="FFFFFF"/>
        </w:rPr>
        <w:t>Financial statement analysis: a practitioner's guide</w:t>
      </w:r>
      <w:r w:rsidRPr="00E31401">
        <w:rPr>
          <w:rFonts w:ascii="Times New Roman" w:hAnsi="Times New Roman" w:cs="Times New Roman"/>
          <w:color w:val="222222"/>
          <w:sz w:val="24"/>
          <w:szCs w:val="24"/>
          <w:shd w:val="clear" w:color="auto" w:fill="FFFFFF"/>
        </w:rPr>
        <w:t>. John Wiley &amp; Sons.</w:t>
      </w:r>
    </w:p>
    <w:p w14:paraId="2503B678" w14:textId="77777777" w:rsidR="00C500E8" w:rsidRPr="00E31401" w:rsidRDefault="00C500E8" w:rsidP="00E31401">
      <w:pPr>
        <w:spacing w:after="200" w:line="360" w:lineRule="auto"/>
        <w:jc w:val="both"/>
        <w:rPr>
          <w:rFonts w:ascii="Times New Roman" w:hAnsi="Times New Roman" w:cs="Times New Roman"/>
          <w:color w:val="222222"/>
          <w:sz w:val="24"/>
          <w:szCs w:val="24"/>
          <w:shd w:val="clear" w:color="auto" w:fill="FFFFFF"/>
        </w:rPr>
      </w:pPr>
      <w:r w:rsidRPr="00E31401">
        <w:rPr>
          <w:rFonts w:ascii="Times New Roman" w:hAnsi="Times New Roman" w:cs="Times New Roman"/>
          <w:color w:val="222222"/>
          <w:sz w:val="24"/>
          <w:szCs w:val="24"/>
          <w:shd w:val="clear" w:color="auto" w:fill="FFFFFF"/>
        </w:rPr>
        <w:t>Gorshkov, A.S., Vatin, N.I., Rymkevich, P.P. and Kydrevich, O.O., 2018. Payback period of investments in energy saving. </w:t>
      </w:r>
      <w:r w:rsidRPr="00E31401">
        <w:rPr>
          <w:rFonts w:ascii="Times New Roman" w:hAnsi="Times New Roman" w:cs="Times New Roman"/>
          <w:i/>
          <w:iCs/>
          <w:color w:val="222222"/>
          <w:sz w:val="24"/>
          <w:szCs w:val="24"/>
          <w:shd w:val="clear" w:color="auto" w:fill="FFFFFF"/>
        </w:rPr>
        <w:t>Magazine of Civil Engineering</w:t>
      </w:r>
      <w:r w:rsidRPr="00E31401">
        <w:rPr>
          <w:rFonts w:ascii="Times New Roman" w:hAnsi="Times New Roman" w:cs="Times New Roman"/>
          <w:color w:val="222222"/>
          <w:sz w:val="24"/>
          <w:szCs w:val="24"/>
          <w:shd w:val="clear" w:color="auto" w:fill="FFFFFF"/>
        </w:rPr>
        <w:t>, (2 (78)), pp.65-75.</w:t>
      </w:r>
    </w:p>
    <w:p w14:paraId="1A7BEEB7" w14:textId="77777777" w:rsidR="00C500E8" w:rsidRPr="00E31401" w:rsidRDefault="00C500E8" w:rsidP="00E31401">
      <w:pPr>
        <w:spacing w:after="200" w:line="360" w:lineRule="auto"/>
        <w:jc w:val="both"/>
        <w:rPr>
          <w:rFonts w:ascii="Times New Roman" w:hAnsi="Times New Roman" w:cs="Times New Roman"/>
          <w:color w:val="222222"/>
          <w:sz w:val="24"/>
          <w:szCs w:val="24"/>
          <w:shd w:val="clear" w:color="auto" w:fill="FFFFFF"/>
        </w:rPr>
      </w:pPr>
      <w:r w:rsidRPr="00E31401">
        <w:rPr>
          <w:rFonts w:ascii="Times New Roman" w:hAnsi="Times New Roman" w:cs="Times New Roman"/>
          <w:color w:val="222222"/>
          <w:sz w:val="24"/>
          <w:szCs w:val="24"/>
          <w:shd w:val="clear" w:color="auto" w:fill="FFFFFF"/>
        </w:rPr>
        <w:t>Higgins, R.C., 2016. </w:t>
      </w:r>
      <w:r w:rsidRPr="00E31401">
        <w:rPr>
          <w:rFonts w:ascii="Times New Roman" w:hAnsi="Times New Roman" w:cs="Times New Roman"/>
          <w:i/>
          <w:iCs/>
          <w:color w:val="222222"/>
          <w:sz w:val="24"/>
          <w:szCs w:val="24"/>
          <w:shd w:val="clear" w:color="auto" w:fill="FFFFFF"/>
        </w:rPr>
        <w:t>Analysis for financial management</w:t>
      </w:r>
      <w:r w:rsidRPr="00E31401">
        <w:rPr>
          <w:rFonts w:ascii="Times New Roman" w:hAnsi="Times New Roman" w:cs="Times New Roman"/>
          <w:color w:val="222222"/>
          <w:sz w:val="24"/>
          <w:szCs w:val="24"/>
          <w:shd w:val="clear" w:color="auto" w:fill="FFFFFF"/>
        </w:rPr>
        <w:t>. McGraw-Hill.</w:t>
      </w:r>
    </w:p>
    <w:p w14:paraId="1F81A325" w14:textId="77777777" w:rsidR="00C500E8" w:rsidRPr="00E31401" w:rsidRDefault="00C500E8" w:rsidP="00E31401">
      <w:pPr>
        <w:spacing w:after="200" w:line="360" w:lineRule="auto"/>
        <w:jc w:val="both"/>
        <w:rPr>
          <w:rFonts w:ascii="Times New Roman" w:hAnsi="Times New Roman" w:cs="Times New Roman"/>
          <w:color w:val="222222"/>
          <w:sz w:val="24"/>
          <w:szCs w:val="24"/>
          <w:shd w:val="clear" w:color="auto" w:fill="FFFFFF"/>
        </w:rPr>
      </w:pPr>
      <w:r w:rsidRPr="00E31401">
        <w:rPr>
          <w:rFonts w:ascii="Times New Roman" w:hAnsi="Times New Roman" w:cs="Times New Roman"/>
          <w:color w:val="222222"/>
          <w:sz w:val="24"/>
          <w:szCs w:val="24"/>
          <w:shd w:val="clear" w:color="auto" w:fill="FFFFFF"/>
        </w:rPr>
        <w:t>Higgins, R.C., 2016. </w:t>
      </w:r>
      <w:r w:rsidRPr="00E31401">
        <w:rPr>
          <w:rFonts w:ascii="Times New Roman" w:hAnsi="Times New Roman" w:cs="Times New Roman"/>
          <w:i/>
          <w:iCs/>
          <w:color w:val="222222"/>
          <w:sz w:val="24"/>
          <w:szCs w:val="24"/>
          <w:shd w:val="clear" w:color="auto" w:fill="FFFFFF"/>
        </w:rPr>
        <w:t>Analysis for financial management</w:t>
      </w:r>
      <w:r w:rsidRPr="00E31401">
        <w:rPr>
          <w:rFonts w:ascii="Times New Roman" w:hAnsi="Times New Roman" w:cs="Times New Roman"/>
          <w:color w:val="222222"/>
          <w:sz w:val="24"/>
          <w:szCs w:val="24"/>
          <w:shd w:val="clear" w:color="auto" w:fill="FFFFFF"/>
        </w:rPr>
        <w:t>. McGraw-Hill.</w:t>
      </w:r>
    </w:p>
    <w:p w14:paraId="4B5C92EA" w14:textId="77777777" w:rsidR="00C500E8" w:rsidRPr="00E31401" w:rsidRDefault="00C500E8" w:rsidP="00E31401">
      <w:pPr>
        <w:spacing w:after="200" w:line="360" w:lineRule="auto"/>
        <w:jc w:val="both"/>
        <w:rPr>
          <w:rFonts w:ascii="Times New Roman" w:hAnsi="Times New Roman" w:cs="Times New Roman"/>
          <w:color w:val="222222"/>
          <w:sz w:val="24"/>
          <w:szCs w:val="24"/>
          <w:shd w:val="clear" w:color="auto" w:fill="FFFFFF"/>
        </w:rPr>
      </w:pPr>
      <w:r w:rsidRPr="00E31401">
        <w:rPr>
          <w:rFonts w:ascii="Times New Roman" w:hAnsi="Times New Roman" w:cs="Times New Roman"/>
          <w:color w:val="222222"/>
          <w:sz w:val="24"/>
          <w:szCs w:val="24"/>
          <w:shd w:val="clear" w:color="auto" w:fill="FFFFFF"/>
        </w:rPr>
        <w:t>Hopkinson, M., 2017. </w:t>
      </w:r>
      <w:r w:rsidRPr="00E31401">
        <w:rPr>
          <w:rFonts w:ascii="Times New Roman" w:hAnsi="Times New Roman" w:cs="Times New Roman"/>
          <w:i/>
          <w:iCs/>
          <w:color w:val="222222"/>
          <w:sz w:val="24"/>
          <w:szCs w:val="24"/>
          <w:shd w:val="clear" w:color="auto" w:fill="FFFFFF"/>
        </w:rPr>
        <w:t>Net present value and risk modelling for projects</w:t>
      </w:r>
      <w:r w:rsidRPr="00E31401">
        <w:rPr>
          <w:rFonts w:ascii="Times New Roman" w:hAnsi="Times New Roman" w:cs="Times New Roman"/>
          <w:color w:val="222222"/>
          <w:sz w:val="24"/>
          <w:szCs w:val="24"/>
          <w:shd w:val="clear" w:color="auto" w:fill="FFFFFF"/>
        </w:rPr>
        <w:t>. Routledge.</w:t>
      </w:r>
    </w:p>
    <w:p w14:paraId="397CF7FF" w14:textId="77777777" w:rsidR="00C500E8" w:rsidRPr="00E31401" w:rsidRDefault="00C500E8" w:rsidP="00E31401">
      <w:pPr>
        <w:spacing w:after="200" w:line="360" w:lineRule="auto"/>
        <w:jc w:val="both"/>
        <w:rPr>
          <w:rFonts w:ascii="Times New Roman" w:hAnsi="Times New Roman" w:cs="Times New Roman"/>
          <w:color w:val="222222"/>
          <w:sz w:val="24"/>
          <w:szCs w:val="24"/>
          <w:shd w:val="clear" w:color="auto" w:fill="FFFFFF"/>
        </w:rPr>
      </w:pPr>
      <w:r w:rsidRPr="00E31401">
        <w:rPr>
          <w:rFonts w:ascii="Times New Roman" w:hAnsi="Times New Roman" w:cs="Times New Roman"/>
          <w:color w:val="222222"/>
          <w:sz w:val="24"/>
          <w:szCs w:val="24"/>
          <w:shd w:val="clear" w:color="auto" w:fill="FFFFFF"/>
        </w:rPr>
        <w:t>Kotane, I., 2015. Evaluating the importance of financial and non-financial indicators for the evaluation of company’s performance. </w:t>
      </w:r>
      <w:r w:rsidRPr="00E31401">
        <w:rPr>
          <w:rFonts w:ascii="Times New Roman" w:hAnsi="Times New Roman" w:cs="Times New Roman"/>
          <w:i/>
          <w:iCs/>
          <w:color w:val="222222"/>
          <w:sz w:val="24"/>
          <w:szCs w:val="24"/>
          <w:shd w:val="clear" w:color="auto" w:fill="FFFFFF"/>
        </w:rPr>
        <w:t>Management Theory and Studies for Rural Business and Infrastructure Development</w:t>
      </w:r>
      <w:r w:rsidRPr="00E31401">
        <w:rPr>
          <w:rFonts w:ascii="Times New Roman" w:hAnsi="Times New Roman" w:cs="Times New Roman"/>
          <w:color w:val="222222"/>
          <w:sz w:val="24"/>
          <w:szCs w:val="24"/>
          <w:shd w:val="clear" w:color="auto" w:fill="FFFFFF"/>
        </w:rPr>
        <w:t>, </w:t>
      </w:r>
      <w:r w:rsidRPr="00E31401">
        <w:rPr>
          <w:rFonts w:ascii="Times New Roman" w:hAnsi="Times New Roman" w:cs="Times New Roman"/>
          <w:i/>
          <w:iCs/>
          <w:color w:val="222222"/>
          <w:sz w:val="24"/>
          <w:szCs w:val="24"/>
          <w:shd w:val="clear" w:color="auto" w:fill="FFFFFF"/>
        </w:rPr>
        <w:t>37</w:t>
      </w:r>
      <w:r w:rsidRPr="00E31401">
        <w:rPr>
          <w:rFonts w:ascii="Times New Roman" w:hAnsi="Times New Roman" w:cs="Times New Roman"/>
          <w:color w:val="222222"/>
          <w:sz w:val="24"/>
          <w:szCs w:val="24"/>
          <w:shd w:val="clear" w:color="auto" w:fill="FFFFFF"/>
        </w:rPr>
        <w:t>(1), pp.80-94.</w:t>
      </w:r>
    </w:p>
    <w:p w14:paraId="0A42B513" w14:textId="77777777" w:rsidR="00C500E8" w:rsidRPr="00E31401" w:rsidRDefault="00C500E8" w:rsidP="00E31401">
      <w:pPr>
        <w:spacing w:after="200" w:line="360" w:lineRule="auto"/>
        <w:jc w:val="both"/>
        <w:rPr>
          <w:rFonts w:ascii="Times New Roman" w:hAnsi="Times New Roman" w:cs="Times New Roman"/>
          <w:color w:val="222222"/>
          <w:sz w:val="24"/>
          <w:szCs w:val="24"/>
          <w:shd w:val="clear" w:color="auto" w:fill="FFFFFF"/>
        </w:rPr>
      </w:pPr>
      <w:r w:rsidRPr="00E31401">
        <w:rPr>
          <w:rFonts w:ascii="Times New Roman" w:hAnsi="Times New Roman" w:cs="Times New Roman"/>
          <w:color w:val="222222"/>
          <w:sz w:val="24"/>
          <w:szCs w:val="24"/>
          <w:shd w:val="clear" w:color="auto" w:fill="FFFFFF"/>
        </w:rPr>
        <w:t>Palepu, K.G., Healy, P.M., Wright, S., Bradbury, M. and Coulton, J., 2020. </w:t>
      </w:r>
      <w:r w:rsidRPr="00E31401">
        <w:rPr>
          <w:rFonts w:ascii="Times New Roman" w:hAnsi="Times New Roman" w:cs="Times New Roman"/>
          <w:i/>
          <w:iCs/>
          <w:color w:val="222222"/>
          <w:sz w:val="24"/>
          <w:szCs w:val="24"/>
          <w:shd w:val="clear" w:color="auto" w:fill="FFFFFF"/>
        </w:rPr>
        <w:t>Business analysis and valuation: Using financial statements</w:t>
      </w:r>
      <w:r w:rsidRPr="00E31401">
        <w:rPr>
          <w:rFonts w:ascii="Times New Roman" w:hAnsi="Times New Roman" w:cs="Times New Roman"/>
          <w:color w:val="222222"/>
          <w:sz w:val="24"/>
          <w:szCs w:val="24"/>
          <w:shd w:val="clear" w:color="auto" w:fill="FFFFFF"/>
        </w:rPr>
        <w:t>. Cengage AU.</w:t>
      </w:r>
    </w:p>
    <w:p w14:paraId="3C295FA9" w14:textId="77777777" w:rsidR="00C500E8" w:rsidRPr="00E31401" w:rsidRDefault="00C500E8" w:rsidP="00E31401">
      <w:pPr>
        <w:spacing w:after="200" w:line="360" w:lineRule="auto"/>
        <w:jc w:val="both"/>
        <w:rPr>
          <w:rFonts w:ascii="Times New Roman" w:hAnsi="Times New Roman" w:cs="Times New Roman"/>
          <w:color w:val="222222"/>
          <w:sz w:val="24"/>
          <w:szCs w:val="24"/>
          <w:shd w:val="clear" w:color="auto" w:fill="FFFFFF"/>
        </w:rPr>
      </w:pPr>
      <w:r w:rsidRPr="00E31401">
        <w:rPr>
          <w:rFonts w:ascii="Times New Roman" w:hAnsi="Times New Roman" w:cs="Times New Roman"/>
          <w:color w:val="222222"/>
          <w:sz w:val="24"/>
          <w:szCs w:val="24"/>
          <w:shd w:val="clear" w:color="auto" w:fill="FFFFFF"/>
        </w:rPr>
        <w:t>Revsine, L., Collins, D.W. and Johnson, W.B., 2021. </w:t>
      </w:r>
      <w:r w:rsidRPr="00E31401">
        <w:rPr>
          <w:rFonts w:ascii="Times New Roman" w:hAnsi="Times New Roman" w:cs="Times New Roman"/>
          <w:i/>
          <w:iCs/>
          <w:color w:val="222222"/>
          <w:sz w:val="24"/>
          <w:szCs w:val="24"/>
          <w:shd w:val="clear" w:color="auto" w:fill="FFFFFF"/>
        </w:rPr>
        <w:t>Financial reporting &amp; analysis</w:t>
      </w:r>
      <w:r w:rsidRPr="00E31401">
        <w:rPr>
          <w:rFonts w:ascii="Times New Roman" w:hAnsi="Times New Roman" w:cs="Times New Roman"/>
          <w:color w:val="222222"/>
          <w:sz w:val="24"/>
          <w:szCs w:val="24"/>
          <w:shd w:val="clear" w:color="auto" w:fill="FFFFFF"/>
        </w:rPr>
        <w:t>. McGraw-Hill.</w:t>
      </w:r>
    </w:p>
    <w:p w14:paraId="1A47B45B" w14:textId="77777777" w:rsidR="00C500E8" w:rsidRPr="00E31401" w:rsidRDefault="00C500E8" w:rsidP="00E31401">
      <w:pPr>
        <w:spacing w:after="200" w:line="360" w:lineRule="auto"/>
        <w:jc w:val="both"/>
        <w:rPr>
          <w:rFonts w:ascii="Times New Roman" w:hAnsi="Times New Roman" w:cs="Times New Roman"/>
          <w:sz w:val="24"/>
          <w:szCs w:val="24"/>
          <w:lang w:val="en-US"/>
        </w:rPr>
      </w:pPr>
      <w:r w:rsidRPr="00E31401">
        <w:rPr>
          <w:rFonts w:ascii="Times New Roman" w:hAnsi="Times New Roman" w:cs="Times New Roman"/>
          <w:sz w:val="24"/>
          <w:szCs w:val="24"/>
        </w:rPr>
        <w:t xml:space="preserve">Rio Tinto. 2020. Releases. Retrievable at: </w:t>
      </w:r>
      <w:hyperlink r:id="rId9" w:history="1">
        <w:r w:rsidRPr="00E31401">
          <w:rPr>
            <w:rStyle w:val="Hyperlink"/>
            <w:rFonts w:ascii="Times New Roman" w:hAnsi="Times New Roman" w:cs="Times New Roman"/>
            <w:sz w:val="24"/>
            <w:szCs w:val="24"/>
            <w:lang w:val="en-US"/>
          </w:rPr>
          <w:t>https://www.riotinto.com/en/news/releases/2020/joint-statement-from-pkkp-and-rio-tinto</w:t>
        </w:r>
      </w:hyperlink>
      <w:r w:rsidRPr="00E31401">
        <w:rPr>
          <w:rFonts w:ascii="Times New Roman" w:hAnsi="Times New Roman" w:cs="Times New Roman"/>
          <w:sz w:val="24"/>
          <w:szCs w:val="24"/>
          <w:lang w:val="en-US"/>
        </w:rPr>
        <w:t xml:space="preserve"> </w:t>
      </w:r>
    </w:p>
    <w:p w14:paraId="4BDED85B" w14:textId="77777777" w:rsidR="00C500E8" w:rsidRPr="00E31401" w:rsidRDefault="00C500E8"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Rio Tinto. 2021. Releases. Retrievable at: </w:t>
      </w:r>
      <w:hyperlink r:id="rId10" w:history="1">
        <w:r w:rsidRPr="00E31401">
          <w:rPr>
            <w:rStyle w:val="Hyperlink"/>
            <w:rFonts w:ascii="Times New Roman" w:hAnsi="Times New Roman" w:cs="Times New Roman"/>
            <w:sz w:val="24"/>
            <w:szCs w:val="24"/>
          </w:rPr>
          <w:t>https://www.riotinto.com/en/news/releases/2021/first-female-president-appointed-for-diavik-diamond-mine</w:t>
        </w:r>
      </w:hyperlink>
      <w:r w:rsidRPr="00E31401">
        <w:rPr>
          <w:rFonts w:ascii="Times New Roman" w:hAnsi="Times New Roman" w:cs="Times New Roman"/>
          <w:sz w:val="24"/>
          <w:szCs w:val="24"/>
        </w:rPr>
        <w:t xml:space="preserve"> </w:t>
      </w:r>
    </w:p>
    <w:p w14:paraId="3F1EF7F8" w14:textId="77777777" w:rsidR="00C500E8" w:rsidRPr="00E31401" w:rsidRDefault="00C500E8"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lastRenderedPageBreak/>
        <w:t xml:space="preserve">Rio Tinto. 2022. Releases. Retrievable at: </w:t>
      </w:r>
      <w:hyperlink r:id="rId11" w:history="1">
        <w:r w:rsidRPr="00E31401">
          <w:rPr>
            <w:rStyle w:val="Hyperlink"/>
            <w:rFonts w:ascii="Times New Roman" w:hAnsi="Times New Roman" w:cs="Times New Roman"/>
            <w:sz w:val="24"/>
            <w:szCs w:val="24"/>
          </w:rPr>
          <w:t>https://www.riotinto.com/en/news/releases/2022/kaisa-hietala-to-join-rio-tinto-board</w:t>
        </w:r>
      </w:hyperlink>
      <w:r w:rsidRPr="00E31401">
        <w:rPr>
          <w:rFonts w:ascii="Times New Roman" w:hAnsi="Times New Roman" w:cs="Times New Roman"/>
          <w:sz w:val="24"/>
          <w:szCs w:val="24"/>
        </w:rPr>
        <w:t xml:space="preserve"> </w:t>
      </w:r>
    </w:p>
    <w:p w14:paraId="221BC7ED" w14:textId="77777777" w:rsidR="00C500E8" w:rsidRPr="00E31401" w:rsidRDefault="00C500E8" w:rsidP="00E31401">
      <w:pPr>
        <w:spacing w:after="200" w:line="360" w:lineRule="auto"/>
        <w:jc w:val="both"/>
        <w:rPr>
          <w:rFonts w:ascii="Times New Roman" w:hAnsi="Times New Roman" w:cs="Times New Roman"/>
          <w:sz w:val="24"/>
          <w:szCs w:val="24"/>
          <w:lang w:val="en-US"/>
        </w:rPr>
      </w:pPr>
      <w:r w:rsidRPr="00E31401">
        <w:rPr>
          <w:rFonts w:ascii="Times New Roman" w:hAnsi="Times New Roman" w:cs="Times New Roman"/>
          <w:sz w:val="24"/>
          <w:szCs w:val="24"/>
        </w:rPr>
        <w:t xml:space="preserve">Rio Tinto. 2023. Releases. Retrievable at: </w:t>
      </w:r>
      <w:hyperlink r:id="rId12" w:history="1">
        <w:r w:rsidRPr="00E31401">
          <w:rPr>
            <w:rStyle w:val="Hyperlink"/>
            <w:rFonts w:ascii="Times New Roman" w:hAnsi="Times New Roman" w:cs="Times New Roman"/>
            <w:sz w:val="24"/>
            <w:szCs w:val="24"/>
            <w:lang w:val="en-US"/>
          </w:rPr>
          <w:t>https://www.riotinto.com/en/news/releases/2023/rio-tinto-board-change</w:t>
        </w:r>
      </w:hyperlink>
      <w:r w:rsidRPr="00E31401">
        <w:rPr>
          <w:rFonts w:ascii="Times New Roman" w:hAnsi="Times New Roman" w:cs="Times New Roman"/>
          <w:sz w:val="24"/>
          <w:szCs w:val="24"/>
          <w:lang w:val="en-US"/>
        </w:rPr>
        <w:t xml:space="preserve"> </w:t>
      </w:r>
    </w:p>
    <w:p w14:paraId="1ED198FB" w14:textId="77777777" w:rsidR="00C500E8" w:rsidRPr="00E31401" w:rsidRDefault="00C500E8"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sz w:val="24"/>
          <w:szCs w:val="24"/>
        </w:rPr>
        <w:t xml:space="preserve">Rio Tinto. 2024. Releases. Retrievable at: </w:t>
      </w:r>
      <w:hyperlink r:id="rId13" w:history="1">
        <w:r w:rsidRPr="00E31401">
          <w:rPr>
            <w:rStyle w:val="Hyperlink"/>
            <w:rFonts w:ascii="Times New Roman" w:hAnsi="Times New Roman" w:cs="Times New Roman"/>
            <w:sz w:val="24"/>
            <w:szCs w:val="24"/>
          </w:rPr>
          <w:t>https://www.riotinto.com/en/news/releases/2024/rio-tinto-signs-australias-biggest-renewable-power-deal-as-it-works-to-repower-its-gladstone-operations</w:t>
        </w:r>
      </w:hyperlink>
      <w:r w:rsidRPr="00E31401">
        <w:rPr>
          <w:rFonts w:ascii="Times New Roman" w:hAnsi="Times New Roman" w:cs="Times New Roman"/>
          <w:sz w:val="24"/>
          <w:szCs w:val="24"/>
        </w:rPr>
        <w:t xml:space="preserve"> </w:t>
      </w:r>
    </w:p>
    <w:p w14:paraId="69E68C67" w14:textId="77777777" w:rsidR="00C500E8" w:rsidRPr="00E31401" w:rsidRDefault="00C500E8" w:rsidP="00E31401">
      <w:pPr>
        <w:spacing w:after="200" w:line="360" w:lineRule="auto"/>
        <w:jc w:val="both"/>
        <w:rPr>
          <w:rFonts w:ascii="Times New Roman" w:hAnsi="Times New Roman" w:cs="Times New Roman"/>
          <w:color w:val="222222"/>
          <w:sz w:val="24"/>
          <w:szCs w:val="24"/>
          <w:shd w:val="clear" w:color="auto" w:fill="FFFFFF"/>
        </w:rPr>
      </w:pPr>
      <w:r w:rsidRPr="00E31401">
        <w:rPr>
          <w:rFonts w:ascii="Times New Roman" w:hAnsi="Times New Roman" w:cs="Times New Roman"/>
          <w:color w:val="222222"/>
          <w:sz w:val="24"/>
          <w:szCs w:val="24"/>
          <w:shd w:val="clear" w:color="auto" w:fill="FFFFFF"/>
        </w:rPr>
        <w:t>Robinson, T.R., 2020. </w:t>
      </w:r>
      <w:r w:rsidRPr="00E31401">
        <w:rPr>
          <w:rFonts w:ascii="Times New Roman" w:hAnsi="Times New Roman" w:cs="Times New Roman"/>
          <w:i/>
          <w:iCs/>
          <w:color w:val="222222"/>
          <w:sz w:val="24"/>
          <w:szCs w:val="24"/>
          <w:shd w:val="clear" w:color="auto" w:fill="FFFFFF"/>
        </w:rPr>
        <w:t>International financial statement analysis</w:t>
      </w:r>
      <w:r w:rsidRPr="00E31401">
        <w:rPr>
          <w:rFonts w:ascii="Times New Roman" w:hAnsi="Times New Roman" w:cs="Times New Roman"/>
          <w:color w:val="222222"/>
          <w:sz w:val="24"/>
          <w:szCs w:val="24"/>
          <w:shd w:val="clear" w:color="auto" w:fill="FFFFFF"/>
        </w:rPr>
        <w:t>. John Wiley &amp; Sons.</w:t>
      </w:r>
    </w:p>
    <w:p w14:paraId="4CA5469A" w14:textId="77777777" w:rsidR="00C500E8" w:rsidRPr="00E31401" w:rsidRDefault="00C500E8" w:rsidP="00E31401">
      <w:pPr>
        <w:spacing w:after="200" w:line="360" w:lineRule="auto"/>
        <w:jc w:val="both"/>
        <w:rPr>
          <w:rFonts w:ascii="Times New Roman" w:hAnsi="Times New Roman" w:cs="Times New Roman"/>
          <w:color w:val="222222"/>
          <w:sz w:val="24"/>
          <w:szCs w:val="24"/>
          <w:shd w:val="clear" w:color="auto" w:fill="FFFFFF"/>
        </w:rPr>
      </w:pPr>
      <w:r w:rsidRPr="00E31401">
        <w:rPr>
          <w:rFonts w:ascii="Times New Roman" w:hAnsi="Times New Roman" w:cs="Times New Roman"/>
          <w:color w:val="222222"/>
          <w:sz w:val="24"/>
          <w:szCs w:val="24"/>
          <w:shd w:val="clear" w:color="auto" w:fill="FFFFFF"/>
        </w:rPr>
        <w:t>Ross, S.A., Westerfield, R.W. and Jordan, B.D., 2017. </w:t>
      </w:r>
      <w:r w:rsidRPr="00E31401">
        <w:rPr>
          <w:rFonts w:ascii="Times New Roman" w:hAnsi="Times New Roman" w:cs="Times New Roman"/>
          <w:i/>
          <w:iCs/>
          <w:color w:val="222222"/>
          <w:sz w:val="24"/>
          <w:szCs w:val="24"/>
          <w:shd w:val="clear" w:color="auto" w:fill="FFFFFF"/>
        </w:rPr>
        <w:t>Essentials of corporate finance</w:t>
      </w:r>
      <w:r w:rsidRPr="00E31401">
        <w:rPr>
          <w:rFonts w:ascii="Times New Roman" w:hAnsi="Times New Roman" w:cs="Times New Roman"/>
          <w:color w:val="222222"/>
          <w:sz w:val="24"/>
          <w:szCs w:val="24"/>
          <w:shd w:val="clear" w:color="auto" w:fill="FFFFFF"/>
        </w:rPr>
        <w:t>. McGraw-Hill.</w:t>
      </w:r>
    </w:p>
    <w:p w14:paraId="7B924D18" w14:textId="77777777" w:rsidR="00C500E8" w:rsidRPr="00E31401" w:rsidRDefault="00C500E8" w:rsidP="00E31401">
      <w:pPr>
        <w:spacing w:after="200" w:line="360" w:lineRule="auto"/>
        <w:jc w:val="both"/>
        <w:rPr>
          <w:rFonts w:ascii="Times New Roman" w:hAnsi="Times New Roman" w:cs="Times New Roman"/>
          <w:color w:val="222222"/>
          <w:sz w:val="24"/>
          <w:szCs w:val="24"/>
          <w:shd w:val="clear" w:color="auto" w:fill="FFFFFF"/>
        </w:rPr>
      </w:pPr>
      <w:r w:rsidRPr="00E31401">
        <w:rPr>
          <w:rFonts w:ascii="Times New Roman" w:hAnsi="Times New Roman" w:cs="Times New Roman"/>
          <w:color w:val="222222"/>
          <w:sz w:val="24"/>
          <w:szCs w:val="24"/>
          <w:shd w:val="clear" w:color="auto" w:fill="FFFFFF"/>
        </w:rPr>
        <w:t>Titman, S., Keown, A.J. and Martin, J.D., 2018. </w:t>
      </w:r>
      <w:r w:rsidRPr="00E31401">
        <w:rPr>
          <w:rFonts w:ascii="Times New Roman" w:hAnsi="Times New Roman" w:cs="Times New Roman"/>
          <w:i/>
          <w:iCs/>
          <w:color w:val="222222"/>
          <w:sz w:val="24"/>
          <w:szCs w:val="24"/>
          <w:shd w:val="clear" w:color="auto" w:fill="FFFFFF"/>
        </w:rPr>
        <w:t>Financial management: Principles and applications</w:t>
      </w:r>
      <w:r w:rsidRPr="00E31401">
        <w:rPr>
          <w:rFonts w:ascii="Times New Roman" w:hAnsi="Times New Roman" w:cs="Times New Roman"/>
          <w:color w:val="222222"/>
          <w:sz w:val="24"/>
          <w:szCs w:val="24"/>
          <w:shd w:val="clear" w:color="auto" w:fill="FFFFFF"/>
        </w:rPr>
        <w:t>. Pearson.</w:t>
      </w:r>
    </w:p>
    <w:p w14:paraId="36A4990A" w14:textId="77777777" w:rsidR="00C500E8" w:rsidRPr="00E31401" w:rsidRDefault="00C500E8" w:rsidP="00E31401">
      <w:pPr>
        <w:spacing w:after="200" w:line="360" w:lineRule="auto"/>
        <w:jc w:val="both"/>
        <w:rPr>
          <w:rFonts w:ascii="Times New Roman" w:hAnsi="Times New Roman" w:cs="Times New Roman"/>
          <w:sz w:val="24"/>
          <w:szCs w:val="24"/>
        </w:rPr>
      </w:pPr>
      <w:r w:rsidRPr="00E31401">
        <w:rPr>
          <w:rFonts w:ascii="Times New Roman" w:hAnsi="Times New Roman" w:cs="Times New Roman"/>
          <w:color w:val="222222"/>
          <w:sz w:val="24"/>
          <w:szCs w:val="24"/>
          <w:shd w:val="clear" w:color="auto" w:fill="FFFFFF"/>
        </w:rPr>
        <w:t>Wahlen, J.M., Baginski, S.P. and Bradshaw, M.T., 2018. </w:t>
      </w:r>
      <w:r w:rsidRPr="00E31401">
        <w:rPr>
          <w:rFonts w:ascii="Times New Roman" w:hAnsi="Times New Roman" w:cs="Times New Roman"/>
          <w:i/>
          <w:iCs/>
          <w:color w:val="222222"/>
          <w:sz w:val="24"/>
          <w:szCs w:val="24"/>
          <w:shd w:val="clear" w:color="auto" w:fill="FFFFFF"/>
        </w:rPr>
        <w:t>Financial reporting, financial statement analysis, and valuation: A strategic perspective</w:t>
      </w:r>
      <w:r w:rsidRPr="00E31401">
        <w:rPr>
          <w:rFonts w:ascii="Times New Roman" w:hAnsi="Times New Roman" w:cs="Times New Roman"/>
          <w:color w:val="222222"/>
          <w:sz w:val="24"/>
          <w:szCs w:val="24"/>
          <w:shd w:val="clear" w:color="auto" w:fill="FFFFFF"/>
        </w:rPr>
        <w:t>. Cengage learning.</w:t>
      </w:r>
      <w:r w:rsidRPr="00E31401">
        <w:rPr>
          <w:rFonts w:ascii="Times New Roman" w:hAnsi="Times New Roman" w:cs="Times New Roman"/>
          <w:sz w:val="24"/>
          <w:szCs w:val="24"/>
        </w:rPr>
        <w:t xml:space="preserve"> </w:t>
      </w:r>
    </w:p>
    <w:p w14:paraId="638FF045" w14:textId="77777777" w:rsidR="00C500E8" w:rsidRPr="00E31401" w:rsidRDefault="00C500E8" w:rsidP="00E31401">
      <w:pPr>
        <w:spacing w:after="200" w:line="360" w:lineRule="auto"/>
        <w:jc w:val="both"/>
        <w:rPr>
          <w:rFonts w:ascii="Times New Roman" w:hAnsi="Times New Roman" w:cs="Times New Roman"/>
          <w:color w:val="222222"/>
          <w:sz w:val="24"/>
          <w:szCs w:val="24"/>
          <w:shd w:val="clear" w:color="auto" w:fill="FFFFFF"/>
        </w:rPr>
      </w:pPr>
      <w:r w:rsidRPr="00E31401">
        <w:rPr>
          <w:rFonts w:ascii="Times New Roman" w:hAnsi="Times New Roman" w:cs="Times New Roman"/>
          <w:color w:val="222222"/>
          <w:sz w:val="24"/>
          <w:szCs w:val="24"/>
          <w:shd w:val="clear" w:color="auto" w:fill="FFFFFF"/>
        </w:rPr>
        <w:t>Warren, C.S., Jones, J.P. and Tayler, W.B., 2020. </w:t>
      </w:r>
      <w:r w:rsidRPr="00E31401">
        <w:rPr>
          <w:rFonts w:ascii="Times New Roman" w:hAnsi="Times New Roman" w:cs="Times New Roman"/>
          <w:i/>
          <w:iCs/>
          <w:color w:val="222222"/>
          <w:sz w:val="24"/>
          <w:szCs w:val="24"/>
          <w:shd w:val="clear" w:color="auto" w:fill="FFFFFF"/>
        </w:rPr>
        <w:t>Financial and managerial accounting</w:t>
      </w:r>
      <w:r w:rsidRPr="00E31401">
        <w:rPr>
          <w:rFonts w:ascii="Times New Roman" w:hAnsi="Times New Roman" w:cs="Times New Roman"/>
          <w:color w:val="222222"/>
          <w:sz w:val="24"/>
          <w:szCs w:val="24"/>
          <w:shd w:val="clear" w:color="auto" w:fill="FFFFFF"/>
        </w:rPr>
        <w:t>. Cengage Learning, Inc..</w:t>
      </w:r>
    </w:p>
    <w:p w14:paraId="5F518E82" w14:textId="77777777" w:rsidR="00C500E8" w:rsidRPr="00E31401" w:rsidRDefault="00C500E8" w:rsidP="00E31401">
      <w:pPr>
        <w:spacing w:after="200" w:line="360" w:lineRule="auto"/>
        <w:jc w:val="both"/>
        <w:rPr>
          <w:rFonts w:ascii="Times New Roman" w:hAnsi="Times New Roman" w:cs="Times New Roman"/>
          <w:sz w:val="24"/>
          <w:szCs w:val="24"/>
          <w:lang w:val="en-US"/>
        </w:rPr>
      </w:pPr>
    </w:p>
    <w:sectPr w:rsidR="00C500E8" w:rsidRPr="00E31401" w:rsidSect="009B10B0">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01F57E" w14:textId="77777777" w:rsidR="009B10B0" w:rsidRDefault="009B10B0" w:rsidP="00E31401">
      <w:pPr>
        <w:spacing w:after="0" w:line="240" w:lineRule="auto"/>
      </w:pPr>
      <w:r>
        <w:separator/>
      </w:r>
    </w:p>
  </w:endnote>
  <w:endnote w:type="continuationSeparator" w:id="0">
    <w:p w14:paraId="39E90F71" w14:textId="77777777" w:rsidR="009B10B0" w:rsidRDefault="009B10B0" w:rsidP="00E31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8057525"/>
      <w:docPartObj>
        <w:docPartGallery w:val="Page Numbers (Bottom of Page)"/>
        <w:docPartUnique/>
      </w:docPartObj>
    </w:sdtPr>
    <w:sdtEndPr>
      <w:rPr>
        <w:noProof/>
      </w:rPr>
    </w:sdtEndPr>
    <w:sdtContent>
      <w:p w14:paraId="4136AC8B" w14:textId="242278DA" w:rsidR="00E31401" w:rsidRDefault="00E314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D57CE9" w14:textId="77777777" w:rsidR="00E31401" w:rsidRDefault="00E31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43EF29" w14:textId="77777777" w:rsidR="009B10B0" w:rsidRDefault="009B10B0" w:rsidP="00E31401">
      <w:pPr>
        <w:spacing w:after="0" w:line="240" w:lineRule="auto"/>
      </w:pPr>
      <w:r>
        <w:separator/>
      </w:r>
    </w:p>
  </w:footnote>
  <w:footnote w:type="continuationSeparator" w:id="0">
    <w:p w14:paraId="1AF3E3EF" w14:textId="77777777" w:rsidR="009B10B0" w:rsidRDefault="009B10B0" w:rsidP="00E314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14787C"/>
    <w:multiLevelType w:val="multilevel"/>
    <w:tmpl w:val="12521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590647"/>
    <w:multiLevelType w:val="hybridMultilevel"/>
    <w:tmpl w:val="189ED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287A58"/>
    <w:multiLevelType w:val="multilevel"/>
    <w:tmpl w:val="894EE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56D0313"/>
    <w:multiLevelType w:val="multilevel"/>
    <w:tmpl w:val="2ED64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33143495">
    <w:abstractNumId w:val="3"/>
  </w:num>
  <w:num w:numId="2" w16cid:durableId="1575967331">
    <w:abstractNumId w:val="2"/>
  </w:num>
  <w:num w:numId="3" w16cid:durableId="1719010828">
    <w:abstractNumId w:val="0"/>
  </w:num>
  <w:num w:numId="4" w16cid:durableId="774869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3B5"/>
    <w:rsid w:val="00011CAB"/>
    <w:rsid w:val="0005271B"/>
    <w:rsid w:val="000631C6"/>
    <w:rsid w:val="000903ED"/>
    <w:rsid w:val="00212700"/>
    <w:rsid w:val="00343C8A"/>
    <w:rsid w:val="004E3C5E"/>
    <w:rsid w:val="00503C40"/>
    <w:rsid w:val="005053B5"/>
    <w:rsid w:val="005067C3"/>
    <w:rsid w:val="0053631D"/>
    <w:rsid w:val="006529AE"/>
    <w:rsid w:val="008928A8"/>
    <w:rsid w:val="0094076C"/>
    <w:rsid w:val="009B10B0"/>
    <w:rsid w:val="009F6A3D"/>
    <w:rsid w:val="00B85D9B"/>
    <w:rsid w:val="00C500E8"/>
    <w:rsid w:val="00D1794A"/>
    <w:rsid w:val="00D806EE"/>
    <w:rsid w:val="00DD7ADD"/>
    <w:rsid w:val="00E31401"/>
    <w:rsid w:val="00E41325"/>
    <w:rsid w:val="00FE65E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53BC2"/>
  <w15:chartTrackingRefBased/>
  <w15:docId w15:val="{D11CB70F-1450-4088-AE18-8C9251695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6A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6A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53B5"/>
    <w:rPr>
      <w:color w:val="0563C1" w:themeColor="hyperlink"/>
      <w:u w:val="single"/>
    </w:rPr>
  </w:style>
  <w:style w:type="character" w:styleId="UnresolvedMention">
    <w:name w:val="Unresolved Mention"/>
    <w:basedOn w:val="DefaultParagraphFont"/>
    <w:uiPriority w:val="99"/>
    <w:semiHidden/>
    <w:unhideWhenUsed/>
    <w:rsid w:val="005053B5"/>
    <w:rPr>
      <w:color w:val="605E5C"/>
      <w:shd w:val="clear" w:color="auto" w:fill="E1DFDD"/>
    </w:rPr>
  </w:style>
  <w:style w:type="character" w:customStyle="1" w:styleId="Heading2Char">
    <w:name w:val="Heading 2 Char"/>
    <w:basedOn w:val="DefaultParagraphFont"/>
    <w:link w:val="Heading2"/>
    <w:uiPriority w:val="9"/>
    <w:rsid w:val="009F6A3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F6A3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03C40"/>
    <w:pPr>
      <w:ind w:left="720"/>
      <w:contextualSpacing/>
    </w:pPr>
  </w:style>
  <w:style w:type="character" w:styleId="FollowedHyperlink">
    <w:name w:val="FollowedHyperlink"/>
    <w:basedOn w:val="DefaultParagraphFont"/>
    <w:uiPriority w:val="99"/>
    <w:semiHidden/>
    <w:unhideWhenUsed/>
    <w:rsid w:val="00011CAB"/>
    <w:rPr>
      <w:color w:val="954F72" w:themeColor="followedHyperlink"/>
      <w:u w:val="single"/>
    </w:rPr>
  </w:style>
  <w:style w:type="paragraph" w:styleId="Header">
    <w:name w:val="header"/>
    <w:basedOn w:val="Normal"/>
    <w:link w:val="HeaderChar"/>
    <w:uiPriority w:val="99"/>
    <w:unhideWhenUsed/>
    <w:rsid w:val="00E314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401"/>
  </w:style>
  <w:style w:type="paragraph" w:styleId="Footer">
    <w:name w:val="footer"/>
    <w:basedOn w:val="Normal"/>
    <w:link w:val="FooterChar"/>
    <w:uiPriority w:val="99"/>
    <w:unhideWhenUsed/>
    <w:rsid w:val="00E314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401"/>
  </w:style>
  <w:style w:type="paragraph" w:styleId="TOCHeading">
    <w:name w:val="TOC Heading"/>
    <w:basedOn w:val="Heading1"/>
    <w:next w:val="Normal"/>
    <w:uiPriority w:val="39"/>
    <w:unhideWhenUsed/>
    <w:qFormat/>
    <w:rsid w:val="00E31401"/>
    <w:pPr>
      <w:outlineLvl w:val="9"/>
    </w:pPr>
    <w:rPr>
      <w:lang w:val="en-US"/>
      <w14:ligatures w14:val="none"/>
    </w:rPr>
  </w:style>
  <w:style w:type="paragraph" w:styleId="TOC1">
    <w:name w:val="toc 1"/>
    <w:basedOn w:val="Normal"/>
    <w:next w:val="Normal"/>
    <w:autoRedefine/>
    <w:uiPriority w:val="39"/>
    <w:unhideWhenUsed/>
    <w:rsid w:val="00E31401"/>
    <w:pPr>
      <w:spacing w:after="100"/>
    </w:pPr>
  </w:style>
  <w:style w:type="paragraph" w:styleId="TOC2">
    <w:name w:val="toc 2"/>
    <w:basedOn w:val="Normal"/>
    <w:next w:val="Normal"/>
    <w:autoRedefine/>
    <w:uiPriority w:val="39"/>
    <w:unhideWhenUsed/>
    <w:rsid w:val="00E3140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714322">
      <w:bodyDiv w:val="1"/>
      <w:marLeft w:val="0"/>
      <w:marRight w:val="0"/>
      <w:marTop w:val="0"/>
      <w:marBottom w:val="0"/>
      <w:divBdr>
        <w:top w:val="none" w:sz="0" w:space="0" w:color="auto"/>
        <w:left w:val="none" w:sz="0" w:space="0" w:color="auto"/>
        <w:bottom w:val="none" w:sz="0" w:space="0" w:color="auto"/>
        <w:right w:val="none" w:sz="0" w:space="0" w:color="auto"/>
      </w:divBdr>
      <w:divsChild>
        <w:div w:id="810251269">
          <w:marLeft w:val="0"/>
          <w:marRight w:val="0"/>
          <w:marTop w:val="0"/>
          <w:marBottom w:val="0"/>
          <w:divBdr>
            <w:top w:val="none" w:sz="0" w:space="0" w:color="auto"/>
            <w:left w:val="none" w:sz="0" w:space="0" w:color="auto"/>
            <w:bottom w:val="none" w:sz="0" w:space="0" w:color="auto"/>
            <w:right w:val="none" w:sz="0" w:space="0" w:color="auto"/>
          </w:divBdr>
          <w:divsChild>
            <w:div w:id="192813786">
              <w:marLeft w:val="0"/>
              <w:marRight w:val="0"/>
              <w:marTop w:val="0"/>
              <w:marBottom w:val="0"/>
              <w:divBdr>
                <w:top w:val="none" w:sz="0" w:space="0" w:color="auto"/>
                <w:left w:val="none" w:sz="0" w:space="0" w:color="auto"/>
                <w:bottom w:val="none" w:sz="0" w:space="0" w:color="auto"/>
                <w:right w:val="none" w:sz="0" w:space="0" w:color="auto"/>
              </w:divBdr>
              <w:divsChild>
                <w:div w:id="1767116815">
                  <w:marLeft w:val="0"/>
                  <w:marRight w:val="0"/>
                  <w:marTop w:val="0"/>
                  <w:marBottom w:val="0"/>
                  <w:divBdr>
                    <w:top w:val="none" w:sz="0" w:space="0" w:color="auto"/>
                    <w:left w:val="none" w:sz="0" w:space="0" w:color="auto"/>
                    <w:bottom w:val="none" w:sz="0" w:space="0" w:color="auto"/>
                    <w:right w:val="none" w:sz="0" w:space="0" w:color="auto"/>
                  </w:divBdr>
                  <w:divsChild>
                    <w:div w:id="826676044">
                      <w:marLeft w:val="0"/>
                      <w:marRight w:val="0"/>
                      <w:marTop w:val="0"/>
                      <w:marBottom w:val="0"/>
                      <w:divBdr>
                        <w:top w:val="none" w:sz="0" w:space="0" w:color="auto"/>
                        <w:left w:val="none" w:sz="0" w:space="0" w:color="auto"/>
                        <w:bottom w:val="none" w:sz="0" w:space="0" w:color="auto"/>
                        <w:right w:val="none" w:sz="0" w:space="0" w:color="auto"/>
                      </w:divBdr>
                      <w:divsChild>
                        <w:div w:id="669142413">
                          <w:marLeft w:val="0"/>
                          <w:marRight w:val="0"/>
                          <w:marTop w:val="0"/>
                          <w:marBottom w:val="0"/>
                          <w:divBdr>
                            <w:top w:val="none" w:sz="0" w:space="0" w:color="auto"/>
                            <w:left w:val="none" w:sz="0" w:space="0" w:color="auto"/>
                            <w:bottom w:val="none" w:sz="0" w:space="0" w:color="auto"/>
                            <w:right w:val="none" w:sz="0" w:space="0" w:color="auto"/>
                          </w:divBdr>
                          <w:divsChild>
                            <w:div w:id="740296986">
                              <w:marLeft w:val="0"/>
                              <w:marRight w:val="0"/>
                              <w:marTop w:val="0"/>
                              <w:marBottom w:val="0"/>
                              <w:divBdr>
                                <w:top w:val="none" w:sz="0" w:space="0" w:color="auto"/>
                                <w:left w:val="none" w:sz="0" w:space="0" w:color="auto"/>
                                <w:bottom w:val="none" w:sz="0" w:space="0" w:color="auto"/>
                                <w:right w:val="none" w:sz="0" w:space="0" w:color="auto"/>
                              </w:divBdr>
                              <w:divsChild>
                                <w:div w:id="148682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461730">
      <w:bodyDiv w:val="1"/>
      <w:marLeft w:val="0"/>
      <w:marRight w:val="0"/>
      <w:marTop w:val="0"/>
      <w:marBottom w:val="0"/>
      <w:divBdr>
        <w:top w:val="none" w:sz="0" w:space="0" w:color="auto"/>
        <w:left w:val="none" w:sz="0" w:space="0" w:color="auto"/>
        <w:bottom w:val="none" w:sz="0" w:space="0" w:color="auto"/>
        <w:right w:val="none" w:sz="0" w:space="0" w:color="auto"/>
      </w:divBdr>
      <w:divsChild>
        <w:div w:id="272564708">
          <w:marLeft w:val="0"/>
          <w:marRight w:val="0"/>
          <w:marTop w:val="0"/>
          <w:marBottom w:val="0"/>
          <w:divBdr>
            <w:top w:val="none" w:sz="0" w:space="0" w:color="auto"/>
            <w:left w:val="none" w:sz="0" w:space="0" w:color="auto"/>
            <w:bottom w:val="none" w:sz="0" w:space="0" w:color="auto"/>
            <w:right w:val="none" w:sz="0" w:space="0" w:color="auto"/>
          </w:divBdr>
          <w:divsChild>
            <w:div w:id="903419462">
              <w:marLeft w:val="0"/>
              <w:marRight w:val="0"/>
              <w:marTop w:val="0"/>
              <w:marBottom w:val="0"/>
              <w:divBdr>
                <w:top w:val="none" w:sz="0" w:space="0" w:color="auto"/>
                <w:left w:val="none" w:sz="0" w:space="0" w:color="auto"/>
                <w:bottom w:val="none" w:sz="0" w:space="0" w:color="auto"/>
                <w:right w:val="none" w:sz="0" w:space="0" w:color="auto"/>
              </w:divBdr>
              <w:divsChild>
                <w:div w:id="7754479">
                  <w:marLeft w:val="0"/>
                  <w:marRight w:val="0"/>
                  <w:marTop w:val="0"/>
                  <w:marBottom w:val="0"/>
                  <w:divBdr>
                    <w:top w:val="none" w:sz="0" w:space="0" w:color="auto"/>
                    <w:left w:val="none" w:sz="0" w:space="0" w:color="auto"/>
                    <w:bottom w:val="none" w:sz="0" w:space="0" w:color="auto"/>
                    <w:right w:val="none" w:sz="0" w:space="0" w:color="auto"/>
                  </w:divBdr>
                  <w:divsChild>
                    <w:div w:id="275407825">
                      <w:marLeft w:val="0"/>
                      <w:marRight w:val="0"/>
                      <w:marTop w:val="0"/>
                      <w:marBottom w:val="0"/>
                      <w:divBdr>
                        <w:top w:val="none" w:sz="0" w:space="0" w:color="auto"/>
                        <w:left w:val="none" w:sz="0" w:space="0" w:color="auto"/>
                        <w:bottom w:val="none" w:sz="0" w:space="0" w:color="auto"/>
                        <w:right w:val="none" w:sz="0" w:space="0" w:color="auto"/>
                      </w:divBdr>
                      <w:divsChild>
                        <w:div w:id="1237780628">
                          <w:marLeft w:val="0"/>
                          <w:marRight w:val="0"/>
                          <w:marTop w:val="0"/>
                          <w:marBottom w:val="0"/>
                          <w:divBdr>
                            <w:top w:val="none" w:sz="0" w:space="0" w:color="auto"/>
                            <w:left w:val="none" w:sz="0" w:space="0" w:color="auto"/>
                            <w:bottom w:val="none" w:sz="0" w:space="0" w:color="auto"/>
                            <w:right w:val="none" w:sz="0" w:space="0" w:color="auto"/>
                          </w:divBdr>
                          <w:divsChild>
                            <w:div w:id="306322102">
                              <w:marLeft w:val="0"/>
                              <w:marRight w:val="0"/>
                              <w:marTop w:val="0"/>
                              <w:marBottom w:val="0"/>
                              <w:divBdr>
                                <w:top w:val="none" w:sz="0" w:space="0" w:color="auto"/>
                                <w:left w:val="none" w:sz="0" w:space="0" w:color="auto"/>
                                <w:bottom w:val="none" w:sz="0" w:space="0" w:color="auto"/>
                                <w:right w:val="none" w:sz="0" w:space="0" w:color="auto"/>
                              </w:divBdr>
                              <w:divsChild>
                                <w:div w:id="130477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480776">
      <w:bodyDiv w:val="1"/>
      <w:marLeft w:val="0"/>
      <w:marRight w:val="0"/>
      <w:marTop w:val="0"/>
      <w:marBottom w:val="0"/>
      <w:divBdr>
        <w:top w:val="none" w:sz="0" w:space="0" w:color="auto"/>
        <w:left w:val="none" w:sz="0" w:space="0" w:color="auto"/>
        <w:bottom w:val="none" w:sz="0" w:space="0" w:color="auto"/>
        <w:right w:val="none" w:sz="0" w:space="0" w:color="auto"/>
      </w:divBdr>
      <w:divsChild>
        <w:div w:id="719983441">
          <w:marLeft w:val="0"/>
          <w:marRight w:val="0"/>
          <w:marTop w:val="0"/>
          <w:marBottom w:val="0"/>
          <w:divBdr>
            <w:top w:val="none" w:sz="0" w:space="0" w:color="auto"/>
            <w:left w:val="none" w:sz="0" w:space="0" w:color="auto"/>
            <w:bottom w:val="none" w:sz="0" w:space="0" w:color="auto"/>
            <w:right w:val="none" w:sz="0" w:space="0" w:color="auto"/>
          </w:divBdr>
          <w:divsChild>
            <w:div w:id="1477451632">
              <w:marLeft w:val="0"/>
              <w:marRight w:val="0"/>
              <w:marTop w:val="0"/>
              <w:marBottom w:val="0"/>
              <w:divBdr>
                <w:top w:val="none" w:sz="0" w:space="0" w:color="auto"/>
                <w:left w:val="none" w:sz="0" w:space="0" w:color="auto"/>
                <w:bottom w:val="none" w:sz="0" w:space="0" w:color="auto"/>
                <w:right w:val="none" w:sz="0" w:space="0" w:color="auto"/>
              </w:divBdr>
              <w:divsChild>
                <w:div w:id="1327590810">
                  <w:marLeft w:val="0"/>
                  <w:marRight w:val="0"/>
                  <w:marTop w:val="0"/>
                  <w:marBottom w:val="0"/>
                  <w:divBdr>
                    <w:top w:val="none" w:sz="0" w:space="0" w:color="auto"/>
                    <w:left w:val="none" w:sz="0" w:space="0" w:color="auto"/>
                    <w:bottom w:val="none" w:sz="0" w:space="0" w:color="auto"/>
                    <w:right w:val="none" w:sz="0" w:space="0" w:color="auto"/>
                  </w:divBdr>
                  <w:divsChild>
                    <w:div w:id="1897011003">
                      <w:marLeft w:val="0"/>
                      <w:marRight w:val="0"/>
                      <w:marTop w:val="0"/>
                      <w:marBottom w:val="0"/>
                      <w:divBdr>
                        <w:top w:val="none" w:sz="0" w:space="0" w:color="auto"/>
                        <w:left w:val="none" w:sz="0" w:space="0" w:color="auto"/>
                        <w:bottom w:val="none" w:sz="0" w:space="0" w:color="auto"/>
                        <w:right w:val="none" w:sz="0" w:space="0" w:color="auto"/>
                      </w:divBdr>
                      <w:divsChild>
                        <w:div w:id="258876802">
                          <w:marLeft w:val="0"/>
                          <w:marRight w:val="0"/>
                          <w:marTop w:val="0"/>
                          <w:marBottom w:val="0"/>
                          <w:divBdr>
                            <w:top w:val="none" w:sz="0" w:space="0" w:color="auto"/>
                            <w:left w:val="none" w:sz="0" w:space="0" w:color="auto"/>
                            <w:bottom w:val="none" w:sz="0" w:space="0" w:color="auto"/>
                            <w:right w:val="none" w:sz="0" w:space="0" w:color="auto"/>
                          </w:divBdr>
                          <w:divsChild>
                            <w:div w:id="1590196006">
                              <w:marLeft w:val="0"/>
                              <w:marRight w:val="0"/>
                              <w:marTop w:val="0"/>
                              <w:marBottom w:val="0"/>
                              <w:divBdr>
                                <w:top w:val="none" w:sz="0" w:space="0" w:color="auto"/>
                                <w:left w:val="none" w:sz="0" w:space="0" w:color="auto"/>
                                <w:bottom w:val="none" w:sz="0" w:space="0" w:color="auto"/>
                                <w:right w:val="none" w:sz="0" w:space="0" w:color="auto"/>
                              </w:divBdr>
                              <w:divsChild>
                                <w:div w:id="98312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768468">
      <w:bodyDiv w:val="1"/>
      <w:marLeft w:val="0"/>
      <w:marRight w:val="0"/>
      <w:marTop w:val="0"/>
      <w:marBottom w:val="0"/>
      <w:divBdr>
        <w:top w:val="none" w:sz="0" w:space="0" w:color="auto"/>
        <w:left w:val="none" w:sz="0" w:space="0" w:color="auto"/>
        <w:bottom w:val="none" w:sz="0" w:space="0" w:color="auto"/>
        <w:right w:val="none" w:sz="0" w:space="0" w:color="auto"/>
      </w:divBdr>
    </w:div>
    <w:div w:id="183708761">
      <w:bodyDiv w:val="1"/>
      <w:marLeft w:val="0"/>
      <w:marRight w:val="0"/>
      <w:marTop w:val="0"/>
      <w:marBottom w:val="0"/>
      <w:divBdr>
        <w:top w:val="none" w:sz="0" w:space="0" w:color="auto"/>
        <w:left w:val="none" w:sz="0" w:space="0" w:color="auto"/>
        <w:bottom w:val="none" w:sz="0" w:space="0" w:color="auto"/>
        <w:right w:val="none" w:sz="0" w:space="0" w:color="auto"/>
      </w:divBdr>
      <w:divsChild>
        <w:div w:id="1756853363">
          <w:marLeft w:val="0"/>
          <w:marRight w:val="0"/>
          <w:marTop w:val="0"/>
          <w:marBottom w:val="0"/>
          <w:divBdr>
            <w:top w:val="none" w:sz="0" w:space="0" w:color="auto"/>
            <w:left w:val="none" w:sz="0" w:space="0" w:color="auto"/>
            <w:bottom w:val="none" w:sz="0" w:space="0" w:color="auto"/>
            <w:right w:val="none" w:sz="0" w:space="0" w:color="auto"/>
          </w:divBdr>
          <w:divsChild>
            <w:div w:id="2118131356">
              <w:marLeft w:val="0"/>
              <w:marRight w:val="0"/>
              <w:marTop w:val="0"/>
              <w:marBottom w:val="0"/>
              <w:divBdr>
                <w:top w:val="none" w:sz="0" w:space="0" w:color="auto"/>
                <w:left w:val="none" w:sz="0" w:space="0" w:color="auto"/>
                <w:bottom w:val="none" w:sz="0" w:space="0" w:color="auto"/>
                <w:right w:val="none" w:sz="0" w:space="0" w:color="auto"/>
              </w:divBdr>
              <w:divsChild>
                <w:div w:id="1106540953">
                  <w:marLeft w:val="0"/>
                  <w:marRight w:val="0"/>
                  <w:marTop w:val="0"/>
                  <w:marBottom w:val="0"/>
                  <w:divBdr>
                    <w:top w:val="none" w:sz="0" w:space="0" w:color="auto"/>
                    <w:left w:val="none" w:sz="0" w:space="0" w:color="auto"/>
                    <w:bottom w:val="none" w:sz="0" w:space="0" w:color="auto"/>
                    <w:right w:val="none" w:sz="0" w:space="0" w:color="auto"/>
                  </w:divBdr>
                  <w:divsChild>
                    <w:div w:id="1981567283">
                      <w:marLeft w:val="0"/>
                      <w:marRight w:val="0"/>
                      <w:marTop w:val="0"/>
                      <w:marBottom w:val="0"/>
                      <w:divBdr>
                        <w:top w:val="none" w:sz="0" w:space="0" w:color="auto"/>
                        <w:left w:val="none" w:sz="0" w:space="0" w:color="auto"/>
                        <w:bottom w:val="none" w:sz="0" w:space="0" w:color="auto"/>
                        <w:right w:val="none" w:sz="0" w:space="0" w:color="auto"/>
                      </w:divBdr>
                      <w:divsChild>
                        <w:div w:id="758986595">
                          <w:marLeft w:val="0"/>
                          <w:marRight w:val="0"/>
                          <w:marTop w:val="0"/>
                          <w:marBottom w:val="0"/>
                          <w:divBdr>
                            <w:top w:val="none" w:sz="0" w:space="0" w:color="auto"/>
                            <w:left w:val="none" w:sz="0" w:space="0" w:color="auto"/>
                            <w:bottom w:val="none" w:sz="0" w:space="0" w:color="auto"/>
                            <w:right w:val="none" w:sz="0" w:space="0" w:color="auto"/>
                          </w:divBdr>
                          <w:divsChild>
                            <w:div w:id="1776051885">
                              <w:marLeft w:val="0"/>
                              <w:marRight w:val="0"/>
                              <w:marTop w:val="0"/>
                              <w:marBottom w:val="0"/>
                              <w:divBdr>
                                <w:top w:val="none" w:sz="0" w:space="0" w:color="auto"/>
                                <w:left w:val="none" w:sz="0" w:space="0" w:color="auto"/>
                                <w:bottom w:val="none" w:sz="0" w:space="0" w:color="auto"/>
                                <w:right w:val="none" w:sz="0" w:space="0" w:color="auto"/>
                              </w:divBdr>
                              <w:divsChild>
                                <w:div w:id="54502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363056">
      <w:bodyDiv w:val="1"/>
      <w:marLeft w:val="0"/>
      <w:marRight w:val="0"/>
      <w:marTop w:val="0"/>
      <w:marBottom w:val="0"/>
      <w:divBdr>
        <w:top w:val="none" w:sz="0" w:space="0" w:color="auto"/>
        <w:left w:val="none" w:sz="0" w:space="0" w:color="auto"/>
        <w:bottom w:val="none" w:sz="0" w:space="0" w:color="auto"/>
        <w:right w:val="none" w:sz="0" w:space="0" w:color="auto"/>
      </w:divBdr>
      <w:divsChild>
        <w:div w:id="756706866">
          <w:marLeft w:val="0"/>
          <w:marRight w:val="0"/>
          <w:marTop w:val="0"/>
          <w:marBottom w:val="0"/>
          <w:divBdr>
            <w:top w:val="none" w:sz="0" w:space="0" w:color="auto"/>
            <w:left w:val="none" w:sz="0" w:space="0" w:color="auto"/>
            <w:bottom w:val="none" w:sz="0" w:space="0" w:color="auto"/>
            <w:right w:val="none" w:sz="0" w:space="0" w:color="auto"/>
          </w:divBdr>
          <w:divsChild>
            <w:div w:id="201945644">
              <w:marLeft w:val="0"/>
              <w:marRight w:val="0"/>
              <w:marTop w:val="0"/>
              <w:marBottom w:val="0"/>
              <w:divBdr>
                <w:top w:val="none" w:sz="0" w:space="0" w:color="auto"/>
                <w:left w:val="none" w:sz="0" w:space="0" w:color="auto"/>
                <w:bottom w:val="none" w:sz="0" w:space="0" w:color="auto"/>
                <w:right w:val="none" w:sz="0" w:space="0" w:color="auto"/>
              </w:divBdr>
              <w:divsChild>
                <w:div w:id="1682582821">
                  <w:marLeft w:val="0"/>
                  <w:marRight w:val="0"/>
                  <w:marTop w:val="0"/>
                  <w:marBottom w:val="0"/>
                  <w:divBdr>
                    <w:top w:val="none" w:sz="0" w:space="0" w:color="auto"/>
                    <w:left w:val="none" w:sz="0" w:space="0" w:color="auto"/>
                    <w:bottom w:val="none" w:sz="0" w:space="0" w:color="auto"/>
                    <w:right w:val="none" w:sz="0" w:space="0" w:color="auto"/>
                  </w:divBdr>
                  <w:divsChild>
                    <w:div w:id="146673841">
                      <w:marLeft w:val="0"/>
                      <w:marRight w:val="0"/>
                      <w:marTop w:val="0"/>
                      <w:marBottom w:val="0"/>
                      <w:divBdr>
                        <w:top w:val="none" w:sz="0" w:space="0" w:color="auto"/>
                        <w:left w:val="none" w:sz="0" w:space="0" w:color="auto"/>
                        <w:bottom w:val="none" w:sz="0" w:space="0" w:color="auto"/>
                        <w:right w:val="none" w:sz="0" w:space="0" w:color="auto"/>
                      </w:divBdr>
                      <w:divsChild>
                        <w:div w:id="35087918">
                          <w:marLeft w:val="0"/>
                          <w:marRight w:val="0"/>
                          <w:marTop w:val="0"/>
                          <w:marBottom w:val="0"/>
                          <w:divBdr>
                            <w:top w:val="none" w:sz="0" w:space="0" w:color="auto"/>
                            <w:left w:val="none" w:sz="0" w:space="0" w:color="auto"/>
                            <w:bottom w:val="none" w:sz="0" w:space="0" w:color="auto"/>
                            <w:right w:val="none" w:sz="0" w:space="0" w:color="auto"/>
                          </w:divBdr>
                          <w:divsChild>
                            <w:div w:id="531235446">
                              <w:marLeft w:val="0"/>
                              <w:marRight w:val="0"/>
                              <w:marTop w:val="0"/>
                              <w:marBottom w:val="0"/>
                              <w:divBdr>
                                <w:top w:val="none" w:sz="0" w:space="0" w:color="auto"/>
                                <w:left w:val="none" w:sz="0" w:space="0" w:color="auto"/>
                                <w:bottom w:val="none" w:sz="0" w:space="0" w:color="auto"/>
                                <w:right w:val="none" w:sz="0" w:space="0" w:color="auto"/>
                              </w:divBdr>
                              <w:divsChild>
                                <w:div w:id="123007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9770832">
      <w:bodyDiv w:val="1"/>
      <w:marLeft w:val="0"/>
      <w:marRight w:val="0"/>
      <w:marTop w:val="0"/>
      <w:marBottom w:val="0"/>
      <w:divBdr>
        <w:top w:val="none" w:sz="0" w:space="0" w:color="auto"/>
        <w:left w:val="none" w:sz="0" w:space="0" w:color="auto"/>
        <w:bottom w:val="none" w:sz="0" w:space="0" w:color="auto"/>
        <w:right w:val="none" w:sz="0" w:space="0" w:color="auto"/>
      </w:divBdr>
      <w:divsChild>
        <w:div w:id="1082798981">
          <w:marLeft w:val="0"/>
          <w:marRight w:val="0"/>
          <w:marTop w:val="0"/>
          <w:marBottom w:val="0"/>
          <w:divBdr>
            <w:top w:val="none" w:sz="0" w:space="0" w:color="auto"/>
            <w:left w:val="none" w:sz="0" w:space="0" w:color="auto"/>
            <w:bottom w:val="none" w:sz="0" w:space="0" w:color="auto"/>
            <w:right w:val="none" w:sz="0" w:space="0" w:color="auto"/>
          </w:divBdr>
          <w:divsChild>
            <w:div w:id="177427283">
              <w:marLeft w:val="0"/>
              <w:marRight w:val="0"/>
              <w:marTop w:val="0"/>
              <w:marBottom w:val="0"/>
              <w:divBdr>
                <w:top w:val="none" w:sz="0" w:space="0" w:color="auto"/>
                <w:left w:val="none" w:sz="0" w:space="0" w:color="auto"/>
                <w:bottom w:val="none" w:sz="0" w:space="0" w:color="auto"/>
                <w:right w:val="none" w:sz="0" w:space="0" w:color="auto"/>
              </w:divBdr>
              <w:divsChild>
                <w:div w:id="1514882860">
                  <w:marLeft w:val="0"/>
                  <w:marRight w:val="0"/>
                  <w:marTop w:val="0"/>
                  <w:marBottom w:val="0"/>
                  <w:divBdr>
                    <w:top w:val="none" w:sz="0" w:space="0" w:color="auto"/>
                    <w:left w:val="none" w:sz="0" w:space="0" w:color="auto"/>
                    <w:bottom w:val="none" w:sz="0" w:space="0" w:color="auto"/>
                    <w:right w:val="none" w:sz="0" w:space="0" w:color="auto"/>
                  </w:divBdr>
                  <w:divsChild>
                    <w:div w:id="115296257">
                      <w:marLeft w:val="0"/>
                      <w:marRight w:val="0"/>
                      <w:marTop w:val="0"/>
                      <w:marBottom w:val="0"/>
                      <w:divBdr>
                        <w:top w:val="none" w:sz="0" w:space="0" w:color="auto"/>
                        <w:left w:val="none" w:sz="0" w:space="0" w:color="auto"/>
                        <w:bottom w:val="none" w:sz="0" w:space="0" w:color="auto"/>
                        <w:right w:val="none" w:sz="0" w:space="0" w:color="auto"/>
                      </w:divBdr>
                      <w:divsChild>
                        <w:div w:id="969700350">
                          <w:marLeft w:val="0"/>
                          <w:marRight w:val="0"/>
                          <w:marTop w:val="0"/>
                          <w:marBottom w:val="0"/>
                          <w:divBdr>
                            <w:top w:val="none" w:sz="0" w:space="0" w:color="auto"/>
                            <w:left w:val="none" w:sz="0" w:space="0" w:color="auto"/>
                            <w:bottom w:val="none" w:sz="0" w:space="0" w:color="auto"/>
                            <w:right w:val="none" w:sz="0" w:space="0" w:color="auto"/>
                          </w:divBdr>
                          <w:divsChild>
                            <w:div w:id="320039735">
                              <w:marLeft w:val="0"/>
                              <w:marRight w:val="0"/>
                              <w:marTop w:val="0"/>
                              <w:marBottom w:val="0"/>
                              <w:divBdr>
                                <w:top w:val="none" w:sz="0" w:space="0" w:color="auto"/>
                                <w:left w:val="none" w:sz="0" w:space="0" w:color="auto"/>
                                <w:bottom w:val="none" w:sz="0" w:space="0" w:color="auto"/>
                                <w:right w:val="none" w:sz="0" w:space="0" w:color="auto"/>
                              </w:divBdr>
                              <w:divsChild>
                                <w:div w:id="158691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2367547">
      <w:bodyDiv w:val="1"/>
      <w:marLeft w:val="0"/>
      <w:marRight w:val="0"/>
      <w:marTop w:val="0"/>
      <w:marBottom w:val="0"/>
      <w:divBdr>
        <w:top w:val="none" w:sz="0" w:space="0" w:color="auto"/>
        <w:left w:val="none" w:sz="0" w:space="0" w:color="auto"/>
        <w:bottom w:val="none" w:sz="0" w:space="0" w:color="auto"/>
        <w:right w:val="none" w:sz="0" w:space="0" w:color="auto"/>
      </w:divBdr>
    </w:div>
    <w:div w:id="376053862">
      <w:bodyDiv w:val="1"/>
      <w:marLeft w:val="0"/>
      <w:marRight w:val="0"/>
      <w:marTop w:val="0"/>
      <w:marBottom w:val="0"/>
      <w:divBdr>
        <w:top w:val="none" w:sz="0" w:space="0" w:color="auto"/>
        <w:left w:val="none" w:sz="0" w:space="0" w:color="auto"/>
        <w:bottom w:val="none" w:sz="0" w:space="0" w:color="auto"/>
        <w:right w:val="none" w:sz="0" w:space="0" w:color="auto"/>
      </w:divBdr>
    </w:div>
    <w:div w:id="419374986">
      <w:bodyDiv w:val="1"/>
      <w:marLeft w:val="0"/>
      <w:marRight w:val="0"/>
      <w:marTop w:val="0"/>
      <w:marBottom w:val="0"/>
      <w:divBdr>
        <w:top w:val="none" w:sz="0" w:space="0" w:color="auto"/>
        <w:left w:val="none" w:sz="0" w:space="0" w:color="auto"/>
        <w:bottom w:val="none" w:sz="0" w:space="0" w:color="auto"/>
        <w:right w:val="none" w:sz="0" w:space="0" w:color="auto"/>
      </w:divBdr>
      <w:divsChild>
        <w:div w:id="521552291">
          <w:marLeft w:val="0"/>
          <w:marRight w:val="0"/>
          <w:marTop w:val="0"/>
          <w:marBottom w:val="0"/>
          <w:divBdr>
            <w:top w:val="none" w:sz="0" w:space="0" w:color="auto"/>
            <w:left w:val="none" w:sz="0" w:space="0" w:color="auto"/>
            <w:bottom w:val="none" w:sz="0" w:space="0" w:color="auto"/>
            <w:right w:val="none" w:sz="0" w:space="0" w:color="auto"/>
          </w:divBdr>
          <w:divsChild>
            <w:div w:id="2041321284">
              <w:marLeft w:val="0"/>
              <w:marRight w:val="0"/>
              <w:marTop w:val="0"/>
              <w:marBottom w:val="0"/>
              <w:divBdr>
                <w:top w:val="none" w:sz="0" w:space="0" w:color="auto"/>
                <w:left w:val="none" w:sz="0" w:space="0" w:color="auto"/>
                <w:bottom w:val="none" w:sz="0" w:space="0" w:color="auto"/>
                <w:right w:val="none" w:sz="0" w:space="0" w:color="auto"/>
              </w:divBdr>
              <w:divsChild>
                <w:div w:id="702829257">
                  <w:marLeft w:val="0"/>
                  <w:marRight w:val="0"/>
                  <w:marTop w:val="0"/>
                  <w:marBottom w:val="0"/>
                  <w:divBdr>
                    <w:top w:val="none" w:sz="0" w:space="0" w:color="auto"/>
                    <w:left w:val="none" w:sz="0" w:space="0" w:color="auto"/>
                    <w:bottom w:val="none" w:sz="0" w:space="0" w:color="auto"/>
                    <w:right w:val="none" w:sz="0" w:space="0" w:color="auto"/>
                  </w:divBdr>
                  <w:divsChild>
                    <w:div w:id="2056152059">
                      <w:marLeft w:val="0"/>
                      <w:marRight w:val="0"/>
                      <w:marTop w:val="0"/>
                      <w:marBottom w:val="0"/>
                      <w:divBdr>
                        <w:top w:val="none" w:sz="0" w:space="0" w:color="auto"/>
                        <w:left w:val="none" w:sz="0" w:space="0" w:color="auto"/>
                        <w:bottom w:val="none" w:sz="0" w:space="0" w:color="auto"/>
                        <w:right w:val="none" w:sz="0" w:space="0" w:color="auto"/>
                      </w:divBdr>
                      <w:divsChild>
                        <w:div w:id="602763068">
                          <w:marLeft w:val="0"/>
                          <w:marRight w:val="0"/>
                          <w:marTop w:val="0"/>
                          <w:marBottom w:val="0"/>
                          <w:divBdr>
                            <w:top w:val="none" w:sz="0" w:space="0" w:color="auto"/>
                            <w:left w:val="none" w:sz="0" w:space="0" w:color="auto"/>
                            <w:bottom w:val="none" w:sz="0" w:space="0" w:color="auto"/>
                            <w:right w:val="none" w:sz="0" w:space="0" w:color="auto"/>
                          </w:divBdr>
                          <w:divsChild>
                            <w:div w:id="935945821">
                              <w:marLeft w:val="0"/>
                              <w:marRight w:val="0"/>
                              <w:marTop w:val="0"/>
                              <w:marBottom w:val="0"/>
                              <w:divBdr>
                                <w:top w:val="none" w:sz="0" w:space="0" w:color="auto"/>
                                <w:left w:val="none" w:sz="0" w:space="0" w:color="auto"/>
                                <w:bottom w:val="none" w:sz="0" w:space="0" w:color="auto"/>
                                <w:right w:val="none" w:sz="0" w:space="0" w:color="auto"/>
                              </w:divBdr>
                              <w:divsChild>
                                <w:div w:id="210765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5368437">
      <w:bodyDiv w:val="1"/>
      <w:marLeft w:val="0"/>
      <w:marRight w:val="0"/>
      <w:marTop w:val="0"/>
      <w:marBottom w:val="0"/>
      <w:divBdr>
        <w:top w:val="none" w:sz="0" w:space="0" w:color="auto"/>
        <w:left w:val="none" w:sz="0" w:space="0" w:color="auto"/>
        <w:bottom w:val="none" w:sz="0" w:space="0" w:color="auto"/>
        <w:right w:val="none" w:sz="0" w:space="0" w:color="auto"/>
      </w:divBdr>
      <w:divsChild>
        <w:div w:id="880435808">
          <w:marLeft w:val="0"/>
          <w:marRight w:val="0"/>
          <w:marTop w:val="0"/>
          <w:marBottom w:val="0"/>
          <w:divBdr>
            <w:top w:val="none" w:sz="0" w:space="0" w:color="auto"/>
            <w:left w:val="none" w:sz="0" w:space="0" w:color="auto"/>
            <w:bottom w:val="none" w:sz="0" w:space="0" w:color="auto"/>
            <w:right w:val="none" w:sz="0" w:space="0" w:color="auto"/>
          </w:divBdr>
          <w:divsChild>
            <w:div w:id="1848012269">
              <w:marLeft w:val="0"/>
              <w:marRight w:val="0"/>
              <w:marTop w:val="0"/>
              <w:marBottom w:val="0"/>
              <w:divBdr>
                <w:top w:val="none" w:sz="0" w:space="0" w:color="auto"/>
                <w:left w:val="none" w:sz="0" w:space="0" w:color="auto"/>
                <w:bottom w:val="none" w:sz="0" w:space="0" w:color="auto"/>
                <w:right w:val="none" w:sz="0" w:space="0" w:color="auto"/>
              </w:divBdr>
              <w:divsChild>
                <w:div w:id="1052659754">
                  <w:marLeft w:val="0"/>
                  <w:marRight w:val="0"/>
                  <w:marTop w:val="0"/>
                  <w:marBottom w:val="0"/>
                  <w:divBdr>
                    <w:top w:val="none" w:sz="0" w:space="0" w:color="auto"/>
                    <w:left w:val="none" w:sz="0" w:space="0" w:color="auto"/>
                    <w:bottom w:val="none" w:sz="0" w:space="0" w:color="auto"/>
                    <w:right w:val="none" w:sz="0" w:space="0" w:color="auto"/>
                  </w:divBdr>
                  <w:divsChild>
                    <w:div w:id="1673800298">
                      <w:marLeft w:val="0"/>
                      <w:marRight w:val="0"/>
                      <w:marTop w:val="0"/>
                      <w:marBottom w:val="0"/>
                      <w:divBdr>
                        <w:top w:val="none" w:sz="0" w:space="0" w:color="auto"/>
                        <w:left w:val="none" w:sz="0" w:space="0" w:color="auto"/>
                        <w:bottom w:val="none" w:sz="0" w:space="0" w:color="auto"/>
                        <w:right w:val="none" w:sz="0" w:space="0" w:color="auto"/>
                      </w:divBdr>
                      <w:divsChild>
                        <w:div w:id="1336496189">
                          <w:marLeft w:val="0"/>
                          <w:marRight w:val="0"/>
                          <w:marTop w:val="0"/>
                          <w:marBottom w:val="0"/>
                          <w:divBdr>
                            <w:top w:val="none" w:sz="0" w:space="0" w:color="auto"/>
                            <w:left w:val="none" w:sz="0" w:space="0" w:color="auto"/>
                            <w:bottom w:val="none" w:sz="0" w:space="0" w:color="auto"/>
                            <w:right w:val="none" w:sz="0" w:space="0" w:color="auto"/>
                          </w:divBdr>
                          <w:divsChild>
                            <w:div w:id="555049809">
                              <w:marLeft w:val="0"/>
                              <w:marRight w:val="0"/>
                              <w:marTop w:val="0"/>
                              <w:marBottom w:val="0"/>
                              <w:divBdr>
                                <w:top w:val="none" w:sz="0" w:space="0" w:color="auto"/>
                                <w:left w:val="none" w:sz="0" w:space="0" w:color="auto"/>
                                <w:bottom w:val="none" w:sz="0" w:space="0" w:color="auto"/>
                                <w:right w:val="none" w:sz="0" w:space="0" w:color="auto"/>
                              </w:divBdr>
                              <w:divsChild>
                                <w:div w:id="66991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9954570">
      <w:bodyDiv w:val="1"/>
      <w:marLeft w:val="0"/>
      <w:marRight w:val="0"/>
      <w:marTop w:val="0"/>
      <w:marBottom w:val="0"/>
      <w:divBdr>
        <w:top w:val="none" w:sz="0" w:space="0" w:color="auto"/>
        <w:left w:val="none" w:sz="0" w:space="0" w:color="auto"/>
        <w:bottom w:val="none" w:sz="0" w:space="0" w:color="auto"/>
        <w:right w:val="none" w:sz="0" w:space="0" w:color="auto"/>
      </w:divBdr>
      <w:divsChild>
        <w:div w:id="400639008">
          <w:marLeft w:val="0"/>
          <w:marRight w:val="0"/>
          <w:marTop w:val="0"/>
          <w:marBottom w:val="0"/>
          <w:divBdr>
            <w:top w:val="none" w:sz="0" w:space="0" w:color="auto"/>
            <w:left w:val="none" w:sz="0" w:space="0" w:color="auto"/>
            <w:bottom w:val="none" w:sz="0" w:space="0" w:color="auto"/>
            <w:right w:val="none" w:sz="0" w:space="0" w:color="auto"/>
          </w:divBdr>
          <w:divsChild>
            <w:div w:id="148864420">
              <w:marLeft w:val="0"/>
              <w:marRight w:val="0"/>
              <w:marTop w:val="0"/>
              <w:marBottom w:val="0"/>
              <w:divBdr>
                <w:top w:val="none" w:sz="0" w:space="0" w:color="auto"/>
                <w:left w:val="none" w:sz="0" w:space="0" w:color="auto"/>
                <w:bottom w:val="none" w:sz="0" w:space="0" w:color="auto"/>
                <w:right w:val="none" w:sz="0" w:space="0" w:color="auto"/>
              </w:divBdr>
              <w:divsChild>
                <w:div w:id="1742025011">
                  <w:marLeft w:val="0"/>
                  <w:marRight w:val="0"/>
                  <w:marTop w:val="0"/>
                  <w:marBottom w:val="0"/>
                  <w:divBdr>
                    <w:top w:val="none" w:sz="0" w:space="0" w:color="auto"/>
                    <w:left w:val="none" w:sz="0" w:space="0" w:color="auto"/>
                    <w:bottom w:val="none" w:sz="0" w:space="0" w:color="auto"/>
                    <w:right w:val="none" w:sz="0" w:space="0" w:color="auto"/>
                  </w:divBdr>
                  <w:divsChild>
                    <w:div w:id="191386412">
                      <w:marLeft w:val="0"/>
                      <w:marRight w:val="0"/>
                      <w:marTop w:val="0"/>
                      <w:marBottom w:val="0"/>
                      <w:divBdr>
                        <w:top w:val="none" w:sz="0" w:space="0" w:color="auto"/>
                        <w:left w:val="none" w:sz="0" w:space="0" w:color="auto"/>
                        <w:bottom w:val="none" w:sz="0" w:space="0" w:color="auto"/>
                        <w:right w:val="none" w:sz="0" w:space="0" w:color="auto"/>
                      </w:divBdr>
                      <w:divsChild>
                        <w:div w:id="149757687">
                          <w:marLeft w:val="0"/>
                          <w:marRight w:val="0"/>
                          <w:marTop w:val="0"/>
                          <w:marBottom w:val="0"/>
                          <w:divBdr>
                            <w:top w:val="none" w:sz="0" w:space="0" w:color="auto"/>
                            <w:left w:val="none" w:sz="0" w:space="0" w:color="auto"/>
                            <w:bottom w:val="none" w:sz="0" w:space="0" w:color="auto"/>
                            <w:right w:val="none" w:sz="0" w:space="0" w:color="auto"/>
                          </w:divBdr>
                          <w:divsChild>
                            <w:div w:id="359086464">
                              <w:marLeft w:val="0"/>
                              <w:marRight w:val="0"/>
                              <w:marTop w:val="0"/>
                              <w:marBottom w:val="0"/>
                              <w:divBdr>
                                <w:top w:val="none" w:sz="0" w:space="0" w:color="auto"/>
                                <w:left w:val="none" w:sz="0" w:space="0" w:color="auto"/>
                                <w:bottom w:val="none" w:sz="0" w:space="0" w:color="auto"/>
                                <w:right w:val="none" w:sz="0" w:space="0" w:color="auto"/>
                              </w:divBdr>
                              <w:divsChild>
                                <w:div w:id="36957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4666559">
      <w:bodyDiv w:val="1"/>
      <w:marLeft w:val="0"/>
      <w:marRight w:val="0"/>
      <w:marTop w:val="0"/>
      <w:marBottom w:val="0"/>
      <w:divBdr>
        <w:top w:val="none" w:sz="0" w:space="0" w:color="auto"/>
        <w:left w:val="none" w:sz="0" w:space="0" w:color="auto"/>
        <w:bottom w:val="none" w:sz="0" w:space="0" w:color="auto"/>
        <w:right w:val="none" w:sz="0" w:space="0" w:color="auto"/>
      </w:divBdr>
    </w:div>
    <w:div w:id="502084323">
      <w:bodyDiv w:val="1"/>
      <w:marLeft w:val="0"/>
      <w:marRight w:val="0"/>
      <w:marTop w:val="0"/>
      <w:marBottom w:val="0"/>
      <w:divBdr>
        <w:top w:val="none" w:sz="0" w:space="0" w:color="auto"/>
        <w:left w:val="none" w:sz="0" w:space="0" w:color="auto"/>
        <w:bottom w:val="none" w:sz="0" w:space="0" w:color="auto"/>
        <w:right w:val="none" w:sz="0" w:space="0" w:color="auto"/>
      </w:divBdr>
    </w:div>
    <w:div w:id="537622206">
      <w:bodyDiv w:val="1"/>
      <w:marLeft w:val="0"/>
      <w:marRight w:val="0"/>
      <w:marTop w:val="0"/>
      <w:marBottom w:val="0"/>
      <w:divBdr>
        <w:top w:val="none" w:sz="0" w:space="0" w:color="auto"/>
        <w:left w:val="none" w:sz="0" w:space="0" w:color="auto"/>
        <w:bottom w:val="none" w:sz="0" w:space="0" w:color="auto"/>
        <w:right w:val="none" w:sz="0" w:space="0" w:color="auto"/>
      </w:divBdr>
    </w:div>
    <w:div w:id="540435012">
      <w:bodyDiv w:val="1"/>
      <w:marLeft w:val="0"/>
      <w:marRight w:val="0"/>
      <w:marTop w:val="0"/>
      <w:marBottom w:val="0"/>
      <w:divBdr>
        <w:top w:val="none" w:sz="0" w:space="0" w:color="auto"/>
        <w:left w:val="none" w:sz="0" w:space="0" w:color="auto"/>
        <w:bottom w:val="none" w:sz="0" w:space="0" w:color="auto"/>
        <w:right w:val="none" w:sz="0" w:space="0" w:color="auto"/>
      </w:divBdr>
    </w:div>
    <w:div w:id="606932609">
      <w:bodyDiv w:val="1"/>
      <w:marLeft w:val="0"/>
      <w:marRight w:val="0"/>
      <w:marTop w:val="0"/>
      <w:marBottom w:val="0"/>
      <w:divBdr>
        <w:top w:val="none" w:sz="0" w:space="0" w:color="auto"/>
        <w:left w:val="none" w:sz="0" w:space="0" w:color="auto"/>
        <w:bottom w:val="none" w:sz="0" w:space="0" w:color="auto"/>
        <w:right w:val="none" w:sz="0" w:space="0" w:color="auto"/>
      </w:divBdr>
      <w:divsChild>
        <w:div w:id="658728027">
          <w:marLeft w:val="0"/>
          <w:marRight w:val="0"/>
          <w:marTop w:val="0"/>
          <w:marBottom w:val="0"/>
          <w:divBdr>
            <w:top w:val="none" w:sz="0" w:space="0" w:color="auto"/>
            <w:left w:val="none" w:sz="0" w:space="0" w:color="auto"/>
            <w:bottom w:val="none" w:sz="0" w:space="0" w:color="auto"/>
            <w:right w:val="none" w:sz="0" w:space="0" w:color="auto"/>
          </w:divBdr>
          <w:divsChild>
            <w:div w:id="1928613304">
              <w:marLeft w:val="0"/>
              <w:marRight w:val="0"/>
              <w:marTop w:val="0"/>
              <w:marBottom w:val="0"/>
              <w:divBdr>
                <w:top w:val="none" w:sz="0" w:space="0" w:color="auto"/>
                <w:left w:val="none" w:sz="0" w:space="0" w:color="auto"/>
                <w:bottom w:val="none" w:sz="0" w:space="0" w:color="auto"/>
                <w:right w:val="none" w:sz="0" w:space="0" w:color="auto"/>
              </w:divBdr>
              <w:divsChild>
                <w:div w:id="1428112318">
                  <w:marLeft w:val="0"/>
                  <w:marRight w:val="0"/>
                  <w:marTop w:val="0"/>
                  <w:marBottom w:val="0"/>
                  <w:divBdr>
                    <w:top w:val="none" w:sz="0" w:space="0" w:color="auto"/>
                    <w:left w:val="none" w:sz="0" w:space="0" w:color="auto"/>
                    <w:bottom w:val="none" w:sz="0" w:space="0" w:color="auto"/>
                    <w:right w:val="none" w:sz="0" w:space="0" w:color="auto"/>
                  </w:divBdr>
                  <w:divsChild>
                    <w:div w:id="1952735454">
                      <w:marLeft w:val="0"/>
                      <w:marRight w:val="0"/>
                      <w:marTop w:val="0"/>
                      <w:marBottom w:val="0"/>
                      <w:divBdr>
                        <w:top w:val="none" w:sz="0" w:space="0" w:color="auto"/>
                        <w:left w:val="none" w:sz="0" w:space="0" w:color="auto"/>
                        <w:bottom w:val="none" w:sz="0" w:space="0" w:color="auto"/>
                        <w:right w:val="none" w:sz="0" w:space="0" w:color="auto"/>
                      </w:divBdr>
                      <w:divsChild>
                        <w:div w:id="386878756">
                          <w:marLeft w:val="0"/>
                          <w:marRight w:val="0"/>
                          <w:marTop w:val="0"/>
                          <w:marBottom w:val="0"/>
                          <w:divBdr>
                            <w:top w:val="none" w:sz="0" w:space="0" w:color="auto"/>
                            <w:left w:val="none" w:sz="0" w:space="0" w:color="auto"/>
                            <w:bottom w:val="none" w:sz="0" w:space="0" w:color="auto"/>
                            <w:right w:val="none" w:sz="0" w:space="0" w:color="auto"/>
                          </w:divBdr>
                          <w:divsChild>
                            <w:div w:id="1563826809">
                              <w:marLeft w:val="0"/>
                              <w:marRight w:val="0"/>
                              <w:marTop w:val="0"/>
                              <w:marBottom w:val="0"/>
                              <w:divBdr>
                                <w:top w:val="none" w:sz="0" w:space="0" w:color="auto"/>
                                <w:left w:val="none" w:sz="0" w:space="0" w:color="auto"/>
                                <w:bottom w:val="none" w:sz="0" w:space="0" w:color="auto"/>
                                <w:right w:val="none" w:sz="0" w:space="0" w:color="auto"/>
                              </w:divBdr>
                              <w:divsChild>
                                <w:div w:id="214226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0792830">
      <w:bodyDiv w:val="1"/>
      <w:marLeft w:val="0"/>
      <w:marRight w:val="0"/>
      <w:marTop w:val="0"/>
      <w:marBottom w:val="0"/>
      <w:divBdr>
        <w:top w:val="none" w:sz="0" w:space="0" w:color="auto"/>
        <w:left w:val="none" w:sz="0" w:space="0" w:color="auto"/>
        <w:bottom w:val="none" w:sz="0" w:space="0" w:color="auto"/>
        <w:right w:val="none" w:sz="0" w:space="0" w:color="auto"/>
      </w:divBdr>
    </w:div>
    <w:div w:id="642733991">
      <w:bodyDiv w:val="1"/>
      <w:marLeft w:val="0"/>
      <w:marRight w:val="0"/>
      <w:marTop w:val="0"/>
      <w:marBottom w:val="0"/>
      <w:divBdr>
        <w:top w:val="none" w:sz="0" w:space="0" w:color="auto"/>
        <w:left w:val="none" w:sz="0" w:space="0" w:color="auto"/>
        <w:bottom w:val="none" w:sz="0" w:space="0" w:color="auto"/>
        <w:right w:val="none" w:sz="0" w:space="0" w:color="auto"/>
      </w:divBdr>
      <w:divsChild>
        <w:div w:id="459693771">
          <w:marLeft w:val="0"/>
          <w:marRight w:val="0"/>
          <w:marTop w:val="0"/>
          <w:marBottom w:val="0"/>
          <w:divBdr>
            <w:top w:val="none" w:sz="0" w:space="0" w:color="auto"/>
            <w:left w:val="none" w:sz="0" w:space="0" w:color="auto"/>
            <w:bottom w:val="none" w:sz="0" w:space="0" w:color="auto"/>
            <w:right w:val="none" w:sz="0" w:space="0" w:color="auto"/>
          </w:divBdr>
          <w:divsChild>
            <w:div w:id="625625574">
              <w:marLeft w:val="0"/>
              <w:marRight w:val="0"/>
              <w:marTop w:val="0"/>
              <w:marBottom w:val="0"/>
              <w:divBdr>
                <w:top w:val="none" w:sz="0" w:space="0" w:color="auto"/>
                <w:left w:val="none" w:sz="0" w:space="0" w:color="auto"/>
                <w:bottom w:val="none" w:sz="0" w:space="0" w:color="auto"/>
                <w:right w:val="none" w:sz="0" w:space="0" w:color="auto"/>
              </w:divBdr>
              <w:divsChild>
                <w:div w:id="52703093">
                  <w:marLeft w:val="0"/>
                  <w:marRight w:val="0"/>
                  <w:marTop w:val="0"/>
                  <w:marBottom w:val="0"/>
                  <w:divBdr>
                    <w:top w:val="none" w:sz="0" w:space="0" w:color="auto"/>
                    <w:left w:val="none" w:sz="0" w:space="0" w:color="auto"/>
                    <w:bottom w:val="none" w:sz="0" w:space="0" w:color="auto"/>
                    <w:right w:val="none" w:sz="0" w:space="0" w:color="auto"/>
                  </w:divBdr>
                  <w:divsChild>
                    <w:div w:id="1570648801">
                      <w:marLeft w:val="0"/>
                      <w:marRight w:val="0"/>
                      <w:marTop w:val="0"/>
                      <w:marBottom w:val="0"/>
                      <w:divBdr>
                        <w:top w:val="none" w:sz="0" w:space="0" w:color="auto"/>
                        <w:left w:val="none" w:sz="0" w:space="0" w:color="auto"/>
                        <w:bottom w:val="none" w:sz="0" w:space="0" w:color="auto"/>
                        <w:right w:val="none" w:sz="0" w:space="0" w:color="auto"/>
                      </w:divBdr>
                      <w:divsChild>
                        <w:div w:id="1247226098">
                          <w:marLeft w:val="0"/>
                          <w:marRight w:val="0"/>
                          <w:marTop w:val="0"/>
                          <w:marBottom w:val="0"/>
                          <w:divBdr>
                            <w:top w:val="none" w:sz="0" w:space="0" w:color="auto"/>
                            <w:left w:val="none" w:sz="0" w:space="0" w:color="auto"/>
                            <w:bottom w:val="none" w:sz="0" w:space="0" w:color="auto"/>
                            <w:right w:val="none" w:sz="0" w:space="0" w:color="auto"/>
                          </w:divBdr>
                          <w:divsChild>
                            <w:div w:id="1882282256">
                              <w:marLeft w:val="0"/>
                              <w:marRight w:val="0"/>
                              <w:marTop w:val="0"/>
                              <w:marBottom w:val="0"/>
                              <w:divBdr>
                                <w:top w:val="none" w:sz="0" w:space="0" w:color="auto"/>
                                <w:left w:val="none" w:sz="0" w:space="0" w:color="auto"/>
                                <w:bottom w:val="none" w:sz="0" w:space="0" w:color="auto"/>
                                <w:right w:val="none" w:sz="0" w:space="0" w:color="auto"/>
                              </w:divBdr>
                              <w:divsChild>
                                <w:div w:id="510027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3259345">
      <w:bodyDiv w:val="1"/>
      <w:marLeft w:val="0"/>
      <w:marRight w:val="0"/>
      <w:marTop w:val="0"/>
      <w:marBottom w:val="0"/>
      <w:divBdr>
        <w:top w:val="none" w:sz="0" w:space="0" w:color="auto"/>
        <w:left w:val="none" w:sz="0" w:space="0" w:color="auto"/>
        <w:bottom w:val="none" w:sz="0" w:space="0" w:color="auto"/>
        <w:right w:val="none" w:sz="0" w:space="0" w:color="auto"/>
      </w:divBdr>
      <w:divsChild>
        <w:div w:id="103963305">
          <w:marLeft w:val="0"/>
          <w:marRight w:val="0"/>
          <w:marTop w:val="0"/>
          <w:marBottom w:val="0"/>
          <w:divBdr>
            <w:top w:val="none" w:sz="0" w:space="0" w:color="auto"/>
            <w:left w:val="none" w:sz="0" w:space="0" w:color="auto"/>
            <w:bottom w:val="none" w:sz="0" w:space="0" w:color="auto"/>
            <w:right w:val="none" w:sz="0" w:space="0" w:color="auto"/>
          </w:divBdr>
          <w:divsChild>
            <w:div w:id="186986079">
              <w:marLeft w:val="0"/>
              <w:marRight w:val="0"/>
              <w:marTop w:val="0"/>
              <w:marBottom w:val="0"/>
              <w:divBdr>
                <w:top w:val="none" w:sz="0" w:space="0" w:color="auto"/>
                <w:left w:val="none" w:sz="0" w:space="0" w:color="auto"/>
                <w:bottom w:val="none" w:sz="0" w:space="0" w:color="auto"/>
                <w:right w:val="none" w:sz="0" w:space="0" w:color="auto"/>
              </w:divBdr>
              <w:divsChild>
                <w:div w:id="1148673251">
                  <w:marLeft w:val="0"/>
                  <w:marRight w:val="0"/>
                  <w:marTop w:val="0"/>
                  <w:marBottom w:val="0"/>
                  <w:divBdr>
                    <w:top w:val="none" w:sz="0" w:space="0" w:color="auto"/>
                    <w:left w:val="none" w:sz="0" w:space="0" w:color="auto"/>
                    <w:bottom w:val="none" w:sz="0" w:space="0" w:color="auto"/>
                    <w:right w:val="none" w:sz="0" w:space="0" w:color="auto"/>
                  </w:divBdr>
                  <w:divsChild>
                    <w:div w:id="1290089064">
                      <w:marLeft w:val="0"/>
                      <w:marRight w:val="0"/>
                      <w:marTop w:val="0"/>
                      <w:marBottom w:val="0"/>
                      <w:divBdr>
                        <w:top w:val="none" w:sz="0" w:space="0" w:color="auto"/>
                        <w:left w:val="none" w:sz="0" w:space="0" w:color="auto"/>
                        <w:bottom w:val="none" w:sz="0" w:space="0" w:color="auto"/>
                        <w:right w:val="none" w:sz="0" w:space="0" w:color="auto"/>
                      </w:divBdr>
                      <w:divsChild>
                        <w:div w:id="1603413273">
                          <w:marLeft w:val="0"/>
                          <w:marRight w:val="0"/>
                          <w:marTop w:val="0"/>
                          <w:marBottom w:val="0"/>
                          <w:divBdr>
                            <w:top w:val="none" w:sz="0" w:space="0" w:color="auto"/>
                            <w:left w:val="none" w:sz="0" w:space="0" w:color="auto"/>
                            <w:bottom w:val="none" w:sz="0" w:space="0" w:color="auto"/>
                            <w:right w:val="none" w:sz="0" w:space="0" w:color="auto"/>
                          </w:divBdr>
                          <w:divsChild>
                            <w:div w:id="1540585763">
                              <w:marLeft w:val="0"/>
                              <w:marRight w:val="0"/>
                              <w:marTop w:val="0"/>
                              <w:marBottom w:val="0"/>
                              <w:divBdr>
                                <w:top w:val="none" w:sz="0" w:space="0" w:color="auto"/>
                                <w:left w:val="none" w:sz="0" w:space="0" w:color="auto"/>
                                <w:bottom w:val="none" w:sz="0" w:space="0" w:color="auto"/>
                                <w:right w:val="none" w:sz="0" w:space="0" w:color="auto"/>
                              </w:divBdr>
                              <w:divsChild>
                                <w:div w:id="85677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3310739">
      <w:bodyDiv w:val="1"/>
      <w:marLeft w:val="0"/>
      <w:marRight w:val="0"/>
      <w:marTop w:val="0"/>
      <w:marBottom w:val="0"/>
      <w:divBdr>
        <w:top w:val="none" w:sz="0" w:space="0" w:color="auto"/>
        <w:left w:val="none" w:sz="0" w:space="0" w:color="auto"/>
        <w:bottom w:val="none" w:sz="0" w:space="0" w:color="auto"/>
        <w:right w:val="none" w:sz="0" w:space="0" w:color="auto"/>
      </w:divBdr>
    </w:div>
    <w:div w:id="810711440">
      <w:bodyDiv w:val="1"/>
      <w:marLeft w:val="0"/>
      <w:marRight w:val="0"/>
      <w:marTop w:val="0"/>
      <w:marBottom w:val="0"/>
      <w:divBdr>
        <w:top w:val="none" w:sz="0" w:space="0" w:color="auto"/>
        <w:left w:val="none" w:sz="0" w:space="0" w:color="auto"/>
        <w:bottom w:val="none" w:sz="0" w:space="0" w:color="auto"/>
        <w:right w:val="none" w:sz="0" w:space="0" w:color="auto"/>
      </w:divBdr>
    </w:div>
    <w:div w:id="1044720558">
      <w:bodyDiv w:val="1"/>
      <w:marLeft w:val="0"/>
      <w:marRight w:val="0"/>
      <w:marTop w:val="0"/>
      <w:marBottom w:val="0"/>
      <w:divBdr>
        <w:top w:val="none" w:sz="0" w:space="0" w:color="auto"/>
        <w:left w:val="none" w:sz="0" w:space="0" w:color="auto"/>
        <w:bottom w:val="none" w:sz="0" w:space="0" w:color="auto"/>
        <w:right w:val="none" w:sz="0" w:space="0" w:color="auto"/>
      </w:divBdr>
    </w:div>
    <w:div w:id="1048338223">
      <w:bodyDiv w:val="1"/>
      <w:marLeft w:val="0"/>
      <w:marRight w:val="0"/>
      <w:marTop w:val="0"/>
      <w:marBottom w:val="0"/>
      <w:divBdr>
        <w:top w:val="none" w:sz="0" w:space="0" w:color="auto"/>
        <w:left w:val="none" w:sz="0" w:space="0" w:color="auto"/>
        <w:bottom w:val="none" w:sz="0" w:space="0" w:color="auto"/>
        <w:right w:val="none" w:sz="0" w:space="0" w:color="auto"/>
      </w:divBdr>
    </w:div>
    <w:div w:id="1048457923">
      <w:bodyDiv w:val="1"/>
      <w:marLeft w:val="0"/>
      <w:marRight w:val="0"/>
      <w:marTop w:val="0"/>
      <w:marBottom w:val="0"/>
      <w:divBdr>
        <w:top w:val="none" w:sz="0" w:space="0" w:color="auto"/>
        <w:left w:val="none" w:sz="0" w:space="0" w:color="auto"/>
        <w:bottom w:val="none" w:sz="0" w:space="0" w:color="auto"/>
        <w:right w:val="none" w:sz="0" w:space="0" w:color="auto"/>
      </w:divBdr>
    </w:div>
    <w:div w:id="1066295303">
      <w:bodyDiv w:val="1"/>
      <w:marLeft w:val="0"/>
      <w:marRight w:val="0"/>
      <w:marTop w:val="0"/>
      <w:marBottom w:val="0"/>
      <w:divBdr>
        <w:top w:val="none" w:sz="0" w:space="0" w:color="auto"/>
        <w:left w:val="none" w:sz="0" w:space="0" w:color="auto"/>
        <w:bottom w:val="none" w:sz="0" w:space="0" w:color="auto"/>
        <w:right w:val="none" w:sz="0" w:space="0" w:color="auto"/>
      </w:divBdr>
    </w:div>
    <w:div w:id="1069034736">
      <w:bodyDiv w:val="1"/>
      <w:marLeft w:val="0"/>
      <w:marRight w:val="0"/>
      <w:marTop w:val="0"/>
      <w:marBottom w:val="0"/>
      <w:divBdr>
        <w:top w:val="none" w:sz="0" w:space="0" w:color="auto"/>
        <w:left w:val="none" w:sz="0" w:space="0" w:color="auto"/>
        <w:bottom w:val="none" w:sz="0" w:space="0" w:color="auto"/>
        <w:right w:val="none" w:sz="0" w:space="0" w:color="auto"/>
      </w:divBdr>
    </w:div>
    <w:div w:id="1188257817">
      <w:bodyDiv w:val="1"/>
      <w:marLeft w:val="0"/>
      <w:marRight w:val="0"/>
      <w:marTop w:val="0"/>
      <w:marBottom w:val="0"/>
      <w:divBdr>
        <w:top w:val="none" w:sz="0" w:space="0" w:color="auto"/>
        <w:left w:val="none" w:sz="0" w:space="0" w:color="auto"/>
        <w:bottom w:val="none" w:sz="0" w:space="0" w:color="auto"/>
        <w:right w:val="none" w:sz="0" w:space="0" w:color="auto"/>
      </w:divBdr>
    </w:div>
    <w:div w:id="1240140977">
      <w:bodyDiv w:val="1"/>
      <w:marLeft w:val="0"/>
      <w:marRight w:val="0"/>
      <w:marTop w:val="0"/>
      <w:marBottom w:val="0"/>
      <w:divBdr>
        <w:top w:val="none" w:sz="0" w:space="0" w:color="auto"/>
        <w:left w:val="none" w:sz="0" w:space="0" w:color="auto"/>
        <w:bottom w:val="none" w:sz="0" w:space="0" w:color="auto"/>
        <w:right w:val="none" w:sz="0" w:space="0" w:color="auto"/>
      </w:divBdr>
    </w:div>
    <w:div w:id="1241600157">
      <w:bodyDiv w:val="1"/>
      <w:marLeft w:val="0"/>
      <w:marRight w:val="0"/>
      <w:marTop w:val="0"/>
      <w:marBottom w:val="0"/>
      <w:divBdr>
        <w:top w:val="none" w:sz="0" w:space="0" w:color="auto"/>
        <w:left w:val="none" w:sz="0" w:space="0" w:color="auto"/>
        <w:bottom w:val="none" w:sz="0" w:space="0" w:color="auto"/>
        <w:right w:val="none" w:sz="0" w:space="0" w:color="auto"/>
      </w:divBdr>
      <w:divsChild>
        <w:div w:id="1194732115">
          <w:marLeft w:val="0"/>
          <w:marRight w:val="0"/>
          <w:marTop w:val="0"/>
          <w:marBottom w:val="0"/>
          <w:divBdr>
            <w:top w:val="none" w:sz="0" w:space="0" w:color="auto"/>
            <w:left w:val="none" w:sz="0" w:space="0" w:color="auto"/>
            <w:bottom w:val="none" w:sz="0" w:space="0" w:color="auto"/>
            <w:right w:val="none" w:sz="0" w:space="0" w:color="auto"/>
          </w:divBdr>
          <w:divsChild>
            <w:div w:id="450979869">
              <w:marLeft w:val="0"/>
              <w:marRight w:val="0"/>
              <w:marTop w:val="0"/>
              <w:marBottom w:val="0"/>
              <w:divBdr>
                <w:top w:val="none" w:sz="0" w:space="0" w:color="auto"/>
                <w:left w:val="none" w:sz="0" w:space="0" w:color="auto"/>
                <w:bottom w:val="none" w:sz="0" w:space="0" w:color="auto"/>
                <w:right w:val="none" w:sz="0" w:space="0" w:color="auto"/>
              </w:divBdr>
              <w:divsChild>
                <w:div w:id="1591964898">
                  <w:marLeft w:val="0"/>
                  <w:marRight w:val="0"/>
                  <w:marTop w:val="0"/>
                  <w:marBottom w:val="0"/>
                  <w:divBdr>
                    <w:top w:val="none" w:sz="0" w:space="0" w:color="auto"/>
                    <w:left w:val="none" w:sz="0" w:space="0" w:color="auto"/>
                    <w:bottom w:val="none" w:sz="0" w:space="0" w:color="auto"/>
                    <w:right w:val="none" w:sz="0" w:space="0" w:color="auto"/>
                  </w:divBdr>
                  <w:divsChild>
                    <w:div w:id="178475787">
                      <w:marLeft w:val="0"/>
                      <w:marRight w:val="0"/>
                      <w:marTop w:val="0"/>
                      <w:marBottom w:val="0"/>
                      <w:divBdr>
                        <w:top w:val="none" w:sz="0" w:space="0" w:color="auto"/>
                        <w:left w:val="none" w:sz="0" w:space="0" w:color="auto"/>
                        <w:bottom w:val="none" w:sz="0" w:space="0" w:color="auto"/>
                        <w:right w:val="none" w:sz="0" w:space="0" w:color="auto"/>
                      </w:divBdr>
                      <w:divsChild>
                        <w:div w:id="27875358">
                          <w:marLeft w:val="0"/>
                          <w:marRight w:val="0"/>
                          <w:marTop w:val="0"/>
                          <w:marBottom w:val="0"/>
                          <w:divBdr>
                            <w:top w:val="none" w:sz="0" w:space="0" w:color="auto"/>
                            <w:left w:val="none" w:sz="0" w:space="0" w:color="auto"/>
                            <w:bottom w:val="none" w:sz="0" w:space="0" w:color="auto"/>
                            <w:right w:val="none" w:sz="0" w:space="0" w:color="auto"/>
                          </w:divBdr>
                          <w:divsChild>
                            <w:div w:id="1043559589">
                              <w:marLeft w:val="0"/>
                              <w:marRight w:val="0"/>
                              <w:marTop w:val="0"/>
                              <w:marBottom w:val="0"/>
                              <w:divBdr>
                                <w:top w:val="none" w:sz="0" w:space="0" w:color="auto"/>
                                <w:left w:val="none" w:sz="0" w:space="0" w:color="auto"/>
                                <w:bottom w:val="none" w:sz="0" w:space="0" w:color="auto"/>
                                <w:right w:val="none" w:sz="0" w:space="0" w:color="auto"/>
                              </w:divBdr>
                              <w:divsChild>
                                <w:div w:id="189846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0190996">
      <w:bodyDiv w:val="1"/>
      <w:marLeft w:val="0"/>
      <w:marRight w:val="0"/>
      <w:marTop w:val="0"/>
      <w:marBottom w:val="0"/>
      <w:divBdr>
        <w:top w:val="none" w:sz="0" w:space="0" w:color="auto"/>
        <w:left w:val="none" w:sz="0" w:space="0" w:color="auto"/>
        <w:bottom w:val="none" w:sz="0" w:space="0" w:color="auto"/>
        <w:right w:val="none" w:sz="0" w:space="0" w:color="auto"/>
      </w:divBdr>
      <w:divsChild>
        <w:div w:id="134031652">
          <w:marLeft w:val="0"/>
          <w:marRight w:val="0"/>
          <w:marTop w:val="0"/>
          <w:marBottom w:val="0"/>
          <w:divBdr>
            <w:top w:val="none" w:sz="0" w:space="0" w:color="auto"/>
            <w:left w:val="none" w:sz="0" w:space="0" w:color="auto"/>
            <w:bottom w:val="none" w:sz="0" w:space="0" w:color="auto"/>
            <w:right w:val="none" w:sz="0" w:space="0" w:color="auto"/>
          </w:divBdr>
          <w:divsChild>
            <w:div w:id="932588621">
              <w:marLeft w:val="0"/>
              <w:marRight w:val="0"/>
              <w:marTop w:val="0"/>
              <w:marBottom w:val="0"/>
              <w:divBdr>
                <w:top w:val="none" w:sz="0" w:space="0" w:color="auto"/>
                <w:left w:val="none" w:sz="0" w:space="0" w:color="auto"/>
                <w:bottom w:val="none" w:sz="0" w:space="0" w:color="auto"/>
                <w:right w:val="none" w:sz="0" w:space="0" w:color="auto"/>
              </w:divBdr>
              <w:divsChild>
                <w:div w:id="180552335">
                  <w:marLeft w:val="0"/>
                  <w:marRight w:val="0"/>
                  <w:marTop w:val="0"/>
                  <w:marBottom w:val="0"/>
                  <w:divBdr>
                    <w:top w:val="none" w:sz="0" w:space="0" w:color="auto"/>
                    <w:left w:val="none" w:sz="0" w:space="0" w:color="auto"/>
                    <w:bottom w:val="none" w:sz="0" w:space="0" w:color="auto"/>
                    <w:right w:val="none" w:sz="0" w:space="0" w:color="auto"/>
                  </w:divBdr>
                  <w:divsChild>
                    <w:div w:id="475954111">
                      <w:marLeft w:val="0"/>
                      <w:marRight w:val="0"/>
                      <w:marTop w:val="0"/>
                      <w:marBottom w:val="0"/>
                      <w:divBdr>
                        <w:top w:val="none" w:sz="0" w:space="0" w:color="auto"/>
                        <w:left w:val="none" w:sz="0" w:space="0" w:color="auto"/>
                        <w:bottom w:val="none" w:sz="0" w:space="0" w:color="auto"/>
                        <w:right w:val="none" w:sz="0" w:space="0" w:color="auto"/>
                      </w:divBdr>
                      <w:divsChild>
                        <w:div w:id="1908570668">
                          <w:marLeft w:val="0"/>
                          <w:marRight w:val="0"/>
                          <w:marTop w:val="0"/>
                          <w:marBottom w:val="0"/>
                          <w:divBdr>
                            <w:top w:val="none" w:sz="0" w:space="0" w:color="auto"/>
                            <w:left w:val="none" w:sz="0" w:space="0" w:color="auto"/>
                            <w:bottom w:val="none" w:sz="0" w:space="0" w:color="auto"/>
                            <w:right w:val="none" w:sz="0" w:space="0" w:color="auto"/>
                          </w:divBdr>
                          <w:divsChild>
                            <w:div w:id="1149246852">
                              <w:marLeft w:val="0"/>
                              <w:marRight w:val="0"/>
                              <w:marTop w:val="0"/>
                              <w:marBottom w:val="0"/>
                              <w:divBdr>
                                <w:top w:val="none" w:sz="0" w:space="0" w:color="auto"/>
                                <w:left w:val="none" w:sz="0" w:space="0" w:color="auto"/>
                                <w:bottom w:val="none" w:sz="0" w:space="0" w:color="auto"/>
                                <w:right w:val="none" w:sz="0" w:space="0" w:color="auto"/>
                              </w:divBdr>
                              <w:divsChild>
                                <w:div w:id="208175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1811074">
      <w:bodyDiv w:val="1"/>
      <w:marLeft w:val="0"/>
      <w:marRight w:val="0"/>
      <w:marTop w:val="0"/>
      <w:marBottom w:val="0"/>
      <w:divBdr>
        <w:top w:val="none" w:sz="0" w:space="0" w:color="auto"/>
        <w:left w:val="none" w:sz="0" w:space="0" w:color="auto"/>
        <w:bottom w:val="none" w:sz="0" w:space="0" w:color="auto"/>
        <w:right w:val="none" w:sz="0" w:space="0" w:color="auto"/>
      </w:divBdr>
    </w:div>
    <w:div w:id="1425221688">
      <w:bodyDiv w:val="1"/>
      <w:marLeft w:val="0"/>
      <w:marRight w:val="0"/>
      <w:marTop w:val="0"/>
      <w:marBottom w:val="0"/>
      <w:divBdr>
        <w:top w:val="none" w:sz="0" w:space="0" w:color="auto"/>
        <w:left w:val="none" w:sz="0" w:space="0" w:color="auto"/>
        <w:bottom w:val="none" w:sz="0" w:space="0" w:color="auto"/>
        <w:right w:val="none" w:sz="0" w:space="0" w:color="auto"/>
      </w:divBdr>
    </w:div>
    <w:div w:id="1480725007">
      <w:bodyDiv w:val="1"/>
      <w:marLeft w:val="0"/>
      <w:marRight w:val="0"/>
      <w:marTop w:val="0"/>
      <w:marBottom w:val="0"/>
      <w:divBdr>
        <w:top w:val="none" w:sz="0" w:space="0" w:color="auto"/>
        <w:left w:val="none" w:sz="0" w:space="0" w:color="auto"/>
        <w:bottom w:val="none" w:sz="0" w:space="0" w:color="auto"/>
        <w:right w:val="none" w:sz="0" w:space="0" w:color="auto"/>
      </w:divBdr>
    </w:div>
    <w:div w:id="1487430951">
      <w:bodyDiv w:val="1"/>
      <w:marLeft w:val="0"/>
      <w:marRight w:val="0"/>
      <w:marTop w:val="0"/>
      <w:marBottom w:val="0"/>
      <w:divBdr>
        <w:top w:val="none" w:sz="0" w:space="0" w:color="auto"/>
        <w:left w:val="none" w:sz="0" w:space="0" w:color="auto"/>
        <w:bottom w:val="none" w:sz="0" w:space="0" w:color="auto"/>
        <w:right w:val="none" w:sz="0" w:space="0" w:color="auto"/>
      </w:divBdr>
    </w:div>
    <w:div w:id="1516311232">
      <w:bodyDiv w:val="1"/>
      <w:marLeft w:val="0"/>
      <w:marRight w:val="0"/>
      <w:marTop w:val="0"/>
      <w:marBottom w:val="0"/>
      <w:divBdr>
        <w:top w:val="none" w:sz="0" w:space="0" w:color="auto"/>
        <w:left w:val="none" w:sz="0" w:space="0" w:color="auto"/>
        <w:bottom w:val="none" w:sz="0" w:space="0" w:color="auto"/>
        <w:right w:val="none" w:sz="0" w:space="0" w:color="auto"/>
      </w:divBdr>
      <w:divsChild>
        <w:div w:id="658726317">
          <w:marLeft w:val="0"/>
          <w:marRight w:val="0"/>
          <w:marTop w:val="0"/>
          <w:marBottom w:val="0"/>
          <w:divBdr>
            <w:top w:val="none" w:sz="0" w:space="0" w:color="auto"/>
            <w:left w:val="none" w:sz="0" w:space="0" w:color="auto"/>
            <w:bottom w:val="none" w:sz="0" w:space="0" w:color="auto"/>
            <w:right w:val="none" w:sz="0" w:space="0" w:color="auto"/>
          </w:divBdr>
          <w:divsChild>
            <w:div w:id="1708944105">
              <w:marLeft w:val="0"/>
              <w:marRight w:val="0"/>
              <w:marTop w:val="0"/>
              <w:marBottom w:val="0"/>
              <w:divBdr>
                <w:top w:val="none" w:sz="0" w:space="0" w:color="auto"/>
                <w:left w:val="none" w:sz="0" w:space="0" w:color="auto"/>
                <w:bottom w:val="none" w:sz="0" w:space="0" w:color="auto"/>
                <w:right w:val="none" w:sz="0" w:space="0" w:color="auto"/>
              </w:divBdr>
              <w:divsChild>
                <w:div w:id="81219178">
                  <w:marLeft w:val="0"/>
                  <w:marRight w:val="0"/>
                  <w:marTop w:val="0"/>
                  <w:marBottom w:val="0"/>
                  <w:divBdr>
                    <w:top w:val="none" w:sz="0" w:space="0" w:color="auto"/>
                    <w:left w:val="none" w:sz="0" w:space="0" w:color="auto"/>
                    <w:bottom w:val="none" w:sz="0" w:space="0" w:color="auto"/>
                    <w:right w:val="none" w:sz="0" w:space="0" w:color="auto"/>
                  </w:divBdr>
                  <w:divsChild>
                    <w:div w:id="968823632">
                      <w:marLeft w:val="0"/>
                      <w:marRight w:val="0"/>
                      <w:marTop w:val="0"/>
                      <w:marBottom w:val="0"/>
                      <w:divBdr>
                        <w:top w:val="none" w:sz="0" w:space="0" w:color="auto"/>
                        <w:left w:val="none" w:sz="0" w:space="0" w:color="auto"/>
                        <w:bottom w:val="none" w:sz="0" w:space="0" w:color="auto"/>
                        <w:right w:val="none" w:sz="0" w:space="0" w:color="auto"/>
                      </w:divBdr>
                      <w:divsChild>
                        <w:div w:id="2023775286">
                          <w:marLeft w:val="0"/>
                          <w:marRight w:val="0"/>
                          <w:marTop w:val="0"/>
                          <w:marBottom w:val="0"/>
                          <w:divBdr>
                            <w:top w:val="none" w:sz="0" w:space="0" w:color="auto"/>
                            <w:left w:val="none" w:sz="0" w:space="0" w:color="auto"/>
                            <w:bottom w:val="none" w:sz="0" w:space="0" w:color="auto"/>
                            <w:right w:val="none" w:sz="0" w:space="0" w:color="auto"/>
                          </w:divBdr>
                          <w:divsChild>
                            <w:div w:id="1262563428">
                              <w:marLeft w:val="0"/>
                              <w:marRight w:val="0"/>
                              <w:marTop w:val="0"/>
                              <w:marBottom w:val="0"/>
                              <w:divBdr>
                                <w:top w:val="none" w:sz="0" w:space="0" w:color="auto"/>
                                <w:left w:val="none" w:sz="0" w:space="0" w:color="auto"/>
                                <w:bottom w:val="none" w:sz="0" w:space="0" w:color="auto"/>
                                <w:right w:val="none" w:sz="0" w:space="0" w:color="auto"/>
                              </w:divBdr>
                              <w:divsChild>
                                <w:div w:id="52756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8131061">
      <w:bodyDiv w:val="1"/>
      <w:marLeft w:val="0"/>
      <w:marRight w:val="0"/>
      <w:marTop w:val="0"/>
      <w:marBottom w:val="0"/>
      <w:divBdr>
        <w:top w:val="none" w:sz="0" w:space="0" w:color="auto"/>
        <w:left w:val="none" w:sz="0" w:space="0" w:color="auto"/>
        <w:bottom w:val="none" w:sz="0" w:space="0" w:color="auto"/>
        <w:right w:val="none" w:sz="0" w:space="0" w:color="auto"/>
      </w:divBdr>
      <w:divsChild>
        <w:div w:id="201527533">
          <w:marLeft w:val="0"/>
          <w:marRight w:val="0"/>
          <w:marTop w:val="0"/>
          <w:marBottom w:val="0"/>
          <w:divBdr>
            <w:top w:val="none" w:sz="0" w:space="0" w:color="auto"/>
            <w:left w:val="none" w:sz="0" w:space="0" w:color="auto"/>
            <w:bottom w:val="none" w:sz="0" w:space="0" w:color="auto"/>
            <w:right w:val="none" w:sz="0" w:space="0" w:color="auto"/>
          </w:divBdr>
          <w:divsChild>
            <w:div w:id="1246764361">
              <w:marLeft w:val="0"/>
              <w:marRight w:val="0"/>
              <w:marTop w:val="0"/>
              <w:marBottom w:val="0"/>
              <w:divBdr>
                <w:top w:val="none" w:sz="0" w:space="0" w:color="auto"/>
                <w:left w:val="none" w:sz="0" w:space="0" w:color="auto"/>
                <w:bottom w:val="none" w:sz="0" w:space="0" w:color="auto"/>
                <w:right w:val="none" w:sz="0" w:space="0" w:color="auto"/>
              </w:divBdr>
              <w:divsChild>
                <w:div w:id="449787009">
                  <w:marLeft w:val="0"/>
                  <w:marRight w:val="0"/>
                  <w:marTop w:val="0"/>
                  <w:marBottom w:val="0"/>
                  <w:divBdr>
                    <w:top w:val="none" w:sz="0" w:space="0" w:color="auto"/>
                    <w:left w:val="none" w:sz="0" w:space="0" w:color="auto"/>
                    <w:bottom w:val="none" w:sz="0" w:space="0" w:color="auto"/>
                    <w:right w:val="none" w:sz="0" w:space="0" w:color="auto"/>
                  </w:divBdr>
                  <w:divsChild>
                    <w:div w:id="2053187187">
                      <w:marLeft w:val="0"/>
                      <w:marRight w:val="0"/>
                      <w:marTop w:val="0"/>
                      <w:marBottom w:val="0"/>
                      <w:divBdr>
                        <w:top w:val="none" w:sz="0" w:space="0" w:color="auto"/>
                        <w:left w:val="none" w:sz="0" w:space="0" w:color="auto"/>
                        <w:bottom w:val="none" w:sz="0" w:space="0" w:color="auto"/>
                        <w:right w:val="none" w:sz="0" w:space="0" w:color="auto"/>
                      </w:divBdr>
                      <w:divsChild>
                        <w:div w:id="1881670903">
                          <w:marLeft w:val="0"/>
                          <w:marRight w:val="0"/>
                          <w:marTop w:val="0"/>
                          <w:marBottom w:val="0"/>
                          <w:divBdr>
                            <w:top w:val="none" w:sz="0" w:space="0" w:color="auto"/>
                            <w:left w:val="none" w:sz="0" w:space="0" w:color="auto"/>
                            <w:bottom w:val="none" w:sz="0" w:space="0" w:color="auto"/>
                            <w:right w:val="none" w:sz="0" w:space="0" w:color="auto"/>
                          </w:divBdr>
                          <w:divsChild>
                            <w:div w:id="490411226">
                              <w:marLeft w:val="0"/>
                              <w:marRight w:val="0"/>
                              <w:marTop w:val="0"/>
                              <w:marBottom w:val="0"/>
                              <w:divBdr>
                                <w:top w:val="none" w:sz="0" w:space="0" w:color="auto"/>
                                <w:left w:val="none" w:sz="0" w:space="0" w:color="auto"/>
                                <w:bottom w:val="none" w:sz="0" w:space="0" w:color="auto"/>
                                <w:right w:val="none" w:sz="0" w:space="0" w:color="auto"/>
                              </w:divBdr>
                              <w:divsChild>
                                <w:div w:id="24716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4802495">
      <w:bodyDiv w:val="1"/>
      <w:marLeft w:val="0"/>
      <w:marRight w:val="0"/>
      <w:marTop w:val="0"/>
      <w:marBottom w:val="0"/>
      <w:divBdr>
        <w:top w:val="none" w:sz="0" w:space="0" w:color="auto"/>
        <w:left w:val="none" w:sz="0" w:space="0" w:color="auto"/>
        <w:bottom w:val="none" w:sz="0" w:space="0" w:color="auto"/>
        <w:right w:val="none" w:sz="0" w:space="0" w:color="auto"/>
      </w:divBdr>
    </w:div>
    <w:div w:id="1609922773">
      <w:bodyDiv w:val="1"/>
      <w:marLeft w:val="0"/>
      <w:marRight w:val="0"/>
      <w:marTop w:val="0"/>
      <w:marBottom w:val="0"/>
      <w:divBdr>
        <w:top w:val="none" w:sz="0" w:space="0" w:color="auto"/>
        <w:left w:val="none" w:sz="0" w:space="0" w:color="auto"/>
        <w:bottom w:val="none" w:sz="0" w:space="0" w:color="auto"/>
        <w:right w:val="none" w:sz="0" w:space="0" w:color="auto"/>
      </w:divBdr>
      <w:divsChild>
        <w:div w:id="1249076567">
          <w:marLeft w:val="0"/>
          <w:marRight w:val="0"/>
          <w:marTop w:val="0"/>
          <w:marBottom w:val="0"/>
          <w:divBdr>
            <w:top w:val="none" w:sz="0" w:space="0" w:color="auto"/>
            <w:left w:val="none" w:sz="0" w:space="0" w:color="auto"/>
            <w:bottom w:val="none" w:sz="0" w:space="0" w:color="auto"/>
            <w:right w:val="none" w:sz="0" w:space="0" w:color="auto"/>
          </w:divBdr>
          <w:divsChild>
            <w:div w:id="178009264">
              <w:marLeft w:val="0"/>
              <w:marRight w:val="0"/>
              <w:marTop w:val="0"/>
              <w:marBottom w:val="0"/>
              <w:divBdr>
                <w:top w:val="none" w:sz="0" w:space="0" w:color="auto"/>
                <w:left w:val="none" w:sz="0" w:space="0" w:color="auto"/>
                <w:bottom w:val="none" w:sz="0" w:space="0" w:color="auto"/>
                <w:right w:val="none" w:sz="0" w:space="0" w:color="auto"/>
              </w:divBdr>
              <w:divsChild>
                <w:div w:id="221987081">
                  <w:marLeft w:val="0"/>
                  <w:marRight w:val="0"/>
                  <w:marTop w:val="0"/>
                  <w:marBottom w:val="0"/>
                  <w:divBdr>
                    <w:top w:val="none" w:sz="0" w:space="0" w:color="auto"/>
                    <w:left w:val="none" w:sz="0" w:space="0" w:color="auto"/>
                    <w:bottom w:val="none" w:sz="0" w:space="0" w:color="auto"/>
                    <w:right w:val="none" w:sz="0" w:space="0" w:color="auto"/>
                  </w:divBdr>
                  <w:divsChild>
                    <w:div w:id="103423038">
                      <w:marLeft w:val="0"/>
                      <w:marRight w:val="0"/>
                      <w:marTop w:val="0"/>
                      <w:marBottom w:val="0"/>
                      <w:divBdr>
                        <w:top w:val="none" w:sz="0" w:space="0" w:color="auto"/>
                        <w:left w:val="none" w:sz="0" w:space="0" w:color="auto"/>
                        <w:bottom w:val="none" w:sz="0" w:space="0" w:color="auto"/>
                        <w:right w:val="none" w:sz="0" w:space="0" w:color="auto"/>
                      </w:divBdr>
                      <w:divsChild>
                        <w:div w:id="9916952">
                          <w:marLeft w:val="0"/>
                          <w:marRight w:val="0"/>
                          <w:marTop w:val="0"/>
                          <w:marBottom w:val="0"/>
                          <w:divBdr>
                            <w:top w:val="none" w:sz="0" w:space="0" w:color="auto"/>
                            <w:left w:val="none" w:sz="0" w:space="0" w:color="auto"/>
                            <w:bottom w:val="none" w:sz="0" w:space="0" w:color="auto"/>
                            <w:right w:val="none" w:sz="0" w:space="0" w:color="auto"/>
                          </w:divBdr>
                          <w:divsChild>
                            <w:div w:id="1672877057">
                              <w:marLeft w:val="0"/>
                              <w:marRight w:val="0"/>
                              <w:marTop w:val="0"/>
                              <w:marBottom w:val="0"/>
                              <w:divBdr>
                                <w:top w:val="none" w:sz="0" w:space="0" w:color="auto"/>
                                <w:left w:val="none" w:sz="0" w:space="0" w:color="auto"/>
                                <w:bottom w:val="none" w:sz="0" w:space="0" w:color="auto"/>
                                <w:right w:val="none" w:sz="0" w:space="0" w:color="auto"/>
                              </w:divBdr>
                              <w:divsChild>
                                <w:div w:id="126399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1903267">
      <w:bodyDiv w:val="1"/>
      <w:marLeft w:val="0"/>
      <w:marRight w:val="0"/>
      <w:marTop w:val="0"/>
      <w:marBottom w:val="0"/>
      <w:divBdr>
        <w:top w:val="none" w:sz="0" w:space="0" w:color="auto"/>
        <w:left w:val="none" w:sz="0" w:space="0" w:color="auto"/>
        <w:bottom w:val="none" w:sz="0" w:space="0" w:color="auto"/>
        <w:right w:val="none" w:sz="0" w:space="0" w:color="auto"/>
      </w:divBdr>
      <w:divsChild>
        <w:div w:id="865485841">
          <w:marLeft w:val="0"/>
          <w:marRight w:val="0"/>
          <w:marTop w:val="0"/>
          <w:marBottom w:val="0"/>
          <w:divBdr>
            <w:top w:val="none" w:sz="0" w:space="0" w:color="auto"/>
            <w:left w:val="none" w:sz="0" w:space="0" w:color="auto"/>
            <w:bottom w:val="none" w:sz="0" w:space="0" w:color="auto"/>
            <w:right w:val="none" w:sz="0" w:space="0" w:color="auto"/>
          </w:divBdr>
          <w:divsChild>
            <w:div w:id="661662954">
              <w:marLeft w:val="0"/>
              <w:marRight w:val="0"/>
              <w:marTop w:val="0"/>
              <w:marBottom w:val="0"/>
              <w:divBdr>
                <w:top w:val="none" w:sz="0" w:space="0" w:color="auto"/>
                <w:left w:val="none" w:sz="0" w:space="0" w:color="auto"/>
                <w:bottom w:val="none" w:sz="0" w:space="0" w:color="auto"/>
                <w:right w:val="none" w:sz="0" w:space="0" w:color="auto"/>
              </w:divBdr>
              <w:divsChild>
                <w:div w:id="1312368453">
                  <w:marLeft w:val="0"/>
                  <w:marRight w:val="0"/>
                  <w:marTop w:val="0"/>
                  <w:marBottom w:val="0"/>
                  <w:divBdr>
                    <w:top w:val="none" w:sz="0" w:space="0" w:color="auto"/>
                    <w:left w:val="none" w:sz="0" w:space="0" w:color="auto"/>
                    <w:bottom w:val="none" w:sz="0" w:space="0" w:color="auto"/>
                    <w:right w:val="none" w:sz="0" w:space="0" w:color="auto"/>
                  </w:divBdr>
                  <w:divsChild>
                    <w:div w:id="1202548989">
                      <w:marLeft w:val="0"/>
                      <w:marRight w:val="0"/>
                      <w:marTop w:val="0"/>
                      <w:marBottom w:val="0"/>
                      <w:divBdr>
                        <w:top w:val="none" w:sz="0" w:space="0" w:color="auto"/>
                        <w:left w:val="none" w:sz="0" w:space="0" w:color="auto"/>
                        <w:bottom w:val="none" w:sz="0" w:space="0" w:color="auto"/>
                        <w:right w:val="none" w:sz="0" w:space="0" w:color="auto"/>
                      </w:divBdr>
                      <w:divsChild>
                        <w:div w:id="1689327242">
                          <w:marLeft w:val="0"/>
                          <w:marRight w:val="0"/>
                          <w:marTop w:val="0"/>
                          <w:marBottom w:val="0"/>
                          <w:divBdr>
                            <w:top w:val="none" w:sz="0" w:space="0" w:color="auto"/>
                            <w:left w:val="none" w:sz="0" w:space="0" w:color="auto"/>
                            <w:bottom w:val="none" w:sz="0" w:space="0" w:color="auto"/>
                            <w:right w:val="none" w:sz="0" w:space="0" w:color="auto"/>
                          </w:divBdr>
                          <w:divsChild>
                            <w:div w:id="1883860722">
                              <w:marLeft w:val="0"/>
                              <w:marRight w:val="0"/>
                              <w:marTop w:val="0"/>
                              <w:marBottom w:val="0"/>
                              <w:divBdr>
                                <w:top w:val="none" w:sz="0" w:space="0" w:color="auto"/>
                                <w:left w:val="none" w:sz="0" w:space="0" w:color="auto"/>
                                <w:bottom w:val="none" w:sz="0" w:space="0" w:color="auto"/>
                                <w:right w:val="none" w:sz="0" w:space="0" w:color="auto"/>
                              </w:divBdr>
                              <w:divsChild>
                                <w:div w:id="84058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7089089">
      <w:bodyDiv w:val="1"/>
      <w:marLeft w:val="0"/>
      <w:marRight w:val="0"/>
      <w:marTop w:val="0"/>
      <w:marBottom w:val="0"/>
      <w:divBdr>
        <w:top w:val="none" w:sz="0" w:space="0" w:color="auto"/>
        <w:left w:val="none" w:sz="0" w:space="0" w:color="auto"/>
        <w:bottom w:val="none" w:sz="0" w:space="0" w:color="auto"/>
        <w:right w:val="none" w:sz="0" w:space="0" w:color="auto"/>
      </w:divBdr>
      <w:divsChild>
        <w:div w:id="1410038799">
          <w:marLeft w:val="0"/>
          <w:marRight w:val="0"/>
          <w:marTop w:val="0"/>
          <w:marBottom w:val="0"/>
          <w:divBdr>
            <w:top w:val="none" w:sz="0" w:space="0" w:color="auto"/>
            <w:left w:val="none" w:sz="0" w:space="0" w:color="auto"/>
            <w:bottom w:val="none" w:sz="0" w:space="0" w:color="auto"/>
            <w:right w:val="none" w:sz="0" w:space="0" w:color="auto"/>
          </w:divBdr>
          <w:divsChild>
            <w:div w:id="933323732">
              <w:marLeft w:val="0"/>
              <w:marRight w:val="0"/>
              <w:marTop w:val="0"/>
              <w:marBottom w:val="0"/>
              <w:divBdr>
                <w:top w:val="none" w:sz="0" w:space="0" w:color="auto"/>
                <w:left w:val="none" w:sz="0" w:space="0" w:color="auto"/>
                <w:bottom w:val="none" w:sz="0" w:space="0" w:color="auto"/>
                <w:right w:val="none" w:sz="0" w:space="0" w:color="auto"/>
              </w:divBdr>
              <w:divsChild>
                <w:div w:id="1190795951">
                  <w:marLeft w:val="0"/>
                  <w:marRight w:val="0"/>
                  <w:marTop w:val="0"/>
                  <w:marBottom w:val="0"/>
                  <w:divBdr>
                    <w:top w:val="none" w:sz="0" w:space="0" w:color="auto"/>
                    <w:left w:val="none" w:sz="0" w:space="0" w:color="auto"/>
                    <w:bottom w:val="none" w:sz="0" w:space="0" w:color="auto"/>
                    <w:right w:val="none" w:sz="0" w:space="0" w:color="auto"/>
                  </w:divBdr>
                  <w:divsChild>
                    <w:div w:id="1999263525">
                      <w:marLeft w:val="0"/>
                      <w:marRight w:val="0"/>
                      <w:marTop w:val="0"/>
                      <w:marBottom w:val="0"/>
                      <w:divBdr>
                        <w:top w:val="none" w:sz="0" w:space="0" w:color="auto"/>
                        <w:left w:val="none" w:sz="0" w:space="0" w:color="auto"/>
                        <w:bottom w:val="none" w:sz="0" w:space="0" w:color="auto"/>
                        <w:right w:val="none" w:sz="0" w:space="0" w:color="auto"/>
                      </w:divBdr>
                      <w:divsChild>
                        <w:div w:id="500387084">
                          <w:marLeft w:val="0"/>
                          <w:marRight w:val="0"/>
                          <w:marTop w:val="0"/>
                          <w:marBottom w:val="0"/>
                          <w:divBdr>
                            <w:top w:val="none" w:sz="0" w:space="0" w:color="auto"/>
                            <w:left w:val="none" w:sz="0" w:space="0" w:color="auto"/>
                            <w:bottom w:val="none" w:sz="0" w:space="0" w:color="auto"/>
                            <w:right w:val="none" w:sz="0" w:space="0" w:color="auto"/>
                          </w:divBdr>
                          <w:divsChild>
                            <w:div w:id="861825382">
                              <w:marLeft w:val="0"/>
                              <w:marRight w:val="0"/>
                              <w:marTop w:val="0"/>
                              <w:marBottom w:val="0"/>
                              <w:divBdr>
                                <w:top w:val="none" w:sz="0" w:space="0" w:color="auto"/>
                                <w:left w:val="none" w:sz="0" w:space="0" w:color="auto"/>
                                <w:bottom w:val="none" w:sz="0" w:space="0" w:color="auto"/>
                                <w:right w:val="none" w:sz="0" w:space="0" w:color="auto"/>
                              </w:divBdr>
                              <w:divsChild>
                                <w:div w:id="743651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2744296">
      <w:bodyDiv w:val="1"/>
      <w:marLeft w:val="0"/>
      <w:marRight w:val="0"/>
      <w:marTop w:val="0"/>
      <w:marBottom w:val="0"/>
      <w:divBdr>
        <w:top w:val="none" w:sz="0" w:space="0" w:color="auto"/>
        <w:left w:val="none" w:sz="0" w:space="0" w:color="auto"/>
        <w:bottom w:val="none" w:sz="0" w:space="0" w:color="auto"/>
        <w:right w:val="none" w:sz="0" w:space="0" w:color="auto"/>
      </w:divBdr>
    </w:div>
    <w:div w:id="1863737124">
      <w:bodyDiv w:val="1"/>
      <w:marLeft w:val="0"/>
      <w:marRight w:val="0"/>
      <w:marTop w:val="0"/>
      <w:marBottom w:val="0"/>
      <w:divBdr>
        <w:top w:val="none" w:sz="0" w:space="0" w:color="auto"/>
        <w:left w:val="none" w:sz="0" w:space="0" w:color="auto"/>
        <w:bottom w:val="none" w:sz="0" w:space="0" w:color="auto"/>
        <w:right w:val="none" w:sz="0" w:space="0" w:color="auto"/>
      </w:divBdr>
    </w:div>
    <w:div w:id="1875649286">
      <w:bodyDiv w:val="1"/>
      <w:marLeft w:val="0"/>
      <w:marRight w:val="0"/>
      <w:marTop w:val="0"/>
      <w:marBottom w:val="0"/>
      <w:divBdr>
        <w:top w:val="none" w:sz="0" w:space="0" w:color="auto"/>
        <w:left w:val="none" w:sz="0" w:space="0" w:color="auto"/>
        <w:bottom w:val="none" w:sz="0" w:space="0" w:color="auto"/>
        <w:right w:val="none" w:sz="0" w:space="0" w:color="auto"/>
      </w:divBdr>
      <w:divsChild>
        <w:div w:id="1242324908">
          <w:marLeft w:val="0"/>
          <w:marRight w:val="0"/>
          <w:marTop w:val="0"/>
          <w:marBottom w:val="0"/>
          <w:divBdr>
            <w:top w:val="none" w:sz="0" w:space="0" w:color="auto"/>
            <w:left w:val="none" w:sz="0" w:space="0" w:color="auto"/>
            <w:bottom w:val="none" w:sz="0" w:space="0" w:color="auto"/>
            <w:right w:val="none" w:sz="0" w:space="0" w:color="auto"/>
          </w:divBdr>
          <w:divsChild>
            <w:div w:id="1134178332">
              <w:marLeft w:val="0"/>
              <w:marRight w:val="0"/>
              <w:marTop w:val="0"/>
              <w:marBottom w:val="0"/>
              <w:divBdr>
                <w:top w:val="none" w:sz="0" w:space="0" w:color="auto"/>
                <w:left w:val="none" w:sz="0" w:space="0" w:color="auto"/>
                <w:bottom w:val="none" w:sz="0" w:space="0" w:color="auto"/>
                <w:right w:val="none" w:sz="0" w:space="0" w:color="auto"/>
              </w:divBdr>
              <w:divsChild>
                <w:div w:id="1494838481">
                  <w:marLeft w:val="0"/>
                  <w:marRight w:val="0"/>
                  <w:marTop w:val="0"/>
                  <w:marBottom w:val="0"/>
                  <w:divBdr>
                    <w:top w:val="none" w:sz="0" w:space="0" w:color="auto"/>
                    <w:left w:val="none" w:sz="0" w:space="0" w:color="auto"/>
                    <w:bottom w:val="none" w:sz="0" w:space="0" w:color="auto"/>
                    <w:right w:val="none" w:sz="0" w:space="0" w:color="auto"/>
                  </w:divBdr>
                  <w:divsChild>
                    <w:div w:id="575431699">
                      <w:marLeft w:val="0"/>
                      <w:marRight w:val="0"/>
                      <w:marTop w:val="0"/>
                      <w:marBottom w:val="0"/>
                      <w:divBdr>
                        <w:top w:val="none" w:sz="0" w:space="0" w:color="auto"/>
                        <w:left w:val="none" w:sz="0" w:space="0" w:color="auto"/>
                        <w:bottom w:val="none" w:sz="0" w:space="0" w:color="auto"/>
                        <w:right w:val="none" w:sz="0" w:space="0" w:color="auto"/>
                      </w:divBdr>
                      <w:divsChild>
                        <w:div w:id="2061513475">
                          <w:marLeft w:val="0"/>
                          <w:marRight w:val="0"/>
                          <w:marTop w:val="0"/>
                          <w:marBottom w:val="0"/>
                          <w:divBdr>
                            <w:top w:val="none" w:sz="0" w:space="0" w:color="auto"/>
                            <w:left w:val="none" w:sz="0" w:space="0" w:color="auto"/>
                            <w:bottom w:val="none" w:sz="0" w:space="0" w:color="auto"/>
                            <w:right w:val="none" w:sz="0" w:space="0" w:color="auto"/>
                          </w:divBdr>
                          <w:divsChild>
                            <w:div w:id="1816025337">
                              <w:marLeft w:val="0"/>
                              <w:marRight w:val="0"/>
                              <w:marTop w:val="0"/>
                              <w:marBottom w:val="0"/>
                              <w:divBdr>
                                <w:top w:val="none" w:sz="0" w:space="0" w:color="auto"/>
                                <w:left w:val="none" w:sz="0" w:space="0" w:color="auto"/>
                                <w:bottom w:val="none" w:sz="0" w:space="0" w:color="auto"/>
                                <w:right w:val="none" w:sz="0" w:space="0" w:color="auto"/>
                              </w:divBdr>
                              <w:divsChild>
                                <w:div w:id="65453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0118598">
      <w:bodyDiv w:val="1"/>
      <w:marLeft w:val="0"/>
      <w:marRight w:val="0"/>
      <w:marTop w:val="0"/>
      <w:marBottom w:val="0"/>
      <w:divBdr>
        <w:top w:val="none" w:sz="0" w:space="0" w:color="auto"/>
        <w:left w:val="none" w:sz="0" w:space="0" w:color="auto"/>
        <w:bottom w:val="none" w:sz="0" w:space="0" w:color="auto"/>
        <w:right w:val="none" w:sz="0" w:space="0" w:color="auto"/>
      </w:divBdr>
    </w:div>
    <w:div w:id="1921673968">
      <w:bodyDiv w:val="1"/>
      <w:marLeft w:val="0"/>
      <w:marRight w:val="0"/>
      <w:marTop w:val="0"/>
      <w:marBottom w:val="0"/>
      <w:divBdr>
        <w:top w:val="none" w:sz="0" w:space="0" w:color="auto"/>
        <w:left w:val="none" w:sz="0" w:space="0" w:color="auto"/>
        <w:bottom w:val="none" w:sz="0" w:space="0" w:color="auto"/>
        <w:right w:val="none" w:sz="0" w:space="0" w:color="auto"/>
      </w:divBdr>
    </w:div>
    <w:div w:id="1950962643">
      <w:bodyDiv w:val="1"/>
      <w:marLeft w:val="0"/>
      <w:marRight w:val="0"/>
      <w:marTop w:val="0"/>
      <w:marBottom w:val="0"/>
      <w:divBdr>
        <w:top w:val="none" w:sz="0" w:space="0" w:color="auto"/>
        <w:left w:val="none" w:sz="0" w:space="0" w:color="auto"/>
        <w:bottom w:val="none" w:sz="0" w:space="0" w:color="auto"/>
        <w:right w:val="none" w:sz="0" w:space="0" w:color="auto"/>
      </w:divBdr>
      <w:divsChild>
        <w:div w:id="107090905">
          <w:marLeft w:val="0"/>
          <w:marRight w:val="0"/>
          <w:marTop w:val="0"/>
          <w:marBottom w:val="0"/>
          <w:divBdr>
            <w:top w:val="none" w:sz="0" w:space="0" w:color="auto"/>
            <w:left w:val="none" w:sz="0" w:space="0" w:color="auto"/>
            <w:bottom w:val="none" w:sz="0" w:space="0" w:color="auto"/>
            <w:right w:val="none" w:sz="0" w:space="0" w:color="auto"/>
          </w:divBdr>
          <w:divsChild>
            <w:div w:id="71704235">
              <w:marLeft w:val="0"/>
              <w:marRight w:val="0"/>
              <w:marTop w:val="0"/>
              <w:marBottom w:val="0"/>
              <w:divBdr>
                <w:top w:val="none" w:sz="0" w:space="0" w:color="auto"/>
                <w:left w:val="none" w:sz="0" w:space="0" w:color="auto"/>
                <w:bottom w:val="none" w:sz="0" w:space="0" w:color="auto"/>
                <w:right w:val="none" w:sz="0" w:space="0" w:color="auto"/>
              </w:divBdr>
              <w:divsChild>
                <w:div w:id="1232420765">
                  <w:marLeft w:val="0"/>
                  <w:marRight w:val="0"/>
                  <w:marTop w:val="0"/>
                  <w:marBottom w:val="0"/>
                  <w:divBdr>
                    <w:top w:val="none" w:sz="0" w:space="0" w:color="auto"/>
                    <w:left w:val="none" w:sz="0" w:space="0" w:color="auto"/>
                    <w:bottom w:val="none" w:sz="0" w:space="0" w:color="auto"/>
                    <w:right w:val="none" w:sz="0" w:space="0" w:color="auto"/>
                  </w:divBdr>
                  <w:divsChild>
                    <w:div w:id="1829516931">
                      <w:marLeft w:val="0"/>
                      <w:marRight w:val="0"/>
                      <w:marTop w:val="0"/>
                      <w:marBottom w:val="0"/>
                      <w:divBdr>
                        <w:top w:val="none" w:sz="0" w:space="0" w:color="auto"/>
                        <w:left w:val="none" w:sz="0" w:space="0" w:color="auto"/>
                        <w:bottom w:val="none" w:sz="0" w:space="0" w:color="auto"/>
                        <w:right w:val="none" w:sz="0" w:space="0" w:color="auto"/>
                      </w:divBdr>
                      <w:divsChild>
                        <w:div w:id="402214560">
                          <w:marLeft w:val="0"/>
                          <w:marRight w:val="0"/>
                          <w:marTop w:val="0"/>
                          <w:marBottom w:val="0"/>
                          <w:divBdr>
                            <w:top w:val="none" w:sz="0" w:space="0" w:color="auto"/>
                            <w:left w:val="none" w:sz="0" w:space="0" w:color="auto"/>
                            <w:bottom w:val="none" w:sz="0" w:space="0" w:color="auto"/>
                            <w:right w:val="none" w:sz="0" w:space="0" w:color="auto"/>
                          </w:divBdr>
                          <w:divsChild>
                            <w:div w:id="1749499205">
                              <w:marLeft w:val="0"/>
                              <w:marRight w:val="0"/>
                              <w:marTop w:val="0"/>
                              <w:marBottom w:val="0"/>
                              <w:divBdr>
                                <w:top w:val="none" w:sz="0" w:space="0" w:color="auto"/>
                                <w:left w:val="none" w:sz="0" w:space="0" w:color="auto"/>
                                <w:bottom w:val="none" w:sz="0" w:space="0" w:color="auto"/>
                                <w:right w:val="none" w:sz="0" w:space="0" w:color="auto"/>
                              </w:divBdr>
                              <w:divsChild>
                                <w:div w:id="10061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4484255">
      <w:bodyDiv w:val="1"/>
      <w:marLeft w:val="0"/>
      <w:marRight w:val="0"/>
      <w:marTop w:val="0"/>
      <w:marBottom w:val="0"/>
      <w:divBdr>
        <w:top w:val="none" w:sz="0" w:space="0" w:color="auto"/>
        <w:left w:val="none" w:sz="0" w:space="0" w:color="auto"/>
        <w:bottom w:val="none" w:sz="0" w:space="0" w:color="auto"/>
        <w:right w:val="none" w:sz="0" w:space="0" w:color="auto"/>
      </w:divBdr>
    </w:div>
    <w:div w:id="2045909081">
      <w:bodyDiv w:val="1"/>
      <w:marLeft w:val="0"/>
      <w:marRight w:val="0"/>
      <w:marTop w:val="0"/>
      <w:marBottom w:val="0"/>
      <w:divBdr>
        <w:top w:val="none" w:sz="0" w:space="0" w:color="auto"/>
        <w:left w:val="none" w:sz="0" w:space="0" w:color="auto"/>
        <w:bottom w:val="none" w:sz="0" w:space="0" w:color="auto"/>
        <w:right w:val="none" w:sz="0" w:space="0" w:color="auto"/>
      </w:divBdr>
      <w:divsChild>
        <w:div w:id="1380744324">
          <w:marLeft w:val="0"/>
          <w:marRight w:val="0"/>
          <w:marTop w:val="0"/>
          <w:marBottom w:val="0"/>
          <w:divBdr>
            <w:top w:val="none" w:sz="0" w:space="0" w:color="auto"/>
            <w:left w:val="none" w:sz="0" w:space="0" w:color="auto"/>
            <w:bottom w:val="none" w:sz="0" w:space="0" w:color="auto"/>
            <w:right w:val="none" w:sz="0" w:space="0" w:color="auto"/>
          </w:divBdr>
          <w:divsChild>
            <w:div w:id="51084149">
              <w:marLeft w:val="0"/>
              <w:marRight w:val="0"/>
              <w:marTop w:val="0"/>
              <w:marBottom w:val="0"/>
              <w:divBdr>
                <w:top w:val="none" w:sz="0" w:space="0" w:color="auto"/>
                <w:left w:val="none" w:sz="0" w:space="0" w:color="auto"/>
                <w:bottom w:val="none" w:sz="0" w:space="0" w:color="auto"/>
                <w:right w:val="none" w:sz="0" w:space="0" w:color="auto"/>
              </w:divBdr>
              <w:divsChild>
                <w:div w:id="94980194">
                  <w:marLeft w:val="0"/>
                  <w:marRight w:val="0"/>
                  <w:marTop w:val="0"/>
                  <w:marBottom w:val="0"/>
                  <w:divBdr>
                    <w:top w:val="none" w:sz="0" w:space="0" w:color="auto"/>
                    <w:left w:val="none" w:sz="0" w:space="0" w:color="auto"/>
                    <w:bottom w:val="none" w:sz="0" w:space="0" w:color="auto"/>
                    <w:right w:val="none" w:sz="0" w:space="0" w:color="auto"/>
                  </w:divBdr>
                  <w:divsChild>
                    <w:div w:id="1699428132">
                      <w:marLeft w:val="0"/>
                      <w:marRight w:val="0"/>
                      <w:marTop w:val="0"/>
                      <w:marBottom w:val="0"/>
                      <w:divBdr>
                        <w:top w:val="none" w:sz="0" w:space="0" w:color="auto"/>
                        <w:left w:val="none" w:sz="0" w:space="0" w:color="auto"/>
                        <w:bottom w:val="none" w:sz="0" w:space="0" w:color="auto"/>
                        <w:right w:val="none" w:sz="0" w:space="0" w:color="auto"/>
                      </w:divBdr>
                      <w:divsChild>
                        <w:div w:id="71198376">
                          <w:marLeft w:val="0"/>
                          <w:marRight w:val="0"/>
                          <w:marTop w:val="0"/>
                          <w:marBottom w:val="0"/>
                          <w:divBdr>
                            <w:top w:val="none" w:sz="0" w:space="0" w:color="auto"/>
                            <w:left w:val="none" w:sz="0" w:space="0" w:color="auto"/>
                            <w:bottom w:val="none" w:sz="0" w:space="0" w:color="auto"/>
                            <w:right w:val="none" w:sz="0" w:space="0" w:color="auto"/>
                          </w:divBdr>
                          <w:divsChild>
                            <w:div w:id="2129737435">
                              <w:marLeft w:val="0"/>
                              <w:marRight w:val="0"/>
                              <w:marTop w:val="0"/>
                              <w:marBottom w:val="0"/>
                              <w:divBdr>
                                <w:top w:val="none" w:sz="0" w:space="0" w:color="auto"/>
                                <w:left w:val="none" w:sz="0" w:space="0" w:color="auto"/>
                                <w:bottom w:val="none" w:sz="0" w:space="0" w:color="auto"/>
                                <w:right w:val="none" w:sz="0" w:space="0" w:color="auto"/>
                              </w:divBdr>
                              <w:divsChild>
                                <w:div w:id="160164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8697567">
      <w:bodyDiv w:val="1"/>
      <w:marLeft w:val="0"/>
      <w:marRight w:val="0"/>
      <w:marTop w:val="0"/>
      <w:marBottom w:val="0"/>
      <w:divBdr>
        <w:top w:val="none" w:sz="0" w:space="0" w:color="auto"/>
        <w:left w:val="none" w:sz="0" w:space="0" w:color="auto"/>
        <w:bottom w:val="none" w:sz="0" w:space="0" w:color="auto"/>
        <w:right w:val="none" w:sz="0" w:space="0" w:color="auto"/>
      </w:divBdr>
    </w:div>
    <w:div w:id="2071615930">
      <w:bodyDiv w:val="1"/>
      <w:marLeft w:val="0"/>
      <w:marRight w:val="0"/>
      <w:marTop w:val="0"/>
      <w:marBottom w:val="0"/>
      <w:divBdr>
        <w:top w:val="none" w:sz="0" w:space="0" w:color="auto"/>
        <w:left w:val="none" w:sz="0" w:space="0" w:color="auto"/>
        <w:bottom w:val="none" w:sz="0" w:space="0" w:color="auto"/>
        <w:right w:val="none" w:sz="0" w:space="0" w:color="auto"/>
      </w:divBdr>
      <w:divsChild>
        <w:div w:id="1565333085">
          <w:marLeft w:val="0"/>
          <w:marRight w:val="0"/>
          <w:marTop w:val="0"/>
          <w:marBottom w:val="0"/>
          <w:divBdr>
            <w:top w:val="none" w:sz="0" w:space="0" w:color="auto"/>
            <w:left w:val="none" w:sz="0" w:space="0" w:color="auto"/>
            <w:bottom w:val="none" w:sz="0" w:space="0" w:color="auto"/>
            <w:right w:val="none" w:sz="0" w:space="0" w:color="auto"/>
          </w:divBdr>
          <w:divsChild>
            <w:div w:id="783109782">
              <w:marLeft w:val="0"/>
              <w:marRight w:val="0"/>
              <w:marTop w:val="0"/>
              <w:marBottom w:val="0"/>
              <w:divBdr>
                <w:top w:val="none" w:sz="0" w:space="0" w:color="auto"/>
                <w:left w:val="none" w:sz="0" w:space="0" w:color="auto"/>
                <w:bottom w:val="none" w:sz="0" w:space="0" w:color="auto"/>
                <w:right w:val="none" w:sz="0" w:space="0" w:color="auto"/>
              </w:divBdr>
              <w:divsChild>
                <w:div w:id="765467411">
                  <w:marLeft w:val="0"/>
                  <w:marRight w:val="0"/>
                  <w:marTop w:val="0"/>
                  <w:marBottom w:val="0"/>
                  <w:divBdr>
                    <w:top w:val="none" w:sz="0" w:space="0" w:color="auto"/>
                    <w:left w:val="none" w:sz="0" w:space="0" w:color="auto"/>
                    <w:bottom w:val="none" w:sz="0" w:space="0" w:color="auto"/>
                    <w:right w:val="none" w:sz="0" w:space="0" w:color="auto"/>
                  </w:divBdr>
                  <w:divsChild>
                    <w:div w:id="2012835252">
                      <w:marLeft w:val="0"/>
                      <w:marRight w:val="0"/>
                      <w:marTop w:val="0"/>
                      <w:marBottom w:val="0"/>
                      <w:divBdr>
                        <w:top w:val="none" w:sz="0" w:space="0" w:color="auto"/>
                        <w:left w:val="none" w:sz="0" w:space="0" w:color="auto"/>
                        <w:bottom w:val="none" w:sz="0" w:space="0" w:color="auto"/>
                        <w:right w:val="none" w:sz="0" w:space="0" w:color="auto"/>
                      </w:divBdr>
                      <w:divsChild>
                        <w:div w:id="1352532018">
                          <w:marLeft w:val="0"/>
                          <w:marRight w:val="0"/>
                          <w:marTop w:val="0"/>
                          <w:marBottom w:val="0"/>
                          <w:divBdr>
                            <w:top w:val="none" w:sz="0" w:space="0" w:color="auto"/>
                            <w:left w:val="none" w:sz="0" w:space="0" w:color="auto"/>
                            <w:bottom w:val="none" w:sz="0" w:space="0" w:color="auto"/>
                            <w:right w:val="none" w:sz="0" w:space="0" w:color="auto"/>
                          </w:divBdr>
                          <w:divsChild>
                            <w:div w:id="978799083">
                              <w:marLeft w:val="0"/>
                              <w:marRight w:val="0"/>
                              <w:marTop w:val="0"/>
                              <w:marBottom w:val="0"/>
                              <w:divBdr>
                                <w:top w:val="none" w:sz="0" w:space="0" w:color="auto"/>
                                <w:left w:val="none" w:sz="0" w:space="0" w:color="auto"/>
                                <w:bottom w:val="none" w:sz="0" w:space="0" w:color="auto"/>
                                <w:right w:val="none" w:sz="0" w:space="0" w:color="auto"/>
                              </w:divBdr>
                              <w:divsChild>
                                <w:div w:id="1992980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VF@0.75%25" TargetMode="External"/><Relationship Id="rId13" Type="http://schemas.openxmlformats.org/officeDocument/2006/relationships/hyperlink" Target="https://www.riotinto.com/en/news/releases/2024/rio-tinto-signs-australias-biggest-renewable-power-deal-as-it-works-to-repower-its-gladstone-operatio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iotinto.com/en/news/releases/2023/rio-tinto-board-chang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iotinto.com/en/news/releases/2022/kaisa-hietala-to-join-rio-tinto-boar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riotinto.com/en/news/releases/2021/first-female-president-appointed-for-diavik-diamond-mine" TargetMode="External"/><Relationship Id="rId4" Type="http://schemas.openxmlformats.org/officeDocument/2006/relationships/settings" Target="settings.xml"/><Relationship Id="rId9" Type="http://schemas.openxmlformats.org/officeDocument/2006/relationships/hyperlink" Target="https://www.riotinto.com/en/news/releases/2020/joint-statement-from-pkkp-and-rio-tinto"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11B3BD-EF7C-4E00-B2AC-79277DED3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24</Pages>
  <Words>5838</Words>
  <Characters>33281</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Gabor Kovacs (2011284)</cp:lastModifiedBy>
  <cp:revision>2</cp:revision>
  <dcterms:created xsi:type="dcterms:W3CDTF">2024-03-19T09:53:00Z</dcterms:created>
  <dcterms:modified xsi:type="dcterms:W3CDTF">2024-04-14T07:26:00Z</dcterms:modified>
</cp:coreProperties>
</file>