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A4306" w14:textId="6AC61603" w:rsidR="008773D8" w:rsidRDefault="008773D8" w:rsidP="008773D8">
      <w:pPr>
        <w:pStyle w:val="Heading1"/>
      </w:pPr>
      <w:r>
        <w:t>Introduction.</w:t>
      </w:r>
    </w:p>
    <w:p w14:paraId="2154A701" w14:textId="77777777" w:rsidR="008773D8" w:rsidRDefault="008773D8"/>
    <w:p w14:paraId="4493BDC6" w14:textId="438A07A9" w:rsidR="006E4326" w:rsidRDefault="00CE2C5D">
      <w:r>
        <w:t>Mummification Is among the most popular areas of study in Egyptology, with a wide range of appearances in academic papers and seeping its way into popular culture with phenomena such as Egyptomania</w:t>
      </w:r>
      <w:r>
        <w:fldChar w:fldCharType="begin"/>
      </w:r>
      <w:r>
        <w:instrText xml:space="preserve"> ADDIN ZOTERO_ITEM CSL_CITATION {"citationID":"oqTrh0ru","properties":{"unsorted":false,"formattedCitation":"(Trafton, 2004)","plainCitation":"(Trafton, 2004)","noteIndex":0},"citationItems":[{"id":670,"uris":["http://zotero.org/users/local/gg1ZQu5V/items/5C2LYNB7"],"itemData":{"id":670,"type":"book","abstract":"Egypt Land is the first comprehensive analysis of the connections between constructions of race and representations of ancient Egypt in nineteenth-century America. Scott Trafton argues that the American mania for Egypt was directly related to anxieties over race and race-based slavery. He shows how the fascination with ancient Egypt among both black and white Americans was manifest in a range of often contradictory ways. Both groups likened the power of the United States to that of the ancient Egyptian empire, yet both also identified with ancient Egypt’s victims. As the land which represented the origins of races and nations, the power and folly of empires, despots holding people in bondage, and the exodus of the saved from the land of slavery, ancient Egypt was a uniquely useful trope for representing America’s own conflicts and anxious aspirations.Drawing on literary and cultural studies, art and architectural history, political history, religious history, and the histories of archaeology and ethnology, Trafton illuminates anxieties related to race in different manifestations of nineteenth-century American Egyptomania, including the development of American Egyptology, the rise of racialized science, the narrative and literary tradition of the imperialist adventure tale, the cultural politics of the architectural Egyptian Revival, and the dynamics of African American Ethiopianism. He demonstrates how debates over what the United States was and what it could become returned again and again to ancient Egypt. From visions of Cleopatra to the tales of Edgar Allan Poe, from the works of Pauline Hopkins to the construction of the Washington Monument, from the measuring of slaves’ skulls to the singing of slave spirituals—claims about and representations of ancient Egypt served as linchpins for discussions about nineteenth-century American racial and national identity.","ISBN":"978-0-8223-3362-3","language":"en","note":"Google-Books-ID: YHgv011kWIAC","number-of-pages":"382","publisher":"Duke University Press","source":"Google Books","title":"Egypt Land: Race and Nineteenth-Century American Egyptomania","title-short":"Egypt Land","author":[{"family":"Trafton","given":"Scott"}],"issued":{"date-parts":[["2004",11,19]]}}}],"schema":"https://github.com/citation-style-language/schema/raw/master/csl-citation.json"} </w:instrText>
      </w:r>
      <w:r>
        <w:fldChar w:fldCharType="separate"/>
      </w:r>
      <w:r w:rsidRPr="00CE2C5D">
        <w:rPr>
          <w:rFonts w:ascii="Aptos" w:hAnsi="Aptos"/>
        </w:rPr>
        <w:t>(Trafton, 2004)</w:t>
      </w:r>
      <w:r>
        <w:fldChar w:fldCharType="end"/>
      </w:r>
      <w:r>
        <w:t xml:space="preserve">. </w:t>
      </w:r>
      <w:r w:rsidR="00270C54">
        <w:t>Over the course of 3 weeks there has been an experiment where</w:t>
      </w:r>
      <w:r>
        <w:t xml:space="preserve"> the effects on</w:t>
      </w:r>
      <w:r w:rsidR="00270C54">
        <w:t xml:space="preserve"> salt-based moisture extraction </w:t>
      </w:r>
      <w:r>
        <w:t xml:space="preserve"> on both fruit and meats</w:t>
      </w:r>
      <w:r w:rsidR="00270C54">
        <w:t xml:space="preserve"> which have been studied with the Egyptian style mummification as a model for the experiment. The mummification of human cadavers in ancient Egypt was a tradition that lasted thousands of years </w:t>
      </w:r>
      <w:r w:rsidR="00270C54">
        <w:fldChar w:fldCharType="begin"/>
      </w:r>
      <w:r w:rsidR="00270C54">
        <w:instrText xml:space="preserve"> ADDIN ZOTERO_ITEM CSL_CITATION {"citationID":"aYQ6pRtX","properties":{"unsorted":false,"formattedCitation":"(Byard, 2025)","plainCitation":"(Byard, 2025)","noteIndex":0},"citationItems":[{"id":686,"uris":["http://zotero.org/users/local/gg1ZQu5V/items/FMTVG8KC"],"itemData":{"id":686,"type":"article-journal","abstract":"Review was undertaken of historical mummifications which has shown that this process has occurred accidently and deliberately in many cultures globally for millennia in a wide variety of environments. Although Egypt is considered the major source of mummified material, mummification has occurred in Europe, Africa, Asia, Oceania, Greenland and the Americas. Changes to bodies after mummification, with distortion and loss of tissues and organs, present challenges to contemporary investigators who may have difficulties in determining the time, cause and manner of death. A good example of this was the mistaken assessment that Iron Age sacrifices of bodies found in bogs in Denmark represented present day homicides. Modern investigative tools such as conventional radiography, computed tomography (CT), magnetic resonance imaging (MRI), scanning electron microscopy, infrared spectroscopy, endoscopy and X-ray diffraction analysis have provided more accurate and less destructive ways of examining such remains to enable valid scientific analyses to be achieved.","container-title":"Journal of Forensic and Legal Medicine","DOI":"10.1016/j.jflm.2025.102863","ISSN":"1752-928X","journalAbbreviation":"Journal of Forensic and Legal Medicine","page":"102863","source":"ScienceDirect","title":"Mummification – An historical and cultural overview","volume":"112","author":[{"family":"Byard","given":"Roger W."}],"issued":{"date-parts":[["2025",5,1]]}}}],"schema":"https://github.com/citation-style-language/schema/raw/master/csl-citation.json"} </w:instrText>
      </w:r>
      <w:r w:rsidR="00270C54">
        <w:fldChar w:fldCharType="separate"/>
      </w:r>
      <w:r w:rsidR="00270C54" w:rsidRPr="00270C54">
        <w:rPr>
          <w:rFonts w:ascii="Aptos" w:hAnsi="Aptos"/>
        </w:rPr>
        <w:t>(Byard, 2025)</w:t>
      </w:r>
      <w:r w:rsidR="00270C54">
        <w:fldChar w:fldCharType="end"/>
      </w:r>
      <w:r w:rsidR="00270C54">
        <w:t xml:space="preserve"> and there have been attempts to replicate the process as best as possible. For example there was an experiment in 2011 that saw a modern man named Alan Bilis mummified in the 18</w:t>
      </w:r>
      <w:r w:rsidR="00270C54" w:rsidRPr="00270C54">
        <w:rPr>
          <w:vertAlign w:val="superscript"/>
        </w:rPr>
        <w:t>th</w:t>
      </w:r>
      <w:r w:rsidR="00270C54">
        <w:t xml:space="preserve"> dynasty style</w:t>
      </w:r>
      <w:r w:rsidR="00270C54">
        <w:fldChar w:fldCharType="begin"/>
      </w:r>
      <w:r w:rsidR="00270C54">
        <w:instrText xml:space="preserve"> ADDIN ZOTERO_ITEM CSL_CITATION {"citationID":"JydDvoAO","properties":{"unsorted":false,"formattedCitation":"(Buckley, 2011)","plainCitation":"(Buckley, 2011)","noteIndex":0},"citationItems":[{"id":694,"uris":["http://zotero.org/users/local/gg1ZQu5V/items/FACQSMMJ"],"itemData":{"id":694,"type":"webpage","title":"View Record: Mummifying Alan: Egypt’s Last Secret · BoB","URL":"https://learningonscreen.ac.uk/ondemand/index.php/prog/0211F9B7?bcast=95124075#","author":[{"family":"Buckley","given":"Stephen"}],"accessed":{"date-parts":[["2026",3,29]]},"issued":{"date-parts":[["2011"]]}}}],"schema":"https://github.com/citation-style-language/schema/raw/master/csl-citation.json"} </w:instrText>
      </w:r>
      <w:r w:rsidR="00270C54">
        <w:fldChar w:fldCharType="separate"/>
      </w:r>
      <w:r w:rsidR="00270C54" w:rsidRPr="00270C54">
        <w:rPr>
          <w:rFonts w:ascii="Aptos" w:hAnsi="Aptos"/>
        </w:rPr>
        <w:t>(Buckley, 2011)</w:t>
      </w:r>
      <w:r w:rsidR="00270C54">
        <w:fldChar w:fldCharType="end"/>
      </w:r>
      <w:r w:rsidR="000230D5">
        <w:t xml:space="preserve">. The intent behind this experiment is to find show if tangerines and processed meat such as Frankfurters will  react the same way that ancient mummification process caused the mummies of ancient Egypt would react to the salt contents. This experiment is on a much smaller scale than the Egyptian mummies and uses a different agent to extract the moisture with as this experiment uses a mixture of salts such whereas the ancient Egyptians used natron </w:t>
      </w:r>
      <w:r w:rsidR="000230D5">
        <w:fldChar w:fldCharType="begin"/>
      </w:r>
      <w:r w:rsidR="000230D5">
        <w:instrText xml:space="preserve"> ADDIN ZOTERO_ITEM CSL_CITATION {"citationID":"lmSTzNvB","properties":{"unsorted":false,"formattedCitation":"(Sandison, 1963)","plainCitation":"(Sandison, 1963)","noteIndex":0},"citationItems":[{"id":705,"uris":["http://zotero.org/users/local/gg1ZQu5V/items/AAQ6KNU3"],"itemData":{"id":705,"type":"article-journal","container-title":"Journal of Near Eastern Studies","DOI":"10.1086/371747","ISSN":"0022-2968","issue":"4","page":"259-267","publisher":"The University of Chicago Press","source":"journals.uchicago.edu (Atypon)","title":"The Use of Natron in Mummification in Ancient Egypt","volume":"22","author":[{"family":"Sandison","given":"A. T."}],"issued":{"date-parts":[["1963",10]]}}}],"schema":"https://github.com/citation-style-language/schema/raw/master/csl-citation.json"} </w:instrText>
      </w:r>
      <w:r w:rsidR="000230D5">
        <w:fldChar w:fldCharType="separate"/>
      </w:r>
      <w:r w:rsidR="000230D5" w:rsidRPr="000230D5">
        <w:rPr>
          <w:rFonts w:ascii="Aptos" w:hAnsi="Aptos"/>
        </w:rPr>
        <w:t>(Sandison, 1963)</w:t>
      </w:r>
      <w:r w:rsidR="000230D5">
        <w:fldChar w:fldCharType="end"/>
      </w:r>
      <w:r w:rsidR="000230D5">
        <w:t>.</w:t>
      </w:r>
    </w:p>
    <w:p w14:paraId="36CADD05" w14:textId="70A06194" w:rsidR="000230D5" w:rsidRDefault="000230D5">
      <w:r>
        <w:t>The hypothesis of this experiment is</w:t>
      </w:r>
      <w:r w:rsidR="00E53E33">
        <w:t xml:space="preserve"> that the</w:t>
      </w:r>
      <w:r>
        <w:t xml:space="preserve"> Tangerine and the Frankfurter will </w:t>
      </w:r>
      <w:r w:rsidR="008773D8">
        <w:t>mummify,</w:t>
      </w:r>
      <w:r>
        <w:t xml:space="preserve"> and the moisture will extract from the Tangerine and </w:t>
      </w:r>
      <w:r w:rsidR="008773D8">
        <w:t>frankfurter,</w:t>
      </w:r>
      <w:r>
        <w:t xml:space="preserve"> and it will preserve itself in the same way the ancient Egyptians did. The primary goal of the experiment is to ascertain the results of this </w:t>
      </w:r>
      <w:r w:rsidR="008773D8">
        <w:t>experiment,</w:t>
      </w:r>
      <w:r>
        <w:t xml:space="preserve"> but it is also important to note that another function of this experiment was to teach undergraduate university students how to properly conduct a rudimentary experiment and write a corresponding report</w:t>
      </w:r>
      <w:r w:rsidR="008773D8">
        <w:t xml:space="preserve"> as a teaching exercise.</w:t>
      </w:r>
    </w:p>
    <w:p w14:paraId="6734B112" w14:textId="77777777" w:rsidR="008773D8" w:rsidRDefault="008773D8"/>
    <w:p w14:paraId="3D6146BA" w14:textId="59EB246C" w:rsidR="008773D8" w:rsidRDefault="008773D8" w:rsidP="008773D8">
      <w:pPr>
        <w:pStyle w:val="Heading2"/>
      </w:pPr>
      <w:r>
        <w:t>Methods.</w:t>
      </w:r>
    </w:p>
    <w:p w14:paraId="5D0A8188" w14:textId="10A9F310" w:rsidR="003E3C86" w:rsidRDefault="003E3C86" w:rsidP="008773D8">
      <w:r>
        <w:t>The method used during the experiment was taking one half of the same tangerine and frankfurter and placing them in 4 separate plastic sealed bags. Two of these bags were control and we placed nothing in these bags and allowed them to naturally take their course over the next three weeks however the other two bags which had one tangerine in its own bag and one frankfurter in its own bag and was filled with a mixture of salts which contained table salt Epson salt and Himalayan in equal quantities</w:t>
      </w:r>
      <w:r w:rsidR="007A30CE">
        <w:t xml:space="preserve"> this </w:t>
      </w:r>
      <w:proofErr w:type="spellStart"/>
      <w:r w:rsidR="007A30CE">
        <w:t>micture</w:t>
      </w:r>
      <w:proofErr w:type="spellEnd"/>
      <w:r w:rsidR="007A30CE">
        <w:t xml:space="preserve"> was </w:t>
      </w:r>
      <w:proofErr w:type="spellStart"/>
      <w:r w:rsidR="007A30CE">
        <w:t>chosn</w:t>
      </w:r>
      <w:proofErr w:type="spellEnd"/>
      <w:r w:rsidR="007A30CE">
        <w:t xml:space="preserve"> as it is the closest possible facsimile of natron that could have been made with limited tools and supplies</w:t>
      </w:r>
      <w:r w:rsidR="007A30CE">
        <w:fldChar w:fldCharType="begin"/>
      </w:r>
      <w:r w:rsidR="007A30CE">
        <w:instrText xml:space="preserve"> ADDIN ZOTERO_ITEM CSL_CITATION {"citationID":"sQxA8EEA","properties":{"unsorted":false,"formattedCitation":"(Sandison, 1963)","plainCitation":"(Sandison, 1963)","noteIndex":0},"citationItems":[{"id":705,"uris":["http://zotero.org/users/local/gg1ZQu5V/items/AAQ6KNU3"],"itemData":{"id":705,"type":"article-journal","container-title":"Journal of Near Eastern Studies","DOI":"10.1086/371747","ISSN":"0022-2968","issue":"4","page":"259-267","publisher":"The University of Chicago Press","source":"journals.uchicago.edu (Atypon)","title":"The Use of Natron in Mummification in Ancient Egypt","volume":"22","author":[{"family":"Sandison","given":"A. T."}],"issued":{"date-parts":[["1963",10]]}}}],"schema":"https://github.com/citation-style-language/schema/raw/master/csl-citation.json"} </w:instrText>
      </w:r>
      <w:r w:rsidR="007A30CE">
        <w:fldChar w:fldCharType="separate"/>
      </w:r>
      <w:r w:rsidR="007A30CE" w:rsidRPr="007A30CE">
        <w:rPr>
          <w:rFonts w:ascii="Aptos" w:hAnsi="Aptos"/>
        </w:rPr>
        <w:t>(Sandison, 1963)</w:t>
      </w:r>
      <w:r w:rsidR="007A30CE">
        <w:fldChar w:fldCharType="end"/>
      </w:r>
      <w:r>
        <w:t xml:space="preserve">. a schedule of weekly check-ins on both the controls and the experimental and recording their weight, colour, height, width and length this would on the Thursday of each week from 10:00am until 13:00pm. The height, width and length were recorded using electronic callipers as to get the most precise measurements possible. The colour was measured using the pantone colours matching system to track how the tangerines and frankfurter changed over the course of the experiment. There </w:t>
      </w:r>
      <w:proofErr w:type="gramStart"/>
      <w:r>
        <w:t>was</w:t>
      </w:r>
      <w:proofErr w:type="gramEnd"/>
      <w:r>
        <w:t xml:space="preserve"> safety precautions taken as there is a reasonable  possibility of illness or nauseas caused contact with the material especially at week 3 or even caused by the smells and scents given off by the controls and experimental batches at week two or three. There was a requirement to wear gloves when handling both the experiments and control and there was a required break in the halfway mark of the days we conducted the experiment.</w:t>
      </w:r>
      <w:r w:rsidR="00D72DCF">
        <w:t xml:space="preserve"> As a result of distinct cultural differences in regards to death and burial it is important to note that our skills </w:t>
      </w:r>
      <w:r w:rsidR="00D72DCF">
        <w:lastRenderedPageBreak/>
        <w:t>and knowledge do not eclipse that of Egypt in the regard of mummification and using salt/natron based methods of mummification</w:t>
      </w:r>
      <w:r w:rsidR="00D72DCF">
        <w:fldChar w:fldCharType="begin"/>
      </w:r>
      <w:r w:rsidR="00D72DCF">
        <w:instrText xml:space="preserve"> ADDIN ZOTERO_ITEM CSL_CITATION {"citationID":"t44fH66c","properties":{"unsorted":false,"formattedCitation":"(Bianucci {\\i{}et al.}, 2015)","plainCitation":"(Bianucci et al., 2015)","noteIndex":0},"citationItems":[{"id":682,"uris":["http://zotero.org/users/local/gg1ZQu5V/items/Y4W97CGU"],"itemData":{"id":682,"type":"article-journal","abstract":"The mummies of Kha and his wife Merit were found intact in an undisturbed tomb in western Thebes near the ancient workers’ village of Deir el-Medina. Previous MDCT (this abbreviation needs spelling out) investigations showed that the bodies of Kha and Merit did not undergo classical royal 18th Dynasty artificial mummification, which included removal of the internal organs. It was, therefore, concluded that the retention of the viscera in the body, combined with an absence of canopic jars in the burial chamber, meant the couple underwent a short and shoddy funerary procedure, despite their relative wealth at death. Nevertheless, all internal organs - brain, ocular bulbs/ocular nerves, thoracic and abdominal organs - showed a very good state of preservation, which contradicts the previous interpretation above. In order to better understand the type of mummification used to embalm these bodies, both wrapped mummies were reinvestigated using new generation X-ray imaging and chemical microanalyses Here we provide evidence that both individuals underwent a relatively high quality of mummification, fundamentally contradicting previous understanding. Elucidated “recipes”, whose components had anti-bacterial and anti-insecticidal properties, were used to treat their bodies. The time and effort undoubtedly employed to embalm both Kha and Merit and the use of imported costly resins, notably Pistacia, do not support the previously held view that the two individuals were poorly mummified. Despite a lack of evisceration, the approach clearly allowed their in situ preservation as well as affording a fairly successful mummification.","container-title":"PLOS ONE","DOI":"10.1371/journal.pone.0131916","ISSN":"1932-6203","issue":"7","journalAbbreviation":"PLOS ONE","language":"en","page":"e0131916","publisher":"Public Library of Science","source":"PLoS Journals","title":"Shedding New Light on the 18th Dynasty Mummies of the Royal Architect Kha and His Spouse Merit","volume":"10","author":[{"family":"Bianucci","given":"Raffaella"},{"family":"Habicht","given":"Michael E."},{"family":"Buckley","given":"Stephen"},{"family":"Fletcher","given":"Joann"},{"family":"Seiler","given":"Roger"},{"family":"Öhrström","given":"Lena M."},{"family":"Vassilika","given":"Eleni"},{"family":"Böni","given":"Thomas"},{"family":"Rühli","given":"Frank J."}],"issued":{"date-parts":[["2015",7,22]]}}}],"schema":"https://github.com/citation-style-language/schema/raw/master/csl-citation.json"} </w:instrText>
      </w:r>
      <w:r w:rsidR="00D72DCF">
        <w:fldChar w:fldCharType="separate"/>
      </w:r>
      <w:r w:rsidR="00D72DCF" w:rsidRPr="00D72DCF">
        <w:rPr>
          <w:rFonts w:ascii="Aptos" w:hAnsi="Aptos" w:cs="Times New Roman"/>
          <w:kern w:val="0"/>
        </w:rPr>
        <w:t xml:space="preserve">(Bianucci </w:t>
      </w:r>
      <w:r w:rsidR="00D72DCF" w:rsidRPr="00D72DCF">
        <w:rPr>
          <w:rFonts w:ascii="Aptos" w:hAnsi="Aptos" w:cs="Times New Roman"/>
          <w:i/>
          <w:iCs/>
          <w:kern w:val="0"/>
        </w:rPr>
        <w:t>et al.</w:t>
      </w:r>
      <w:r w:rsidR="00D72DCF" w:rsidRPr="00D72DCF">
        <w:rPr>
          <w:rFonts w:ascii="Aptos" w:hAnsi="Aptos" w:cs="Times New Roman"/>
          <w:kern w:val="0"/>
        </w:rPr>
        <w:t>, 2015)</w:t>
      </w:r>
      <w:r w:rsidR="00D72DCF">
        <w:fldChar w:fldCharType="end"/>
      </w:r>
      <w:r w:rsidR="00D72DCF">
        <w:t xml:space="preserve"> It should also be noted that  the dry based </w:t>
      </w:r>
      <w:r w:rsidR="007C6F0F">
        <w:t>mummification</w:t>
      </w:r>
      <w:r w:rsidR="00D72DCF">
        <w:t xml:space="preserve"> that is being used in not the only meth</w:t>
      </w:r>
      <w:r w:rsidR="007C6F0F">
        <w:t>od</w:t>
      </w:r>
      <w:r w:rsidR="00D72DCF">
        <w:t>s as the 18</w:t>
      </w:r>
      <w:r w:rsidR="00D72DCF" w:rsidRPr="00D72DCF">
        <w:rPr>
          <w:vertAlign w:val="superscript"/>
        </w:rPr>
        <w:t>th</w:t>
      </w:r>
      <w:r w:rsidR="00D72DCF">
        <w:t xml:space="preserve"> </w:t>
      </w:r>
      <w:r w:rsidR="007C6F0F">
        <w:t>dynasty</w:t>
      </w:r>
      <w:r w:rsidR="00D72DCF">
        <w:t xml:space="preserve"> employed a natron based solution approach however due to inexperience and inability to </w:t>
      </w:r>
      <w:r w:rsidR="007C6F0F">
        <w:t>safely</w:t>
      </w:r>
      <w:r w:rsidR="00D72DCF">
        <w:t xml:space="preserve"> handle and procure these materials this method was not put into </w:t>
      </w:r>
      <w:r w:rsidR="007C6F0F">
        <w:t>usage</w:t>
      </w:r>
      <w:r w:rsidR="00D72DCF">
        <w:fldChar w:fldCharType="begin"/>
      </w:r>
      <w:r w:rsidR="00D72DCF">
        <w:instrText xml:space="preserve"> ADDIN ZOTERO_ITEM CSL_CITATION {"citationID":"qe9DsSPh","properties":{"unsorted":false,"formattedCitation":"(Buckley, 2011; \\uc0\\u214{}hrstr\\uc0\\u246{}m {\\i{}et al.}, 2020)","plainCitation":"(Buckley, 2011; Öhrström et al., 2020)","noteIndex":0},"citationItems":[{"id":694,"uris":["http://zotero.org/users/local/gg1ZQu5V/items/FACQSMMJ"],"itemData":{"id":694,"type":"webpage","title":"View Record: Mummifying Alan: Egypt’s Last Secret · BoB","URL":"https://learningonscreen.ac.uk/ondemand/index.php/prog/0211F9B7?bcast=95124075#","author":[{"family":"Buckley","given":"Stephen"}],"accessed":{"date-parts":[["2026",3,29]]},"issued":{"date-parts":[["2011"]]}}},{"id":690,"uris":["http://zotero.org/users/local/gg1ZQu5V/items/NMAN6G2M"],"itemData":{"id":690,"type":"article-journal","abstract":"Understanding natural and artificial postmortem alterations in different tissues of the human body is essential for bioarchaeology, paleogenetics, physical anthropology, forensic medicine, and many related disciplines. With this study, we tried to gain a better understanding of tissue alterations associated with the artificial mummification techniques of ancient Egypt, in particular for mummified visceral organs. We used several entire porcine organs and organ sections (liver, lung, stomach, ileum, and colon), which provided a close approximation to human organs. First, we dehydrated the specimens in artificial natron, before applying natural ointments, according to the ancient literary sources and recent publications. We periodically monitored the temperature, pH value, and weight of the specimens, in addition to radiodensity and volumetric measurements by clinical computed tomography and sampling for histological, bacteriological, and molecular analyses. After seven weeks, mummification was seen completed in all specimens. We observed a considerable loss of weight and volume, as well as similar courses in the decay of tissue architecture but varying levels of DNA degradation. Bacteriologically we did not detect any of the initially identified taxa in the samples by the end of the mummification process, nor any fungi. This feasibility study established an experimental protocol for future experiments modeling ancient Egyptian mummification of visceral organs using human specimens. Understanding desiccation and mummification processes in non-pathological tissues of specific visceral organs may help to identify and interpret disease-specific alterations in mummified tissues in ancient Egyptian canopic jars and organ packages contained in whole mummies.","container-title":"Clinical Anatomy","DOI":"10.1002/ca.23568","ISSN":"1098-2353","issue":"6","language":"en","license":"© 2020 Wiley Periodicals, Inc.","note":"_eprint: https://onlinelibrary.wiley.com/doi/pdf/10.1002/ca.23568","page":"860-871","source":"Wiley Online Library","title":"Experimental mummification—In the tracks of the ancient Egyptians","volume":"33","author":[{"family":"Öhrström","given":"Lena"},{"family":"Tekin","given":"Ahmed"},{"family":"Biedermann","given":"Philipp"},{"family":"Morozova","given":"Irina"},{"family":"Habicht","given":"Michael"},{"family":"Gascho","given":"Dominic"},{"family":"Bode-Lesniewska","given":"Beata"},{"family":"Imhof","given":"Alexander"},{"family":"Rühli","given":"Frank"},{"family":"Eppenberger","given":"Patrick"}],"issued":{"date-parts":[["2020"]]}}}],"schema":"https://github.com/citation-style-language/schema/raw/master/csl-citation.json"} </w:instrText>
      </w:r>
      <w:r w:rsidR="00D72DCF">
        <w:fldChar w:fldCharType="separate"/>
      </w:r>
      <w:r w:rsidR="00D72DCF" w:rsidRPr="00D72DCF">
        <w:rPr>
          <w:rFonts w:ascii="Aptos" w:hAnsi="Aptos" w:cs="Times New Roman"/>
          <w:kern w:val="0"/>
        </w:rPr>
        <w:t xml:space="preserve">(Buckley, 2011; </w:t>
      </w:r>
      <w:proofErr w:type="spellStart"/>
      <w:r w:rsidR="00D72DCF" w:rsidRPr="00D72DCF">
        <w:rPr>
          <w:rFonts w:ascii="Aptos" w:hAnsi="Aptos" w:cs="Times New Roman"/>
          <w:kern w:val="0"/>
        </w:rPr>
        <w:t>Öhrström</w:t>
      </w:r>
      <w:proofErr w:type="spellEnd"/>
      <w:r w:rsidR="00D72DCF" w:rsidRPr="00D72DCF">
        <w:rPr>
          <w:rFonts w:ascii="Aptos" w:hAnsi="Aptos" w:cs="Times New Roman"/>
          <w:kern w:val="0"/>
        </w:rPr>
        <w:t xml:space="preserve"> </w:t>
      </w:r>
      <w:r w:rsidR="00D72DCF" w:rsidRPr="00D72DCF">
        <w:rPr>
          <w:rFonts w:ascii="Aptos" w:hAnsi="Aptos" w:cs="Times New Roman"/>
          <w:i/>
          <w:iCs/>
          <w:kern w:val="0"/>
        </w:rPr>
        <w:t>et al.</w:t>
      </w:r>
      <w:r w:rsidR="00D72DCF" w:rsidRPr="00D72DCF">
        <w:rPr>
          <w:rFonts w:ascii="Aptos" w:hAnsi="Aptos" w:cs="Times New Roman"/>
          <w:kern w:val="0"/>
        </w:rPr>
        <w:t>, 2020)</w:t>
      </w:r>
      <w:r w:rsidR="00D72DCF">
        <w:fldChar w:fldCharType="end"/>
      </w:r>
    </w:p>
    <w:p w14:paraId="1988504D" w14:textId="77777777" w:rsidR="00E53E33" w:rsidRDefault="00E53E33" w:rsidP="00E53E33">
      <w:pPr>
        <w:pStyle w:val="Heading2"/>
      </w:pPr>
    </w:p>
    <w:p w14:paraId="6A61AE56" w14:textId="3F09C015" w:rsidR="00E53E33" w:rsidRDefault="00E53E33" w:rsidP="00E53E33">
      <w:pPr>
        <w:pStyle w:val="Heading2"/>
      </w:pPr>
      <w:r>
        <w:t>Results</w:t>
      </w:r>
    </w:p>
    <w:p w14:paraId="3F9802A1" w14:textId="7E57B9A9" w:rsidR="00E53E33" w:rsidRDefault="00E53E33" w:rsidP="00E53E33">
      <w:r>
        <w:t>Over the course of the experiment the hypothesis was successful as there was a significant amount of evidence that pointed towards the salt extracting the moisture from both the frankfurter and the tangerine. During the first week when each of the objects were placed in their sealed bags measurements of all of them were done and each of them were measured and colour tested as a base to compare to the changes as time went on</w:t>
      </w:r>
    </w:p>
    <w:tbl>
      <w:tblPr>
        <w:tblStyle w:val="TableGrid"/>
        <w:tblW w:w="0" w:type="auto"/>
        <w:tblInd w:w="-289" w:type="dxa"/>
        <w:tblLook w:val="04A0" w:firstRow="1" w:lastRow="0" w:firstColumn="1" w:lastColumn="0" w:noHBand="0" w:noVBand="1"/>
      </w:tblPr>
      <w:tblGrid>
        <w:gridCol w:w="2092"/>
        <w:gridCol w:w="1803"/>
        <w:gridCol w:w="1803"/>
        <w:gridCol w:w="1803"/>
        <w:gridCol w:w="1804"/>
      </w:tblGrid>
      <w:tr w:rsidR="00E53E33" w14:paraId="40AEEFA7" w14:textId="77777777" w:rsidTr="0072245E">
        <w:tc>
          <w:tcPr>
            <w:tcW w:w="2092" w:type="dxa"/>
          </w:tcPr>
          <w:p w14:paraId="4F436BE1" w14:textId="251F6389" w:rsidR="00E53E33" w:rsidRDefault="00F21746" w:rsidP="00E53E33">
            <w:r>
              <w:t>Week 1</w:t>
            </w:r>
          </w:p>
        </w:tc>
        <w:tc>
          <w:tcPr>
            <w:tcW w:w="1803" w:type="dxa"/>
          </w:tcPr>
          <w:p w14:paraId="688E65A3" w14:textId="0777DA94" w:rsidR="00E53E33" w:rsidRDefault="00E53E33" w:rsidP="00E53E33">
            <w:r>
              <w:t>Tangerine C</w:t>
            </w:r>
          </w:p>
        </w:tc>
        <w:tc>
          <w:tcPr>
            <w:tcW w:w="1803" w:type="dxa"/>
          </w:tcPr>
          <w:p w14:paraId="39DE0252" w14:textId="6087CCCE" w:rsidR="00E53E33" w:rsidRDefault="00E53E33" w:rsidP="00E53E33">
            <w:r>
              <w:t xml:space="preserve">Tangerine </w:t>
            </w:r>
            <w:r w:rsidR="00F21746">
              <w:t>E</w:t>
            </w:r>
          </w:p>
        </w:tc>
        <w:tc>
          <w:tcPr>
            <w:tcW w:w="1803" w:type="dxa"/>
          </w:tcPr>
          <w:p w14:paraId="150BD10B" w14:textId="645ACF33" w:rsidR="00E53E33" w:rsidRDefault="00E53E33" w:rsidP="00E53E33">
            <w:r>
              <w:t>Frankfurter C</w:t>
            </w:r>
          </w:p>
        </w:tc>
        <w:tc>
          <w:tcPr>
            <w:tcW w:w="1804" w:type="dxa"/>
          </w:tcPr>
          <w:p w14:paraId="015F50E4" w14:textId="3A626230" w:rsidR="00E53E33" w:rsidRDefault="00E53E33" w:rsidP="00E53E33">
            <w:r>
              <w:t xml:space="preserve">Frankfurter </w:t>
            </w:r>
            <w:r w:rsidR="00F21746">
              <w:t>E</w:t>
            </w:r>
          </w:p>
        </w:tc>
      </w:tr>
      <w:tr w:rsidR="00E53E33" w14:paraId="32A3E82D" w14:textId="77777777" w:rsidTr="0072245E">
        <w:tc>
          <w:tcPr>
            <w:tcW w:w="2092" w:type="dxa"/>
          </w:tcPr>
          <w:p w14:paraId="122CB5AF" w14:textId="0D6E4694" w:rsidR="00E53E33" w:rsidRDefault="00DE3619" w:rsidP="00E53E33">
            <w:r>
              <w:t>weight</w:t>
            </w:r>
          </w:p>
        </w:tc>
        <w:tc>
          <w:tcPr>
            <w:tcW w:w="1803" w:type="dxa"/>
          </w:tcPr>
          <w:p w14:paraId="5842BB9C" w14:textId="20C78306" w:rsidR="00E53E33" w:rsidRDefault="00F21746" w:rsidP="00E53E33">
            <w:r>
              <w:t>49.1</w:t>
            </w:r>
          </w:p>
        </w:tc>
        <w:tc>
          <w:tcPr>
            <w:tcW w:w="1803" w:type="dxa"/>
          </w:tcPr>
          <w:p w14:paraId="132442FD" w14:textId="71328064" w:rsidR="00E53E33" w:rsidRDefault="00DE3619" w:rsidP="00E53E33">
            <w:r>
              <w:t>40.7g</w:t>
            </w:r>
          </w:p>
        </w:tc>
        <w:tc>
          <w:tcPr>
            <w:tcW w:w="1803" w:type="dxa"/>
          </w:tcPr>
          <w:p w14:paraId="712AAC4A" w14:textId="1F2A1BF2" w:rsidR="00E53E33" w:rsidRDefault="00E53E33" w:rsidP="00E53E33">
            <w:r>
              <w:t>19.3g</w:t>
            </w:r>
          </w:p>
        </w:tc>
        <w:tc>
          <w:tcPr>
            <w:tcW w:w="1804" w:type="dxa"/>
          </w:tcPr>
          <w:p w14:paraId="0D207E8F" w14:textId="050AB931" w:rsidR="00E53E33" w:rsidRDefault="00E53E33" w:rsidP="00E53E33">
            <w:r>
              <w:t>40.7g</w:t>
            </w:r>
          </w:p>
        </w:tc>
      </w:tr>
      <w:tr w:rsidR="00E53E33" w14:paraId="304DB370" w14:textId="77777777" w:rsidTr="0072245E">
        <w:tc>
          <w:tcPr>
            <w:tcW w:w="2092" w:type="dxa"/>
          </w:tcPr>
          <w:p w14:paraId="550ED0FA" w14:textId="3AD6EA03" w:rsidR="00E53E33" w:rsidRDefault="00DE3619" w:rsidP="00E53E33">
            <w:r>
              <w:t>height</w:t>
            </w:r>
          </w:p>
        </w:tc>
        <w:tc>
          <w:tcPr>
            <w:tcW w:w="1803" w:type="dxa"/>
          </w:tcPr>
          <w:p w14:paraId="3473DD5D" w14:textId="594BEF7B" w:rsidR="00E53E33" w:rsidRDefault="00E1637F" w:rsidP="00E53E33">
            <w:r>
              <w:t>41.81</w:t>
            </w:r>
            <w:r w:rsidR="00DE3619">
              <w:t>mm</w:t>
            </w:r>
          </w:p>
        </w:tc>
        <w:tc>
          <w:tcPr>
            <w:tcW w:w="1803" w:type="dxa"/>
          </w:tcPr>
          <w:p w14:paraId="5C000AC1" w14:textId="566B5377" w:rsidR="00E53E33" w:rsidRDefault="00DE3619" w:rsidP="00E53E33">
            <w:r>
              <w:t>4</w:t>
            </w:r>
            <w:r w:rsidR="00E1637F">
              <w:t>6.74mm</w:t>
            </w:r>
          </w:p>
        </w:tc>
        <w:tc>
          <w:tcPr>
            <w:tcW w:w="1803" w:type="dxa"/>
          </w:tcPr>
          <w:p w14:paraId="08A98361" w14:textId="1206180A" w:rsidR="00E53E33" w:rsidRDefault="00E1637F" w:rsidP="00E53E33">
            <w:r>
              <w:t>42.51mm</w:t>
            </w:r>
          </w:p>
        </w:tc>
        <w:tc>
          <w:tcPr>
            <w:tcW w:w="1804" w:type="dxa"/>
          </w:tcPr>
          <w:p w14:paraId="6A21DDFA" w14:textId="35870B7F" w:rsidR="00E53E33" w:rsidRDefault="00DE3619" w:rsidP="00E53E33">
            <w:r>
              <w:t>42.31mm</w:t>
            </w:r>
          </w:p>
        </w:tc>
      </w:tr>
      <w:tr w:rsidR="00E53E33" w14:paraId="54EF8EE2" w14:textId="77777777" w:rsidTr="0072245E">
        <w:tc>
          <w:tcPr>
            <w:tcW w:w="2092" w:type="dxa"/>
          </w:tcPr>
          <w:p w14:paraId="2FE98D94" w14:textId="73017B76" w:rsidR="00E53E33" w:rsidRDefault="00DE3619" w:rsidP="00E53E33">
            <w:r>
              <w:t>width</w:t>
            </w:r>
          </w:p>
        </w:tc>
        <w:tc>
          <w:tcPr>
            <w:tcW w:w="1803" w:type="dxa"/>
          </w:tcPr>
          <w:p w14:paraId="2DE941F4" w14:textId="29F95C5F" w:rsidR="00E53E33" w:rsidRDefault="00E1637F" w:rsidP="00E53E33">
            <w:r>
              <w:t>29.16</w:t>
            </w:r>
            <w:r w:rsidR="00DE3619">
              <w:t>mm</w:t>
            </w:r>
          </w:p>
        </w:tc>
        <w:tc>
          <w:tcPr>
            <w:tcW w:w="1803" w:type="dxa"/>
          </w:tcPr>
          <w:p w14:paraId="689409A7" w14:textId="7FDE5F23" w:rsidR="00E53E33" w:rsidRDefault="00DE3619" w:rsidP="00E53E33">
            <w:r>
              <w:t>29.16mm</w:t>
            </w:r>
          </w:p>
        </w:tc>
        <w:tc>
          <w:tcPr>
            <w:tcW w:w="1803" w:type="dxa"/>
          </w:tcPr>
          <w:p w14:paraId="1243279C" w14:textId="64155B8D" w:rsidR="00E53E33" w:rsidRDefault="00E1637F" w:rsidP="00E53E33">
            <w:r>
              <w:t>17.46mm</w:t>
            </w:r>
          </w:p>
        </w:tc>
        <w:tc>
          <w:tcPr>
            <w:tcW w:w="1804" w:type="dxa"/>
          </w:tcPr>
          <w:p w14:paraId="35533A47" w14:textId="463B4EDC" w:rsidR="00E53E33" w:rsidRDefault="00E1637F" w:rsidP="00E53E33">
            <w:r>
              <w:t>17.46mm</w:t>
            </w:r>
          </w:p>
        </w:tc>
      </w:tr>
      <w:tr w:rsidR="00DE3619" w14:paraId="04463907" w14:textId="77777777" w:rsidTr="0072245E">
        <w:tc>
          <w:tcPr>
            <w:tcW w:w="2092" w:type="dxa"/>
          </w:tcPr>
          <w:p w14:paraId="05494CD2" w14:textId="7ED3A821" w:rsidR="00DE3619" w:rsidRDefault="00DE3619" w:rsidP="00DE3619">
            <w:r>
              <w:t>length</w:t>
            </w:r>
          </w:p>
        </w:tc>
        <w:tc>
          <w:tcPr>
            <w:tcW w:w="1803" w:type="dxa"/>
          </w:tcPr>
          <w:p w14:paraId="6814CA29" w14:textId="1F4FF7E5" w:rsidR="00DE3619" w:rsidRDefault="00E1637F" w:rsidP="00DE3619">
            <w:r>
              <w:t>59.49mm</w:t>
            </w:r>
          </w:p>
        </w:tc>
        <w:tc>
          <w:tcPr>
            <w:tcW w:w="1803" w:type="dxa"/>
          </w:tcPr>
          <w:p w14:paraId="009C77BE" w14:textId="04C90A38" w:rsidR="00DE3619" w:rsidRDefault="00E1637F" w:rsidP="00DE3619">
            <w:r>
              <w:t>59.45mm</w:t>
            </w:r>
          </w:p>
        </w:tc>
        <w:tc>
          <w:tcPr>
            <w:tcW w:w="1803" w:type="dxa"/>
          </w:tcPr>
          <w:p w14:paraId="0DAA5645" w14:textId="3A559501" w:rsidR="00DE3619" w:rsidRDefault="00E1637F" w:rsidP="00DE3619">
            <w:r>
              <w:t>76.12mm</w:t>
            </w:r>
          </w:p>
        </w:tc>
        <w:tc>
          <w:tcPr>
            <w:tcW w:w="1804" w:type="dxa"/>
          </w:tcPr>
          <w:p w14:paraId="5ABC48EB" w14:textId="37C0F48C" w:rsidR="00DE3619" w:rsidRDefault="00E1637F" w:rsidP="00DE3619">
            <w:r>
              <w:t>73.65mm</w:t>
            </w:r>
          </w:p>
        </w:tc>
      </w:tr>
    </w:tbl>
    <w:p w14:paraId="166E0FF2" w14:textId="6E569BEA" w:rsidR="00DE3619" w:rsidRDefault="00DE3619" w:rsidP="00E53E33"/>
    <w:p w14:paraId="533B237D" w14:textId="5A575289" w:rsidR="00DE3619" w:rsidRDefault="00DE3619" w:rsidP="00E53E33">
      <w:r>
        <w:t xml:space="preserve">As the </w:t>
      </w:r>
      <w:r w:rsidR="007A30CE">
        <w:t>table</w:t>
      </w:r>
      <w:r>
        <w:t xml:space="preserve"> shows these are the baseline statistics that each of both the control and the experimental objects are using as their baseline and any changes from here will be noted down in separate tables and graphs during the ne</w:t>
      </w:r>
      <w:r w:rsidR="007A30CE">
        <w:t>xt</w:t>
      </w:r>
      <w:r>
        <w:t xml:space="preserve"> series of updates and </w:t>
      </w:r>
      <w:r w:rsidR="007A30CE">
        <w:t>check-ins</w:t>
      </w:r>
      <w:r>
        <w:t xml:space="preserve"> in line with the methodology for this experiment</w:t>
      </w:r>
      <w:r w:rsidR="007A30CE">
        <w:t xml:space="preserve"> there will also be images and colour pantones shown for the sake of tracking the visual changes that happen during the course of this experiment. </w:t>
      </w:r>
      <w:proofErr w:type="gramStart"/>
      <w:r w:rsidR="007A30CE">
        <w:t>Due to the fact that</w:t>
      </w:r>
      <w:proofErr w:type="gramEnd"/>
      <w:r w:rsidR="007A30CE">
        <w:t xml:space="preserve"> there are different sections of each object both experimental and control then to better track the change in colour an image and a description of each object will be given and using the corresponding pantones</w:t>
      </w:r>
      <w:r w:rsidR="006919D2">
        <w:t>.</w:t>
      </w:r>
    </w:p>
    <w:p w14:paraId="1BF81C90" w14:textId="77777777" w:rsidR="0072245E" w:rsidRDefault="0072245E" w:rsidP="00E53E33"/>
    <w:p w14:paraId="19D44CE9" w14:textId="1379B5CA" w:rsidR="006919D2" w:rsidRDefault="006919D2" w:rsidP="006919D2">
      <w:pPr>
        <w:keepNext/>
      </w:pPr>
      <w:r>
        <w:rPr>
          <w:noProof/>
        </w:rPr>
        <w:lastRenderedPageBreak/>
        <w:drawing>
          <wp:inline distT="0" distB="0" distL="0" distR="0" wp14:anchorId="77AD92A9" wp14:editId="42FB5FF8">
            <wp:extent cx="2881745" cy="3842327"/>
            <wp:effectExtent l="0" t="0" r="0" b="6350"/>
            <wp:docPr id="17523536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85695" cy="3847594"/>
                    </a:xfrm>
                    <a:prstGeom prst="rect">
                      <a:avLst/>
                    </a:prstGeom>
                    <a:noFill/>
                  </pic:spPr>
                </pic:pic>
              </a:graphicData>
            </a:graphic>
          </wp:inline>
        </w:drawing>
      </w:r>
      <w:r>
        <w:t>peel 1575c#ff7f32</w:t>
      </w:r>
    </w:p>
    <w:p w14:paraId="00974A75" w14:textId="3F1503B5" w:rsidR="006919D2" w:rsidRDefault="006919D2" w:rsidP="006919D2">
      <w:pPr>
        <w:pStyle w:val="Caption"/>
      </w:pPr>
      <w:r>
        <w:t xml:space="preserve">figure </w:t>
      </w:r>
      <w:fldSimple w:instr=" SEQ figure \* ARABIC ">
        <w:r w:rsidR="00AD1E64">
          <w:rPr>
            <w:noProof/>
          </w:rPr>
          <w:t>1</w:t>
        </w:r>
      </w:fldSimple>
      <w:r>
        <w:t>. whole tangerine week 1 Evan Davies</w:t>
      </w:r>
    </w:p>
    <w:p w14:paraId="0BEEC787" w14:textId="7A3E1142" w:rsidR="00A86064" w:rsidRDefault="006919D2" w:rsidP="00E53E33">
      <w:r>
        <w:t xml:space="preserve"> the tangerine here is whole as this was the beginning of the experiment and there </w:t>
      </w:r>
      <w:r w:rsidR="00A86064">
        <w:t>were</w:t>
      </w:r>
      <w:r>
        <w:t xml:space="preserve"> pictures taken through each stage of it this. The pith and the flesh of the tangerine was revealed to be 2013#ff9800 (flesh) and 4201#f0eeq (pith). </w:t>
      </w:r>
      <w:r w:rsidR="00D72DCF">
        <w:t>These tangerines</w:t>
      </w:r>
      <w:r>
        <w:t xml:space="preserve"> showed minimal damage to its outside flesh and was healthy and ripe. The tangerine was then cut in </w:t>
      </w:r>
      <w:r w:rsidR="00A86064">
        <w:t>half,</w:t>
      </w:r>
      <w:r>
        <w:t xml:space="preserve"> and each half was placed in separate bags and then designated control and experimental respectively.</w:t>
      </w:r>
      <w:r w:rsidR="00A86064">
        <w:t xml:space="preserve"> At this point in time the tangerines were firm and held a normal quantity of juice is relation to its size and held a thick but almost plush texture along the bumpy skin. When cut into the flesh was juicy and clearly held a large volume of liquid. The pith was also quite </w:t>
      </w:r>
      <w:r w:rsidR="007C6F0F">
        <w:t>springy,</w:t>
      </w:r>
      <w:r w:rsidR="00A86064">
        <w:t xml:space="preserve"> and the texture of the whole tangerine was spongy</w:t>
      </w:r>
    </w:p>
    <w:p w14:paraId="133DD53D" w14:textId="464BB317" w:rsidR="006919D2" w:rsidRDefault="006919D2" w:rsidP="00E53E33">
      <w:r>
        <w:t xml:space="preserve">The frankfurters were also cut and both placed in the control and experimental bags respectively.as the methodology dictated there was a </w:t>
      </w:r>
      <w:r w:rsidR="00A86064">
        <w:t>mixture</w:t>
      </w:r>
      <w:r>
        <w:t xml:space="preserve"> of salts placed within each experimental bags and nothing paced in the control bags</w:t>
      </w:r>
      <w:r w:rsidR="00F21746">
        <w:t>.</w:t>
      </w:r>
      <w:r w:rsidR="00A86064">
        <w:t xml:space="preserve"> The frankfurters were firm and cold to the touch but did not hold significant amounts of </w:t>
      </w:r>
      <w:r w:rsidR="007C6F0F">
        <w:t>liquid but most of their water contents was based in solidified fat,</w:t>
      </w:r>
    </w:p>
    <w:p w14:paraId="3B499925" w14:textId="7390A23C" w:rsidR="006919D2" w:rsidRDefault="00F21746" w:rsidP="00E53E33">
      <w:r>
        <w:t xml:space="preserve">As week two arrived there were significant changes in both the control bags and the experimental bags. As the control bags were taking their natural course so they showed clear signs of rotting </w:t>
      </w:r>
      <w:r w:rsidR="007C6F0F">
        <w:t>and</w:t>
      </w:r>
      <w:r>
        <w:t xml:space="preserve"> decay while the experimental bags showed signs of moisture extraction and </w:t>
      </w:r>
      <w:r w:rsidR="00D72DCF">
        <w:t>preservation</w:t>
      </w:r>
      <w:r>
        <w:t xml:space="preserve"> it seems only to have slowed not to have halted the process in the same way the </w:t>
      </w:r>
      <w:r w:rsidR="00D72DCF">
        <w:t>ancient</w:t>
      </w:r>
      <w:r>
        <w:t xml:space="preserve"> Egyptians were capable of outputting. </w:t>
      </w:r>
      <w:r>
        <w:fldChar w:fldCharType="begin"/>
      </w:r>
      <w:r>
        <w:instrText xml:space="preserve"> ADDIN ZOTERO_ITEM CSL_CITATION {"citationID":"ihGTP1cV","properties":{"unsorted":false,"formattedCitation":"(Ikram, 2010)","plainCitation":"(Ikram, 2010)","noteIndex":0},"citationItems":[{"id":684,"uris":["http://zotero.org/users/local/gg1ZQu5V/items/EBRL94MI"],"itemData":{"id":684,"type":"article-journal","abstract":"The ancient Egyptians carried out mummification, the artificial preservation of the body, to ensure the survival of the body after death. They believed that the dead body could be reanimated by the ka (spiritual essence) and that the destruction of the body threatened the survival of the soul and the individual’s identity for eternity. Mummification was used primarily by elites from the early Old Kingdom on, with variations becoming available for those of lesser social and economic standing over time. The word “mummy” is derived from the Persian and Arabic word “mum”, meaning liquid pitch, asphalt, or bitumen, a substance that the Arabs mistakenly thought was used to make mummies and responsible for their dark coloring.","container-title":"UCLA Encyclopedia of Egyptology","issue":"1","language":"en","source":"escholarship.org","title":"Mummification","URL":"https://escholarship.org/uc/item/0gn7x3ff","volume":"1","author":[{"family":"Ikram","given":"Salima"}],"accessed":{"date-parts":[["2026",3,21]]},"issued":{"date-parts":[["2010",9,1]]}}}],"schema":"https://github.com/citation-style-language/schema/raw/master/csl-citation.json"} </w:instrText>
      </w:r>
      <w:r>
        <w:fldChar w:fldCharType="separate"/>
      </w:r>
      <w:r w:rsidRPr="00F21746">
        <w:rPr>
          <w:rFonts w:ascii="Aptos" w:hAnsi="Aptos"/>
        </w:rPr>
        <w:t>(Ikram, 2010)</w:t>
      </w:r>
      <w:r>
        <w:fldChar w:fldCharType="end"/>
      </w:r>
    </w:p>
    <w:p w14:paraId="56164E01" w14:textId="77777777" w:rsidR="00F21746" w:rsidRDefault="00F21746" w:rsidP="00E53E33"/>
    <w:p w14:paraId="54C8D4D6" w14:textId="77777777" w:rsidR="00DE3619" w:rsidRDefault="00DE3619" w:rsidP="00E53E33"/>
    <w:tbl>
      <w:tblPr>
        <w:tblStyle w:val="TableGrid"/>
        <w:tblW w:w="0" w:type="auto"/>
        <w:tblLook w:val="04A0" w:firstRow="1" w:lastRow="0" w:firstColumn="1" w:lastColumn="0" w:noHBand="0" w:noVBand="1"/>
      </w:tblPr>
      <w:tblGrid>
        <w:gridCol w:w="1803"/>
        <w:gridCol w:w="1803"/>
        <w:gridCol w:w="1803"/>
        <w:gridCol w:w="1803"/>
        <w:gridCol w:w="1804"/>
      </w:tblGrid>
      <w:tr w:rsidR="00F21746" w14:paraId="69F4713C" w14:textId="77777777" w:rsidTr="00F416BA">
        <w:tc>
          <w:tcPr>
            <w:tcW w:w="1803" w:type="dxa"/>
          </w:tcPr>
          <w:p w14:paraId="668656B5" w14:textId="39E7BB39" w:rsidR="00F21746" w:rsidRDefault="00F21746" w:rsidP="00F416BA">
            <w:r>
              <w:t xml:space="preserve">Week </w:t>
            </w:r>
            <w:r>
              <w:t>2</w:t>
            </w:r>
          </w:p>
        </w:tc>
        <w:tc>
          <w:tcPr>
            <w:tcW w:w="1803" w:type="dxa"/>
          </w:tcPr>
          <w:p w14:paraId="4AB949BA" w14:textId="77777777" w:rsidR="00F21746" w:rsidRDefault="00F21746" w:rsidP="00F416BA">
            <w:r>
              <w:t>Tangerine C</w:t>
            </w:r>
          </w:p>
        </w:tc>
        <w:tc>
          <w:tcPr>
            <w:tcW w:w="1803" w:type="dxa"/>
          </w:tcPr>
          <w:p w14:paraId="414E3498" w14:textId="7E3956D1" w:rsidR="00F21746" w:rsidRDefault="00F21746" w:rsidP="00F416BA">
            <w:r>
              <w:t xml:space="preserve">Tangerine </w:t>
            </w:r>
            <w:r>
              <w:t>E</w:t>
            </w:r>
          </w:p>
        </w:tc>
        <w:tc>
          <w:tcPr>
            <w:tcW w:w="1803" w:type="dxa"/>
          </w:tcPr>
          <w:p w14:paraId="704484C1" w14:textId="77777777" w:rsidR="00F21746" w:rsidRDefault="00F21746" w:rsidP="00F416BA">
            <w:r>
              <w:t>Frankfurter C</w:t>
            </w:r>
          </w:p>
        </w:tc>
        <w:tc>
          <w:tcPr>
            <w:tcW w:w="1804" w:type="dxa"/>
          </w:tcPr>
          <w:p w14:paraId="0FA5E2A4" w14:textId="2764391D" w:rsidR="00F21746" w:rsidRDefault="00F21746" w:rsidP="00F416BA">
            <w:r>
              <w:t xml:space="preserve">Frankfurter </w:t>
            </w:r>
            <w:r>
              <w:t>E</w:t>
            </w:r>
          </w:p>
        </w:tc>
      </w:tr>
      <w:tr w:rsidR="00F21746" w14:paraId="015403FB" w14:textId="77777777" w:rsidTr="00F416BA">
        <w:tc>
          <w:tcPr>
            <w:tcW w:w="1803" w:type="dxa"/>
          </w:tcPr>
          <w:p w14:paraId="61A90BD2" w14:textId="77777777" w:rsidR="00F21746" w:rsidRDefault="00F21746" w:rsidP="00F416BA">
            <w:r>
              <w:lastRenderedPageBreak/>
              <w:t>weight</w:t>
            </w:r>
          </w:p>
        </w:tc>
        <w:tc>
          <w:tcPr>
            <w:tcW w:w="1803" w:type="dxa"/>
          </w:tcPr>
          <w:p w14:paraId="2D376F40" w14:textId="1CD3A140" w:rsidR="00F21746" w:rsidRDefault="00F21746" w:rsidP="00F416BA">
            <w:r>
              <w:t>40.0g</w:t>
            </w:r>
          </w:p>
        </w:tc>
        <w:tc>
          <w:tcPr>
            <w:tcW w:w="1803" w:type="dxa"/>
          </w:tcPr>
          <w:p w14:paraId="42B3BCAC" w14:textId="05F0FB85" w:rsidR="00F21746" w:rsidRDefault="00F21746" w:rsidP="00F416BA">
            <w:r>
              <w:t>38.0</w:t>
            </w:r>
            <w:r>
              <w:t>g</w:t>
            </w:r>
          </w:p>
        </w:tc>
        <w:tc>
          <w:tcPr>
            <w:tcW w:w="1803" w:type="dxa"/>
          </w:tcPr>
          <w:p w14:paraId="0459E4D6" w14:textId="277281C8" w:rsidR="00F21746" w:rsidRDefault="00F21746" w:rsidP="00F416BA">
            <w:r>
              <w:t>1</w:t>
            </w:r>
            <w:r>
              <w:t>8</w:t>
            </w:r>
            <w:r>
              <w:t>.3g</w:t>
            </w:r>
          </w:p>
        </w:tc>
        <w:tc>
          <w:tcPr>
            <w:tcW w:w="1804" w:type="dxa"/>
          </w:tcPr>
          <w:p w14:paraId="07AC8AC3" w14:textId="2400BDE7" w:rsidR="00F21746" w:rsidRDefault="00F21746" w:rsidP="00F416BA">
            <w:r>
              <w:t>10</w:t>
            </w:r>
            <w:r>
              <w:t>.7g</w:t>
            </w:r>
          </w:p>
        </w:tc>
      </w:tr>
      <w:tr w:rsidR="00F21746" w14:paraId="3EAE8B06" w14:textId="77777777" w:rsidTr="00F416BA">
        <w:tc>
          <w:tcPr>
            <w:tcW w:w="1803" w:type="dxa"/>
          </w:tcPr>
          <w:p w14:paraId="0F295CF3" w14:textId="77777777" w:rsidR="00F21746" w:rsidRDefault="00F21746" w:rsidP="00F416BA">
            <w:r>
              <w:t>height</w:t>
            </w:r>
          </w:p>
        </w:tc>
        <w:tc>
          <w:tcPr>
            <w:tcW w:w="1803" w:type="dxa"/>
          </w:tcPr>
          <w:p w14:paraId="40DF8290" w14:textId="2CD6B817" w:rsidR="00F21746" w:rsidRDefault="00E1637F" w:rsidP="00F416BA">
            <w:r>
              <w:t>40.16</w:t>
            </w:r>
            <w:r w:rsidR="00F21746">
              <w:t>mm</w:t>
            </w:r>
          </w:p>
        </w:tc>
        <w:tc>
          <w:tcPr>
            <w:tcW w:w="1803" w:type="dxa"/>
          </w:tcPr>
          <w:p w14:paraId="59A09AB3" w14:textId="40033E0F" w:rsidR="00F21746" w:rsidRDefault="00E1637F" w:rsidP="00F416BA">
            <w:r>
              <w:t>39.23</w:t>
            </w:r>
            <w:r w:rsidR="00F21746">
              <w:t>mm</w:t>
            </w:r>
          </w:p>
        </w:tc>
        <w:tc>
          <w:tcPr>
            <w:tcW w:w="1803" w:type="dxa"/>
          </w:tcPr>
          <w:p w14:paraId="015BB905" w14:textId="1881812A" w:rsidR="00F21746" w:rsidRDefault="00F21746" w:rsidP="00F416BA">
            <w:r>
              <w:t>16.</w:t>
            </w:r>
            <w:r w:rsidR="00E1637F">
              <w:t>5</w:t>
            </w:r>
            <w:r>
              <w:t>4mm</w:t>
            </w:r>
          </w:p>
        </w:tc>
        <w:tc>
          <w:tcPr>
            <w:tcW w:w="1804" w:type="dxa"/>
          </w:tcPr>
          <w:p w14:paraId="36D5AF30" w14:textId="46D49C8D" w:rsidR="00F21746" w:rsidRDefault="00E1637F" w:rsidP="00F416BA">
            <w:r>
              <w:t>13.71</w:t>
            </w:r>
            <w:r w:rsidR="00F21746">
              <w:t>mm</w:t>
            </w:r>
          </w:p>
        </w:tc>
      </w:tr>
      <w:tr w:rsidR="00F21746" w14:paraId="2FA64252" w14:textId="77777777" w:rsidTr="00F416BA">
        <w:tc>
          <w:tcPr>
            <w:tcW w:w="1803" w:type="dxa"/>
          </w:tcPr>
          <w:p w14:paraId="4918282A" w14:textId="77777777" w:rsidR="00F21746" w:rsidRDefault="00F21746" w:rsidP="00F416BA">
            <w:r>
              <w:t>width</w:t>
            </w:r>
          </w:p>
        </w:tc>
        <w:tc>
          <w:tcPr>
            <w:tcW w:w="1803" w:type="dxa"/>
          </w:tcPr>
          <w:p w14:paraId="3EC9BBEF" w14:textId="3AC26A72" w:rsidR="00F21746" w:rsidRDefault="00E1637F" w:rsidP="00F416BA">
            <w:r>
              <w:t>28</w:t>
            </w:r>
            <w:r w:rsidR="00F21746">
              <w:t>.</w:t>
            </w:r>
            <w:r>
              <w:t>53</w:t>
            </w:r>
            <w:r w:rsidR="00F21746">
              <w:t>mm</w:t>
            </w:r>
          </w:p>
        </w:tc>
        <w:tc>
          <w:tcPr>
            <w:tcW w:w="1803" w:type="dxa"/>
          </w:tcPr>
          <w:p w14:paraId="5C3B9025" w14:textId="18A4E3B1" w:rsidR="00F21746" w:rsidRDefault="00F21746" w:rsidP="00F416BA">
            <w:r>
              <w:t>2</w:t>
            </w:r>
            <w:r w:rsidR="00E1637F">
              <w:t>8</w:t>
            </w:r>
            <w:r>
              <w:t>.</w:t>
            </w:r>
            <w:r w:rsidR="00E1637F">
              <w:t>.53</w:t>
            </w:r>
            <w:r>
              <w:t>mm</w:t>
            </w:r>
          </w:p>
        </w:tc>
        <w:tc>
          <w:tcPr>
            <w:tcW w:w="1803" w:type="dxa"/>
          </w:tcPr>
          <w:p w14:paraId="7415D0DA" w14:textId="5588A728" w:rsidR="00F21746" w:rsidRDefault="00F21746" w:rsidP="00F416BA">
            <w:r>
              <w:t>17.</w:t>
            </w:r>
            <w:r w:rsidR="00E1637F">
              <w:t>29</w:t>
            </w:r>
            <w:r>
              <w:t>mm</w:t>
            </w:r>
          </w:p>
        </w:tc>
        <w:tc>
          <w:tcPr>
            <w:tcW w:w="1804" w:type="dxa"/>
          </w:tcPr>
          <w:p w14:paraId="03FA2D3D" w14:textId="7FA9EEE6" w:rsidR="00F21746" w:rsidRDefault="00E1637F" w:rsidP="00F416BA">
            <w:r>
              <w:t>14.14</w:t>
            </w:r>
            <w:r w:rsidR="00F21746">
              <w:t>mm</w:t>
            </w:r>
          </w:p>
        </w:tc>
      </w:tr>
      <w:tr w:rsidR="00F21746" w14:paraId="7A625C9D" w14:textId="77777777" w:rsidTr="00F416BA">
        <w:tc>
          <w:tcPr>
            <w:tcW w:w="1803" w:type="dxa"/>
          </w:tcPr>
          <w:p w14:paraId="184B105E" w14:textId="77777777" w:rsidR="00F21746" w:rsidRDefault="00F21746" w:rsidP="00F416BA">
            <w:r>
              <w:t>length</w:t>
            </w:r>
          </w:p>
        </w:tc>
        <w:tc>
          <w:tcPr>
            <w:tcW w:w="1803" w:type="dxa"/>
          </w:tcPr>
          <w:p w14:paraId="12BFB20E" w14:textId="061E9AFF" w:rsidR="00F21746" w:rsidRDefault="00F21746" w:rsidP="00F416BA">
            <w:r>
              <w:t>60.05mm</w:t>
            </w:r>
          </w:p>
        </w:tc>
        <w:tc>
          <w:tcPr>
            <w:tcW w:w="1803" w:type="dxa"/>
          </w:tcPr>
          <w:p w14:paraId="5F1E76A3" w14:textId="6077FEFB" w:rsidR="00F21746" w:rsidRDefault="00F21746" w:rsidP="00F416BA">
            <w:r>
              <w:t>56.28mm</w:t>
            </w:r>
          </w:p>
        </w:tc>
        <w:tc>
          <w:tcPr>
            <w:tcW w:w="1803" w:type="dxa"/>
          </w:tcPr>
          <w:p w14:paraId="2EBA23DB" w14:textId="2175F689" w:rsidR="00F21746" w:rsidRDefault="00F21746" w:rsidP="00F416BA">
            <w:r>
              <w:t>75.66mm</w:t>
            </w:r>
          </w:p>
        </w:tc>
        <w:tc>
          <w:tcPr>
            <w:tcW w:w="1804" w:type="dxa"/>
          </w:tcPr>
          <w:p w14:paraId="35FE5DD4" w14:textId="4C1DB849" w:rsidR="00F21746" w:rsidRDefault="00F21746" w:rsidP="00F416BA">
            <w:r>
              <w:t>66</w:t>
            </w:r>
            <w:r w:rsidR="00E1637F">
              <w:t>.91</w:t>
            </w:r>
            <w:r>
              <w:t>mm</w:t>
            </w:r>
          </w:p>
        </w:tc>
      </w:tr>
    </w:tbl>
    <w:p w14:paraId="2A1B3B30" w14:textId="77777777" w:rsidR="00DE3619" w:rsidRDefault="00DE3619" w:rsidP="00E53E33"/>
    <w:p w14:paraId="76B1D78C" w14:textId="48FA1353" w:rsidR="00E1637F" w:rsidRDefault="00E1637F" w:rsidP="00E53E33">
      <w:r>
        <w:t xml:space="preserve">As the table states there was a significant reduction in </w:t>
      </w:r>
      <w:r w:rsidR="00B23A09">
        <w:t xml:space="preserve">all factors across the control and the experimental </w:t>
      </w:r>
      <w:r w:rsidR="00D72DCF">
        <w:t xml:space="preserve">tangerine </w:t>
      </w:r>
      <w:r w:rsidR="007C6F0F">
        <w:t>however, the tangerine</w:t>
      </w:r>
      <w:r w:rsidR="00B23A09">
        <w:t xml:space="preserve"> had the greatest reduction in weight and height when compared to the rest of the table this may have been due to the salts water extraction and the fact that tangerines made up of significantly more water that a frankfurter</w:t>
      </w:r>
      <w:r w:rsidR="00D72DCF">
        <w:t>.</w:t>
      </w:r>
      <w:r w:rsidR="00B23A09">
        <w:t xml:space="preserve"> </w:t>
      </w:r>
      <w:r w:rsidR="007C6F0F">
        <w:t>therefore,</w:t>
      </w:r>
      <w:r w:rsidR="00B23A09">
        <w:t xml:space="preserve"> by having the liquid extracted it then causes a greater reduction in weight. There </w:t>
      </w:r>
      <w:r w:rsidR="00D72DCF">
        <w:t>were</w:t>
      </w:r>
      <w:r w:rsidR="00B23A09">
        <w:t xml:space="preserve"> also visual differences within the experiments and the controls as the control frankfurter started secreting a viscous white liquid and gave off a strong smell despite that fact that he </w:t>
      </w:r>
      <w:r w:rsidR="007C6F0F">
        <w:t>experiments</w:t>
      </w:r>
      <w:r w:rsidR="00B23A09">
        <w:t xml:space="preserve"> frankfurter was not and hadn’t displayed any visual changes. The tangerines had displayed a loss in mass and cohesion between the flesh, pith and skin, this was also coupled a loss in colour and significantly paler complexion </w:t>
      </w:r>
      <w:r w:rsidR="00D72DCF">
        <w:t>as well</w:t>
      </w:r>
      <w:r w:rsidR="00B23A09">
        <w:t xml:space="preserve"> as a sign of </w:t>
      </w:r>
      <w:r w:rsidR="00D72DCF">
        <w:t>Mold</w:t>
      </w:r>
      <w:r w:rsidR="00B23A09">
        <w:t xml:space="preserve"> on the control tangerine and not the experimental. A common themes of the results </w:t>
      </w:r>
      <w:r w:rsidR="00D72DCF">
        <w:t>from</w:t>
      </w:r>
      <w:r w:rsidR="00B23A09">
        <w:t xml:space="preserve"> week to be the unexpected conditions in each of the controls and the experiments.</w:t>
      </w:r>
    </w:p>
    <w:p w14:paraId="1CE180C9" w14:textId="3BEA6AE6" w:rsidR="00B23A09" w:rsidRDefault="00B23A09" w:rsidP="00E53E33"/>
    <w:p w14:paraId="30173E1F" w14:textId="77777777" w:rsidR="00B23A09" w:rsidRDefault="00B23A09" w:rsidP="00B23A09">
      <w:pPr>
        <w:keepNext/>
      </w:pPr>
      <w:r>
        <w:rPr>
          <w:noProof/>
        </w:rPr>
        <w:drawing>
          <wp:inline distT="0" distB="0" distL="0" distR="0" wp14:anchorId="51B0018F" wp14:editId="6C89F918">
            <wp:extent cx="1551709" cy="2060864"/>
            <wp:effectExtent l="0" t="0" r="0" b="0"/>
            <wp:docPr id="14597672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2857" cy="2075670"/>
                    </a:xfrm>
                    <a:prstGeom prst="rect">
                      <a:avLst/>
                    </a:prstGeom>
                    <a:noFill/>
                  </pic:spPr>
                </pic:pic>
              </a:graphicData>
            </a:graphic>
          </wp:inline>
        </w:drawing>
      </w:r>
    </w:p>
    <w:p w14:paraId="7E4AB997" w14:textId="7711019B" w:rsidR="00B23A09" w:rsidRDefault="00B23A09" w:rsidP="00B23A09">
      <w:pPr>
        <w:pStyle w:val="Caption"/>
      </w:pPr>
      <w:r>
        <w:t xml:space="preserve">figure </w:t>
      </w:r>
      <w:fldSimple w:instr=" SEQ figure \* ARABIC ">
        <w:r w:rsidR="00AD1E64">
          <w:rPr>
            <w:noProof/>
          </w:rPr>
          <w:t>2</w:t>
        </w:r>
      </w:fldSimple>
      <w:r>
        <w:t xml:space="preserve"> frankfurter control week 2 </w:t>
      </w:r>
      <w:proofErr w:type="spellStart"/>
      <w:r>
        <w:t>katie</w:t>
      </w:r>
      <w:proofErr w:type="spellEnd"/>
      <w:r>
        <w:t xml:space="preserve"> </w:t>
      </w:r>
      <w:proofErr w:type="spellStart"/>
      <w:r>
        <w:t>howell</w:t>
      </w:r>
      <w:proofErr w:type="spellEnd"/>
    </w:p>
    <w:p w14:paraId="7FD98895" w14:textId="77777777" w:rsidR="00AD1E64" w:rsidRDefault="00AD1E64" w:rsidP="00AD1E64">
      <w:pPr>
        <w:keepNext/>
      </w:pPr>
      <w:r>
        <w:rPr>
          <w:noProof/>
        </w:rPr>
        <w:drawing>
          <wp:inline distT="0" distB="0" distL="0" distR="0" wp14:anchorId="33E8D880" wp14:editId="70E39E1E">
            <wp:extent cx="1544897" cy="2051816"/>
            <wp:effectExtent l="0" t="0" r="0" b="5715"/>
            <wp:docPr id="5108375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0545" cy="2059317"/>
                    </a:xfrm>
                    <a:prstGeom prst="rect">
                      <a:avLst/>
                    </a:prstGeom>
                    <a:noFill/>
                  </pic:spPr>
                </pic:pic>
              </a:graphicData>
            </a:graphic>
          </wp:inline>
        </w:drawing>
      </w:r>
    </w:p>
    <w:p w14:paraId="451FE8CC" w14:textId="577A4DD0" w:rsidR="00B23A09" w:rsidRDefault="00AD1E64" w:rsidP="00AD1E64">
      <w:pPr>
        <w:pStyle w:val="Caption"/>
      </w:pPr>
      <w:r>
        <w:t xml:space="preserve">figure </w:t>
      </w:r>
      <w:fldSimple w:instr=" SEQ figure \* ARABIC ">
        <w:r>
          <w:rPr>
            <w:noProof/>
          </w:rPr>
          <w:t>3</w:t>
        </w:r>
      </w:fldSimple>
      <w:r>
        <w:t xml:space="preserve"> tangerine </w:t>
      </w:r>
      <w:proofErr w:type="spellStart"/>
      <w:r>
        <w:t>experimantal</w:t>
      </w:r>
      <w:proofErr w:type="spellEnd"/>
      <w:r>
        <w:t xml:space="preserve"> week 2 Caleb Rees</w:t>
      </w:r>
    </w:p>
    <w:p w14:paraId="72BCC44C" w14:textId="579D6AF9" w:rsidR="00AD1E64" w:rsidRDefault="00AD1E64" w:rsidP="00AD1E64">
      <w:r>
        <w:t xml:space="preserve">week 3 was the final week of the experiment. Despite the ability to continue this experiment the desired outcome of the experiment in both of its goals had been </w:t>
      </w:r>
      <w:r w:rsidR="00D72DCF">
        <w:t>accomplished</w:t>
      </w:r>
      <w:r>
        <w:t xml:space="preserve"> so it was </w:t>
      </w:r>
      <w:r>
        <w:lastRenderedPageBreak/>
        <w:t xml:space="preserve">decided that the experiment would terminate after the third week of the experiment. </w:t>
      </w:r>
      <w:r w:rsidR="00D72DCF">
        <w:t>However,</w:t>
      </w:r>
      <w:r>
        <w:t xml:space="preserve"> the reason this was </w:t>
      </w:r>
      <w:r w:rsidR="00D72DCF">
        <w:t>done</w:t>
      </w:r>
      <w:r>
        <w:t xml:space="preserve"> was also due to time constraints and the condition of both the experiments and the control.</w:t>
      </w:r>
    </w:p>
    <w:p w14:paraId="4FE2B790" w14:textId="23A8D104" w:rsidR="007C6F0F" w:rsidRDefault="007C6F0F" w:rsidP="00AD1E64">
      <w:r>
        <w:t xml:space="preserve">At thus point the contents of the experimental bags had become dry and almost calloused in texture as well as losing any sort of spongy texture due to the elimination of liquids however, the tangerine still held its shape considerably well and felt more like it had relaxed after stretching to its limit and becoming significantly looser. The frankfurter were relatively the same as the experimental had only shrunk down but the control seemed to eject even more of the liquidized fat from the sausage as it lost weight and even gained a </w:t>
      </w:r>
      <w:proofErr w:type="spellStart"/>
      <w:r>
        <w:t>moldy</w:t>
      </w:r>
      <w:proofErr w:type="spellEnd"/>
      <w:r>
        <w:t xml:space="preserve"> property</w:t>
      </w:r>
    </w:p>
    <w:p w14:paraId="167CFD35" w14:textId="77777777" w:rsidR="0072245E" w:rsidRDefault="0072245E" w:rsidP="00AD1E64"/>
    <w:tbl>
      <w:tblPr>
        <w:tblStyle w:val="TableGrid"/>
        <w:tblW w:w="0" w:type="auto"/>
        <w:tblLook w:val="04A0" w:firstRow="1" w:lastRow="0" w:firstColumn="1" w:lastColumn="0" w:noHBand="0" w:noVBand="1"/>
      </w:tblPr>
      <w:tblGrid>
        <w:gridCol w:w="1803"/>
        <w:gridCol w:w="1803"/>
        <w:gridCol w:w="1803"/>
        <w:gridCol w:w="1803"/>
        <w:gridCol w:w="1804"/>
      </w:tblGrid>
      <w:tr w:rsidR="00AD1E64" w14:paraId="1889EDE2" w14:textId="77777777" w:rsidTr="00F416BA">
        <w:tc>
          <w:tcPr>
            <w:tcW w:w="1803" w:type="dxa"/>
          </w:tcPr>
          <w:p w14:paraId="7C7C274C" w14:textId="0896ED95" w:rsidR="00AD1E64" w:rsidRDefault="00AD1E64" w:rsidP="00F416BA">
            <w:r>
              <w:t xml:space="preserve">Week </w:t>
            </w:r>
            <w:r>
              <w:t>3</w:t>
            </w:r>
          </w:p>
        </w:tc>
        <w:tc>
          <w:tcPr>
            <w:tcW w:w="1803" w:type="dxa"/>
          </w:tcPr>
          <w:p w14:paraId="41FC90D6" w14:textId="77777777" w:rsidR="00AD1E64" w:rsidRDefault="00AD1E64" w:rsidP="00F416BA">
            <w:r>
              <w:t>Tangerine C</w:t>
            </w:r>
          </w:p>
        </w:tc>
        <w:tc>
          <w:tcPr>
            <w:tcW w:w="1803" w:type="dxa"/>
          </w:tcPr>
          <w:p w14:paraId="114D2FE5" w14:textId="375B0340" w:rsidR="00AD1E64" w:rsidRDefault="00AD1E64" w:rsidP="00F416BA">
            <w:r>
              <w:t>Ta</w:t>
            </w:r>
            <w:r>
              <w:t>nge</w:t>
            </w:r>
            <w:r>
              <w:t>rine E</w:t>
            </w:r>
          </w:p>
        </w:tc>
        <w:tc>
          <w:tcPr>
            <w:tcW w:w="1803" w:type="dxa"/>
          </w:tcPr>
          <w:p w14:paraId="593328F9" w14:textId="77777777" w:rsidR="00AD1E64" w:rsidRDefault="00AD1E64" w:rsidP="00F416BA">
            <w:r>
              <w:t>Frankfurter C</w:t>
            </w:r>
          </w:p>
        </w:tc>
        <w:tc>
          <w:tcPr>
            <w:tcW w:w="1804" w:type="dxa"/>
          </w:tcPr>
          <w:p w14:paraId="1AB7CEEC" w14:textId="77777777" w:rsidR="00AD1E64" w:rsidRDefault="00AD1E64" w:rsidP="00F416BA">
            <w:r>
              <w:t>Frankfurter E</w:t>
            </w:r>
          </w:p>
        </w:tc>
      </w:tr>
      <w:tr w:rsidR="00AD1E64" w14:paraId="1503EAAD" w14:textId="77777777" w:rsidTr="00F416BA">
        <w:tc>
          <w:tcPr>
            <w:tcW w:w="1803" w:type="dxa"/>
          </w:tcPr>
          <w:p w14:paraId="7E77A8C7" w14:textId="77777777" w:rsidR="00AD1E64" w:rsidRDefault="00AD1E64" w:rsidP="00F416BA">
            <w:r>
              <w:t>weight</w:t>
            </w:r>
          </w:p>
        </w:tc>
        <w:tc>
          <w:tcPr>
            <w:tcW w:w="1803" w:type="dxa"/>
          </w:tcPr>
          <w:p w14:paraId="4F92C48A" w14:textId="2A8DFDEC" w:rsidR="00AD1E64" w:rsidRDefault="00AD1E64" w:rsidP="00F416BA">
            <w:r>
              <w:t>39.39</w:t>
            </w:r>
            <w:r>
              <w:t>g</w:t>
            </w:r>
          </w:p>
        </w:tc>
        <w:tc>
          <w:tcPr>
            <w:tcW w:w="1803" w:type="dxa"/>
          </w:tcPr>
          <w:p w14:paraId="4C8AD1DA" w14:textId="1351F8A3" w:rsidR="00AD1E64" w:rsidRDefault="00AD1E64" w:rsidP="00F416BA">
            <w:r>
              <w:t>32.1</w:t>
            </w:r>
            <w:r>
              <w:t>g</w:t>
            </w:r>
          </w:p>
        </w:tc>
        <w:tc>
          <w:tcPr>
            <w:tcW w:w="1803" w:type="dxa"/>
          </w:tcPr>
          <w:p w14:paraId="04A16B5F" w14:textId="3D63CA47" w:rsidR="00AD1E64" w:rsidRDefault="00AD1E64" w:rsidP="00F416BA">
            <w:r>
              <w:t>18.</w:t>
            </w:r>
            <w:r>
              <w:t>0</w:t>
            </w:r>
            <w:r>
              <w:t>g</w:t>
            </w:r>
          </w:p>
        </w:tc>
        <w:tc>
          <w:tcPr>
            <w:tcW w:w="1804" w:type="dxa"/>
          </w:tcPr>
          <w:p w14:paraId="3FA0C074" w14:textId="01810084" w:rsidR="00AD1E64" w:rsidRDefault="00AD1E64" w:rsidP="00F416BA">
            <w:r>
              <w:t>10.</w:t>
            </w:r>
            <w:r>
              <w:t>8</w:t>
            </w:r>
            <w:r>
              <w:t>g</w:t>
            </w:r>
          </w:p>
        </w:tc>
      </w:tr>
      <w:tr w:rsidR="00AD1E64" w14:paraId="53A03027" w14:textId="77777777" w:rsidTr="00F416BA">
        <w:tc>
          <w:tcPr>
            <w:tcW w:w="1803" w:type="dxa"/>
          </w:tcPr>
          <w:p w14:paraId="524E9BBB" w14:textId="77777777" w:rsidR="00AD1E64" w:rsidRDefault="00AD1E64" w:rsidP="00F416BA">
            <w:r>
              <w:t>height</w:t>
            </w:r>
          </w:p>
        </w:tc>
        <w:tc>
          <w:tcPr>
            <w:tcW w:w="1803" w:type="dxa"/>
          </w:tcPr>
          <w:p w14:paraId="2CB92735" w14:textId="156CE359" w:rsidR="00AD1E64" w:rsidRDefault="00AD1E64" w:rsidP="00F416BA">
            <w:r>
              <w:t>39.71</w:t>
            </w:r>
            <w:r>
              <w:t>mm</w:t>
            </w:r>
          </w:p>
        </w:tc>
        <w:tc>
          <w:tcPr>
            <w:tcW w:w="1803" w:type="dxa"/>
          </w:tcPr>
          <w:p w14:paraId="5621E0AA" w14:textId="7E00811E" w:rsidR="00AD1E64" w:rsidRDefault="00AD1E64" w:rsidP="00F416BA">
            <w:r>
              <w:t>37.37</w:t>
            </w:r>
            <w:r>
              <w:t>mm</w:t>
            </w:r>
          </w:p>
        </w:tc>
        <w:tc>
          <w:tcPr>
            <w:tcW w:w="1803" w:type="dxa"/>
          </w:tcPr>
          <w:p w14:paraId="6CB4AD60" w14:textId="2BFBDA18" w:rsidR="00AD1E64" w:rsidRDefault="00AD1E64" w:rsidP="00F416BA">
            <w:r>
              <w:t>15.68</w:t>
            </w:r>
            <w:r>
              <w:t>mm</w:t>
            </w:r>
          </w:p>
        </w:tc>
        <w:tc>
          <w:tcPr>
            <w:tcW w:w="1804" w:type="dxa"/>
          </w:tcPr>
          <w:p w14:paraId="6A6C30FC" w14:textId="3B2516A9" w:rsidR="00AD1E64" w:rsidRDefault="00AD1E64" w:rsidP="00F416BA">
            <w:r>
              <w:t>1</w:t>
            </w:r>
            <w:r>
              <w:t>3.7</w:t>
            </w:r>
            <w:r>
              <w:t>mm</w:t>
            </w:r>
          </w:p>
        </w:tc>
      </w:tr>
      <w:tr w:rsidR="00AD1E64" w14:paraId="4F600EBB" w14:textId="77777777" w:rsidTr="00F416BA">
        <w:tc>
          <w:tcPr>
            <w:tcW w:w="1803" w:type="dxa"/>
          </w:tcPr>
          <w:p w14:paraId="436424A1" w14:textId="77777777" w:rsidR="00AD1E64" w:rsidRDefault="00AD1E64" w:rsidP="00F416BA">
            <w:r>
              <w:t>width</w:t>
            </w:r>
          </w:p>
        </w:tc>
        <w:tc>
          <w:tcPr>
            <w:tcW w:w="1803" w:type="dxa"/>
          </w:tcPr>
          <w:p w14:paraId="73DE13DF" w14:textId="426D30DF" w:rsidR="00AD1E64" w:rsidRDefault="00AD1E64" w:rsidP="00F416BA">
            <w:r>
              <w:t>27.18</w:t>
            </w:r>
            <w:r>
              <w:t>mm</w:t>
            </w:r>
          </w:p>
        </w:tc>
        <w:tc>
          <w:tcPr>
            <w:tcW w:w="1803" w:type="dxa"/>
          </w:tcPr>
          <w:p w14:paraId="29AD349E" w14:textId="2C8EEC04" w:rsidR="00AD1E64" w:rsidRDefault="00AD1E64" w:rsidP="00F416BA">
            <w:r>
              <w:t>2</w:t>
            </w:r>
            <w:r>
              <w:t>5.60</w:t>
            </w:r>
            <w:r>
              <w:t>mm</w:t>
            </w:r>
          </w:p>
        </w:tc>
        <w:tc>
          <w:tcPr>
            <w:tcW w:w="1803" w:type="dxa"/>
          </w:tcPr>
          <w:p w14:paraId="74C86CBC" w14:textId="0CECD3A8" w:rsidR="00AD1E64" w:rsidRDefault="00AD1E64" w:rsidP="00F416BA">
            <w:r>
              <w:t>17.02</w:t>
            </w:r>
            <w:r>
              <w:t>mm</w:t>
            </w:r>
          </w:p>
        </w:tc>
        <w:tc>
          <w:tcPr>
            <w:tcW w:w="1804" w:type="dxa"/>
          </w:tcPr>
          <w:p w14:paraId="4800523F" w14:textId="648B0E7B" w:rsidR="00AD1E64" w:rsidRDefault="00AD1E64" w:rsidP="00F416BA">
            <w:r>
              <w:t>14.</w:t>
            </w:r>
            <w:r>
              <w:t>44</w:t>
            </w:r>
            <w:r>
              <w:t>mm</w:t>
            </w:r>
          </w:p>
        </w:tc>
      </w:tr>
      <w:tr w:rsidR="00AD1E64" w14:paraId="0332220F" w14:textId="77777777" w:rsidTr="00F416BA">
        <w:tc>
          <w:tcPr>
            <w:tcW w:w="1803" w:type="dxa"/>
          </w:tcPr>
          <w:p w14:paraId="3321FF97" w14:textId="77777777" w:rsidR="00AD1E64" w:rsidRDefault="00AD1E64" w:rsidP="00F416BA">
            <w:r>
              <w:t>length</w:t>
            </w:r>
          </w:p>
        </w:tc>
        <w:tc>
          <w:tcPr>
            <w:tcW w:w="1803" w:type="dxa"/>
          </w:tcPr>
          <w:p w14:paraId="3A570DA9" w14:textId="283DA4B5" w:rsidR="00AD1E64" w:rsidRDefault="00AD1E64" w:rsidP="00F416BA">
            <w:r>
              <w:t>58.46</w:t>
            </w:r>
            <w:r>
              <w:t>mm</w:t>
            </w:r>
          </w:p>
        </w:tc>
        <w:tc>
          <w:tcPr>
            <w:tcW w:w="1803" w:type="dxa"/>
          </w:tcPr>
          <w:p w14:paraId="38B3E303" w14:textId="1D71F74C" w:rsidR="00AD1E64" w:rsidRDefault="00AD1E64" w:rsidP="00F416BA">
            <w:r>
              <w:t>57.0</w:t>
            </w:r>
            <w:r>
              <w:t>mm</w:t>
            </w:r>
          </w:p>
        </w:tc>
        <w:tc>
          <w:tcPr>
            <w:tcW w:w="1803" w:type="dxa"/>
          </w:tcPr>
          <w:p w14:paraId="6818C307" w14:textId="51D3962E" w:rsidR="00AD1E64" w:rsidRDefault="00AD1E64" w:rsidP="00F416BA">
            <w:r>
              <w:t>74.73</w:t>
            </w:r>
            <w:r>
              <w:t>mm</w:t>
            </w:r>
          </w:p>
        </w:tc>
        <w:tc>
          <w:tcPr>
            <w:tcW w:w="1804" w:type="dxa"/>
          </w:tcPr>
          <w:p w14:paraId="18FED4B0" w14:textId="143BE6CE" w:rsidR="00AD1E64" w:rsidRDefault="00AD1E64" w:rsidP="00F416BA">
            <w:r>
              <w:t>6</w:t>
            </w:r>
            <w:r>
              <w:t>7.16</w:t>
            </w:r>
            <w:r>
              <w:t>mm</w:t>
            </w:r>
          </w:p>
        </w:tc>
      </w:tr>
    </w:tbl>
    <w:p w14:paraId="5A61FEE3" w14:textId="77777777" w:rsidR="00AD1E64" w:rsidRDefault="00AD1E64" w:rsidP="00AD1E64"/>
    <w:p w14:paraId="2A682C77" w14:textId="683A6A64" w:rsidR="00AD1E64" w:rsidRDefault="00AD1E64" w:rsidP="00AD1E64">
      <w:r>
        <w:t xml:space="preserve">Of the final tables results there is clearly still a process taking place as there in mass being extracted by the salts and therefore </w:t>
      </w:r>
      <w:r w:rsidR="00D72DCF">
        <w:t>lowering</w:t>
      </w:r>
      <w:r>
        <w:t xml:space="preserve"> the salt contents of the </w:t>
      </w:r>
      <w:r w:rsidR="00D72DCF">
        <w:t>objects</w:t>
      </w:r>
      <w:r>
        <w:t xml:space="preserve">. While the control </w:t>
      </w:r>
      <w:r w:rsidR="00D72DCF">
        <w:t>object</w:t>
      </w:r>
      <w:r>
        <w:t xml:space="preserve"> </w:t>
      </w:r>
      <w:r w:rsidR="007C6F0F">
        <w:t>is</w:t>
      </w:r>
      <w:r>
        <w:t xml:space="preserve"> decaying at their standard rate but losing weight and </w:t>
      </w:r>
      <w:r w:rsidR="00D72DCF">
        <w:t>size at a slightly faster rate. There is a clear significant difference between the object that included the salt mixture in the bags (experimental) and those that did not (controls)  the colouration of these objects also quickly slowed down but are still producing new things to quantify as there are mouldy parts on the control objects there is also the white liquid that the control frankfurter, and only the control frankfurter was releasing</w:t>
      </w:r>
      <w:r w:rsidR="0072245E">
        <w:t>.</w:t>
      </w:r>
    </w:p>
    <w:p w14:paraId="78F618CF" w14:textId="23E2BB00" w:rsidR="0072245E" w:rsidRDefault="007C3646" w:rsidP="007C3646">
      <w:pPr>
        <w:pStyle w:val="Heading2"/>
      </w:pPr>
      <w:r>
        <w:t>conclusion</w:t>
      </w:r>
    </w:p>
    <w:p w14:paraId="3BBE60B0" w14:textId="2E7D33B1" w:rsidR="0072245E" w:rsidRDefault="0072245E" w:rsidP="00AD1E64">
      <w:r>
        <w:t xml:space="preserve">Over the course of this experiment </w:t>
      </w:r>
      <w:r w:rsidR="007C3646">
        <w:t xml:space="preserve">a new understanding of the biological processes of mumification within an object. </w:t>
      </w:r>
      <w:r w:rsidR="0076489A">
        <w:t>Of course,</w:t>
      </w:r>
      <w:r w:rsidR="007C3646">
        <w:t xml:space="preserve"> this topic has been studied quite significantly from when the first mummy was found</w:t>
      </w:r>
      <w:r w:rsidR="0076489A">
        <w:fldChar w:fldCharType="begin"/>
      </w:r>
      <w:r w:rsidR="0076489A">
        <w:instrText xml:space="preserve"> ADDIN ZOTERO_ITEM CSL_CITATION {"citationID":"wgEfvu8D","properties":{"unsorted":false,"formattedCitation":"(\\uc0\\u214{}hrstr\\uc0\\u246{}m {\\i{}et al.}, 2020)","plainCitation":"(Öhrström et al., 2020)","noteIndex":0},"citationItems":[{"id":690,"uris":["http://zotero.org/users/local/gg1ZQu5V/items/NMAN6G2M"],"itemData":{"id":690,"type":"article-journal","abstract":"Understanding natural and artificial postmortem alterations in different tissues of the human body is essential for bioarchaeology, paleogenetics, physical anthropology, forensic medicine, and many related disciplines. With this study, we tried to gain a better understanding of tissue alterations associated with the artificial mummification techniques of ancient Egypt, in particular for mummified visceral organs. We used several entire porcine organs and organ sections (liver, lung, stomach, ileum, and colon), which provided a close approximation to human organs. First, we dehydrated the specimens in artificial natron, before applying natural ointments, according to the ancient literary sources and recent publications. We periodically monitored the temperature, pH value, and weight of the specimens, in addition to radiodensity and volumetric measurements by clinical computed tomography and sampling for histological, bacteriological, and molecular analyses. After seven weeks, mummification was seen completed in all specimens. We observed a considerable loss of weight and volume, as well as similar courses in the decay of tissue architecture but varying levels of DNA degradation. Bacteriologically we did not detect any of the initially identified taxa in the samples by the end of the mummification process, nor any fungi. This feasibility study established an experimental protocol for future experiments modeling ancient Egyptian mummification of visceral organs using human specimens. Understanding desiccation and mummification processes in non-pathological tissues of specific visceral organs may help to identify and interpret disease-specific alterations in mummified tissues in ancient Egyptian canopic jars and organ packages contained in whole mummies.","container-title":"Clinical Anatomy","DOI":"10.1002/ca.23568","ISSN":"1098-2353","issue":"6","language":"en","license":"© 2020 Wiley Periodicals, Inc.","note":"_eprint: https://onlinelibrary.wiley.com/doi/pdf/10.1002/ca.23568","page":"860-871","source":"Wiley Online Library","title":"Experimental mummification—In the tracks of the ancient Egyptians","volume":"33","author":[{"family":"Öhrström","given":"Lena"},{"family":"Tekin","given":"Ahmed"},{"family":"Biedermann","given":"Philipp"},{"family":"Morozova","given":"Irina"},{"family":"Habicht","given":"Michael"},{"family":"Gascho","given":"Dominic"},{"family":"Bode-Lesniewska","given":"Beata"},{"family":"Imhof","given":"Alexander"},{"family":"Rühli","given":"Frank"},{"family":"Eppenberger","given":"Patrick"}],"issued":{"date-parts":[["2020"]]}}}],"schema":"https://github.com/citation-style-language/schema/raw/master/csl-citation.json"} </w:instrText>
      </w:r>
      <w:r w:rsidR="0076489A">
        <w:fldChar w:fldCharType="separate"/>
      </w:r>
      <w:r w:rsidR="0076489A" w:rsidRPr="0076489A">
        <w:rPr>
          <w:rFonts w:ascii="Aptos" w:hAnsi="Aptos" w:cs="Times New Roman"/>
          <w:kern w:val="0"/>
        </w:rPr>
        <w:t>(</w:t>
      </w:r>
      <w:proofErr w:type="spellStart"/>
      <w:r w:rsidR="0076489A" w:rsidRPr="0076489A">
        <w:rPr>
          <w:rFonts w:ascii="Aptos" w:hAnsi="Aptos" w:cs="Times New Roman"/>
          <w:kern w:val="0"/>
        </w:rPr>
        <w:t>Öhrström</w:t>
      </w:r>
      <w:proofErr w:type="spellEnd"/>
      <w:r w:rsidR="0076489A" w:rsidRPr="0076489A">
        <w:rPr>
          <w:rFonts w:ascii="Aptos" w:hAnsi="Aptos" w:cs="Times New Roman"/>
          <w:kern w:val="0"/>
        </w:rPr>
        <w:t xml:space="preserve"> </w:t>
      </w:r>
      <w:r w:rsidR="0076489A" w:rsidRPr="0076489A">
        <w:rPr>
          <w:rFonts w:ascii="Aptos" w:hAnsi="Aptos" w:cs="Times New Roman"/>
          <w:i/>
          <w:iCs/>
          <w:kern w:val="0"/>
        </w:rPr>
        <w:t>et al.</w:t>
      </w:r>
      <w:r w:rsidR="0076489A" w:rsidRPr="0076489A">
        <w:rPr>
          <w:rFonts w:ascii="Aptos" w:hAnsi="Aptos" w:cs="Times New Roman"/>
          <w:kern w:val="0"/>
        </w:rPr>
        <w:t>, 2020)</w:t>
      </w:r>
      <w:r w:rsidR="0076489A">
        <w:fldChar w:fldCharType="end"/>
      </w:r>
      <w:r w:rsidR="0076489A">
        <w:t xml:space="preserve"> but the gal of this experiment was not to be the first to do this but to reinforces the findings that have already been in place as if an experiment is not able to be replicated then the experiment has issues with its validity using the scientific method. The evidence is clear that there is a significant effect on the tangerine and the frankfurter when it is placed in a large volume of salt for extended periods of time. Although it is unclear what would happen if these objects were placed in the salt filled bags for a month or even a year. The short-term data that has been collected does show that there is a large difference between using and not using salt to preserve objects such as tangerines and frankfurters. The extraction of the moisture is in line with the descriptions and theorization of </w:t>
      </w:r>
      <w:r w:rsidR="00A86064">
        <w:t>previous Egyptologists and does give insight into the usage and importance of salt contents with natron</w:t>
      </w:r>
      <w:r w:rsidR="00A86064">
        <w:fldChar w:fldCharType="begin"/>
      </w:r>
      <w:r w:rsidR="00A86064">
        <w:instrText xml:space="preserve"> ADDIN ZOTERO_ITEM CSL_CITATION {"citationID":"QNqO0eHE","properties":{"unsorted":false,"formattedCitation":"(Sandison, 1963)","plainCitation":"(Sandison, 1963)","noteIndex":0},"citationItems":[{"id":705,"uris":["http://zotero.org/users/local/gg1ZQu5V/items/AAQ6KNU3"],"itemData":{"id":705,"type":"article-journal","container-title":"Journal of Near Eastern Studies","DOI":"10.1086/371747","ISSN":"0022-2968","issue":"4","page":"259-267","publisher":"The University of Chicago Press","source":"journals.uchicago.edu (Atypon)","title":"The Use of Natron in Mummification in Ancient Egypt","volume":"22","author":[{"family":"Sandison","given":"A. T."}],"issued":{"date-parts":[["1963",10]]}}}],"schema":"https://github.com/citation-style-language/schema/raw/master/csl-citation.json"} </w:instrText>
      </w:r>
      <w:r w:rsidR="00A86064">
        <w:fldChar w:fldCharType="separate"/>
      </w:r>
      <w:r w:rsidR="00A86064" w:rsidRPr="00A86064">
        <w:rPr>
          <w:rFonts w:ascii="Aptos" w:hAnsi="Aptos"/>
        </w:rPr>
        <w:t>(Sandison, 1963)</w:t>
      </w:r>
      <w:r w:rsidR="00A86064">
        <w:fldChar w:fldCharType="end"/>
      </w:r>
      <w:r w:rsidR="007C6F0F">
        <w:t xml:space="preserve"> </w:t>
      </w:r>
      <w:r w:rsidR="007C6F0F">
        <w:fldChar w:fldCharType="begin"/>
      </w:r>
      <w:r w:rsidR="007C6F0F">
        <w:instrText xml:space="preserve"> ADDIN ZOTERO_ITEM CSL_CITATION {"citationID":"sLU9a7pt","properties":{"unsorted":false,"formattedCitation":"(Baines and Lacovara, 2002)","plainCitation":"(Baines and Lacovara, 2002)","noteIndex":0},"citationItems":[{"id":699,"uris":["http://zotero.org/users/local/gg1ZQu5V/items/37TAR3IW"],"itemData":{"id":699,"type":"article-journal","abstract":"Ancient Egypt offers a paradigm contrast between ideals of respectful care for the dead, on the one hand, and realities of medium- and long-term neglect, destruction and reuse on the other. Ideals are expressed in normative mortuary monuments and in texts; the archaeological record, together with relatively few skeptical texts, testifies to realities. Death was as socially riven as the realm of the living. Vast amounts were invested in royal and elite monuments, while cemeteries as a whole cannot account for more than a fraction of the population. Preservation of the body was essential for conventional conceptions of an afterlife - often envisaged to take place away from the tomb - but embalming practices cannot have been required for all. The contradictions implied by divergences from the ideal were negotiated over very long periods. Such processes of accommodation may be particularly necessary in complex societies and civilizations. They emphasize that, even if the actors may present the matter otherwise, treatment of the dead relates as much to the living as to the deceased.","container-title":"Journal of Social Archaeology","DOI":"10.1177/1469605302002001595","ISSN":"1469-6053","issue":"1","language":"EN","page":"5-36","publisher":"SAGE Publications","source":"SAGE Journals","title":"Burial and the dead in ancient Egyptian society: Respect, formalism, neglect","title-short":"Burial and the dead in ancient Egyptian society","volume":"2","author":[{"family":"Baines","given":"John"},{"family":"Lacovara","given":"Peter"}],"issued":{"date-parts":[["2002",2,1]]}}}],"schema":"https://github.com/citation-style-language/schema/raw/master/csl-citation.json"} </w:instrText>
      </w:r>
      <w:r w:rsidR="007C6F0F">
        <w:fldChar w:fldCharType="separate"/>
      </w:r>
      <w:r w:rsidR="007C6F0F" w:rsidRPr="007C6F0F">
        <w:rPr>
          <w:rFonts w:ascii="Aptos" w:hAnsi="Aptos"/>
        </w:rPr>
        <w:t>(Baines and Lacovara, 2002)</w:t>
      </w:r>
      <w:r w:rsidR="007C6F0F">
        <w:fldChar w:fldCharType="end"/>
      </w:r>
      <w:r w:rsidR="00A86064">
        <w:t>.</w:t>
      </w:r>
    </w:p>
    <w:p w14:paraId="42138CD4" w14:textId="77777777" w:rsidR="0072245E" w:rsidRDefault="0072245E" w:rsidP="00AD1E64"/>
    <w:p w14:paraId="37F6E20D" w14:textId="77777777" w:rsidR="0072245E" w:rsidRDefault="0072245E" w:rsidP="00AD1E64"/>
    <w:p w14:paraId="071FA902" w14:textId="77777777" w:rsidR="00D72DCF" w:rsidRDefault="00D72DCF" w:rsidP="00AD1E64"/>
    <w:p w14:paraId="5020AAA8" w14:textId="77777777" w:rsidR="007C6F0F" w:rsidRPr="007C6F0F" w:rsidRDefault="00D72DCF" w:rsidP="007C6F0F">
      <w:pPr>
        <w:pStyle w:val="Bibliography"/>
      </w:pPr>
      <w:r>
        <w:lastRenderedPageBreak/>
        <w:fldChar w:fldCharType="begin"/>
      </w:r>
      <w:r>
        <w:instrText xml:space="preserve"> ADDIN ZOTERO_BIBL {"uncited":[],"omitted":[],"custom":[]} CSL_BIBLIOGRAPHY </w:instrText>
      </w:r>
      <w:r>
        <w:fldChar w:fldCharType="separate"/>
      </w:r>
      <w:r w:rsidR="007C6F0F" w:rsidRPr="007C6F0F">
        <w:t xml:space="preserve">Baines, J. and Lacovara, P. (2002) ‘Burial and the dead in ancient Egyptian society: Respect, formalism, neglect’, </w:t>
      </w:r>
      <w:r w:rsidR="007C6F0F" w:rsidRPr="007C6F0F">
        <w:rPr>
          <w:i/>
          <w:iCs/>
        </w:rPr>
        <w:t>Journal of Social Archaeology</w:t>
      </w:r>
      <w:r w:rsidR="007C6F0F" w:rsidRPr="007C6F0F">
        <w:t>, 2(1), pp. 5–36. Available at: https://doi.org/10.1177/1469605302002001595.</w:t>
      </w:r>
    </w:p>
    <w:p w14:paraId="103FE08D" w14:textId="77777777" w:rsidR="007C6F0F" w:rsidRPr="007C6F0F" w:rsidRDefault="007C6F0F" w:rsidP="007C6F0F">
      <w:pPr>
        <w:pStyle w:val="Bibliography"/>
      </w:pPr>
      <w:r w:rsidRPr="007C6F0F">
        <w:t xml:space="preserve">Bianucci, R. </w:t>
      </w:r>
      <w:r w:rsidRPr="007C6F0F">
        <w:rPr>
          <w:i/>
          <w:iCs/>
        </w:rPr>
        <w:t>et al.</w:t>
      </w:r>
      <w:r w:rsidRPr="007C6F0F">
        <w:t xml:space="preserve"> (2015) ‘Shedding New Light on the 18th Dynasty Mummies of the Royal Architect Kha and His Spouse Merit’, </w:t>
      </w:r>
      <w:r w:rsidRPr="007C6F0F">
        <w:rPr>
          <w:i/>
          <w:iCs/>
        </w:rPr>
        <w:t>PLOS ONE</w:t>
      </w:r>
      <w:r w:rsidRPr="007C6F0F">
        <w:t>, 10(7), p. e0131916. Available at: https://doi.org/10.1371/journal.pone.0131916.</w:t>
      </w:r>
    </w:p>
    <w:p w14:paraId="7D963BD0" w14:textId="77777777" w:rsidR="007C6F0F" w:rsidRPr="007C6F0F" w:rsidRDefault="007C6F0F" w:rsidP="007C6F0F">
      <w:pPr>
        <w:pStyle w:val="Bibliography"/>
      </w:pPr>
      <w:r w:rsidRPr="007C6F0F">
        <w:t xml:space="preserve">Buckley, S. (2011) </w:t>
      </w:r>
      <w:r w:rsidRPr="007C6F0F">
        <w:rPr>
          <w:i/>
          <w:iCs/>
        </w:rPr>
        <w:t xml:space="preserve">View Record: Mummifying Alan: Egypt’s Last Secret · </w:t>
      </w:r>
      <w:proofErr w:type="spellStart"/>
      <w:r w:rsidRPr="007C6F0F">
        <w:rPr>
          <w:i/>
          <w:iCs/>
        </w:rPr>
        <w:t>BoB</w:t>
      </w:r>
      <w:proofErr w:type="spellEnd"/>
      <w:r w:rsidRPr="007C6F0F">
        <w:t>. Available at: https://learningonscreen.ac.uk/ondemand/index.php/prog/0211F9B7?bcast=95124075# (Accessed: 29 March 2026).</w:t>
      </w:r>
    </w:p>
    <w:p w14:paraId="07819C6B" w14:textId="77777777" w:rsidR="007C6F0F" w:rsidRPr="007C6F0F" w:rsidRDefault="007C6F0F" w:rsidP="007C6F0F">
      <w:pPr>
        <w:pStyle w:val="Bibliography"/>
      </w:pPr>
      <w:r w:rsidRPr="007C6F0F">
        <w:t xml:space="preserve">Byard, R.W. (2025) ‘Mummification – An historical and cultural overview’, </w:t>
      </w:r>
      <w:r w:rsidRPr="007C6F0F">
        <w:rPr>
          <w:i/>
          <w:iCs/>
        </w:rPr>
        <w:t>Journal of Forensic and Legal Medicine</w:t>
      </w:r>
      <w:r w:rsidRPr="007C6F0F">
        <w:t>, 112, p. 102863. Available at: https://doi.org/10.1016/j.jflm.2025.102863.</w:t>
      </w:r>
    </w:p>
    <w:p w14:paraId="125A601C" w14:textId="77777777" w:rsidR="007C6F0F" w:rsidRPr="007C6F0F" w:rsidRDefault="007C6F0F" w:rsidP="007C6F0F">
      <w:pPr>
        <w:pStyle w:val="Bibliography"/>
      </w:pPr>
      <w:r w:rsidRPr="007C6F0F">
        <w:t xml:space="preserve">Ikram, S. (2010) ‘Mummification’, </w:t>
      </w:r>
      <w:r w:rsidRPr="007C6F0F">
        <w:rPr>
          <w:i/>
          <w:iCs/>
        </w:rPr>
        <w:t xml:space="preserve">UCLA </w:t>
      </w:r>
      <w:proofErr w:type="spellStart"/>
      <w:r w:rsidRPr="007C6F0F">
        <w:rPr>
          <w:i/>
          <w:iCs/>
        </w:rPr>
        <w:t>Encyclopedia</w:t>
      </w:r>
      <w:proofErr w:type="spellEnd"/>
      <w:r w:rsidRPr="007C6F0F">
        <w:rPr>
          <w:i/>
          <w:iCs/>
        </w:rPr>
        <w:t xml:space="preserve"> of Egyptology</w:t>
      </w:r>
      <w:r w:rsidRPr="007C6F0F">
        <w:t>, 1(1). Available at: https://escholarship.org/uc/item/0gn7x3ff (Accessed: 21 March 2026).</w:t>
      </w:r>
    </w:p>
    <w:p w14:paraId="3025BE3B" w14:textId="77777777" w:rsidR="007C6F0F" w:rsidRPr="007C6F0F" w:rsidRDefault="007C6F0F" w:rsidP="007C6F0F">
      <w:pPr>
        <w:pStyle w:val="Bibliography"/>
      </w:pPr>
      <w:proofErr w:type="spellStart"/>
      <w:r w:rsidRPr="007C6F0F">
        <w:t>Öhrström</w:t>
      </w:r>
      <w:proofErr w:type="spellEnd"/>
      <w:r w:rsidRPr="007C6F0F">
        <w:t xml:space="preserve">, L. </w:t>
      </w:r>
      <w:r w:rsidRPr="007C6F0F">
        <w:rPr>
          <w:i/>
          <w:iCs/>
        </w:rPr>
        <w:t>et al.</w:t>
      </w:r>
      <w:r w:rsidRPr="007C6F0F">
        <w:t xml:space="preserve"> (2020) ‘Experimental mummification—In the tracks of the ancient Egyptians’, </w:t>
      </w:r>
      <w:r w:rsidRPr="007C6F0F">
        <w:rPr>
          <w:i/>
          <w:iCs/>
        </w:rPr>
        <w:t>Clinical Anatomy</w:t>
      </w:r>
      <w:r w:rsidRPr="007C6F0F">
        <w:t>, 33(6), pp. 860–871. Available at: https://doi.org/10.1002/ca.23568.</w:t>
      </w:r>
    </w:p>
    <w:p w14:paraId="32FFAFC8" w14:textId="77777777" w:rsidR="007C6F0F" w:rsidRPr="007C6F0F" w:rsidRDefault="007C6F0F" w:rsidP="007C6F0F">
      <w:pPr>
        <w:pStyle w:val="Bibliography"/>
      </w:pPr>
      <w:r w:rsidRPr="007C6F0F">
        <w:t xml:space="preserve">Sandison, A.T. (1963) ‘The Use of Natron in Mummification in Ancient Egypt’, </w:t>
      </w:r>
      <w:r w:rsidRPr="007C6F0F">
        <w:rPr>
          <w:i/>
          <w:iCs/>
        </w:rPr>
        <w:t>Journal of Near Eastern Studies</w:t>
      </w:r>
      <w:r w:rsidRPr="007C6F0F">
        <w:t>, 22(4), pp. 259–267. Available at: https://doi.org/10.1086/371747.</w:t>
      </w:r>
    </w:p>
    <w:p w14:paraId="16075709" w14:textId="77777777" w:rsidR="007C6F0F" w:rsidRPr="007C6F0F" w:rsidRDefault="007C6F0F" w:rsidP="007C6F0F">
      <w:pPr>
        <w:pStyle w:val="Bibliography"/>
      </w:pPr>
      <w:r w:rsidRPr="007C6F0F">
        <w:t xml:space="preserve">Trafton, S. (2004) </w:t>
      </w:r>
      <w:r w:rsidRPr="007C6F0F">
        <w:rPr>
          <w:i/>
          <w:iCs/>
        </w:rPr>
        <w:t>Egypt Land: Race and Nineteenth-Century American Egyptomania</w:t>
      </w:r>
      <w:r w:rsidRPr="007C6F0F">
        <w:t>. Duke University Press.</w:t>
      </w:r>
    </w:p>
    <w:p w14:paraId="6C15060F" w14:textId="2AC1F7F3" w:rsidR="00D72DCF" w:rsidRPr="00AD1E64" w:rsidRDefault="00D72DCF" w:rsidP="00AD1E64">
      <w:r>
        <w:fldChar w:fldCharType="end"/>
      </w:r>
    </w:p>
    <w:sectPr w:rsidR="00D72DCF" w:rsidRPr="00AD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C5D"/>
    <w:rsid w:val="000230D5"/>
    <w:rsid w:val="00270C54"/>
    <w:rsid w:val="002B46CE"/>
    <w:rsid w:val="003A023A"/>
    <w:rsid w:val="003E3C86"/>
    <w:rsid w:val="00574A13"/>
    <w:rsid w:val="006919D2"/>
    <w:rsid w:val="006E4326"/>
    <w:rsid w:val="006F0A19"/>
    <w:rsid w:val="0072245E"/>
    <w:rsid w:val="0076489A"/>
    <w:rsid w:val="007A30CE"/>
    <w:rsid w:val="007C3646"/>
    <w:rsid w:val="007C6F0F"/>
    <w:rsid w:val="008773D8"/>
    <w:rsid w:val="0090761F"/>
    <w:rsid w:val="00A86064"/>
    <w:rsid w:val="00AA419D"/>
    <w:rsid w:val="00AD1E64"/>
    <w:rsid w:val="00B23A09"/>
    <w:rsid w:val="00CE2C5D"/>
    <w:rsid w:val="00D72DCF"/>
    <w:rsid w:val="00DE3619"/>
    <w:rsid w:val="00DF751C"/>
    <w:rsid w:val="00E1637F"/>
    <w:rsid w:val="00E53E33"/>
    <w:rsid w:val="00E96B2F"/>
    <w:rsid w:val="00EE7333"/>
    <w:rsid w:val="00F21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3EAD4"/>
  <w15:chartTrackingRefBased/>
  <w15:docId w15:val="{559F832D-2241-4A5E-BC74-0E83A01B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C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2C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2C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2C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2C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2C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C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C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C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C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2C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2C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2C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2C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2C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C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C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C5D"/>
    <w:rPr>
      <w:rFonts w:eastAsiaTheme="majorEastAsia" w:cstheme="majorBidi"/>
      <w:color w:val="272727" w:themeColor="text1" w:themeTint="D8"/>
    </w:rPr>
  </w:style>
  <w:style w:type="paragraph" w:styleId="Title">
    <w:name w:val="Title"/>
    <w:basedOn w:val="Normal"/>
    <w:next w:val="Normal"/>
    <w:link w:val="TitleChar"/>
    <w:uiPriority w:val="10"/>
    <w:qFormat/>
    <w:rsid w:val="00CE2C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C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C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C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C5D"/>
    <w:pPr>
      <w:spacing w:before="160"/>
      <w:jc w:val="center"/>
    </w:pPr>
    <w:rPr>
      <w:i/>
      <w:iCs/>
      <w:color w:val="404040" w:themeColor="text1" w:themeTint="BF"/>
    </w:rPr>
  </w:style>
  <w:style w:type="character" w:customStyle="1" w:styleId="QuoteChar">
    <w:name w:val="Quote Char"/>
    <w:basedOn w:val="DefaultParagraphFont"/>
    <w:link w:val="Quote"/>
    <w:uiPriority w:val="29"/>
    <w:rsid w:val="00CE2C5D"/>
    <w:rPr>
      <w:i/>
      <w:iCs/>
      <w:color w:val="404040" w:themeColor="text1" w:themeTint="BF"/>
    </w:rPr>
  </w:style>
  <w:style w:type="paragraph" w:styleId="ListParagraph">
    <w:name w:val="List Paragraph"/>
    <w:basedOn w:val="Normal"/>
    <w:uiPriority w:val="34"/>
    <w:qFormat/>
    <w:rsid w:val="00CE2C5D"/>
    <w:pPr>
      <w:ind w:left="720"/>
      <w:contextualSpacing/>
    </w:pPr>
  </w:style>
  <w:style w:type="character" w:styleId="IntenseEmphasis">
    <w:name w:val="Intense Emphasis"/>
    <w:basedOn w:val="DefaultParagraphFont"/>
    <w:uiPriority w:val="21"/>
    <w:qFormat/>
    <w:rsid w:val="00CE2C5D"/>
    <w:rPr>
      <w:i/>
      <w:iCs/>
      <w:color w:val="0F4761" w:themeColor="accent1" w:themeShade="BF"/>
    </w:rPr>
  </w:style>
  <w:style w:type="paragraph" w:styleId="IntenseQuote">
    <w:name w:val="Intense Quote"/>
    <w:basedOn w:val="Normal"/>
    <w:next w:val="Normal"/>
    <w:link w:val="IntenseQuoteChar"/>
    <w:uiPriority w:val="30"/>
    <w:qFormat/>
    <w:rsid w:val="00CE2C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2C5D"/>
    <w:rPr>
      <w:i/>
      <w:iCs/>
      <w:color w:val="0F4761" w:themeColor="accent1" w:themeShade="BF"/>
    </w:rPr>
  </w:style>
  <w:style w:type="character" w:styleId="IntenseReference">
    <w:name w:val="Intense Reference"/>
    <w:basedOn w:val="DefaultParagraphFont"/>
    <w:uiPriority w:val="32"/>
    <w:qFormat/>
    <w:rsid w:val="00CE2C5D"/>
    <w:rPr>
      <w:b/>
      <w:bCs/>
      <w:smallCaps/>
      <w:color w:val="0F4761" w:themeColor="accent1" w:themeShade="BF"/>
      <w:spacing w:val="5"/>
    </w:rPr>
  </w:style>
  <w:style w:type="table" w:styleId="TableGrid">
    <w:name w:val="Table Grid"/>
    <w:basedOn w:val="TableNormal"/>
    <w:uiPriority w:val="39"/>
    <w:rsid w:val="00E53E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919D2"/>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D72DCF"/>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9C414-C062-4AA0-9CDD-939083BE3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4995</Words>
  <Characters>28472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Rees (2305437)</dc:creator>
  <cp:keywords/>
  <dc:description/>
  <cp:lastModifiedBy>Caleb Rees (2305437)</cp:lastModifiedBy>
  <cp:revision>2</cp:revision>
  <dcterms:created xsi:type="dcterms:W3CDTF">2026-04-12T19:26:00Z</dcterms:created>
  <dcterms:modified xsi:type="dcterms:W3CDTF">2026-04-12T19:26:00Z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id="pWj7rbvo"/&gt;&lt;style id="http://www.zotero.org/styles/harvard-cite-them-right" locale="en-GB" hasBibliography="1" bibliographyStyleHasBeenSet="1"/&gt;&lt;prefs&gt;&lt;pref name="fieldType" value="Field"/&gt;&lt;/prefs</vt:lpwstr>
  </property>
  <property fmtid="{D5CDD505-2E9C-101B-9397-08002B2CF9AE}" pid="3" name="ZOTERO_PREF_2">
    <vt:lpwstr>&gt;&lt;/data&gt;</vt:lpwstr>
  </property>
</Properties>
</file>