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189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70"/>
      </w:tblGrid>
      <w:tr w:rsidR="00075430" w14:paraId="249ED40A" w14:textId="77777777" w:rsidTr="00075430">
        <w:tblPrEx>
          <w:tblCellMar>
            <w:top w:w="0" w:type="dxa"/>
            <w:bottom w:w="0" w:type="dxa"/>
          </w:tblCellMar>
        </w:tblPrEx>
        <w:trPr>
          <w:trHeight w:val="8637"/>
        </w:trPr>
        <w:tc>
          <w:tcPr>
            <w:tcW w:w="7870" w:type="dxa"/>
          </w:tcPr>
          <w:p w14:paraId="5E93D24C" w14:textId="77777777" w:rsidR="00075430" w:rsidRPr="00075430" w:rsidRDefault="00075430" w:rsidP="00075430">
            <w:pPr>
              <w:ind w:left="124"/>
              <w:rPr>
                <w:b/>
                <w:bCs/>
              </w:rPr>
            </w:pPr>
            <w:r w:rsidRPr="00075430">
              <w:rPr>
                <w:b/>
                <w:bCs/>
              </w:rPr>
              <w:t xml:space="preserve">Student name – Adriana </w:t>
            </w:r>
            <w:proofErr w:type="spellStart"/>
            <w:r w:rsidRPr="00075430">
              <w:rPr>
                <w:b/>
                <w:bCs/>
              </w:rPr>
              <w:t>Dulceneya</w:t>
            </w:r>
            <w:proofErr w:type="spellEnd"/>
            <w:r w:rsidRPr="00075430">
              <w:rPr>
                <w:b/>
                <w:bCs/>
              </w:rPr>
              <w:t xml:space="preserve"> Ribeiro Silva</w:t>
            </w:r>
          </w:p>
          <w:p w14:paraId="67F79921" w14:textId="45948C48" w:rsidR="00075430" w:rsidRDefault="00075430" w:rsidP="00075430">
            <w:pPr>
              <w:rPr>
                <w:b/>
                <w:bCs/>
              </w:rPr>
            </w:pPr>
          </w:p>
          <w:p w14:paraId="6ED6773A" w14:textId="77777777" w:rsidR="00075430" w:rsidRPr="00075430" w:rsidRDefault="00075430" w:rsidP="00075430">
            <w:pPr>
              <w:rPr>
                <w:b/>
                <w:bCs/>
              </w:rPr>
            </w:pPr>
          </w:p>
          <w:p w14:paraId="20BA79EE" w14:textId="77777777" w:rsidR="00075430" w:rsidRPr="00075430" w:rsidRDefault="00075430" w:rsidP="00075430">
            <w:pPr>
              <w:ind w:left="124"/>
              <w:rPr>
                <w:b/>
                <w:bCs/>
              </w:rPr>
            </w:pPr>
            <w:r w:rsidRPr="00075430">
              <w:rPr>
                <w:b/>
                <w:bCs/>
              </w:rPr>
              <w:t>Student Number – 2008480</w:t>
            </w:r>
          </w:p>
          <w:p w14:paraId="2CE46B5D" w14:textId="717F6E5E" w:rsidR="00075430" w:rsidRDefault="00075430" w:rsidP="00075430">
            <w:pPr>
              <w:rPr>
                <w:b/>
                <w:bCs/>
              </w:rPr>
            </w:pPr>
          </w:p>
          <w:p w14:paraId="40B9F220" w14:textId="388A97B5" w:rsidR="00075430" w:rsidRDefault="00075430" w:rsidP="00075430">
            <w:pPr>
              <w:rPr>
                <w:b/>
                <w:bCs/>
              </w:rPr>
            </w:pPr>
          </w:p>
          <w:p w14:paraId="37EACBAD" w14:textId="77777777" w:rsidR="00075430" w:rsidRPr="00075430" w:rsidRDefault="00075430" w:rsidP="00075430">
            <w:pPr>
              <w:rPr>
                <w:b/>
                <w:bCs/>
              </w:rPr>
            </w:pPr>
          </w:p>
          <w:p w14:paraId="51F7A8B3" w14:textId="77777777" w:rsidR="00075430" w:rsidRPr="00075430" w:rsidRDefault="00075430" w:rsidP="00075430">
            <w:pPr>
              <w:ind w:left="124"/>
              <w:rPr>
                <w:b/>
                <w:bCs/>
              </w:rPr>
            </w:pPr>
            <w:r w:rsidRPr="00075430">
              <w:rPr>
                <w:b/>
                <w:bCs/>
              </w:rPr>
              <w:t xml:space="preserve">Lecturer’s Name – Diya </w:t>
            </w:r>
            <w:proofErr w:type="spellStart"/>
            <w:r w:rsidRPr="00075430">
              <w:rPr>
                <w:b/>
                <w:bCs/>
              </w:rPr>
              <w:t>Ganguly</w:t>
            </w:r>
            <w:proofErr w:type="spellEnd"/>
          </w:p>
          <w:p w14:paraId="7525E95F" w14:textId="4A76EA41" w:rsidR="00075430" w:rsidRDefault="00075430" w:rsidP="00075430">
            <w:pPr>
              <w:rPr>
                <w:b/>
                <w:bCs/>
              </w:rPr>
            </w:pPr>
          </w:p>
          <w:p w14:paraId="4F05AC7C" w14:textId="27B6E7F7" w:rsidR="00075430" w:rsidRDefault="00075430" w:rsidP="00075430">
            <w:pPr>
              <w:rPr>
                <w:b/>
                <w:bCs/>
              </w:rPr>
            </w:pPr>
          </w:p>
          <w:p w14:paraId="2EEDBD2F" w14:textId="77777777" w:rsidR="00075430" w:rsidRPr="00075430" w:rsidRDefault="00075430" w:rsidP="00075430">
            <w:pPr>
              <w:rPr>
                <w:b/>
                <w:bCs/>
              </w:rPr>
            </w:pPr>
          </w:p>
          <w:p w14:paraId="3AE95726" w14:textId="687AA789" w:rsidR="00075430" w:rsidRDefault="00075430" w:rsidP="00075430">
            <w:pPr>
              <w:ind w:left="124"/>
              <w:rPr>
                <w:b/>
                <w:bCs/>
              </w:rPr>
            </w:pPr>
            <w:r w:rsidRPr="00075430">
              <w:rPr>
                <w:b/>
                <w:bCs/>
              </w:rPr>
              <w:t>Module Code – BMHP4003</w:t>
            </w:r>
          </w:p>
          <w:p w14:paraId="447A1EE4" w14:textId="1BFFEECA" w:rsidR="00075430" w:rsidRDefault="00075430" w:rsidP="00075430">
            <w:pPr>
              <w:ind w:left="124"/>
              <w:rPr>
                <w:b/>
                <w:bCs/>
              </w:rPr>
            </w:pPr>
          </w:p>
          <w:p w14:paraId="44788CAE" w14:textId="5FB9CC1F" w:rsidR="00075430" w:rsidRDefault="00075430" w:rsidP="00075430">
            <w:pPr>
              <w:ind w:left="124"/>
              <w:rPr>
                <w:b/>
                <w:bCs/>
              </w:rPr>
            </w:pPr>
          </w:p>
          <w:p w14:paraId="75D8A417" w14:textId="131BF69A" w:rsidR="00075430" w:rsidRDefault="00075430" w:rsidP="00075430">
            <w:pPr>
              <w:ind w:left="124"/>
              <w:rPr>
                <w:b/>
                <w:bCs/>
              </w:rPr>
            </w:pPr>
          </w:p>
          <w:p w14:paraId="1AFE30B2" w14:textId="77777777" w:rsidR="00075430" w:rsidRDefault="00075430" w:rsidP="00075430">
            <w:r w:rsidRPr="00075430">
              <w:rPr>
                <w:b/>
                <w:bCs/>
              </w:rPr>
              <w:t>Module Title – Psychology in Health and Social Care</w:t>
            </w:r>
          </w:p>
        </w:tc>
      </w:tr>
    </w:tbl>
    <w:p w14:paraId="76414CF8" w14:textId="77777777" w:rsidR="00BA69F3" w:rsidRPr="00075430" w:rsidRDefault="00BA69F3" w:rsidP="00075430"/>
    <w:p w14:paraId="3BA80C88" w14:textId="55225490" w:rsidR="0052626D" w:rsidRPr="0086208C" w:rsidRDefault="0052626D" w:rsidP="00BA69F3">
      <w:pPr>
        <w:ind w:left="720"/>
        <w:rPr>
          <w:rFonts w:asciiTheme="majorHAnsi" w:eastAsiaTheme="majorEastAsia" w:hAnsiTheme="majorHAnsi" w:cstheme="majorBidi"/>
          <w:b/>
          <w:bCs/>
          <w:color w:val="365F91" w:themeColor="accent1" w:themeShade="BF"/>
          <w:sz w:val="28"/>
          <w:szCs w:val="28"/>
        </w:rPr>
      </w:pPr>
      <w:r w:rsidRPr="0086208C">
        <w:br w:type="page"/>
      </w:r>
    </w:p>
    <w:sdt>
      <w:sdtPr>
        <w:rPr>
          <w:rFonts w:asciiTheme="minorHAnsi" w:eastAsiaTheme="minorHAnsi" w:hAnsiTheme="minorHAnsi" w:cstheme="minorBidi"/>
          <w:b w:val="0"/>
          <w:bCs w:val="0"/>
          <w:color w:val="auto"/>
          <w:sz w:val="22"/>
          <w:szCs w:val="22"/>
          <w:lang w:val="en-GB" w:eastAsia="en-US"/>
        </w:rPr>
        <w:id w:val="-2089843245"/>
        <w:docPartObj>
          <w:docPartGallery w:val="Table of Contents"/>
          <w:docPartUnique/>
        </w:docPartObj>
      </w:sdtPr>
      <w:sdtEndPr>
        <w:rPr>
          <w:rFonts w:ascii="Arial" w:hAnsi="Arial"/>
        </w:rPr>
      </w:sdtEndPr>
      <w:sdtContent>
        <w:p w14:paraId="38F5875C" w14:textId="4704115E" w:rsidR="00351A30" w:rsidRPr="00075430" w:rsidRDefault="00351A30">
          <w:pPr>
            <w:pStyle w:val="TOCHeading"/>
            <w:rPr>
              <w:color w:val="000000" w:themeColor="text1"/>
              <w:lang w:val="en-GB"/>
            </w:rPr>
          </w:pPr>
          <w:r w:rsidRPr="00075430">
            <w:rPr>
              <w:color w:val="000000" w:themeColor="text1"/>
              <w:lang w:val="en-GB"/>
            </w:rPr>
            <w:t>Contents</w:t>
          </w:r>
        </w:p>
        <w:p w14:paraId="43C33DB0" w14:textId="15990950" w:rsidR="00EF002E" w:rsidRDefault="00351A30">
          <w:pPr>
            <w:pStyle w:val="TOC1"/>
            <w:tabs>
              <w:tab w:val="right" w:leader="dot" w:pos="9350"/>
            </w:tabs>
            <w:rPr>
              <w:rFonts w:asciiTheme="minorHAnsi" w:eastAsiaTheme="minorEastAsia" w:hAnsiTheme="minorHAnsi"/>
              <w:noProof/>
              <w:sz w:val="24"/>
              <w:szCs w:val="24"/>
              <w:lang w:eastAsia="en-GB"/>
            </w:rPr>
          </w:pPr>
          <w:r w:rsidRPr="0086208C">
            <w:fldChar w:fldCharType="begin"/>
          </w:r>
          <w:r w:rsidRPr="0086208C">
            <w:instrText xml:space="preserve"> TOC \o "1-3" \h \z \u </w:instrText>
          </w:r>
          <w:r w:rsidRPr="0086208C">
            <w:fldChar w:fldCharType="separate"/>
          </w:r>
          <w:hyperlink w:anchor="_Toc80988025" w:history="1">
            <w:r w:rsidR="00EF002E" w:rsidRPr="00B47945">
              <w:rPr>
                <w:rStyle w:val="Hyperlink"/>
                <w:noProof/>
              </w:rPr>
              <w:t>Introduction</w:t>
            </w:r>
            <w:r w:rsidR="00EF002E">
              <w:rPr>
                <w:noProof/>
                <w:webHidden/>
              </w:rPr>
              <w:tab/>
            </w:r>
            <w:r w:rsidR="00EF002E">
              <w:rPr>
                <w:noProof/>
                <w:webHidden/>
              </w:rPr>
              <w:fldChar w:fldCharType="begin"/>
            </w:r>
            <w:r w:rsidR="00EF002E">
              <w:rPr>
                <w:noProof/>
                <w:webHidden/>
              </w:rPr>
              <w:instrText xml:space="preserve"> PAGEREF _Toc80988025 \h </w:instrText>
            </w:r>
            <w:r w:rsidR="00EF002E">
              <w:rPr>
                <w:noProof/>
                <w:webHidden/>
              </w:rPr>
            </w:r>
            <w:r w:rsidR="00EF002E">
              <w:rPr>
                <w:noProof/>
                <w:webHidden/>
              </w:rPr>
              <w:fldChar w:fldCharType="separate"/>
            </w:r>
            <w:r w:rsidR="00EF002E">
              <w:rPr>
                <w:noProof/>
                <w:webHidden/>
              </w:rPr>
              <w:t>3</w:t>
            </w:r>
            <w:r w:rsidR="00EF002E">
              <w:rPr>
                <w:noProof/>
                <w:webHidden/>
              </w:rPr>
              <w:fldChar w:fldCharType="end"/>
            </w:r>
          </w:hyperlink>
        </w:p>
        <w:p w14:paraId="342257EA" w14:textId="623AC83E" w:rsidR="00EF002E" w:rsidRDefault="00EF002E">
          <w:pPr>
            <w:pStyle w:val="TOC1"/>
            <w:tabs>
              <w:tab w:val="right" w:leader="dot" w:pos="9350"/>
            </w:tabs>
            <w:rPr>
              <w:rFonts w:asciiTheme="minorHAnsi" w:eastAsiaTheme="minorEastAsia" w:hAnsiTheme="minorHAnsi"/>
              <w:noProof/>
              <w:sz w:val="24"/>
              <w:szCs w:val="24"/>
              <w:lang w:eastAsia="en-GB"/>
            </w:rPr>
          </w:pPr>
          <w:hyperlink w:anchor="_Toc80988026" w:history="1">
            <w:r w:rsidRPr="00B47945">
              <w:rPr>
                <w:rStyle w:val="Hyperlink"/>
                <w:noProof/>
              </w:rPr>
              <w:t>Sigmund Freud’s theory focussed on the group presentation</w:t>
            </w:r>
            <w:r>
              <w:rPr>
                <w:noProof/>
                <w:webHidden/>
              </w:rPr>
              <w:tab/>
            </w:r>
            <w:r>
              <w:rPr>
                <w:noProof/>
                <w:webHidden/>
              </w:rPr>
              <w:fldChar w:fldCharType="begin"/>
            </w:r>
            <w:r>
              <w:rPr>
                <w:noProof/>
                <w:webHidden/>
              </w:rPr>
              <w:instrText xml:space="preserve"> PAGEREF _Toc80988026 \h </w:instrText>
            </w:r>
            <w:r>
              <w:rPr>
                <w:noProof/>
                <w:webHidden/>
              </w:rPr>
            </w:r>
            <w:r>
              <w:rPr>
                <w:noProof/>
                <w:webHidden/>
              </w:rPr>
              <w:fldChar w:fldCharType="separate"/>
            </w:r>
            <w:r>
              <w:rPr>
                <w:noProof/>
                <w:webHidden/>
              </w:rPr>
              <w:t>3</w:t>
            </w:r>
            <w:r>
              <w:rPr>
                <w:noProof/>
                <w:webHidden/>
              </w:rPr>
              <w:fldChar w:fldCharType="end"/>
            </w:r>
          </w:hyperlink>
        </w:p>
        <w:p w14:paraId="249370B8" w14:textId="2BDE566B" w:rsidR="00EF002E" w:rsidRDefault="00EF002E">
          <w:pPr>
            <w:pStyle w:val="TOC1"/>
            <w:tabs>
              <w:tab w:val="right" w:leader="dot" w:pos="9350"/>
            </w:tabs>
            <w:rPr>
              <w:rFonts w:asciiTheme="minorHAnsi" w:eastAsiaTheme="minorEastAsia" w:hAnsiTheme="minorHAnsi"/>
              <w:noProof/>
              <w:sz w:val="24"/>
              <w:szCs w:val="24"/>
              <w:lang w:eastAsia="en-GB"/>
            </w:rPr>
          </w:pPr>
          <w:hyperlink w:anchor="_Toc80988027" w:history="1">
            <w:r w:rsidRPr="00B47945">
              <w:rPr>
                <w:rStyle w:val="Hyperlink"/>
                <w:noProof/>
              </w:rPr>
              <w:t>Role of health care practitioners</w:t>
            </w:r>
            <w:r>
              <w:rPr>
                <w:noProof/>
                <w:webHidden/>
              </w:rPr>
              <w:tab/>
            </w:r>
            <w:r>
              <w:rPr>
                <w:noProof/>
                <w:webHidden/>
              </w:rPr>
              <w:fldChar w:fldCharType="begin"/>
            </w:r>
            <w:r>
              <w:rPr>
                <w:noProof/>
                <w:webHidden/>
              </w:rPr>
              <w:instrText xml:space="preserve"> PAGEREF _Toc80988027 \h </w:instrText>
            </w:r>
            <w:r>
              <w:rPr>
                <w:noProof/>
                <w:webHidden/>
              </w:rPr>
            </w:r>
            <w:r>
              <w:rPr>
                <w:noProof/>
                <w:webHidden/>
              </w:rPr>
              <w:fldChar w:fldCharType="separate"/>
            </w:r>
            <w:r>
              <w:rPr>
                <w:noProof/>
                <w:webHidden/>
              </w:rPr>
              <w:t>4</w:t>
            </w:r>
            <w:r>
              <w:rPr>
                <w:noProof/>
                <w:webHidden/>
              </w:rPr>
              <w:fldChar w:fldCharType="end"/>
            </w:r>
          </w:hyperlink>
        </w:p>
        <w:p w14:paraId="47580BF9" w14:textId="4FD53412" w:rsidR="00EF002E" w:rsidRDefault="00EF002E">
          <w:pPr>
            <w:pStyle w:val="TOC1"/>
            <w:tabs>
              <w:tab w:val="right" w:leader="dot" w:pos="9350"/>
            </w:tabs>
            <w:rPr>
              <w:rFonts w:asciiTheme="minorHAnsi" w:eastAsiaTheme="minorEastAsia" w:hAnsiTheme="minorHAnsi"/>
              <w:noProof/>
              <w:sz w:val="24"/>
              <w:szCs w:val="24"/>
              <w:lang w:eastAsia="en-GB"/>
            </w:rPr>
          </w:pPr>
          <w:hyperlink w:anchor="_Toc80988028" w:history="1">
            <w:r w:rsidRPr="00B47945">
              <w:rPr>
                <w:rStyle w:val="Hyperlink"/>
                <w:noProof/>
              </w:rPr>
              <w:t>Reflection</w:t>
            </w:r>
            <w:r>
              <w:rPr>
                <w:noProof/>
                <w:webHidden/>
              </w:rPr>
              <w:tab/>
            </w:r>
            <w:r>
              <w:rPr>
                <w:noProof/>
                <w:webHidden/>
              </w:rPr>
              <w:fldChar w:fldCharType="begin"/>
            </w:r>
            <w:r>
              <w:rPr>
                <w:noProof/>
                <w:webHidden/>
              </w:rPr>
              <w:instrText xml:space="preserve"> PAGEREF _Toc80988028 \h </w:instrText>
            </w:r>
            <w:r>
              <w:rPr>
                <w:noProof/>
                <w:webHidden/>
              </w:rPr>
            </w:r>
            <w:r>
              <w:rPr>
                <w:noProof/>
                <w:webHidden/>
              </w:rPr>
              <w:fldChar w:fldCharType="separate"/>
            </w:r>
            <w:r>
              <w:rPr>
                <w:noProof/>
                <w:webHidden/>
              </w:rPr>
              <w:t>5</w:t>
            </w:r>
            <w:r>
              <w:rPr>
                <w:noProof/>
                <w:webHidden/>
              </w:rPr>
              <w:fldChar w:fldCharType="end"/>
            </w:r>
          </w:hyperlink>
        </w:p>
        <w:p w14:paraId="17D03417" w14:textId="2B261DDB" w:rsidR="00EF002E" w:rsidRDefault="00EF002E">
          <w:pPr>
            <w:pStyle w:val="TOC1"/>
            <w:tabs>
              <w:tab w:val="right" w:leader="dot" w:pos="9350"/>
            </w:tabs>
            <w:rPr>
              <w:rFonts w:asciiTheme="minorHAnsi" w:eastAsiaTheme="minorEastAsia" w:hAnsiTheme="minorHAnsi"/>
              <w:noProof/>
              <w:sz w:val="24"/>
              <w:szCs w:val="24"/>
              <w:lang w:eastAsia="en-GB"/>
            </w:rPr>
          </w:pPr>
          <w:hyperlink w:anchor="_Toc80988029" w:history="1">
            <w:r w:rsidRPr="00B47945">
              <w:rPr>
                <w:rStyle w:val="Hyperlink"/>
                <w:noProof/>
              </w:rPr>
              <w:t>Conclusion</w:t>
            </w:r>
            <w:r>
              <w:rPr>
                <w:noProof/>
                <w:webHidden/>
              </w:rPr>
              <w:tab/>
            </w:r>
            <w:r>
              <w:rPr>
                <w:noProof/>
                <w:webHidden/>
              </w:rPr>
              <w:fldChar w:fldCharType="begin"/>
            </w:r>
            <w:r>
              <w:rPr>
                <w:noProof/>
                <w:webHidden/>
              </w:rPr>
              <w:instrText xml:space="preserve"> PAGEREF _Toc80988029 \h </w:instrText>
            </w:r>
            <w:r>
              <w:rPr>
                <w:noProof/>
                <w:webHidden/>
              </w:rPr>
            </w:r>
            <w:r>
              <w:rPr>
                <w:noProof/>
                <w:webHidden/>
              </w:rPr>
              <w:fldChar w:fldCharType="separate"/>
            </w:r>
            <w:r>
              <w:rPr>
                <w:noProof/>
                <w:webHidden/>
              </w:rPr>
              <w:t>7</w:t>
            </w:r>
            <w:r>
              <w:rPr>
                <w:noProof/>
                <w:webHidden/>
              </w:rPr>
              <w:fldChar w:fldCharType="end"/>
            </w:r>
          </w:hyperlink>
        </w:p>
        <w:p w14:paraId="296B07A9" w14:textId="0926914D" w:rsidR="00EF002E" w:rsidRDefault="00EF002E">
          <w:pPr>
            <w:pStyle w:val="TOC1"/>
            <w:tabs>
              <w:tab w:val="right" w:leader="dot" w:pos="9350"/>
            </w:tabs>
            <w:rPr>
              <w:rFonts w:asciiTheme="minorHAnsi" w:eastAsiaTheme="minorEastAsia" w:hAnsiTheme="minorHAnsi"/>
              <w:noProof/>
              <w:sz w:val="24"/>
              <w:szCs w:val="24"/>
              <w:lang w:eastAsia="en-GB"/>
            </w:rPr>
          </w:pPr>
          <w:hyperlink w:anchor="_Toc80988030" w:history="1">
            <w:r w:rsidRPr="00B47945">
              <w:rPr>
                <w:rStyle w:val="Hyperlink"/>
                <w:noProof/>
              </w:rPr>
              <w:t>References</w:t>
            </w:r>
            <w:r>
              <w:rPr>
                <w:noProof/>
                <w:webHidden/>
              </w:rPr>
              <w:tab/>
            </w:r>
            <w:r>
              <w:rPr>
                <w:noProof/>
                <w:webHidden/>
              </w:rPr>
              <w:fldChar w:fldCharType="begin"/>
            </w:r>
            <w:r>
              <w:rPr>
                <w:noProof/>
                <w:webHidden/>
              </w:rPr>
              <w:instrText xml:space="preserve"> PAGEREF _Toc80988030 \h </w:instrText>
            </w:r>
            <w:r>
              <w:rPr>
                <w:noProof/>
                <w:webHidden/>
              </w:rPr>
            </w:r>
            <w:r>
              <w:rPr>
                <w:noProof/>
                <w:webHidden/>
              </w:rPr>
              <w:fldChar w:fldCharType="separate"/>
            </w:r>
            <w:r>
              <w:rPr>
                <w:noProof/>
                <w:webHidden/>
              </w:rPr>
              <w:t>8</w:t>
            </w:r>
            <w:r>
              <w:rPr>
                <w:noProof/>
                <w:webHidden/>
              </w:rPr>
              <w:fldChar w:fldCharType="end"/>
            </w:r>
          </w:hyperlink>
        </w:p>
        <w:p w14:paraId="5D46D2E0" w14:textId="0A11A5CE" w:rsidR="00351A30" w:rsidRPr="0086208C" w:rsidRDefault="00351A30">
          <w:r w:rsidRPr="0086208C">
            <w:rPr>
              <w:b/>
              <w:bCs/>
            </w:rPr>
            <w:fldChar w:fldCharType="end"/>
          </w:r>
        </w:p>
      </w:sdtContent>
    </w:sdt>
    <w:p w14:paraId="0114BDE9" w14:textId="77777777" w:rsidR="0070190E" w:rsidRPr="0086208C" w:rsidRDefault="0070190E">
      <w:pPr>
        <w:rPr>
          <w:rFonts w:asciiTheme="majorHAnsi" w:eastAsiaTheme="majorEastAsia" w:hAnsiTheme="majorHAnsi" w:cstheme="majorBidi"/>
          <w:b/>
          <w:bCs/>
          <w:color w:val="365F91" w:themeColor="accent1" w:themeShade="BF"/>
          <w:sz w:val="28"/>
          <w:szCs w:val="28"/>
        </w:rPr>
      </w:pPr>
      <w:r w:rsidRPr="0086208C">
        <w:br w:type="page"/>
      </w:r>
    </w:p>
    <w:p w14:paraId="13C641A7" w14:textId="77777777" w:rsidR="00990C84" w:rsidRPr="00EF002E" w:rsidRDefault="00990C84" w:rsidP="00DE5395">
      <w:pPr>
        <w:pStyle w:val="Heading1"/>
        <w:rPr>
          <w:rFonts w:ascii="Arial" w:hAnsi="Arial" w:cs="Arial"/>
          <w:color w:val="000000" w:themeColor="text1"/>
        </w:rPr>
      </w:pPr>
      <w:bookmarkStart w:id="0" w:name="_Toc80988025"/>
      <w:r w:rsidRPr="00EF002E">
        <w:rPr>
          <w:rFonts w:ascii="Arial" w:hAnsi="Arial" w:cs="Arial"/>
          <w:color w:val="000000" w:themeColor="text1"/>
        </w:rPr>
        <w:lastRenderedPageBreak/>
        <w:t>Introduction</w:t>
      </w:r>
      <w:bookmarkEnd w:id="0"/>
    </w:p>
    <w:p w14:paraId="37D16B60" w14:textId="0227C59C" w:rsidR="00EE533A" w:rsidRDefault="00EE533A" w:rsidP="00A46A11">
      <w:pPr>
        <w:rPr>
          <w:rFonts w:cs="Arial"/>
          <w:shd w:val="clear" w:color="auto" w:fill="FFFFFF"/>
        </w:rPr>
      </w:pPr>
      <w:r w:rsidRPr="0086208C">
        <w:rPr>
          <w:rFonts w:cs="Arial"/>
          <w:shd w:val="clear" w:color="auto" w:fill="FFFFFF"/>
        </w:rPr>
        <w:t xml:space="preserve">The aim of this report is to explore and reflect on Sigmund Freud’s </w:t>
      </w:r>
      <w:r w:rsidR="00075430">
        <w:rPr>
          <w:rFonts w:cs="Arial"/>
          <w:shd w:val="clear" w:color="auto" w:fill="FFFFFF"/>
        </w:rPr>
        <w:t>theory</w:t>
      </w:r>
      <w:r w:rsidRPr="0086208C">
        <w:rPr>
          <w:rFonts w:cs="Arial"/>
          <w:shd w:val="clear" w:color="auto" w:fill="FFFFFF"/>
        </w:rPr>
        <w:t>. Further, the role of healthcare practitioners has been assessed as it provides essential services that include promoting health and wellbeing, delivering health services to individuals, families and communities and preventing diseases</w:t>
      </w:r>
      <w:r w:rsidR="001D2F62" w:rsidRPr="0086208C">
        <w:rPr>
          <w:rFonts w:cs="Arial"/>
          <w:shd w:val="clear" w:color="auto" w:fill="FFFFFF"/>
        </w:rPr>
        <w:t xml:space="preserve"> </w:t>
      </w:r>
      <w:sdt>
        <w:sdtPr>
          <w:rPr>
            <w:rFonts w:cs="Arial"/>
            <w:shd w:val="clear" w:color="auto" w:fill="FFFFFF"/>
          </w:rPr>
          <w:id w:val="-67348717"/>
          <w:citation/>
        </w:sdtPr>
        <w:sdtEndPr/>
        <w:sdtContent>
          <w:r w:rsidR="001D2F62" w:rsidRPr="0086208C">
            <w:rPr>
              <w:rFonts w:cs="Arial"/>
              <w:shd w:val="clear" w:color="auto" w:fill="FFFFFF"/>
            </w:rPr>
            <w:fldChar w:fldCharType="begin"/>
          </w:r>
          <w:r w:rsidR="001D2F62" w:rsidRPr="0086208C">
            <w:rPr>
              <w:rFonts w:cs="Arial"/>
              <w:shd w:val="clear" w:color="auto" w:fill="FFFFFF"/>
            </w:rPr>
            <w:instrText xml:space="preserve"> CITATION Zen111 \l 1033 </w:instrText>
          </w:r>
          <w:r w:rsidR="001D2F62" w:rsidRPr="0086208C">
            <w:rPr>
              <w:rFonts w:cs="Arial"/>
              <w:shd w:val="clear" w:color="auto" w:fill="FFFFFF"/>
            </w:rPr>
            <w:fldChar w:fldCharType="separate"/>
          </w:r>
          <w:r w:rsidR="00235B8D" w:rsidRPr="00235B8D">
            <w:rPr>
              <w:rFonts w:cs="Arial"/>
              <w:noProof/>
              <w:shd w:val="clear" w:color="auto" w:fill="FFFFFF"/>
            </w:rPr>
            <w:t>(Zenzano, et al., 2011)</w:t>
          </w:r>
          <w:r w:rsidR="001D2F62" w:rsidRPr="0086208C">
            <w:rPr>
              <w:rFonts w:cs="Arial"/>
              <w:shd w:val="clear" w:color="auto" w:fill="FFFFFF"/>
            </w:rPr>
            <w:fldChar w:fldCharType="end"/>
          </w:r>
        </w:sdtContent>
      </w:sdt>
      <w:r w:rsidRPr="0086208C">
        <w:rPr>
          <w:rFonts w:cs="Arial"/>
          <w:shd w:val="clear" w:color="auto" w:fill="FFFFFF"/>
        </w:rPr>
        <w:t xml:space="preserve">. The job role considered in this report is a support worker which has been explored from the perspective of the theory followed by a reflection on </w:t>
      </w:r>
      <w:r w:rsidR="0070190E" w:rsidRPr="0086208C">
        <w:rPr>
          <w:rFonts w:cs="Arial"/>
          <w:shd w:val="clear" w:color="auto" w:fill="FFFFFF"/>
        </w:rPr>
        <w:t xml:space="preserve">a </w:t>
      </w:r>
      <w:r w:rsidRPr="0086208C">
        <w:rPr>
          <w:rFonts w:cs="Arial"/>
          <w:shd w:val="clear" w:color="auto" w:fill="FFFFFF"/>
        </w:rPr>
        <w:t xml:space="preserve">future career. </w:t>
      </w:r>
    </w:p>
    <w:p w14:paraId="4AD4A2D3" w14:textId="77777777" w:rsidR="00AD6456" w:rsidRPr="0086208C" w:rsidRDefault="00AD6456" w:rsidP="00A46A11">
      <w:pPr>
        <w:rPr>
          <w:rFonts w:cs="Arial"/>
          <w:sz w:val="20"/>
        </w:rPr>
      </w:pPr>
    </w:p>
    <w:p w14:paraId="781120B2" w14:textId="32CE8423" w:rsidR="007B37FD" w:rsidRPr="00EF002E" w:rsidRDefault="00990C84" w:rsidP="00423936">
      <w:pPr>
        <w:pStyle w:val="Heading1"/>
        <w:rPr>
          <w:rFonts w:ascii="Arial" w:hAnsi="Arial" w:cs="Arial"/>
          <w:color w:val="000000" w:themeColor="text1"/>
        </w:rPr>
      </w:pPr>
      <w:bookmarkStart w:id="1" w:name="_Toc80988026"/>
      <w:r w:rsidRPr="00EF002E">
        <w:rPr>
          <w:rFonts w:ascii="Arial" w:hAnsi="Arial" w:cs="Arial"/>
          <w:color w:val="000000" w:themeColor="text1"/>
        </w:rPr>
        <w:t xml:space="preserve">Sigmund Freud’s </w:t>
      </w:r>
      <w:r w:rsidR="00AD6456" w:rsidRPr="00EF002E">
        <w:rPr>
          <w:rFonts w:ascii="Arial" w:hAnsi="Arial" w:cs="Arial"/>
          <w:color w:val="000000" w:themeColor="text1"/>
        </w:rPr>
        <w:t>theory focussed on the group presentation</w:t>
      </w:r>
      <w:bookmarkEnd w:id="1"/>
      <w:r w:rsidR="00AD6456" w:rsidRPr="00EF002E">
        <w:rPr>
          <w:rFonts w:ascii="Arial" w:hAnsi="Arial" w:cs="Arial"/>
          <w:color w:val="000000" w:themeColor="text1"/>
        </w:rPr>
        <w:t xml:space="preserve"> </w:t>
      </w:r>
    </w:p>
    <w:p w14:paraId="44203484" w14:textId="7CAE4F99" w:rsidR="003E6119" w:rsidRPr="00AD6456" w:rsidRDefault="003E6119" w:rsidP="00EB11A8">
      <w:pPr>
        <w:rPr>
          <w:color w:val="000000" w:themeColor="text1"/>
          <w:shd w:val="clear" w:color="auto" w:fill="FFFFFF"/>
        </w:rPr>
      </w:pPr>
      <w:r w:rsidRPr="00AD6456">
        <w:rPr>
          <w:color w:val="000000" w:themeColor="text1"/>
          <w:shd w:val="clear" w:color="auto" w:fill="FFFFFF"/>
        </w:rPr>
        <w:t xml:space="preserve">Life stages are the various phases of growth and development a person goes through during their lifetime, and focus has been provided on childhood which ranges from 3 to 11 years of age. </w:t>
      </w:r>
      <w:r w:rsidR="00EB11A8" w:rsidRPr="00AD6456">
        <w:rPr>
          <w:color w:val="000000" w:themeColor="text1"/>
          <w:shd w:val="clear" w:color="auto" w:fill="FFFFFF"/>
        </w:rPr>
        <w:t xml:space="preserve">The psychological and cognitive development of human thus has significant impact upon the health and wellbeing as well as their behaviour. </w:t>
      </w:r>
      <w:r w:rsidRPr="00AD6456">
        <w:rPr>
          <w:color w:val="000000" w:themeColor="text1"/>
          <w:shd w:val="clear" w:color="auto" w:fill="FFFFFF"/>
        </w:rPr>
        <w:t>Psychology is thus the science of the mind and behaviour and as per Vygotsky the social interaction of children with their family and surroundings result in the cognitive development</w:t>
      </w:r>
      <w:r w:rsidR="00CD1856" w:rsidRPr="00AD6456">
        <w:rPr>
          <w:color w:val="000000" w:themeColor="text1"/>
          <w:shd w:val="clear" w:color="auto" w:fill="FFFFFF"/>
        </w:rPr>
        <w:t xml:space="preserve"> </w:t>
      </w:r>
      <w:sdt>
        <w:sdtPr>
          <w:rPr>
            <w:color w:val="000000" w:themeColor="text1"/>
            <w:shd w:val="clear" w:color="auto" w:fill="FFFFFF"/>
          </w:rPr>
          <w:id w:val="-1065028995"/>
          <w:citation/>
        </w:sdtPr>
        <w:sdtEndPr/>
        <w:sdtContent>
          <w:r w:rsidR="00CD1856" w:rsidRPr="00AD6456">
            <w:rPr>
              <w:color w:val="000000" w:themeColor="text1"/>
              <w:shd w:val="clear" w:color="auto" w:fill="FFFFFF"/>
            </w:rPr>
            <w:fldChar w:fldCharType="begin"/>
          </w:r>
          <w:r w:rsidR="00CD1856" w:rsidRPr="00AD6456">
            <w:rPr>
              <w:color w:val="000000" w:themeColor="text1"/>
              <w:shd w:val="clear" w:color="auto" w:fill="FFFFFF"/>
              <w:lang w:val="en-US"/>
            </w:rPr>
            <w:instrText xml:space="preserve"> CITATION Che193 \l 1033 </w:instrText>
          </w:r>
          <w:r w:rsidR="00CD1856" w:rsidRPr="00AD6456">
            <w:rPr>
              <w:color w:val="000000" w:themeColor="text1"/>
              <w:shd w:val="clear" w:color="auto" w:fill="FFFFFF"/>
            </w:rPr>
            <w:fldChar w:fldCharType="separate"/>
          </w:r>
          <w:r w:rsidR="00235B8D" w:rsidRPr="00AD6456">
            <w:rPr>
              <w:noProof/>
              <w:color w:val="000000" w:themeColor="text1"/>
              <w:shd w:val="clear" w:color="auto" w:fill="FFFFFF"/>
              <w:lang w:val="en-US"/>
            </w:rPr>
            <w:t>(Cherry, 2019)</w:t>
          </w:r>
          <w:r w:rsidR="00CD1856" w:rsidRPr="00AD6456">
            <w:rPr>
              <w:color w:val="000000" w:themeColor="text1"/>
              <w:shd w:val="clear" w:color="auto" w:fill="FFFFFF"/>
            </w:rPr>
            <w:fldChar w:fldCharType="end"/>
          </w:r>
        </w:sdtContent>
      </w:sdt>
      <w:r w:rsidRPr="00AD6456">
        <w:rPr>
          <w:color w:val="000000" w:themeColor="text1"/>
          <w:shd w:val="clear" w:color="auto" w:fill="FFFFFF"/>
        </w:rPr>
        <w:t xml:space="preserve">. On the other hand, social and emotional development of children starts with formation of positive relationships, expressing emotions, creating imaginary worlds and exploring or engaging with the environment. Thus different behaviour pattern is observed among children in different age period, for instance in the preschool years they showcase </w:t>
      </w:r>
      <w:r w:rsidR="008464A4" w:rsidRPr="00AD6456">
        <w:rPr>
          <w:color w:val="000000" w:themeColor="text1"/>
          <w:shd w:val="clear" w:color="auto" w:fill="FFFFFF"/>
        </w:rPr>
        <w:t>sympathetic</w:t>
      </w:r>
      <w:r w:rsidRPr="00AD6456">
        <w:rPr>
          <w:color w:val="000000" w:themeColor="text1"/>
          <w:shd w:val="clear" w:color="auto" w:fill="FFFFFF"/>
        </w:rPr>
        <w:t xml:space="preserve"> and prosocial behaviour, while in early elementary they increase their social coordination, while in middle school they use personal information to form friendships.</w:t>
      </w:r>
    </w:p>
    <w:p w14:paraId="228B7C81" w14:textId="2114F2BC" w:rsidR="00EB11A8" w:rsidRPr="003E6119" w:rsidRDefault="00EB11A8" w:rsidP="00EB11A8">
      <w:pPr>
        <w:rPr>
          <w:shd w:val="clear" w:color="auto" w:fill="FFFFFF"/>
        </w:rPr>
      </w:pPr>
      <w:r w:rsidRPr="0086208C">
        <w:rPr>
          <w:shd w:val="clear" w:color="auto" w:fill="FFFFFF"/>
        </w:rPr>
        <w:t xml:space="preserve">In this regard, focus has been provided on Sigmund Freud’s psychosexual stages theory of </w:t>
      </w:r>
      <w:r w:rsidR="008464A4" w:rsidRPr="0086208C">
        <w:rPr>
          <w:shd w:val="clear" w:color="auto" w:fill="FFFFFF"/>
        </w:rPr>
        <w:t xml:space="preserve">development. </w:t>
      </w:r>
      <w:r w:rsidRPr="0086208C">
        <w:rPr>
          <w:shd w:val="clear" w:color="auto" w:fill="FFFFFF"/>
        </w:rPr>
        <w:t>It is noted that Freud segregated human personality into id</w:t>
      </w:r>
      <w:r w:rsidR="008464A4">
        <w:rPr>
          <w:shd w:val="clear" w:color="auto" w:fill="FFFFFF"/>
        </w:rPr>
        <w:t xml:space="preserve"> which</w:t>
      </w:r>
      <w:r w:rsidRPr="0086208C">
        <w:rPr>
          <w:shd w:val="clear" w:color="auto" w:fill="FFFFFF"/>
        </w:rPr>
        <w:t xml:space="preserve"> is the most primal part of human personality that aims to derive </w:t>
      </w:r>
      <w:r w:rsidR="00CD1856" w:rsidRPr="0086208C">
        <w:rPr>
          <w:shd w:val="clear" w:color="auto" w:fill="FFFFFF"/>
        </w:rPr>
        <w:t>pleasure;</w:t>
      </w:r>
      <w:r w:rsidRPr="0086208C">
        <w:rPr>
          <w:shd w:val="clear" w:color="auto" w:fill="FFFFFF"/>
        </w:rPr>
        <w:t xml:space="preserve"> ego tends to manage the expression of id in an acceptable manner that functions in the conscious, preconscious and unconscious mind. Finally, superego is the internalised moral standards and ideals that a child acquires from their parents and the society </w:t>
      </w:r>
      <w:sdt>
        <w:sdtPr>
          <w:rPr>
            <w:shd w:val="clear" w:color="auto" w:fill="FFFFFF"/>
          </w:rPr>
          <w:id w:val="198283260"/>
          <w:citation/>
        </w:sdtPr>
        <w:sdtEndPr/>
        <w:sdtContent>
          <w:r w:rsidRPr="0086208C">
            <w:rPr>
              <w:shd w:val="clear" w:color="auto" w:fill="FFFFFF"/>
            </w:rPr>
            <w:fldChar w:fldCharType="begin"/>
          </w:r>
          <w:r w:rsidRPr="0086208C">
            <w:rPr>
              <w:shd w:val="clear" w:color="auto" w:fill="FFFFFF"/>
            </w:rPr>
            <w:instrText xml:space="preserve"> CITATION Che207 \l 1033 </w:instrText>
          </w:r>
          <w:r w:rsidRPr="0086208C">
            <w:rPr>
              <w:shd w:val="clear" w:color="auto" w:fill="FFFFFF"/>
            </w:rPr>
            <w:fldChar w:fldCharType="separate"/>
          </w:r>
          <w:r w:rsidR="00235B8D" w:rsidRPr="00235B8D">
            <w:rPr>
              <w:noProof/>
              <w:shd w:val="clear" w:color="auto" w:fill="FFFFFF"/>
            </w:rPr>
            <w:t>(Cherry, 2020)</w:t>
          </w:r>
          <w:r w:rsidRPr="0086208C">
            <w:rPr>
              <w:shd w:val="clear" w:color="auto" w:fill="FFFFFF"/>
            </w:rPr>
            <w:fldChar w:fldCharType="end"/>
          </w:r>
        </w:sdtContent>
      </w:sdt>
      <w:r w:rsidRPr="0086208C">
        <w:rPr>
          <w:shd w:val="clear" w:color="auto" w:fill="FFFFFF"/>
        </w:rPr>
        <w:t xml:space="preserve">. </w:t>
      </w:r>
      <w:r w:rsidR="00CD1856" w:rsidRPr="0086208C">
        <w:rPr>
          <w:shd w:val="clear" w:color="auto" w:fill="FFFFFF"/>
        </w:rPr>
        <w:t>Psychosexual</w:t>
      </w:r>
      <w:r w:rsidRPr="0086208C">
        <w:rPr>
          <w:shd w:val="clear" w:color="auto" w:fill="FFFFFF"/>
        </w:rPr>
        <w:t xml:space="preserve"> stages of development are represented as a conflict between the biologically driven needs and the social expectations</w:t>
      </w:r>
      <w:r w:rsidR="008464A4">
        <w:rPr>
          <w:shd w:val="clear" w:color="auto" w:fill="FFFFFF"/>
        </w:rPr>
        <w:t>.</w:t>
      </w:r>
      <w:r w:rsidRPr="0086208C">
        <w:rPr>
          <w:shd w:val="clear" w:color="auto" w:fill="FFFFFF"/>
        </w:rPr>
        <w:t xml:space="preserve"> </w:t>
      </w:r>
    </w:p>
    <w:p w14:paraId="5C341E74" w14:textId="3B8B4862" w:rsidR="00EB11A8" w:rsidRPr="0086208C" w:rsidRDefault="00EB11A8" w:rsidP="00EB11A8">
      <w:pPr>
        <w:rPr>
          <w:shd w:val="clear" w:color="auto" w:fill="FFFFFF"/>
        </w:rPr>
      </w:pPr>
      <w:r w:rsidRPr="0086208C">
        <w:rPr>
          <w:shd w:val="clear" w:color="auto" w:fill="FFFFFF"/>
        </w:rPr>
        <w:t xml:space="preserve">Thus, the first stage extends to just one year of birth and is known as the oral stage as the mouth is identified as the first representative organ for providing pleasure to children. In the </w:t>
      </w:r>
      <w:r w:rsidRPr="0086208C">
        <w:rPr>
          <w:shd w:val="clear" w:color="auto" w:fill="FFFFFF"/>
        </w:rPr>
        <w:lastRenderedPageBreak/>
        <w:t xml:space="preserve">second stage, which lasts from eighteen months to three years, focus is provided on the ability of the children to control their bladder and bowel movements and hence is known as the anal stage </w:t>
      </w:r>
      <w:sdt>
        <w:sdtPr>
          <w:rPr>
            <w:shd w:val="clear" w:color="auto" w:fill="FFFFFF"/>
          </w:rPr>
          <w:id w:val="-1797670158"/>
          <w:citation/>
        </w:sdtPr>
        <w:sdtEndPr/>
        <w:sdtContent>
          <w:r w:rsidRPr="0086208C">
            <w:rPr>
              <w:shd w:val="clear" w:color="auto" w:fill="FFFFFF"/>
            </w:rPr>
            <w:fldChar w:fldCharType="begin"/>
          </w:r>
          <w:r w:rsidRPr="0086208C">
            <w:rPr>
              <w:shd w:val="clear" w:color="auto" w:fill="FFFFFF"/>
            </w:rPr>
            <w:instrText xml:space="preserve"> CITATION Ken202 \l 1033 </w:instrText>
          </w:r>
          <w:r w:rsidRPr="0086208C">
            <w:rPr>
              <w:shd w:val="clear" w:color="auto" w:fill="FFFFFF"/>
            </w:rPr>
            <w:fldChar w:fldCharType="separate"/>
          </w:r>
          <w:r w:rsidR="00235B8D" w:rsidRPr="00235B8D">
            <w:rPr>
              <w:noProof/>
              <w:shd w:val="clear" w:color="auto" w:fill="FFFFFF"/>
            </w:rPr>
            <w:t>(Cherry, 2020)</w:t>
          </w:r>
          <w:r w:rsidRPr="0086208C">
            <w:rPr>
              <w:shd w:val="clear" w:color="auto" w:fill="FFFFFF"/>
            </w:rPr>
            <w:fldChar w:fldCharType="end"/>
          </w:r>
        </w:sdtContent>
      </w:sdt>
      <w:r w:rsidRPr="0086208C">
        <w:rPr>
          <w:shd w:val="clear" w:color="auto" w:fill="FFFFFF"/>
        </w:rPr>
        <w:t xml:space="preserve">. The third stage is the phallic </w:t>
      </w:r>
      <w:r w:rsidR="0086208C" w:rsidRPr="0086208C">
        <w:rPr>
          <w:shd w:val="clear" w:color="auto" w:fill="FFFFFF"/>
        </w:rPr>
        <w:t>stages which last</w:t>
      </w:r>
      <w:r w:rsidRPr="0086208C">
        <w:rPr>
          <w:shd w:val="clear" w:color="auto" w:fill="FFFFFF"/>
        </w:rPr>
        <w:t xml:space="preserve"> from the third to the sixth year where children gain become aware of the genitals and the difference between genders. The latency stage is the fourth stage which continues until the children hits puberty and the sexual drives in this period are latent. Finally, the fifth and genital stage continues from puberty to adult life where individuals start showing interest to opposite sex and sexual intercourse. However, this can be refuted by the fact that people from the LGBTQ+ community and asexual people are not necessarily attracted to opposite gender or are driven by sexual pleasures </w:t>
      </w:r>
      <w:sdt>
        <w:sdtPr>
          <w:rPr>
            <w:shd w:val="clear" w:color="auto" w:fill="FFFFFF"/>
          </w:rPr>
          <w:id w:val="1038556048"/>
          <w:citation/>
        </w:sdtPr>
        <w:sdtEndPr/>
        <w:sdtContent>
          <w:r w:rsidRPr="0086208C">
            <w:rPr>
              <w:shd w:val="clear" w:color="auto" w:fill="FFFFFF"/>
            </w:rPr>
            <w:fldChar w:fldCharType="begin"/>
          </w:r>
          <w:r w:rsidRPr="0086208C">
            <w:rPr>
              <w:shd w:val="clear" w:color="auto" w:fill="FFFFFF"/>
            </w:rPr>
            <w:instrText xml:space="preserve"> CITATION Nic162 \l 1033 </w:instrText>
          </w:r>
          <w:r w:rsidRPr="0086208C">
            <w:rPr>
              <w:shd w:val="clear" w:color="auto" w:fill="FFFFFF"/>
            </w:rPr>
            <w:fldChar w:fldCharType="separate"/>
          </w:r>
          <w:r w:rsidR="00235B8D" w:rsidRPr="00235B8D">
            <w:rPr>
              <w:noProof/>
              <w:shd w:val="clear" w:color="auto" w:fill="FFFFFF"/>
            </w:rPr>
            <w:t>(Nicolosi, 2016)</w:t>
          </w:r>
          <w:r w:rsidRPr="0086208C">
            <w:rPr>
              <w:shd w:val="clear" w:color="auto" w:fill="FFFFFF"/>
            </w:rPr>
            <w:fldChar w:fldCharType="end"/>
          </w:r>
        </w:sdtContent>
      </w:sdt>
      <w:r w:rsidRPr="0086208C">
        <w:rPr>
          <w:shd w:val="clear" w:color="auto" w:fill="FFFFFF"/>
        </w:rPr>
        <w:t xml:space="preserve">. Moreover, focusing on the genital factors of development deters professionals from focusing on other genetic factors or sociological factors as it is difficult to measure libido to predict human behaviour </w:t>
      </w:r>
      <w:sdt>
        <w:sdtPr>
          <w:rPr>
            <w:shd w:val="clear" w:color="auto" w:fill="FFFFFF"/>
          </w:rPr>
          <w:id w:val="-601956242"/>
          <w:citation/>
        </w:sdtPr>
        <w:sdtEndPr/>
        <w:sdtContent>
          <w:r w:rsidRPr="0086208C">
            <w:rPr>
              <w:shd w:val="clear" w:color="auto" w:fill="FFFFFF"/>
            </w:rPr>
            <w:fldChar w:fldCharType="begin"/>
          </w:r>
          <w:r w:rsidRPr="0086208C">
            <w:rPr>
              <w:shd w:val="clear" w:color="auto" w:fill="FFFFFF"/>
            </w:rPr>
            <w:instrText xml:space="preserve"> CITATION Wal201 \l 1033 </w:instrText>
          </w:r>
          <w:r w:rsidRPr="0086208C">
            <w:rPr>
              <w:shd w:val="clear" w:color="auto" w:fill="FFFFFF"/>
            </w:rPr>
            <w:fldChar w:fldCharType="separate"/>
          </w:r>
          <w:r w:rsidR="00235B8D" w:rsidRPr="00235B8D">
            <w:rPr>
              <w:noProof/>
              <w:shd w:val="clear" w:color="auto" w:fill="FFFFFF"/>
            </w:rPr>
            <w:t>(Walters, 2020)</w:t>
          </w:r>
          <w:r w:rsidRPr="0086208C">
            <w:rPr>
              <w:shd w:val="clear" w:color="auto" w:fill="FFFFFF"/>
            </w:rPr>
            <w:fldChar w:fldCharType="end"/>
          </w:r>
        </w:sdtContent>
      </w:sdt>
      <w:r w:rsidRPr="0086208C">
        <w:rPr>
          <w:shd w:val="clear" w:color="auto" w:fill="FFFFFF"/>
        </w:rPr>
        <w:t>.</w:t>
      </w:r>
      <w:r w:rsidR="008464A4">
        <w:rPr>
          <w:shd w:val="clear" w:color="auto" w:fill="FFFFFF"/>
        </w:rPr>
        <w:t xml:space="preserve"> </w:t>
      </w:r>
      <w:r w:rsidR="008464A4" w:rsidRPr="00AD6456">
        <w:rPr>
          <w:color w:val="000000" w:themeColor="text1"/>
          <w:shd w:val="clear" w:color="auto" w:fill="FFFFFF"/>
        </w:rPr>
        <w:t>It can be said that Freud sexualises childhood and therefore cannot be agreed upon.</w:t>
      </w:r>
    </w:p>
    <w:p w14:paraId="56812DD1" w14:textId="47CDFF28" w:rsidR="00EB11A8" w:rsidRDefault="00EB11A8" w:rsidP="00EB11A8">
      <w:pPr>
        <w:rPr>
          <w:color w:val="000000" w:themeColor="text1"/>
          <w:shd w:val="clear" w:color="auto" w:fill="FFFFFF"/>
        </w:rPr>
      </w:pPr>
      <w:r w:rsidRPr="0086208C">
        <w:rPr>
          <w:shd w:val="clear" w:color="auto" w:fill="FFFFFF"/>
        </w:rPr>
        <w:t xml:space="preserve">However, Freud’s belief that events experienced during childhood influences the personality and behaviour in adult life could be justified by the research conducted by </w:t>
      </w:r>
      <w:proofErr w:type="spellStart"/>
      <w:r w:rsidR="0086208C" w:rsidRPr="0086208C">
        <w:rPr>
          <w:shd w:val="clear" w:color="auto" w:fill="FFFFFF"/>
        </w:rPr>
        <w:t>Houtepen</w:t>
      </w:r>
      <w:proofErr w:type="spellEnd"/>
      <w:r w:rsidR="0086208C" w:rsidRPr="0086208C">
        <w:rPr>
          <w:shd w:val="clear" w:color="auto" w:fill="FFFFFF"/>
        </w:rPr>
        <w:t xml:space="preserve"> et al. (2020)</w:t>
      </w:r>
      <w:r w:rsidRPr="0086208C">
        <w:rPr>
          <w:shd w:val="clear" w:color="auto" w:fill="FFFFFF"/>
        </w:rPr>
        <w:t xml:space="preserve">, who noted a lower level of educational attainment, high risk of depression and substance abuse in people with Adverse Childhood Experience (ACEs) in the UK. Similarly, stable and protective childhood is found to be associated with resilience to health-harming behaviour among people in England </w:t>
      </w:r>
      <w:sdt>
        <w:sdtPr>
          <w:rPr>
            <w:shd w:val="clear" w:color="auto" w:fill="FFFFFF"/>
          </w:rPr>
          <w:id w:val="1705911162"/>
          <w:citation/>
        </w:sdtPr>
        <w:sdtEndPr/>
        <w:sdtContent>
          <w:r w:rsidRPr="0086208C">
            <w:rPr>
              <w:shd w:val="clear" w:color="auto" w:fill="FFFFFF"/>
            </w:rPr>
            <w:fldChar w:fldCharType="begin"/>
          </w:r>
          <w:r w:rsidRPr="0086208C">
            <w:rPr>
              <w:shd w:val="clear" w:color="auto" w:fill="FFFFFF"/>
            </w:rPr>
            <w:instrText xml:space="preserve"> CITATION Mar149 \l 1033 </w:instrText>
          </w:r>
          <w:r w:rsidRPr="0086208C">
            <w:rPr>
              <w:shd w:val="clear" w:color="auto" w:fill="FFFFFF"/>
            </w:rPr>
            <w:fldChar w:fldCharType="separate"/>
          </w:r>
          <w:r w:rsidR="00235B8D" w:rsidRPr="00235B8D">
            <w:rPr>
              <w:noProof/>
              <w:shd w:val="clear" w:color="auto" w:fill="FFFFFF"/>
            </w:rPr>
            <w:t>(Bellis, et al., 2014)</w:t>
          </w:r>
          <w:r w:rsidRPr="0086208C">
            <w:rPr>
              <w:shd w:val="clear" w:color="auto" w:fill="FFFFFF"/>
            </w:rPr>
            <w:fldChar w:fldCharType="end"/>
          </w:r>
        </w:sdtContent>
      </w:sdt>
      <w:r w:rsidRPr="0086208C">
        <w:rPr>
          <w:shd w:val="clear" w:color="auto" w:fill="FFFFFF"/>
        </w:rPr>
        <w:t xml:space="preserve">. Therefore, while Freud allows an in-depth overview of the mental health conditions it is noted that cause and effect of childhood experiences on adult life might be too long to always predict a relationship </w:t>
      </w:r>
      <w:sdt>
        <w:sdtPr>
          <w:rPr>
            <w:shd w:val="clear" w:color="auto" w:fill="FFFFFF"/>
          </w:rPr>
          <w:id w:val="1334494861"/>
          <w:citation/>
        </w:sdtPr>
        <w:sdtEndPr/>
        <w:sdtContent>
          <w:r w:rsidRPr="0086208C">
            <w:rPr>
              <w:shd w:val="clear" w:color="auto" w:fill="FFFFFF"/>
            </w:rPr>
            <w:fldChar w:fldCharType="begin"/>
          </w:r>
          <w:r w:rsidRPr="0086208C">
            <w:rPr>
              <w:shd w:val="clear" w:color="auto" w:fill="FFFFFF"/>
            </w:rPr>
            <w:instrText xml:space="preserve"> CITATION Ken202 \l 1033 </w:instrText>
          </w:r>
          <w:r w:rsidRPr="0086208C">
            <w:rPr>
              <w:shd w:val="clear" w:color="auto" w:fill="FFFFFF"/>
            </w:rPr>
            <w:fldChar w:fldCharType="separate"/>
          </w:r>
          <w:r w:rsidR="00235B8D" w:rsidRPr="00235B8D">
            <w:rPr>
              <w:noProof/>
              <w:shd w:val="clear" w:color="auto" w:fill="FFFFFF"/>
            </w:rPr>
            <w:t>(Cherry, 2020)</w:t>
          </w:r>
          <w:r w:rsidRPr="0086208C">
            <w:rPr>
              <w:shd w:val="clear" w:color="auto" w:fill="FFFFFF"/>
            </w:rPr>
            <w:fldChar w:fldCharType="end"/>
          </w:r>
        </w:sdtContent>
      </w:sdt>
      <w:r w:rsidRPr="0086208C">
        <w:rPr>
          <w:shd w:val="clear" w:color="auto" w:fill="FFFFFF"/>
        </w:rPr>
        <w:t>.</w:t>
      </w:r>
      <w:r w:rsidR="008464A4">
        <w:rPr>
          <w:shd w:val="clear" w:color="auto" w:fill="FFFFFF"/>
        </w:rPr>
        <w:t xml:space="preserve"> </w:t>
      </w:r>
      <w:r w:rsidR="008464A4" w:rsidRPr="00AD6456">
        <w:rPr>
          <w:color w:val="000000" w:themeColor="text1"/>
          <w:shd w:val="clear" w:color="auto" w:fill="FFFFFF"/>
        </w:rPr>
        <w:t xml:space="preserve">Thus, Freud’s theory cannot be agreed upon as it does pay attention to female development and is limited to scientific testing. </w:t>
      </w:r>
    </w:p>
    <w:p w14:paraId="44C26FE8" w14:textId="77777777" w:rsidR="00EF002E" w:rsidRPr="00AD6456" w:rsidRDefault="00EF002E" w:rsidP="00EB11A8">
      <w:pPr>
        <w:rPr>
          <w:color w:val="000000" w:themeColor="text1"/>
          <w:shd w:val="clear" w:color="auto" w:fill="FFFFFF"/>
        </w:rPr>
      </w:pPr>
    </w:p>
    <w:p w14:paraId="34C7976C" w14:textId="77777777" w:rsidR="007B37FD" w:rsidRPr="00EF002E" w:rsidRDefault="00990C84" w:rsidP="00423936">
      <w:pPr>
        <w:pStyle w:val="Heading1"/>
        <w:rPr>
          <w:rFonts w:ascii="Arial" w:hAnsi="Arial" w:cs="Arial"/>
          <w:color w:val="000000" w:themeColor="text1"/>
        </w:rPr>
      </w:pPr>
      <w:bookmarkStart w:id="2" w:name="_Toc80988027"/>
      <w:r w:rsidRPr="00EF002E">
        <w:rPr>
          <w:rFonts w:ascii="Arial" w:hAnsi="Arial" w:cs="Arial"/>
          <w:color w:val="000000" w:themeColor="text1"/>
        </w:rPr>
        <w:t>Ro</w:t>
      </w:r>
      <w:r w:rsidR="00766FBB" w:rsidRPr="00EF002E">
        <w:rPr>
          <w:rFonts w:ascii="Arial" w:hAnsi="Arial" w:cs="Arial"/>
          <w:color w:val="000000" w:themeColor="text1"/>
        </w:rPr>
        <w:t>le of health care practitioners</w:t>
      </w:r>
      <w:bookmarkEnd w:id="2"/>
    </w:p>
    <w:p w14:paraId="6808E4AC" w14:textId="10A04631" w:rsidR="00651637" w:rsidRPr="0086208C" w:rsidRDefault="00EB11A8" w:rsidP="00220B94">
      <w:r w:rsidRPr="0086208C">
        <w:t xml:space="preserve">Freud’s developmental theory can deemed as important in analysing human psychology and fixation to help practitioners and professionals in devising appropriate strategies for their development as well as the treatment of any mental health issue. Furthermore, understanding adolescent sexuality also has clinical, legal, social, cultural and educational implications that support the work of policymakers and professionals working in the field of social care </w:t>
      </w:r>
      <w:sdt>
        <w:sdtPr>
          <w:id w:val="457147352"/>
          <w:citation/>
        </w:sdtPr>
        <w:sdtEndPr/>
        <w:sdtContent>
          <w:r w:rsidRPr="0086208C">
            <w:fldChar w:fldCharType="begin"/>
          </w:r>
          <w:r w:rsidRPr="0086208C">
            <w:instrText xml:space="preserve"> CITATION Suj151 \l 1033 </w:instrText>
          </w:r>
          <w:r w:rsidRPr="0086208C">
            <w:fldChar w:fldCharType="separate"/>
          </w:r>
          <w:r w:rsidR="00235B8D" w:rsidRPr="00235B8D">
            <w:rPr>
              <w:noProof/>
            </w:rPr>
            <w:t>(Kar, et al., 2015)</w:t>
          </w:r>
          <w:r w:rsidRPr="0086208C">
            <w:fldChar w:fldCharType="end"/>
          </w:r>
        </w:sdtContent>
      </w:sdt>
      <w:r w:rsidRPr="0086208C">
        <w:t xml:space="preserve">. On the other hand, it also enables in assessing the risk and impact of abuse upon </w:t>
      </w:r>
      <w:r w:rsidRPr="0086208C">
        <w:lastRenderedPageBreak/>
        <w:t xml:space="preserve">children and their implications on adult life, thereby enabling formation of safeguarding and healthcare strategies to protect the people </w:t>
      </w:r>
      <w:sdt>
        <w:sdtPr>
          <w:id w:val="765113535"/>
          <w:citation/>
        </w:sdtPr>
        <w:sdtEndPr/>
        <w:sdtContent>
          <w:r w:rsidRPr="0086208C">
            <w:fldChar w:fldCharType="begin"/>
          </w:r>
          <w:r w:rsidRPr="0086208C">
            <w:instrText xml:space="preserve"> CITATION God181 \l 1033 </w:instrText>
          </w:r>
          <w:r w:rsidRPr="0086208C">
            <w:fldChar w:fldCharType="separate"/>
          </w:r>
          <w:r w:rsidR="00235B8D" w:rsidRPr="00235B8D">
            <w:rPr>
              <w:noProof/>
            </w:rPr>
            <w:t>(Godoi &amp; Fiamenghi-Jr, 2018)</w:t>
          </w:r>
          <w:r w:rsidRPr="0086208C">
            <w:fldChar w:fldCharType="end"/>
          </w:r>
        </w:sdtContent>
      </w:sdt>
      <w:r w:rsidRPr="0086208C">
        <w:t xml:space="preserve">. </w:t>
      </w:r>
      <w:r w:rsidR="00D77533" w:rsidRPr="0086208C">
        <w:rPr>
          <w:rFonts w:cs="Arial"/>
          <w:shd w:val="clear" w:color="auto" w:fill="FFFFFF"/>
        </w:rPr>
        <w:t xml:space="preserve">Healthcare practitioners are considered to play a central and critical role in enhancing the quality and accessibility of healthcare services for the population. </w:t>
      </w:r>
      <w:sdt>
        <w:sdtPr>
          <w:rPr>
            <w:rFonts w:cs="Arial"/>
            <w:shd w:val="clear" w:color="auto" w:fill="FFFFFF"/>
          </w:rPr>
          <w:id w:val="-1133225"/>
          <w:citation/>
        </w:sdtPr>
        <w:sdtEndPr/>
        <w:sdtContent>
          <w:r w:rsidR="0032455C" w:rsidRPr="0086208C">
            <w:rPr>
              <w:rFonts w:cs="Arial"/>
              <w:shd w:val="clear" w:color="auto" w:fill="FFFFFF"/>
            </w:rPr>
            <w:fldChar w:fldCharType="begin"/>
          </w:r>
          <w:r w:rsidR="0032455C" w:rsidRPr="0086208C">
            <w:rPr>
              <w:rFonts w:cs="Arial"/>
              <w:shd w:val="clear" w:color="auto" w:fill="FFFFFF"/>
            </w:rPr>
            <w:instrText xml:space="preserve"> CITATION Zen111 \l 1033 </w:instrText>
          </w:r>
          <w:r w:rsidR="0032455C" w:rsidRPr="0086208C">
            <w:rPr>
              <w:rFonts w:cs="Arial"/>
              <w:shd w:val="clear" w:color="auto" w:fill="FFFFFF"/>
            </w:rPr>
            <w:fldChar w:fldCharType="separate"/>
          </w:r>
          <w:r w:rsidR="00235B8D" w:rsidRPr="00235B8D">
            <w:rPr>
              <w:rFonts w:cs="Arial"/>
              <w:noProof/>
              <w:shd w:val="clear" w:color="auto" w:fill="FFFFFF"/>
            </w:rPr>
            <w:t>(Zenzano, et al., 2011)</w:t>
          </w:r>
          <w:r w:rsidR="0032455C" w:rsidRPr="0086208C">
            <w:rPr>
              <w:rFonts w:cs="Arial"/>
              <w:shd w:val="clear" w:color="auto" w:fill="FFFFFF"/>
            </w:rPr>
            <w:fldChar w:fldCharType="end"/>
          </w:r>
        </w:sdtContent>
      </w:sdt>
      <w:r w:rsidR="00D77533" w:rsidRPr="0086208C">
        <w:rPr>
          <w:rFonts w:cs="Arial"/>
          <w:shd w:val="clear" w:color="auto" w:fill="FFFFFF"/>
        </w:rPr>
        <w:t xml:space="preserve">. </w:t>
      </w:r>
      <w:r w:rsidR="0032455C" w:rsidRPr="0086208C">
        <w:rPr>
          <w:rFonts w:cs="Arial"/>
          <w:shd w:val="clear" w:color="auto" w:fill="FFFFFF"/>
        </w:rPr>
        <w:t xml:space="preserve">According to </w:t>
      </w:r>
      <w:proofErr w:type="spellStart"/>
      <w:r w:rsidR="00DE4E0B" w:rsidRPr="0086208C">
        <w:rPr>
          <w:rFonts w:cs="Arial"/>
          <w:shd w:val="clear" w:color="auto" w:fill="FFFFFF"/>
        </w:rPr>
        <w:t>Regmi</w:t>
      </w:r>
      <w:proofErr w:type="spellEnd"/>
      <w:r w:rsidR="00DE4E0B" w:rsidRPr="0086208C">
        <w:rPr>
          <w:rFonts w:cs="Arial"/>
          <w:shd w:val="clear" w:color="auto" w:fill="FFFFFF"/>
        </w:rPr>
        <w:t xml:space="preserve"> (2012)</w:t>
      </w:r>
      <w:r w:rsidR="00556766" w:rsidRPr="0086208C">
        <w:rPr>
          <w:rFonts w:cs="Arial"/>
          <w:shd w:val="clear" w:color="auto" w:fill="FFFFFF"/>
        </w:rPr>
        <w:t xml:space="preserve">, the healthcare practitioners have critical responsibilities towards the lives of the population in terms of providing preventive medication to the patients, preventing the spread of the diseases, educating the patients and their families about the prevention, cures and other healthcare tips and disseminating information about leading a healthy life. </w:t>
      </w:r>
    </w:p>
    <w:p w14:paraId="38397D8A" w14:textId="5D57F215" w:rsidR="00651637" w:rsidRPr="0086208C" w:rsidRDefault="00154F4A" w:rsidP="00220B94">
      <w:pPr>
        <w:rPr>
          <w:rFonts w:cs="Arial"/>
          <w:shd w:val="clear" w:color="auto" w:fill="FFFFFF"/>
        </w:rPr>
      </w:pPr>
      <w:r w:rsidRPr="0086208C">
        <w:rPr>
          <w:rFonts w:cs="Arial"/>
          <w:shd w:val="clear" w:color="auto" w:fill="FFFFFF"/>
        </w:rPr>
        <w:t xml:space="preserve">Considering the job role of a support worker, it is important to note that </w:t>
      </w:r>
      <w:r w:rsidR="0070190E" w:rsidRPr="0086208C">
        <w:rPr>
          <w:rFonts w:cs="Arial"/>
          <w:shd w:val="clear" w:color="auto" w:fill="FFFFFF"/>
        </w:rPr>
        <w:t xml:space="preserve">a </w:t>
      </w:r>
      <w:r w:rsidRPr="0086208C">
        <w:rPr>
          <w:rFonts w:cs="Arial"/>
          <w:shd w:val="clear" w:color="auto" w:fill="FFFFFF"/>
        </w:rPr>
        <w:t>support worker helps people living with physical disabilities and mental health needs to independently live their lives. The support worker supports the patients to reach their potential through the provision of physical and emotional support. With varying roles, support worker helps the service users in carrying out their daily activities of care</w:t>
      </w:r>
      <w:r w:rsidR="0075654C" w:rsidRPr="0086208C">
        <w:rPr>
          <w:rFonts w:cs="Arial"/>
          <w:shd w:val="clear" w:color="auto" w:fill="FFFFFF"/>
        </w:rPr>
        <w:t xml:space="preserve"> such as household tasks and personal care</w:t>
      </w:r>
      <w:r w:rsidRPr="0086208C">
        <w:rPr>
          <w:rFonts w:cs="Arial"/>
          <w:shd w:val="clear" w:color="auto" w:fill="FFFFFF"/>
        </w:rPr>
        <w:t xml:space="preserve">, providing emotional support, teaching new skills </w:t>
      </w:r>
      <w:r w:rsidR="0075654C" w:rsidRPr="0086208C">
        <w:rPr>
          <w:rFonts w:cs="Arial"/>
          <w:shd w:val="clear" w:color="auto" w:fill="FFFFFF"/>
        </w:rPr>
        <w:t xml:space="preserve">such as paying for bills, shopping and using public transport </w:t>
      </w:r>
      <w:r w:rsidRPr="0086208C">
        <w:rPr>
          <w:rFonts w:cs="Arial"/>
          <w:shd w:val="clear" w:color="auto" w:fill="FFFFFF"/>
        </w:rPr>
        <w:t>and delivering supported living services to the service users</w:t>
      </w:r>
      <w:r w:rsidR="00CC4D62" w:rsidRPr="0086208C">
        <w:rPr>
          <w:rFonts w:cs="Arial"/>
          <w:shd w:val="clear" w:color="auto" w:fill="FFFFFF"/>
        </w:rPr>
        <w:t xml:space="preserve"> </w:t>
      </w:r>
      <w:sdt>
        <w:sdtPr>
          <w:rPr>
            <w:rFonts w:cs="Arial"/>
            <w:shd w:val="clear" w:color="auto" w:fill="FFFFFF"/>
          </w:rPr>
          <w:id w:val="-892967543"/>
          <w:citation/>
        </w:sdtPr>
        <w:sdtEndPr/>
        <w:sdtContent>
          <w:r w:rsidR="00CC4D62" w:rsidRPr="0086208C">
            <w:rPr>
              <w:rFonts w:cs="Arial"/>
              <w:shd w:val="clear" w:color="auto" w:fill="FFFFFF"/>
            </w:rPr>
            <w:fldChar w:fldCharType="begin"/>
          </w:r>
          <w:r w:rsidR="00CC4D62" w:rsidRPr="0086208C">
            <w:rPr>
              <w:rFonts w:cs="Arial"/>
              <w:shd w:val="clear" w:color="auto" w:fill="FFFFFF"/>
            </w:rPr>
            <w:instrText xml:space="preserve"> CITATION Kil171 \l 1033 </w:instrText>
          </w:r>
          <w:r w:rsidR="00CC4D62" w:rsidRPr="0086208C">
            <w:rPr>
              <w:rFonts w:cs="Arial"/>
              <w:shd w:val="clear" w:color="auto" w:fill="FFFFFF"/>
            </w:rPr>
            <w:fldChar w:fldCharType="separate"/>
          </w:r>
          <w:r w:rsidR="00235B8D" w:rsidRPr="00235B8D">
            <w:rPr>
              <w:rFonts w:cs="Arial"/>
              <w:noProof/>
              <w:shd w:val="clear" w:color="auto" w:fill="FFFFFF"/>
            </w:rPr>
            <w:t>(Kilpatrick, et al., 2017)</w:t>
          </w:r>
          <w:r w:rsidR="00CC4D62" w:rsidRPr="0086208C">
            <w:rPr>
              <w:rFonts w:cs="Arial"/>
              <w:shd w:val="clear" w:color="auto" w:fill="FFFFFF"/>
            </w:rPr>
            <w:fldChar w:fldCharType="end"/>
          </w:r>
        </w:sdtContent>
      </w:sdt>
      <w:r w:rsidRPr="0086208C">
        <w:rPr>
          <w:rFonts w:cs="Arial"/>
          <w:shd w:val="clear" w:color="auto" w:fill="FFFFFF"/>
        </w:rPr>
        <w:t xml:space="preserve">. </w:t>
      </w:r>
    </w:p>
    <w:p w14:paraId="1091F5EC" w14:textId="4CE4929A" w:rsidR="00EC07FB" w:rsidRPr="0086208C" w:rsidRDefault="001136BE" w:rsidP="00220B94">
      <w:pPr>
        <w:rPr>
          <w:rFonts w:cs="Arial"/>
        </w:rPr>
      </w:pPr>
      <w:r w:rsidRPr="0086208C">
        <w:rPr>
          <w:rFonts w:cs="Arial"/>
          <w:shd w:val="clear" w:color="auto" w:fill="FFFFFF"/>
        </w:rPr>
        <w:t xml:space="preserve">Applying Freud’s psychosexual stages theory of development, it offers </w:t>
      </w:r>
      <w:r w:rsidR="0070190E" w:rsidRPr="0086208C">
        <w:rPr>
          <w:rFonts w:cs="Arial"/>
          <w:shd w:val="clear" w:color="auto" w:fill="FFFFFF"/>
        </w:rPr>
        <w:t xml:space="preserve">a </w:t>
      </w:r>
      <w:r w:rsidRPr="0086208C">
        <w:rPr>
          <w:rFonts w:cs="Arial"/>
          <w:shd w:val="clear" w:color="auto" w:fill="FFFFFF"/>
        </w:rPr>
        <w:t xml:space="preserve">conceptualisation of the way the personality is structured from childhood and that how the elements of the personality function. </w:t>
      </w:r>
      <w:r w:rsidR="002F2E10" w:rsidRPr="0086208C">
        <w:rPr>
          <w:rFonts w:cs="Arial"/>
          <w:shd w:val="clear" w:color="auto" w:fill="FFFFFF"/>
        </w:rPr>
        <w:t>In this regard, the role of the support worker is to embark on this theory to balance the dynamic interaction of the id, ego and superego to analyse the personality of the service user</w:t>
      </w:r>
      <w:r w:rsidR="00CB4026" w:rsidRPr="0086208C">
        <w:rPr>
          <w:rFonts w:cs="Arial"/>
          <w:shd w:val="clear" w:color="auto" w:fill="FFFFFF"/>
        </w:rPr>
        <w:t xml:space="preserve"> </w:t>
      </w:r>
      <w:sdt>
        <w:sdtPr>
          <w:rPr>
            <w:rFonts w:cs="Arial"/>
            <w:shd w:val="clear" w:color="auto" w:fill="FFFFFF"/>
          </w:rPr>
          <w:id w:val="1237743067"/>
          <w:citation/>
        </w:sdtPr>
        <w:sdtEndPr/>
        <w:sdtContent>
          <w:r w:rsidR="00CB4026" w:rsidRPr="0086208C">
            <w:rPr>
              <w:rFonts w:cs="Arial"/>
              <w:shd w:val="clear" w:color="auto" w:fill="FFFFFF"/>
            </w:rPr>
            <w:fldChar w:fldCharType="begin"/>
          </w:r>
          <w:r w:rsidR="00CB4026" w:rsidRPr="0086208C">
            <w:rPr>
              <w:rFonts w:cs="Arial"/>
              <w:shd w:val="clear" w:color="auto" w:fill="FFFFFF"/>
            </w:rPr>
            <w:instrText xml:space="preserve"> CITATION Fro131 \l 1033 </w:instrText>
          </w:r>
          <w:r w:rsidR="00CB4026" w:rsidRPr="0086208C">
            <w:rPr>
              <w:rFonts w:cs="Arial"/>
              <w:shd w:val="clear" w:color="auto" w:fill="FFFFFF"/>
            </w:rPr>
            <w:fldChar w:fldCharType="separate"/>
          </w:r>
          <w:r w:rsidR="00235B8D" w:rsidRPr="00235B8D">
            <w:rPr>
              <w:rFonts w:cs="Arial"/>
              <w:noProof/>
              <w:shd w:val="clear" w:color="auto" w:fill="FFFFFF"/>
            </w:rPr>
            <w:t>(Fromm, 2013)</w:t>
          </w:r>
          <w:r w:rsidR="00CB4026" w:rsidRPr="0086208C">
            <w:rPr>
              <w:rFonts w:cs="Arial"/>
              <w:shd w:val="clear" w:color="auto" w:fill="FFFFFF"/>
            </w:rPr>
            <w:fldChar w:fldCharType="end"/>
          </w:r>
        </w:sdtContent>
      </w:sdt>
      <w:r w:rsidR="002F2E10" w:rsidRPr="0086208C">
        <w:rPr>
          <w:rFonts w:cs="Arial"/>
          <w:shd w:val="clear" w:color="auto" w:fill="FFFFFF"/>
        </w:rPr>
        <w:t xml:space="preserve">. </w:t>
      </w:r>
      <w:r w:rsidR="00571E36" w:rsidRPr="0086208C">
        <w:rPr>
          <w:rFonts w:cs="Arial"/>
          <w:shd w:val="clear" w:color="auto" w:fill="FFFFFF"/>
        </w:rPr>
        <w:t>The five distinct psychosexual stages of development are crucial for the support worker to derive the unconscious psychological conflicts of the service users that shape their behaviour and personality. In this regard, the support worker could use various techniques such as encouraging the service user to develop insights about their behaviour and offering them relaxation train</w:t>
      </w:r>
      <w:r w:rsidR="00322747" w:rsidRPr="0086208C">
        <w:rPr>
          <w:rFonts w:cs="Arial"/>
          <w:shd w:val="clear" w:color="auto" w:fill="FFFFFF"/>
        </w:rPr>
        <w:t>ing and social skills training to support t</w:t>
      </w:r>
      <w:r w:rsidR="003340E2" w:rsidRPr="0086208C">
        <w:rPr>
          <w:rFonts w:cs="Arial"/>
          <w:shd w:val="clear" w:color="auto" w:fill="FFFFFF"/>
        </w:rPr>
        <w:t>he wellbeing of the individuals</w:t>
      </w:r>
      <w:r w:rsidR="00CB4026" w:rsidRPr="0086208C">
        <w:rPr>
          <w:rFonts w:cs="Arial"/>
          <w:shd w:val="clear" w:color="auto" w:fill="FFFFFF"/>
        </w:rPr>
        <w:t xml:space="preserve"> </w:t>
      </w:r>
      <w:sdt>
        <w:sdtPr>
          <w:rPr>
            <w:rFonts w:cs="Arial"/>
            <w:shd w:val="clear" w:color="auto" w:fill="FFFFFF"/>
          </w:rPr>
          <w:id w:val="-1003122264"/>
          <w:citation/>
        </w:sdtPr>
        <w:sdtEndPr/>
        <w:sdtContent>
          <w:r w:rsidR="00CB4026" w:rsidRPr="0086208C">
            <w:rPr>
              <w:rFonts w:cs="Arial"/>
              <w:shd w:val="clear" w:color="auto" w:fill="FFFFFF"/>
            </w:rPr>
            <w:fldChar w:fldCharType="begin"/>
          </w:r>
          <w:r w:rsidR="00CB4026" w:rsidRPr="0086208C">
            <w:rPr>
              <w:rFonts w:cs="Arial"/>
              <w:shd w:val="clear" w:color="auto" w:fill="FFFFFF"/>
            </w:rPr>
            <w:instrText xml:space="preserve"> CITATION DeS11 \l 1033 </w:instrText>
          </w:r>
          <w:r w:rsidR="00CB4026" w:rsidRPr="0086208C">
            <w:rPr>
              <w:rFonts w:cs="Arial"/>
              <w:shd w:val="clear" w:color="auto" w:fill="FFFFFF"/>
            </w:rPr>
            <w:fldChar w:fldCharType="separate"/>
          </w:r>
          <w:r w:rsidR="00235B8D" w:rsidRPr="00235B8D">
            <w:rPr>
              <w:rFonts w:cs="Arial"/>
              <w:noProof/>
              <w:shd w:val="clear" w:color="auto" w:fill="FFFFFF"/>
            </w:rPr>
            <w:t>(De Sousa, 2011)</w:t>
          </w:r>
          <w:r w:rsidR="00CB4026" w:rsidRPr="0086208C">
            <w:rPr>
              <w:rFonts w:cs="Arial"/>
              <w:shd w:val="clear" w:color="auto" w:fill="FFFFFF"/>
            </w:rPr>
            <w:fldChar w:fldCharType="end"/>
          </w:r>
        </w:sdtContent>
      </w:sdt>
      <w:r w:rsidR="003340E2" w:rsidRPr="0086208C">
        <w:rPr>
          <w:rFonts w:cs="Arial"/>
          <w:shd w:val="clear" w:color="auto" w:fill="FFFFFF"/>
        </w:rPr>
        <w:t xml:space="preserve">. </w:t>
      </w:r>
    </w:p>
    <w:p w14:paraId="4A940998" w14:textId="77777777" w:rsidR="00375F20" w:rsidRPr="00EF002E" w:rsidRDefault="00990C84" w:rsidP="008C549A">
      <w:pPr>
        <w:pStyle w:val="Heading1"/>
        <w:rPr>
          <w:rFonts w:ascii="Arial" w:hAnsi="Arial" w:cs="Arial"/>
          <w:color w:val="000000" w:themeColor="text1"/>
        </w:rPr>
      </w:pPr>
      <w:bookmarkStart w:id="3" w:name="_Toc80988028"/>
      <w:r w:rsidRPr="00EF002E">
        <w:rPr>
          <w:rFonts w:ascii="Arial" w:hAnsi="Arial" w:cs="Arial"/>
          <w:color w:val="000000" w:themeColor="text1"/>
        </w:rPr>
        <w:t>Reflection</w:t>
      </w:r>
      <w:bookmarkEnd w:id="3"/>
    </w:p>
    <w:p w14:paraId="2C40E22A" w14:textId="21849299" w:rsidR="00D853DA" w:rsidRPr="0086208C" w:rsidRDefault="00D853DA" w:rsidP="00D853DA">
      <w:pPr>
        <w:rPr>
          <w:rFonts w:cs="Arial"/>
        </w:rPr>
      </w:pPr>
      <w:r w:rsidRPr="0086208C">
        <w:rPr>
          <w:rFonts w:cs="Arial"/>
        </w:rPr>
        <w:t xml:space="preserve">Mental health practitioners are regarded as individuals responsible for offering support and care services to adults and children undergoing emotional disturbances and difficulties to lead a healthy life. To become a mental health practitioner, an individual must possess graduate or postgraduate diploma training course and training to work with children in case of offering mental health support to children in the care setting. Reflecting on the role of the mental health </w:t>
      </w:r>
      <w:r w:rsidRPr="0086208C">
        <w:rPr>
          <w:rFonts w:cs="Arial"/>
        </w:rPr>
        <w:lastRenderedPageBreak/>
        <w:t xml:space="preserve">practitioner, it is also important to understand the different arenas of mental health such as psychology, psychiatry, psychotherapy, psychoanalysis and mental health </w:t>
      </w:r>
      <w:r w:rsidR="0086208C" w:rsidRPr="0086208C">
        <w:rPr>
          <w:rFonts w:cs="Arial"/>
        </w:rPr>
        <w:t>counselling</w:t>
      </w:r>
      <w:r w:rsidRPr="0086208C">
        <w:rPr>
          <w:rFonts w:cs="Arial"/>
        </w:rPr>
        <w:t xml:space="preserve"> </w:t>
      </w:r>
      <w:sdt>
        <w:sdtPr>
          <w:rPr>
            <w:rFonts w:cs="Arial"/>
          </w:rPr>
          <w:id w:val="-814259777"/>
          <w:citation/>
        </w:sdtPr>
        <w:sdtEndPr/>
        <w:sdtContent>
          <w:r w:rsidRPr="0086208C">
            <w:rPr>
              <w:rFonts w:cs="Arial"/>
            </w:rPr>
            <w:fldChar w:fldCharType="begin"/>
          </w:r>
          <w:r w:rsidRPr="0086208C">
            <w:rPr>
              <w:rFonts w:cs="Arial"/>
            </w:rPr>
            <w:instrText xml:space="preserve"> CITATION Kra171 \l 1033 </w:instrText>
          </w:r>
          <w:r w:rsidRPr="0086208C">
            <w:rPr>
              <w:rFonts w:cs="Arial"/>
            </w:rPr>
            <w:fldChar w:fldCharType="separate"/>
          </w:r>
          <w:r w:rsidR="00235B8D" w:rsidRPr="00235B8D">
            <w:rPr>
              <w:rFonts w:cs="Arial"/>
              <w:noProof/>
            </w:rPr>
            <w:t>(Krans, 2017)</w:t>
          </w:r>
          <w:r w:rsidRPr="0086208C">
            <w:rPr>
              <w:rFonts w:cs="Arial"/>
            </w:rPr>
            <w:fldChar w:fldCharType="end"/>
          </w:r>
        </w:sdtContent>
      </w:sdt>
      <w:r w:rsidRPr="0086208C">
        <w:rPr>
          <w:rFonts w:cs="Arial"/>
        </w:rPr>
        <w:t xml:space="preserve">. </w:t>
      </w:r>
    </w:p>
    <w:p w14:paraId="503125D8" w14:textId="5622425E" w:rsidR="00D853DA" w:rsidRDefault="00D853DA" w:rsidP="00D853DA">
      <w:pPr>
        <w:rPr>
          <w:rFonts w:cs="Arial"/>
        </w:rPr>
      </w:pPr>
      <w:r w:rsidRPr="0086208C">
        <w:rPr>
          <w:rFonts w:cs="Arial"/>
        </w:rPr>
        <w:t xml:space="preserve">Reflecting on the skills and competencies, mental health practitioners need to possess good listening skills, effective communication skills to interact with patients and family members, problem-solving and decision-making skills, critical thinking and people skills. While working with mental health patients, practitioners also need to be empathetic, emotionally intelligent and compassionate to connect with patients and make them feel comfortable </w:t>
      </w:r>
      <w:sdt>
        <w:sdtPr>
          <w:rPr>
            <w:rFonts w:cs="Arial"/>
          </w:rPr>
          <w:id w:val="1141231560"/>
          <w:citation/>
        </w:sdtPr>
        <w:sdtEndPr/>
        <w:sdtContent>
          <w:r w:rsidRPr="0086208C">
            <w:rPr>
              <w:rFonts w:cs="Arial"/>
            </w:rPr>
            <w:fldChar w:fldCharType="begin"/>
          </w:r>
          <w:r w:rsidRPr="0086208C">
            <w:rPr>
              <w:rFonts w:cs="Arial"/>
            </w:rPr>
            <w:instrText xml:space="preserve"> CITATION NHS217 \l 1033 </w:instrText>
          </w:r>
          <w:r w:rsidRPr="0086208C">
            <w:rPr>
              <w:rFonts w:cs="Arial"/>
            </w:rPr>
            <w:fldChar w:fldCharType="separate"/>
          </w:r>
          <w:r w:rsidR="00235B8D" w:rsidRPr="00235B8D">
            <w:rPr>
              <w:rFonts w:cs="Arial"/>
              <w:noProof/>
            </w:rPr>
            <w:t>(NHS, 2021)</w:t>
          </w:r>
          <w:r w:rsidRPr="0086208C">
            <w:rPr>
              <w:rFonts w:cs="Arial"/>
            </w:rPr>
            <w:fldChar w:fldCharType="end"/>
          </w:r>
        </w:sdtContent>
      </w:sdt>
      <w:r w:rsidRPr="0086208C">
        <w:rPr>
          <w:rFonts w:cs="Arial"/>
        </w:rPr>
        <w:t xml:space="preserve">. Significantly, the concept of laws and regulations play an important role in improving the quality of delivery of health care services to the general population group. Thereby, it becomes important on the part of the mental health practitioners to be aware of the mental health legislations practiced in the UK such as Mental Health Act 1983, Mental Health Act 2007 and NMC Competency Framework </w:t>
      </w:r>
      <w:sdt>
        <w:sdtPr>
          <w:rPr>
            <w:rFonts w:cs="Arial"/>
          </w:rPr>
          <w:id w:val="-860665834"/>
          <w:citation/>
        </w:sdtPr>
        <w:sdtEndPr/>
        <w:sdtContent>
          <w:r w:rsidRPr="0086208C">
            <w:rPr>
              <w:rFonts w:cs="Arial"/>
            </w:rPr>
            <w:fldChar w:fldCharType="begin"/>
          </w:r>
          <w:r w:rsidRPr="0086208C">
            <w:rPr>
              <w:rFonts w:cs="Arial"/>
            </w:rPr>
            <w:instrText xml:space="preserve"> CITATION UKG213 \l 1033 </w:instrText>
          </w:r>
          <w:r w:rsidRPr="0086208C">
            <w:rPr>
              <w:rFonts w:cs="Arial"/>
            </w:rPr>
            <w:fldChar w:fldCharType="separate"/>
          </w:r>
          <w:r w:rsidR="00235B8D" w:rsidRPr="00235B8D">
            <w:rPr>
              <w:rFonts w:cs="Arial"/>
              <w:noProof/>
            </w:rPr>
            <w:t>(UK Government, 2021)</w:t>
          </w:r>
          <w:r w:rsidRPr="0086208C">
            <w:rPr>
              <w:rFonts w:cs="Arial"/>
            </w:rPr>
            <w:fldChar w:fldCharType="end"/>
          </w:r>
        </w:sdtContent>
      </w:sdt>
      <w:r w:rsidRPr="0086208C">
        <w:rPr>
          <w:rFonts w:cs="Arial"/>
        </w:rPr>
        <w:t xml:space="preserve">. In order to become mental health practitioner in the UK, it is necessary to abide by the guidelines of the Mental Health Act to ensure correct assessment, treatment and rights of mental health patients are taken care of to protect them from harming themselves. Reflecting on numerous theoretical concepts, mental health practitioners must abide by theories such as Freud’s Theory &amp; Development Stages in Childhood and Bowlby’s Attachment Theory etc </w:t>
      </w:r>
      <w:sdt>
        <w:sdtPr>
          <w:rPr>
            <w:rFonts w:cs="Arial"/>
          </w:rPr>
          <w:id w:val="-68890609"/>
          <w:citation/>
        </w:sdtPr>
        <w:sdtEndPr/>
        <w:sdtContent>
          <w:r w:rsidRPr="0086208C">
            <w:rPr>
              <w:rFonts w:cs="Arial"/>
            </w:rPr>
            <w:fldChar w:fldCharType="begin"/>
          </w:r>
          <w:r w:rsidRPr="0086208C">
            <w:rPr>
              <w:rFonts w:cs="Arial"/>
            </w:rPr>
            <w:instrText xml:space="preserve"> CITATION Wil191 \l 1033 </w:instrText>
          </w:r>
          <w:r w:rsidRPr="0086208C">
            <w:rPr>
              <w:rFonts w:cs="Arial"/>
            </w:rPr>
            <w:fldChar w:fldCharType="separate"/>
          </w:r>
          <w:r w:rsidR="00235B8D" w:rsidRPr="00235B8D">
            <w:rPr>
              <w:rFonts w:cs="Arial"/>
              <w:noProof/>
            </w:rPr>
            <w:t>(Wilson-Ali, et al., 2019)</w:t>
          </w:r>
          <w:r w:rsidRPr="0086208C">
            <w:rPr>
              <w:rFonts w:cs="Arial"/>
            </w:rPr>
            <w:fldChar w:fldCharType="end"/>
          </w:r>
        </w:sdtContent>
      </w:sdt>
      <w:r w:rsidRPr="0086208C">
        <w:rPr>
          <w:rFonts w:cs="Arial"/>
        </w:rPr>
        <w:t xml:space="preserve">. The application of both the above-mentioned theories can prove to be effective for mental health practitioners in terms of understanding the history of the patient and access cognitive development. Mental health practitioners can make use of Bowlby’s theory to understand and explain child’s interaction with the adult and thereby influence subsequent development. The mental health practitioners through the theories would be able to develop relevant strategies to help children and adults to reduce the impact of mental illness.  </w:t>
      </w:r>
    </w:p>
    <w:p w14:paraId="7B58FD2A" w14:textId="03458618" w:rsidR="00AD6456" w:rsidRDefault="00AD6456" w:rsidP="00D853DA">
      <w:pPr>
        <w:rPr>
          <w:rFonts w:cs="Arial"/>
        </w:rPr>
      </w:pPr>
    </w:p>
    <w:p w14:paraId="1D35EE0F" w14:textId="6FDE0491" w:rsidR="00AD6456" w:rsidRDefault="00AD6456" w:rsidP="00D853DA">
      <w:pPr>
        <w:rPr>
          <w:rFonts w:cs="Arial"/>
        </w:rPr>
      </w:pPr>
    </w:p>
    <w:p w14:paraId="33622E48" w14:textId="4B0B576C" w:rsidR="00AD6456" w:rsidRDefault="00AD6456" w:rsidP="00D853DA">
      <w:pPr>
        <w:rPr>
          <w:rFonts w:cs="Arial"/>
        </w:rPr>
      </w:pPr>
    </w:p>
    <w:p w14:paraId="0D25ADE4" w14:textId="11F10B57" w:rsidR="00AD6456" w:rsidRDefault="00AD6456" w:rsidP="00D853DA">
      <w:pPr>
        <w:rPr>
          <w:rFonts w:cs="Arial"/>
        </w:rPr>
      </w:pPr>
    </w:p>
    <w:p w14:paraId="674CD255" w14:textId="036F1FAA" w:rsidR="00AD6456" w:rsidRDefault="00AD6456" w:rsidP="00D853DA">
      <w:pPr>
        <w:rPr>
          <w:rFonts w:cs="Arial"/>
        </w:rPr>
      </w:pPr>
    </w:p>
    <w:p w14:paraId="591E642B" w14:textId="77777777" w:rsidR="00AD6456" w:rsidRPr="0086208C" w:rsidRDefault="00AD6456" w:rsidP="00D853DA">
      <w:pPr>
        <w:rPr>
          <w:rFonts w:cs="Arial"/>
        </w:rPr>
      </w:pPr>
    </w:p>
    <w:p w14:paraId="0885BF57" w14:textId="77777777" w:rsidR="00C94A6F" w:rsidRPr="00EF002E" w:rsidRDefault="00C94A6F" w:rsidP="00DE5395">
      <w:pPr>
        <w:pStyle w:val="Heading1"/>
        <w:rPr>
          <w:rFonts w:ascii="Arial" w:hAnsi="Arial" w:cs="Arial"/>
          <w:color w:val="000000" w:themeColor="text1"/>
        </w:rPr>
      </w:pPr>
      <w:bookmarkStart w:id="4" w:name="_Toc80988029"/>
      <w:r w:rsidRPr="00EF002E">
        <w:rPr>
          <w:rFonts w:ascii="Arial" w:hAnsi="Arial" w:cs="Arial"/>
          <w:color w:val="000000" w:themeColor="text1"/>
        </w:rPr>
        <w:lastRenderedPageBreak/>
        <w:t>Conclusion</w:t>
      </w:r>
      <w:bookmarkEnd w:id="4"/>
    </w:p>
    <w:p w14:paraId="0E0A275A" w14:textId="77777777" w:rsidR="00D853DA" w:rsidRPr="0086208C" w:rsidRDefault="0086208C" w:rsidP="00D853DA">
      <w:r w:rsidRPr="0086208C">
        <w:t xml:space="preserve">As per Freud’s psychosexual development theory, human personality and adult life is influenced by their conscious and unconscious mind as well as childhood experiences and events. Therefore, an understanding of these influencing factors and roles can enable in implementing effective health and social care strategies for people in need. </w:t>
      </w:r>
      <w:r w:rsidR="00D853DA" w:rsidRPr="0086208C">
        <w:rPr>
          <w:rFonts w:cs="Arial"/>
        </w:rPr>
        <w:t xml:space="preserve">Mental health practitioners and support workers need to be active in terms of applying relevant theories and legislations such as the Mental Health Act and NMC guidelines to offer emotional, physical and mental support to children and adults suffering from mental illness. </w:t>
      </w:r>
    </w:p>
    <w:p w14:paraId="36946AC2" w14:textId="77777777" w:rsidR="00F47490" w:rsidRPr="0086208C" w:rsidRDefault="00F47490">
      <w:r w:rsidRPr="0086208C">
        <w:br w:type="page"/>
      </w:r>
    </w:p>
    <w:bookmarkStart w:id="5" w:name="_Toc80988030" w:displacedByCustomXml="next"/>
    <w:sdt>
      <w:sdtPr>
        <w:rPr>
          <w:rFonts w:asciiTheme="minorHAnsi" w:eastAsiaTheme="minorHAnsi" w:hAnsiTheme="minorHAnsi" w:cstheme="minorBidi"/>
          <w:b w:val="0"/>
          <w:bCs w:val="0"/>
          <w:color w:val="auto"/>
          <w:sz w:val="22"/>
          <w:szCs w:val="22"/>
        </w:rPr>
        <w:id w:val="832264102"/>
        <w:docPartObj>
          <w:docPartGallery w:val="Bibliographies"/>
          <w:docPartUnique/>
        </w:docPartObj>
      </w:sdtPr>
      <w:sdtEndPr>
        <w:rPr>
          <w:rFonts w:ascii="Arial" w:hAnsi="Arial"/>
        </w:rPr>
      </w:sdtEndPr>
      <w:sdtContent>
        <w:p w14:paraId="76D05DC1" w14:textId="77777777" w:rsidR="00F47490" w:rsidRPr="00EF002E" w:rsidRDefault="00F47490">
          <w:pPr>
            <w:pStyle w:val="Heading1"/>
            <w:rPr>
              <w:rFonts w:ascii="Arial" w:hAnsi="Arial" w:cs="Arial"/>
              <w:color w:val="000000" w:themeColor="text1"/>
            </w:rPr>
          </w:pPr>
          <w:r w:rsidRPr="00EF002E">
            <w:rPr>
              <w:rFonts w:ascii="Arial" w:hAnsi="Arial" w:cs="Arial"/>
              <w:color w:val="000000" w:themeColor="text1"/>
            </w:rPr>
            <w:t>References</w:t>
          </w:r>
          <w:bookmarkEnd w:id="5"/>
        </w:p>
        <w:sdt>
          <w:sdtPr>
            <w:id w:val="111145805"/>
            <w:bibliography/>
          </w:sdtPr>
          <w:sdtEndPr/>
          <w:sdtContent>
            <w:p w14:paraId="6B8CB7C3" w14:textId="77777777" w:rsidR="00235B8D" w:rsidRDefault="00F47490" w:rsidP="00235B8D">
              <w:pPr>
                <w:pStyle w:val="Bibliography"/>
                <w:rPr>
                  <w:noProof/>
                  <w:sz w:val="24"/>
                  <w:szCs w:val="24"/>
                </w:rPr>
              </w:pPr>
              <w:r w:rsidRPr="0086208C">
                <w:rPr>
                  <w:rFonts w:cs="Arial"/>
                </w:rPr>
                <w:fldChar w:fldCharType="begin"/>
              </w:r>
              <w:r w:rsidRPr="0086208C">
                <w:rPr>
                  <w:rFonts w:cs="Arial"/>
                </w:rPr>
                <w:instrText xml:space="preserve"> BIBLIOGRAPHY </w:instrText>
              </w:r>
              <w:r w:rsidRPr="0086208C">
                <w:rPr>
                  <w:rFonts w:cs="Arial"/>
                </w:rPr>
                <w:fldChar w:fldCharType="separate"/>
              </w:r>
              <w:r w:rsidR="00235B8D">
                <w:rPr>
                  <w:noProof/>
                </w:rPr>
                <w:t xml:space="preserve">Bellis, M. A. et al., 2014. National household survey of adverse childhood experiences and their relationship with resilience to health-harming behaviors in England. </w:t>
              </w:r>
              <w:r w:rsidR="00235B8D">
                <w:rPr>
                  <w:i/>
                  <w:iCs/>
                  <w:noProof/>
                </w:rPr>
                <w:t xml:space="preserve">BMC Medicine, </w:t>
              </w:r>
              <w:r w:rsidR="00235B8D">
                <w:rPr>
                  <w:noProof/>
                </w:rPr>
                <w:t>12(72), pp. 1-10.</w:t>
              </w:r>
            </w:p>
            <w:p w14:paraId="1072B22C" w14:textId="77777777" w:rsidR="00235B8D" w:rsidRDefault="00235B8D" w:rsidP="00235B8D">
              <w:pPr>
                <w:pStyle w:val="Bibliography"/>
                <w:rPr>
                  <w:noProof/>
                </w:rPr>
              </w:pPr>
              <w:r>
                <w:rPr>
                  <w:noProof/>
                </w:rPr>
                <w:t xml:space="preserve">Cherry, K., 2019. </w:t>
              </w:r>
              <w:r>
                <w:rPr>
                  <w:i/>
                  <w:iCs/>
                  <w:noProof/>
                </w:rPr>
                <w:t xml:space="preserve">Sociocultural Theory of Cognitive Development. </w:t>
              </w:r>
              <w:r>
                <w:rPr>
                  <w:noProof/>
                </w:rPr>
                <w:t xml:space="preserve">[Online] </w:t>
              </w:r>
              <w:r>
                <w:rPr>
                  <w:noProof/>
                </w:rPr>
                <w:br/>
                <w:t xml:space="preserve">Available at: </w:t>
              </w:r>
              <w:r>
                <w:rPr>
                  <w:noProof/>
                  <w:u w:val="single"/>
                </w:rPr>
                <w:t>https://www.verywellmind.com/what-is-sociocultural-theory-2795088</w:t>
              </w:r>
              <w:r>
                <w:rPr>
                  <w:noProof/>
                </w:rPr>
                <w:br/>
                <w:t>[Accessed 27 August 2021].</w:t>
              </w:r>
            </w:p>
            <w:p w14:paraId="1B29FF0E" w14:textId="77777777" w:rsidR="00235B8D" w:rsidRDefault="00235B8D" w:rsidP="00235B8D">
              <w:pPr>
                <w:pStyle w:val="Bibliography"/>
                <w:rPr>
                  <w:noProof/>
                </w:rPr>
              </w:pPr>
              <w:r>
                <w:rPr>
                  <w:noProof/>
                </w:rPr>
                <w:t xml:space="preserve">Cherry, K., 2020. </w:t>
              </w:r>
              <w:r>
                <w:rPr>
                  <w:i/>
                  <w:iCs/>
                  <w:noProof/>
                </w:rPr>
                <w:t xml:space="preserve">Freud's Id, Ego, and Superego. </w:t>
              </w:r>
              <w:r>
                <w:rPr>
                  <w:noProof/>
                </w:rPr>
                <w:t xml:space="preserve">[Online] </w:t>
              </w:r>
              <w:r>
                <w:rPr>
                  <w:noProof/>
                </w:rPr>
                <w:br/>
                <w:t xml:space="preserve">Available at: </w:t>
              </w:r>
              <w:r>
                <w:rPr>
                  <w:noProof/>
                  <w:u w:val="single"/>
                </w:rPr>
                <w:t>https://www.verywellmind.com/the-id-ego-and-superego-2795951</w:t>
              </w:r>
              <w:r>
                <w:rPr>
                  <w:noProof/>
                </w:rPr>
                <w:br/>
                <w:t>[Accessed 24 August 2021].</w:t>
              </w:r>
            </w:p>
            <w:p w14:paraId="352A70FC" w14:textId="77777777" w:rsidR="00235B8D" w:rsidRDefault="00235B8D" w:rsidP="00235B8D">
              <w:pPr>
                <w:pStyle w:val="Bibliography"/>
                <w:rPr>
                  <w:noProof/>
                </w:rPr>
              </w:pPr>
              <w:r>
                <w:rPr>
                  <w:noProof/>
                </w:rPr>
                <w:t xml:space="preserve">Cherry, K., 2020. </w:t>
              </w:r>
              <w:r>
                <w:rPr>
                  <w:i/>
                  <w:iCs/>
                  <w:noProof/>
                </w:rPr>
                <w:t xml:space="preserve">Freud's Psychosexual Stages of Development. </w:t>
              </w:r>
              <w:r>
                <w:rPr>
                  <w:noProof/>
                </w:rPr>
                <w:t xml:space="preserve">[Online] </w:t>
              </w:r>
              <w:r>
                <w:rPr>
                  <w:noProof/>
                </w:rPr>
                <w:br/>
                <w:t xml:space="preserve">Available at: </w:t>
              </w:r>
              <w:r>
                <w:rPr>
                  <w:noProof/>
                  <w:u w:val="single"/>
                </w:rPr>
                <w:t>https://www.verywellmind.com/freuds-stages-of-psychosexual-development-2795962</w:t>
              </w:r>
              <w:r>
                <w:rPr>
                  <w:noProof/>
                </w:rPr>
                <w:br/>
                <w:t>[Accessed 24 August 2021].</w:t>
              </w:r>
            </w:p>
            <w:p w14:paraId="383D5687" w14:textId="77777777" w:rsidR="00235B8D" w:rsidRDefault="00235B8D" w:rsidP="00235B8D">
              <w:pPr>
                <w:pStyle w:val="Bibliography"/>
                <w:rPr>
                  <w:noProof/>
                </w:rPr>
              </w:pPr>
              <w:r>
                <w:rPr>
                  <w:noProof/>
                </w:rPr>
                <w:t xml:space="preserve">De Sousa, A., 2011. Freudian theory and consciousness: A conceptual analysis. </w:t>
              </w:r>
              <w:r>
                <w:rPr>
                  <w:i/>
                  <w:iCs/>
                  <w:noProof/>
                </w:rPr>
                <w:t xml:space="preserve">Mens sana monographs, </w:t>
              </w:r>
              <w:r>
                <w:rPr>
                  <w:noProof/>
                </w:rPr>
                <w:t>9(1), p. 210.</w:t>
              </w:r>
            </w:p>
            <w:p w14:paraId="242D50DC" w14:textId="77777777" w:rsidR="00235B8D" w:rsidRDefault="00235B8D" w:rsidP="00235B8D">
              <w:pPr>
                <w:pStyle w:val="Bibliography"/>
                <w:rPr>
                  <w:noProof/>
                </w:rPr>
              </w:pPr>
              <w:r>
                <w:rPr>
                  <w:noProof/>
                </w:rPr>
                <w:t xml:space="preserve">Fromm, E., 2013. </w:t>
              </w:r>
              <w:r>
                <w:rPr>
                  <w:i/>
                  <w:iCs/>
                  <w:noProof/>
                </w:rPr>
                <w:t xml:space="preserve">Sigmund Freud's mission: An analysis of his personality and influence. </w:t>
              </w:r>
              <w:r>
                <w:rPr>
                  <w:noProof/>
                </w:rPr>
                <w:t>1st ed. s.l.:Open Road Media.</w:t>
              </w:r>
            </w:p>
            <w:p w14:paraId="7983DD43" w14:textId="77777777" w:rsidR="00235B8D" w:rsidRDefault="00235B8D" w:rsidP="00235B8D">
              <w:pPr>
                <w:pStyle w:val="Bibliography"/>
                <w:rPr>
                  <w:noProof/>
                </w:rPr>
              </w:pPr>
              <w:r>
                <w:rPr>
                  <w:noProof/>
                </w:rPr>
                <w:t xml:space="preserve">Godoi, D. O. &amp; Fiamenghi-Jr, G. A., 2018. Effects of a Rupture in Psychosexual Development: A Theoretical Case Study on Sexual Abuse. </w:t>
              </w:r>
              <w:r>
                <w:rPr>
                  <w:i/>
                  <w:iCs/>
                  <w:noProof/>
                </w:rPr>
                <w:t xml:space="preserve">Open Science Journal of Psychology, </w:t>
              </w:r>
              <w:r>
                <w:rPr>
                  <w:noProof/>
                </w:rPr>
                <w:t>5(3), pp. 24-27.</w:t>
              </w:r>
            </w:p>
            <w:p w14:paraId="52CC4F45" w14:textId="77777777" w:rsidR="00235B8D" w:rsidRDefault="00235B8D" w:rsidP="00235B8D">
              <w:pPr>
                <w:pStyle w:val="Bibliography"/>
                <w:rPr>
                  <w:noProof/>
                </w:rPr>
              </w:pPr>
              <w:r>
                <w:rPr>
                  <w:noProof/>
                </w:rPr>
                <w:t xml:space="preserve">Houtepen, L. C. et al., 2020. Associations of adverse childhood experiences with educational attainment and adolescent health and the role of family and socioeconomic factors: A prospective cohort study in the UK. </w:t>
              </w:r>
              <w:r>
                <w:rPr>
                  <w:i/>
                  <w:iCs/>
                  <w:noProof/>
                </w:rPr>
                <w:t xml:space="preserve">PLoS Med, </w:t>
              </w:r>
              <w:r>
                <w:rPr>
                  <w:noProof/>
                </w:rPr>
                <w:t>March.17(3).</w:t>
              </w:r>
            </w:p>
            <w:p w14:paraId="0309F4B2" w14:textId="77777777" w:rsidR="00235B8D" w:rsidRDefault="00235B8D" w:rsidP="00235B8D">
              <w:pPr>
                <w:pStyle w:val="Bibliography"/>
                <w:rPr>
                  <w:noProof/>
                </w:rPr>
              </w:pPr>
              <w:r>
                <w:rPr>
                  <w:noProof/>
                </w:rPr>
                <w:t xml:space="preserve">Kar, S. K., Choudhury, A. &amp; Singh, A. P., 2015. Understanding normal development of adolescent sexuality: A bumpy ride. </w:t>
              </w:r>
              <w:r>
                <w:rPr>
                  <w:i/>
                  <w:iCs/>
                  <w:noProof/>
                </w:rPr>
                <w:t xml:space="preserve">Journal of Human Reproductive Science, </w:t>
              </w:r>
              <w:r>
                <w:rPr>
                  <w:noProof/>
                </w:rPr>
                <w:t>April-June, 8(2), pp. 70-74.</w:t>
              </w:r>
            </w:p>
            <w:p w14:paraId="2FFCEFFC" w14:textId="77777777" w:rsidR="00235B8D" w:rsidRDefault="00235B8D" w:rsidP="00235B8D">
              <w:pPr>
                <w:pStyle w:val="Bibliography"/>
                <w:rPr>
                  <w:noProof/>
                </w:rPr>
              </w:pPr>
              <w:r>
                <w:rPr>
                  <w:noProof/>
                </w:rPr>
                <w:t xml:space="preserve">Kilpatrick, E., Keeney, S. &amp; McCauley, C., 2017. Tokenistic or genuinely effective? Exploring the views of voluntary sector staff regarding the emerging peer support worker role in mental health.. </w:t>
              </w:r>
              <w:r>
                <w:rPr>
                  <w:i/>
                  <w:iCs/>
                  <w:noProof/>
                </w:rPr>
                <w:t xml:space="preserve">Journal of psychiatric and mental health nursing, </w:t>
              </w:r>
              <w:r>
                <w:rPr>
                  <w:noProof/>
                </w:rPr>
                <w:t>24(7), pp. 503-512.</w:t>
              </w:r>
            </w:p>
            <w:p w14:paraId="158F6D8B" w14:textId="77777777" w:rsidR="00235B8D" w:rsidRDefault="00235B8D" w:rsidP="00235B8D">
              <w:pPr>
                <w:pStyle w:val="Bibliography"/>
                <w:rPr>
                  <w:noProof/>
                </w:rPr>
              </w:pPr>
              <w:r>
                <w:rPr>
                  <w:noProof/>
                </w:rPr>
                <w:lastRenderedPageBreak/>
                <w:t xml:space="preserve">Krans, B., 2017. </w:t>
              </w:r>
              <w:r>
                <w:rPr>
                  <w:i/>
                  <w:iCs/>
                  <w:noProof/>
                </w:rPr>
                <w:t xml:space="preserve">Types of Mental Health Professionals. </w:t>
              </w:r>
              <w:r>
                <w:rPr>
                  <w:noProof/>
                </w:rPr>
                <w:t xml:space="preserve">[Online] </w:t>
              </w:r>
              <w:r>
                <w:rPr>
                  <w:noProof/>
                </w:rPr>
                <w:br/>
                <w:t xml:space="preserve">Available at: </w:t>
              </w:r>
              <w:r>
                <w:rPr>
                  <w:noProof/>
                  <w:u w:val="single"/>
                </w:rPr>
                <w:t>https://www.healthline.com/health/mental-health-professionals-types</w:t>
              </w:r>
              <w:r>
                <w:rPr>
                  <w:noProof/>
                </w:rPr>
                <w:br/>
                <w:t>[Accessed 24 August 2021].</w:t>
              </w:r>
            </w:p>
            <w:p w14:paraId="3A6A338E" w14:textId="77777777" w:rsidR="00235B8D" w:rsidRDefault="00235B8D" w:rsidP="00235B8D">
              <w:pPr>
                <w:pStyle w:val="Bibliography"/>
                <w:rPr>
                  <w:noProof/>
                </w:rPr>
              </w:pPr>
              <w:r>
                <w:rPr>
                  <w:noProof/>
                </w:rPr>
                <w:t xml:space="preserve">NHS, 2021. </w:t>
              </w:r>
              <w:r>
                <w:rPr>
                  <w:i/>
                  <w:iCs/>
                  <w:noProof/>
                </w:rPr>
                <w:t xml:space="preserve">Personal characteristics and skills required (mental health nursing). </w:t>
              </w:r>
              <w:r>
                <w:rPr>
                  <w:noProof/>
                </w:rPr>
                <w:t xml:space="preserve">[Online] </w:t>
              </w:r>
              <w:r>
                <w:rPr>
                  <w:noProof/>
                </w:rPr>
                <w:br/>
                <w:t xml:space="preserve">Available at: </w:t>
              </w:r>
              <w:r>
                <w:rPr>
                  <w:noProof/>
                  <w:u w:val="single"/>
                </w:rPr>
                <w:t>https://www.healthcareers.nhs.uk/explore-roles/nursing/roles-nursing/mental-health-nurse/personal-characteristics-and-skills-required-mental-health-nursing</w:t>
              </w:r>
              <w:r>
                <w:rPr>
                  <w:noProof/>
                </w:rPr>
                <w:br/>
                <w:t>[Accessed 24 August 2021].</w:t>
              </w:r>
            </w:p>
            <w:p w14:paraId="1748A20F" w14:textId="77777777" w:rsidR="00235B8D" w:rsidRDefault="00235B8D" w:rsidP="00235B8D">
              <w:pPr>
                <w:pStyle w:val="Bibliography"/>
                <w:rPr>
                  <w:noProof/>
                </w:rPr>
              </w:pPr>
              <w:r>
                <w:rPr>
                  <w:noProof/>
                </w:rPr>
                <w:t xml:space="preserve">Nicolosi, J., 2016. What Freud Really Said about Homosexuality and Why. </w:t>
              </w:r>
              <w:r>
                <w:rPr>
                  <w:i/>
                  <w:iCs/>
                  <w:noProof/>
                </w:rPr>
                <w:t xml:space="preserve">Journal of Human Sexuality, </w:t>
              </w:r>
              <w:r>
                <w:rPr>
                  <w:noProof/>
                </w:rPr>
                <w:t>Volume 7, pp. 24-22.</w:t>
              </w:r>
            </w:p>
            <w:p w14:paraId="587DDA43" w14:textId="77777777" w:rsidR="00235B8D" w:rsidRDefault="00235B8D" w:rsidP="00235B8D">
              <w:pPr>
                <w:pStyle w:val="Bibliography"/>
                <w:rPr>
                  <w:noProof/>
                </w:rPr>
              </w:pPr>
              <w:r>
                <w:rPr>
                  <w:noProof/>
                </w:rPr>
                <w:t xml:space="preserve">Regmi, K., 2012. Effective health services: perspectives and perceptions of health service users and healthcare practitioners. </w:t>
              </w:r>
              <w:r>
                <w:rPr>
                  <w:i/>
                  <w:iCs/>
                  <w:noProof/>
                </w:rPr>
                <w:t xml:space="preserve">Primary Health Care: Open Access, </w:t>
              </w:r>
              <w:r>
                <w:rPr>
                  <w:noProof/>
                </w:rPr>
                <w:t>2(3), pp. 1-7.</w:t>
              </w:r>
            </w:p>
            <w:p w14:paraId="6F2B1ABF" w14:textId="77777777" w:rsidR="00235B8D" w:rsidRDefault="00235B8D" w:rsidP="00235B8D">
              <w:pPr>
                <w:pStyle w:val="Bibliography"/>
                <w:rPr>
                  <w:noProof/>
                </w:rPr>
              </w:pPr>
              <w:r>
                <w:rPr>
                  <w:noProof/>
                </w:rPr>
                <w:t xml:space="preserve">UK Government, 2021. </w:t>
              </w:r>
              <w:r>
                <w:rPr>
                  <w:i/>
                  <w:iCs/>
                  <w:noProof/>
                </w:rPr>
                <w:t xml:space="preserve">Mental Health Act 2007. </w:t>
              </w:r>
              <w:r>
                <w:rPr>
                  <w:noProof/>
                </w:rPr>
                <w:t xml:space="preserve">[Online] </w:t>
              </w:r>
              <w:r>
                <w:rPr>
                  <w:noProof/>
                </w:rPr>
                <w:br/>
                <w:t xml:space="preserve">Available at: </w:t>
              </w:r>
              <w:r>
                <w:rPr>
                  <w:noProof/>
                  <w:u w:val="single"/>
                </w:rPr>
                <w:t>https://www.legislation.gov.uk/ukpga/2007/12/contents</w:t>
              </w:r>
              <w:r>
                <w:rPr>
                  <w:noProof/>
                </w:rPr>
                <w:br/>
                <w:t>[Accessed 24 August 2021].</w:t>
              </w:r>
            </w:p>
            <w:p w14:paraId="63AE0C7E" w14:textId="77777777" w:rsidR="00235B8D" w:rsidRDefault="00235B8D" w:rsidP="00235B8D">
              <w:pPr>
                <w:pStyle w:val="Bibliography"/>
                <w:rPr>
                  <w:noProof/>
                </w:rPr>
              </w:pPr>
              <w:r>
                <w:rPr>
                  <w:noProof/>
                </w:rPr>
                <w:t xml:space="preserve">Walters, S., 2020. </w:t>
              </w:r>
              <w:r>
                <w:rPr>
                  <w:i/>
                  <w:iCs/>
                  <w:noProof/>
                </w:rPr>
                <w:t xml:space="preserve">14.3 Psychodynamic Origins of Personality. </w:t>
              </w:r>
              <w:r>
                <w:rPr>
                  <w:noProof/>
                </w:rPr>
                <w:t>s.l.:Psychology-1st Canadian Edition.</w:t>
              </w:r>
            </w:p>
            <w:p w14:paraId="27222866" w14:textId="77777777" w:rsidR="00235B8D" w:rsidRDefault="00235B8D" w:rsidP="00235B8D">
              <w:pPr>
                <w:pStyle w:val="Bibliography"/>
                <w:rPr>
                  <w:noProof/>
                </w:rPr>
              </w:pPr>
              <w:r>
                <w:rPr>
                  <w:noProof/>
                </w:rPr>
                <w:t xml:space="preserve">Wilson-Ali, N., Barratt-Pugh, C. &amp; Knaus, M., 2019. Multiple perspectives on attachment theory: Investigating educators’ knowledge and understanding. </w:t>
              </w:r>
              <w:r>
                <w:rPr>
                  <w:i/>
                  <w:iCs/>
                  <w:noProof/>
                </w:rPr>
                <w:t xml:space="preserve">Australasian Journal of Early Childhood, </w:t>
              </w:r>
              <w:r>
                <w:rPr>
                  <w:noProof/>
                </w:rPr>
                <w:t>44(3), pp. 215-229.</w:t>
              </w:r>
            </w:p>
            <w:p w14:paraId="647496BC" w14:textId="77777777" w:rsidR="00235B8D" w:rsidRDefault="00235B8D" w:rsidP="00235B8D">
              <w:pPr>
                <w:pStyle w:val="Bibliography"/>
                <w:rPr>
                  <w:noProof/>
                </w:rPr>
              </w:pPr>
              <w:r>
                <w:rPr>
                  <w:noProof/>
                </w:rPr>
                <w:t xml:space="preserve">Zenzano, T. et al., 2011. The Roles of Healthcare Professionals in Implementing Clinical Prevention and Population Health. </w:t>
              </w:r>
              <w:r>
                <w:rPr>
                  <w:i/>
                  <w:iCs/>
                  <w:noProof/>
                </w:rPr>
                <w:t xml:space="preserve">American journal of preventive medicine, </w:t>
              </w:r>
              <w:r>
                <w:rPr>
                  <w:noProof/>
                </w:rPr>
                <w:t>40(2), pp. 261-267.</w:t>
              </w:r>
            </w:p>
            <w:p w14:paraId="5DE88802" w14:textId="77777777" w:rsidR="00F47490" w:rsidRPr="0086208C" w:rsidRDefault="00F47490" w:rsidP="00235B8D">
              <w:r w:rsidRPr="0086208C">
                <w:rPr>
                  <w:rFonts w:cs="Arial"/>
                  <w:b/>
                  <w:bCs/>
                </w:rPr>
                <w:fldChar w:fldCharType="end"/>
              </w:r>
            </w:p>
          </w:sdtContent>
        </w:sdt>
      </w:sdtContent>
    </w:sdt>
    <w:p w14:paraId="3CB6A32C" w14:textId="77777777" w:rsidR="00F47490" w:rsidRPr="0086208C" w:rsidRDefault="00F47490" w:rsidP="00F47490"/>
    <w:sectPr w:rsidR="00F47490" w:rsidRPr="0086208C">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7B2C76" w14:textId="77777777" w:rsidR="008F4C58" w:rsidRDefault="008F4C58" w:rsidP="00246A87">
      <w:pPr>
        <w:spacing w:after="0" w:line="240" w:lineRule="auto"/>
      </w:pPr>
      <w:r>
        <w:separator/>
      </w:r>
    </w:p>
  </w:endnote>
  <w:endnote w:type="continuationSeparator" w:id="0">
    <w:p w14:paraId="3FD4FA1E" w14:textId="77777777" w:rsidR="008F4C58" w:rsidRDefault="008F4C58" w:rsidP="00246A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6533186"/>
      <w:docPartObj>
        <w:docPartGallery w:val="Page Numbers (Bottom of Page)"/>
        <w:docPartUnique/>
      </w:docPartObj>
    </w:sdtPr>
    <w:sdtEndPr>
      <w:rPr>
        <w:noProof/>
      </w:rPr>
    </w:sdtEndPr>
    <w:sdtContent>
      <w:p w14:paraId="65531AB1" w14:textId="77777777" w:rsidR="00246A87" w:rsidRDefault="00246A87">
        <w:pPr>
          <w:pStyle w:val="Footer"/>
          <w:jc w:val="center"/>
        </w:pPr>
        <w:r>
          <w:fldChar w:fldCharType="begin"/>
        </w:r>
        <w:r>
          <w:instrText xml:space="preserve"> PAGE   \* MERGEFORMAT </w:instrText>
        </w:r>
        <w:r>
          <w:fldChar w:fldCharType="separate"/>
        </w:r>
        <w:r w:rsidR="00C140BA">
          <w:rPr>
            <w:noProof/>
          </w:rPr>
          <w:t>3</w:t>
        </w:r>
        <w:r>
          <w:rPr>
            <w:noProof/>
          </w:rPr>
          <w:fldChar w:fldCharType="end"/>
        </w:r>
      </w:p>
    </w:sdtContent>
  </w:sdt>
  <w:p w14:paraId="4033DE6E" w14:textId="77777777" w:rsidR="00246A87" w:rsidRDefault="00246A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9E9EC8" w14:textId="77777777" w:rsidR="008F4C58" w:rsidRDefault="008F4C58" w:rsidP="00246A87">
      <w:pPr>
        <w:spacing w:after="0" w:line="240" w:lineRule="auto"/>
      </w:pPr>
      <w:r>
        <w:separator/>
      </w:r>
    </w:p>
  </w:footnote>
  <w:footnote w:type="continuationSeparator" w:id="0">
    <w:p w14:paraId="7D9C7431" w14:textId="77777777" w:rsidR="008F4C58" w:rsidRDefault="008F4C58" w:rsidP="00246A8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EyNTE0NjczNDS2MDdT0lEKTi0uzszPAykwrgUAO8Kv5iwAAAA="/>
  </w:docVars>
  <w:rsids>
    <w:rsidRoot w:val="003876DB"/>
    <w:rsid w:val="0001292D"/>
    <w:rsid w:val="00075430"/>
    <w:rsid w:val="001136BE"/>
    <w:rsid w:val="0012274B"/>
    <w:rsid w:val="001510DC"/>
    <w:rsid w:val="00154F4A"/>
    <w:rsid w:val="00180FF4"/>
    <w:rsid w:val="001D2F62"/>
    <w:rsid w:val="00220B94"/>
    <w:rsid w:val="00235B8D"/>
    <w:rsid w:val="00246A87"/>
    <w:rsid w:val="00267CE6"/>
    <w:rsid w:val="002F2E10"/>
    <w:rsid w:val="002F4C8D"/>
    <w:rsid w:val="00322747"/>
    <w:rsid w:val="0032455C"/>
    <w:rsid w:val="003340E2"/>
    <w:rsid w:val="00351A30"/>
    <w:rsid w:val="00375F20"/>
    <w:rsid w:val="003876DB"/>
    <w:rsid w:val="003A72D9"/>
    <w:rsid w:val="003E6119"/>
    <w:rsid w:val="00413122"/>
    <w:rsid w:val="00423936"/>
    <w:rsid w:val="004F4CCA"/>
    <w:rsid w:val="00522742"/>
    <w:rsid w:val="0052626D"/>
    <w:rsid w:val="00556766"/>
    <w:rsid w:val="00571E36"/>
    <w:rsid w:val="00637FF3"/>
    <w:rsid w:val="00640316"/>
    <w:rsid w:val="00651637"/>
    <w:rsid w:val="0070190E"/>
    <w:rsid w:val="00705CBB"/>
    <w:rsid w:val="0074589B"/>
    <w:rsid w:val="0075654C"/>
    <w:rsid w:val="00766FBB"/>
    <w:rsid w:val="007B37FD"/>
    <w:rsid w:val="00841DB2"/>
    <w:rsid w:val="008464A4"/>
    <w:rsid w:val="0086208C"/>
    <w:rsid w:val="008C549A"/>
    <w:rsid w:val="008F4C58"/>
    <w:rsid w:val="00990C84"/>
    <w:rsid w:val="009B40FC"/>
    <w:rsid w:val="00A27F0E"/>
    <w:rsid w:val="00A46A11"/>
    <w:rsid w:val="00A9503E"/>
    <w:rsid w:val="00AD56DA"/>
    <w:rsid w:val="00AD6456"/>
    <w:rsid w:val="00B1364D"/>
    <w:rsid w:val="00B6552A"/>
    <w:rsid w:val="00BA69F3"/>
    <w:rsid w:val="00C140BA"/>
    <w:rsid w:val="00C332CA"/>
    <w:rsid w:val="00C94A6F"/>
    <w:rsid w:val="00CB4026"/>
    <w:rsid w:val="00CC4D62"/>
    <w:rsid w:val="00CD1856"/>
    <w:rsid w:val="00D46EE5"/>
    <w:rsid w:val="00D66FCD"/>
    <w:rsid w:val="00D77533"/>
    <w:rsid w:val="00D853DA"/>
    <w:rsid w:val="00D86148"/>
    <w:rsid w:val="00DA74F3"/>
    <w:rsid w:val="00DE4E0B"/>
    <w:rsid w:val="00DE5395"/>
    <w:rsid w:val="00E376F9"/>
    <w:rsid w:val="00E405F1"/>
    <w:rsid w:val="00EB11A8"/>
    <w:rsid w:val="00EB3392"/>
    <w:rsid w:val="00EC07FB"/>
    <w:rsid w:val="00EE533A"/>
    <w:rsid w:val="00EF002E"/>
    <w:rsid w:val="00F47490"/>
    <w:rsid w:val="00FD09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B9529A"/>
  <w15:docId w15:val="{A1FA2CA7-C107-444C-BDC7-8A2932D1F6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11A8"/>
    <w:pPr>
      <w:spacing w:line="360" w:lineRule="auto"/>
      <w:jc w:val="both"/>
    </w:pPr>
    <w:rPr>
      <w:rFonts w:ascii="Arial" w:hAnsi="Arial"/>
      <w:lang w:val="en-GB"/>
    </w:rPr>
  </w:style>
  <w:style w:type="paragraph" w:styleId="Heading1">
    <w:name w:val="heading 1"/>
    <w:basedOn w:val="Normal"/>
    <w:next w:val="Normal"/>
    <w:link w:val="Heading1Char"/>
    <w:uiPriority w:val="9"/>
    <w:qFormat/>
    <w:rsid w:val="00DE539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75430"/>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075430"/>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90C8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90C84"/>
    <w:rPr>
      <w:rFonts w:asciiTheme="majorHAnsi" w:eastAsiaTheme="majorEastAsia" w:hAnsiTheme="majorHAnsi" w:cstheme="majorBidi"/>
      <w:color w:val="17365D" w:themeColor="text2" w:themeShade="BF"/>
      <w:spacing w:val="5"/>
      <w:kern w:val="28"/>
      <w:sz w:val="52"/>
      <w:szCs w:val="52"/>
      <w:lang w:val="en-GB"/>
    </w:rPr>
  </w:style>
  <w:style w:type="character" w:customStyle="1" w:styleId="Heading1Char">
    <w:name w:val="Heading 1 Char"/>
    <w:basedOn w:val="DefaultParagraphFont"/>
    <w:link w:val="Heading1"/>
    <w:uiPriority w:val="9"/>
    <w:rsid w:val="00DE5395"/>
    <w:rPr>
      <w:rFonts w:asciiTheme="majorHAnsi" w:eastAsiaTheme="majorEastAsia" w:hAnsiTheme="majorHAnsi" w:cstheme="majorBidi"/>
      <w:b/>
      <w:bCs/>
      <w:color w:val="365F91" w:themeColor="accent1" w:themeShade="BF"/>
      <w:sz w:val="28"/>
      <w:szCs w:val="28"/>
      <w:lang w:val="en-GB"/>
    </w:rPr>
  </w:style>
  <w:style w:type="paragraph" w:styleId="BalloonText">
    <w:name w:val="Balloon Text"/>
    <w:basedOn w:val="Normal"/>
    <w:link w:val="BalloonTextChar"/>
    <w:uiPriority w:val="99"/>
    <w:semiHidden/>
    <w:unhideWhenUsed/>
    <w:rsid w:val="003245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2455C"/>
    <w:rPr>
      <w:rFonts w:ascii="Tahoma" w:hAnsi="Tahoma" w:cs="Tahoma"/>
      <w:sz w:val="16"/>
      <w:szCs w:val="16"/>
      <w:lang w:val="en-GB"/>
    </w:rPr>
  </w:style>
  <w:style w:type="paragraph" w:styleId="Bibliography">
    <w:name w:val="Bibliography"/>
    <w:basedOn w:val="Normal"/>
    <w:next w:val="Normal"/>
    <w:uiPriority w:val="37"/>
    <w:unhideWhenUsed/>
    <w:rsid w:val="00F47490"/>
  </w:style>
  <w:style w:type="paragraph" w:styleId="Header">
    <w:name w:val="header"/>
    <w:basedOn w:val="Normal"/>
    <w:link w:val="HeaderChar"/>
    <w:uiPriority w:val="99"/>
    <w:unhideWhenUsed/>
    <w:rsid w:val="00246A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246A87"/>
    <w:rPr>
      <w:lang w:val="en-GB"/>
    </w:rPr>
  </w:style>
  <w:style w:type="paragraph" w:styleId="Footer">
    <w:name w:val="footer"/>
    <w:basedOn w:val="Normal"/>
    <w:link w:val="FooterChar"/>
    <w:uiPriority w:val="99"/>
    <w:unhideWhenUsed/>
    <w:rsid w:val="00246A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246A87"/>
    <w:rPr>
      <w:lang w:val="en-GB"/>
    </w:rPr>
  </w:style>
  <w:style w:type="paragraph" w:styleId="TOCHeading">
    <w:name w:val="TOC Heading"/>
    <w:basedOn w:val="Heading1"/>
    <w:next w:val="Normal"/>
    <w:uiPriority w:val="39"/>
    <w:semiHidden/>
    <w:unhideWhenUsed/>
    <w:qFormat/>
    <w:rsid w:val="00351A30"/>
    <w:pPr>
      <w:outlineLvl w:val="9"/>
    </w:pPr>
    <w:rPr>
      <w:lang w:val="en-US" w:eastAsia="ja-JP"/>
    </w:rPr>
  </w:style>
  <w:style w:type="paragraph" w:styleId="TOC1">
    <w:name w:val="toc 1"/>
    <w:basedOn w:val="Normal"/>
    <w:next w:val="Normal"/>
    <w:autoRedefine/>
    <w:uiPriority w:val="39"/>
    <w:unhideWhenUsed/>
    <w:rsid w:val="00351A30"/>
    <w:pPr>
      <w:spacing w:after="100"/>
    </w:pPr>
  </w:style>
  <w:style w:type="character" w:styleId="Hyperlink">
    <w:name w:val="Hyperlink"/>
    <w:basedOn w:val="DefaultParagraphFont"/>
    <w:uiPriority w:val="99"/>
    <w:unhideWhenUsed/>
    <w:rsid w:val="00351A30"/>
    <w:rPr>
      <w:color w:val="0000FF" w:themeColor="hyperlink"/>
      <w:u w:val="single"/>
    </w:rPr>
  </w:style>
  <w:style w:type="paragraph" w:styleId="NoSpacing">
    <w:name w:val="No Spacing"/>
    <w:uiPriority w:val="1"/>
    <w:qFormat/>
    <w:rsid w:val="00075430"/>
    <w:pPr>
      <w:spacing w:after="0" w:line="240" w:lineRule="auto"/>
      <w:jc w:val="both"/>
    </w:pPr>
    <w:rPr>
      <w:rFonts w:ascii="Arial" w:hAnsi="Arial"/>
      <w:lang w:val="en-GB"/>
    </w:rPr>
  </w:style>
  <w:style w:type="character" w:customStyle="1" w:styleId="Heading2Char">
    <w:name w:val="Heading 2 Char"/>
    <w:basedOn w:val="DefaultParagraphFont"/>
    <w:link w:val="Heading2"/>
    <w:uiPriority w:val="9"/>
    <w:rsid w:val="00075430"/>
    <w:rPr>
      <w:rFonts w:asciiTheme="majorHAnsi" w:eastAsiaTheme="majorEastAsia" w:hAnsiTheme="majorHAnsi" w:cstheme="majorBidi"/>
      <w:color w:val="365F91" w:themeColor="accent1" w:themeShade="BF"/>
      <w:sz w:val="26"/>
      <w:szCs w:val="26"/>
      <w:lang w:val="en-GB"/>
    </w:rPr>
  </w:style>
  <w:style w:type="character" w:customStyle="1" w:styleId="Heading3Char">
    <w:name w:val="Heading 3 Char"/>
    <w:basedOn w:val="DefaultParagraphFont"/>
    <w:link w:val="Heading3"/>
    <w:uiPriority w:val="9"/>
    <w:rsid w:val="00075430"/>
    <w:rPr>
      <w:rFonts w:asciiTheme="majorHAnsi" w:eastAsiaTheme="majorEastAsia" w:hAnsiTheme="majorHAnsi" w:cstheme="majorBidi"/>
      <w:color w:val="243F60" w:themeColor="accent1" w:themeShade="7F"/>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890117">
      <w:bodyDiv w:val="1"/>
      <w:marLeft w:val="0"/>
      <w:marRight w:val="0"/>
      <w:marTop w:val="0"/>
      <w:marBottom w:val="0"/>
      <w:divBdr>
        <w:top w:val="none" w:sz="0" w:space="0" w:color="auto"/>
        <w:left w:val="none" w:sz="0" w:space="0" w:color="auto"/>
        <w:bottom w:val="none" w:sz="0" w:space="0" w:color="auto"/>
        <w:right w:val="none" w:sz="0" w:space="0" w:color="auto"/>
      </w:divBdr>
    </w:div>
    <w:div w:id="300816457">
      <w:bodyDiv w:val="1"/>
      <w:marLeft w:val="0"/>
      <w:marRight w:val="0"/>
      <w:marTop w:val="0"/>
      <w:marBottom w:val="0"/>
      <w:divBdr>
        <w:top w:val="none" w:sz="0" w:space="0" w:color="auto"/>
        <w:left w:val="none" w:sz="0" w:space="0" w:color="auto"/>
        <w:bottom w:val="none" w:sz="0" w:space="0" w:color="auto"/>
        <w:right w:val="none" w:sz="0" w:space="0" w:color="auto"/>
      </w:divBdr>
    </w:div>
    <w:div w:id="485904949">
      <w:bodyDiv w:val="1"/>
      <w:marLeft w:val="0"/>
      <w:marRight w:val="0"/>
      <w:marTop w:val="0"/>
      <w:marBottom w:val="0"/>
      <w:divBdr>
        <w:top w:val="none" w:sz="0" w:space="0" w:color="auto"/>
        <w:left w:val="none" w:sz="0" w:space="0" w:color="auto"/>
        <w:bottom w:val="none" w:sz="0" w:space="0" w:color="auto"/>
        <w:right w:val="none" w:sz="0" w:space="0" w:color="auto"/>
      </w:divBdr>
    </w:div>
    <w:div w:id="585580431">
      <w:bodyDiv w:val="1"/>
      <w:marLeft w:val="0"/>
      <w:marRight w:val="0"/>
      <w:marTop w:val="0"/>
      <w:marBottom w:val="0"/>
      <w:divBdr>
        <w:top w:val="none" w:sz="0" w:space="0" w:color="auto"/>
        <w:left w:val="none" w:sz="0" w:space="0" w:color="auto"/>
        <w:bottom w:val="none" w:sz="0" w:space="0" w:color="auto"/>
        <w:right w:val="none" w:sz="0" w:space="0" w:color="auto"/>
      </w:divBdr>
    </w:div>
    <w:div w:id="943535182">
      <w:bodyDiv w:val="1"/>
      <w:marLeft w:val="0"/>
      <w:marRight w:val="0"/>
      <w:marTop w:val="0"/>
      <w:marBottom w:val="0"/>
      <w:divBdr>
        <w:top w:val="none" w:sz="0" w:space="0" w:color="auto"/>
        <w:left w:val="none" w:sz="0" w:space="0" w:color="auto"/>
        <w:bottom w:val="none" w:sz="0" w:space="0" w:color="auto"/>
        <w:right w:val="none" w:sz="0" w:space="0" w:color="auto"/>
      </w:divBdr>
    </w:div>
    <w:div w:id="996496027">
      <w:bodyDiv w:val="1"/>
      <w:marLeft w:val="0"/>
      <w:marRight w:val="0"/>
      <w:marTop w:val="0"/>
      <w:marBottom w:val="0"/>
      <w:divBdr>
        <w:top w:val="none" w:sz="0" w:space="0" w:color="auto"/>
        <w:left w:val="none" w:sz="0" w:space="0" w:color="auto"/>
        <w:bottom w:val="none" w:sz="0" w:space="0" w:color="auto"/>
        <w:right w:val="none" w:sz="0" w:space="0" w:color="auto"/>
      </w:divBdr>
      <w:divsChild>
        <w:div w:id="605044171">
          <w:marLeft w:val="0"/>
          <w:marRight w:val="0"/>
          <w:marTop w:val="0"/>
          <w:marBottom w:val="0"/>
          <w:divBdr>
            <w:top w:val="none" w:sz="0" w:space="0" w:color="auto"/>
            <w:left w:val="none" w:sz="0" w:space="0" w:color="auto"/>
            <w:bottom w:val="none" w:sz="0" w:space="0" w:color="auto"/>
            <w:right w:val="none" w:sz="0" w:space="0" w:color="auto"/>
          </w:divBdr>
          <w:divsChild>
            <w:div w:id="225535905">
              <w:marLeft w:val="0"/>
              <w:marRight w:val="0"/>
              <w:marTop w:val="0"/>
              <w:marBottom w:val="0"/>
              <w:divBdr>
                <w:top w:val="none" w:sz="0" w:space="0" w:color="auto"/>
                <w:left w:val="none" w:sz="0" w:space="0" w:color="auto"/>
                <w:bottom w:val="none" w:sz="0" w:space="0" w:color="auto"/>
                <w:right w:val="none" w:sz="0" w:space="0" w:color="auto"/>
              </w:divBdr>
              <w:divsChild>
                <w:div w:id="294216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1393364">
      <w:bodyDiv w:val="1"/>
      <w:marLeft w:val="0"/>
      <w:marRight w:val="0"/>
      <w:marTop w:val="0"/>
      <w:marBottom w:val="0"/>
      <w:divBdr>
        <w:top w:val="none" w:sz="0" w:space="0" w:color="auto"/>
        <w:left w:val="none" w:sz="0" w:space="0" w:color="auto"/>
        <w:bottom w:val="none" w:sz="0" w:space="0" w:color="auto"/>
        <w:right w:val="none" w:sz="0" w:space="0" w:color="auto"/>
      </w:divBdr>
    </w:div>
    <w:div w:id="1137453520">
      <w:bodyDiv w:val="1"/>
      <w:marLeft w:val="0"/>
      <w:marRight w:val="0"/>
      <w:marTop w:val="0"/>
      <w:marBottom w:val="0"/>
      <w:divBdr>
        <w:top w:val="none" w:sz="0" w:space="0" w:color="auto"/>
        <w:left w:val="none" w:sz="0" w:space="0" w:color="auto"/>
        <w:bottom w:val="none" w:sz="0" w:space="0" w:color="auto"/>
        <w:right w:val="none" w:sz="0" w:space="0" w:color="auto"/>
      </w:divBdr>
    </w:div>
    <w:div w:id="1177571983">
      <w:bodyDiv w:val="1"/>
      <w:marLeft w:val="0"/>
      <w:marRight w:val="0"/>
      <w:marTop w:val="0"/>
      <w:marBottom w:val="0"/>
      <w:divBdr>
        <w:top w:val="none" w:sz="0" w:space="0" w:color="auto"/>
        <w:left w:val="none" w:sz="0" w:space="0" w:color="auto"/>
        <w:bottom w:val="none" w:sz="0" w:space="0" w:color="auto"/>
        <w:right w:val="none" w:sz="0" w:space="0" w:color="auto"/>
      </w:divBdr>
    </w:div>
    <w:div w:id="1244337555">
      <w:bodyDiv w:val="1"/>
      <w:marLeft w:val="0"/>
      <w:marRight w:val="0"/>
      <w:marTop w:val="0"/>
      <w:marBottom w:val="0"/>
      <w:divBdr>
        <w:top w:val="none" w:sz="0" w:space="0" w:color="auto"/>
        <w:left w:val="none" w:sz="0" w:space="0" w:color="auto"/>
        <w:bottom w:val="none" w:sz="0" w:space="0" w:color="auto"/>
        <w:right w:val="none" w:sz="0" w:space="0" w:color="auto"/>
      </w:divBdr>
    </w:div>
    <w:div w:id="1401168793">
      <w:bodyDiv w:val="1"/>
      <w:marLeft w:val="0"/>
      <w:marRight w:val="0"/>
      <w:marTop w:val="0"/>
      <w:marBottom w:val="0"/>
      <w:divBdr>
        <w:top w:val="none" w:sz="0" w:space="0" w:color="auto"/>
        <w:left w:val="none" w:sz="0" w:space="0" w:color="auto"/>
        <w:bottom w:val="none" w:sz="0" w:space="0" w:color="auto"/>
        <w:right w:val="none" w:sz="0" w:space="0" w:color="auto"/>
      </w:divBdr>
    </w:div>
    <w:div w:id="1434397391">
      <w:bodyDiv w:val="1"/>
      <w:marLeft w:val="0"/>
      <w:marRight w:val="0"/>
      <w:marTop w:val="0"/>
      <w:marBottom w:val="0"/>
      <w:divBdr>
        <w:top w:val="none" w:sz="0" w:space="0" w:color="auto"/>
        <w:left w:val="none" w:sz="0" w:space="0" w:color="auto"/>
        <w:bottom w:val="none" w:sz="0" w:space="0" w:color="auto"/>
        <w:right w:val="none" w:sz="0" w:space="0" w:color="auto"/>
      </w:divBdr>
    </w:div>
    <w:div w:id="1482187450">
      <w:bodyDiv w:val="1"/>
      <w:marLeft w:val="0"/>
      <w:marRight w:val="0"/>
      <w:marTop w:val="0"/>
      <w:marBottom w:val="0"/>
      <w:divBdr>
        <w:top w:val="none" w:sz="0" w:space="0" w:color="auto"/>
        <w:left w:val="none" w:sz="0" w:space="0" w:color="auto"/>
        <w:bottom w:val="none" w:sz="0" w:space="0" w:color="auto"/>
        <w:right w:val="none" w:sz="0" w:space="0" w:color="auto"/>
      </w:divBdr>
    </w:div>
    <w:div w:id="1530607044">
      <w:bodyDiv w:val="1"/>
      <w:marLeft w:val="0"/>
      <w:marRight w:val="0"/>
      <w:marTop w:val="0"/>
      <w:marBottom w:val="0"/>
      <w:divBdr>
        <w:top w:val="none" w:sz="0" w:space="0" w:color="auto"/>
        <w:left w:val="none" w:sz="0" w:space="0" w:color="auto"/>
        <w:bottom w:val="none" w:sz="0" w:space="0" w:color="auto"/>
        <w:right w:val="none" w:sz="0" w:space="0" w:color="auto"/>
      </w:divBdr>
    </w:div>
    <w:div w:id="1768118347">
      <w:bodyDiv w:val="1"/>
      <w:marLeft w:val="0"/>
      <w:marRight w:val="0"/>
      <w:marTop w:val="0"/>
      <w:marBottom w:val="0"/>
      <w:divBdr>
        <w:top w:val="none" w:sz="0" w:space="0" w:color="auto"/>
        <w:left w:val="none" w:sz="0" w:space="0" w:color="auto"/>
        <w:bottom w:val="none" w:sz="0" w:space="0" w:color="auto"/>
        <w:right w:val="none" w:sz="0" w:space="0" w:color="auto"/>
      </w:divBdr>
    </w:div>
    <w:div w:id="1844777016">
      <w:bodyDiv w:val="1"/>
      <w:marLeft w:val="0"/>
      <w:marRight w:val="0"/>
      <w:marTop w:val="0"/>
      <w:marBottom w:val="0"/>
      <w:divBdr>
        <w:top w:val="none" w:sz="0" w:space="0" w:color="auto"/>
        <w:left w:val="none" w:sz="0" w:space="0" w:color="auto"/>
        <w:bottom w:val="none" w:sz="0" w:space="0" w:color="auto"/>
        <w:right w:val="none" w:sz="0" w:space="0" w:color="auto"/>
      </w:divBdr>
    </w:div>
    <w:div w:id="1873807880">
      <w:bodyDiv w:val="1"/>
      <w:marLeft w:val="0"/>
      <w:marRight w:val="0"/>
      <w:marTop w:val="0"/>
      <w:marBottom w:val="0"/>
      <w:divBdr>
        <w:top w:val="none" w:sz="0" w:space="0" w:color="auto"/>
        <w:left w:val="none" w:sz="0" w:space="0" w:color="auto"/>
        <w:bottom w:val="none" w:sz="0" w:space="0" w:color="auto"/>
        <w:right w:val="none" w:sz="0" w:space="0" w:color="auto"/>
      </w:divBdr>
    </w:div>
    <w:div w:id="1938515988">
      <w:bodyDiv w:val="1"/>
      <w:marLeft w:val="0"/>
      <w:marRight w:val="0"/>
      <w:marTop w:val="0"/>
      <w:marBottom w:val="0"/>
      <w:divBdr>
        <w:top w:val="none" w:sz="0" w:space="0" w:color="auto"/>
        <w:left w:val="none" w:sz="0" w:space="0" w:color="auto"/>
        <w:bottom w:val="none" w:sz="0" w:space="0" w:color="auto"/>
        <w:right w:val="none" w:sz="0" w:space="0" w:color="auto"/>
      </w:divBdr>
    </w:div>
    <w:div w:id="1979146252">
      <w:bodyDiv w:val="1"/>
      <w:marLeft w:val="0"/>
      <w:marRight w:val="0"/>
      <w:marTop w:val="0"/>
      <w:marBottom w:val="0"/>
      <w:divBdr>
        <w:top w:val="none" w:sz="0" w:space="0" w:color="auto"/>
        <w:left w:val="none" w:sz="0" w:space="0" w:color="auto"/>
        <w:bottom w:val="none" w:sz="0" w:space="0" w:color="auto"/>
        <w:right w:val="none" w:sz="0" w:space="0" w:color="auto"/>
      </w:divBdr>
    </w:div>
    <w:div w:id="2010668218">
      <w:bodyDiv w:val="1"/>
      <w:marLeft w:val="0"/>
      <w:marRight w:val="0"/>
      <w:marTop w:val="0"/>
      <w:marBottom w:val="0"/>
      <w:divBdr>
        <w:top w:val="none" w:sz="0" w:space="0" w:color="auto"/>
        <w:left w:val="none" w:sz="0" w:space="0" w:color="auto"/>
        <w:bottom w:val="none" w:sz="0" w:space="0" w:color="auto"/>
        <w:right w:val="none" w:sz="0" w:space="0" w:color="auto"/>
      </w:divBdr>
    </w:div>
    <w:div w:id="2065642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Reg122</b:Tag>
    <b:SourceType>JournalArticle</b:SourceType>
    <b:Guid>{DBEACC54-14E0-43FF-810F-FF4E3179577E}</b:Guid>
    <b:Author>
      <b:Author>
        <b:NameList>
          <b:Person>
            <b:Last>Regmi</b:Last>
            <b:First>K.</b:First>
          </b:Person>
        </b:NameList>
      </b:Author>
    </b:Author>
    <b:Title>Effective health services: perspectives and perceptions of health service users and healthcare practitioners</b:Title>
    <b:JournalName>Primary Health Care: Open Access</b:JournalName>
    <b:Year>2012</b:Year>
    <b:Pages>1-7</b:Pages>
    <b:Volume>2</b:Volume>
    <b:Issue>3</b:Issue>
    <b:RefOrder>17</b:RefOrder>
  </b:Source>
  <b:Source>
    <b:Tag>Zen111</b:Tag>
    <b:SourceType>JournalArticle</b:SourceType>
    <b:Guid>{4E5D8FDD-54F8-439F-8AB3-10A753E3BEE6}</b:Guid>
    <b:Author>
      <b:Author>
        <b:NameList>
          <b:Person>
            <b:Last>Zenzano</b:Last>
            <b:First>T.</b:First>
          </b:Person>
          <b:Person>
            <b:Last>Allan</b:Last>
            <b:First>J.D.</b:First>
          </b:Person>
          <b:Person>
            <b:Last>Bigley</b:Last>
            <b:First>M.B.</b:First>
          </b:Person>
          <b:Person>
            <b:Last>Bushardt</b:Last>
            <b:First>R.L.</b:First>
          </b:Person>
          <b:Person>
            <b:Last>Garr</b:Last>
            <b:First>D.R.</b:First>
          </b:Person>
          <b:Person>
            <b:Last>Johnson</b:Last>
            <b:First>K.,</b:First>
            <b:Middle>Lang, W.</b:Middle>
          </b:Person>
          <b:Person>
            <b:Last>Maeshiro</b:Last>
            <b:First>R.</b:First>
          </b:Person>
          <b:Person>
            <b:Last>Meyer</b:Last>
            <b:First>S.M.</b:First>
          </b:Person>
          <b:Person>
            <b:Last>Shannon</b:Last>
            <b:First>S.C.</b:First>
          </b:Person>
          <b:Person>
            <b:Last>Spolsky</b:Last>
            <b:First>V.W.</b:First>
          </b:Person>
        </b:NameList>
      </b:Author>
    </b:Author>
    <b:Title>The Roles of Healthcare Professionals in Implementing Clinical Prevention and Population Health</b:Title>
    <b:JournalName>American journal of preventive medicine</b:JournalName>
    <b:Year>2011</b:Year>
    <b:Pages>261-267</b:Pages>
    <b:Volume>40</b:Volume>
    <b:Issue>2</b:Issue>
    <b:RefOrder>1</b:RefOrder>
  </b:Source>
  <b:Source>
    <b:Tag>Kil171</b:Tag>
    <b:SourceType>JournalArticle</b:SourceType>
    <b:Guid>{8FDFC12D-6AA9-4CE7-8FAB-79A76C5BF7CB}</b:Guid>
    <b:Author>
      <b:Author>
        <b:NameList>
          <b:Person>
            <b:Last>Kilpatrick</b:Last>
            <b:First>E.</b:First>
          </b:Person>
          <b:Person>
            <b:Last>Keeney</b:Last>
            <b:First>S.</b:First>
          </b:Person>
          <b:Person>
            <b:Last>McCauley</b:Last>
            <b:First>C.O.</b:First>
          </b:Person>
        </b:NameList>
      </b:Author>
    </b:Author>
    <b:Title>Tokenistic or genuinely effective? Exploring the views of voluntary sector staff regarding the emerging peer support worker role in mental health.</b:Title>
    <b:JournalName>Journal of psychiatric and mental health nursing</b:JournalName>
    <b:Year>2017</b:Year>
    <b:Pages>503-512</b:Pages>
    <b:Volume>24</b:Volume>
    <b:Issue>7</b:Issue>
    <b:RefOrder>10</b:RefOrder>
  </b:Source>
  <b:Source>
    <b:Tag>Fro131</b:Tag>
    <b:SourceType>Book</b:SourceType>
    <b:Guid>{4AAD48A0-FD1C-478C-ADE8-E0E43F3D36F6}</b:Guid>
    <b:Title>Sigmund Freud's mission: An analysis of his personality and influence</b:Title>
    <b:Year>2013</b:Year>
    <b:Author>
      <b:Author>
        <b:NameList>
          <b:Person>
            <b:Last>Fromm</b:Last>
            <b:First>E.</b:First>
          </b:Person>
        </b:NameList>
      </b:Author>
    </b:Author>
    <b:Publisher>Open Road Media</b:Publisher>
    <b:Edition>1st</b:Edition>
    <b:RefOrder>11</b:RefOrder>
  </b:Source>
  <b:Source>
    <b:Tag>DeS11</b:Tag>
    <b:SourceType>JournalArticle</b:SourceType>
    <b:Guid>{1124ADE0-EDE8-4512-AF03-632DEFD06D15}</b:Guid>
    <b:Title>Freudian theory and consciousness: A conceptual analysis</b:Title>
    <b:Year>2011</b:Year>
    <b:Author>
      <b:Author>
        <b:NameList>
          <b:Person>
            <b:Last>De Sousa</b:Last>
            <b:First>A.</b:First>
          </b:Person>
        </b:NameList>
      </b:Author>
    </b:Author>
    <b:JournalName>Mens sana monographs</b:JournalName>
    <b:Pages>210</b:Pages>
    <b:Volume>9</b:Volume>
    <b:Issue>1</b:Issue>
    <b:RefOrder>12</b:RefOrder>
  </b:Source>
  <b:Source>
    <b:Tag>Kra171</b:Tag>
    <b:SourceType>InternetSite</b:SourceType>
    <b:Guid>{1D5586F7-939E-4D29-9CAE-3C04376BE7E6}</b:Guid>
    <b:Author>
      <b:Author>
        <b:NameList>
          <b:Person>
            <b:Last>Krans</b:Last>
            <b:First>Brian.</b:First>
          </b:Person>
        </b:NameList>
      </b:Author>
    </b:Author>
    <b:Title>Types of Mental Health Professionals</b:Title>
    <b:Year>2017</b:Year>
    <b:YearAccessed>2021</b:YearAccessed>
    <b:MonthAccessed>August</b:MonthAccessed>
    <b:DayAccessed>24</b:DayAccessed>
    <b:URL>https://www.healthline.com/health/mental-health-professionals-types</b:URL>
    <b:RefOrder>13</b:RefOrder>
  </b:Source>
  <b:Source>
    <b:Tag>NHS217</b:Tag>
    <b:SourceType>InternetSite</b:SourceType>
    <b:Guid>{A8F9FEB3-9DAA-47FA-9F4B-CB6CC63F76EE}</b:Guid>
    <b:Author>
      <b:Author>
        <b:Corporate>NHS</b:Corporate>
      </b:Author>
    </b:Author>
    <b:Title>Personal characteristics and skills required (mental health nursing)</b:Title>
    <b:Year>2021</b:Year>
    <b:YearAccessed>2021</b:YearAccessed>
    <b:MonthAccessed>August</b:MonthAccessed>
    <b:DayAccessed>24</b:DayAccessed>
    <b:URL>https://www.healthcareers.nhs.uk/explore-roles/nursing/roles-nursing/mental-health-nurse/personal-characteristics-and-skills-required-mental-health-nursing</b:URL>
    <b:RefOrder>14</b:RefOrder>
  </b:Source>
  <b:Source>
    <b:Tag>UKG213</b:Tag>
    <b:SourceType>InternetSite</b:SourceType>
    <b:Guid>{BED5C168-0988-4871-9432-FC06BADE2F08}</b:Guid>
    <b:Title>Mental Health Act 2007</b:Title>
    <b:Year>2021</b:Year>
    <b:Author>
      <b:Author>
        <b:Corporate>UK Government</b:Corporate>
      </b:Author>
    </b:Author>
    <b:YearAccessed>2021</b:YearAccessed>
    <b:MonthAccessed>August</b:MonthAccessed>
    <b:DayAccessed>24</b:DayAccessed>
    <b:URL>https://www.legislation.gov.uk/ukpga/2007/12/contents</b:URL>
    <b:RefOrder>15</b:RefOrder>
  </b:Source>
  <b:Source>
    <b:Tag>Wil191</b:Tag>
    <b:SourceType>JournalArticle</b:SourceType>
    <b:Guid>{2B23CF4E-BA29-4A3D-81B7-709DCD8F9051}</b:Guid>
    <b:Title>Multiple perspectives on attachment theory: Investigating educators’ knowledge and understanding</b:Title>
    <b:JournalName>Australasian Journal of Early Childhood</b:JournalName>
    <b:Year>2019</b:Year>
    <b:Pages>215-229</b:Pages>
    <b:Volume>44</b:Volume>
    <b:Issue>3</b:Issue>
    <b:Author>
      <b:Author>
        <b:NameList>
          <b:Person>
            <b:Last>Wilson-Ali</b:Last>
            <b:First>N.</b:First>
          </b:Person>
          <b:Person>
            <b:Last>Barratt-Pugh</b:Last>
            <b:First>C.</b:First>
          </b:Person>
          <b:Person>
            <b:Last>Knaus</b:Last>
            <b:First>M.</b:First>
          </b:Person>
        </b:NameList>
      </b:Author>
    </b:Author>
    <b:RefOrder>16</b:RefOrder>
  </b:Source>
  <b:Source>
    <b:Tag>Che207</b:Tag>
    <b:SourceType>InternetSite</b:SourceType>
    <b:Guid>{37B00A55-0BE6-4FB3-B8B6-0B521AC1FF16}</b:Guid>
    <b:Author>
      <b:Author>
        <b:NameList>
          <b:Person>
            <b:Last>Cherry</b:Last>
            <b:First>Kendra</b:First>
          </b:Person>
        </b:NameList>
      </b:Author>
    </b:Author>
    <b:Title>Freud's Id, Ego, and Superego </b:Title>
    <b:Year>2020</b:Year>
    <b:Month>November</b:Month>
    <b:Day>20</b:Day>
    <b:YearAccessed>2021</b:YearAccessed>
    <b:MonthAccessed>August</b:MonthAccessed>
    <b:DayAccessed>24</b:DayAccessed>
    <b:URL>https://www.verywellmind.com/the-id-ego-and-superego-2795951</b:URL>
    <b:RefOrder>3</b:RefOrder>
  </b:Source>
  <b:Source>
    <b:Tag>Ken202</b:Tag>
    <b:SourceType>InternetSite</b:SourceType>
    <b:Guid>{15671C6B-60DF-4C6B-B7AC-620229192BD7}</b:Guid>
    <b:Author>
      <b:Author>
        <b:NameList>
          <b:Person>
            <b:Last>Cherry</b:Last>
            <b:First>Kendra</b:First>
          </b:Person>
        </b:NameList>
      </b:Author>
    </b:Author>
    <b:Title>Freud's Psychosexual Stages of Development </b:Title>
    <b:Year>2020</b:Year>
    <b:Month>November</b:Month>
    <b:Day>19</b:Day>
    <b:YearAccessed>2021</b:YearAccessed>
    <b:MonthAccessed>August</b:MonthAccessed>
    <b:DayAccessed>24</b:DayAccessed>
    <b:URL>https://www.verywellmind.com/freuds-stages-of-psychosexual-development-2795962</b:URL>
    <b:RefOrder>4</b:RefOrder>
  </b:Source>
  <b:Source>
    <b:Tag>Nic162</b:Tag>
    <b:SourceType>JournalArticle</b:SourceType>
    <b:Guid>{AB475B93-5D50-4FE4-9EE0-A9F14B643106}</b:Guid>
    <b:Author>
      <b:Author>
        <b:NameList>
          <b:Person>
            <b:Last>Nicolosi</b:Last>
            <b:First>J.</b:First>
          </b:Person>
        </b:NameList>
      </b:Author>
    </b:Author>
    <b:Title>What Freud Really Said about Homosexuality and Why</b:Title>
    <b:Year>2016</b:Year>
    <b:JournalName>Journal of Human Sexuality</b:JournalName>
    <b:Pages>24-22</b:Pages>
    <b:Volume>7</b:Volume>
    <b:RefOrder>5</b:RefOrder>
  </b:Source>
  <b:Source>
    <b:Tag>Wal201</b:Tag>
    <b:SourceType>Book</b:SourceType>
    <b:Guid>{B52F682E-7EA8-4093-BF40-8732F0F86D75}</b:Guid>
    <b:Author>
      <b:Author>
        <b:NameList>
          <b:Person>
            <b:Last>Walters</b:Last>
            <b:First>S.</b:First>
          </b:Person>
        </b:NameList>
      </b:Author>
    </b:Author>
    <b:Title>14.3 Psychodynamic Origins of Personality</b:Title>
    <b:Year>2020</b:Year>
    <b:Publisher>Psychology-1st Canadian Edition</b:Publisher>
    <b:RefOrder>6</b:RefOrder>
  </b:Source>
  <b:Source>
    <b:Tag>Lot20</b:Tag>
    <b:SourceType>JournalArticle</b:SourceType>
    <b:Guid>{5D18246D-6ACE-4CFE-87CB-B9E3AC0EFF47}</b:Guid>
    <b:Author>
      <b:Author>
        <b:NameList>
          <b:Person>
            <b:Last>Houtepen</b:Last>
            <b:First>Lotte</b:First>
            <b:Middle>C</b:Middle>
          </b:Person>
          <b:Person>
            <b:Last>Heron</b:Last>
            <b:First>Jon</b:First>
          </b:Person>
          <b:Person>
            <b:Last>Suderman</b:Last>
            <b:First>Matthew</b:First>
            <b:Middle>J</b:Middle>
          </b:Person>
          <b:Person>
            <b:Last>Fraser</b:Last>
            <b:First>Abigail</b:First>
          </b:Person>
          <b:Person>
            <b:Last>Chittleborough</b:Last>
            <b:First>Catherine</b:First>
            <b:Middle>R</b:Middle>
          </b:Person>
          <b:Person>
            <b:Last>Howe</b:Last>
            <b:First>Laura</b:First>
            <b:Middle>D</b:Middle>
          </b:Person>
        </b:NameList>
      </b:Author>
    </b:Author>
    <b:Title>Associations of adverse childhood experiences with educational attainment and adolescent health and the role of family and socioeconomic factors: A prospective cohort study in the UK </b:Title>
    <b:JournalName>PLoS Med</b:JournalName>
    <b:Year>2020</b:Year>
    <b:Month>March</b:Month>
    <b:Volume>17</b:Volume>
    <b:Issue>3</b:Issue>
    <b:RefOrder>18</b:RefOrder>
  </b:Source>
  <b:Source>
    <b:Tag>Mar149</b:Tag>
    <b:SourceType>JournalArticle</b:SourceType>
    <b:Guid>{C441E130-863E-4D9C-9057-69140E0BD142}</b:Guid>
    <b:Author>
      <b:Author>
        <b:NameList>
          <b:Person>
            <b:Last>Bellis</b:Last>
            <b:First>Mark</b:First>
            <b:Middle>A</b:Middle>
          </b:Person>
          <b:Person>
            <b:Last>Hughes</b:Last>
            <b:First>Karen</b:First>
          </b:Person>
          <b:Person>
            <b:Last>Leckenby</b:Last>
            <b:First>Nicola</b:First>
          </b:Person>
          <b:Person>
            <b:Last>Perkins</b:Last>
            <b:First>Clare</b:First>
          </b:Person>
          <b:Person>
            <b:Last>Lowey</b:Last>
            <b:First>Helen</b:First>
          </b:Person>
        </b:NameList>
      </b:Author>
    </b:Author>
    <b:Title>National household survey of adverse childhood experiences and their relationship with resilience to health-harming behaviors in England</b:Title>
    <b:JournalName>BMC Medicine</b:JournalName>
    <b:Year>2014</b:Year>
    <b:Pages>1-10</b:Pages>
    <b:Volume>12</b:Volume>
    <b:Issue>72</b:Issue>
    <b:RefOrder>7</b:RefOrder>
  </b:Source>
  <b:Source>
    <b:Tag>Suj151</b:Tag>
    <b:SourceType>JournalArticle</b:SourceType>
    <b:Guid>{0621D438-F792-4832-A7E1-1F490420C177}</b:Guid>
    <b:Author>
      <b:Author>
        <b:NameList>
          <b:Person>
            <b:Last>Kar</b:Last>
            <b:First>Sujita</b:First>
            <b:Middle>Kumar</b:Middle>
          </b:Person>
          <b:Person>
            <b:Last>Choudhury</b:Last>
            <b:First>Ananya</b:First>
          </b:Person>
          <b:Person>
            <b:Last>Singh</b:Last>
            <b:First>Abhishek</b:First>
            <b:Middle>Pratap</b:Middle>
          </b:Person>
        </b:NameList>
      </b:Author>
    </b:Author>
    <b:Title>Understanding normal development of adolescent sexuality: A bumpy ride</b:Title>
    <b:JournalName>Journal of Human Reproductive Science</b:JournalName>
    <b:Year>2015</b:Year>
    <b:Month>April-June</b:Month>
    <b:Pages>70-74</b:Pages>
    <b:Volume>8</b:Volume>
    <b:Issue>2</b:Issue>
    <b:RefOrder>8</b:RefOrder>
  </b:Source>
  <b:Source>
    <b:Tag>God181</b:Tag>
    <b:SourceType>JournalArticle</b:SourceType>
    <b:Guid>{CDC251E9-0F12-4E08-8423-A1A6D767A091}</b:Guid>
    <b:Author>
      <b:Author>
        <b:NameList>
          <b:Person>
            <b:Last>Godoi</b:Last>
            <b:First>Daniela</b:First>
            <b:Middle>Oliveira</b:Middle>
          </b:Person>
          <b:Person>
            <b:Last>Fiamenghi-Jr</b:Last>
            <b:First>Geraldo</b:First>
            <b:Middle>Antonio</b:Middle>
          </b:Person>
        </b:NameList>
      </b:Author>
    </b:Author>
    <b:Title>Effects of a Rupture in Psychosexual Development: A Theoretical Case Study on Sexual Abuse</b:Title>
    <b:Year>2018</b:Year>
    <b:JournalName>Open Science Journal of Psychology</b:JournalName>
    <b:Pages>24-27</b:Pages>
    <b:Volume>5</b:Volume>
    <b:Issue>3</b:Issue>
    <b:RefOrder>9</b:RefOrder>
  </b:Source>
  <b:Source>
    <b:Tag>Che193</b:Tag>
    <b:SourceType>InternetSite</b:SourceType>
    <b:Guid>{B7EB641C-6234-47BF-8490-B9DF61D69B91}</b:Guid>
    <b:Author>
      <b:Author>
        <b:NameList>
          <b:Person>
            <b:Last>Cherry</b:Last>
            <b:First>Kendra</b:First>
          </b:Person>
        </b:NameList>
      </b:Author>
    </b:Author>
    <b:Title>Sociocultural Theory of Cognitive Development </b:Title>
    <b:Year>2019</b:Year>
    <b:Month>November</b:Month>
    <b:Day>26</b:Day>
    <b:YearAccessed>2021</b:YearAccessed>
    <b:MonthAccessed>August</b:MonthAccessed>
    <b:DayAccessed>27</b:DayAccessed>
    <b:URL>https://www.verywellmind.com/what-is-sociocultural-theory-2795088</b:URL>
    <b:RefOrder>2</b:RefOrder>
  </b:Source>
</b:Sources>
</file>

<file path=customXml/itemProps1.xml><?xml version="1.0" encoding="utf-8"?>
<ds:datastoreItem xmlns:ds="http://schemas.openxmlformats.org/officeDocument/2006/customXml" ds:itemID="{F520DF7E-44E6-F64B-9726-447D32366F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9</Pages>
  <Words>2261</Words>
  <Characters>12888</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Adriana Dulceneya Ribeiro Silva (2008480)</cp:lastModifiedBy>
  <cp:revision>2</cp:revision>
  <dcterms:created xsi:type="dcterms:W3CDTF">2021-08-27T19:22:00Z</dcterms:created>
  <dcterms:modified xsi:type="dcterms:W3CDTF">2021-08-27T19:22:00Z</dcterms:modified>
</cp:coreProperties>
</file>