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HOTEL HANDBOOK FOR INTERCULTURAL COMPETENCE</w:t>
      </w:r>
    </w:p>
    <w:p w:rsidR="00000000" w:rsidDel="00000000" w:rsidP="00000000" w:rsidRDefault="00000000" w:rsidRPr="00000000" w14:paraId="00000004">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NAME: Gabriel Neagu</w:t>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ID: 2121349</w:t>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MODULE NAME: CULTURAL AWARENESS</w:t>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MODULE ID: BMIH5003</w:t>
      </w:r>
    </w:p>
    <w:p w:rsidR="00000000" w:rsidDel="00000000" w:rsidP="00000000" w:rsidRDefault="00000000" w:rsidRPr="00000000" w14:paraId="0000000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B">
      <w:pPr>
        <w:pStyle w:val="Heading1"/>
        <w:spacing w:before="0" w:line="240" w:lineRule="auto"/>
        <w:rPr>
          <w:rFonts w:ascii="Times New Roman" w:cs="Times New Roman" w:eastAsia="Times New Roman" w:hAnsi="Times New Roman"/>
          <w:b w:val="1"/>
          <w:color w:val="000000"/>
          <w:sz w:val="24"/>
          <w:szCs w:val="24"/>
        </w:rPr>
      </w:pPr>
      <w:bookmarkStart w:colFirst="0" w:colLast="0" w:name="_gjdgxs" w:id="0"/>
      <w:bookmarkEnd w:id="0"/>
      <w:r w:rsidDel="00000000" w:rsidR="00000000" w:rsidRPr="00000000">
        <w:rPr>
          <w:rFonts w:ascii="Times New Roman" w:cs="Times New Roman" w:eastAsia="Times New Roman" w:hAnsi="Times New Roman"/>
          <w:b w:val="1"/>
          <w:color w:val="000000"/>
          <w:sz w:val="24"/>
          <w:szCs w:val="24"/>
          <w:rtl w:val="0"/>
        </w:rPr>
        <w:t xml:space="preserve">Executive summary</w:t>
      </w:r>
    </w:p>
    <w:p w:rsidR="00000000" w:rsidDel="00000000" w:rsidP="00000000" w:rsidRDefault="00000000" w:rsidRPr="00000000" w14:paraId="0000000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examines the cultural differences between Australia and England, with a focus on how these differences impact hotel service delivery. The report provides a handbook for hotel staff to successfully accommodate Australian guests and ensure a positive hospitality experience. Using Hofstede's cultural dimensions theory and the concept of high-context communication, the report identifies key cultural differences between Australia and England that have implications for hotel service delivery. These differences include communication styles, attitudes towards hierarchy, individualism versus collectivism and the importance of non-verbal communication.</w:t>
      </w:r>
    </w:p>
    <w:p w:rsidR="00000000" w:rsidDel="00000000" w:rsidP="00000000" w:rsidRDefault="00000000" w:rsidRPr="00000000" w14:paraId="0000000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then explores how different hotel departments and functions, including reception, food and beverage, and housekeeping, may need to adapt their service delivery to accommodate the specific cultural norms and requirements of Australian guests. The handbook summarizes key recommendations for staff in a 'Do's and Don'ts' </w:t>
      </w:r>
    </w:p>
    <w:p w:rsidR="00000000" w:rsidDel="00000000" w:rsidP="00000000" w:rsidRDefault="00000000" w:rsidRPr="00000000" w14:paraId="0000000E">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259" w:lineRule="auto"/>
            <w:ind w:left="0" w:right="0" w:firstLine="0"/>
            <w:jc w:val="left"/>
            <w:rPr>
              <w:rFonts w:ascii="Times New Roman" w:cs="Times New Roman" w:eastAsia="Times New Roman" w:hAnsi="Times New Roman"/>
              <w:b w:val="0"/>
              <w:i w:val="0"/>
              <w:smallCaps w:val="0"/>
              <w:strike w:val="0"/>
              <w:color w:val="0563c1"/>
              <w:sz w:val="24"/>
              <w:szCs w:val="24"/>
              <w:u w:val="singl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Executive summary</w:t>
              <w:tab/>
              <w:t xml:space="preserve">1</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259" w:lineRule="auto"/>
            <w:ind w:left="0" w:right="0" w:firstLine="0"/>
            <w:jc w:val="left"/>
            <w:rPr>
              <w:rFonts w:ascii="Times New Roman" w:cs="Times New Roman" w:eastAsia="Times New Roman" w:hAnsi="Times New Roman"/>
              <w:b w:val="0"/>
              <w:i w:val="0"/>
              <w:smallCaps w:val="0"/>
              <w:strike w:val="0"/>
              <w:color w:val="0563c1"/>
              <w:sz w:val="24"/>
              <w:szCs w:val="24"/>
              <w:u w:val="singl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259" w:lineRule="auto"/>
            <w:ind w:left="0" w:right="0" w:firstLine="0"/>
            <w:jc w:val="left"/>
            <w:rPr>
              <w:rFonts w:ascii="Times New Roman" w:cs="Times New Roman" w:eastAsia="Times New Roman" w:hAnsi="Times New Roman"/>
              <w:b w:val="0"/>
              <w:i w:val="0"/>
              <w:smallCaps w:val="0"/>
              <w:strike w:val="0"/>
              <w:color w:val="0563c1"/>
              <w:sz w:val="24"/>
              <w:szCs w:val="24"/>
              <w:u w:val="singl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Country A Hotel location (England)</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259" w:lineRule="auto"/>
            <w:ind w:left="0" w:right="0" w:firstLine="0"/>
            <w:jc w:val="left"/>
            <w:rPr>
              <w:rFonts w:ascii="Times New Roman" w:cs="Times New Roman" w:eastAsia="Times New Roman" w:hAnsi="Times New Roman"/>
              <w:b w:val="0"/>
              <w:i w:val="0"/>
              <w:smallCaps w:val="0"/>
              <w:strike w:val="0"/>
              <w:color w:val="0563c1"/>
              <w:sz w:val="24"/>
              <w:szCs w:val="24"/>
              <w:u w:val="singl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Country B (Australia)</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259" w:lineRule="auto"/>
            <w:ind w:left="0" w:right="0" w:firstLine="0"/>
            <w:jc w:val="left"/>
            <w:rPr>
              <w:rFonts w:ascii="Times New Roman" w:cs="Times New Roman" w:eastAsia="Times New Roman" w:hAnsi="Times New Roman"/>
              <w:b w:val="0"/>
              <w:i w:val="0"/>
              <w:smallCaps w:val="0"/>
              <w:strike w:val="0"/>
              <w:color w:val="0563c1"/>
              <w:sz w:val="24"/>
              <w:szCs w:val="24"/>
              <w:u w:val="singl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Country Analysis</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259" w:lineRule="auto"/>
            <w:ind w:left="0" w:right="0" w:firstLine="0"/>
            <w:jc w:val="left"/>
            <w:rPr>
              <w:rFonts w:ascii="Times New Roman" w:cs="Times New Roman" w:eastAsia="Times New Roman" w:hAnsi="Times New Roman"/>
              <w:b w:val="0"/>
              <w:i w:val="0"/>
              <w:smallCaps w:val="0"/>
              <w:strike w:val="0"/>
              <w:color w:val="0563c1"/>
              <w:sz w:val="24"/>
              <w:szCs w:val="24"/>
              <w:u w:val="singl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Hotel Handbook for Understanding Cultural Behaviour</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259" w:lineRule="auto"/>
            <w:ind w:left="220" w:right="0" w:firstLine="0"/>
            <w:jc w:val="left"/>
            <w:rPr>
              <w:rFonts w:ascii="Times New Roman" w:cs="Times New Roman" w:eastAsia="Times New Roman" w:hAnsi="Times New Roman"/>
              <w:b w:val="0"/>
              <w:i w:val="0"/>
              <w:smallCaps w:val="0"/>
              <w:strike w:val="0"/>
              <w:color w:val="0563c1"/>
              <w:sz w:val="24"/>
              <w:szCs w:val="24"/>
              <w:u w:val="singl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Do’s:</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259" w:lineRule="auto"/>
            <w:ind w:left="220" w:right="0" w:firstLine="0"/>
            <w:jc w:val="left"/>
            <w:rPr>
              <w:rFonts w:ascii="Times New Roman" w:cs="Times New Roman" w:eastAsia="Times New Roman" w:hAnsi="Times New Roman"/>
              <w:b w:val="0"/>
              <w:i w:val="0"/>
              <w:smallCaps w:val="0"/>
              <w:strike w:val="0"/>
              <w:color w:val="0563c1"/>
              <w:sz w:val="24"/>
              <w:szCs w:val="24"/>
              <w:u w:val="singl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Don’ts:</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259" w:lineRule="auto"/>
            <w:ind w:left="0" w:right="0" w:firstLine="0"/>
            <w:jc w:val="left"/>
            <w:rPr>
              <w:rFonts w:ascii="Times New Roman" w:cs="Times New Roman" w:eastAsia="Times New Roman" w:hAnsi="Times New Roman"/>
              <w:b w:val="0"/>
              <w:i w:val="0"/>
              <w:smallCaps w:val="0"/>
              <w:strike w:val="0"/>
              <w:color w:val="0563c1"/>
              <w:sz w:val="24"/>
              <w:szCs w:val="24"/>
              <w:u w:val="singl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 / summary</w:t>
              <w:tab/>
              <w:t xml:space="preserve">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259" w:lineRule="auto"/>
            <w:ind w:left="0" w:right="0" w:firstLine="0"/>
            <w:jc w:val="left"/>
            <w:rPr>
              <w:rFonts w:ascii="Times New Roman" w:cs="Times New Roman" w:eastAsia="Times New Roman" w:hAnsi="Times New Roman"/>
              <w:b w:val="0"/>
              <w:i w:val="0"/>
              <w:smallCaps w:val="0"/>
              <w:strike w:val="0"/>
              <w:color w:val="0563c1"/>
              <w:sz w:val="24"/>
              <w:szCs w:val="24"/>
              <w:u w:val="singl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w:t>
              <w:tab/>
              <w:t xml:space="preserve">7</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259" w:lineRule="auto"/>
            <w:ind w:left="0" w:right="0" w:firstLine="0"/>
            <w:jc w:val="left"/>
            <w:rPr>
              <w:rFonts w:ascii="Calibri" w:cs="Calibri" w:eastAsia="Calibri" w:hAnsi="Calibri"/>
              <w:b w:val="0"/>
              <w:i w:val="0"/>
              <w:smallCaps w:val="0"/>
              <w:strike w:val="0"/>
              <w:color w:val="0563c1"/>
              <w:sz w:val="22"/>
              <w:szCs w:val="22"/>
              <w:u w:val="singl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E">
      <w:pPr>
        <w:spacing w:after="0" w:line="240" w:lineRule="auto"/>
        <w:rPr>
          <w:rFonts w:ascii="Times New Roman" w:cs="Times New Roman" w:eastAsia="Times New Roman" w:hAnsi="Times New Roman"/>
          <w:b w:val="1"/>
          <w:color w:val="000000"/>
          <w:sz w:val="24"/>
          <w:szCs w:val="24"/>
        </w:rPr>
      </w:pPr>
      <w:bookmarkStart w:colFirst="0" w:colLast="0" w:name="_30j0zll" w:id="1"/>
      <w:bookmarkEnd w:id="1"/>
      <w:r w:rsidDel="00000000" w:rsidR="00000000" w:rsidRPr="00000000">
        <w:rPr>
          <w:rFonts w:ascii="Times New Roman" w:cs="Times New Roman" w:eastAsia="Times New Roman" w:hAnsi="Times New Roman"/>
          <w:b w:val="1"/>
          <w:color w:val="000000"/>
          <w:sz w:val="24"/>
          <w:szCs w:val="24"/>
          <w:rtl w:val="0"/>
        </w:rPr>
        <w:t xml:space="preserve">Introduction </w:t>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52525"/>
          <w:sz w:val="24"/>
          <w:szCs w:val="24"/>
          <w:rtl w:val="0"/>
        </w:rPr>
        <w:t xml:space="preserve">This report will look at how Hofstede's theory of cultural dimensions can be used to analyse how the cultures of England and Australia differ from one another in a hotel environment. A framework for comprehending how cultural diversity can affect behaviour, dialogue, and business processes is provided by Hofstede's theory. Hofstede's theory of cultural factors was created by Dutch social scientist Geert Hofstede.</w:t>
      </w:r>
      <w:r w:rsidDel="00000000" w:rsidR="00000000" w:rsidRPr="00000000">
        <w:rPr>
          <w:rFonts w:ascii="Times New Roman" w:cs="Times New Roman" w:eastAsia="Times New Roman" w:hAnsi="Times New Roman"/>
          <w:sz w:val="24"/>
          <w:szCs w:val="24"/>
          <w:rtl w:val="0"/>
        </w:rPr>
        <w:t xml:space="preserve"> This report will provide a comprehensive analysis of the cultural differences between the two countries and offer practical recommendations for hotel employees to navigate these differences.</w:t>
      </w:r>
    </w:p>
    <w:p w:rsidR="00000000" w:rsidDel="00000000" w:rsidP="00000000" w:rsidRDefault="00000000" w:rsidRPr="00000000" w14:paraId="00000020">
      <w:pPr>
        <w:pStyle w:val="Heading1"/>
        <w:spacing w:before="0" w:line="240" w:lineRule="auto"/>
        <w:rPr>
          <w:rFonts w:ascii="Times New Roman" w:cs="Times New Roman" w:eastAsia="Times New Roman" w:hAnsi="Times New Roman"/>
          <w:b w:val="1"/>
          <w:color w:val="000000"/>
          <w:sz w:val="24"/>
          <w:szCs w:val="24"/>
        </w:rPr>
      </w:pPr>
      <w:bookmarkStart w:colFirst="0" w:colLast="0" w:name="_1fob9te" w:id="2"/>
      <w:bookmarkEnd w:id="2"/>
      <w:r w:rsidDel="00000000" w:rsidR="00000000" w:rsidRPr="00000000">
        <w:rPr>
          <w:rFonts w:ascii="Times New Roman" w:cs="Times New Roman" w:eastAsia="Times New Roman" w:hAnsi="Times New Roman"/>
          <w:b w:val="1"/>
          <w:color w:val="000000"/>
          <w:sz w:val="24"/>
          <w:szCs w:val="24"/>
          <w:rtl w:val="0"/>
        </w:rPr>
        <w:t xml:space="preserve">Country A Hotel location (England)</w:t>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England is a country located in the United Kingdom and a popular tourist destination for people from all over the world, including Australia. The country has a rich history, diverse culture, and many famous landmarks.</w:t>
      </w:r>
    </w:p>
    <w:p w:rsidR="00000000" w:rsidDel="00000000" w:rsidP="00000000" w:rsidRDefault="00000000" w:rsidRPr="00000000" w14:paraId="0000002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six cultural characteristics listed in Hofstede's model—power distance, autonomy vs. unity, masculinity vs. femininity, ambiguity avoidance, long-term vs. short-term bias, and indulgence vs. restraint—can be used to analyse a nation's culture. The following table summarizes the cultural dimensions of England:</w:t>
      </w:r>
    </w:p>
    <w:tbl>
      <w:tblPr>
        <w:tblStyle w:val="Table1"/>
        <w:tblW w:w="9360.0" w:type="dxa"/>
        <w:jc w:val="left"/>
        <w:tblBorders>
          <w:top w:color="000000" w:space="0" w:sz="0" w:val="nil"/>
          <w:left w:color="000000" w:space="0" w:sz="0" w:val="nil"/>
          <w:bottom w:color="000000" w:space="0" w:sz="0" w:val="nil"/>
          <w:right w:color="000000" w:space="0" w:sz="0" w:val="nil"/>
          <w:insideH w:color="000000" w:space="0" w:sz="4" w:val="single"/>
          <w:insideV w:color="000000" w:space="0" w:sz="4" w:val="single"/>
        </w:tblBorders>
        <w:tblLayout w:type="fixed"/>
        <w:tblLook w:val="0600"/>
      </w:tblPr>
      <w:tblGrid>
        <w:gridCol w:w="4680"/>
        <w:gridCol w:w="4680"/>
        <w:tblGridChange w:id="0">
          <w:tblGrid>
            <w:gridCol w:w="4680"/>
            <w:gridCol w:w="4680"/>
          </w:tblGrid>
        </w:tblGridChange>
      </w:tblGrid>
      <w:tr>
        <w:trPr>
          <w:cantSplit w:val="0"/>
          <w:trHeight w:val="300" w:hRule="atLeast"/>
          <w:tblHeader w:val="0"/>
        </w:trPr>
        <w:tc>
          <w:tcPr>
            <w:tcBorders>
              <w:top w:color="d9d9e3" w:space="0" w:sz="6" w:val="single"/>
              <w:left w:color="d9d9e3" w:space="0" w:sz="6" w:val="single"/>
              <w:bottom w:color="d9d9e3" w:space="0" w:sz="6" w:val="single"/>
              <w:right w:color="000000" w:space="0" w:sz="0" w:val="nil"/>
            </w:tcBorders>
            <w:vAlign w:val="bottom"/>
          </w:tcPr>
          <w:p w:rsidR="00000000" w:rsidDel="00000000" w:rsidP="00000000" w:rsidRDefault="00000000" w:rsidRPr="00000000" w14:paraId="0000002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Cultural Dimension</w:t>
            </w:r>
          </w:p>
        </w:tc>
        <w:tc>
          <w:tcPr>
            <w:tcBorders>
              <w:top w:color="d9d9e3" w:space="0" w:sz="6" w:val="single"/>
              <w:left w:color="d9d9e3" w:space="0" w:sz="6" w:val="single"/>
              <w:bottom w:color="d9d9e3" w:space="0" w:sz="6" w:val="single"/>
              <w:right w:color="d9d9e3" w:space="0" w:sz="6" w:val="single"/>
            </w:tcBorders>
            <w:vAlign w:val="bottom"/>
          </w:tcPr>
          <w:p w:rsidR="00000000" w:rsidDel="00000000" w:rsidP="00000000" w:rsidRDefault="00000000" w:rsidRPr="00000000" w14:paraId="00000024">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England's Score</w:t>
            </w:r>
          </w:p>
        </w:tc>
      </w:tr>
      <w:tr>
        <w:trPr>
          <w:cantSplit w:val="0"/>
          <w:trHeight w:val="300" w:hRule="atLeast"/>
          <w:tblHeader w:val="0"/>
        </w:trPr>
        <w:tc>
          <w:tcPr>
            <w:tcBorders>
              <w:top w:color="000000" w:space="0" w:sz="0" w:val="nil"/>
              <w:left w:color="d9d9e3" w:space="0" w:sz="6" w:val="single"/>
              <w:bottom w:color="d9d9e3" w:space="0" w:sz="6" w:val="single"/>
              <w:right w:color="000000" w:space="0" w:sz="0" w:val="nil"/>
            </w:tcBorders>
          </w:tcPr>
          <w:p w:rsidR="00000000" w:rsidDel="00000000" w:rsidP="00000000" w:rsidRDefault="00000000" w:rsidRPr="00000000" w14:paraId="0000002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Power Distance</w:t>
            </w:r>
          </w:p>
        </w:tc>
        <w:tc>
          <w:tcPr>
            <w:tcBorders>
              <w:top w:color="000000" w:space="0" w:sz="0" w:val="nil"/>
              <w:left w:color="d9d9e3" w:space="0" w:sz="6" w:val="single"/>
              <w:bottom w:color="d9d9e3" w:space="0" w:sz="6" w:val="single"/>
              <w:right w:color="d9d9e3" w:space="0" w:sz="6" w:val="single"/>
            </w:tcBorders>
          </w:tcPr>
          <w:p w:rsidR="00000000" w:rsidDel="00000000" w:rsidP="00000000" w:rsidRDefault="00000000" w:rsidRPr="00000000" w14:paraId="0000002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w:t>
            </w:r>
          </w:p>
        </w:tc>
      </w:tr>
      <w:tr>
        <w:trPr>
          <w:cantSplit w:val="0"/>
          <w:trHeight w:val="300" w:hRule="atLeast"/>
          <w:tblHeader w:val="0"/>
        </w:trPr>
        <w:tc>
          <w:tcPr>
            <w:tcBorders>
              <w:top w:color="000000" w:space="0" w:sz="0" w:val="nil"/>
              <w:left w:color="d9d9e3" w:space="0" w:sz="6" w:val="single"/>
              <w:bottom w:color="d9d9e3" w:space="0" w:sz="6" w:val="single"/>
              <w:right w:color="000000" w:space="0" w:sz="0" w:val="nil"/>
            </w:tcBorders>
          </w:tcPr>
          <w:p w:rsidR="00000000" w:rsidDel="00000000" w:rsidP="00000000" w:rsidRDefault="00000000" w:rsidRPr="00000000" w14:paraId="0000002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Individualism vs. Collectivism</w:t>
            </w:r>
          </w:p>
        </w:tc>
        <w:tc>
          <w:tcPr>
            <w:tcBorders>
              <w:top w:color="000000" w:space="0" w:sz="0" w:val="nil"/>
              <w:left w:color="d9d9e3" w:space="0" w:sz="6" w:val="single"/>
              <w:bottom w:color="d9d9e3" w:space="0" w:sz="6" w:val="single"/>
              <w:right w:color="d9d9e3" w:space="0" w:sz="6" w:val="single"/>
            </w:tcBorders>
          </w:tcPr>
          <w:p w:rsidR="00000000" w:rsidDel="00000000" w:rsidP="00000000" w:rsidRDefault="00000000" w:rsidRPr="00000000" w14:paraId="0000002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89</w:t>
            </w:r>
          </w:p>
        </w:tc>
      </w:tr>
      <w:tr>
        <w:trPr>
          <w:cantSplit w:val="0"/>
          <w:trHeight w:val="300" w:hRule="atLeast"/>
          <w:tblHeader w:val="0"/>
        </w:trPr>
        <w:tc>
          <w:tcPr>
            <w:tcBorders>
              <w:top w:color="000000" w:space="0" w:sz="0" w:val="nil"/>
              <w:left w:color="d9d9e3" w:space="0" w:sz="6" w:val="single"/>
              <w:bottom w:color="d9d9e3" w:space="0" w:sz="6" w:val="single"/>
              <w:right w:color="000000" w:space="0" w:sz="0" w:val="nil"/>
            </w:tcBorders>
          </w:tcPr>
          <w:p w:rsidR="00000000" w:rsidDel="00000000" w:rsidP="00000000" w:rsidRDefault="00000000" w:rsidRPr="00000000" w14:paraId="00000029">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Masculinity vs. Femininity</w:t>
            </w:r>
          </w:p>
        </w:tc>
        <w:tc>
          <w:tcPr>
            <w:tcBorders>
              <w:top w:color="000000" w:space="0" w:sz="0" w:val="nil"/>
              <w:left w:color="d9d9e3" w:space="0" w:sz="6" w:val="single"/>
              <w:bottom w:color="d9d9e3" w:space="0" w:sz="6" w:val="single"/>
              <w:right w:color="d9d9e3" w:space="0" w:sz="6" w:val="single"/>
            </w:tcBorders>
          </w:tcPr>
          <w:p w:rsidR="00000000" w:rsidDel="00000000" w:rsidP="00000000" w:rsidRDefault="00000000" w:rsidRPr="00000000" w14:paraId="0000002A">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66</w:t>
            </w:r>
          </w:p>
        </w:tc>
      </w:tr>
      <w:tr>
        <w:trPr>
          <w:cantSplit w:val="0"/>
          <w:trHeight w:val="300" w:hRule="atLeast"/>
          <w:tblHeader w:val="0"/>
        </w:trPr>
        <w:tc>
          <w:tcPr>
            <w:tcBorders>
              <w:top w:color="000000" w:space="0" w:sz="0" w:val="nil"/>
              <w:left w:color="d9d9e3" w:space="0" w:sz="6" w:val="single"/>
              <w:bottom w:color="d9d9e3" w:space="0" w:sz="6" w:val="single"/>
              <w:right w:color="000000" w:space="0" w:sz="0" w:val="nil"/>
            </w:tcBorders>
          </w:tcPr>
          <w:p w:rsidR="00000000" w:rsidDel="00000000" w:rsidP="00000000" w:rsidRDefault="00000000" w:rsidRPr="00000000" w14:paraId="0000002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Uncertainty Avoidance</w:t>
            </w:r>
          </w:p>
        </w:tc>
        <w:tc>
          <w:tcPr>
            <w:tcBorders>
              <w:top w:color="000000" w:space="0" w:sz="0" w:val="nil"/>
              <w:left w:color="d9d9e3" w:space="0" w:sz="6" w:val="single"/>
              <w:bottom w:color="d9d9e3" w:space="0" w:sz="6" w:val="single"/>
              <w:right w:color="d9d9e3" w:space="0" w:sz="6" w:val="single"/>
            </w:tcBorders>
          </w:tcPr>
          <w:p w:rsidR="00000000" w:rsidDel="00000000" w:rsidP="00000000" w:rsidRDefault="00000000" w:rsidRPr="00000000" w14:paraId="0000002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w:t>
            </w:r>
          </w:p>
        </w:tc>
      </w:tr>
      <w:tr>
        <w:trPr>
          <w:cantSplit w:val="0"/>
          <w:trHeight w:val="300" w:hRule="atLeast"/>
          <w:tblHeader w:val="0"/>
        </w:trPr>
        <w:tc>
          <w:tcPr>
            <w:tcBorders>
              <w:top w:color="000000" w:space="0" w:sz="0" w:val="nil"/>
              <w:left w:color="d9d9e3" w:space="0" w:sz="6" w:val="single"/>
              <w:bottom w:color="d9d9e3" w:space="0" w:sz="6" w:val="single"/>
              <w:right w:color="000000" w:space="0" w:sz="0" w:val="nil"/>
            </w:tcBorders>
          </w:tcPr>
          <w:p w:rsidR="00000000" w:rsidDel="00000000" w:rsidP="00000000" w:rsidRDefault="00000000" w:rsidRPr="00000000" w14:paraId="0000002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Long-term vs. Short-term Orientation</w:t>
            </w:r>
          </w:p>
        </w:tc>
        <w:tc>
          <w:tcPr>
            <w:tcBorders>
              <w:top w:color="000000" w:space="0" w:sz="0" w:val="nil"/>
              <w:left w:color="d9d9e3" w:space="0" w:sz="6" w:val="single"/>
              <w:bottom w:color="d9d9e3" w:space="0" w:sz="6" w:val="single"/>
              <w:right w:color="d9d9e3" w:space="0" w:sz="6" w:val="single"/>
            </w:tcBorders>
          </w:tcPr>
          <w:p w:rsidR="00000000" w:rsidDel="00000000" w:rsidP="00000000" w:rsidRDefault="00000000" w:rsidRPr="00000000" w14:paraId="0000002E">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w:t>
            </w:r>
          </w:p>
        </w:tc>
      </w:tr>
      <w:tr>
        <w:trPr>
          <w:cantSplit w:val="0"/>
          <w:trHeight w:val="300" w:hRule="atLeast"/>
          <w:tblHeader w:val="0"/>
        </w:trPr>
        <w:tc>
          <w:tcPr>
            <w:tcBorders>
              <w:top w:color="000000" w:space="0" w:sz="0" w:val="nil"/>
              <w:left w:color="d9d9e3" w:space="0" w:sz="6" w:val="single"/>
              <w:bottom w:color="d9d9e3" w:space="0" w:sz="6" w:val="single"/>
              <w:right w:color="000000" w:space="0" w:sz="0" w:val="nil"/>
            </w:tcBorders>
          </w:tcPr>
          <w:p w:rsidR="00000000" w:rsidDel="00000000" w:rsidP="00000000" w:rsidRDefault="00000000" w:rsidRPr="00000000" w14:paraId="0000002F">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Indulgence vs. Restraint</w:t>
            </w:r>
          </w:p>
        </w:tc>
        <w:tc>
          <w:tcPr>
            <w:tcBorders>
              <w:top w:color="000000" w:space="0" w:sz="0" w:val="nil"/>
              <w:left w:color="d9d9e3" w:space="0" w:sz="6" w:val="single"/>
              <w:bottom w:color="d9d9e3" w:space="0" w:sz="6" w:val="single"/>
              <w:right w:color="d9d9e3" w:space="0" w:sz="6" w:val="single"/>
            </w:tcBorders>
          </w:tcPr>
          <w:p w:rsidR="00000000" w:rsidDel="00000000" w:rsidP="00000000" w:rsidRDefault="00000000" w:rsidRPr="00000000" w14:paraId="0000003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69</w:t>
            </w:r>
          </w:p>
        </w:tc>
      </w:tr>
    </w:tbl>
    <w:p w:rsidR="00000000" w:rsidDel="00000000" w:rsidP="00000000" w:rsidRDefault="00000000" w:rsidRPr="00000000" w14:paraId="0000003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Hofstede Insights, 2023)</w:t>
      </w:r>
    </w:p>
    <w:p w:rsidR="00000000" w:rsidDel="00000000" w:rsidP="00000000" w:rsidRDefault="00000000" w:rsidRPr="00000000" w14:paraId="00000032">
      <w:pPr>
        <w:spacing w:line="36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acceptance of an uneven allocation of power within a community is referred to as "power distance." Because of the minimal power distance in England, individuals there are more likely to respect freedom, equality, and individual liberties. This is evident in the nation's governmental structure, which is founded on a parliamentary democracy and a constitutional monarchy (Hofstede Insights, 2023).</w:t>
      </w:r>
    </w:p>
    <w:p w:rsidR="00000000" w:rsidDel="00000000" w:rsidP="00000000" w:rsidRDefault="00000000" w:rsidRPr="00000000" w14:paraId="0000003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52525"/>
          <w:sz w:val="24"/>
          <w:szCs w:val="24"/>
          <w:rtl w:val="0"/>
        </w:rPr>
        <w:t xml:space="preserve">Individualism vs. collectivism refers to the degree to which members of a community respect either individual or group interests. </w:t>
      </w:r>
      <w:r w:rsidDel="00000000" w:rsidR="00000000" w:rsidRPr="00000000">
        <w:rPr>
          <w:rFonts w:ascii="Times New Roman" w:cs="Times New Roman" w:eastAsia="Times New Roman" w:hAnsi="Times New Roman"/>
          <w:sz w:val="24"/>
          <w:szCs w:val="24"/>
          <w:rtl w:val="0"/>
        </w:rPr>
        <w:t xml:space="preserve">England is an individualistic society, where people value personal freedom, autonomy, and achievement (Hofstede Insights, 2023).</w:t>
      </w:r>
    </w:p>
    <w:p w:rsidR="00000000" w:rsidDel="00000000" w:rsidP="00000000" w:rsidRDefault="00000000" w:rsidRPr="00000000" w14:paraId="0000003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52525"/>
          <w:sz w:val="24"/>
          <w:szCs w:val="24"/>
          <w:rtl w:val="0"/>
        </w:rPr>
        <w:t xml:space="preserve">The degree to which a community prioritises conventionally male or female characteristics is referred to as masculinity vs. femininity</w:t>
      </w:r>
      <w:r w:rsidDel="00000000" w:rsidR="00000000" w:rsidRPr="00000000">
        <w:rPr>
          <w:rFonts w:ascii="Times New Roman" w:cs="Times New Roman" w:eastAsia="Times New Roman" w:hAnsi="Times New Roman"/>
          <w:sz w:val="24"/>
          <w:szCs w:val="24"/>
          <w:rtl w:val="0"/>
        </w:rPr>
        <w:t xml:space="preserve">. In England, there is a low level of masculinity, which means that people tend to value gender equality, nurturing, and caring. This can be seen in the country's laws on gender discrimination and the role of women in society (Hofstede Insights, 2023).</w:t>
      </w:r>
    </w:p>
    <w:p w:rsidR="00000000" w:rsidDel="00000000" w:rsidP="00000000" w:rsidRDefault="00000000" w:rsidRPr="00000000" w14:paraId="00000035">
      <w:pPr>
        <w:spacing w:line="36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degree to which members of a community avoid ambiguity and confusion is referred to as "uncertainty avoidance." Due to the low degree of uncertainty avoidance in England, people are more likely to be receptive to modern concepts, experiences, and methods of thinking (Hofstede Insights, 2023).</w:t>
      </w:r>
    </w:p>
    <w:p w:rsidR="00000000" w:rsidDel="00000000" w:rsidP="00000000" w:rsidRDefault="00000000" w:rsidRPr="00000000" w14:paraId="00000036">
      <w:pPr>
        <w:spacing w:line="36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degree to which members of a community respect long-term planning and future orientation is referred to as "long-term vs. short-term orientation." People in England are thought to have a short-term mindset, which means they prefer to concentrate on the here and now rather than the future (Hofstede Insights, 2023).</w:t>
      </w:r>
    </w:p>
    <w:p w:rsidR="00000000" w:rsidDel="00000000" w:rsidP="00000000" w:rsidRDefault="00000000" w:rsidRPr="00000000" w14:paraId="0000003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52525"/>
          <w:sz w:val="24"/>
          <w:szCs w:val="24"/>
          <w:rtl w:val="0"/>
        </w:rPr>
        <w:t xml:space="preserve">The degree to which a society permits satisfaction of fundamental human wants and wishes is referred to as "indulgence vs. restraint."</w:t>
      </w:r>
      <w:r w:rsidDel="00000000" w:rsidR="00000000" w:rsidRPr="00000000">
        <w:rPr>
          <w:rFonts w:ascii="Times New Roman" w:cs="Times New Roman" w:eastAsia="Times New Roman" w:hAnsi="Times New Roman"/>
          <w:sz w:val="24"/>
          <w:szCs w:val="24"/>
          <w:rtl w:val="0"/>
        </w:rPr>
        <w:t xml:space="preserve"> In England, there is an elevated level of indulgence, which means that people tend to enjoy life and have fun. This can be seen in the country's nightlife, music, and entertainment industries (Hofstede Insights, 2023).</w:t>
      </w:r>
    </w:p>
    <w:p w:rsidR="00000000" w:rsidDel="00000000" w:rsidP="00000000" w:rsidRDefault="00000000" w:rsidRPr="00000000" w14:paraId="00000038">
      <w:pPr>
        <w:pStyle w:val="Heading1"/>
        <w:spacing w:before="0" w:line="240" w:lineRule="auto"/>
        <w:rPr>
          <w:rFonts w:ascii="Times New Roman" w:cs="Times New Roman" w:eastAsia="Times New Roman" w:hAnsi="Times New Roman"/>
          <w:b w:val="1"/>
          <w:color w:val="000000"/>
          <w:sz w:val="24"/>
          <w:szCs w:val="24"/>
        </w:rPr>
      </w:pPr>
      <w:bookmarkStart w:colFirst="0" w:colLast="0" w:name="_3znysh7" w:id="3"/>
      <w:bookmarkEnd w:id="3"/>
      <w:r w:rsidDel="00000000" w:rsidR="00000000" w:rsidRPr="00000000">
        <w:rPr>
          <w:rFonts w:ascii="Times New Roman" w:cs="Times New Roman" w:eastAsia="Times New Roman" w:hAnsi="Times New Roman"/>
          <w:b w:val="1"/>
          <w:color w:val="000000"/>
          <w:sz w:val="24"/>
          <w:szCs w:val="24"/>
          <w:rtl w:val="0"/>
        </w:rPr>
        <w:t xml:space="preserve">Country B (Australia)</w:t>
      </w:r>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Australia, also known as the Land Down Under, is a multicultural and diverse country located in the Southern Hemisphere. The culture of Australia is influenced by its Indigenous history, British colonialism, and waves of immigration from around the world, resulting in a unique blend of traditions, customs, and values.</w:t>
      </w:r>
    </w:p>
    <w:p w:rsidR="00000000" w:rsidDel="00000000" w:rsidP="00000000" w:rsidRDefault="00000000" w:rsidRPr="00000000" w14:paraId="0000003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Hofstede's model, Australia scores high in individualism, which means that people value personal freedom, autonomy, and independence. This is reflected in Australian society, where people are encouraged to pursue their own goals and aspirations, and there is a strong emphasis on personal responsibility.</w:t>
      </w:r>
    </w:p>
    <w:p w:rsidR="00000000" w:rsidDel="00000000" w:rsidP="00000000" w:rsidRDefault="00000000" w:rsidRPr="00000000" w14:paraId="0000003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Australia scores low in power distance, which means that there is a small power gap between people in different social positions. This is reflected in the country's political system, which is based on a parliamentary democracy with a constitutional monarchy.</w:t>
      </w:r>
    </w:p>
    <w:p w:rsidR="00000000" w:rsidDel="00000000" w:rsidP="00000000" w:rsidRDefault="00000000" w:rsidRPr="00000000" w14:paraId="0000003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terms of masculinity, Australia scores high, which means that the society values achievement, competition, and material success. </w:t>
      </w:r>
    </w:p>
    <w:p w:rsidR="00000000" w:rsidDel="00000000" w:rsidP="00000000" w:rsidRDefault="00000000" w:rsidRPr="00000000" w14:paraId="0000003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Australia scores low in uncertainty avoidance, which means that people are comfortable with ambiguity and change. This is reflected in Australian culture, where there is a strong tradition of innovation, creativity, and entrepreneurship.</w:t>
      </w:r>
    </w:p>
    <w:p w:rsidR="00000000" w:rsidDel="00000000" w:rsidP="00000000" w:rsidRDefault="00000000" w:rsidRPr="00000000" w14:paraId="0000003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Australia scores high in indulgence, which means that people value pleasure, enjoyment, and leisure. This is reflected in the country's vibrant entertainment industry, which includes music, sport, film, and other leisure activities.</w:t>
      </w:r>
    </w:p>
    <w:tbl>
      <w:tblPr>
        <w:tblStyle w:val="Table2"/>
        <w:tblW w:w="9360.0" w:type="dxa"/>
        <w:jc w:val="left"/>
        <w:tblBorders>
          <w:top w:color="000000" w:space="0" w:sz="0" w:val="nil"/>
          <w:left w:color="000000" w:space="0" w:sz="0" w:val="nil"/>
          <w:bottom w:color="000000" w:space="0" w:sz="0" w:val="nil"/>
          <w:right w:color="000000" w:space="0" w:sz="0" w:val="nil"/>
          <w:insideH w:color="000000" w:space="0" w:sz="4" w:val="single"/>
          <w:insideV w:color="000000" w:space="0" w:sz="4" w:val="single"/>
        </w:tblBorders>
        <w:tblLayout w:type="fixed"/>
        <w:tblLook w:val="0600"/>
      </w:tblPr>
      <w:tblGrid>
        <w:gridCol w:w="4680"/>
        <w:gridCol w:w="4680"/>
        <w:tblGridChange w:id="0">
          <w:tblGrid>
            <w:gridCol w:w="4680"/>
            <w:gridCol w:w="4680"/>
          </w:tblGrid>
        </w:tblGridChange>
      </w:tblGrid>
      <w:tr>
        <w:trPr>
          <w:cantSplit w:val="0"/>
          <w:trHeight w:val="300" w:hRule="atLeast"/>
          <w:tblHeader w:val="0"/>
        </w:trPr>
        <w:tc>
          <w:tcPr>
            <w:tcBorders>
              <w:top w:color="d9d9e3" w:space="0" w:sz="6" w:val="single"/>
              <w:left w:color="d9d9e3" w:space="0" w:sz="6" w:val="single"/>
              <w:bottom w:color="d9d9e3" w:space="0" w:sz="6" w:val="single"/>
              <w:right w:color="000000" w:space="0" w:sz="0" w:val="nil"/>
            </w:tcBorders>
            <w:vAlign w:val="bottom"/>
          </w:tcPr>
          <w:p w:rsidR="00000000" w:rsidDel="00000000" w:rsidP="00000000" w:rsidRDefault="00000000" w:rsidRPr="00000000" w14:paraId="0000003F">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Dimension</w:t>
            </w:r>
          </w:p>
        </w:tc>
        <w:tc>
          <w:tcPr>
            <w:tcBorders>
              <w:top w:color="d9d9e3" w:space="0" w:sz="6" w:val="single"/>
              <w:left w:color="d9d9e3" w:space="0" w:sz="6" w:val="single"/>
              <w:bottom w:color="d9d9e3" w:space="0" w:sz="6" w:val="single"/>
              <w:right w:color="d9d9e3" w:space="0" w:sz="6" w:val="single"/>
            </w:tcBorders>
            <w:vAlign w:val="bottom"/>
          </w:tcPr>
          <w:p w:rsidR="00000000" w:rsidDel="00000000" w:rsidP="00000000" w:rsidRDefault="00000000" w:rsidRPr="00000000" w14:paraId="00000040">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Score</w:t>
            </w:r>
          </w:p>
        </w:tc>
      </w:tr>
      <w:tr>
        <w:trPr>
          <w:cantSplit w:val="0"/>
          <w:trHeight w:val="300" w:hRule="atLeast"/>
          <w:tblHeader w:val="0"/>
        </w:trPr>
        <w:tc>
          <w:tcPr>
            <w:tcBorders>
              <w:top w:color="000000" w:space="0" w:sz="0" w:val="nil"/>
              <w:left w:color="d9d9e3" w:space="0" w:sz="6" w:val="single"/>
              <w:bottom w:color="d9d9e3" w:space="0" w:sz="6" w:val="single"/>
              <w:right w:color="000000" w:space="0" w:sz="0" w:val="nil"/>
            </w:tcBorders>
          </w:tcPr>
          <w:p w:rsidR="00000000" w:rsidDel="00000000" w:rsidP="00000000" w:rsidRDefault="00000000" w:rsidRPr="00000000" w14:paraId="0000004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Power Distance</w:t>
            </w:r>
          </w:p>
        </w:tc>
        <w:tc>
          <w:tcPr>
            <w:tcBorders>
              <w:top w:color="000000" w:space="0" w:sz="0" w:val="nil"/>
              <w:left w:color="d9d9e3" w:space="0" w:sz="6" w:val="single"/>
              <w:bottom w:color="d9d9e3" w:space="0" w:sz="6" w:val="single"/>
              <w:right w:color="d9d9e3" w:space="0" w:sz="6" w:val="single"/>
            </w:tcBorders>
          </w:tcPr>
          <w:p w:rsidR="00000000" w:rsidDel="00000000" w:rsidP="00000000" w:rsidRDefault="00000000" w:rsidRPr="00000000" w14:paraId="0000004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36</w:t>
            </w:r>
          </w:p>
        </w:tc>
      </w:tr>
      <w:tr>
        <w:trPr>
          <w:cantSplit w:val="0"/>
          <w:trHeight w:val="300" w:hRule="atLeast"/>
          <w:tblHeader w:val="0"/>
        </w:trPr>
        <w:tc>
          <w:tcPr>
            <w:tcBorders>
              <w:top w:color="000000" w:space="0" w:sz="0" w:val="nil"/>
              <w:left w:color="d9d9e3" w:space="0" w:sz="6" w:val="single"/>
              <w:bottom w:color="d9d9e3" w:space="0" w:sz="6" w:val="single"/>
              <w:right w:color="000000" w:space="0" w:sz="0" w:val="nil"/>
            </w:tcBorders>
          </w:tcPr>
          <w:p w:rsidR="00000000" w:rsidDel="00000000" w:rsidP="00000000" w:rsidRDefault="00000000" w:rsidRPr="00000000" w14:paraId="0000004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Individualism</w:t>
            </w:r>
          </w:p>
        </w:tc>
        <w:tc>
          <w:tcPr>
            <w:tcBorders>
              <w:top w:color="000000" w:space="0" w:sz="0" w:val="nil"/>
              <w:left w:color="d9d9e3" w:space="0" w:sz="6" w:val="single"/>
              <w:bottom w:color="d9d9e3" w:space="0" w:sz="6" w:val="single"/>
              <w:right w:color="d9d9e3" w:space="0" w:sz="6" w:val="single"/>
            </w:tcBorders>
          </w:tcPr>
          <w:p w:rsidR="00000000" w:rsidDel="00000000" w:rsidP="00000000" w:rsidRDefault="00000000" w:rsidRPr="00000000" w14:paraId="0000004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90</w:t>
            </w:r>
          </w:p>
        </w:tc>
      </w:tr>
      <w:tr>
        <w:trPr>
          <w:cantSplit w:val="0"/>
          <w:trHeight w:val="300" w:hRule="atLeast"/>
          <w:tblHeader w:val="0"/>
        </w:trPr>
        <w:tc>
          <w:tcPr>
            <w:tcBorders>
              <w:top w:color="000000" w:space="0" w:sz="0" w:val="nil"/>
              <w:left w:color="d9d9e3" w:space="0" w:sz="6" w:val="single"/>
              <w:bottom w:color="d9d9e3" w:space="0" w:sz="6" w:val="single"/>
              <w:right w:color="000000" w:space="0" w:sz="0" w:val="nil"/>
            </w:tcBorders>
          </w:tcPr>
          <w:p w:rsidR="00000000" w:rsidDel="00000000" w:rsidP="00000000" w:rsidRDefault="00000000" w:rsidRPr="00000000" w14:paraId="0000004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Masculinity</w:t>
            </w:r>
          </w:p>
        </w:tc>
        <w:tc>
          <w:tcPr>
            <w:tcBorders>
              <w:top w:color="000000" w:space="0" w:sz="0" w:val="nil"/>
              <w:left w:color="d9d9e3" w:space="0" w:sz="6" w:val="single"/>
              <w:bottom w:color="d9d9e3" w:space="0" w:sz="6" w:val="single"/>
              <w:right w:color="d9d9e3" w:space="0" w:sz="6" w:val="single"/>
            </w:tcBorders>
          </w:tcPr>
          <w:p w:rsidR="00000000" w:rsidDel="00000000" w:rsidP="00000000" w:rsidRDefault="00000000" w:rsidRPr="00000000" w14:paraId="0000004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w:t>
            </w:r>
          </w:p>
        </w:tc>
      </w:tr>
      <w:tr>
        <w:trPr>
          <w:cantSplit w:val="0"/>
          <w:trHeight w:val="300" w:hRule="atLeast"/>
          <w:tblHeader w:val="0"/>
        </w:trPr>
        <w:tc>
          <w:tcPr>
            <w:tcBorders>
              <w:top w:color="000000" w:space="0" w:sz="0" w:val="nil"/>
              <w:left w:color="d9d9e3" w:space="0" w:sz="6" w:val="single"/>
              <w:bottom w:color="d9d9e3" w:space="0" w:sz="6" w:val="single"/>
              <w:right w:color="000000" w:space="0" w:sz="0" w:val="nil"/>
            </w:tcBorders>
          </w:tcPr>
          <w:p w:rsidR="00000000" w:rsidDel="00000000" w:rsidP="00000000" w:rsidRDefault="00000000" w:rsidRPr="00000000" w14:paraId="0000004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Uncertainty Avoidance</w:t>
            </w:r>
          </w:p>
        </w:tc>
        <w:tc>
          <w:tcPr>
            <w:tcBorders>
              <w:top w:color="000000" w:space="0" w:sz="0" w:val="nil"/>
              <w:left w:color="d9d9e3" w:space="0" w:sz="6" w:val="single"/>
              <w:bottom w:color="d9d9e3" w:space="0" w:sz="6" w:val="single"/>
              <w:right w:color="d9d9e3" w:space="0" w:sz="6" w:val="single"/>
            </w:tcBorders>
          </w:tcPr>
          <w:p w:rsidR="00000000" w:rsidDel="00000000" w:rsidP="00000000" w:rsidRDefault="00000000" w:rsidRPr="00000000" w14:paraId="0000004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w:t>
            </w:r>
          </w:p>
        </w:tc>
      </w:tr>
      <w:tr>
        <w:trPr>
          <w:cantSplit w:val="0"/>
          <w:trHeight w:val="300" w:hRule="atLeast"/>
          <w:tblHeader w:val="0"/>
        </w:trPr>
        <w:tc>
          <w:tcPr>
            <w:tcBorders>
              <w:top w:color="000000" w:space="0" w:sz="0" w:val="nil"/>
              <w:left w:color="d9d9e3" w:space="0" w:sz="6" w:val="single"/>
              <w:bottom w:color="d9d9e3" w:space="0" w:sz="6" w:val="single"/>
              <w:right w:color="000000" w:space="0" w:sz="0" w:val="nil"/>
            </w:tcBorders>
          </w:tcPr>
          <w:p w:rsidR="00000000" w:rsidDel="00000000" w:rsidP="00000000" w:rsidRDefault="00000000" w:rsidRPr="00000000" w14:paraId="0000004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Long-Term Orientation</w:t>
            </w:r>
          </w:p>
        </w:tc>
        <w:tc>
          <w:tcPr>
            <w:tcBorders>
              <w:top w:color="000000" w:space="0" w:sz="0" w:val="nil"/>
              <w:left w:color="d9d9e3" w:space="0" w:sz="6" w:val="single"/>
              <w:bottom w:color="d9d9e3" w:space="0" w:sz="6" w:val="single"/>
              <w:right w:color="d9d9e3" w:space="0" w:sz="6" w:val="single"/>
            </w:tcBorders>
          </w:tcPr>
          <w:p w:rsidR="00000000" w:rsidDel="00000000" w:rsidP="00000000" w:rsidRDefault="00000000" w:rsidRPr="00000000" w14:paraId="0000004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w:t>
            </w:r>
          </w:p>
        </w:tc>
      </w:tr>
      <w:tr>
        <w:trPr>
          <w:cantSplit w:val="0"/>
          <w:trHeight w:val="300" w:hRule="atLeast"/>
          <w:tblHeader w:val="0"/>
        </w:trPr>
        <w:tc>
          <w:tcPr>
            <w:tcBorders>
              <w:top w:color="000000" w:space="0" w:sz="0" w:val="nil"/>
              <w:left w:color="d9d9e3" w:space="0" w:sz="6" w:val="single"/>
              <w:bottom w:color="d9d9e3" w:space="0" w:sz="6" w:val="single"/>
              <w:right w:color="000000" w:space="0" w:sz="0" w:val="nil"/>
            </w:tcBorders>
          </w:tcPr>
          <w:p w:rsidR="00000000" w:rsidDel="00000000" w:rsidP="00000000" w:rsidRDefault="00000000" w:rsidRPr="00000000" w14:paraId="0000004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Indulgence</w:t>
            </w:r>
          </w:p>
        </w:tc>
        <w:tc>
          <w:tcPr>
            <w:tcBorders>
              <w:top w:color="000000" w:space="0" w:sz="0" w:val="nil"/>
              <w:left w:color="d9d9e3" w:space="0" w:sz="6" w:val="single"/>
              <w:bottom w:color="d9d9e3" w:space="0" w:sz="6" w:val="single"/>
              <w:right w:color="d9d9e3" w:space="0" w:sz="6" w:val="single"/>
            </w:tcBorders>
          </w:tcPr>
          <w:p w:rsidR="00000000" w:rsidDel="00000000" w:rsidP="00000000" w:rsidRDefault="00000000" w:rsidRPr="00000000" w14:paraId="0000004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w:t>
            </w:r>
          </w:p>
        </w:tc>
      </w:tr>
    </w:tbl>
    <w:p w:rsidR="00000000" w:rsidDel="00000000" w:rsidP="00000000" w:rsidRDefault="00000000" w:rsidRPr="00000000" w14:paraId="0000004D">
      <w:pPr>
        <w:spacing w:line="360" w:lineRule="auto"/>
        <w:rPr>
          <w:rFonts w:ascii="Times New Roman" w:cs="Times New Roman" w:eastAsia="Times New Roman" w:hAnsi="Times New Roman"/>
          <w:sz w:val="24"/>
          <w:szCs w:val="24"/>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tl w:val="0"/>
        </w:rPr>
        <w:t xml:space="preserve">Source: Hofstede Insights.</w:t>
      </w:r>
    </w:p>
    <w:p w:rsidR="00000000" w:rsidDel="00000000" w:rsidP="00000000" w:rsidRDefault="00000000" w:rsidRPr="00000000" w14:paraId="0000004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 The scores are based on Hofstede's research and may not reflect the current state of the culture.</w:t>
      </w:r>
    </w:p>
    <w:p w:rsidR="00000000" w:rsidDel="00000000" w:rsidP="00000000" w:rsidRDefault="00000000" w:rsidRPr="00000000" w14:paraId="0000004F">
      <w:pPr>
        <w:pStyle w:val="Heading1"/>
        <w:spacing w:before="0" w:line="240" w:lineRule="auto"/>
        <w:rPr>
          <w:rFonts w:ascii="Times New Roman" w:cs="Times New Roman" w:eastAsia="Times New Roman" w:hAnsi="Times New Roman"/>
          <w:b w:val="1"/>
          <w:color w:val="000000"/>
          <w:sz w:val="24"/>
          <w:szCs w:val="24"/>
        </w:rPr>
      </w:pPr>
      <w:bookmarkStart w:colFirst="0" w:colLast="0" w:name="_2et92p0" w:id="4"/>
      <w:bookmarkEnd w:id="4"/>
      <w:r w:rsidDel="00000000" w:rsidR="00000000" w:rsidRPr="00000000">
        <w:rPr>
          <w:rFonts w:ascii="Times New Roman" w:cs="Times New Roman" w:eastAsia="Times New Roman" w:hAnsi="Times New Roman"/>
          <w:b w:val="1"/>
          <w:color w:val="000000"/>
          <w:sz w:val="24"/>
          <w:szCs w:val="24"/>
          <w:rtl w:val="0"/>
        </w:rPr>
        <w:t xml:space="preserve">Country Analysis</w:t>
      </w:r>
    </w:p>
    <w:p w:rsidR="00000000" w:rsidDel="00000000" w:rsidP="00000000" w:rsidRDefault="00000000" w:rsidRPr="00000000" w14:paraId="0000005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Comparing the cultural dimensions of England and Australia using Hofstede's model can help identify potential areas of misunderstanding or service failure for hotel employees. For example, England scores higher on power distance than Australia, which means that English society is more hierarchical and there may be a greater acceptance of unequal distributions of power and status. On the other hand, Australia scores higher on individualism than England, which suggests that Australians prioritize individual freedom and autonomy over group harmony.</w:t>
      </w:r>
    </w:p>
    <w:p w:rsidR="00000000" w:rsidDel="00000000" w:rsidP="00000000" w:rsidRDefault="00000000" w:rsidRPr="00000000" w14:paraId="0000005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differences could potentially cause misunderstandings if hotel employees from England assume that Australian guests are more comfortable with hierarchical structures and deference to authority figures than they are. Conversely, Australian hotel employees may assume that English guests are more individualistic than they are, leading to misunderstandings about expectations around group dynamics. </w:t>
      </w:r>
    </w:p>
    <w:p w:rsidR="00000000" w:rsidDel="00000000" w:rsidP="00000000" w:rsidRDefault="00000000" w:rsidRPr="00000000" w14:paraId="00000052">
      <w:pPr>
        <w:pStyle w:val="Heading1"/>
        <w:spacing w:before="0" w:line="240" w:lineRule="auto"/>
        <w:rPr>
          <w:rFonts w:ascii="Times New Roman" w:cs="Times New Roman" w:eastAsia="Times New Roman" w:hAnsi="Times New Roman"/>
          <w:b w:val="1"/>
          <w:color w:val="000000"/>
          <w:sz w:val="24"/>
          <w:szCs w:val="24"/>
        </w:rPr>
      </w:pPr>
      <w:bookmarkStart w:colFirst="0" w:colLast="0" w:name="_tyjcwt" w:id="5"/>
      <w:bookmarkEnd w:id="5"/>
      <w:r w:rsidDel="00000000" w:rsidR="00000000" w:rsidRPr="00000000">
        <w:rPr>
          <w:rFonts w:ascii="Times New Roman" w:cs="Times New Roman" w:eastAsia="Times New Roman" w:hAnsi="Times New Roman"/>
          <w:b w:val="1"/>
          <w:color w:val="000000"/>
          <w:sz w:val="24"/>
          <w:szCs w:val="24"/>
          <w:rtl w:val="0"/>
        </w:rPr>
        <w:t xml:space="preserve">Hotel Handbook for Understanding Cultural Behaviour</w:t>
      </w:r>
    </w:p>
    <w:p w:rsidR="00000000" w:rsidDel="00000000" w:rsidP="00000000" w:rsidRDefault="00000000" w:rsidRPr="00000000" w14:paraId="00000053">
      <w:pPr>
        <w:pStyle w:val="Heading2"/>
        <w:spacing w:line="240" w:lineRule="auto"/>
        <w:rPr>
          <w:rFonts w:ascii="Times New Roman" w:cs="Times New Roman" w:eastAsia="Times New Roman" w:hAnsi="Times New Roman"/>
          <w:b w:val="1"/>
          <w:color w:val="000000"/>
          <w:sz w:val="24"/>
          <w:szCs w:val="24"/>
        </w:rPr>
      </w:pPr>
      <w:bookmarkStart w:colFirst="0" w:colLast="0" w:name="_3dy6vkm" w:id="6"/>
      <w:bookmarkEnd w:id="6"/>
      <w:r w:rsidDel="00000000" w:rsidR="00000000" w:rsidRPr="00000000">
        <w:rPr>
          <w:rFonts w:ascii="Times New Roman" w:cs="Times New Roman" w:eastAsia="Times New Roman" w:hAnsi="Times New Roman"/>
          <w:b w:val="1"/>
          <w:color w:val="000000"/>
          <w:sz w:val="24"/>
          <w:szCs w:val="24"/>
          <w:rtl w:val="0"/>
        </w:rPr>
        <w:t xml:space="preserve">Do’s:</w:t>
      </w:r>
    </w:p>
    <w:p w:rsidR="00000000" w:rsidDel="00000000" w:rsidP="00000000" w:rsidRDefault="00000000" w:rsidRPr="00000000" w14:paraId="000000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greet guests with a smile and friendly demeanour</w:t>
      </w:r>
    </w:p>
    <w:p w:rsidR="00000000" w:rsidDel="00000000" w:rsidP="00000000" w:rsidRDefault="00000000" w:rsidRPr="00000000" w14:paraId="000000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maintain eye contact while speaking</w:t>
      </w:r>
    </w:p>
    <w:p w:rsidR="00000000" w:rsidDel="00000000" w:rsidP="00000000" w:rsidRDefault="00000000" w:rsidRPr="00000000" w14:paraId="000000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address guests with their preferred titles (Mr., Ms., etc.)</w:t>
      </w:r>
    </w:p>
    <w:p w:rsidR="00000000" w:rsidDel="00000000" w:rsidP="00000000" w:rsidRDefault="00000000" w:rsidRPr="00000000" w14:paraId="000000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listen actively and respond appropriately to guests’ requests</w:t>
      </w:r>
    </w:p>
    <w:p w:rsidR="00000000" w:rsidDel="00000000" w:rsidP="00000000" w:rsidRDefault="00000000" w:rsidRPr="00000000" w14:paraId="000000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respect personal space and physical boundaries</w:t>
      </w:r>
    </w:p>
    <w:p w:rsidR="00000000" w:rsidDel="00000000" w:rsidP="00000000" w:rsidRDefault="00000000" w:rsidRPr="00000000" w14:paraId="0000005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offer assistance and solutions to problems</w:t>
      </w:r>
    </w:p>
    <w:p w:rsidR="00000000" w:rsidDel="00000000" w:rsidP="00000000" w:rsidRDefault="00000000" w:rsidRPr="00000000" w14:paraId="0000005A">
      <w:pPr>
        <w:pStyle w:val="Heading2"/>
        <w:spacing w:line="240" w:lineRule="auto"/>
        <w:rPr>
          <w:rFonts w:ascii="Times New Roman" w:cs="Times New Roman" w:eastAsia="Times New Roman" w:hAnsi="Times New Roman"/>
          <w:b w:val="1"/>
          <w:color w:val="000000"/>
          <w:sz w:val="24"/>
          <w:szCs w:val="24"/>
        </w:rPr>
      </w:pPr>
      <w:bookmarkStart w:colFirst="0" w:colLast="0" w:name="_1t3h5sf" w:id="7"/>
      <w:bookmarkEnd w:id="7"/>
      <w:r w:rsidDel="00000000" w:rsidR="00000000" w:rsidRPr="00000000">
        <w:rPr>
          <w:rFonts w:ascii="Times New Roman" w:cs="Times New Roman" w:eastAsia="Times New Roman" w:hAnsi="Times New Roman"/>
          <w:b w:val="1"/>
          <w:color w:val="000000"/>
          <w:sz w:val="24"/>
          <w:szCs w:val="24"/>
          <w:rtl w:val="0"/>
        </w:rPr>
        <w:t xml:space="preserve">Don’ts:</w:t>
      </w:r>
    </w:p>
    <w:p w:rsidR="00000000" w:rsidDel="00000000" w:rsidP="00000000" w:rsidRDefault="00000000" w:rsidRPr="00000000" w14:paraId="0000005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bookmarkStart w:colFirst="0" w:colLast="0" w:name="_3rdcrjn" w:id="8"/>
      <w:bookmarkEnd w:id="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Don’t assume that all guests from Country A (England) or Country B (Australia) behave the same way</w:t>
      </w:r>
    </w:p>
    <w:p w:rsidR="00000000" w:rsidDel="00000000" w:rsidP="00000000" w:rsidRDefault="00000000" w:rsidRPr="00000000" w14:paraId="0000005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bookmarkStart w:colFirst="0" w:colLast="0" w:name="_26in1rg" w:id="9"/>
      <w:bookmarkEnd w:id="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Don’t use slang or colloquialisms that may not be familiar to guests</w:t>
      </w:r>
    </w:p>
    <w:p w:rsidR="00000000" w:rsidDel="00000000" w:rsidP="00000000" w:rsidRDefault="00000000" w:rsidRPr="00000000" w14:paraId="000000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bookmarkStart w:colFirst="0" w:colLast="0" w:name="_lnxbz9" w:id="10"/>
      <w:bookmarkEnd w:id="1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Don’t make assumptions about guests’ cultural beliefs or practices</w:t>
      </w:r>
    </w:p>
    <w:p w:rsidR="00000000" w:rsidDel="00000000" w:rsidP="00000000" w:rsidRDefault="00000000" w:rsidRPr="00000000" w14:paraId="000000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bookmarkStart w:colFirst="0" w:colLast="0" w:name="_35nkun2" w:id="11"/>
      <w:bookmarkEnd w:id="1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Don’t touch or invade personal space without permission</w:t>
      </w:r>
    </w:p>
    <w:p w:rsidR="00000000" w:rsidDel="00000000" w:rsidP="00000000" w:rsidRDefault="00000000" w:rsidRPr="00000000" w14:paraId="0000005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b w:val="0"/>
          <w:i w:val="0"/>
          <w:smallCaps w:val="0"/>
          <w:strike w:val="0"/>
          <w:color w:val="000000"/>
          <w:sz w:val="24"/>
          <w:szCs w:val="24"/>
          <w:u w:val="none"/>
          <w:shd w:fill="auto" w:val="clear"/>
          <w:vertAlign w:val="baseline"/>
        </w:rPr>
      </w:pPr>
      <w:bookmarkStart w:colFirst="0" w:colLast="0" w:name="_1ksv4uv" w:id="12"/>
      <w:bookmarkEnd w:id="1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Don’t raise your voice or show frustration, even in demanding situations</w:t>
      </w:r>
    </w:p>
    <w:p w:rsidR="00000000" w:rsidDel="00000000" w:rsidP="00000000" w:rsidRDefault="00000000" w:rsidRPr="00000000" w14:paraId="00000060">
      <w:pPr>
        <w:pStyle w:val="Heading1"/>
        <w:spacing w:before="0" w:line="240" w:lineRule="auto"/>
        <w:rPr>
          <w:rFonts w:ascii="Times New Roman" w:cs="Times New Roman" w:eastAsia="Times New Roman" w:hAnsi="Times New Roman"/>
          <w:b w:val="1"/>
          <w:color w:val="000000"/>
          <w:sz w:val="24"/>
          <w:szCs w:val="24"/>
        </w:rPr>
      </w:pPr>
      <w:bookmarkStart w:colFirst="0" w:colLast="0" w:name="_4d34og8" w:id="13"/>
      <w:bookmarkEnd w:id="13"/>
      <w:r w:rsidDel="00000000" w:rsidR="00000000" w:rsidRPr="00000000">
        <w:rPr>
          <w:rFonts w:ascii="Times New Roman" w:cs="Times New Roman" w:eastAsia="Times New Roman" w:hAnsi="Times New Roman"/>
          <w:b w:val="1"/>
          <w:color w:val="000000"/>
          <w:sz w:val="24"/>
          <w:szCs w:val="24"/>
          <w:rtl w:val="0"/>
        </w:rPr>
        <w:t xml:space="preserve">Conclusion / summary</w:t>
      </w:r>
    </w:p>
    <w:p w:rsidR="00000000" w:rsidDel="00000000" w:rsidP="00000000" w:rsidRDefault="00000000" w:rsidRPr="00000000" w14:paraId="0000006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understanding the cultural differences between England and Australia is crucial for providing excellent service to guests in a hotel setting. The Hofstede model provides a useful framework for analysing these differences and identifying potential areas of misunderstanding. By providing hotel employees with a handbook that outlines cultural dos and don’ts, as well as specific information on topics such as handshaking, they can better serve guests and avoid any potential service failures. Adopting a culturally sensitive approach is essential for creating a positive guest experience and building a successful hospitality business.</w:t>
      </w:r>
    </w:p>
    <w:p w:rsidR="00000000" w:rsidDel="00000000" w:rsidP="00000000" w:rsidRDefault="00000000" w:rsidRPr="00000000" w14:paraId="00000062">
      <w:pPr>
        <w:spacing w:after="0" w:line="240" w:lineRule="auto"/>
        <w:rPr>
          <w:rFonts w:ascii="Times New Roman" w:cs="Times New Roman" w:eastAsia="Times New Roman" w:hAnsi="Times New Roman"/>
          <w:b w:val="1"/>
          <w:color w:val="000000"/>
          <w:sz w:val="24"/>
          <w:szCs w:val="24"/>
        </w:rPr>
      </w:pPr>
      <w:bookmarkStart w:colFirst="0" w:colLast="0" w:name="_2s8eyo1" w:id="14"/>
      <w:bookmarkEnd w:id="14"/>
      <w:r w:rsidDel="00000000" w:rsidR="00000000" w:rsidRPr="00000000">
        <w:rPr>
          <w:rFonts w:ascii="Times New Roman" w:cs="Times New Roman" w:eastAsia="Times New Roman" w:hAnsi="Times New Roman"/>
          <w:b w:val="1"/>
          <w:color w:val="000000"/>
          <w:sz w:val="24"/>
          <w:szCs w:val="24"/>
          <w:rtl w:val="0"/>
        </w:rPr>
        <w:t xml:space="preserve">Recommendations</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 cross-cultural training to staff to develop an understanding of different cultural norms and how to appropriately interact with guests.</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 a feedback mechanism to gather input from guests on their experiences with staff and the cultural sensitivity of service provided.</w:t>
      </w:r>
    </w:p>
    <w:p w:rsidR="00000000" w:rsidDel="00000000" w:rsidP="00000000" w:rsidRDefault="00000000" w:rsidRPr="00000000" w14:paraId="0000006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7">
      <w:pPr>
        <w:spacing w:after="0" w:line="240" w:lineRule="auto"/>
        <w:rPr>
          <w:rFonts w:ascii="Times New Roman" w:cs="Times New Roman" w:eastAsia="Times New Roman" w:hAnsi="Times New Roman"/>
          <w:b w:val="1"/>
          <w:color w:val="000000"/>
          <w:sz w:val="24"/>
          <w:szCs w:val="24"/>
        </w:rPr>
      </w:pPr>
      <w:bookmarkStart w:colFirst="0" w:colLast="0" w:name="_17dp8vu" w:id="15"/>
      <w:bookmarkEnd w:id="15"/>
      <w:r w:rsidDel="00000000" w:rsidR="00000000" w:rsidRPr="00000000">
        <w:rPr>
          <w:rFonts w:ascii="Times New Roman" w:cs="Times New Roman" w:eastAsia="Times New Roman" w:hAnsi="Times New Roman"/>
          <w:b w:val="1"/>
          <w:color w:val="000000"/>
          <w:sz w:val="24"/>
          <w:szCs w:val="24"/>
          <w:rtl w:val="0"/>
        </w:rPr>
        <w:t xml:space="preserve">References </w:t>
      </w:r>
    </w:p>
    <w:p w:rsidR="00000000" w:rsidDel="00000000" w:rsidP="00000000" w:rsidRDefault="00000000" w:rsidRPr="00000000" w14:paraId="00000068">
      <w:pPr>
        <w:spacing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Australian Government, Department of Foreign Affairs and Trade. (2022). About Australia. Retrieved from </w:t>
      </w:r>
      <w:hyperlink r:id="rId6">
        <w:r w:rsidDel="00000000" w:rsidR="00000000" w:rsidRPr="00000000">
          <w:rPr>
            <w:rFonts w:ascii="Times New Roman" w:cs="Times New Roman" w:eastAsia="Times New Roman" w:hAnsi="Times New Roman"/>
            <w:color w:val="000000"/>
            <w:sz w:val="24"/>
            <w:szCs w:val="24"/>
            <w:u w:val="single"/>
            <w:rtl w:val="0"/>
          </w:rPr>
          <w:t xml:space="preserve">https://www.dfat.gov.au/about-australia/about-australia</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9">
      <w:pPr>
        <w:spacing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Hofstede Insights. (2023). Country Comparison: Australia. Retrieved from </w:t>
      </w:r>
      <w:hyperlink r:id="rId7">
        <w:r w:rsidDel="00000000" w:rsidR="00000000" w:rsidRPr="00000000">
          <w:rPr>
            <w:rFonts w:ascii="Times New Roman" w:cs="Times New Roman" w:eastAsia="Times New Roman" w:hAnsi="Times New Roman"/>
            <w:color w:val="000000"/>
            <w:sz w:val="24"/>
            <w:szCs w:val="24"/>
            <w:u w:val="single"/>
            <w:rtl w:val="0"/>
          </w:rPr>
          <w:t xml:space="preserve">https://www.hofstede-insights.com/country-comparison/australia/</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A">
      <w:pPr>
        <w:spacing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Hofstede Insights. (2023). Country Comparison: England. Retrieved from </w:t>
      </w:r>
      <w:hyperlink r:id="rId8">
        <w:r w:rsidDel="00000000" w:rsidR="00000000" w:rsidRPr="00000000">
          <w:rPr>
            <w:rFonts w:ascii="Times New Roman" w:cs="Times New Roman" w:eastAsia="Times New Roman" w:hAnsi="Times New Roman"/>
            <w:color w:val="000000"/>
            <w:sz w:val="24"/>
            <w:szCs w:val="24"/>
            <w:u w:val="single"/>
            <w:rtl w:val="0"/>
          </w:rPr>
          <w:t xml:space="preserve">https://www.hofstede-insights.com/country-comparison/england/</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B">
      <w:pPr>
        <w:spacing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Hofstede Insights. (n.d.). Country comparison - Hofstede Insights. Retrieved February 24, 2023, from </w:t>
      </w:r>
      <w:hyperlink r:id="rId9">
        <w:r w:rsidDel="00000000" w:rsidR="00000000" w:rsidRPr="00000000">
          <w:rPr>
            <w:rFonts w:ascii="Times New Roman" w:cs="Times New Roman" w:eastAsia="Times New Roman" w:hAnsi="Times New Roman"/>
            <w:color w:val="000000"/>
            <w:sz w:val="24"/>
            <w:szCs w:val="24"/>
            <w:u w:val="single"/>
            <w:rtl w:val="0"/>
          </w:rPr>
          <w:t xml:space="preserve">https://www.hofstede-insights.com/country-comparison/</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C">
      <w:pPr>
        <w:spacing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Hofstede, G. (1984). Culture's consequences: International differences in work-related values (Vol. 5). Sage. Hall, E. T. (1976). Beyond culture. Garden City, NY: Anchor Press/Doubleday. </w:t>
      </w:r>
    </w:p>
    <w:p w:rsidR="00000000" w:rsidDel="00000000" w:rsidP="00000000" w:rsidRDefault="00000000" w:rsidRPr="00000000" w14:paraId="0000006D">
      <w:pPr>
        <w:spacing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Hofstede, G. (2001). Culture's consequences: Comparing values, behaviours, institutions, and organizations across nations. Sage Publications </w:t>
      </w:r>
    </w:p>
    <w:p w:rsidR="00000000" w:rsidDel="00000000" w:rsidP="00000000" w:rsidRDefault="00000000" w:rsidRPr="00000000" w14:paraId="0000006E">
      <w:pPr>
        <w:spacing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Minkov, M., &amp; Hofstede, G. (2014). A replication of Hofstede's uncertainty avoidance dimension across nationally representative samples from Europe. International Journal of Psychology, 49(6), 455-460. </w:t>
      </w:r>
    </w:p>
    <w:p w:rsidR="00000000" w:rsidDel="00000000" w:rsidP="00000000" w:rsidRDefault="00000000" w:rsidRPr="00000000" w14:paraId="0000006F">
      <w:pPr>
        <w:spacing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 for National Statistics. (2021). Tourism in England: Annual report and accounts 2020-21. Retrieved from </w:t>
      </w:r>
      <w:hyperlink r:id="rId10">
        <w:r w:rsidDel="00000000" w:rsidR="00000000" w:rsidRPr="00000000">
          <w:rPr>
            <w:rFonts w:ascii="Times New Roman" w:cs="Times New Roman" w:eastAsia="Times New Roman" w:hAnsi="Times New Roman"/>
            <w:color w:val="000000"/>
            <w:sz w:val="24"/>
            <w:szCs w:val="24"/>
            <w:u w:val="single"/>
            <w:rtl w:val="0"/>
          </w:rPr>
          <w:t xml:space="preserve">https://www.ons.gov.uk/businessindustryandtrade/tourismindustry/articles/tourisminenglandannualreportandaccounts/202021</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0">
      <w:pPr>
        <w:spacing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Tourism Australia. (2022). About Australia. Retrieved from </w:t>
      </w:r>
      <w:hyperlink r:id="rId11">
        <w:r w:rsidDel="00000000" w:rsidR="00000000" w:rsidRPr="00000000">
          <w:rPr>
            <w:rFonts w:ascii="Times New Roman" w:cs="Times New Roman" w:eastAsia="Times New Roman" w:hAnsi="Times New Roman"/>
            <w:color w:val="000000"/>
            <w:sz w:val="24"/>
            <w:szCs w:val="24"/>
            <w:u w:val="single"/>
            <w:rtl w:val="0"/>
          </w:rPr>
          <w:t xml:space="preserve">https://www.australia.com/en/about.html</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1">
      <w:pPr>
        <w:spacing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VisitBritain. (2022). Inbound tourism statistics for England. Retrieved from </w:t>
      </w:r>
      <w:hyperlink r:id="rId12">
        <w:r w:rsidDel="00000000" w:rsidR="00000000" w:rsidRPr="00000000">
          <w:rPr>
            <w:rFonts w:ascii="Times New Roman" w:cs="Times New Roman" w:eastAsia="Times New Roman" w:hAnsi="Times New Roman"/>
            <w:color w:val="000000"/>
            <w:sz w:val="24"/>
            <w:szCs w:val="24"/>
            <w:u w:val="single"/>
            <w:rtl w:val="0"/>
          </w:rPr>
          <w:t xml:space="preserve">https://www.visitbritain.org/inbound-tourism-statistics-england</w:t>
        </w:r>
      </w:hyperlink>
      <w:r w:rsidDel="00000000" w:rsidR="00000000" w:rsidRPr="00000000">
        <w:rPr>
          <w:rtl w:val="0"/>
        </w:rPr>
      </w:r>
    </w:p>
    <w:p w:rsidR="00000000" w:rsidDel="00000000" w:rsidP="00000000" w:rsidRDefault="00000000" w:rsidRPr="00000000" w14:paraId="00000072">
      <w:pPr>
        <w:spacing w:line="360" w:lineRule="auto"/>
        <w:ind w:left="720" w:hanging="720"/>
        <w:rPr>
          <w:rFonts w:ascii="Times New Roman" w:cs="Times New Roman" w:eastAsia="Times New Roman" w:hAnsi="Times New Roman"/>
          <w:sz w:val="24"/>
          <w:szCs w:val="24"/>
        </w:rPr>
      </w:pPr>
      <w:r w:rsidDel="00000000" w:rsidR="00000000" w:rsidRPr="00000000">
        <w:rPr>
          <w:rtl w:val="0"/>
        </w:rPr>
      </w:r>
    </w:p>
    <w:sectPr>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spacing w:after="0" w:before="40" w:lineRule="auto"/>
    </w:pPr>
    <w:rPr>
      <w:rFonts w:ascii="Calibri" w:cs="Calibri" w:eastAsia="Calibri" w:hAnsi="Calibri"/>
      <w:i w:val="1"/>
      <w:color w:val="2f5496"/>
    </w:rPr>
  </w:style>
  <w:style w:type="paragraph" w:styleId="Heading5">
    <w:name w:val="heading 5"/>
    <w:basedOn w:val="Normal"/>
    <w:next w:val="Normal"/>
    <w:pPr>
      <w:keepNext w:val="1"/>
      <w:spacing w:after="0" w:before="40" w:lineRule="auto"/>
    </w:pPr>
    <w:rPr>
      <w:rFonts w:ascii="Calibri" w:cs="Calibri" w:eastAsia="Calibri" w:hAnsi="Calibri"/>
      <w:color w:val="2f5496"/>
    </w:rPr>
  </w:style>
  <w:style w:type="paragraph" w:styleId="Heading6">
    <w:name w:val="heading 6"/>
    <w:basedOn w:val="Normal"/>
    <w:next w:val="Normal"/>
    <w:pPr>
      <w:keepNext w:val="1"/>
      <w:spacing w:after="0" w:before="40" w:lineRule="auto"/>
    </w:pPr>
    <w:rPr>
      <w:rFonts w:ascii="Calibri" w:cs="Calibri" w:eastAsia="Calibri" w:hAnsi="Calibri"/>
      <w:color w:val="1f3763"/>
    </w:rPr>
  </w:style>
  <w:style w:type="paragraph" w:styleId="Title">
    <w:name w:val="Title"/>
    <w:basedOn w:val="Normal"/>
    <w:next w:val="Normal"/>
    <w:pPr>
      <w:spacing w:after="0" w:lineRule="auto"/>
    </w:pPr>
    <w:rPr>
      <w:rFonts w:ascii="Calibri" w:cs="Calibri" w:eastAsia="Calibri" w:hAnsi="Calibri"/>
      <w:sz w:val="56"/>
      <w:szCs w:val="56"/>
    </w:rPr>
  </w:style>
  <w:style w:type="paragraph" w:styleId="Subtitle">
    <w:name w:val="Subtitle"/>
    <w:basedOn w:val="Normal"/>
    <w:next w:val="Normal"/>
    <w:pPr/>
    <w:rPr>
      <w:color w:val="5a5a5a"/>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australia.com/en/about.html" TargetMode="External"/><Relationship Id="rId10" Type="http://schemas.openxmlformats.org/officeDocument/2006/relationships/hyperlink" Target="https://www.ons.gov.uk/businessindustryandtrade/tourismindustry/articles/tourisminenglandannualreportandaccounts/202021" TargetMode="External"/><Relationship Id="rId13" Type="http://schemas.openxmlformats.org/officeDocument/2006/relationships/footer" Target="footer1.xml"/><Relationship Id="rId12" Type="http://schemas.openxmlformats.org/officeDocument/2006/relationships/hyperlink" Target="https://www.visitbritain.org/inbound-tourism-statistics-englan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ofstede-insights.com/country-comparison/" TargetMode="External"/><Relationship Id="rId5" Type="http://schemas.openxmlformats.org/officeDocument/2006/relationships/styles" Target="styles.xml"/><Relationship Id="rId6" Type="http://schemas.openxmlformats.org/officeDocument/2006/relationships/hyperlink" Target="https://www.dfat.gov.au/about-australia/about-australia" TargetMode="External"/><Relationship Id="rId7" Type="http://schemas.openxmlformats.org/officeDocument/2006/relationships/hyperlink" Target="https://www.hofstede-insights.com/country-comparison/australia/" TargetMode="External"/><Relationship Id="rId8" Type="http://schemas.openxmlformats.org/officeDocument/2006/relationships/hyperlink" Target="https://www.hofstede-insights.com/country-comparison/en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