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4A2BD" w14:textId="68B31496" w:rsidR="00272EDB" w:rsidRPr="00272EDB" w:rsidRDefault="00B173A8"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bookmarkStart w:id="0" w:name="_Toc133576675"/>
      <w:r w:rsidRPr="00B173A8">
        <w:rPr>
          <w:rFonts w:ascii="Arial" w:eastAsia="Times New Roman" w:hAnsi="Arial" w:cs="Arial"/>
          <w:bCs/>
          <w:noProof/>
          <w:color w:val="000000"/>
          <w:kern w:val="0"/>
          <w:sz w:val="24"/>
          <w:szCs w:val="24"/>
          <w14:ligatures w14:val="none"/>
        </w:rPr>
        <w:drawing>
          <wp:inline distT="0" distB="0" distL="0" distR="0" wp14:anchorId="3929A25F" wp14:editId="0D46F539">
            <wp:extent cx="2232853" cy="823031"/>
            <wp:effectExtent l="0" t="0" r="0" b="0"/>
            <wp:docPr id="2125219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219506" name=""/>
                    <pic:cNvPicPr/>
                  </pic:nvPicPr>
                  <pic:blipFill>
                    <a:blip r:embed="rId8"/>
                    <a:stretch>
                      <a:fillRect/>
                    </a:stretch>
                  </pic:blipFill>
                  <pic:spPr>
                    <a:xfrm>
                      <a:off x="0" y="0"/>
                      <a:ext cx="2232853" cy="823031"/>
                    </a:xfrm>
                    <a:prstGeom prst="rect">
                      <a:avLst/>
                    </a:prstGeom>
                  </pic:spPr>
                </pic:pic>
              </a:graphicData>
            </a:graphic>
          </wp:inline>
        </w:drawing>
      </w:r>
    </w:p>
    <w:p w14:paraId="5A3F6D48" w14:textId="77777777" w:rsidR="00272EDB" w:rsidRPr="00272EDB" w:rsidRDefault="00272EDB"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799C7926" w14:textId="77777777" w:rsidR="00272EDB" w:rsidRPr="00272EDB" w:rsidRDefault="00272EDB"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7C2C6F3C" w14:textId="77777777" w:rsidR="00272EDB" w:rsidRDefault="00272EDB"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018A0EBD" w14:textId="246882EB" w:rsidR="00272EDB" w:rsidRDefault="00B173A8" w:rsidP="00B173A8">
      <w:pPr>
        <w:keepNext/>
        <w:keepLines/>
        <w:spacing w:after="0" w:line="360" w:lineRule="auto"/>
        <w:jc w:val="both"/>
        <w:outlineLvl w:val="0"/>
        <w:rPr>
          <w:rFonts w:ascii="Arial" w:eastAsia="Times New Roman" w:hAnsi="Arial" w:cs="Arial"/>
          <w:bCs/>
          <w:color w:val="000000"/>
          <w:kern w:val="0"/>
          <w:sz w:val="24"/>
          <w:szCs w:val="24"/>
          <w14:ligatures w14:val="none"/>
        </w:rPr>
      </w:pPr>
      <w:r>
        <w:rPr>
          <w:rFonts w:ascii="Arial" w:eastAsia="Times New Roman" w:hAnsi="Arial" w:cs="Arial"/>
          <w:bCs/>
          <w:color w:val="000000"/>
          <w:kern w:val="0"/>
          <w:sz w:val="24"/>
          <w:szCs w:val="24"/>
          <w14:ligatures w14:val="none"/>
        </w:rPr>
        <w:t>PROGRAMME: BA BUSINESS MANAGEMENT</w:t>
      </w:r>
    </w:p>
    <w:p w14:paraId="58363E04" w14:textId="2535A803" w:rsidR="00B173A8" w:rsidRDefault="00B173A8" w:rsidP="00B173A8">
      <w:pPr>
        <w:keepNext/>
        <w:keepLines/>
        <w:spacing w:after="0" w:line="360" w:lineRule="auto"/>
        <w:jc w:val="both"/>
        <w:outlineLvl w:val="0"/>
        <w:rPr>
          <w:rFonts w:ascii="Arial" w:eastAsia="Times New Roman" w:hAnsi="Arial" w:cs="Arial"/>
          <w:bCs/>
          <w:color w:val="000000"/>
          <w:kern w:val="0"/>
          <w:sz w:val="24"/>
          <w:szCs w:val="24"/>
          <w14:ligatures w14:val="none"/>
        </w:rPr>
      </w:pPr>
      <w:r>
        <w:rPr>
          <w:rFonts w:ascii="Arial" w:eastAsia="Times New Roman" w:hAnsi="Arial" w:cs="Arial"/>
          <w:bCs/>
          <w:color w:val="000000"/>
          <w:kern w:val="0"/>
          <w:sz w:val="24"/>
          <w:szCs w:val="24"/>
          <w14:ligatures w14:val="none"/>
        </w:rPr>
        <w:t>MODULE: INTERNATIONAL BUSINESS COMMUNICTAIONS</w:t>
      </w:r>
    </w:p>
    <w:p w14:paraId="14002570" w14:textId="3810FA41" w:rsidR="00B173A8" w:rsidRDefault="00B173A8" w:rsidP="00B173A8">
      <w:pPr>
        <w:keepNext/>
        <w:keepLines/>
        <w:spacing w:after="0" w:line="360" w:lineRule="auto"/>
        <w:jc w:val="both"/>
        <w:outlineLvl w:val="0"/>
        <w:rPr>
          <w:rFonts w:ascii="Arial" w:eastAsia="Times New Roman" w:hAnsi="Arial" w:cs="Arial"/>
          <w:bCs/>
          <w:color w:val="000000"/>
          <w:kern w:val="0"/>
          <w:sz w:val="24"/>
          <w:szCs w:val="24"/>
          <w14:ligatures w14:val="none"/>
        </w:rPr>
      </w:pPr>
      <w:r>
        <w:rPr>
          <w:rFonts w:ascii="Arial" w:eastAsia="Times New Roman" w:hAnsi="Arial" w:cs="Arial"/>
          <w:bCs/>
          <w:color w:val="000000"/>
          <w:kern w:val="0"/>
          <w:sz w:val="24"/>
          <w:szCs w:val="24"/>
          <w14:ligatures w14:val="none"/>
        </w:rPr>
        <w:t>MODULE CODE: LCBB6001</w:t>
      </w:r>
    </w:p>
    <w:p w14:paraId="61193382" w14:textId="7C91BC63" w:rsidR="00B173A8" w:rsidRDefault="00B173A8" w:rsidP="00B173A8">
      <w:pPr>
        <w:keepNext/>
        <w:keepLines/>
        <w:spacing w:after="0" w:line="360" w:lineRule="auto"/>
        <w:jc w:val="both"/>
        <w:outlineLvl w:val="0"/>
        <w:rPr>
          <w:rFonts w:ascii="Arial" w:eastAsia="Times New Roman" w:hAnsi="Arial" w:cs="Arial"/>
          <w:bCs/>
          <w:color w:val="000000"/>
          <w:kern w:val="0"/>
          <w:sz w:val="24"/>
          <w:szCs w:val="24"/>
          <w14:ligatures w14:val="none"/>
        </w:rPr>
      </w:pPr>
      <w:r>
        <w:rPr>
          <w:rFonts w:ascii="Arial" w:eastAsia="Times New Roman" w:hAnsi="Arial" w:cs="Arial"/>
          <w:bCs/>
          <w:color w:val="000000"/>
          <w:kern w:val="0"/>
          <w:sz w:val="24"/>
          <w:szCs w:val="24"/>
          <w14:ligatures w14:val="none"/>
        </w:rPr>
        <w:t>MODULE LEADER: DR CHARLES NWAOGWUGWU</w:t>
      </w:r>
    </w:p>
    <w:p w14:paraId="04563077" w14:textId="52B45C89" w:rsidR="00B173A8" w:rsidRDefault="00B173A8" w:rsidP="00B173A8">
      <w:pPr>
        <w:keepNext/>
        <w:keepLines/>
        <w:spacing w:after="0" w:line="360" w:lineRule="auto"/>
        <w:jc w:val="both"/>
        <w:outlineLvl w:val="0"/>
        <w:rPr>
          <w:rFonts w:ascii="Arial" w:eastAsia="Times New Roman" w:hAnsi="Arial" w:cs="Arial"/>
          <w:bCs/>
          <w:color w:val="000000"/>
          <w:kern w:val="0"/>
          <w:sz w:val="24"/>
          <w:szCs w:val="24"/>
          <w14:ligatures w14:val="none"/>
        </w:rPr>
      </w:pPr>
      <w:r>
        <w:rPr>
          <w:rFonts w:ascii="Arial" w:eastAsia="Times New Roman" w:hAnsi="Arial" w:cs="Arial"/>
          <w:bCs/>
          <w:color w:val="000000"/>
          <w:kern w:val="0"/>
          <w:sz w:val="24"/>
          <w:szCs w:val="24"/>
          <w14:ligatures w14:val="none"/>
        </w:rPr>
        <w:t xml:space="preserve">ASSIGNMENT </w:t>
      </w:r>
      <w:r w:rsidR="0075140D">
        <w:rPr>
          <w:rFonts w:ascii="Arial" w:eastAsia="Times New Roman" w:hAnsi="Arial" w:cs="Arial"/>
          <w:bCs/>
          <w:color w:val="000000"/>
          <w:kern w:val="0"/>
          <w:sz w:val="24"/>
          <w:szCs w:val="24"/>
          <w14:ligatures w14:val="none"/>
        </w:rPr>
        <w:t>ONE</w:t>
      </w:r>
    </w:p>
    <w:p w14:paraId="77894BEE" w14:textId="77777777" w:rsidR="00B173A8" w:rsidRDefault="00B173A8" w:rsidP="00B173A8">
      <w:pPr>
        <w:keepNext/>
        <w:keepLines/>
        <w:spacing w:after="0" w:line="360" w:lineRule="auto"/>
        <w:jc w:val="both"/>
        <w:outlineLvl w:val="0"/>
        <w:rPr>
          <w:rFonts w:ascii="Arial" w:eastAsia="Times New Roman" w:hAnsi="Arial" w:cs="Arial"/>
          <w:bCs/>
          <w:color w:val="000000"/>
          <w:kern w:val="0"/>
          <w:sz w:val="24"/>
          <w:szCs w:val="24"/>
          <w14:ligatures w14:val="none"/>
        </w:rPr>
      </w:pPr>
    </w:p>
    <w:p w14:paraId="2425160E" w14:textId="13AA0AB7" w:rsidR="00272EDB" w:rsidRDefault="00B173A8"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r>
        <w:rPr>
          <w:rFonts w:ascii="Arial" w:eastAsia="Times New Roman" w:hAnsi="Arial" w:cs="Arial"/>
          <w:bCs/>
          <w:color w:val="000000"/>
          <w:kern w:val="0"/>
          <w:sz w:val="24"/>
          <w:szCs w:val="24"/>
          <w14:ligatures w14:val="none"/>
        </w:rPr>
        <w:t>WORD COUNT: 2,511</w:t>
      </w:r>
    </w:p>
    <w:p w14:paraId="4E4AB65E" w14:textId="77777777" w:rsidR="00272EDB" w:rsidRDefault="00272EDB"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5F540AE2" w14:textId="77777777" w:rsidR="00272EDB" w:rsidRDefault="00272EDB"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066EFB9F" w14:textId="77777777" w:rsidR="00B173A8" w:rsidRDefault="00B173A8"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24EE12CD" w14:textId="77777777" w:rsidR="00B173A8" w:rsidRDefault="00B173A8"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1CCCF46B" w14:textId="77777777" w:rsidR="00B173A8" w:rsidRDefault="00B173A8"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30EC8EBB" w14:textId="77777777" w:rsidR="00B173A8" w:rsidRDefault="00B173A8"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4D345355" w14:textId="77777777" w:rsidR="00B173A8" w:rsidRDefault="00B173A8"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58B045F6" w14:textId="77777777" w:rsidR="003D497C" w:rsidRDefault="003D497C"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08421A8A" w14:textId="77777777" w:rsidR="00B173A8" w:rsidRDefault="00B173A8" w:rsidP="00272EDB">
      <w:pPr>
        <w:keepNext/>
        <w:keepLines/>
        <w:spacing w:after="240" w:line="360" w:lineRule="auto"/>
        <w:jc w:val="both"/>
        <w:outlineLvl w:val="0"/>
        <w:rPr>
          <w:rFonts w:ascii="Arial" w:eastAsia="Times New Roman" w:hAnsi="Arial" w:cs="Arial"/>
          <w:bCs/>
          <w:color w:val="000000"/>
          <w:kern w:val="0"/>
          <w:sz w:val="24"/>
          <w:szCs w:val="24"/>
          <w14:ligatures w14:val="none"/>
        </w:rPr>
      </w:pPr>
    </w:p>
    <w:p w14:paraId="1AE24C6A" w14:textId="5B5334BC" w:rsidR="00B173A8" w:rsidRPr="003D497C" w:rsidRDefault="00B173A8" w:rsidP="00272EDB">
      <w:pPr>
        <w:keepNext/>
        <w:keepLines/>
        <w:spacing w:after="240" w:line="360" w:lineRule="auto"/>
        <w:jc w:val="both"/>
        <w:outlineLvl w:val="0"/>
        <w:rPr>
          <w:rFonts w:ascii="Arial" w:eastAsia="Times New Roman" w:hAnsi="Arial" w:cs="Arial"/>
          <w:b/>
          <w:color w:val="000000"/>
          <w:kern w:val="0"/>
          <w:sz w:val="24"/>
          <w:szCs w:val="24"/>
          <w14:ligatures w14:val="none"/>
        </w:rPr>
      </w:pPr>
      <w:r w:rsidRPr="003D497C">
        <w:rPr>
          <w:rFonts w:ascii="Arial" w:eastAsia="Times New Roman" w:hAnsi="Arial" w:cs="Arial"/>
          <w:b/>
          <w:color w:val="000000"/>
          <w:kern w:val="0"/>
          <w:sz w:val="24"/>
          <w:szCs w:val="24"/>
          <w14:ligatures w14:val="none"/>
        </w:rPr>
        <w:t>STUDENT NAME:</w:t>
      </w:r>
      <w:r w:rsidR="0075140D">
        <w:rPr>
          <w:rFonts w:ascii="Arial" w:eastAsia="Times New Roman" w:hAnsi="Arial" w:cs="Arial"/>
          <w:b/>
          <w:color w:val="000000"/>
          <w:kern w:val="0"/>
          <w:sz w:val="24"/>
          <w:szCs w:val="24"/>
          <w14:ligatures w14:val="none"/>
        </w:rPr>
        <w:t xml:space="preserve"> MARGARITA MANDULOVA</w:t>
      </w:r>
    </w:p>
    <w:p w14:paraId="608B9877" w14:textId="62751B0E" w:rsidR="00B173A8" w:rsidRPr="003D497C" w:rsidRDefault="00B173A8" w:rsidP="00272EDB">
      <w:pPr>
        <w:keepNext/>
        <w:keepLines/>
        <w:spacing w:after="240" w:line="360" w:lineRule="auto"/>
        <w:jc w:val="both"/>
        <w:outlineLvl w:val="0"/>
        <w:rPr>
          <w:rFonts w:ascii="Arial" w:eastAsia="Times New Roman" w:hAnsi="Arial" w:cs="Arial"/>
          <w:b/>
          <w:color w:val="000000"/>
          <w:kern w:val="0"/>
          <w:sz w:val="24"/>
          <w:szCs w:val="24"/>
          <w14:ligatures w14:val="none"/>
        </w:rPr>
      </w:pPr>
      <w:r w:rsidRPr="003D497C">
        <w:rPr>
          <w:rFonts w:ascii="Arial" w:eastAsia="Times New Roman" w:hAnsi="Arial" w:cs="Arial"/>
          <w:b/>
          <w:color w:val="000000"/>
          <w:kern w:val="0"/>
          <w:sz w:val="24"/>
          <w:szCs w:val="24"/>
          <w14:ligatures w14:val="none"/>
        </w:rPr>
        <w:t>NUMBER:</w:t>
      </w:r>
      <w:r w:rsidR="0075140D">
        <w:rPr>
          <w:rFonts w:ascii="Arial" w:eastAsia="Times New Roman" w:hAnsi="Arial" w:cs="Arial"/>
          <w:b/>
          <w:color w:val="000000"/>
          <w:kern w:val="0"/>
          <w:sz w:val="24"/>
          <w:szCs w:val="24"/>
          <w14:ligatures w14:val="none"/>
        </w:rPr>
        <w:t xml:space="preserve"> 2119899</w:t>
      </w:r>
    </w:p>
    <w:sdt>
      <w:sdtPr>
        <w:rPr>
          <w:rFonts w:asciiTheme="minorHAnsi" w:eastAsiaTheme="minorHAnsi" w:hAnsiTheme="minorHAnsi" w:cstheme="minorBidi"/>
          <w:color w:val="auto"/>
          <w:kern w:val="2"/>
          <w:sz w:val="22"/>
          <w:szCs w:val="22"/>
          <w:lang w:val="en-GB"/>
          <w14:ligatures w14:val="standardContextual"/>
        </w:rPr>
        <w:id w:val="-1368518046"/>
        <w:docPartObj>
          <w:docPartGallery w:val="Table of Contents"/>
          <w:docPartUnique/>
        </w:docPartObj>
      </w:sdtPr>
      <w:sdtEndPr>
        <w:rPr>
          <w:b/>
          <w:bCs/>
          <w:noProof/>
        </w:rPr>
      </w:sdtEndPr>
      <w:sdtContent>
        <w:p w14:paraId="40FFC3FB" w14:textId="13DB1815" w:rsidR="00272EDB" w:rsidRPr="00272EDB" w:rsidRDefault="00272EDB" w:rsidP="003D497C">
          <w:pPr>
            <w:pStyle w:val="TOCHeading"/>
            <w:spacing w:after="240" w:line="480" w:lineRule="auto"/>
            <w:jc w:val="both"/>
            <w:rPr>
              <w:rFonts w:ascii="Arial" w:hAnsi="Arial" w:cs="Arial"/>
              <w:b/>
              <w:bCs/>
              <w:sz w:val="28"/>
              <w:szCs w:val="28"/>
            </w:rPr>
          </w:pPr>
          <w:r w:rsidRPr="00272EDB">
            <w:rPr>
              <w:rFonts w:ascii="Arial" w:hAnsi="Arial" w:cs="Arial"/>
              <w:b/>
              <w:bCs/>
              <w:sz w:val="28"/>
              <w:szCs w:val="28"/>
            </w:rPr>
            <w:t>Table of Contents</w:t>
          </w:r>
        </w:p>
        <w:p w14:paraId="489D387C" w14:textId="2076A7AA" w:rsidR="00272EDB" w:rsidRPr="00272EDB" w:rsidRDefault="00272EDB" w:rsidP="00272EDB">
          <w:pPr>
            <w:pStyle w:val="TOC1"/>
            <w:tabs>
              <w:tab w:val="right" w:leader="dot" w:pos="9062"/>
            </w:tabs>
            <w:spacing w:line="480" w:lineRule="auto"/>
            <w:jc w:val="both"/>
            <w:rPr>
              <w:rFonts w:ascii="Arial" w:hAnsi="Arial" w:cs="Arial"/>
              <w:noProof/>
              <w:sz w:val="24"/>
              <w:szCs w:val="24"/>
            </w:rPr>
          </w:pPr>
          <w:r w:rsidRPr="00272EDB">
            <w:rPr>
              <w:rFonts w:ascii="Arial" w:hAnsi="Arial" w:cs="Arial"/>
            </w:rPr>
            <w:fldChar w:fldCharType="begin"/>
          </w:r>
          <w:r w:rsidRPr="00272EDB">
            <w:rPr>
              <w:rFonts w:ascii="Arial" w:hAnsi="Arial" w:cs="Arial"/>
            </w:rPr>
            <w:instrText xml:space="preserve"> TOC \o "1-3" \h \z \u </w:instrText>
          </w:r>
          <w:r w:rsidRPr="00272EDB">
            <w:rPr>
              <w:rFonts w:ascii="Arial" w:hAnsi="Arial" w:cs="Arial"/>
            </w:rPr>
            <w:fldChar w:fldCharType="separate"/>
          </w:r>
          <w:hyperlink w:anchor="_Toc164781962" w:history="1">
            <w:r w:rsidRPr="00272EDB">
              <w:rPr>
                <w:rStyle w:val="Hyperlink"/>
                <w:rFonts w:ascii="Arial" w:eastAsia="Times New Roman" w:hAnsi="Arial" w:cs="Arial"/>
                <w:noProof/>
                <w:kern w:val="0"/>
                <w:sz w:val="24"/>
                <w:szCs w:val="24"/>
                <w14:ligatures w14:val="none"/>
              </w:rPr>
              <w:t>Introduction</w:t>
            </w:r>
            <w:r w:rsidRPr="00272EDB">
              <w:rPr>
                <w:rFonts w:ascii="Arial" w:hAnsi="Arial" w:cs="Arial"/>
                <w:noProof/>
                <w:webHidden/>
                <w:sz w:val="24"/>
                <w:szCs w:val="24"/>
              </w:rPr>
              <w:tab/>
            </w:r>
            <w:r w:rsidRPr="00272EDB">
              <w:rPr>
                <w:rFonts w:ascii="Arial" w:hAnsi="Arial" w:cs="Arial"/>
                <w:noProof/>
                <w:webHidden/>
                <w:sz w:val="24"/>
                <w:szCs w:val="24"/>
              </w:rPr>
              <w:fldChar w:fldCharType="begin"/>
            </w:r>
            <w:r w:rsidRPr="00272EDB">
              <w:rPr>
                <w:rFonts w:ascii="Arial" w:hAnsi="Arial" w:cs="Arial"/>
                <w:noProof/>
                <w:webHidden/>
                <w:sz w:val="24"/>
                <w:szCs w:val="24"/>
              </w:rPr>
              <w:instrText xml:space="preserve"> PAGEREF _Toc164781962 \h </w:instrText>
            </w:r>
            <w:r w:rsidRPr="00272EDB">
              <w:rPr>
                <w:rFonts w:ascii="Arial" w:hAnsi="Arial" w:cs="Arial"/>
                <w:noProof/>
                <w:webHidden/>
                <w:sz w:val="24"/>
                <w:szCs w:val="24"/>
              </w:rPr>
            </w:r>
            <w:r w:rsidRPr="00272EDB">
              <w:rPr>
                <w:rFonts w:ascii="Arial" w:hAnsi="Arial" w:cs="Arial"/>
                <w:noProof/>
                <w:webHidden/>
                <w:sz w:val="24"/>
                <w:szCs w:val="24"/>
              </w:rPr>
              <w:fldChar w:fldCharType="separate"/>
            </w:r>
            <w:r w:rsidR="003D497C">
              <w:rPr>
                <w:rFonts w:ascii="Arial" w:hAnsi="Arial" w:cs="Arial"/>
                <w:noProof/>
                <w:webHidden/>
                <w:sz w:val="24"/>
                <w:szCs w:val="24"/>
              </w:rPr>
              <w:t>3</w:t>
            </w:r>
            <w:r w:rsidRPr="00272EDB">
              <w:rPr>
                <w:rFonts w:ascii="Arial" w:hAnsi="Arial" w:cs="Arial"/>
                <w:noProof/>
                <w:webHidden/>
                <w:sz w:val="24"/>
                <w:szCs w:val="24"/>
              </w:rPr>
              <w:fldChar w:fldCharType="end"/>
            </w:r>
          </w:hyperlink>
        </w:p>
        <w:p w14:paraId="528CC47D" w14:textId="57014ED3" w:rsidR="00272EDB" w:rsidRPr="00272EDB" w:rsidRDefault="00000000" w:rsidP="00272EDB">
          <w:pPr>
            <w:pStyle w:val="TOC1"/>
            <w:tabs>
              <w:tab w:val="right" w:leader="dot" w:pos="9062"/>
            </w:tabs>
            <w:spacing w:line="480" w:lineRule="auto"/>
            <w:jc w:val="both"/>
            <w:rPr>
              <w:rFonts w:ascii="Arial" w:hAnsi="Arial" w:cs="Arial"/>
              <w:noProof/>
              <w:sz w:val="24"/>
              <w:szCs w:val="24"/>
            </w:rPr>
          </w:pPr>
          <w:hyperlink w:anchor="_Toc164781963" w:history="1">
            <w:r w:rsidR="00272EDB" w:rsidRPr="00272EDB">
              <w:rPr>
                <w:rStyle w:val="Hyperlink"/>
                <w:rFonts w:ascii="Arial" w:eastAsia="Calibri" w:hAnsi="Arial" w:cs="Arial"/>
                <w:noProof/>
                <w:sz w:val="24"/>
                <w:szCs w:val="24"/>
              </w:rPr>
              <w:t>Main body</w:t>
            </w:r>
            <w:r w:rsidR="00272EDB" w:rsidRPr="00272EDB">
              <w:rPr>
                <w:rFonts w:ascii="Arial" w:hAnsi="Arial" w:cs="Arial"/>
                <w:noProof/>
                <w:webHidden/>
                <w:sz w:val="24"/>
                <w:szCs w:val="24"/>
              </w:rPr>
              <w:tab/>
            </w:r>
            <w:r w:rsidR="00272EDB" w:rsidRPr="00272EDB">
              <w:rPr>
                <w:rFonts w:ascii="Arial" w:hAnsi="Arial" w:cs="Arial"/>
                <w:noProof/>
                <w:webHidden/>
                <w:sz w:val="24"/>
                <w:szCs w:val="24"/>
              </w:rPr>
              <w:fldChar w:fldCharType="begin"/>
            </w:r>
            <w:r w:rsidR="00272EDB" w:rsidRPr="00272EDB">
              <w:rPr>
                <w:rFonts w:ascii="Arial" w:hAnsi="Arial" w:cs="Arial"/>
                <w:noProof/>
                <w:webHidden/>
                <w:sz w:val="24"/>
                <w:szCs w:val="24"/>
              </w:rPr>
              <w:instrText xml:space="preserve"> PAGEREF _Toc164781963 \h </w:instrText>
            </w:r>
            <w:r w:rsidR="00272EDB" w:rsidRPr="00272EDB">
              <w:rPr>
                <w:rFonts w:ascii="Arial" w:hAnsi="Arial" w:cs="Arial"/>
                <w:noProof/>
                <w:webHidden/>
                <w:sz w:val="24"/>
                <w:szCs w:val="24"/>
              </w:rPr>
            </w:r>
            <w:r w:rsidR="00272EDB" w:rsidRPr="00272EDB">
              <w:rPr>
                <w:rFonts w:ascii="Arial" w:hAnsi="Arial" w:cs="Arial"/>
                <w:noProof/>
                <w:webHidden/>
                <w:sz w:val="24"/>
                <w:szCs w:val="24"/>
              </w:rPr>
              <w:fldChar w:fldCharType="separate"/>
            </w:r>
            <w:r w:rsidR="003D497C">
              <w:rPr>
                <w:rFonts w:ascii="Arial" w:hAnsi="Arial" w:cs="Arial"/>
                <w:noProof/>
                <w:webHidden/>
                <w:sz w:val="24"/>
                <w:szCs w:val="24"/>
              </w:rPr>
              <w:t>4</w:t>
            </w:r>
            <w:r w:rsidR="00272EDB" w:rsidRPr="00272EDB">
              <w:rPr>
                <w:rFonts w:ascii="Arial" w:hAnsi="Arial" w:cs="Arial"/>
                <w:noProof/>
                <w:webHidden/>
                <w:sz w:val="24"/>
                <w:szCs w:val="24"/>
              </w:rPr>
              <w:fldChar w:fldCharType="end"/>
            </w:r>
          </w:hyperlink>
        </w:p>
        <w:p w14:paraId="7D5AC846" w14:textId="0C57A497" w:rsidR="00272EDB" w:rsidRPr="00272EDB" w:rsidRDefault="00000000" w:rsidP="00272EDB">
          <w:pPr>
            <w:pStyle w:val="TOC2"/>
            <w:tabs>
              <w:tab w:val="right" w:leader="dot" w:pos="9062"/>
            </w:tabs>
            <w:spacing w:line="480" w:lineRule="auto"/>
            <w:jc w:val="both"/>
            <w:rPr>
              <w:rFonts w:ascii="Arial" w:hAnsi="Arial" w:cs="Arial"/>
              <w:noProof/>
              <w:sz w:val="24"/>
              <w:szCs w:val="24"/>
            </w:rPr>
          </w:pPr>
          <w:hyperlink w:anchor="_Toc164781964" w:history="1">
            <w:r w:rsidR="00272EDB" w:rsidRPr="00272EDB">
              <w:rPr>
                <w:rStyle w:val="Hyperlink"/>
                <w:rFonts w:ascii="Arial" w:hAnsi="Arial" w:cs="Arial"/>
                <w:noProof/>
                <w:sz w:val="24"/>
                <w:szCs w:val="24"/>
              </w:rPr>
              <w:t>Impact of culture</w:t>
            </w:r>
            <w:r w:rsidR="00272EDB" w:rsidRPr="00272EDB">
              <w:rPr>
                <w:rFonts w:ascii="Arial" w:hAnsi="Arial" w:cs="Arial"/>
                <w:noProof/>
                <w:webHidden/>
                <w:sz w:val="24"/>
                <w:szCs w:val="24"/>
              </w:rPr>
              <w:tab/>
            </w:r>
            <w:r w:rsidR="00272EDB" w:rsidRPr="00272EDB">
              <w:rPr>
                <w:rFonts w:ascii="Arial" w:hAnsi="Arial" w:cs="Arial"/>
                <w:noProof/>
                <w:webHidden/>
                <w:sz w:val="24"/>
                <w:szCs w:val="24"/>
              </w:rPr>
              <w:fldChar w:fldCharType="begin"/>
            </w:r>
            <w:r w:rsidR="00272EDB" w:rsidRPr="00272EDB">
              <w:rPr>
                <w:rFonts w:ascii="Arial" w:hAnsi="Arial" w:cs="Arial"/>
                <w:noProof/>
                <w:webHidden/>
                <w:sz w:val="24"/>
                <w:szCs w:val="24"/>
              </w:rPr>
              <w:instrText xml:space="preserve"> PAGEREF _Toc164781964 \h </w:instrText>
            </w:r>
            <w:r w:rsidR="00272EDB" w:rsidRPr="00272EDB">
              <w:rPr>
                <w:rFonts w:ascii="Arial" w:hAnsi="Arial" w:cs="Arial"/>
                <w:noProof/>
                <w:webHidden/>
                <w:sz w:val="24"/>
                <w:szCs w:val="24"/>
              </w:rPr>
            </w:r>
            <w:r w:rsidR="00272EDB" w:rsidRPr="00272EDB">
              <w:rPr>
                <w:rFonts w:ascii="Arial" w:hAnsi="Arial" w:cs="Arial"/>
                <w:noProof/>
                <w:webHidden/>
                <w:sz w:val="24"/>
                <w:szCs w:val="24"/>
              </w:rPr>
              <w:fldChar w:fldCharType="separate"/>
            </w:r>
            <w:r w:rsidR="003D497C">
              <w:rPr>
                <w:rFonts w:ascii="Arial" w:hAnsi="Arial" w:cs="Arial"/>
                <w:noProof/>
                <w:webHidden/>
                <w:sz w:val="24"/>
                <w:szCs w:val="24"/>
              </w:rPr>
              <w:t>4</w:t>
            </w:r>
            <w:r w:rsidR="00272EDB" w:rsidRPr="00272EDB">
              <w:rPr>
                <w:rFonts w:ascii="Arial" w:hAnsi="Arial" w:cs="Arial"/>
                <w:noProof/>
                <w:webHidden/>
                <w:sz w:val="24"/>
                <w:szCs w:val="24"/>
              </w:rPr>
              <w:fldChar w:fldCharType="end"/>
            </w:r>
          </w:hyperlink>
        </w:p>
        <w:p w14:paraId="1EC20F9B" w14:textId="7761AA01" w:rsidR="00272EDB" w:rsidRPr="00272EDB" w:rsidRDefault="00000000" w:rsidP="00272EDB">
          <w:pPr>
            <w:pStyle w:val="TOC2"/>
            <w:tabs>
              <w:tab w:val="right" w:leader="dot" w:pos="9062"/>
            </w:tabs>
            <w:spacing w:line="480" w:lineRule="auto"/>
            <w:jc w:val="both"/>
            <w:rPr>
              <w:rFonts w:ascii="Arial" w:hAnsi="Arial" w:cs="Arial"/>
              <w:noProof/>
              <w:sz w:val="24"/>
              <w:szCs w:val="24"/>
            </w:rPr>
          </w:pPr>
          <w:hyperlink w:anchor="_Toc164781965" w:history="1">
            <w:r w:rsidR="00272EDB" w:rsidRPr="00272EDB">
              <w:rPr>
                <w:rStyle w:val="Hyperlink"/>
                <w:rFonts w:ascii="Arial" w:hAnsi="Arial" w:cs="Arial"/>
                <w:noProof/>
                <w:sz w:val="24"/>
                <w:szCs w:val="24"/>
              </w:rPr>
              <w:t>Communication barriers</w:t>
            </w:r>
            <w:r w:rsidR="00272EDB" w:rsidRPr="00272EDB">
              <w:rPr>
                <w:rFonts w:ascii="Arial" w:hAnsi="Arial" w:cs="Arial"/>
                <w:noProof/>
                <w:webHidden/>
                <w:sz w:val="24"/>
                <w:szCs w:val="24"/>
              </w:rPr>
              <w:tab/>
            </w:r>
            <w:r w:rsidR="00272EDB" w:rsidRPr="00272EDB">
              <w:rPr>
                <w:rFonts w:ascii="Arial" w:hAnsi="Arial" w:cs="Arial"/>
                <w:noProof/>
                <w:webHidden/>
                <w:sz w:val="24"/>
                <w:szCs w:val="24"/>
              </w:rPr>
              <w:fldChar w:fldCharType="begin"/>
            </w:r>
            <w:r w:rsidR="00272EDB" w:rsidRPr="00272EDB">
              <w:rPr>
                <w:rFonts w:ascii="Arial" w:hAnsi="Arial" w:cs="Arial"/>
                <w:noProof/>
                <w:webHidden/>
                <w:sz w:val="24"/>
                <w:szCs w:val="24"/>
              </w:rPr>
              <w:instrText xml:space="preserve"> PAGEREF _Toc164781965 \h </w:instrText>
            </w:r>
            <w:r w:rsidR="00272EDB" w:rsidRPr="00272EDB">
              <w:rPr>
                <w:rFonts w:ascii="Arial" w:hAnsi="Arial" w:cs="Arial"/>
                <w:noProof/>
                <w:webHidden/>
                <w:sz w:val="24"/>
                <w:szCs w:val="24"/>
              </w:rPr>
            </w:r>
            <w:r w:rsidR="00272EDB" w:rsidRPr="00272EDB">
              <w:rPr>
                <w:rFonts w:ascii="Arial" w:hAnsi="Arial" w:cs="Arial"/>
                <w:noProof/>
                <w:webHidden/>
                <w:sz w:val="24"/>
                <w:szCs w:val="24"/>
              </w:rPr>
              <w:fldChar w:fldCharType="separate"/>
            </w:r>
            <w:r w:rsidR="003D497C">
              <w:rPr>
                <w:rFonts w:ascii="Arial" w:hAnsi="Arial" w:cs="Arial"/>
                <w:noProof/>
                <w:webHidden/>
                <w:sz w:val="24"/>
                <w:szCs w:val="24"/>
              </w:rPr>
              <w:t>7</w:t>
            </w:r>
            <w:r w:rsidR="00272EDB" w:rsidRPr="00272EDB">
              <w:rPr>
                <w:rFonts w:ascii="Arial" w:hAnsi="Arial" w:cs="Arial"/>
                <w:noProof/>
                <w:webHidden/>
                <w:sz w:val="24"/>
                <w:szCs w:val="24"/>
              </w:rPr>
              <w:fldChar w:fldCharType="end"/>
            </w:r>
          </w:hyperlink>
        </w:p>
        <w:p w14:paraId="15DD6F9F" w14:textId="0C429115" w:rsidR="00272EDB" w:rsidRPr="00272EDB" w:rsidRDefault="00000000" w:rsidP="00272EDB">
          <w:pPr>
            <w:pStyle w:val="TOC2"/>
            <w:tabs>
              <w:tab w:val="right" w:leader="dot" w:pos="9062"/>
            </w:tabs>
            <w:spacing w:line="480" w:lineRule="auto"/>
            <w:jc w:val="both"/>
            <w:rPr>
              <w:rFonts w:ascii="Arial" w:hAnsi="Arial" w:cs="Arial"/>
              <w:noProof/>
              <w:sz w:val="24"/>
              <w:szCs w:val="24"/>
            </w:rPr>
          </w:pPr>
          <w:hyperlink w:anchor="_Toc164781966" w:history="1">
            <w:r w:rsidR="00272EDB" w:rsidRPr="00272EDB">
              <w:rPr>
                <w:rStyle w:val="Hyperlink"/>
                <w:rFonts w:ascii="Arial" w:hAnsi="Arial" w:cs="Arial"/>
                <w:noProof/>
                <w:sz w:val="24"/>
                <w:szCs w:val="24"/>
              </w:rPr>
              <w:t>Choice of country and recommendations</w:t>
            </w:r>
            <w:r w:rsidR="00272EDB" w:rsidRPr="00272EDB">
              <w:rPr>
                <w:rFonts w:ascii="Arial" w:hAnsi="Arial" w:cs="Arial"/>
                <w:noProof/>
                <w:webHidden/>
                <w:sz w:val="24"/>
                <w:szCs w:val="24"/>
              </w:rPr>
              <w:tab/>
            </w:r>
            <w:r w:rsidR="00272EDB" w:rsidRPr="00272EDB">
              <w:rPr>
                <w:rFonts w:ascii="Arial" w:hAnsi="Arial" w:cs="Arial"/>
                <w:noProof/>
                <w:webHidden/>
                <w:sz w:val="24"/>
                <w:szCs w:val="24"/>
              </w:rPr>
              <w:fldChar w:fldCharType="begin"/>
            </w:r>
            <w:r w:rsidR="00272EDB" w:rsidRPr="00272EDB">
              <w:rPr>
                <w:rFonts w:ascii="Arial" w:hAnsi="Arial" w:cs="Arial"/>
                <w:noProof/>
                <w:webHidden/>
                <w:sz w:val="24"/>
                <w:szCs w:val="24"/>
              </w:rPr>
              <w:instrText xml:space="preserve"> PAGEREF _Toc164781966 \h </w:instrText>
            </w:r>
            <w:r w:rsidR="00272EDB" w:rsidRPr="00272EDB">
              <w:rPr>
                <w:rFonts w:ascii="Arial" w:hAnsi="Arial" w:cs="Arial"/>
                <w:noProof/>
                <w:webHidden/>
                <w:sz w:val="24"/>
                <w:szCs w:val="24"/>
              </w:rPr>
            </w:r>
            <w:r w:rsidR="00272EDB" w:rsidRPr="00272EDB">
              <w:rPr>
                <w:rFonts w:ascii="Arial" w:hAnsi="Arial" w:cs="Arial"/>
                <w:noProof/>
                <w:webHidden/>
                <w:sz w:val="24"/>
                <w:szCs w:val="24"/>
              </w:rPr>
              <w:fldChar w:fldCharType="separate"/>
            </w:r>
            <w:r w:rsidR="003D497C">
              <w:rPr>
                <w:rFonts w:ascii="Arial" w:hAnsi="Arial" w:cs="Arial"/>
                <w:noProof/>
                <w:webHidden/>
                <w:sz w:val="24"/>
                <w:szCs w:val="24"/>
              </w:rPr>
              <w:t>9</w:t>
            </w:r>
            <w:r w:rsidR="00272EDB" w:rsidRPr="00272EDB">
              <w:rPr>
                <w:rFonts w:ascii="Arial" w:hAnsi="Arial" w:cs="Arial"/>
                <w:noProof/>
                <w:webHidden/>
                <w:sz w:val="24"/>
                <w:szCs w:val="24"/>
              </w:rPr>
              <w:fldChar w:fldCharType="end"/>
            </w:r>
          </w:hyperlink>
        </w:p>
        <w:p w14:paraId="6B0FF715" w14:textId="3EE38546" w:rsidR="00272EDB" w:rsidRPr="00272EDB" w:rsidRDefault="00000000" w:rsidP="00272EDB">
          <w:pPr>
            <w:pStyle w:val="TOC1"/>
            <w:tabs>
              <w:tab w:val="right" w:leader="dot" w:pos="9062"/>
            </w:tabs>
            <w:spacing w:line="480" w:lineRule="auto"/>
            <w:jc w:val="both"/>
            <w:rPr>
              <w:rFonts w:ascii="Arial" w:hAnsi="Arial" w:cs="Arial"/>
              <w:noProof/>
              <w:sz w:val="24"/>
              <w:szCs w:val="24"/>
            </w:rPr>
          </w:pPr>
          <w:hyperlink w:anchor="_Toc164781967" w:history="1">
            <w:r w:rsidR="00272EDB" w:rsidRPr="00272EDB">
              <w:rPr>
                <w:rStyle w:val="Hyperlink"/>
                <w:rFonts w:ascii="Arial" w:eastAsia="Times New Roman" w:hAnsi="Arial" w:cs="Arial"/>
                <w:noProof/>
                <w:sz w:val="24"/>
                <w:szCs w:val="24"/>
              </w:rPr>
              <w:t>Conclusion</w:t>
            </w:r>
            <w:r w:rsidR="00272EDB" w:rsidRPr="00272EDB">
              <w:rPr>
                <w:rFonts w:ascii="Arial" w:hAnsi="Arial" w:cs="Arial"/>
                <w:noProof/>
                <w:webHidden/>
                <w:sz w:val="24"/>
                <w:szCs w:val="24"/>
              </w:rPr>
              <w:tab/>
            </w:r>
            <w:r w:rsidR="00272EDB" w:rsidRPr="00272EDB">
              <w:rPr>
                <w:rFonts w:ascii="Arial" w:hAnsi="Arial" w:cs="Arial"/>
                <w:noProof/>
                <w:webHidden/>
                <w:sz w:val="24"/>
                <w:szCs w:val="24"/>
              </w:rPr>
              <w:fldChar w:fldCharType="begin"/>
            </w:r>
            <w:r w:rsidR="00272EDB" w:rsidRPr="00272EDB">
              <w:rPr>
                <w:rFonts w:ascii="Arial" w:hAnsi="Arial" w:cs="Arial"/>
                <w:noProof/>
                <w:webHidden/>
                <w:sz w:val="24"/>
                <w:szCs w:val="24"/>
              </w:rPr>
              <w:instrText xml:space="preserve"> PAGEREF _Toc164781967 \h </w:instrText>
            </w:r>
            <w:r w:rsidR="00272EDB" w:rsidRPr="00272EDB">
              <w:rPr>
                <w:rFonts w:ascii="Arial" w:hAnsi="Arial" w:cs="Arial"/>
                <w:noProof/>
                <w:webHidden/>
                <w:sz w:val="24"/>
                <w:szCs w:val="24"/>
              </w:rPr>
            </w:r>
            <w:r w:rsidR="00272EDB" w:rsidRPr="00272EDB">
              <w:rPr>
                <w:rFonts w:ascii="Arial" w:hAnsi="Arial" w:cs="Arial"/>
                <w:noProof/>
                <w:webHidden/>
                <w:sz w:val="24"/>
                <w:szCs w:val="24"/>
              </w:rPr>
              <w:fldChar w:fldCharType="separate"/>
            </w:r>
            <w:r w:rsidR="003D497C">
              <w:rPr>
                <w:rFonts w:ascii="Arial" w:hAnsi="Arial" w:cs="Arial"/>
                <w:noProof/>
                <w:webHidden/>
                <w:sz w:val="24"/>
                <w:szCs w:val="24"/>
              </w:rPr>
              <w:t>10</w:t>
            </w:r>
            <w:r w:rsidR="00272EDB" w:rsidRPr="00272EDB">
              <w:rPr>
                <w:rFonts w:ascii="Arial" w:hAnsi="Arial" w:cs="Arial"/>
                <w:noProof/>
                <w:webHidden/>
                <w:sz w:val="24"/>
                <w:szCs w:val="24"/>
              </w:rPr>
              <w:fldChar w:fldCharType="end"/>
            </w:r>
          </w:hyperlink>
        </w:p>
        <w:p w14:paraId="5E86D60A" w14:textId="7D5EBB99" w:rsidR="00272EDB" w:rsidRPr="00272EDB" w:rsidRDefault="00000000" w:rsidP="00272EDB">
          <w:pPr>
            <w:pStyle w:val="TOC1"/>
            <w:tabs>
              <w:tab w:val="right" w:leader="dot" w:pos="9062"/>
            </w:tabs>
            <w:spacing w:line="480" w:lineRule="auto"/>
            <w:jc w:val="both"/>
            <w:rPr>
              <w:rFonts w:ascii="Arial" w:hAnsi="Arial" w:cs="Arial"/>
              <w:noProof/>
              <w:sz w:val="24"/>
              <w:szCs w:val="24"/>
            </w:rPr>
          </w:pPr>
          <w:hyperlink w:anchor="_Toc164781968" w:history="1">
            <w:r w:rsidR="00272EDB" w:rsidRPr="00272EDB">
              <w:rPr>
                <w:rStyle w:val="Hyperlink"/>
                <w:rFonts w:ascii="Arial" w:hAnsi="Arial" w:cs="Arial"/>
                <w:noProof/>
                <w:sz w:val="24"/>
                <w:szCs w:val="24"/>
                <w:lang w:val="en-US"/>
              </w:rPr>
              <w:t>References</w:t>
            </w:r>
            <w:r w:rsidR="00272EDB" w:rsidRPr="00272EDB">
              <w:rPr>
                <w:rFonts w:ascii="Arial" w:hAnsi="Arial" w:cs="Arial"/>
                <w:noProof/>
                <w:webHidden/>
                <w:sz w:val="24"/>
                <w:szCs w:val="24"/>
              </w:rPr>
              <w:tab/>
            </w:r>
            <w:r w:rsidR="00272EDB" w:rsidRPr="00272EDB">
              <w:rPr>
                <w:rFonts w:ascii="Arial" w:hAnsi="Arial" w:cs="Arial"/>
                <w:noProof/>
                <w:webHidden/>
                <w:sz w:val="24"/>
                <w:szCs w:val="24"/>
              </w:rPr>
              <w:fldChar w:fldCharType="begin"/>
            </w:r>
            <w:r w:rsidR="00272EDB" w:rsidRPr="00272EDB">
              <w:rPr>
                <w:rFonts w:ascii="Arial" w:hAnsi="Arial" w:cs="Arial"/>
                <w:noProof/>
                <w:webHidden/>
                <w:sz w:val="24"/>
                <w:szCs w:val="24"/>
              </w:rPr>
              <w:instrText xml:space="preserve"> PAGEREF _Toc164781968 \h </w:instrText>
            </w:r>
            <w:r w:rsidR="00272EDB" w:rsidRPr="00272EDB">
              <w:rPr>
                <w:rFonts w:ascii="Arial" w:hAnsi="Arial" w:cs="Arial"/>
                <w:noProof/>
                <w:webHidden/>
                <w:sz w:val="24"/>
                <w:szCs w:val="24"/>
              </w:rPr>
            </w:r>
            <w:r w:rsidR="00272EDB" w:rsidRPr="00272EDB">
              <w:rPr>
                <w:rFonts w:ascii="Arial" w:hAnsi="Arial" w:cs="Arial"/>
                <w:noProof/>
                <w:webHidden/>
                <w:sz w:val="24"/>
                <w:szCs w:val="24"/>
              </w:rPr>
              <w:fldChar w:fldCharType="separate"/>
            </w:r>
            <w:r w:rsidR="003D497C">
              <w:rPr>
                <w:rFonts w:ascii="Arial" w:hAnsi="Arial" w:cs="Arial"/>
                <w:noProof/>
                <w:webHidden/>
                <w:sz w:val="24"/>
                <w:szCs w:val="24"/>
              </w:rPr>
              <w:t>12</w:t>
            </w:r>
            <w:r w:rsidR="00272EDB" w:rsidRPr="00272EDB">
              <w:rPr>
                <w:rFonts w:ascii="Arial" w:hAnsi="Arial" w:cs="Arial"/>
                <w:noProof/>
                <w:webHidden/>
                <w:sz w:val="24"/>
                <w:szCs w:val="24"/>
              </w:rPr>
              <w:fldChar w:fldCharType="end"/>
            </w:r>
          </w:hyperlink>
        </w:p>
        <w:p w14:paraId="2F0E41A9" w14:textId="780FDE96" w:rsidR="00272EDB" w:rsidRDefault="00272EDB" w:rsidP="00272EDB">
          <w:pPr>
            <w:spacing w:line="480" w:lineRule="auto"/>
            <w:jc w:val="both"/>
          </w:pPr>
          <w:r w:rsidRPr="00272EDB">
            <w:rPr>
              <w:rFonts w:ascii="Arial" w:hAnsi="Arial" w:cs="Arial"/>
              <w:noProof/>
            </w:rPr>
            <w:fldChar w:fldCharType="end"/>
          </w:r>
        </w:p>
      </w:sdtContent>
    </w:sdt>
    <w:p w14:paraId="3D2187CB" w14:textId="77777777" w:rsidR="00272EDB" w:rsidRDefault="00272EDB" w:rsidP="00272EDB"/>
    <w:p w14:paraId="5FD7F37F" w14:textId="77777777" w:rsidR="00272EDB" w:rsidRDefault="00272EDB" w:rsidP="00272EDB"/>
    <w:p w14:paraId="31ADFC1E" w14:textId="77777777" w:rsidR="00272EDB" w:rsidRDefault="00272EDB" w:rsidP="00272EDB"/>
    <w:p w14:paraId="79361A79" w14:textId="77777777" w:rsidR="00272EDB" w:rsidRDefault="00272EDB" w:rsidP="00272EDB"/>
    <w:p w14:paraId="13606595" w14:textId="77777777" w:rsidR="00272EDB" w:rsidRDefault="00272EDB" w:rsidP="00272EDB"/>
    <w:p w14:paraId="65338EF9" w14:textId="77777777" w:rsidR="00272EDB" w:rsidRDefault="00272EDB" w:rsidP="00272EDB"/>
    <w:p w14:paraId="6A99CE93" w14:textId="77777777" w:rsidR="00272EDB" w:rsidRDefault="00272EDB" w:rsidP="00272EDB"/>
    <w:p w14:paraId="36DC0744" w14:textId="77777777" w:rsidR="00272EDB" w:rsidRDefault="00272EDB" w:rsidP="00272EDB"/>
    <w:p w14:paraId="71DAE87F" w14:textId="77777777" w:rsidR="00272EDB" w:rsidRDefault="00272EDB" w:rsidP="00272EDB"/>
    <w:p w14:paraId="3343101D" w14:textId="77777777" w:rsidR="00272EDB" w:rsidRDefault="00272EDB" w:rsidP="00272EDB"/>
    <w:p w14:paraId="4CFD8415" w14:textId="77777777" w:rsidR="00272EDB" w:rsidRDefault="00272EDB" w:rsidP="00272EDB"/>
    <w:p w14:paraId="2E6877A3" w14:textId="77777777" w:rsidR="00272EDB" w:rsidRDefault="00272EDB" w:rsidP="00272EDB"/>
    <w:p w14:paraId="264A7B89" w14:textId="77777777" w:rsidR="00272EDB" w:rsidRDefault="00272EDB" w:rsidP="00272EDB"/>
    <w:p w14:paraId="6E38206D" w14:textId="77777777" w:rsidR="00272EDB" w:rsidRDefault="00272EDB" w:rsidP="00272EDB"/>
    <w:p w14:paraId="08C5302D" w14:textId="77777777" w:rsidR="00272EDB" w:rsidRDefault="00272EDB" w:rsidP="00272EDB"/>
    <w:p w14:paraId="6669AE38" w14:textId="77777777" w:rsidR="00272EDB" w:rsidRPr="00272EDB" w:rsidRDefault="00272EDB" w:rsidP="00272EDB"/>
    <w:p w14:paraId="33FBA04A" w14:textId="02E09122" w:rsidR="002833DF" w:rsidRPr="002833DF" w:rsidRDefault="002833DF" w:rsidP="00272EDB">
      <w:pPr>
        <w:keepNext/>
        <w:keepLines/>
        <w:spacing w:after="240" w:line="360" w:lineRule="auto"/>
        <w:jc w:val="both"/>
        <w:outlineLvl w:val="0"/>
        <w:rPr>
          <w:rFonts w:ascii="Arial" w:eastAsia="Times New Roman" w:hAnsi="Arial" w:cs="Arial"/>
          <w:b/>
          <w:color w:val="000000"/>
          <w:kern w:val="0"/>
          <w:sz w:val="28"/>
          <w:szCs w:val="32"/>
          <w14:ligatures w14:val="none"/>
        </w:rPr>
      </w:pPr>
      <w:bookmarkStart w:id="1" w:name="_Toc164781962"/>
      <w:r w:rsidRPr="002833DF">
        <w:rPr>
          <w:rFonts w:ascii="Arial" w:eastAsia="Times New Roman" w:hAnsi="Arial" w:cs="Arial"/>
          <w:b/>
          <w:color w:val="000000"/>
          <w:kern w:val="0"/>
          <w:sz w:val="28"/>
          <w:szCs w:val="32"/>
          <w14:ligatures w14:val="none"/>
        </w:rPr>
        <w:lastRenderedPageBreak/>
        <w:t>Introduction</w:t>
      </w:r>
      <w:bookmarkEnd w:id="0"/>
      <w:bookmarkEnd w:id="1"/>
    </w:p>
    <w:p w14:paraId="479E0871" w14:textId="6993BAB6" w:rsidR="001D31FA" w:rsidRPr="00272EDB" w:rsidRDefault="001D31FA" w:rsidP="00272EDB">
      <w:pPr>
        <w:spacing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 xml:space="preserve">The report explores the role and impact of national culture and communication specifics affecting international business. </w:t>
      </w:r>
      <w:r w:rsidR="00B87963" w:rsidRPr="00272EDB">
        <w:rPr>
          <w:rFonts w:ascii="Arial" w:eastAsia="Calibri" w:hAnsi="Arial" w:cs="Arial"/>
          <w:color w:val="000000"/>
          <w:kern w:val="0"/>
          <w:sz w:val="24"/>
          <w:szCs w:val="24"/>
          <w14:ligatures w14:val="none"/>
        </w:rPr>
        <w:t xml:space="preserve">A better understanding of culture is suggested to facilitate the performance of internal organisations and cross-cultural communication in a global setting. The current report examines important cultural aspects of the UK (home country) and two culturally diverse countries from the European Union: Denmark and Italy. The former is a Scandinavian country, whereas the latter is a Mediterranean one, thereby suggesting the existing of considerable cultural differences affecting communication and management of diverse teams. </w:t>
      </w:r>
    </w:p>
    <w:p w14:paraId="5C4FF506" w14:textId="38F33249" w:rsidR="00E87788" w:rsidRPr="00272EDB" w:rsidRDefault="00E87788" w:rsidP="00272EDB">
      <w:pPr>
        <w:spacing w:after="240" w:line="360" w:lineRule="auto"/>
        <w:jc w:val="both"/>
        <w:rPr>
          <w:rFonts w:ascii="Arial" w:eastAsia="Calibri" w:hAnsi="Arial" w:cs="Arial"/>
          <w:color w:val="000000"/>
          <w:kern w:val="0"/>
          <w:sz w:val="24"/>
          <w:szCs w:val="24"/>
          <w:lang w:val="en-US"/>
          <w14:ligatures w14:val="none"/>
        </w:rPr>
      </w:pPr>
      <w:r w:rsidRPr="00272EDB">
        <w:rPr>
          <w:rFonts w:ascii="Arial" w:eastAsia="Calibri" w:hAnsi="Arial" w:cs="Arial"/>
          <w:color w:val="000000"/>
          <w:kern w:val="0"/>
          <w:sz w:val="24"/>
          <w:szCs w:val="24"/>
          <w14:ligatures w14:val="none"/>
        </w:rPr>
        <w:t>The business communication process in the UK demonstrates mixed features. According to SGE (</w:t>
      </w:r>
      <w:r w:rsidR="0048443C" w:rsidRPr="00272EDB">
        <w:rPr>
          <w:rFonts w:ascii="Arial" w:eastAsia="Calibri" w:hAnsi="Arial" w:cs="Arial"/>
          <w:color w:val="000000"/>
          <w:kern w:val="0"/>
          <w:sz w:val="24"/>
          <w:szCs w:val="24"/>
          <w14:ligatures w14:val="none"/>
        </w:rPr>
        <w:t>2024</w:t>
      </w:r>
      <w:r w:rsidRPr="00272EDB">
        <w:rPr>
          <w:rFonts w:ascii="Arial" w:eastAsia="Calibri" w:hAnsi="Arial" w:cs="Arial"/>
          <w:color w:val="000000"/>
          <w:kern w:val="0"/>
          <w:sz w:val="24"/>
          <w:szCs w:val="24"/>
          <w14:ligatures w14:val="none"/>
        </w:rPr>
        <w:t xml:space="preserve">), </w:t>
      </w:r>
      <w:r w:rsidRPr="00272EDB">
        <w:rPr>
          <w:rFonts w:ascii="Arial" w:eastAsia="Calibri" w:hAnsi="Arial" w:cs="Arial"/>
          <w:color w:val="000000"/>
          <w:kern w:val="0"/>
          <w:sz w:val="24"/>
          <w:szCs w:val="24"/>
          <w:lang w:val="en-US"/>
          <w14:ligatures w14:val="none"/>
        </w:rPr>
        <w:t>t</w:t>
      </w:r>
      <w:r w:rsidRPr="00272EDB">
        <w:rPr>
          <w:rFonts w:ascii="Arial" w:eastAsia="Calibri" w:hAnsi="Arial" w:cs="Arial"/>
          <w:color w:val="000000"/>
          <w:kern w:val="0"/>
          <w:sz w:val="24"/>
          <w:szCs w:val="24"/>
          <w:lang w:val="bg-BG"/>
          <w14:ligatures w14:val="none"/>
        </w:rPr>
        <w:t xml:space="preserve">he communication process is facilitated </w:t>
      </w:r>
      <w:r w:rsidR="00941F9D" w:rsidRPr="00272EDB">
        <w:rPr>
          <w:rFonts w:ascii="Arial" w:eastAsia="Calibri" w:hAnsi="Arial" w:cs="Arial"/>
          <w:color w:val="000000"/>
          <w:kern w:val="0"/>
          <w:sz w:val="24"/>
          <w:szCs w:val="24"/>
          <w:lang w:val="bg-BG"/>
          <w14:ligatures w14:val="none"/>
        </w:rPr>
        <w:t>using</w:t>
      </w:r>
      <w:r w:rsidRPr="00272EDB">
        <w:rPr>
          <w:rFonts w:ascii="Arial" w:eastAsia="Calibri" w:hAnsi="Arial" w:cs="Arial"/>
          <w:color w:val="000000"/>
          <w:kern w:val="0"/>
          <w:sz w:val="24"/>
          <w:szCs w:val="24"/>
          <w:lang w:val="bg-BG"/>
          <w14:ligatures w14:val="none"/>
        </w:rPr>
        <w:t xml:space="preserve"> first names, a sense of humour, and a strong degree of curiosity in the other person, even if this may not be reciprocated. It is also worth noting that the British business communication process is associated with a high degree of politeness (SGE, </w:t>
      </w:r>
      <w:r w:rsidR="0048443C" w:rsidRPr="00272EDB">
        <w:rPr>
          <w:rFonts w:ascii="Arial" w:eastAsia="Calibri" w:hAnsi="Arial" w:cs="Arial"/>
          <w:color w:val="000000"/>
          <w:kern w:val="0"/>
          <w:sz w:val="24"/>
          <w:szCs w:val="24"/>
          <w:lang w:val="en-US"/>
          <w14:ligatures w14:val="none"/>
        </w:rPr>
        <w:t>2024</w:t>
      </w:r>
      <w:r w:rsidRPr="00272EDB">
        <w:rPr>
          <w:rFonts w:ascii="Arial" w:eastAsia="Calibri" w:hAnsi="Arial" w:cs="Arial"/>
          <w:color w:val="000000"/>
          <w:kern w:val="0"/>
          <w:sz w:val="24"/>
          <w:szCs w:val="24"/>
          <w:lang w:val="bg-BG"/>
          <w14:ligatures w14:val="none"/>
        </w:rPr>
        <w:t xml:space="preserve">). This approach may convey implicit messages and lead to a lack of comprehension. More specifically, politeness limits one's capacity to openly express disapproval towards the opinions of others, which might be crucial information that outsiders may not perceive (SGE, </w:t>
      </w:r>
      <w:r w:rsidR="0048443C" w:rsidRPr="00272EDB">
        <w:rPr>
          <w:rFonts w:ascii="Arial" w:eastAsia="Calibri" w:hAnsi="Arial" w:cs="Arial"/>
          <w:color w:val="000000"/>
          <w:kern w:val="0"/>
          <w:sz w:val="24"/>
          <w:szCs w:val="24"/>
          <w:lang w:val="en-US"/>
          <w14:ligatures w14:val="none"/>
        </w:rPr>
        <w:t>2024</w:t>
      </w:r>
      <w:r w:rsidRPr="00272EDB">
        <w:rPr>
          <w:rFonts w:ascii="Arial" w:eastAsia="Calibri" w:hAnsi="Arial" w:cs="Arial"/>
          <w:color w:val="000000"/>
          <w:kern w:val="0"/>
          <w:sz w:val="24"/>
          <w:szCs w:val="24"/>
          <w:lang w:val="bg-BG"/>
          <w14:ligatures w14:val="none"/>
        </w:rPr>
        <w:t>). Considering this, the British business communication style is quite distinctive and requires a thorough analysis of its match with alternative cultural settings. </w:t>
      </w:r>
    </w:p>
    <w:p w14:paraId="2E36F5EB" w14:textId="205FC408" w:rsidR="00B87963" w:rsidRPr="00272EDB" w:rsidRDefault="00B87963" w:rsidP="00272EDB">
      <w:pPr>
        <w:spacing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The chosen company is Tesco – the largest UK retailer with a market share exceeding 27% in the home country (Bedford, 2023). Tesco is a large public organisation with market capitalisation of more than £20 billion and extensive workforce of almost 337,000 people (Bedford, 2023b; Reuters, 2024). It is important to note that Tesco already has international experience in countries, such as Poland, Hungary, Slovakia and Czech</w:t>
      </w:r>
      <w:r w:rsidR="0075140D">
        <w:rPr>
          <w:rFonts w:ascii="Arial" w:eastAsia="Calibri" w:hAnsi="Arial" w:cs="Arial"/>
          <w:color w:val="000000"/>
          <w:kern w:val="0"/>
          <w:sz w:val="24"/>
          <w:szCs w:val="24"/>
          <w14:ligatures w14:val="none"/>
        </w:rPr>
        <w:t xml:space="preserve"> Republic</w:t>
      </w:r>
      <w:r w:rsidRPr="00272EDB">
        <w:rPr>
          <w:rFonts w:ascii="Arial" w:eastAsia="Calibri" w:hAnsi="Arial" w:cs="Arial"/>
          <w:color w:val="000000"/>
          <w:kern w:val="0"/>
          <w:sz w:val="24"/>
          <w:szCs w:val="24"/>
          <w14:ligatures w14:val="none"/>
        </w:rPr>
        <w:t xml:space="preserve"> (Bedford, 2023b). Therefore, the retailer has already been exposed to specifics of national culture and communication. The current analysis of Denmark and Italy is expected to enrich the understanding of potentially attractive new markets for Tesco. </w:t>
      </w:r>
    </w:p>
    <w:p w14:paraId="56E5AED2" w14:textId="1624422A" w:rsidR="0040233D" w:rsidRPr="00272EDB" w:rsidRDefault="0040233D" w:rsidP="00272EDB">
      <w:pPr>
        <w:pStyle w:val="Heading1"/>
        <w:spacing w:before="0" w:after="240"/>
        <w:rPr>
          <w:rFonts w:ascii="Arial" w:eastAsia="Calibri" w:hAnsi="Arial" w:cs="Arial"/>
        </w:rPr>
      </w:pPr>
      <w:bookmarkStart w:id="2" w:name="_Toc164781963"/>
      <w:r w:rsidRPr="00272EDB">
        <w:rPr>
          <w:rFonts w:ascii="Arial" w:eastAsia="Calibri" w:hAnsi="Arial" w:cs="Arial"/>
        </w:rPr>
        <w:lastRenderedPageBreak/>
        <w:t>Main body</w:t>
      </w:r>
      <w:bookmarkEnd w:id="2"/>
    </w:p>
    <w:p w14:paraId="5B622830" w14:textId="54E1C6AF" w:rsidR="002833DF" w:rsidRPr="00272EDB" w:rsidRDefault="002833DF" w:rsidP="00272EDB">
      <w:pPr>
        <w:pStyle w:val="Heading2"/>
        <w:spacing w:before="0"/>
        <w:rPr>
          <w:rFonts w:ascii="Arial" w:hAnsi="Arial" w:cs="Arial"/>
        </w:rPr>
      </w:pPr>
      <w:bookmarkStart w:id="3" w:name="_Toc164781964"/>
      <w:bookmarkStart w:id="4" w:name="_Toc133576676"/>
      <w:r w:rsidRPr="00272EDB">
        <w:rPr>
          <w:rFonts w:ascii="Arial" w:hAnsi="Arial" w:cs="Arial"/>
        </w:rPr>
        <w:t>Impact of culture</w:t>
      </w:r>
      <w:bookmarkEnd w:id="3"/>
      <w:r w:rsidRPr="00272EDB">
        <w:rPr>
          <w:rFonts w:ascii="Arial" w:hAnsi="Arial" w:cs="Arial"/>
        </w:rPr>
        <w:t xml:space="preserve"> </w:t>
      </w:r>
      <w:bookmarkEnd w:id="4"/>
    </w:p>
    <w:p w14:paraId="152B157C" w14:textId="03025E2D" w:rsidR="004C3F20" w:rsidRPr="00272EDB" w:rsidRDefault="00C37F81" w:rsidP="00272EDB">
      <w:pPr>
        <w:spacing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 xml:space="preserve">There are specific characteristics of each country impacting internal business performance. First, the role of language must be considered since Danish and Italian are used in Denmark and Italy, respectively. This is different than the English language in the UK, thereby imposing a potential language barrier. In Denmark, 86% of people can freely communicate in English, however this skill is performed by only 34% of Italians (Facts Maps, 2024). Hence, the evidence suggests that the language barrier is much worse in the case of Italy. </w:t>
      </w:r>
    </w:p>
    <w:p w14:paraId="1786E753" w14:textId="199A4CD1" w:rsidR="00C37F81" w:rsidRPr="00272EDB" w:rsidRDefault="00B06CE4" w:rsidP="00272EDB">
      <w:pPr>
        <w:spacing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Second, w</w:t>
      </w:r>
      <w:r w:rsidR="00C37F81" w:rsidRPr="00272EDB">
        <w:rPr>
          <w:rFonts w:ascii="Arial" w:eastAsia="Calibri" w:hAnsi="Arial" w:cs="Arial"/>
          <w:color w:val="000000"/>
          <w:kern w:val="0"/>
          <w:sz w:val="24"/>
          <w:szCs w:val="24"/>
          <w14:ligatures w14:val="none"/>
        </w:rPr>
        <w:t xml:space="preserve">orkplace diversity is another relevant factor </w:t>
      </w:r>
      <w:r w:rsidRPr="00272EDB">
        <w:rPr>
          <w:rFonts w:ascii="Arial" w:eastAsia="Calibri" w:hAnsi="Arial" w:cs="Arial"/>
          <w:color w:val="000000"/>
          <w:kern w:val="0"/>
          <w:sz w:val="24"/>
          <w:szCs w:val="24"/>
          <w14:ligatures w14:val="none"/>
        </w:rPr>
        <w:t>affected by the national culture that must be considered by Tesco.</w:t>
      </w:r>
      <w:r w:rsidR="00C37F81" w:rsidRPr="00272EDB">
        <w:rPr>
          <w:rFonts w:ascii="Arial" w:eastAsia="Calibri" w:hAnsi="Arial" w:cs="Arial"/>
          <w:color w:val="000000"/>
          <w:kern w:val="0"/>
          <w:sz w:val="24"/>
          <w:szCs w:val="24"/>
          <w14:ligatures w14:val="none"/>
        </w:rPr>
        <w:t xml:space="preserve"> Data by the OECD (2024) provides a detailed overview of </w:t>
      </w:r>
      <w:r w:rsidRPr="00272EDB">
        <w:rPr>
          <w:rFonts w:ascii="Arial" w:eastAsia="Calibri" w:hAnsi="Arial" w:cs="Arial"/>
          <w:color w:val="000000"/>
          <w:kern w:val="0"/>
          <w:sz w:val="24"/>
          <w:szCs w:val="24"/>
          <w14:ligatures w14:val="none"/>
        </w:rPr>
        <w:t>diversity performance across several</w:t>
      </w:r>
      <w:r w:rsidR="00C37F81" w:rsidRPr="00272EDB">
        <w:rPr>
          <w:rFonts w:ascii="Arial" w:eastAsia="Calibri" w:hAnsi="Arial" w:cs="Arial"/>
          <w:color w:val="000000"/>
          <w:kern w:val="0"/>
          <w:sz w:val="24"/>
          <w:szCs w:val="24"/>
          <w14:ligatures w14:val="none"/>
        </w:rPr>
        <w:t xml:space="preserve"> respective areas</w:t>
      </w:r>
      <w:r w:rsidRPr="00272EDB">
        <w:rPr>
          <w:rFonts w:ascii="Arial" w:eastAsia="Calibri" w:hAnsi="Arial" w:cs="Arial"/>
          <w:color w:val="000000"/>
          <w:kern w:val="0"/>
          <w:sz w:val="24"/>
          <w:szCs w:val="24"/>
          <w14:ligatures w14:val="none"/>
        </w:rPr>
        <w:t>, as shown below. The results are summarised in percentage terms, thereby indicating the existing gap in each area (OECD, 2024).</w:t>
      </w:r>
    </w:p>
    <w:p w14:paraId="3C0B333A" w14:textId="569D148A" w:rsidR="00B06CE4" w:rsidRPr="00272EDB" w:rsidRDefault="00B06CE4" w:rsidP="00272EDB">
      <w:pPr>
        <w:spacing w:after="240" w:line="360" w:lineRule="auto"/>
        <w:jc w:val="both"/>
        <w:rPr>
          <w:rFonts w:ascii="Arial" w:eastAsia="Calibri" w:hAnsi="Arial" w:cs="Arial"/>
          <w:b/>
          <w:bCs/>
          <w:color w:val="000000"/>
          <w:kern w:val="0"/>
          <w:sz w:val="24"/>
          <w:szCs w:val="24"/>
          <w14:ligatures w14:val="none"/>
        </w:rPr>
      </w:pPr>
      <w:r w:rsidRPr="00272EDB">
        <w:rPr>
          <w:rFonts w:ascii="Arial" w:eastAsia="Calibri" w:hAnsi="Arial" w:cs="Arial"/>
          <w:b/>
          <w:bCs/>
          <w:color w:val="000000"/>
          <w:kern w:val="0"/>
          <w:sz w:val="24"/>
          <w:szCs w:val="24"/>
          <w14:ligatures w14:val="none"/>
        </w:rPr>
        <w:t xml:space="preserve">Table 1 – Gaps in several key indicators of </w:t>
      </w:r>
      <w:r w:rsidR="00410811" w:rsidRPr="00272EDB">
        <w:rPr>
          <w:rFonts w:ascii="Arial" w:eastAsia="Calibri" w:hAnsi="Arial" w:cs="Arial"/>
          <w:b/>
          <w:bCs/>
          <w:color w:val="000000"/>
          <w:kern w:val="0"/>
          <w:sz w:val="24"/>
          <w:szCs w:val="24"/>
          <w14:ligatures w14:val="none"/>
        </w:rPr>
        <w:t xml:space="preserve">workplace </w:t>
      </w:r>
      <w:r w:rsidRPr="00272EDB">
        <w:rPr>
          <w:rFonts w:ascii="Arial" w:eastAsia="Calibri" w:hAnsi="Arial" w:cs="Arial"/>
          <w:b/>
          <w:bCs/>
          <w:color w:val="000000"/>
          <w:kern w:val="0"/>
          <w:sz w:val="24"/>
          <w:szCs w:val="24"/>
          <w14:ligatures w14:val="none"/>
        </w:rPr>
        <w:t>diversity (%)</w:t>
      </w:r>
    </w:p>
    <w:tbl>
      <w:tblPr>
        <w:tblStyle w:val="TableGrid"/>
        <w:tblW w:w="0" w:type="auto"/>
        <w:tblLook w:val="04A0" w:firstRow="1" w:lastRow="0" w:firstColumn="1" w:lastColumn="0" w:noHBand="0" w:noVBand="1"/>
      </w:tblPr>
      <w:tblGrid>
        <w:gridCol w:w="1812"/>
        <w:gridCol w:w="1812"/>
        <w:gridCol w:w="1812"/>
        <w:gridCol w:w="1813"/>
        <w:gridCol w:w="1813"/>
      </w:tblGrid>
      <w:tr w:rsidR="00B06CE4" w:rsidRPr="00272EDB" w14:paraId="02304C02" w14:textId="77777777" w:rsidTr="00B06CE4">
        <w:tc>
          <w:tcPr>
            <w:tcW w:w="1812" w:type="dxa"/>
          </w:tcPr>
          <w:p w14:paraId="39D6182C" w14:textId="77777777" w:rsidR="00B06CE4" w:rsidRPr="00272EDB" w:rsidRDefault="00B06CE4" w:rsidP="00272EDB">
            <w:pPr>
              <w:spacing w:line="360" w:lineRule="auto"/>
              <w:jc w:val="both"/>
              <w:rPr>
                <w:rFonts w:ascii="Arial" w:eastAsia="Calibri" w:hAnsi="Arial" w:cs="Arial"/>
                <w:color w:val="000000"/>
                <w:kern w:val="0"/>
                <w:sz w:val="24"/>
                <w:szCs w:val="24"/>
                <w14:ligatures w14:val="none"/>
              </w:rPr>
            </w:pPr>
          </w:p>
        </w:tc>
        <w:tc>
          <w:tcPr>
            <w:tcW w:w="1812" w:type="dxa"/>
          </w:tcPr>
          <w:p w14:paraId="656A1B36" w14:textId="365A8AD8" w:rsidR="00B06CE4" w:rsidRPr="00272EDB" w:rsidRDefault="00B06CE4" w:rsidP="00272EDB">
            <w:pPr>
              <w:spacing w:line="360" w:lineRule="auto"/>
              <w:jc w:val="center"/>
              <w:rPr>
                <w:rFonts w:ascii="Arial" w:eastAsia="Calibri" w:hAnsi="Arial" w:cs="Arial"/>
                <w:b/>
                <w:bCs/>
                <w:color w:val="000000"/>
                <w:kern w:val="0"/>
                <w:sz w:val="24"/>
                <w:szCs w:val="24"/>
                <w14:ligatures w14:val="none"/>
              </w:rPr>
            </w:pPr>
            <w:r w:rsidRPr="00272EDB">
              <w:rPr>
                <w:rFonts w:ascii="Arial" w:eastAsia="Calibri" w:hAnsi="Arial" w:cs="Arial"/>
                <w:b/>
                <w:bCs/>
                <w:color w:val="000000"/>
                <w:kern w:val="0"/>
                <w:sz w:val="24"/>
                <w:szCs w:val="24"/>
                <w14:ligatures w14:val="none"/>
              </w:rPr>
              <w:t>Gender</w:t>
            </w:r>
          </w:p>
        </w:tc>
        <w:tc>
          <w:tcPr>
            <w:tcW w:w="1812" w:type="dxa"/>
          </w:tcPr>
          <w:p w14:paraId="32A2CE8B" w14:textId="319B34B5" w:rsidR="00B06CE4" w:rsidRPr="00272EDB" w:rsidRDefault="000D365F" w:rsidP="00272EDB">
            <w:pPr>
              <w:spacing w:line="360" w:lineRule="auto"/>
              <w:jc w:val="center"/>
              <w:rPr>
                <w:rFonts w:ascii="Arial" w:eastAsia="Calibri" w:hAnsi="Arial" w:cs="Arial"/>
                <w:b/>
                <w:bCs/>
                <w:color w:val="000000"/>
                <w:kern w:val="0"/>
                <w:sz w:val="24"/>
                <w:szCs w:val="24"/>
                <w14:ligatures w14:val="none"/>
              </w:rPr>
            </w:pPr>
            <w:r w:rsidRPr="00272EDB">
              <w:rPr>
                <w:rFonts w:ascii="Arial" w:eastAsia="Calibri" w:hAnsi="Arial" w:cs="Arial"/>
                <w:b/>
                <w:bCs/>
                <w:color w:val="000000"/>
                <w:kern w:val="0"/>
                <w:sz w:val="24"/>
                <w:szCs w:val="24"/>
                <w14:ligatures w14:val="none"/>
              </w:rPr>
              <w:t>Migrant</w:t>
            </w:r>
          </w:p>
        </w:tc>
        <w:tc>
          <w:tcPr>
            <w:tcW w:w="1813" w:type="dxa"/>
          </w:tcPr>
          <w:p w14:paraId="2ADA81DD" w14:textId="0F290AB0" w:rsidR="00B06CE4" w:rsidRPr="00272EDB" w:rsidRDefault="000D365F" w:rsidP="00272EDB">
            <w:pPr>
              <w:spacing w:line="360" w:lineRule="auto"/>
              <w:jc w:val="center"/>
              <w:rPr>
                <w:rFonts w:ascii="Arial" w:eastAsia="Calibri" w:hAnsi="Arial" w:cs="Arial"/>
                <w:b/>
                <w:bCs/>
                <w:color w:val="000000"/>
                <w:kern w:val="0"/>
                <w:sz w:val="24"/>
                <w:szCs w:val="24"/>
                <w14:ligatures w14:val="none"/>
              </w:rPr>
            </w:pPr>
            <w:r w:rsidRPr="00272EDB">
              <w:rPr>
                <w:rFonts w:ascii="Arial" w:eastAsia="Calibri" w:hAnsi="Arial" w:cs="Arial"/>
                <w:b/>
                <w:bCs/>
                <w:color w:val="000000"/>
                <w:kern w:val="0"/>
                <w:sz w:val="24"/>
                <w:szCs w:val="24"/>
                <w14:ligatures w14:val="none"/>
              </w:rPr>
              <w:t>Age</w:t>
            </w:r>
          </w:p>
        </w:tc>
        <w:tc>
          <w:tcPr>
            <w:tcW w:w="1813" w:type="dxa"/>
          </w:tcPr>
          <w:p w14:paraId="1BB4CD2F" w14:textId="74CD8B18" w:rsidR="00B06CE4" w:rsidRPr="00272EDB" w:rsidRDefault="00B06CE4" w:rsidP="00272EDB">
            <w:pPr>
              <w:spacing w:line="360" w:lineRule="auto"/>
              <w:jc w:val="center"/>
              <w:rPr>
                <w:rFonts w:ascii="Arial" w:eastAsia="Calibri" w:hAnsi="Arial" w:cs="Arial"/>
                <w:b/>
                <w:bCs/>
                <w:color w:val="000000"/>
                <w:kern w:val="0"/>
                <w:sz w:val="24"/>
                <w:szCs w:val="24"/>
                <w14:ligatures w14:val="none"/>
              </w:rPr>
            </w:pPr>
            <w:r w:rsidRPr="00272EDB">
              <w:rPr>
                <w:rFonts w:ascii="Arial" w:eastAsia="Calibri" w:hAnsi="Arial" w:cs="Arial"/>
                <w:b/>
                <w:bCs/>
                <w:color w:val="000000"/>
                <w:kern w:val="0"/>
                <w:sz w:val="24"/>
                <w:szCs w:val="24"/>
                <w14:ligatures w14:val="none"/>
              </w:rPr>
              <w:t>Disability</w:t>
            </w:r>
          </w:p>
        </w:tc>
      </w:tr>
      <w:tr w:rsidR="00B06CE4" w:rsidRPr="00272EDB" w14:paraId="7D93FD4C" w14:textId="77777777" w:rsidTr="00B06CE4">
        <w:tc>
          <w:tcPr>
            <w:tcW w:w="1812" w:type="dxa"/>
          </w:tcPr>
          <w:p w14:paraId="11E0AA97" w14:textId="0FFE6396" w:rsidR="00B06CE4" w:rsidRPr="00272EDB" w:rsidRDefault="00B06CE4" w:rsidP="00272EDB">
            <w:pPr>
              <w:spacing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UK</w:t>
            </w:r>
          </w:p>
        </w:tc>
        <w:tc>
          <w:tcPr>
            <w:tcW w:w="1812" w:type="dxa"/>
          </w:tcPr>
          <w:p w14:paraId="72FD2FBB" w14:textId="594357A1"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9.1</w:t>
            </w:r>
          </w:p>
        </w:tc>
        <w:tc>
          <w:tcPr>
            <w:tcW w:w="1812" w:type="dxa"/>
          </w:tcPr>
          <w:p w14:paraId="761D17B6" w14:textId="3CB3466F"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2.6</w:t>
            </w:r>
          </w:p>
        </w:tc>
        <w:tc>
          <w:tcPr>
            <w:tcW w:w="1813" w:type="dxa"/>
          </w:tcPr>
          <w:p w14:paraId="552387D8" w14:textId="638F9245"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19.8</w:t>
            </w:r>
          </w:p>
        </w:tc>
        <w:tc>
          <w:tcPr>
            <w:tcW w:w="1813" w:type="dxa"/>
          </w:tcPr>
          <w:p w14:paraId="4F1F4482" w14:textId="56F17E98"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30.5</w:t>
            </w:r>
          </w:p>
        </w:tc>
      </w:tr>
      <w:tr w:rsidR="00B06CE4" w:rsidRPr="00272EDB" w14:paraId="0361BA07" w14:textId="77777777" w:rsidTr="00B06CE4">
        <w:tc>
          <w:tcPr>
            <w:tcW w:w="1812" w:type="dxa"/>
          </w:tcPr>
          <w:p w14:paraId="31695727" w14:textId="66246312" w:rsidR="00B06CE4" w:rsidRPr="00272EDB" w:rsidRDefault="00B06CE4" w:rsidP="00272EDB">
            <w:pPr>
              <w:spacing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Denmark</w:t>
            </w:r>
          </w:p>
        </w:tc>
        <w:tc>
          <w:tcPr>
            <w:tcW w:w="1812" w:type="dxa"/>
          </w:tcPr>
          <w:p w14:paraId="31414777" w14:textId="0AEBDC2F"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5.4</w:t>
            </w:r>
          </w:p>
        </w:tc>
        <w:tc>
          <w:tcPr>
            <w:tcW w:w="1812" w:type="dxa"/>
          </w:tcPr>
          <w:p w14:paraId="305F60F8" w14:textId="322E46F4"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10.9</w:t>
            </w:r>
          </w:p>
        </w:tc>
        <w:tc>
          <w:tcPr>
            <w:tcW w:w="1813" w:type="dxa"/>
          </w:tcPr>
          <w:p w14:paraId="5617E189" w14:textId="7E3A506F"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12.7</w:t>
            </w:r>
          </w:p>
        </w:tc>
        <w:tc>
          <w:tcPr>
            <w:tcW w:w="1813" w:type="dxa"/>
          </w:tcPr>
          <w:p w14:paraId="6D341DA2" w14:textId="78B0FC01"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32.6</w:t>
            </w:r>
          </w:p>
        </w:tc>
      </w:tr>
      <w:tr w:rsidR="00B06CE4" w:rsidRPr="00272EDB" w14:paraId="27434F30" w14:textId="77777777" w:rsidTr="00B06CE4">
        <w:tc>
          <w:tcPr>
            <w:tcW w:w="1812" w:type="dxa"/>
          </w:tcPr>
          <w:p w14:paraId="572A60DA" w14:textId="668E084C" w:rsidR="00B06CE4" w:rsidRPr="00272EDB" w:rsidRDefault="00B06CE4" w:rsidP="00272EDB">
            <w:pPr>
              <w:spacing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 xml:space="preserve">Italy </w:t>
            </w:r>
          </w:p>
        </w:tc>
        <w:tc>
          <w:tcPr>
            <w:tcW w:w="1812" w:type="dxa"/>
          </w:tcPr>
          <w:p w14:paraId="0FD281E3" w14:textId="2DF58773"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18.2</w:t>
            </w:r>
          </w:p>
        </w:tc>
        <w:tc>
          <w:tcPr>
            <w:tcW w:w="1812" w:type="dxa"/>
          </w:tcPr>
          <w:p w14:paraId="19CD8A27" w14:textId="06E623D6"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-2.3</w:t>
            </w:r>
          </w:p>
        </w:tc>
        <w:tc>
          <w:tcPr>
            <w:tcW w:w="1813" w:type="dxa"/>
          </w:tcPr>
          <w:p w14:paraId="7D39C5D8" w14:textId="33D5BA7C"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17.2</w:t>
            </w:r>
          </w:p>
        </w:tc>
        <w:tc>
          <w:tcPr>
            <w:tcW w:w="1813" w:type="dxa"/>
          </w:tcPr>
          <w:p w14:paraId="2C67DAD8" w14:textId="789D0074" w:rsidR="00B06CE4" w:rsidRPr="00272EDB" w:rsidRDefault="000D365F" w:rsidP="00272EDB">
            <w:pPr>
              <w:spacing w:line="360" w:lineRule="auto"/>
              <w:jc w:val="center"/>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15.4</w:t>
            </w:r>
          </w:p>
        </w:tc>
      </w:tr>
    </w:tbl>
    <w:p w14:paraId="68B05221" w14:textId="7E76C691" w:rsidR="00B06CE4" w:rsidRPr="00272EDB" w:rsidRDefault="00B06CE4" w:rsidP="00272EDB">
      <w:pPr>
        <w:spacing w:before="240" w:after="240" w:line="360" w:lineRule="auto"/>
        <w:jc w:val="both"/>
        <w:rPr>
          <w:rFonts w:ascii="Arial" w:eastAsia="Calibri" w:hAnsi="Arial" w:cs="Arial"/>
          <w:i/>
          <w:iCs/>
          <w:color w:val="000000"/>
          <w:kern w:val="0"/>
          <w:sz w:val="24"/>
          <w:szCs w:val="24"/>
          <w14:ligatures w14:val="none"/>
        </w:rPr>
      </w:pPr>
      <w:r w:rsidRPr="00272EDB">
        <w:rPr>
          <w:rFonts w:ascii="Arial" w:eastAsia="Calibri" w:hAnsi="Arial" w:cs="Arial"/>
          <w:i/>
          <w:iCs/>
          <w:color w:val="000000"/>
          <w:kern w:val="0"/>
          <w:sz w:val="24"/>
          <w:szCs w:val="24"/>
          <w14:ligatures w14:val="none"/>
        </w:rPr>
        <w:t>Source: OECD (2024)</w:t>
      </w:r>
    </w:p>
    <w:p w14:paraId="55D17AB9" w14:textId="7BE42541" w:rsidR="00B06CE4" w:rsidRPr="00272EDB" w:rsidRDefault="000D365F" w:rsidP="00272EDB">
      <w:pPr>
        <w:spacing w:before="240"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 xml:space="preserve">The evidence suggests quite a different performance across countries. In Denmark, gender- and age-based discriminatory practices are insignificant; however, the country has the widest gaps in terms of migrant inclusion and access to disabled people to work (OECD, 2024). In contrast, Italy demonstrates the worst gender inequality, combined with an issue in terms of age equality (OECD, 2024). Nevertheless, Italy integrates migrants quite well in the workplace, as there is no gap at all in this specific area (OECD, 2024). The UK context is unique, as the country performs quite similarly to Denmark in terms of gender and disability </w:t>
      </w:r>
      <w:r w:rsidR="00AD1B7E" w:rsidRPr="00272EDB">
        <w:rPr>
          <w:rFonts w:ascii="Arial" w:eastAsia="Calibri" w:hAnsi="Arial" w:cs="Arial"/>
          <w:color w:val="000000"/>
          <w:kern w:val="0"/>
          <w:sz w:val="24"/>
          <w:szCs w:val="24"/>
          <w14:ligatures w14:val="none"/>
        </w:rPr>
        <w:t xml:space="preserve">management, whereas the Italian performance is replicated </w:t>
      </w:r>
      <w:r w:rsidR="004E476E" w:rsidRPr="00272EDB">
        <w:rPr>
          <w:rFonts w:ascii="Arial" w:eastAsia="Calibri" w:hAnsi="Arial" w:cs="Arial"/>
          <w:color w:val="000000"/>
          <w:kern w:val="0"/>
          <w:sz w:val="24"/>
          <w:szCs w:val="24"/>
          <w14:ligatures w14:val="none"/>
        </w:rPr>
        <w:t xml:space="preserve">in the UK </w:t>
      </w:r>
      <w:r w:rsidR="00AD1B7E" w:rsidRPr="00272EDB">
        <w:rPr>
          <w:rFonts w:ascii="Arial" w:eastAsia="Calibri" w:hAnsi="Arial" w:cs="Arial"/>
          <w:color w:val="000000"/>
          <w:kern w:val="0"/>
          <w:sz w:val="24"/>
          <w:szCs w:val="24"/>
          <w14:ligatures w14:val="none"/>
        </w:rPr>
        <w:t xml:space="preserve">when focusing on migrant inclusion and age-based gap in the workplace (OECD, 2024). To summarise, the results are informative </w:t>
      </w:r>
      <w:r w:rsidR="00AD1B7E" w:rsidRPr="00272EDB">
        <w:rPr>
          <w:rFonts w:ascii="Arial" w:eastAsia="Calibri" w:hAnsi="Arial" w:cs="Arial"/>
          <w:color w:val="000000"/>
          <w:kern w:val="0"/>
          <w:sz w:val="24"/>
          <w:szCs w:val="24"/>
          <w14:ligatures w14:val="none"/>
        </w:rPr>
        <w:lastRenderedPageBreak/>
        <w:t xml:space="preserve">regarding the existing similarities and differences between the UK and the two respective countries in terms of workplace diversity management expectations. </w:t>
      </w:r>
    </w:p>
    <w:p w14:paraId="2D1CA206" w14:textId="1BF2ABCA" w:rsidR="00A8582C" w:rsidRPr="00272EDB" w:rsidRDefault="00A8582C" w:rsidP="00272EDB">
      <w:pPr>
        <w:spacing w:before="240"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 xml:space="preserve">Third, it is also worth noting that Italy and Denmark experience similarities in terms of the percentage of foreign population. Data show that the share of foreigners is </w:t>
      </w:r>
      <w:r w:rsidR="00061EF8" w:rsidRPr="00272EDB">
        <w:rPr>
          <w:rFonts w:ascii="Arial" w:eastAsia="Calibri" w:hAnsi="Arial" w:cs="Arial"/>
          <w:color w:val="000000"/>
          <w:kern w:val="0"/>
          <w:sz w:val="24"/>
          <w:szCs w:val="24"/>
          <w14:ligatures w14:val="none"/>
        </w:rPr>
        <w:t xml:space="preserve">8.7% and 9.1% in Italy and Denmark, respectively (OECD, 2023). Therefore, bot countries appear to have insignificant variations in terms of population diversity. In the UK, the share of foreigners is much higher – 14.8% of total population (IAS, 2024). Therefore, Tesco is expected to enter relatively less culturally diverse countries when considering the cases of Italy and Denmark. </w:t>
      </w:r>
    </w:p>
    <w:p w14:paraId="7DD7EDE7" w14:textId="196DB8E3" w:rsidR="00746DF8" w:rsidRPr="00272EDB" w:rsidRDefault="00A8582C" w:rsidP="00272EDB">
      <w:pPr>
        <w:spacing w:before="240"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Fourth and most important</w:t>
      </w:r>
      <w:r w:rsidR="00E27638" w:rsidRPr="00272EDB">
        <w:rPr>
          <w:rFonts w:ascii="Arial" w:eastAsia="Calibri" w:hAnsi="Arial" w:cs="Arial"/>
          <w:color w:val="000000"/>
          <w:kern w:val="0"/>
          <w:sz w:val="24"/>
          <w:szCs w:val="24"/>
          <w14:ligatures w14:val="none"/>
        </w:rPr>
        <w:t xml:space="preserve">, the role of national culture must be understood since a set of cultural dimensions lead to specific country-specific values and attitudes (Hofstede, 2001). There are six dimensions explaining a national culture: power distance, individualism, masculinity, uncertainty avoidance, long-term and degree of indulgence (Hofstede, 2001). </w:t>
      </w:r>
    </w:p>
    <w:p w14:paraId="57DF7E4F" w14:textId="5810559C" w:rsidR="00E27638" w:rsidRPr="00272EDB" w:rsidRDefault="00E27638" w:rsidP="00272EDB">
      <w:pPr>
        <w:spacing w:before="240" w:after="240" w:line="360" w:lineRule="auto"/>
        <w:jc w:val="both"/>
        <w:rPr>
          <w:rFonts w:ascii="Arial" w:eastAsia="Calibri" w:hAnsi="Arial" w:cs="Arial"/>
          <w:color w:val="000000"/>
          <w:kern w:val="0"/>
          <w:sz w:val="24"/>
          <w:szCs w:val="24"/>
          <w:lang w:val="en-US"/>
          <w14:ligatures w14:val="none"/>
        </w:rPr>
      </w:pPr>
      <w:r w:rsidRPr="00272EDB">
        <w:rPr>
          <w:rFonts w:ascii="Arial" w:eastAsia="Calibri" w:hAnsi="Arial" w:cs="Arial"/>
          <w:color w:val="000000"/>
          <w:kern w:val="0"/>
          <w:sz w:val="24"/>
          <w:szCs w:val="24"/>
          <w14:ligatures w14:val="none"/>
        </w:rPr>
        <w:t xml:space="preserve">The six dimensions and their theoretically suggested impact on culture are discussed hereafter. Power distance describes preferences for hierarchy which in turn informs whether a society is relatively egalitarian or tolerates inequalities (Hofstede, 2011). </w:t>
      </w:r>
      <w:r w:rsidRPr="00272EDB">
        <w:rPr>
          <w:rFonts w:ascii="Arial" w:eastAsia="Calibri" w:hAnsi="Arial" w:cs="Arial"/>
          <w:color w:val="000000"/>
          <w:kern w:val="0"/>
          <w:sz w:val="24"/>
          <w:szCs w:val="24"/>
          <w:lang w:val="en-US"/>
          <w14:ligatures w14:val="none"/>
        </w:rPr>
        <w:t>I</w:t>
      </w:r>
      <w:r w:rsidRPr="00272EDB">
        <w:rPr>
          <w:rFonts w:ascii="Arial" w:eastAsia="Calibri" w:hAnsi="Arial" w:cs="Arial"/>
          <w:color w:val="000000"/>
          <w:kern w:val="0"/>
          <w:sz w:val="24"/>
          <w:szCs w:val="24"/>
          <w:lang w:val="bg-BG"/>
          <w14:ligatures w14:val="none"/>
        </w:rPr>
        <w:t xml:space="preserve">ndividualism is a measure of how much a society values and respects the individuality and rights of individuals, as opposed to prioritising group values and activities (Hofstede, 2011). </w:t>
      </w:r>
      <w:r w:rsidRPr="00272EDB">
        <w:rPr>
          <w:rFonts w:ascii="Arial" w:eastAsia="Calibri" w:hAnsi="Arial" w:cs="Arial"/>
          <w:color w:val="000000"/>
          <w:kern w:val="0"/>
          <w:sz w:val="24"/>
          <w:szCs w:val="24"/>
          <w:lang w:val="en-US"/>
          <w14:ligatures w14:val="none"/>
        </w:rPr>
        <w:t>Masculinity measures the gap between the two genders in terms of professional and personal development. Respectively, achievement and success are dominant in masculine societies, whereas a more harmonious and egalitarian approach is preferred in countries with low masculinity index (Hofstede, 2011). Uncertainty avoidance is generally a measure of risk tolerance in a society (Hofstede, 2001). Long-term orientation describes the</w:t>
      </w:r>
      <w:r w:rsidRPr="00272EDB">
        <w:rPr>
          <w:rFonts w:ascii="Arial" w:eastAsia="Calibri" w:hAnsi="Arial" w:cs="Arial"/>
          <w:color w:val="000000"/>
          <w:kern w:val="0"/>
          <w:sz w:val="24"/>
          <w:szCs w:val="24"/>
          <w:lang w:val="bg-BG"/>
          <w14:ligatures w14:val="none"/>
        </w:rPr>
        <w:t xml:space="preserve"> collective beliefs and attitudes about the past and future held by individuals within a community (Hofstede, 2011). While some cultures prioritise the importance of tradition, others have a focus on the future. These contrasting perspectives account for their varying abilities to adapt in a rapidly changing environment (Hofstede, 2011). </w:t>
      </w:r>
      <w:r w:rsidRPr="00272EDB">
        <w:rPr>
          <w:rFonts w:ascii="Arial" w:eastAsia="Calibri" w:hAnsi="Arial" w:cs="Arial"/>
          <w:color w:val="000000"/>
          <w:kern w:val="0"/>
          <w:sz w:val="24"/>
          <w:szCs w:val="24"/>
          <w:lang w:val="en-US"/>
          <w14:ligatures w14:val="none"/>
        </w:rPr>
        <w:t xml:space="preserve">Indulgence is a measure of the preferences for immediate gratification (Hofstede, 2011). Different levels of indulgence may explain reward structure and preferences in the workplace (Hofstede, 2011). </w:t>
      </w:r>
    </w:p>
    <w:p w14:paraId="59DFA45B" w14:textId="2F28579A" w:rsidR="00E27638" w:rsidRPr="00272EDB" w:rsidRDefault="00E27638" w:rsidP="00272EDB">
      <w:pPr>
        <w:spacing w:before="240" w:after="240" w:line="360" w:lineRule="auto"/>
        <w:jc w:val="both"/>
        <w:rPr>
          <w:rFonts w:ascii="Arial" w:eastAsia="Calibri" w:hAnsi="Arial" w:cs="Arial"/>
          <w:color w:val="000000"/>
          <w:kern w:val="0"/>
          <w:sz w:val="24"/>
          <w:szCs w:val="24"/>
          <w:lang w:val="en-US"/>
          <w14:ligatures w14:val="none"/>
        </w:rPr>
      </w:pPr>
      <w:r w:rsidRPr="00272EDB">
        <w:rPr>
          <w:rFonts w:ascii="Arial" w:eastAsia="Calibri" w:hAnsi="Arial" w:cs="Arial"/>
          <w:color w:val="000000"/>
          <w:kern w:val="0"/>
          <w:sz w:val="24"/>
          <w:szCs w:val="24"/>
          <w:lang w:val="en-US"/>
          <w14:ligatures w14:val="none"/>
        </w:rPr>
        <w:lastRenderedPageBreak/>
        <w:t>Actual data regarding the six cultural dimensions in the UK, Denmark and Italy is available at the specialised database Hofstede Insights (2024). The results are shown below by considering a scale ranging from 0 to 100 (Hofstede Insights, 2024).</w:t>
      </w:r>
    </w:p>
    <w:p w14:paraId="5535449F" w14:textId="1696E8F7" w:rsidR="00410811" w:rsidRPr="00272EDB" w:rsidRDefault="00E27638" w:rsidP="00272EDB">
      <w:pPr>
        <w:spacing w:before="240" w:after="240" w:line="360" w:lineRule="auto"/>
        <w:jc w:val="both"/>
        <w:rPr>
          <w:rFonts w:ascii="Arial" w:eastAsia="Calibri" w:hAnsi="Arial" w:cs="Arial"/>
          <w:b/>
          <w:bCs/>
          <w:color w:val="000000"/>
          <w:kern w:val="0"/>
          <w:sz w:val="24"/>
          <w:szCs w:val="24"/>
          <w:lang w:val="en-US"/>
          <w14:ligatures w14:val="none"/>
        </w:rPr>
      </w:pPr>
      <w:r w:rsidRPr="00272EDB">
        <w:rPr>
          <w:rFonts w:ascii="Arial" w:eastAsia="Calibri" w:hAnsi="Arial" w:cs="Arial"/>
          <w:b/>
          <w:bCs/>
          <w:color w:val="000000"/>
          <w:kern w:val="0"/>
          <w:sz w:val="24"/>
          <w:szCs w:val="24"/>
          <w:lang w:val="en-US"/>
          <w14:ligatures w14:val="none"/>
        </w:rPr>
        <w:t xml:space="preserve">Figure 1 – Cultural specifics of selected countries </w:t>
      </w:r>
    </w:p>
    <w:p w14:paraId="25F4164D" w14:textId="4D3731A5" w:rsidR="00E27638" w:rsidRPr="00272EDB" w:rsidRDefault="00410811" w:rsidP="00272EDB">
      <w:pPr>
        <w:spacing w:before="240" w:after="240" w:line="360" w:lineRule="auto"/>
        <w:jc w:val="both"/>
        <w:rPr>
          <w:rFonts w:ascii="Arial" w:eastAsia="Calibri" w:hAnsi="Arial" w:cs="Arial"/>
          <w:color w:val="000000"/>
          <w:kern w:val="0"/>
          <w:sz w:val="24"/>
          <w:szCs w:val="24"/>
          <w:lang w:val="en-US"/>
          <w14:ligatures w14:val="none"/>
        </w:rPr>
      </w:pPr>
      <w:r w:rsidRPr="00272EDB">
        <w:rPr>
          <w:rFonts w:ascii="Arial" w:eastAsia="Calibri" w:hAnsi="Arial" w:cs="Arial"/>
          <w:noProof/>
          <w:color w:val="000000"/>
          <w:kern w:val="0"/>
          <w:sz w:val="24"/>
          <w:szCs w:val="24"/>
          <w:lang w:val="en-US"/>
          <w14:ligatures w14:val="none"/>
        </w:rPr>
        <w:drawing>
          <wp:inline distT="0" distB="0" distL="0" distR="0" wp14:anchorId="59785E75" wp14:editId="0A177549">
            <wp:extent cx="5760720" cy="3119755"/>
            <wp:effectExtent l="0" t="0" r="0" b="4445"/>
            <wp:docPr id="1090975543" name="Picture 1" descr="A graph of different colored colum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75543" name="Picture 1" descr="A graph of different colored columns&#10;&#10;Description automatically generated with medium confidence"/>
                    <pic:cNvPicPr/>
                  </pic:nvPicPr>
                  <pic:blipFill>
                    <a:blip r:embed="rId9"/>
                    <a:stretch>
                      <a:fillRect/>
                    </a:stretch>
                  </pic:blipFill>
                  <pic:spPr>
                    <a:xfrm>
                      <a:off x="0" y="0"/>
                      <a:ext cx="5760720" cy="3119755"/>
                    </a:xfrm>
                    <a:prstGeom prst="rect">
                      <a:avLst/>
                    </a:prstGeom>
                  </pic:spPr>
                </pic:pic>
              </a:graphicData>
            </a:graphic>
          </wp:inline>
        </w:drawing>
      </w:r>
    </w:p>
    <w:p w14:paraId="7B75278D" w14:textId="18D1767A" w:rsidR="00E27638" w:rsidRPr="00272EDB" w:rsidRDefault="00E27638" w:rsidP="00272EDB">
      <w:pPr>
        <w:spacing w:before="240" w:after="240" w:line="360" w:lineRule="auto"/>
        <w:jc w:val="both"/>
        <w:rPr>
          <w:rFonts w:ascii="Arial" w:eastAsia="Calibri" w:hAnsi="Arial" w:cs="Arial"/>
          <w:i/>
          <w:iCs/>
          <w:color w:val="000000"/>
          <w:kern w:val="0"/>
          <w:sz w:val="24"/>
          <w:szCs w:val="24"/>
          <w:lang w:val="en-US"/>
          <w14:ligatures w14:val="none"/>
        </w:rPr>
      </w:pPr>
      <w:r w:rsidRPr="00272EDB">
        <w:rPr>
          <w:rFonts w:ascii="Arial" w:eastAsia="Calibri" w:hAnsi="Arial" w:cs="Arial"/>
          <w:i/>
          <w:iCs/>
          <w:color w:val="000000"/>
          <w:kern w:val="0"/>
          <w:sz w:val="24"/>
          <w:szCs w:val="24"/>
          <w:lang w:val="en-US"/>
          <w14:ligatures w14:val="none"/>
        </w:rPr>
        <w:t>Source: Hofstede Insights (2024)</w:t>
      </w:r>
    </w:p>
    <w:p w14:paraId="3B6FDFB1" w14:textId="42F6EBC0" w:rsidR="00E27638" w:rsidRPr="00272EDB" w:rsidRDefault="006761E7" w:rsidP="00272EDB">
      <w:pPr>
        <w:spacing w:before="240" w:after="240" w:line="360" w:lineRule="auto"/>
        <w:jc w:val="both"/>
        <w:rPr>
          <w:rFonts w:ascii="Arial" w:eastAsia="Calibri" w:hAnsi="Arial" w:cs="Arial"/>
          <w:color w:val="000000"/>
          <w:kern w:val="0"/>
          <w:sz w:val="24"/>
          <w:szCs w:val="24"/>
          <w:lang w:val="en-US"/>
          <w14:ligatures w14:val="none"/>
        </w:rPr>
      </w:pPr>
      <w:r w:rsidRPr="00272EDB">
        <w:rPr>
          <w:rFonts w:ascii="Arial" w:eastAsia="Calibri" w:hAnsi="Arial" w:cs="Arial"/>
          <w:color w:val="000000"/>
          <w:kern w:val="0"/>
          <w:sz w:val="24"/>
          <w:szCs w:val="24"/>
          <w:lang w:val="en-US"/>
          <w14:ligatures w14:val="none"/>
        </w:rPr>
        <w:t>The results suggest some similarities and differences across countries. In terms of power distance, the Italian culture is the most hierarchical with a score of 50, whereas the UK occupies a middle position (35), followed by the most egalitarian Danish culture (18) (Hofstede Insights, 2024). The Danish and UK cultures demonstrates similarities in terms of several cultural dimensions: individualism, uncertainty avoidance, long-term orientation and indulgence (see fig. 1). More specifically, both nations demonstrate preferences for individualism, risk tolerance, long-term orientation and high degree of indulgence, as suggested by the reported scores in each of the four cultural dimensions (Hofstede Insights, 2024). The Italian and UK cultures are similar regarding the high level of masculinity which in term predisposes for high motivation towards achievement and success – a contrasting feature in comparison to the more egalitarian and harmonious Danish culture (Hofstede Insights, 2024).</w:t>
      </w:r>
    </w:p>
    <w:p w14:paraId="4EEE4A74" w14:textId="20BFDC58" w:rsidR="00E27638" w:rsidRPr="00272EDB" w:rsidRDefault="006761E7" w:rsidP="00272EDB">
      <w:pPr>
        <w:spacing w:before="240" w:after="240" w:line="360" w:lineRule="auto"/>
        <w:jc w:val="both"/>
        <w:rPr>
          <w:rFonts w:ascii="Arial" w:eastAsia="Calibri" w:hAnsi="Arial" w:cs="Arial"/>
          <w:color w:val="000000"/>
          <w:kern w:val="0"/>
          <w:sz w:val="24"/>
          <w:szCs w:val="24"/>
          <w:lang w:val="en-US"/>
          <w14:ligatures w14:val="none"/>
        </w:rPr>
      </w:pPr>
      <w:r w:rsidRPr="00272EDB">
        <w:rPr>
          <w:rFonts w:ascii="Arial" w:eastAsia="Calibri" w:hAnsi="Arial" w:cs="Arial"/>
          <w:color w:val="000000"/>
          <w:kern w:val="0"/>
          <w:sz w:val="24"/>
          <w:szCs w:val="24"/>
          <w:lang w:val="en-US"/>
          <w14:ligatures w14:val="none"/>
        </w:rPr>
        <w:t xml:space="preserve">The research findings regarding national culture clearly suggest that Tesco can be in a more advantageous position if choosing Denmark due to the high number of culturally </w:t>
      </w:r>
      <w:r w:rsidRPr="00272EDB">
        <w:rPr>
          <w:rFonts w:ascii="Arial" w:eastAsia="Calibri" w:hAnsi="Arial" w:cs="Arial"/>
          <w:color w:val="000000"/>
          <w:kern w:val="0"/>
          <w:sz w:val="24"/>
          <w:szCs w:val="24"/>
          <w:lang w:val="en-US"/>
          <w14:ligatures w14:val="none"/>
        </w:rPr>
        <w:lastRenderedPageBreak/>
        <w:t xml:space="preserve">similar features with the home UK market. </w:t>
      </w:r>
      <w:r w:rsidR="00951404" w:rsidRPr="00272EDB">
        <w:rPr>
          <w:rFonts w:ascii="Arial" w:eastAsia="Calibri" w:hAnsi="Arial" w:cs="Arial"/>
          <w:color w:val="000000"/>
          <w:kern w:val="0"/>
          <w:sz w:val="24"/>
          <w:szCs w:val="24"/>
          <w:lang w:val="en-US"/>
          <w14:ligatures w14:val="none"/>
        </w:rPr>
        <w:t xml:space="preserve">Regardless the cultural similarities, Tesco must adapt to the Danish case by considering a flatter organisational structure because of the lower power distance score in Denmark (Hofstede, 2011; Hofstede Insights, 2024). Some considerable improvements are needed to reflect the much lower masculinity score in Denmark (Hofstede Insights, 2024). For example, Tesco may re-shape performance rewards at work and prioritise inclusion and comfort at work to reflect the more harmonious and balanced low-masculinity culture in Denmark. </w:t>
      </w:r>
    </w:p>
    <w:p w14:paraId="6BABB54A" w14:textId="77777777" w:rsidR="002833DF" w:rsidRPr="00272EDB" w:rsidRDefault="002833DF" w:rsidP="00272EDB">
      <w:pPr>
        <w:pStyle w:val="Heading2"/>
        <w:spacing w:before="0"/>
        <w:rPr>
          <w:rFonts w:ascii="Arial" w:hAnsi="Arial" w:cs="Arial"/>
        </w:rPr>
      </w:pPr>
      <w:bookmarkStart w:id="5" w:name="_Toc133576678"/>
      <w:bookmarkStart w:id="6" w:name="_Toc164781965"/>
      <w:r w:rsidRPr="00272EDB">
        <w:rPr>
          <w:rFonts w:ascii="Arial" w:hAnsi="Arial" w:cs="Arial"/>
        </w:rPr>
        <w:t>Communication barriers</w:t>
      </w:r>
      <w:bookmarkEnd w:id="5"/>
      <w:bookmarkEnd w:id="6"/>
    </w:p>
    <w:p w14:paraId="61E01E8A" w14:textId="65956EFC" w:rsidR="007037FC" w:rsidRPr="00272EDB" w:rsidRDefault="007037FC" w:rsidP="00272EDB">
      <w:pPr>
        <w:spacing w:line="360" w:lineRule="auto"/>
        <w:jc w:val="both"/>
        <w:rPr>
          <w:rFonts w:ascii="Arial" w:eastAsia="Calibri" w:hAnsi="Arial" w:cs="Arial"/>
          <w:color w:val="000000"/>
          <w:sz w:val="24"/>
          <w:szCs w:val="24"/>
          <w:lang w:val="en-US"/>
        </w:rPr>
      </w:pPr>
      <w:r w:rsidRPr="007037FC">
        <w:rPr>
          <w:rFonts w:ascii="Arial" w:eastAsia="Calibri" w:hAnsi="Arial" w:cs="Arial"/>
          <w:color w:val="000000"/>
          <w:sz w:val="24"/>
          <w:szCs w:val="24"/>
          <w:lang w:val="bg-BG"/>
        </w:rPr>
        <w:t xml:space="preserve">The efficacy of communication is a key factor in driving motivation and labour productivity, particularly in situations where individuals possess diverse cultural, ethnic and language backgrounds. Therefore, to optimise team performance, it is important to recognise and take into account linguistic and cultural disparities. </w:t>
      </w:r>
      <w:r w:rsidR="00D63F7F" w:rsidRPr="00272EDB">
        <w:rPr>
          <w:rFonts w:ascii="Arial" w:eastAsia="Calibri" w:hAnsi="Arial" w:cs="Arial"/>
          <w:color w:val="000000"/>
          <w:sz w:val="24"/>
          <w:szCs w:val="24"/>
          <w:lang w:val="en-US"/>
        </w:rPr>
        <w:t xml:space="preserve">As discussed, the levels of English proficiency tend to be quite different in Denmark (86%) and Italy (34%) (Facts Maps, 2024). While this may be a major communication barrier, there are also some other aspects, as discussed hereafter. </w:t>
      </w:r>
    </w:p>
    <w:p w14:paraId="0C2A20A2" w14:textId="31DEA68F" w:rsidR="007037FC" w:rsidRPr="00272EDB" w:rsidRDefault="00D63F7F" w:rsidP="00272EDB">
      <w:pPr>
        <w:spacing w:line="360" w:lineRule="auto"/>
        <w:jc w:val="both"/>
        <w:rPr>
          <w:rFonts w:ascii="Arial" w:eastAsia="Calibri" w:hAnsi="Arial" w:cs="Arial"/>
          <w:color w:val="000000"/>
          <w:sz w:val="24"/>
          <w:szCs w:val="24"/>
          <w:lang w:val="en-US"/>
        </w:rPr>
      </w:pPr>
      <w:r w:rsidRPr="00272EDB">
        <w:rPr>
          <w:rFonts w:ascii="Arial" w:eastAsia="Calibri" w:hAnsi="Arial" w:cs="Arial"/>
          <w:color w:val="000000"/>
          <w:sz w:val="24"/>
          <w:szCs w:val="24"/>
          <w:lang w:val="en-US"/>
        </w:rPr>
        <w:t xml:space="preserve">Context in communication is a key consideration worth discussing. </w:t>
      </w:r>
      <w:r w:rsidR="007037FC" w:rsidRPr="00272EDB">
        <w:rPr>
          <w:rFonts w:ascii="Arial" w:eastAsia="Calibri" w:hAnsi="Arial" w:cs="Arial"/>
          <w:color w:val="000000"/>
          <w:sz w:val="24"/>
          <w:szCs w:val="24"/>
          <w:lang w:val="en-US"/>
        </w:rPr>
        <w:t>Hall (1976) divides c</w:t>
      </w:r>
      <w:r w:rsidR="007037FC" w:rsidRPr="007037FC">
        <w:rPr>
          <w:rFonts w:ascii="Arial" w:eastAsia="Calibri" w:hAnsi="Arial" w:cs="Arial"/>
          <w:color w:val="000000"/>
          <w:sz w:val="24"/>
          <w:szCs w:val="24"/>
          <w:lang w:val="bg-BG"/>
        </w:rPr>
        <w:t xml:space="preserve">ultures into two large groups: low- and high-context ones. As explained by the theory, cultures with low-context communication preferences rely on straightforward verbal expressions (Hall, 1976). </w:t>
      </w:r>
      <w:r w:rsidR="007037FC" w:rsidRPr="00272EDB">
        <w:rPr>
          <w:rFonts w:ascii="Arial" w:eastAsia="Calibri" w:hAnsi="Arial" w:cs="Arial"/>
          <w:color w:val="000000"/>
          <w:sz w:val="24"/>
          <w:szCs w:val="24"/>
          <w:lang w:val="en-US"/>
        </w:rPr>
        <w:t>As a result, meanings are expressed in a direct verbal manner, so that all information content is communicated to the other party. In contrast</w:t>
      </w:r>
      <w:r w:rsidR="007037FC" w:rsidRPr="007037FC">
        <w:rPr>
          <w:rFonts w:ascii="Arial" w:eastAsia="Calibri" w:hAnsi="Arial" w:cs="Arial"/>
          <w:color w:val="000000"/>
          <w:sz w:val="24"/>
          <w:szCs w:val="24"/>
          <w:lang w:val="bg-BG"/>
        </w:rPr>
        <w:t>, high-context cultures heavily rely on implicit signals, contextual information and other indirect forms of communication (Hall, 1976).</w:t>
      </w:r>
      <w:r w:rsidR="007037FC" w:rsidRPr="00272EDB">
        <w:rPr>
          <w:rFonts w:ascii="Arial" w:eastAsia="Calibri" w:hAnsi="Arial" w:cs="Arial"/>
          <w:color w:val="000000"/>
          <w:sz w:val="24"/>
          <w:szCs w:val="24"/>
          <w:lang w:val="en-US"/>
        </w:rPr>
        <w:t xml:space="preserve"> Therefore, non-verbal communication and context play a considerable role when sharing information in high-context cultures. </w:t>
      </w:r>
    </w:p>
    <w:p w14:paraId="0219B5DB" w14:textId="77777777" w:rsidR="007037FC" w:rsidRPr="00272EDB" w:rsidRDefault="007037FC" w:rsidP="00272EDB">
      <w:pPr>
        <w:spacing w:line="360" w:lineRule="auto"/>
        <w:jc w:val="both"/>
        <w:rPr>
          <w:rFonts w:ascii="Arial" w:eastAsia="Calibri" w:hAnsi="Arial" w:cs="Arial"/>
          <w:color w:val="000000"/>
          <w:sz w:val="24"/>
          <w:szCs w:val="24"/>
          <w:lang w:val="en-US"/>
        </w:rPr>
      </w:pPr>
      <w:r w:rsidRPr="007037FC">
        <w:rPr>
          <w:rFonts w:ascii="Arial" w:eastAsia="Calibri" w:hAnsi="Arial" w:cs="Arial"/>
          <w:color w:val="000000"/>
          <w:sz w:val="24"/>
          <w:szCs w:val="24"/>
          <w:lang w:val="bg-BG"/>
        </w:rPr>
        <w:t xml:space="preserve">The Hall's model presents a comprehensive depiction of the communication spectrum, as seen in the image below. Typically, Asian and Arab countries have a high-context communication style, where non-verbal cues and contextual information are </w:t>
      </w:r>
      <w:r w:rsidRPr="00272EDB">
        <w:rPr>
          <w:rFonts w:ascii="Arial" w:eastAsia="Calibri" w:hAnsi="Arial" w:cs="Arial"/>
          <w:color w:val="000000"/>
          <w:sz w:val="24"/>
          <w:szCs w:val="24"/>
          <w:lang w:val="en-US"/>
        </w:rPr>
        <w:t xml:space="preserve">prioritised </w:t>
      </w:r>
      <w:r w:rsidRPr="007037FC">
        <w:rPr>
          <w:rFonts w:ascii="Arial" w:eastAsia="Calibri" w:hAnsi="Arial" w:cs="Arial"/>
          <w:color w:val="000000"/>
          <w:sz w:val="24"/>
          <w:szCs w:val="24"/>
          <w:lang w:val="bg-BG"/>
        </w:rPr>
        <w:t xml:space="preserve">(Nomura, 2018). Scandinavian countries and German-speaking nations have a tendency for clear and verbal communication due to their low-context profile (Nomura, 2018). </w:t>
      </w:r>
    </w:p>
    <w:p w14:paraId="0E07465F" w14:textId="77777777" w:rsidR="00272EDB" w:rsidRPr="00272EDB" w:rsidRDefault="00272EDB" w:rsidP="00272EDB">
      <w:pPr>
        <w:spacing w:line="360" w:lineRule="auto"/>
        <w:jc w:val="both"/>
        <w:rPr>
          <w:rFonts w:ascii="Arial" w:eastAsia="Calibri" w:hAnsi="Arial" w:cs="Arial"/>
          <w:color w:val="000000"/>
          <w:sz w:val="24"/>
          <w:szCs w:val="24"/>
          <w:lang w:val="en-US"/>
        </w:rPr>
      </w:pPr>
    </w:p>
    <w:p w14:paraId="1524956D" w14:textId="77777777" w:rsidR="00272EDB" w:rsidRPr="00272EDB" w:rsidRDefault="00272EDB" w:rsidP="00272EDB">
      <w:pPr>
        <w:spacing w:line="360" w:lineRule="auto"/>
        <w:jc w:val="both"/>
        <w:rPr>
          <w:rFonts w:ascii="Arial" w:eastAsia="Calibri" w:hAnsi="Arial" w:cs="Arial"/>
          <w:color w:val="000000"/>
          <w:sz w:val="24"/>
          <w:szCs w:val="24"/>
          <w:lang w:val="en-US"/>
        </w:rPr>
      </w:pPr>
    </w:p>
    <w:p w14:paraId="14CA166F" w14:textId="0B4B2994" w:rsidR="002833DF" w:rsidRPr="002833DF" w:rsidRDefault="002833DF" w:rsidP="00272EDB">
      <w:pPr>
        <w:spacing w:line="360" w:lineRule="auto"/>
        <w:jc w:val="both"/>
        <w:rPr>
          <w:rFonts w:ascii="Arial" w:eastAsia="Calibri" w:hAnsi="Arial" w:cs="Arial"/>
          <w:color w:val="000000"/>
          <w:sz w:val="24"/>
          <w:szCs w:val="24"/>
          <w:lang w:val="bg-BG"/>
        </w:rPr>
      </w:pPr>
      <w:r w:rsidRPr="002833DF">
        <w:rPr>
          <w:rFonts w:ascii="Arial" w:eastAsia="Calibri" w:hAnsi="Arial" w:cs="Arial"/>
          <w:b/>
          <w:color w:val="000000"/>
          <w:kern w:val="0"/>
          <w:sz w:val="24"/>
          <w:szCs w:val="24"/>
          <w:lang w:val="en-US"/>
          <w14:ligatures w14:val="none"/>
        </w:rPr>
        <w:lastRenderedPageBreak/>
        <w:t xml:space="preserve">Figure </w:t>
      </w:r>
      <w:r w:rsidR="007037FC" w:rsidRPr="00272EDB">
        <w:rPr>
          <w:rFonts w:ascii="Arial" w:eastAsia="Calibri" w:hAnsi="Arial" w:cs="Arial"/>
          <w:b/>
          <w:color w:val="000000"/>
          <w:kern w:val="0"/>
          <w:sz w:val="24"/>
          <w:szCs w:val="24"/>
          <w:lang w:val="en-US"/>
          <w14:ligatures w14:val="none"/>
        </w:rPr>
        <w:t>2</w:t>
      </w:r>
      <w:r w:rsidRPr="002833DF">
        <w:rPr>
          <w:rFonts w:ascii="Arial" w:eastAsia="Calibri" w:hAnsi="Arial" w:cs="Arial"/>
          <w:b/>
          <w:color w:val="000000"/>
          <w:kern w:val="0"/>
          <w:sz w:val="24"/>
          <w:szCs w:val="24"/>
          <w:lang w:val="en-US"/>
          <w14:ligatures w14:val="none"/>
        </w:rPr>
        <w:t xml:space="preserve"> – </w:t>
      </w:r>
      <w:r w:rsidR="007037FC" w:rsidRPr="00272EDB">
        <w:rPr>
          <w:rFonts w:ascii="Arial" w:eastAsia="Calibri" w:hAnsi="Arial" w:cs="Arial"/>
          <w:b/>
          <w:color w:val="000000"/>
          <w:kern w:val="0"/>
          <w:sz w:val="24"/>
          <w:szCs w:val="24"/>
          <w:lang w:val="en-US"/>
          <w14:ligatures w14:val="none"/>
        </w:rPr>
        <w:t xml:space="preserve">The spectrum of low- and high-context culture countries </w:t>
      </w:r>
    </w:p>
    <w:p w14:paraId="27CB529A" w14:textId="77777777" w:rsidR="002833DF" w:rsidRPr="002833DF" w:rsidRDefault="002833DF" w:rsidP="00272EDB">
      <w:pPr>
        <w:spacing w:after="0" w:line="360" w:lineRule="auto"/>
        <w:jc w:val="both"/>
        <w:rPr>
          <w:rFonts w:ascii="Arial" w:eastAsia="Calibri" w:hAnsi="Arial" w:cs="Arial"/>
          <w:color w:val="000000"/>
          <w:kern w:val="0"/>
          <w:sz w:val="24"/>
          <w:szCs w:val="24"/>
          <w:lang w:val="en-US"/>
          <w14:ligatures w14:val="none"/>
        </w:rPr>
      </w:pPr>
      <w:r w:rsidRPr="002833DF">
        <w:rPr>
          <w:rFonts w:ascii="Arial" w:eastAsia="Calibri" w:hAnsi="Arial" w:cs="Arial"/>
          <w:noProof/>
          <w:color w:val="000000"/>
          <w:kern w:val="0"/>
          <w:sz w:val="24"/>
          <w:szCs w:val="24"/>
          <w:lang w:val="en-US"/>
          <w14:ligatures w14:val="none"/>
        </w:rPr>
        <w:drawing>
          <wp:inline distT="0" distB="0" distL="0" distR="0" wp14:anchorId="05D50658" wp14:editId="58611A6F">
            <wp:extent cx="4733925" cy="4395591"/>
            <wp:effectExtent l="0" t="0" r="0" b="508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diagram&#10;&#10;Description automatically generated"/>
                    <pic:cNvPicPr>
                      <a:picLocks noChangeAspect="1" noChangeArrowheads="1"/>
                    </pic:cNvPicPr>
                  </pic:nvPicPr>
                  <pic:blipFill>
                    <a:blip r:embed="rId10" cstate="print"/>
                    <a:srcRect/>
                    <a:stretch>
                      <a:fillRect/>
                    </a:stretch>
                  </pic:blipFill>
                  <pic:spPr bwMode="auto">
                    <a:xfrm>
                      <a:off x="0" y="0"/>
                      <a:ext cx="4744354" cy="4405274"/>
                    </a:xfrm>
                    <a:prstGeom prst="rect">
                      <a:avLst/>
                    </a:prstGeom>
                    <a:noFill/>
                    <a:ln w="9525">
                      <a:noFill/>
                      <a:miter lim="800000"/>
                      <a:headEnd/>
                      <a:tailEnd/>
                    </a:ln>
                  </pic:spPr>
                </pic:pic>
              </a:graphicData>
            </a:graphic>
          </wp:inline>
        </w:drawing>
      </w:r>
    </w:p>
    <w:p w14:paraId="3E2CB337" w14:textId="77777777" w:rsidR="002833DF" w:rsidRPr="00272EDB" w:rsidRDefault="002833DF" w:rsidP="00272EDB">
      <w:pPr>
        <w:spacing w:after="240" w:line="360" w:lineRule="auto"/>
        <w:jc w:val="both"/>
        <w:rPr>
          <w:rFonts w:ascii="Arial" w:eastAsia="Calibri" w:hAnsi="Arial" w:cs="Arial"/>
          <w:i/>
          <w:color w:val="000000"/>
          <w:kern w:val="0"/>
          <w:sz w:val="24"/>
          <w:szCs w:val="24"/>
          <w:lang w:val="en-US"/>
          <w14:ligatures w14:val="none"/>
        </w:rPr>
      </w:pPr>
      <w:r w:rsidRPr="002833DF">
        <w:rPr>
          <w:rFonts w:ascii="Arial" w:eastAsia="Calibri" w:hAnsi="Arial" w:cs="Arial"/>
          <w:i/>
          <w:color w:val="000000"/>
          <w:kern w:val="0"/>
          <w:sz w:val="24"/>
          <w:szCs w:val="24"/>
          <w:lang w:val="en-US"/>
          <w14:ligatures w14:val="none"/>
        </w:rPr>
        <w:t>Source: Nomura (2018)</w:t>
      </w:r>
    </w:p>
    <w:p w14:paraId="2405D7B6" w14:textId="420AB04A" w:rsidR="007037FC" w:rsidRPr="00272EDB" w:rsidRDefault="007037FC" w:rsidP="00272EDB">
      <w:pPr>
        <w:spacing w:after="240" w:line="360" w:lineRule="auto"/>
        <w:jc w:val="both"/>
        <w:rPr>
          <w:rFonts w:ascii="Arial" w:eastAsia="Calibri" w:hAnsi="Arial" w:cs="Arial"/>
          <w:iCs/>
          <w:color w:val="000000"/>
          <w:kern w:val="0"/>
          <w:sz w:val="24"/>
          <w:szCs w:val="24"/>
          <w:lang w:val="en-US"/>
          <w14:ligatures w14:val="none"/>
        </w:rPr>
      </w:pPr>
      <w:r w:rsidRPr="00272EDB">
        <w:rPr>
          <w:rFonts w:ascii="Arial" w:eastAsia="Calibri" w:hAnsi="Arial" w:cs="Arial"/>
          <w:iCs/>
          <w:color w:val="000000"/>
          <w:kern w:val="0"/>
          <w:sz w:val="24"/>
          <w:szCs w:val="24"/>
          <w:lang w:val="en-US"/>
          <w14:ligatures w14:val="none"/>
        </w:rPr>
        <w:t xml:space="preserve">As suggested by the spectrum, the UK culture occupies the middle position by mixing elements of low- and high-contextual ways of communicating (Nomura, 2018). These results align with the earlier described nature of the British business communication style which combining direct and implicit messages and meanings (SGE, 2023). Culturally, Italy is quite </w:t>
      </w:r>
      <w:r w:rsidR="000A33B8" w:rsidRPr="00272EDB">
        <w:rPr>
          <w:rFonts w:ascii="Arial" w:eastAsia="Calibri" w:hAnsi="Arial" w:cs="Arial"/>
          <w:iCs/>
          <w:color w:val="000000"/>
          <w:kern w:val="0"/>
          <w:sz w:val="24"/>
          <w:szCs w:val="24"/>
          <w:lang w:val="en-US"/>
          <w14:ligatures w14:val="none"/>
        </w:rPr>
        <w:t>like</w:t>
      </w:r>
      <w:r w:rsidRPr="00272EDB">
        <w:rPr>
          <w:rFonts w:ascii="Arial" w:eastAsia="Calibri" w:hAnsi="Arial" w:cs="Arial"/>
          <w:iCs/>
          <w:color w:val="000000"/>
          <w:kern w:val="0"/>
          <w:sz w:val="24"/>
          <w:szCs w:val="24"/>
          <w:lang w:val="en-US"/>
          <w14:ligatures w14:val="none"/>
        </w:rPr>
        <w:t xml:space="preserve"> the UK in terms of communication, as the Italian culture is slightly </w:t>
      </w:r>
      <w:r w:rsidR="000A33B8" w:rsidRPr="00272EDB">
        <w:rPr>
          <w:rFonts w:ascii="Arial" w:eastAsia="Calibri" w:hAnsi="Arial" w:cs="Arial"/>
          <w:iCs/>
          <w:color w:val="000000"/>
          <w:kern w:val="0"/>
          <w:sz w:val="24"/>
          <w:szCs w:val="24"/>
          <w:lang w:val="en-US"/>
          <w14:ligatures w14:val="none"/>
        </w:rPr>
        <w:t>higher context</w:t>
      </w:r>
      <w:r w:rsidRPr="00272EDB">
        <w:rPr>
          <w:rFonts w:ascii="Arial" w:eastAsia="Calibri" w:hAnsi="Arial" w:cs="Arial"/>
          <w:iCs/>
          <w:color w:val="000000"/>
          <w:kern w:val="0"/>
          <w:sz w:val="24"/>
          <w:szCs w:val="24"/>
          <w:lang w:val="en-US"/>
          <w14:ligatures w14:val="none"/>
        </w:rPr>
        <w:t xml:space="preserve"> than the UK one</w:t>
      </w:r>
      <w:r w:rsidR="000A33B8" w:rsidRPr="00272EDB">
        <w:rPr>
          <w:rFonts w:ascii="Arial" w:eastAsia="Calibri" w:hAnsi="Arial" w:cs="Arial"/>
          <w:iCs/>
          <w:color w:val="000000"/>
          <w:kern w:val="0"/>
          <w:sz w:val="24"/>
          <w:szCs w:val="24"/>
          <w:lang w:val="en-US"/>
          <w14:ligatures w14:val="none"/>
        </w:rPr>
        <w:t xml:space="preserve"> </w:t>
      </w:r>
      <w:r w:rsidRPr="00272EDB">
        <w:rPr>
          <w:rFonts w:ascii="Arial" w:eastAsia="Calibri" w:hAnsi="Arial" w:cs="Arial"/>
          <w:iCs/>
          <w:color w:val="000000"/>
          <w:kern w:val="0"/>
          <w:sz w:val="24"/>
          <w:szCs w:val="24"/>
          <w:lang w:val="en-US"/>
          <w14:ligatures w14:val="none"/>
        </w:rPr>
        <w:t xml:space="preserve">(Nomura, 2018). In </w:t>
      </w:r>
      <w:r w:rsidR="000A33B8" w:rsidRPr="00272EDB">
        <w:rPr>
          <w:rFonts w:ascii="Arial" w:eastAsia="Calibri" w:hAnsi="Arial" w:cs="Arial"/>
          <w:iCs/>
          <w:color w:val="000000"/>
          <w:kern w:val="0"/>
          <w:sz w:val="24"/>
          <w:szCs w:val="24"/>
          <w:lang w:val="en-US"/>
          <w14:ligatures w14:val="none"/>
        </w:rPr>
        <w:t xml:space="preserve">contrast, the Danish culture, which belongs to the group of Scandinavian countries, has predispositions for more low-context way of communicating by extensively applying direct and verbal messages and paying little attention to non-verbal and contextual meanings (Nomura, 2018). </w:t>
      </w:r>
    </w:p>
    <w:p w14:paraId="69D5D28B" w14:textId="416AB5BF" w:rsidR="007037FC" w:rsidRPr="00272EDB" w:rsidRDefault="000A33B8" w:rsidP="00272EDB">
      <w:pPr>
        <w:spacing w:after="240" w:line="360" w:lineRule="auto"/>
        <w:jc w:val="both"/>
        <w:rPr>
          <w:rFonts w:ascii="Arial" w:eastAsia="Calibri" w:hAnsi="Arial" w:cs="Arial"/>
          <w:iCs/>
          <w:color w:val="000000"/>
          <w:kern w:val="0"/>
          <w:sz w:val="24"/>
          <w:szCs w:val="24"/>
          <w:lang w:val="en-US"/>
          <w14:ligatures w14:val="none"/>
        </w:rPr>
      </w:pPr>
      <w:r w:rsidRPr="00272EDB">
        <w:rPr>
          <w:rFonts w:ascii="Arial" w:eastAsia="Calibri" w:hAnsi="Arial" w:cs="Arial"/>
          <w:iCs/>
          <w:color w:val="000000"/>
          <w:kern w:val="0"/>
          <w:sz w:val="24"/>
          <w:szCs w:val="24"/>
          <w:lang w:val="en-US"/>
          <w14:ligatures w14:val="none"/>
        </w:rPr>
        <w:t xml:space="preserve">The analysis of communication leads to the suggestion that there are some barriers between the UK and Denmark. For example, the UK representatives may consider the explicit verbal communication of the Danish counterparts as too direct and even impolite. Moreover, some of the implicit meanings communicated by the UK </w:t>
      </w:r>
      <w:r w:rsidRPr="00272EDB">
        <w:rPr>
          <w:rFonts w:ascii="Arial" w:eastAsia="Calibri" w:hAnsi="Arial" w:cs="Arial"/>
          <w:iCs/>
          <w:color w:val="000000"/>
          <w:kern w:val="0"/>
          <w:sz w:val="24"/>
          <w:szCs w:val="24"/>
          <w:lang w:val="en-US"/>
          <w14:ligatures w14:val="none"/>
        </w:rPr>
        <w:lastRenderedPageBreak/>
        <w:t xml:space="preserve">representatives may not be detected and understood by the Danish professionals practicing low-context culture. As a result, there may be communication gaps in the process, preventing the achievement of maximum performance and predisposing for conflicts and misunderstandings. When the Italian case is considered, only minor communication problems are expected given the proximity of the UK and Italian cultures on the spectrum (Nomura, 2018). </w:t>
      </w:r>
    </w:p>
    <w:p w14:paraId="6FAF3100" w14:textId="60614A16" w:rsidR="007B7AE8" w:rsidRPr="00272EDB" w:rsidRDefault="007B7AE8" w:rsidP="00272EDB">
      <w:pPr>
        <w:spacing w:after="240" w:line="360" w:lineRule="auto"/>
        <w:jc w:val="both"/>
        <w:rPr>
          <w:rFonts w:ascii="Arial" w:eastAsia="Calibri" w:hAnsi="Arial" w:cs="Arial"/>
          <w:iCs/>
          <w:color w:val="000000"/>
          <w:kern w:val="0"/>
          <w:sz w:val="24"/>
          <w:szCs w:val="24"/>
          <w:lang w:val="en-US"/>
          <w14:ligatures w14:val="none"/>
        </w:rPr>
      </w:pPr>
      <w:r w:rsidRPr="00272EDB">
        <w:rPr>
          <w:rFonts w:ascii="Arial" w:eastAsia="Calibri" w:hAnsi="Arial" w:cs="Arial"/>
          <w:iCs/>
          <w:color w:val="000000"/>
          <w:kern w:val="0"/>
          <w:sz w:val="24"/>
          <w:szCs w:val="24"/>
          <w:lang w:val="en-US"/>
          <w14:ligatures w14:val="none"/>
        </w:rPr>
        <w:t xml:space="preserve">Tesco must be aware of the existence of culturally based stereotypes, as well. As explained by </w:t>
      </w:r>
      <w:r w:rsidR="00BC4328" w:rsidRPr="00272EDB">
        <w:rPr>
          <w:rFonts w:ascii="Arial" w:eastAsia="Calibri" w:hAnsi="Arial" w:cs="Arial"/>
          <w:iCs/>
          <w:color w:val="000000"/>
          <w:kern w:val="0"/>
          <w:sz w:val="24"/>
          <w:szCs w:val="24"/>
          <w:lang w:val="en-US"/>
          <w14:ligatures w14:val="none"/>
        </w:rPr>
        <w:t xml:space="preserve">Braslauskas (2023), stereotypes are cognitive constructs leading to bias. Respectively, </w:t>
      </w:r>
      <w:proofErr w:type="spellStart"/>
      <w:r w:rsidR="00BC4328" w:rsidRPr="00272EDB">
        <w:rPr>
          <w:rFonts w:ascii="Arial" w:eastAsia="Calibri" w:hAnsi="Arial" w:cs="Arial"/>
          <w:iCs/>
          <w:color w:val="000000"/>
          <w:kern w:val="0"/>
          <w:sz w:val="24"/>
          <w:szCs w:val="24"/>
          <w:lang w:val="en-US"/>
          <w14:ligatures w14:val="none"/>
        </w:rPr>
        <w:t>i</w:t>
      </w:r>
      <w:proofErr w:type="spellEnd"/>
      <w:r w:rsidR="00BC4328" w:rsidRPr="00272EDB">
        <w:rPr>
          <w:rFonts w:ascii="Arial" w:eastAsia="Calibri" w:hAnsi="Arial" w:cs="Arial"/>
          <w:iCs/>
          <w:color w:val="000000"/>
          <w:kern w:val="0"/>
          <w:sz w:val="24"/>
          <w:szCs w:val="24"/>
          <w:lang w:val="bg-BG"/>
          <w14:ligatures w14:val="none"/>
        </w:rPr>
        <w:t>ntercultural stereotypes frequently result in misunderstandings or cultural disputes during communication since they hinder the objective evaluation of persons from a certain country culture and the accompanying attitudes and activities</w:t>
      </w:r>
      <w:r w:rsidR="00BC4328" w:rsidRPr="00272EDB">
        <w:rPr>
          <w:rFonts w:ascii="Arial" w:eastAsia="Calibri" w:hAnsi="Arial" w:cs="Arial"/>
          <w:iCs/>
          <w:color w:val="000000"/>
          <w:kern w:val="0"/>
          <w:sz w:val="24"/>
          <w:szCs w:val="24"/>
          <w:lang w:val="en-US"/>
          <w14:ligatures w14:val="none"/>
        </w:rPr>
        <w:t xml:space="preserve"> (Braslauskas, 2023).</w:t>
      </w:r>
      <w:r w:rsidR="00BC4328" w:rsidRPr="00272EDB">
        <w:rPr>
          <w:rFonts w:ascii="Arial" w:eastAsia="Calibri" w:hAnsi="Arial" w:cs="Arial"/>
          <w:iCs/>
          <w:color w:val="000000"/>
          <w:kern w:val="0"/>
          <w:sz w:val="24"/>
          <w:szCs w:val="24"/>
          <w:lang w:val="bg-BG"/>
          <w14:ligatures w14:val="none"/>
        </w:rPr>
        <w:t xml:space="preserve"> </w:t>
      </w:r>
      <w:r w:rsidR="00BC4328" w:rsidRPr="00272EDB">
        <w:rPr>
          <w:rFonts w:ascii="Arial" w:eastAsia="Calibri" w:hAnsi="Arial" w:cs="Arial"/>
          <w:iCs/>
          <w:color w:val="000000"/>
          <w:kern w:val="0"/>
          <w:sz w:val="24"/>
          <w:szCs w:val="24"/>
          <w:lang w:val="en-US"/>
          <w14:ligatures w14:val="none"/>
        </w:rPr>
        <w:t>In general, the role of stereotypes in communication is well-studied; however, international culture-based stereotypes have been an area with little research attention so far. Therefore, there is not enough</w:t>
      </w:r>
      <w:r w:rsidR="00BC4328" w:rsidRPr="00272EDB">
        <w:rPr>
          <w:rFonts w:ascii="Arial" w:eastAsia="Calibri" w:hAnsi="Arial" w:cs="Arial"/>
          <w:iCs/>
          <w:color w:val="000000"/>
          <w:kern w:val="0"/>
          <w:sz w:val="24"/>
          <w:szCs w:val="24"/>
          <w:lang w:val="bg-BG"/>
          <w14:ligatures w14:val="none"/>
        </w:rPr>
        <w:t xml:space="preserve"> practical guidance on effectively reducing or eliminating stereotyped attitudes</w:t>
      </w:r>
      <w:r w:rsidR="00BC4328" w:rsidRPr="00272EDB">
        <w:rPr>
          <w:rFonts w:ascii="Arial" w:eastAsia="Calibri" w:hAnsi="Arial" w:cs="Arial"/>
          <w:iCs/>
          <w:color w:val="000000"/>
          <w:kern w:val="0"/>
          <w:sz w:val="24"/>
          <w:szCs w:val="24"/>
          <w:lang w:val="en-US"/>
          <w14:ligatures w14:val="none"/>
        </w:rPr>
        <w:t xml:space="preserve"> (Braslauskas, 2023). Considering this, Tesco must carefully examine whether stereotypes</w:t>
      </w:r>
      <w:r w:rsidR="003545F7" w:rsidRPr="00272EDB">
        <w:rPr>
          <w:rFonts w:ascii="Arial" w:eastAsia="Calibri" w:hAnsi="Arial" w:cs="Arial"/>
          <w:iCs/>
          <w:color w:val="000000"/>
          <w:kern w:val="0"/>
          <w:sz w:val="24"/>
          <w:szCs w:val="24"/>
          <w:lang w:val="en-US"/>
          <w14:ligatures w14:val="none"/>
        </w:rPr>
        <w:t xml:space="preserve">, which are related to the different cultural contexts in the examined countries, potentially </w:t>
      </w:r>
      <w:r w:rsidR="00BC4328" w:rsidRPr="00272EDB">
        <w:rPr>
          <w:rFonts w:ascii="Arial" w:eastAsia="Calibri" w:hAnsi="Arial" w:cs="Arial"/>
          <w:iCs/>
          <w:color w:val="000000"/>
          <w:kern w:val="0"/>
          <w:sz w:val="24"/>
          <w:szCs w:val="24"/>
          <w:lang w:val="en-US"/>
          <w14:ligatures w14:val="none"/>
        </w:rPr>
        <w:t xml:space="preserve">play a role in inhibiting cross-culture communication. </w:t>
      </w:r>
    </w:p>
    <w:p w14:paraId="6D985A97" w14:textId="79B784C0" w:rsidR="002833DF" w:rsidRPr="00272EDB" w:rsidRDefault="0040233D" w:rsidP="00272EDB">
      <w:pPr>
        <w:pStyle w:val="Heading2"/>
        <w:spacing w:before="0"/>
        <w:rPr>
          <w:rFonts w:ascii="Arial" w:hAnsi="Arial" w:cs="Arial"/>
        </w:rPr>
      </w:pPr>
      <w:bookmarkStart w:id="7" w:name="_Toc164781966"/>
      <w:r w:rsidRPr="00272EDB">
        <w:rPr>
          <w:rFonts w:ascii="Arial" w:hAnsi="Arial" w:cs="Arial"/>
        </w:rPr>
        <w:t>Choice of country and recommendations</w:t>
      </w:r>
      <w:bookmarkEnd w:id="7"/>
    </w:p>
    <w:p w14:paraId="5D3723E0" w14:textId="233765CD" w:rsidR="00A31764" w:rsidRPr="00272EDB" w:rsidRDefault="00D2171C" w:rsidP="00272EDB">
      <w:pPr>
        <w:spacing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 xml:space="preserve">The analysis suggests that both countries – Denmark and Italy – do not completely match the UK culture and communication preferences. Given the findings, the Danish culture appears to be closer to the UK one, mainly based on the observed similarities in four out of six cultural dimensions according to the Hofstede’s model (see fig. 1). In addition, the high share of Danish knowing the English language is another key factor for choosing Denmark as a perspective country for the future expansion of Tesco. </w:t>
      </w:r>
    </w:p>
    <w:p w14:paraId="52F9A72C" w14:textId="2ED31401" w:rsidR="00D2171C" w:rsidRPr="00272EDB" w:rsidRDefault="00D2171C" w:rsidP="00272EDB">
      <w:pPr>
        <w:spacing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Research findings also showed the existence of cultural specifics in Denmark which must be addressed by Tesco accordingly. To ensure long-term success, the company is advised to develop a strong and effective organisational culture accepted by all employees in Denmark. Organisational culture, b</w:t>
      </w:r>
      <w:r w:rsidR="005800E5">
        <w:rPr>
          <w:rFonts w:ascii="Arial" w:eastAsia="Calibri" w:hAnsi="Arial" w:cs="Arial"/>
          <w:color w:val="000000"/>
          <w:kern w:val="0"/>
          <w:sz w:val="24"/>
          <w:szCs w:val="24"/>
          <w14:ligatures w14:val="none"/>
        </w:rPr>
        <w:t>y</w:t>
      </w:r>
      <w:r w:rsidRPr="00272EDB">
        <w:rPr>
          <w:rFonts w:ascii="Arial" w:eastAsia="Calibri" w:hAnsi="Arial" w:cs="Arial"/>
          <w:color w:val="000000"/>
          <w:kern w:val="0"/>
          <w:sz w:val="24"/>
          <w:szCs w:val="24"/>
          <w14:ligatures w14:val="none"/>
        </w:rPr>
        <w:t xml:space="preserve"> definition, suggests common values, attitudes and behavioural norms which distinguish a company and navigate the performance of organisational members (</w:t>
      </w:r>
      <w:r w:rsidR="00A96A94" w:rsidRPr="00272EDB">
        <w:rPr>
          <w:rFonts w:ascii="Arial" w:eastAsia="Calibri" w:hAnsi="Arial" w:cs="Arial"/>
          <w:color w:val="000000"/>
          <w:kern w:val="0"/>
          <w:sz w:val="24"/>
          <w:szCs w:val="24"/>
          <w14:ligatures w14:val="none"/>
        </w:rPr>
        <w:t>Mullins and Christy, 2016</w:t>
      </w:r>
      <w:r w:rsidRPr="00272EDB">
        <w:rPr>
          <w:rFonts w:ascii="Arial" w:eastAsia="Calibri" w:hAnsi="Arial" w:cs="Arial"/>
          <w:color w:val="000000"/>
          <w:kern w:val="0"/>
          <w:sz w:val="24"/>
          <w:szCs w:val="24"/>
          <w14:ligatures w14:val="none"/>
        </w:rPr>
        <w:t xml:space="preserve">). Respectively, the development of organisational culture in the Danish case will ensure that all employees </w:t>
      </w:r>
      <w:r w:rsidRPr="00272EDB">
        <w:rPr>
          <w:rFonts w:ascii="Arial" w:eastAsia="Calibri" w:hAnsi="Arial" w:cs="Arial"/>
          <w:color w:val="000000"/>
          <w:kern w:val="0"/>
          <w:sz w:val="24"/>
          <w:szCs w:val="24"/>
          <w14:ligatures w14:val="none"/>
        </w:rPr>
        <w:lastRenderedPageBreak/>
        <w:t>– UK and Danish – comply with common values and principles of communication and performance at work (</w:t>
      </w:r>
      <w:r w:rsidR="00A96A94" w:rsidRPr="00272EDB">
        <w:rPr>
          <w:rFonts w:ascii="Arial" w:eastAsia="Calibri" w:hAnsi="Arial" w:cs="Arial"/>
          <w:color w:val="000000"/>
          <w:kern w:val="0"/>
          <w:sz w:val="24"/>
          <w:szCs w:val="24"/>
          <w14:ligatures w14:val="none"/>
        </w:rPr>
        <w:t>Mullins and Christy, 2016</w:t>
      </w:r>
      <w:r w:rsidRPr="00272EDB">
        <w:rPr>
          <w:rFonts w:ascii="Arial" w:eastAsia="Calibri" w:hAnsi="Arial" w:cs="Arial"/>
          <w:color w:val="000000"/>
          <w:kern w:val="0"/>
          <w:sz w:val="24"/>
          <w:szCs w:val="24"/>
          <w14:ligatures w14:val="none"/>
        </w:rPr>
        <w:t xml:space="preserve">). This suggestion is expected to reduce some of the observed country-specific cultural differences. </w:t>
      </w:r>
    </w:p>
    <w:p w14:paraId="1FA7014A" w14:textId="4D95C47E" w:rsidR="00627B0F" w:rsidRPr="00272EDB" w:rsidRDefault="00627B0F" w:rsidP="00272EDB">
      <w:pPr>
        <w:spacing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 xml:space="preserve">The changes in organisational culture must be accomplished by structural changes, as well. In Denmark, there are egalitarian and low-masculine preferences, as reported by Hofstede Insights (2024). Therefore, Tesco may consider the development of a flatter organisation in Denmark with active communication channels across all levels of the organisation. In addition to flattening, the company must re-consider its rewards and stimuli. The low masculine index in Denmark suggests that employees may be more motivated at work based on extra time off, more paid holidays, access to free-of-cost sports activities and other benefits to improve harmony and comfort, rather that performance-based bonuses, high targets and other achievement-related rewards typical for the predominantly masculine UK culture. </w:t>
      </w:r>
    </w:p>
    <w:p w14:paraId="1AD2078A" w14:textId="3A24162E" w:rsidR="00D2171C" w:rsidRPr="00272EDB" w:rsidRDefault="00D2171C" w:rsidP="00272EDB">
      <w:pPr>
        <w:spacing w:after="24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 xml:space="preserve">Another key suggestion relates to the need for communication training. All members of Tesco in Denmark must enrol communication training to become aware of the differences in low- and high-context cultures and their respective impact on communication styles. Such a specialised education is expected to develop a more tolerant work environment based on mutual understanding and acceptance of differences. In addition, well-trained employees may be better able to effectively communicate by switching styles and avoiding conflict situations caused by misunderstanding or bias. </w:t>
      </w:r>
      <w:r w:rsidR="00627B0F" w:rsidRPr="00272EDB">
        <w:rPr>
          <w:rFonts w:ascii="Arial" w:eastAsia="Calibri" w:hAnsi="Arial" w:cs="Arial"/>
          <w:color w:val="000000"/>
          <w:kern w:val="0"/>
          <w:sz w:val="24"/>
          <w:szCs w:val="24"/>
          <w14:ligatures w14:val="none"/>
        </w:rPr>
        <w:t xml:space="preserve">Employee training must also address some additional areas, such as business etiquette, avoidance of stereotypes and ethnocentrism, and others, as they may also inhibit communication effectiveness in a cross-cultural setting (Vaughan, 2021). </w:t>
      </w:r>
    </w:p>
    <w:p w14:paraId="7C9411C0" w14:textId="77777777" w:rsidR="002833DF" w:rsidRPr="00272EDB" w:rsidRDefault="002833DF" w:rsidP="00272EDB">
      <w:pPr>
        <w:pStyle w:val="Heading1"/>
        <w:spacing w:before="0" w:after="240"/>
        <w:rPr>
          <w:rFonts w:ascii="Arial" w:eastAsia="Times New Roman" w:hAnsi="Arial" w:cs="Arial"/>
        </w:rPr>
      </w:pPr>
      <w:bookmarkStart w:id="8" w:name="_Toc133576680"/>
      <w:bookmarkStart w:id="9" w:name="_Toc164781967"/>
      <w:r w:rsidRPr="00272EDB">
        <w:rPr>
          <w:rFonts w:ascii="Arial" w:eastAsia="Times New Roman" w:hAnsi="Arial" w:cs="Arial"/>
        </w:rPr>
        <w:t>Conclusion</w:t>
      </w:r>
      <w:bookmarkEnd w:id="8"/>
      <w:bookmarkEnd w:id="9"/>
      <w:r w:rsidRPr="00272EDB">
        <w:rPr>
          <w:rFonts w:ascii="Arial" w:eastAsia="Times New Roman" w:hAnsi="Arial" w:cs="Arial"/>
        </w:rPr>
        <w:t xml:space="preserve"> </w:t>
      </w:r>
    </w:p>
    <w:p w14:paraId="24386899" w14:textId="6DD6BB19" w:rsidR="00E9170F" w:rsidRPr="00272EDB" w:rsidRDefault="00DC0623" w:rsidP="00272EDB">
      <w:pPr>
        <w:spacing w:after="0" w:line="360" w:lineRule="auto"/>
        <w:jc w:val="both"/>
        <w:rPr>
          <w:rFonts w:ascii="Arial" w:eastAsia="Calibri" w:hAnsi="Arial" w:cs="Arial"/>
          <w:color w:val="000000"/>
          <w:kern w:val="0"/>
          <w:sz w:val="24"/>
          <w:szCs w:val="24"/>
          <w14:ligatures w14:val="none"/>
        </w:rPr>
      </w:pPr>
      <w:r w:rsidRPr="00272EDB">
        <w:rPr>
          <w:rFonts w:ascii="Arial" w:eastAsia="Calibri" w:hAnsi="Arial" w:cs="Arial"/>
          <w:color w:val="000000"/>
          <w:kern w:val="0"/>
          <w:sz w:val="24"/>
          <w:szCs w:val="24"/>
          <w14:ligatures w14:val="none"/>
        </w:rPr>
        <w:t xml:space="preserve">To sum up, the essay explored the role and impact of culture by considering the UK case, as well as the evidence from Denmark and Italy. Specific cultural similarities and differences were observed, thereby explaining </w:t>
      </w:r>
      <w:r w:rsidR="003E6134" w:rsidRPr="00272EDB">
        <w:rPr>
          <w:rFonts w:ascii="Arial" w:eastAsia="Calibri" w:hAnsi="Arial" w:cs="Arial"/>
          <w:color w:val="000000"/>
          <w:kern w:val="0"/>
          <w:sz w:val="24"/>
          <w:szCs w:val="24"/>
          <w14:ligatures w14:val="none"/>
        </w:rPr>
        <w:t xml:space="preserve">the preferences for hierarchy, achievement, risk taking, rewards and other important aspects affecting employee management and business development. Considering the case of Tesco, the future expansion is suggested to take place in Denmark since this specific country is culturally </w:t>
      </w:r>
      <w:r w:rsidR="003E6134" w:rsidRPr="00272EDB">
        <w:rPr>
          <w:rFonts w:ascii="Arial" w:eastAsia="Calibri" w:hAnsi="Arial" w:cs="Arial"/>
          <w:color w:val="000000"/>
          <w:kern w:val="0"/>
          <w:sz w:val="24"/>
          <w:szCs w:val="24"/>
          <w14:ligatures w14:val="none"/>
        </w:rPr>
        <w:lastRenderedPageBreak/>
        <w:t>closer to the UK in comparison to the alternative of Italy. In addition, the evidence suggested almost no language barrier, as most Danish people know the English language. Despite the cultural proximity between the UK and Denmark, research findings suggested the existence of different communication styles and some unique Danish cultural features worth addressing by Tesco as a part of an adaptation strategy. To maximise its future performance in the host Danish market, the retailer is advised to develop a common and inclusive organisational culture, a re-structuring of the company, changes in internal rewards and goals, as well as an extensive communication</w:t>
      </w:r>
      <w:r w:rsidR="000D4EBF">
        <w:rPr>
          <w:rFonts w:ascii="Arial" w:eastAsia="Calibri" w:hAnsi="Arial" w:cs="Arial"/>
          <w:color w:val="000000"/>
          <w:kern w:val="0"/>
          <w:sz w:val="24"/>
          <w:szCs w:val="24"/>
          <w14:ligatures w14:val="none"/>
        </w:rPr>
        <w:t xml:space="preserve"> and cultural sensitivity </w:t>
      </w:r>
      <w:r w:rsidR="003E6134" w:rsidRPr="00272EDB">
        <w:rPr>
          <w:rFonts w:ascii="Arial" w:eastAsia="Calibri" w:hAnsi="Arial" w:cs="Arial"/>
          <w:color w:val="000000"/>
          <w:kern w:val="0"/>
          <w:sz w:val="24"/>
          <w:szCs w:val="24"/>
          <w14:ligatures w14:val="none"/>
        </w:rPr>
        <w:t xml:space="preserve"> training to all employees. The holistic efforts in all areas are expected to address the existing culture- and communication-related differences between the UK and Denmark and support a better organisational performance. </w:t>
      </w:r>
    </w:p>
    <w:p w14:paraId="2861C4E9" w14:textId="77777777" w:rsidR="002833DF" w:rsidRPr="00272EDB" w:rsidRDefault="002833DF" w:rsidP="002833DF">
      <w:pPr>
        <w:spacing w:line="360" w:lineRule="auto"/>
        <w:jc w:val="both"/>
        <w:rPr>
          <w:rFonts w:ascii="Arial" w:hAnsi="Arial" w:cs="Arial"/>
          <w:lang w:val="en-US"/>
        </w:rPr>
      </w:pPr>
    </w:p>
    <w:p w14:paraId="2FBDED98" w14:textId="77777777" w:rsidR="002833DF" w:rsidRPr="00272EDB" w:rsidRDefault="002833DF" w:rsidP="002833DF">
      <w:pPr>
        <w:spacing w:line="360" w:lineRule="auto"/>
        <w:jc w:val="both"/>
        <w:rPr>
          <w:rFonts w:ascii="Arial" w:hAnsi="Arial" w:cs="Arial"/>
          <w:lang w:val="en-US"/>
        </w:rPr>
      </w:pPr>
    </w:p>
    <w:p w14:paraId="4435EEB4" w14:textId="77777777" w:rsidR="002833DF" w:rsidRPr="00272EDB" w:rsidRDefault="002833DF" w:rsidP="002833DF">
      <w:pPr>
        <w:spacing w:line="360" w:lineRule="auto"/>
        <w:jc w:val="both"/>
        <w:rPr>
          <w:rFonts w:ascii="Arial" w:hAnsi="Arial" w:cs="Arial"/>
          <w:lang w:val="en-US"/>
        </w:rPr>
      </w:pPr>
    </w:p>
    <w:p w14:paraId="5404018F" w14:textId="77777777" w:rsidR="002833DF" w:rsidRPr="00272EDB" w:rsidRDefault="002833DF" w:rsidP="002833DF">
      <w:pPr>
        <w:spacing w:line="360" w:lineRule="auto"/>
        <w:jc w:val="both"/>
        <w:rPr>
          <w:rFonts w:ascii="Arial" w:hAnsi="Arial" w:cs="Arial"/>
          <w:lang w:val="en-US"/>
        </w:rPr>
      </w:pPr>
    </w:p>
    <w:p w14:paraId="3B4F256C" w14:textId="77777777" w:rsidR="002833DF" w:rsidRPr="00272EDB" w:rsidRDefault="002833DF" w:rsidP="002833DF">
      <w:pPr>
        <w:spacing w:line="360" w:lineRule="auto"/>
        <w:jc w:val="both"/>
        <w:rPr>
          <w:rFonts w:ascii="Arial" w:hAnsi="Arial" w:cs="Arial"/>
          <w:lang w:val="en-US"/>
        </w:rPr>
      </w:pPr>
    </w:p>
    <w:p w14:paraId="5CD76E8D" w14:textId="77777777" w:rsidR="002833DF" w:rsidRPr="00272EDB" w:rsidRDefault="002833DF" w:rsidP="002833DF">
      <w:pPr>
        <w:spacing w:line="360" w:lineRule="auto"/>
        <w:jc w:val="both"/>
        <w:rPr>
          <w:rFonts w:ascii="Arial" w:hAnsi="Arial" w:cs="Arial"/>
          <w:lang w:val="en-US"/>
        </w:rPr>
      </w:pPr>
    </w:p>
    <w:p w14:paraId="048EE9CA" w14:textId="63D6A1F9" w:rsidR="002833DF" w:rsidRPr="00272EDB" w:rsidRDefault="002833DF" w:rsidP="002833DF">
      <w:pPr>
        <w:spacing w:line="360" w:lineRule="auto"/>
        <w:jc w:val="both"/>
        <w:rPr>
          <w:rFonts w:ascii="Arial" w:hAnsi="Arial" w:cs="Arial"/>
          <w:lang w:val="en-US"/>
        </w:rPr>
      </w:pPr>
    </w:p>
    <w:p w14:paraId="2F861641" w14:textId="5BAA72B1" w:rsidR="002833DF" w:rsidRPr="00272EDB" w:rsidRDefault="002833DF" w:rsidP="002833DF">
      <w:pPr>
        <w:spacing w:line="360" w:lineRule="auto"/>
        <w:jc w:val="both"/>
        <w:rPr>
          <w:rFonts w:ascii="Arial" w:hAnsi="Arial" w:cs="Arial"/>
          <w:lang w:val="en-US"/>
        </w:rPr>
      </w:pPr>
    </w:p>
    <w:p w14:paraId="03F203F3" w14:textId="77777777" w:rsidR="002833DF" w:rsidRPr="00272EDB" w:rsidRDefault="002833DF" w:rsidP="002833DF">
      <w:pPr>
        <w:spacing w:line="360" w:lineRule="auto"/>
        <w:jc w:val="both"/>
        <w:rPr>
          <w:rFonts w:ascii="Arial" w:hAnsi="Arial" w:cs="Arial"/>
          <w:lang w:val="en-US"/>
        </w:rPr>
      </w:pPr>
    </w:p>
    <w:p w14:paraId="45FE1F24" w14:textId="77777777" w:rsidR="002833DF" w:rsidRPr="00272EDB" w:rsidRDefault="002833DF" w:rsidP="002833DF">
      <w:pPr>
        <w:spacing w:line="360" w:lineRule="auto"/>
        <w:jc w:val="both"/>
        <w:rPr>
          <w:rFonts w:ascii="Arial" w:hAnsi="Arial" w:cs="Arial"/>
          <w:lang w:val="en-US"/>
        </w:rPr>
      </w:pPr>
    </w:p>
    <w:p w14:paraId="5A95CD36" w14:textId="77777777" w:rsidR="002833DF" w:rsidRPr="00272EDB" w:rsidRDefault="002833DF" w:rsidP="002833DF">
      <w:pPr>
        <w:spacing w:line="360" w:lineRule="auto"/>
        <w:jc w:val="both"/>
        <w:rPr>
          <w:rFonts w:ascii="Arial" w:hAnsi="Arial" w:cs="Arial"/>
          <w:lang w:val="en-US"/>
        </w:rPr>
      </w:pPr>
    </w:p>
    <w:p w14:paraId="0CB9F4E9" w14:textId="77777777" w:rsidR="00272EDB" w:rsidRPr="00272EDB" w:rsidRDefault="00272EDB" w:rsidP="002833DF">
      <w:pPr>
        <w:spacing w:line="360" w:lineRule="auto"/>
        <w:jc w:val="both"/>
        <w:rPr>
          <w:rFonts w:ascii="Arial" w:hAnsi="Arial" w:cs="Arial"/>
          <w:lang w:val="en-US"/>
        </w:rPr>
      </w:pPr>
    </w:p>
    <w:p w14:paraId="61DC3B13" w14:textId="77777777" w:rsidR="00272EDB" w:rsidRPr="00272EDB" w:rsidRDefault="00272EDB" w:rsidP="002833DF">
      <w:pPr>
        <w:spacing w:line="360" w:lineRule="auto"/>
        <w:jc w:val="both"/>
        <w:rPr>
          <w:rFonts w:ascii="Arial" w:hAnsi="Arial" w:cs="Arial"/>
          <w:lang w:val="en-US"/>
        </w:rPr>
      </w:pPr>
    </w:p>
    <w:p w14:paraId="0C4D8761" w14:textId="77777777" w:rsidR="00272EDB" w:rsidRPr="00272EDB" w:rsidRDefault="00272EDB" w:rsidP="002833DF">
      <w:pPr>
        <w:spacing w:line="360" w:lineRule="auto"/>
        <w:jc w:val="both"/>
        <w:rPr>
          <w:rFonts w:ascii="Arial" w:hAnsi="Arial" w:cs="Arial"/>
          <w:lang w:val="en-US"/>
        </w:rPr>
      </w:pPr>
    </w:p>
    <w:p w14:paraId="4886AD73" w14:textId="77777777" w:rsidR="00272EDB" w:rsidRPr="00272EDB" w:rsidRDefault="00272EDB" w:rsidP="002833DF">
      <w:pPr>
        <w:spacing w:line="360" w:lineRule="auto"/>
        <w:jc w:val="both"/>
        <w:rPr>
          <w:rFonts w:ascii="Arial" w:hAnsi="Arial" w:cs="Arial"/>
          <w:lang w:val="en-US"/>
        </w:rPr>
      </w:pPr>
    </w:p>
    <w:p w14:paraId="3A8D841F" w14:textId="1F99EA6E" w:rsidR="002833DF" w:rsidRPr="00272EDB" w:rsidRDefault="002833DF" w:rsidP="00746DF8">
      <w:pPr>
        <w:pStyle w:val="Heading1"/>
        <w:spacing w:before="0" w:after="240"/>
        <w:rPr>
          <w:rFonts w:ascii="Arial" w:hAnsi="Arial" w:cs="Arial"/>
          <w:lang w:val="en-US"/>
        </w:rPr>
      </w:pPr>
      <w:bookmarkStart w:id="10" w:name="_Toc164781968"/>
      <w:r w:rsidRPr="00272EDB">
        <w:rPr>
          <w:rFonts w:ascii="Arial" w:hAnsi="Arial" w:cs="Arial"/>
          <w:lang w:val="en-US"/>
        </w:rPr>
        <w:lastRenderedPageBreak/>
        <w:t>References</w:t>
      </w:r>
      <w:bookmarkEnd w:id="10"/>
    </w:p>
    <w:p w14:paraId="3535D559"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Bedford, E. (2023a) </w:t>
      </w:r>
      <w:r w:rsidRPr="00DA615B">
        <w:rPr>
          <w:rFonts w:ascii="Arial" w:hAnsi="Arial" w:cs="Arial"/>
          <w:i/>
          <w:iCs/>
          <w:sz w:val="24"/>
          <w:szCs w:val="24"/>
          <w:lang w:val="en-US"/>
        </w:rPr>
        <w:t>Grocery market share in Great Britain 2017-2023</w:t>
      </w:r>
      <w:r w:rsidRPr="00DA615B">
        <w:rPr>
          <w:rFonts w:ascii="Arial" w:hAnsi="Arial" w:cs="Arial"/>
          <w:sz w:val="24"/>
          <w:szCs w:val="24"/>
          <w:lang w:val="en-US"/>
        </w:rPr>
        <w:t xml:space="preserve">, [online] Available: </w:t>
      </w:r>
      <w:hyperlink r:id="rId11" w:history="1">
        <w:r w:rsidRPr="00DA615B">
          <w:rPr>
            <w:rStyle w:val="Hyperlink"/>
            <w:rFonts w:ascii="Arial" w:hAnsi="Arial" w:cs="Arial"/>
            <w:sz w:val="24"/>
            <w:szCs w:val="24"/>
            <w:lang w:val="en-US"/>
          </w:rPr>
          <w:t>https://www.statista.com/statistics/280208/grocery-market-share-in-the-united-kingdom-uk/</w:t>
        </w:r>
      </w:hyperlink>
      <w:r w:rsidRPr="00DA615B">
        <w:rPr>
          <w:rFonts w:ascii="Arial" w:hAnsi="Arial" w:cs="Arial"/>
          <w:sz w:val="24"/>
          <w:szCs w:val="24"/>
          <w:lang w:val="en-US"/>
        </w:rPr>
        <w:t xml:space="preserve"> [Accessed: 20 April 2024]</w:t>
      </w:r>
    </w:p>
    <w:p w14:paraId="6D4684A8"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Bedford, E. (2023b) </w:t>
      </w:r>
      <w:r w:rsidRPr="00DA615B">
        <w:rPr>
          <w:rFonts w:ascii="Arial" w:hAnsi="Arial" w:cs="Arial"/>
          <w:i/>
          <w:iCs/>
          <w:sz w:val="24"/>
          <w:szCs w:val="24"/>
          <w:lang w:val="en-US"/>
        </w:rPr>
        <w:t>Tesco group: number of employees worldwide 2023, by region</w:t>
      </w:r>
      <w:r w:rsidRPr="00DA615B">
        <w:rPr>
          <w:rFonts w:ascii="Arial" w:hAnsi="Arial" w:cs="Arial"/>
          <w:sz w:val="24"/>
          <w:szCs w:val="24"/>
          <w:lang w:val="en-US"/>
        </w:rPr>
        <w:t xml:space="preserve">, [online] Available: </w:t>
      </w:r>
      <w:hyperlink r:id="rId12" w:anchor=":~:text=In%202023%2C%20Tesco%20employed%20336%2C926,Hungary%2C%20Poland%2C%20and%20Slovakia" w:history="1">
        <w:r w:rsidRPr="00DA615B">
          <w:rPr>
            <w:rStyle w:val="Hyperlink"/>
            <w:rFonts w:ascii="Arial" w:hAnsi="Arial" w:cs="Arial"/>
            <w:sz w:val="24"/>
            <w:szCs w:val="24"/>
            <w:lang w:val="en-US"/>
          </w:rPr>
          <w:t>https://www.statista.com/statistics/490890/tesco-group-number-of-employees-worldwide/#:~:text=In%202023%2C%20Tesco%20employed%20336%2C926,Hungary%2C%20Poland%2C%20and%20Slovakia</w:t>
        </w:r>
      </w:hyperlink>
      <w:r w:rsidRPr="00DA615B">
        <w:rPr>
          <w:rFonts w:ascii="Arial" w:hAnsi="Arial" w:cs="Arial"/>
          <w:sz w:val="24"/>
          <w:szCs w:val="24"/>
          <w:lang w:val="en-US"/>
        </w:rPr>
        <w:t xml:space="preserve"> [Accessed: 20 April 2024]</w:t>
      </w:r>
    </w:p>
    <w:p w14:paraId="455C0C41"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Braslauskas, J. (2023) Intercultural stereotypes and the role of critical and creative thinking in overcoming them, </w:t>
      </w:r>
      <w:r w:rsidRPr="00DA615B">
        <w:rPr>
          <w:rFonts w:ascii="Arial" w:hAnsi="Arial" w:cs="Arial"/>
          <w:i/>
          <w:iCs/>
          <w:sz w:val="24"/>
          <w:szCs w:val="24"/>
          <w:lang w:val="en-US"/>
        </w:rPr>
        <w:t>Creativity Studies</w:t>
      </w:r>
      <w:r w:rsidRPr="00DA615B">
        <w:rPr>
          <w:rFonts w:ascii="Arial" w:hAnsi="Arial" w:cs="Arial"/>
          <w:sz w:val="24"/>
          <w:szCs w:val="24"/>
          <w:lang w:val="en-US"/>
        </w:rPr>
        <w:t xml:space="preserve">, Vol. 16(1), pp. 255-273. </w:t>
      </w:r>
    </w:p>
    <w:p w14:paraId="774EF0C0"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Facts Maps (2024) </w:t>
      </w:r>
      <w:r w:rsidRPr="00DA615B">
        <w:rPr>
          <w:rFonts w:ascii="Arial" w:hAnsi="Arial" w:cs="Arial"/>
          <w:i/>
          <w:iCs/>
          <w:sz w:val="24"/>
          <w:szCs w:val="24"/>
          <w:lang w:val="en-US"/>
        </w:rPr>
        <w:t>Percentage of English, French, German, Spanish, Italian and Russian speakers in Europe by country</w:t>
      </w:r>
      <w:r w:rsidRPr="00DA615B">
        <w:rPr>
          <w:rFonts w:ascii="Arial" w:hAnsi="Arial" w:cs="Arial"/>
          <w:sz w:val="24"/>
          <w:szCs w:val="24"/>
          <w:lang w:val="en-US"/>
        </w:rPr>
        <w:t xml:space="preserve">, [online] Available: </w:t>
      </w:r>
      <w:hyperlink r:id="rId13" w:history="1">
        <w:r w:rsidRPr="00DA615B">
          <w:rPr>
            <w:rStyle w:val="Hyperlink"/>
            <w:rFonts w:ascii="Arial" w:hAnsi="Arial" w:cs="Arial"/>
            <w:sz w:val="24"/>
            <w:szCs w:val="24"/>
            <w:lang w:val="en-US"/>
          </w:rPr>
          <w:t>https://factsmaps.com/percentage-of-english-french-german-spanish-italian-russian-speakers-in-europe/</w:t>
        </w:r>
      </w:hyperlink>
      <w:r w:rsidRPr="00DA615B">
        <w:rPr>
          <w:rFonts w:ascii="Arial" w:hAnsi="Arial" w:cs="Arial"/>
          <w:sz w:val="24"/>
          <w:szCs w:val="24"/>
          <w:lang w:val="en-US"/>
        </w:rPr>
        <w:t xml:space="preserve"> [Accessed: 20 April 2024]</w:t>
      </w:r>
    </w:p>
    <w:p w14:paraId="2A76FF78"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rPr>
        <w:t xml:space="preserve">Hall, E. (1976) </w:t>
      </w:r>
      <w:r w:rsidRPr="00DA615B">
        <w:rPr>
          <w:rFonts w:ascii="Arial" w:hAnsi="Arial" w:cs="Arial"/>
          <w:i/>
          <w:sz w:val="24"/>
          <w:szCs w:val="24"/>
        </w:rPr>
        <w:t>Beyond Culture</w:t>
      </w:r>
      <w:r w:rsidRPr="00DA615B">
        <w:rPr>
          <w:rFonts w:ascii="Arial" w:hAnsi="Arial" w:cs="Arial"/>
          <w:sz w:val="24"/>
          <w:szCs w:val="24"/>
        </w:rPr>
        <w:t>. Anchor Books</w:t>
      </w:r>
    </w:p>
    <w:p w14:paraId="3233730A" w14:textId="77777777" w:rsidR="00272EDB" w:rsidRPr="00DA615B" w:rsidRDefault="00272EDB" w:rsidP="00DA615B">
      <w:pPr>
        <w:spacing w:line="360" w:lineRule="auto"/>
        <w:rPr>
          <w:rFonts w:ascii="Arial" w:hAnsi="Arial" w:cs="Arial"/>
          <w:sz w:val="24"/>
          <w:szCs w:val="24"/>
        </w:rPr>
      </w:pPr>
      <w:r w:rsidRPr="00DA615B">
        <w:rPr>
          <w:rFonts w:ascii="Arial" w:hAnsi="Arial" w:cs="Arial"/>
          <w:sz w:val="24"/>
          <w:szCs w:val="24"/>
        </w:rPr>
        <w:t xml:space="preserve">Hofstede Insights (2024) </w:t>
      </w:r>
      <w:r w:rsidRPr="00DA615B">
        <w:rPr>
          <w:rFonts w:ascii="Arial" w:hAnsi="Arial" w:cs="Arial"/>
          <w:i/>
          <w:iCs/>
          <w:sz w:val="24"/>
          <w:szCs w:val="24"/>
        </w:rPr>
        <w:t>Country comparison tool</w:t>
      </w:r>
      <w:r w:rsidRPr="00DA615B">
        <w:rPr>
          <w:rFonts w:ascii="Arial" w:hAnsi="Arial" w:cs="Arial"/>
          <w:sz w:val="24"/>
          <w:szCs w:val="24"/>
        </w:rPr>
        <w:t xml:space="preserve">, [online] Available: </w:t>
      </w:r>
      <w:hyperlink r:id="rId14" w:history="1">
        <w:r w:rsidRPr="00DA615B">
          <w:rPr>
            <w:rStyle w:val="Hyperlink"/>
            <w:rFonts w:ascii="Arial" w:hAnsi="Arial" w:cs="Arial"/>
            <w:sz w:val="24"/>
            <w:szCs w:val="24"/>
          </w:rPr>
          <w:t>https://www.hofstede-insights.com/country-comparison-tool?countries=denmark%2Citaly%2Cunited+kingdom</w:t>
        </w:r>
      </w:hyperlink>
      <w:r w:rsidRPr="00DA615B">
        <w:rPr>
          <w:rFonts w:ascii="Arial" w:hAnsi="Arial" w:cs="Arial"/>
          <w:sz w:val="24"/>
          <w:szCs w:val="24"/>
        </w:rPr>
        <w:t xml:space="preserve"> [Accessed: 22 April 2024]</w:t>
      </w:r>
    </w:p>
    <w:p w14:paraId="7AD1154E" w14:textId="77777777" w:rsidR="00272EDB" w:rsidRPr="00DA615B" w:rsidRDefault="00272EDB" w:rsidP="00DA615B">
      <w:pPr>
        <w:spacing w:line="360" w:lineRule="auto"/>
        <w:rPr>
          <w:rFonts w:ascii="Arial" w:hAnsi="Arial" w:cs="Arial"/>
          <w:sz w:val="24"/>
          <w:szCs w:val="24"/>
        </w:rPr>
      </w:pPr>
      <w:r w:rsidRPr="00DA615B">
        <w:rPr>
          <w:rFonts w:ascii="Arial" w:hAnsi="Arial" w:cs="Arial"/>
          <w:sz w:val="24"/>
          <w:szCs w:val="24"/>
        </w:rPr>
        <w:t>Hofstede, G. (2001) </w:t>
      </w:r>
      <w:r w:rsidRPr="00DA615B">
        <w:rPr>
          <w:rFonts w:ascii="Arial" w:hAnsi="Arial" w:cs="Arial"/>
          <w:i/>
          <w:iCs/>
          <w:sz w:val="24"/>
          <w:szCs w:val="24"/>
        </w:rPr>
        <w:t>Culture's Consequences Comparing Values, Behaviors, Institutions and Organizations across Nations</w:t>
      </w:r>
      <w:r w:rsidRPr="00DA615B">
        <w:rPr>
          <w:rFonts w:ascii="Arial" w:hAnsi="Arial" w:cs="Arial"/>
          <w:sz w:val="24"/>
          <w:szCs w:val="24"/>
        </w:rPr>
        <w:t>. SAGE, Thousand Oaks</w:t>
      </w:r>
    </w:p>
    <w:p w14:paraId="422B46E6" w14:textId="77777777" w:rsidR="00272EDB" w:rsidRPr="00DA615B" w:rsidRDefault="00272EDB" w:rsidP="00DA615B">
      <w:pPr>
        <w:spacing w:line="360" w:lineRule="auto"/>
        <w:rPr>
          <w:rFonts w:ascii="Arial" w:hAnsi="Arial" w:cs="Arial"/>
          <w:sz w:val="24"/>
          <w:szCs w:val="24"/>
        </w:rPr>
      </w:pPr>
      <w:r w:rsidRPr="00DA615B">
        <w:rPr>
          <w:rFonts w:ascii="Arial" w:hAnsi="Arial" w:cs="Arial"/>
          <w:sz w:val="24"/>
          <w:szCs w:val="24"/>
        </w:rPr>
        <w:t xml:space="preserve">Hofstede, G. (2011) Dimensionalising Cultures: The Hofstede Model in Context, </w:t>
      </w:r>
      <w:r w:rsidRPr="00DA615B">
        <w:rPr>
          <w:rFonts w:ascii="Arial" w:hAnsi="Arial" w:cs="Arial"/>
          <w:i/>
          <w:iCs/>
          <w:sz w:val="24"/>
          <w:szCs w:val="24"/>
        </w:rPr>
        <w:t>Online Readings in Psychology and Culture</w:t>
      </w:r>
      <w:r w:rsidRPr="00DA615B">
        <w:rPr>
          <w:rFonts w:ascii="Arial" w:hAnsi="Arial" w:cs="Arial"/>
          <w:sz w:val="24"/>
          <w:szCs w:val="24"/>
        </w:rPr>
        <w:t xml:space="preserve">, DOI: 10.9707/2307-0919.1014 </w:t>
      </w:r>
    </w:p>
    <w:p w14:paraId="114BBF3F"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Immigration Advice Service (IAS) (2024) How Many Immigrants Are in the UK? [online] Available: </w:t>
      </w:r>
      <w:hyperlink r:id="rId15" w:anchor=":~:text=As%20of%20the%20year%20ending,of%20the%20total%20UK%20population" w:history="1">
        <w:r w:rsidRPr="00DA615B">
          <w:rPr>
            <w:rStyle w:val="Hyperlink"/>
            <w:rFonts w:ascii="Arial" w:hAnsi="Arial" w:cs="Arial"/>
            <w:sz w:val="24"/>
            <w:szCs w:val="24"/>
            <w:lang w:val="en-US"/>
          </w:rPr>
          <w:t>https://iasservices.org.uk/how-many-immigrants-are-in-the-uk/#:~:text=As%20of%20the%20year%20ending,of%20the%20total%20UK%20population</w:t>
        </w:r>
      </w:hyperlink>
      <w:r w:rsidRPr="00DA615B">
        <w:rPr>
          <w:rFonts w:ascii="Arial" w:hAnsi="Arial" w:cs="Arial"/>
          <w:sz w:val="24"/>
          <w:szCs w:val="24"/>
          <w:lang w:val="en-US"/>
        </w:rPr>
        <w:t xml:space="preserve"> [Accessed: 21 April 2024]</w:t>
      </w:r>
    </w:p>
    <w:p w14:paraId="21F497A0"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Mullins, L. and Christy, G. (2016) </w:t>
      </w:r>
      <w:r w:rsidRPr="00DA615B">
        <w:rPr>
          <w:rFonts w:ascii="Arial" w:hAnsi="Arial" w:cs="Arial"/>
          <w:i/>
          <w:iCs/>
          <w:sz w:val="24"/>
          <w:szCs w:val="24"/>
          <w:lang w:val="en-US"/>
        </w:rPr>
        <w:t>Management and Organisational Behaviour</w:t>
      </w:r>
      <w:r w:rsidRPr="00DA615B">
        <w:rPr>
          <w:rFonts w:ascii="Arial" w:hAnsi="Arial" w:cs="Arial"/>
          <w:sz w:val="24"/>
          <w:szCs w:val="24"/>
          <w:lang w:val="en-US"/>
        </w:rPr>
        <w:t>. 11</w:t>
      </w:r>
      <w:r w:rsidRPr="00DA615B">
        <w:rPr>
          <w:rFonts w:ascii="Arial" w:hAnsi="Arial" w:cs="Arial"/>
          <w:sz w:val="24"/>
          <w:szCs w:val="24"/>
          <w:vertAlign w:val="superscript"/>
          <w:lang w:val="en-US"/>
        </w:rPr>
        <w:t>th</w:t>
      </w:r>
      <w:r w:rsidRPr="00DA615B">
        <w:rPr>
          <w:rFonts w:ascii="Arial" w:hAnsi="Arial" w:cs="Arial"/>
          <w:sz w:val="24"/>
          <w:szCs w:val="24"/>
          <w:lang w:val="en-US"/>
        </w:rPr>
        <w:t xml:space="preserve"> edition, Pearson </w:t>
      </w:r>
    </w:p>
    <w:p w14:paraId="3F699065" w14:textId="77777777" w:rsidR="00272EDB" w:rsidRPr="00DA615B" w:rsidRDefault="00272EDB" w:rsidP="00DA615B">
      <w:pPr>
        <w:spacing w:line="360" w:lineRule="auto"/>
        <w:rPr>
          <w:rFonts w:ascii="Arial" w:hAnsi="Arial" w:cs="Arial"/>
          <w:bCs/>
          <w:sz w:val="24"/>
          <w:szCs w:val="24"/>
          <w:lang w:val="en-US"/>
        </w:rPr>
      </w:pPr>
      <w:r w:rsidRPr="00DA615B">
        <w:rPr>
          <w:rFonts w:ascii="Arial" w:hAnsi="Arial" w:cs="Arial"/>
          <w:bCs/>
          <w:sz w:val="24"/>
          <w:szCs w:val="24"/>
          <w:lang w:val="en-US"/>
        </w:rPr>
        <w:lastRenderedPageBreak/>
        <w:t xml:space="preserve">Nomura, S. (2018) Interpersonal Communication: An Analysis from a Point of In-house Communications, </w:t>
      </w:r>
      <w:r w:rsidRPr="00DA615B">
        <w:rPr>
          <w:rFonts w:ascii="Arial" w:hAnsi="Arial" w:cs="Arial"/>
          <w:bCs/>
          <w:i/>
          <w:sz w:val="24"/>
          <w:szCs w:val="24"/>
          <w:lang w:val="en-US"/>
        </w:rPr>
        <w:t>Business Communication Research and Practice</w:t>
      </w:r>
      <w:r w:rsidRPr="00DA615B">
        <w:rPr>
          <w:rFonts w:ascii="Arial" w:hAnsi="Arial" w:cs="Arial"/>
          <w:bCs/>
          <w:sz w:val="24"/>
          <w:szCs w:val="24"/>
          <w:lang w:val="en-US"/>
        </w:rPr>
        <w:t xml:space="preserve">, Vol. 1, pp. 85-89. </w:t>
      </w:r>
    </w:p>
    <w:p w14:paraId="4FD5402B"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Organisation for Economic Cooperation and Development (OECD) (2024) </w:t>
      </w:r>
      <w:r w:rsidRPr="00DA615B">
        <w:rPr>
          <w:rFonts w:ascii="Arial" w:hAnsi="Arial" w:cs="Arial"/>
          <w:i/>
          <w:iCs/>
          <w:sz w:val="24"/>
          <w:szCs w:val="24"/>
          <w:lang w:val="en-US"/>
        </w:rPr>
        <w:t>Diversity in OECD countries: Population diversity, labour market inclusion and acceptance of diversity</w:t>
      </w:r>
      <w:r w:rsidRPr="00DA615B">
        <w:rPr>
          <w:rFonts w:ascii="Arial" w:hAnsi="Arial" w:cs="Arial"/>
          <w:sz w:val="24"/>
          <w:szCs w:val="24"/>
          <w:lang w:val="en-US"/>
        </w:rPr>
        <w:t xml:space="preserve">, [online] Available: </w:t>
      </w:r>
      <w:hyperlink r:id="rId16" w:history="1">
        <w:r w:rsidRPr="00DA615B">
          <w:rPr>
            <w:rStyle w:val="Hyperlink"/>
            <w:rFonts w:ascii="Arial" w:hAnsi="Arial" w:cs="Arial"/>
            <w:sz w:val="24"/>
            <w:szCs w:val="24"/>
            <w:lang w:val="en-US"/>
          </w:rPr>
          <w:t>https://www.oecd-ilibrary.org/sites/2b1a0e8d-en/index.html?itemId=/content/component/2b1a0e8d-en</w:t>
        </w:r>
      </w:hyperlink>
      <w:r w:rsidRPr="00DA615B">
        <w:rPr>
          <w:rFonts w:ascii="Arial" w:hAnsi="Arial" w:cs="Arial"/>
          <w:sz w:val="24"/>
          <w:szCs w:val="24"/>
          <w:lang w:val="en-US"/>
        </w:rPr>
        <w:t xml:space="preserve"> [Accessed: 21 April 2024]</w:t>
      </w:r>
    </w:p>
    <w:p w14:paraId="430B846B"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Organisation for Economic Cooperation and Development (OECD) (2023) </w:t>
      </w:r>
      <w:r w:rsidRPr="00DA615B">
        <w:rPr>
          <w:rFonts w:ascii="Arial" w:hAnsi="Arial" w:cs="Arial"/>
          <w:i/>
          <w:iCs/>
          <w:sz w:val="24"/>
          <w:szCs w:val="24"/>
          <w:lang w:val="en-US"/>
        </w:rPr>
        <w:t>Foreign population</w:t>
      </w:r>
      <w:r w:rsidRPr="00DA615B">
        <w:rPr>
          <w:rFonts w:ascii="Arial" w:hAnsi="Arial" w:cs="Arial"/>
          <w:sz w:val="24"/>
          <w:szCs w:val="24"/>
          <w:lang w:val="en-US"/>
        </w:rPr>
        <w:t xml:space="preserve">, [online] Available: </w:t>
      </w:r>
      <w:hyperlink r:id="rId17" w:history="1">
        <w:r w:rsidRPr="00DA615B">
          <w:rPr>
            <w:rStyle w:val="Hyperlink"/>
            <w:rFonts w:ascii="Arial" w:hAnsi="Arial" w:cs="Arial"/>
            <w:sz w:val="24"/>
            <w:szCs w:val="24"/>
            <w:lang w:val="en-US"/>
          </w:rPr>
          <w:t>https://data.oecd.org/migration/foreign-population.htm</w:t>
        </w:r>
      </w:hyperlink>
      <w:r w:rsidRPr="00DA615B">
        <w:rPr>
          <w:rFonts w:ascii="Arial" w:hAnsi="Arial" w:cs="Arial"/>
          <w:sz w:val="24"/>
          <w:szCs w:val="24"/>
          <w:lang w:val="en-US"/>
        </w:rPr>
        <w:t xml:space="preserve"> [Accessed: 21 April 2024]</w:t>
      </w:r>
    </w:p>
    <w:p w14:paraId="2BE3CBB2"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Reuters (2024) </w:t>
      </w:r>
      <w:r w:rsidRPr="00DA615B">
        <w:rPr>
          <w:rFonts w:ascii="Arial" w:hAnsi="Arial" w:cs="Arial"/>
          <w:i/>
          <w:iCs/>
          <w:sz w:val="24"/>
          <w:szCs w:val="24"/>
          <w:lang w:val="en-US"/>
        </w:rPr>
        <w:t>Tesco PLC</w:t>
      </w:r>
      <w:r w:rsidRPr="00DA615B">
        <w:rPr>
          <w:rFonts w:ascii="Arial" w:hAnsi="Arial" w:cs="Arial"/>
          <w:sz w:val="24"/>
          <w:szCs w:val="24"/>
          <w:lang w:val="en-US"/>
        </w:rPr>
        <w:t xml:space="preserve">, [online] Available: </w:t>
      </w:r>
      <w:hyperlink r:id="rId18" w:history="1">
        <w:r w:rsidRPr="00DA615B">
          <w:rPr>
            <w:rStyle w:val="Hyperlink"/>
            <w:rFonts w:ascii="Arial" w:hAnsi="Arial" w:cs="Arial"/>
            <w:sz w:val="24"/>
            <w:szCs w:val="24"/>
            <w:lang w:val="en-US"/>
          </w:rPr>
          <w:t>https://www.reuters.com/markets/companies/TSCO.L/</w:t>
        </w:r>
      </w:hyperlink>
      <w:r w:rsidRPr="00DA615B">
        <w:rPr>
          <w:rFonts w:ascii="Arial" w:hAnsi="Arial" w:cs="Arial"/>
          <w:sz w:val="24"/>
          <w:szCs w:val="24"/>
          <w:lang w:val="en-US"/>
        </w:rPr>
        <w:t xml:space="preserve"> [Accessed: 20 April 2024]</w:t>
      </w:r>
    </w:p>
    <w:p w14:paraId="5D0A48CC"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Switzerland Global Enterprise (SGE) (2024) </w:t>
      </w:r>
      <w:r w:rsidRPr="00DA615B">
        <w:rPr>
          <w:rFonts w:ascii="Arial" w:hAnsi="Arial" w:cs="Arial"/>
          <w:i/>
          <w:iCs/>
          <w:sz w:val="24"/>
          <w:szCs w:val="24"/>
          <w:lang w:val="en-US"/>
        </w:rPr>
        <w:t>Fact sheet</w:t>
      </w:r>
      <w:r w:rsidRPr="00DA615B">
        <w:rPr>
          <w:rFonts w:ascii="Arial" w:hAnsi="Arial" w:cs="Arial"/>
          <w:sz w:val="24"/>
          <w:szCs w:val="24"/>
          <w:lang w:val="en-US"/>
        </w:rPr>
        <w:t xml:space="preserve">, [online] Available: </w:t>
      </w:r>
      <w:hyperlink r:id="rId19" w:history="1">
        <w:r w:rsidRPr="00DA615B">
          <w:rPr>
            <w:rStyle w:val="Hyperlink"/>
            <w:rFonts w:ascii="Arial" w:hAnsi="Arial" w:cs="Arial"/>
            <w:sz w:val="24"/>
            <w:szCs w:val="24"/>
            <w:lang w:val="en-US"/>
          </w:rPr>
          <w:t>https://www.s-ge.com/en/publication/fact-sheet/20184-c3-uk-cultural-guide?ct</w:t>
        </w:r>
      </w:hyperlink>
      <w:r w:rsidRPr="00DA615B">
        <w:rPr>
          <w:rFonts w:ascii="Arial" w:hAnsi="Arial" w:cs="Arial"/>
          <w:sz w:val="24"/>
          <w:szCs w:val="24"/>
          <w:lang w:val="en-US"/>
        </w:rPr>
        <w:t xml:space="preserve"> [Accessed: 20 April 2024]</w:t>
      </w:r>
    </w:p>
    <w:p w14:paraId="6E97B1D8" w14:textId="77777777" w:rsidR="00272EDB" w:rsidRPr="00DA615B" w:rsidRDefault="00272EDB" w:rsidP="00DA615B">
      <w:pPr>
        <w:spacing w:line="360" w:lineRule="auto"/>
        <w:rPr>
          <w:rFonts w:ascii="Arial" w:hAnsi="Arial" w:cs="Arial"/>
          <w:sz w:val="24"/>
          <w:szCs w:val="24"/>
          <w:lang w:val="en-US"/>
        </w:rPr>
      </w:pPr>
      <w:r w:rsidRPr="00DA615B">
        <w:rPr>
          <w:rFonts w:ascii="Arial" w:hAnsi="Arial" w:cs="Arial"/>
          <w:sz w:val="24"/>
          <w:szCs w:val="24"/>
          <w:lang w:val="en-US"/>
        </w:rPr>
        <w:t xml:space="preserve">Vaughan, T. (2021) </w:t>
      </w:r>
      <w:r w:rsidRPr="00DA615B">
        <w:rPr>
          <w:rFonts w:ascii="Arial" w:hAnsi="Arial" w:cs="Arial"/>
          <w:i/>
          <w:iCs/>
          <w:sz w:val="24"/>
          <w:szCs w:val="24"/>
          <w:lang w:val="en-US"/>
        </w:rPr>
        <w:t>Cross Cultural Communication Strategies</w:t>
      </w:r>
      <w:r w:rsidRPr="00DA615B">
        <w:rPr>
          <w:rFonts w:ascii="Arial" w:hAnsi="Arial" w:cs="Arial"/>
          <w:sz w:val="24"/>
          <w:szCs w:val="24"/>
          <w:lang w:val="en-US"/>
        </w:rPr>
        <w:t xml:space="preserve">, [online] Available: </w:t>
      </w:r>
      <w:hyperlink r:id="rId20" w:history="1">
        <w:r w:rsidRPr="00DA615B">
          <w:rPr>
            <w:rStyle w:val="Hyperlink"/>
            <w:rFonts w:ascii="Arial" w:hAnsi="Arial" w:cs="Arial"/>
            <w:sz w:val="24"/>
            <w:szCs w:val="24"/>
            <w:lang w:val="en-US"/>
          </w:rPr>
          <w:t>https://www.poppulo.com/blog/cross-cultural-communication-strategies</w:t>
        </w:r>
      </w:hyperlink>
      <w:r w:rsidRPr="00DA615B">
        <w:rPr>
          <w:rFonts w:ascii="Arial" w:hAnsi="Arial" w:cs="Arial"/>
          <w:sz w:val="24"/>
          <w:szCs w:val="24"/>
          <w:lang w:val="en-US"/>
        </w:rPr>
        <w:t xml:space="preserve"> [Accessed: 22 April 2024]</w:t>
      </w:r>
    </w:p>
    <w:p w14:paraId="4D82083E" w14:textId="77777777" w:rsidR="0048443C" w:rsidRPr="0048443C" w:rsidRDefault="0048443C" w:rsidP="0048443C">
      <w:pPr>
        <w:spacing w:line="360" w:lineRule="auto"/>
        <w:rPr>
          <w:sz w:val="24"/>
          <w:szCs w:val="24"/>
          <w:lang w:val="en-US"/>
        </w:rPr>
      </w:pPr>
    </w:p>
    <w:p w14:paraId="551F1452" w14:textId="77777777" w:rsidR="002833DF" w:rsidRDefault="002833DF" w:rsidP="0048443C">
      <w:pPr>
        <w:spacing w:line="360" w:lineRule="auto"/>
        <w:rPr>
          <w:sz w:val="24"/>
          <w:szCs w:val="24"/>
          <w:lang w:val="en-US"/>
        </w:rPr>
      </w:pPr>
    </w:p>
    <w:p w14:paraId="17A6A718" w14:textId="3DE21438" w:rsidR="007B7AE8" w:rsidRPr="007B7AE8" w:rsidRDefault="007B7AE8" w:rsidP="007B7AE8">
      <w:pPr>
        <w:spacing w:line="360" w:lineRule="auto"/>
        <w:rPr>
          <w:sz w:val="24"/>
          <w:szCs w:val="24"/>
          <w:lang w:val="en-US"/>
        </w:rPr>
      </w:pPr>
    </w:p>
    <w:sectPr w:rsidR="007B7AE8" w:rsidRPr="007B7AE8">
      <w:footerReference w:type="default" r:id="rId2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0A2F6" w14:textId="77777777" w:rsidR="001B64F7" w:rsidRDefault="001B64F7" w:rsidP="008F7330">
      <w:pPr>
        <w:spacing w:after="0" w:line="240" w:lineRule="auto"/>
      </w:pPr>
      <w:r>
        <w:separator/>
      </w:r>
    </w:p>
  </w:endnote>
  <w:endnote w:type="continuationSeparator" w:id="0">
    <w:p w14:paraId="735B52F4" w14:textId="77777777" w:rsidR="001B64F7" w:rsidRDefault="001B64F7" w:rsidP="008F7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145112"/>
      <w:docPartObj>
        <w:docPartGallery w:val="Page Numbers (Bottom of Page)"/>
        <w:docPartUnique/>
      </w:docPartObj>
    </w:sdtPr>
    <w:sdtEndPr>
      <w:rPr>
        <w:noProof/>
      </w:rPr>
    </w:sdtEndPr>
    <w:sdtContent>
      <w:p w14:paraId="6268CFB9" w14:textId="188CE010" w:rsidR="008F7330" w:rsidRDefault="008F73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0C550A" w14:textId="77777777" w:rsidR="008F7330" w:rsidRDefault="008F7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CF887" w14:textId="77777777" w:rsidR="001B64F7" w:rsidRDefault="001B64F7" w:rsidP="008F7330">
      <w:pPr>
        <w:spacing w:after="0" w:line="240" w:lineRule="auto"/>
      </w:pPr>
      <w:r>
        <w:separator/>
      </w:r>
    </w:p>
  </w:footnote>
  <w:footnote w:type="continuationSeparator" w:id="0">
    <w:p w14:paraId="20DD98FC" w14:textId="77777777" w:rsidR="001B64F7" w:rsidRDefault="001B64F7" w:rsidP="008F73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A4247"/>
    <w:multiLevelType w:val="hybridMultilevel"/>
    <w:tmpl w:val="A7BEC33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2D2E7E0C"/>
    <w:multiLevelType w:val="hybridMultilevel"/>
    <w:tmpl w:val="BAB6611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48745115"/>
    <w:multiLevelType w:val="hybridMultilevel"/>
    <w:tmpl w:val="B232B4A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4E8C203A"/>
    <w:multiLevelType w:val="hybridMultilevel"/>
    <w:tmpl w:val="EC66CD3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2124106831">
    <w:abstractNumId w:val="0"/>
  </w:num>
  <w:num w:numId="2" w16cid:durableId="1677027696">
    <w:abstractNumId w:val="1"/>
  </w:num>
  <w:num w:numId="3" w16cid:durableId="445848966">
    <w:abstractNumId w:val="2"/>
  </w:num>
  <w:num w:numId="4" w16cid:durableId="9749882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E07"/>
    <w:rsid w:val="00061EF8"/>
    <w:rsid w:val="000A33B8"/>
    <w:rsid w:val="000D365F"/>
    <w:rsid w:val="000D4EBF"/>
    <w:rsid w:val="001209CA"/>
    <w:rsid w:val="001B64F7"/>
    <w:rsid w:val="001D31FA"/>
    <w:rsid w:val="00272EDB"/>
    <w:rsid w:val="002833DF"/>
    <w:rsid w:val="003014C3"/>
    <w:rsid w:val="003545F7"/>
    <w:rsid w:val="0035784E"/>
    <w:rsid w:val="003A3509"/>
    <w:rsid w:val="003B231F"/>
    <w:rsid w:val="003D497C"/>
    <w:rsid w:val="003E6134"/>
    <w:rsid w:val="0040233D"/>
    <w:rsid w:val="00410811"/>
    <w:rsid w:val="00443A48"/>
    <w:rsid w:val="0048443C"/>
    <w:rsid w:val="004C3F20"/>
    <w:rsid w:val="004E476E"/>
    <w:rsid w:val="005800E5"/>
    <w:rsid w:val="005826BF"/>
    <w:rsid w:val="00595B84"/>
    <w:rsid w:val="005C0B03"/>
    <w:rsid w:val="005F3994"/>
    <w:rsid w:val="00627B0F"/>
    <w:rsid w:val="006761E7"/>
    <w:rsid w:val="006A06CD"/>
    <w:rsid w:val="006A5C89"/>
    <w:rsid w:val="006D1399"/>
    <w:rsid w:val="007037FC"/>
    <w:rsid w:val="00746DF8"/>
    <w:rsid w:val="0075140D"/>
    <w:rsid w:val="00757184"/>
    <w:rsid w:val="007B7AE8"/>
    <w:rsid w:val="008108AF"/>
    <w:rsid w:val="008669AA"/>
    <w:rsid w:val="008B1689"/>
    <w:rsid w:val="008F7330"/>
    <w:rsid w:val="00941F9D"/>
    <w:rsid w:val="00951404"/>
    <w:rsid w:val="00A02FEE"/>
    <w:rsid w:val="00A31764"/>
    <w:rsid w:val="00A8582C"/>
    <w:rsid w:val="00A96A94"/>
    <w:rsid w:val="00AB76E8"/>
    <w:rsid w:val="00AD1B7E"/>
    <w:rsid w:val="00B06CE4"/>
    <w:rsid w:val="00B173A8"/>
    <w:rsid w:val="00B87963"/>
    <w:rsid w:val="00BC4328"/>
    <w:rsid w:val="00C34B78"/>
    <w:rsid w:val="00C37F81"/>
    <w:rsid w:val="00D2171C"/>
    <w:rsid w:val="00D63F7F"/>
    <w:rsid w:val="00D73FBB"/>
    <w:rsid w:val="00D92BA9"/>
    <w:rsid w:val="00DA615B"/>
    <w:rsid w:val="00DC0623"/>
    <w:rsid w:val="00DD2E07"/>
    <w:rsid w:val="00E27638"/>
    <w:rsid w:val="00E87788"/>
    <w:rsid w:val="00E9170F"/>
    <w:rsid w:val="00F81FC7"/>
    <w:rsid w:val="00FF7BC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16FF1"/>
  <w15:chartTrackingRefBased/>
  <w15:docId w15:val="{A181A2D1-8084-4328-B5BC-4E3D1EECA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paragraph" w:styleId="Heading3">
    <w:name w:val="heading 3"/>
    <w:basedOn w:val="Normal"/>
    <w:next w:val="Normal"/>
    <w:link w:val="Heading3Char"/>
    <w:uiPriority w:val="9"/>
    <w:semiHidden/>
    <w:unhideWhenUsed/>
    <w:qFormat/>
    <w:rsid w:val="00DD2E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2E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2E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2E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2E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2E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2E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31F"/>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DD2E0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D2E0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D2E0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D2E0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D2E0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D2E0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D2E0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D2E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E0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D2E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2E0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D2E07"/>
    <w:pPr>
      <w:spacing w:before="160"/>
      <w:jc w:val="center"/>
    </w:pPr>
    <w:rPr>
      <w:i/>
      <w:iCs/>
      <w:color w:val="404040" w:themeColor="text1" w:themeTint="BF"/>
    </w:rPr>
  </w:style>
  <w:style w:type="character" w:customStyle="1" w:styleId="QuoteChar">
    <w:name w:val="Quote Char"/>
    <w:basedOn w:val="DefaultParagraphFont"/>
    <w:link w:val="Quote"/>
    <w:uiPriority w:val="29"/>
    <w:rsid w:val="00DD2E07"/>
    <w:rPr>
      <w:i/>
      <w:iCs/>
      <w:color w:val="404040" w:themeColor="text1" w:themeTint="BF"/>
      <w:lang w:val="en-GB"/>
    </w:rPr>
  </w:style>
  <w:style w:type="paragraph" w:styleId="ListParagraph">
    <w:name w:val="List Paragraph"/>
    <w:basedOn w:val="Normal"/>
    <w:uiPriority w:val="34"/>
    <w:qFormat/>
    <w:rsid w:val="00DD2E07"/>
    <w:pPr>
      <w:ind w:left="720"/>
      <w:contextualSpacing/>
    </w:pPr>
  </w:style>
  <w:style w:type="character" w:styleId="IntenseEmphasis">
    <w:name w:val="Intense Emphasis"/>
    <w:basedOn w:val="DefaultParagraphFont"/>
    <w:uiPriority w:val="21"/>
    <w:qFormat/>
    <w:rsid w:val="00DD2E07"/>
    <w:rPr>
      <w:i/>
      <w:iCs/>
      <w:color w:val="0F4761" w:themeColor="accent1" w:themeShade="BF"/>
    </w:rPr>
  </w:style>
  <w:style w:type="paragraph" w:styleId="IntenseQuote">
    <w:name w:val="Intense Quote"/>
    <w:basedOn w:val="Normal"/>
    <w:next w:val="Normal"/>
    <w:link w:val="IntenseQuoteChar"/>
    <w:uiPriority w:val="30"/>
    <w:qFormat/>
    <w:rsid w:val="00DD2E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2E07"/>
    <w:rPr>
      <w:i/>
      <w:iCs/>
      <w:color w:val="0F4761" w:themeColor="accent1" w:themeShade="BF"/>
      <w:lang w:val="en-GB"/>
    </w:rPr>
  </w:style>
  <w:style w:type="character" w:styleId="IntenseReference">
    <w:name w:val="Intense Reference"/>
    <w:basedOn w:val="DefaultParagraphFont"/>
    <w:uiPriority w:val="32"/>
    <w:qFormat/>
    <w:rsid w:val="00DD2E07"/>
    <w:rPr>
      <w:b/>
      <w:bCs/>
      <w:smallCaps/>
      <w:color w:val="0F4761" w:themeColor="accent1" w:themeShade="BF"/>
      <w:spacing w:val="5"/>
    </w:rPr>
  </w:style>
  <w:style w:type="paragraph" w:styleId="Header">
    <w:name w:val="header"/>
    <w:basedOn w:val="Normal"/>
    <w:link w:val="HeaderChar"/>
    <w:uiPriority w:val="99"/>
    <w:unhideWhenUsed/>
    <w:rsid w:val="008F7330"/>
    <w:pPr>
      <w:tabs>
        <w:tab w:val="center" w:pos="4536"/>
        <w:tab w:val="right" w:pos="9072"/>
      </w:tabs>
      <w:spacing w:after="0" w:line="240" w:lineRule="auto"/>
    </w:pPr>
  </w:style>
  <w:style w:type="character" w:customStyle="1" w:styleId="HeaderChar">
    <w:name w:val="Header Char"/>
    <w:basedOn w:val="DefaultParagraphFont"/>
    <w:link w:val="Header"/>
    <w:uiPriority w:val="99"/>
    <w:rsid w:val="008F7330"/>
    <w:rPr>
      <w:lang w:val="en-GB"/>
    </w:rPr>
  </w:style>
  <w:style w:type="paragraph" w:styleId="Footer">
    <w:name w:val="footer"/>
    <w:basedOn w:val="Normal"/>
    <w:link w:val="FooterChar"/>
    <w:uiPriority w:val="99"/>
    <w:unhideWhenUsed/>
    <w:rsid w:val="008F7330"/>
    <w:pPr>
      <w:tabs>
        <w:tab w:val="center" w:pos="4536"/>
        <w:tab w:val="right" w:pos="9072"/>
      </w:tabs>
      <w:spacing w:after="0" w:line="240" w:lineRule="auto"/>
    </w:pPr>
  </w:style>
  <w:style w:type="character" w:customStyle="1" w:styleId="FooterChar">
    <w:name w:val="Footer Char"/>
    <w:basedOn w:val="DefaultParagraphFont"/>
    <w:link w:val="Footer"/>
    <w:uiPriority w:val="99"/>
    <w:rsid w:val="008F7330"/>
    <w:rPr>
      <w:lang w:val="en-GB"/>
    </w:rPr>
  </w:style>
  <w:style w:type="character" w:styleId="Hyperlink">
    <w:name w:val="Hyperlink"/>
    <w:basedOn w:val="DefaultParagraphFont"/>
    <w:uiPriority w:val="99"/>
    <w:unhideWhenUsed/>
    <w:rsid w:val="0048443C"/>
    <w:rPr>
      <w:color w:val="467886" w:themeColor="hyperlink"/>
      <w:u w:val="single"/>
    </w:rPr>
  </w:style>
  <w:style w:type="character" w:styleId="UnresolvedMention">
    <w:name w:val="Unresolved Mention"/>
    <w:basedOn w:val="DefaultParagraphFont"/>
    <w:uiPriority w:val="99"/>
    <w:semiHidden/>
    <w:unhideWhenUsed/>
    <w:rsid w:val="0048443C"/>
    <w:rPr>
      <w:color w:val="605E5C"/>
      <w:shd w:val="clear" w:color="auto" w:fill="E1DFDD"/>
    </w:rPr>
  </w:style>
  <w:style w:type="table" w:styleId="TableGrid">
    <w:name w:val="Table Grid"/>
    <w:basedOn w:val="TableNormal"/>
    <w:uiPriority w:val="39"/>
    <w:rsid w:val="00B06C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72EDB"/>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272EDB"/>
    <w:pPr>
      <w:spacing w:after="100"/>
    </w:pPr>
  </w:style>
  <w:style w:type="paragraph" w:styleId="TOC2">
    <w:name w:val="toc 2"/>
    <w:basedOn w:val="Normal"/>
    <w:next w:val="Normal"/>
    <w:autoRedefine/>
    <w:uiPriority w:val="39"/>
    <w:unhideWhenUsed/>
    <w:rsid w:val="00272ED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759969">
      <w:bodyDiv w:val="1"/>
      <w:marLeft w:val="0"/>
      <w:marRight w:val="0"/>
      <w:marTop w:val="0"/>
      <w:marBottom w:val="0"/>
      <w:divBdr>
        <w:top w:val="none" w:sz="0" w:space="0" w:color="auto"/>
        <w:left w:val="none" w:sz="0" w:space="0" w:color="auto"/>
        <w:bottom w:val="none" w:sz="0" w:space="0" w:color="auto"/>
        <w:right w:val="none" w:sz="0" w:space="0" w:color="auto"/>
      </w:divBdr>
    </w:div>
    <w:div w:id="646931441">
      <w:bodyDiv w:val="1"/>
      <w:marLeft w:val="0"/>
      <w:marRight w:val="0"/>
      <w:marTop w:val="0"/>
      <w:marBottom w:val="0"/>
      <w:divBdr>
        <w:top w:val="none" w:sz="0" w:space="0" w:color="auto"/>
        <w:left w:val="none" w:sz="0" w:space="0" w:color="auto"/>
        <w:bottom w:val="none" w:sz="0" w:space="0" w:color="auto"/>
        <w:right w:val="none" w:sz="0" w:space="0" w:color="auto"/>
      </w:divBdr>
    </w:div>
    <w:div w:id="676660935">
      <w:bodyDiv w:val="1"/>
      <w:marLeft w:val="0"/>
      <w:marRight w:val="0"/>
      <w:marTop w:val="0"/>
      <w:marBottom w:val="0"/>
      <w:divBdr>
        <w:top w:val="none" w:sz="0" w:space="0" w:color="auto"/>
        <w:left w:val="none" w:sz="0" w:space="0" w:color="auto"/>
        <w:bottom w:val="none" w:sz="0" w:space="0" w:color="auto"/>
        <w:right w:val="none" w:sz="0" w:space="0" w:color="auto"/>
      </w:divBdr>
    </w:div>
    <w:div w:id="695430276">
      <w:bodyDiv w:val="1"/>
      <w:marLeft w:val="0"/>
      <w:marRight w:val="0"/>
      <w:marTop w:val="0"/>
      <w:marBottom w:val="0"/>
      <w:divBdr>
        <w:top w:val="none" w:sz="0" w:space="0" w:color="auto"/>
        <w:left w:val="none" w:sz="0" w:space="0" w:color="auto"/>
        <w:bottom w:val="none" w:sz="0" w:space="0" w:color="auto"/>
        <w:right w:val="none" w:sz="0" w:space="0" w:color="auto"/>
      </w:divBdr>
    </w:div>
    <w:div w:id="740449828">
      <w:bodyDiv w:val="1"/>
      <w:marLeft w:val="0"/>
      <w:marRight w:val="0"/>
      <w:marTop w:val="0"/>
      <w:marBottom w:val="0"/>
      <w:divBdr>
        <w:top w:val="none" w:sz="0" w:space="0" w:color="auto"/>
        <w:left w:val="none" w:sz="0" w:space="0" w:color="auto"/>
        <w:bottom w:val="none" w:sz="0" w:space="0" w:color="auto"/>
        <w:right w:val="none" w:sz="0" w:space="0" w:color="auto"/>
      </w:divBdr>
    </w:div>
    <w:div w:id="807287370">
      <w:bodyDiv w:val="1"/>
      <w:marLeft w:val="0"/>
      <w:marRight w:val="0"/>
      <w:marTop w:val="0"/>
      <w:marBottom w:val="0"/>
      <w:divBdr>
        <w:top w:val="none" w:sz="0" w:space="0" w:color="auto"/>
        <w:left w:val="none" w:sz="0" w:space="0" w:color="auto"/>
        <w:bottom w:val="none" w:sz="0" w:space="0" w:color="auto"/>
        <w:right w:val="none" w:sz="0" w:space="0" w:color="auto"/>
      </w:divBdr>
    </w:div>
    <w:div w:id="915281071">
      <w:bodyDiv w:val="1"/>
      <w:marLeft w:val="0"/>
      <w:marRight w:val="0"/>
      <w:marTop w:val="0"/>
      <w:marBottom w:val="0"/>
      <w:divBdr>
        <w:top w:val="none" w:sz="0" w:space="0" w:color="auto"/>
        <w:left w:val="none" w:sz="0" w:space="0" w:color="auto"/>
        <w:bottom w:val="none" w:sz="0" w:space="0" w:color="auto"/>
        <w:right w:val="none" w:sz="0" w:space="0" w:color="auto"/>
      </w:divBdr>
    </w:div>
    <w:div w:id="993148369">
      <w:bodyDiv w:val="1"/>
      <w:marLeft w:val="0"/>
      <w:marRight w:val="0"/>
      <w:marTop w:val="0"/>
      <w:marBottom w:val="0"/>
      <w:divBdr>
        <w:top w:val="none" w:sz="0" w:space="0" w:color="auto"/>
        <w:left w:val="none" w:sz="0" w:space="0" w:color="auto"/>
        <w:bottom w:val="none" w:sz="0" w:space="0" w:color="auto"/>
        <w:right w:val="none" w:sz="0" w:space="0" w:color="auto"/>
      </w:divBdr>
    </w:div>
    <w:div w:id="1500190547">
      <w:bodyDiv w:val="1"/>
      <w:marLeft w:val="0"/>
      <w:marRight w:val="0"/>
      <w:marTop w:val="0"/>
      <w:marBottom w:val="0"/>
      <w:divBdr>
        <w:top w:val="none" w:sz="0" w:space="0" w:color="auto"/>
        <w:left w:val="none" w:sz="0" w:space="0" w:color="auto"/>
        <w:bottom w:val="none" w:sz="0" w:space="0" w:color="auto"/>
        <w:right w:val="none" w:sz="0" w:space="0" w:color="auto"/>
      </w:divBdr>
    </w:div>
    <w:div w:id="1628781972">
      <w:bodyDiv w:val="1"/>
      <w:marLeft w:val="0"/>
      <w:marRight w:val="0"/>
      <w:marTop w:val="0"/>
      <w:marBottom w:val="0"/>
      <w:divBdr>
        <w:top w:val="none" w:sz="0" w:space="0" w:color="auto"/>
        <w:left w:val="none" w:sz="0" w:space="0" w:color="auto"/>
        <w:bottom w:val="none" w:sz="0" w:space="0" w:color="auto"/>
        <w:right w:val="none" w:sz="0" w:space="0" w:color="auto"/>
      </w:divBdr>
    </w:div>
    <w:div w:id="1680040089">
      <w:bodyDiv w:val="1"/>
      <w:marLeft w:val="0"/>
      <w:marRight w:val="0"/>
      <w:marTop w:val="0"/>
      <w:marBottom w:val="0"/>
      <w:divBdr>
        <w:top w:val="none" w:sz="0" w:space="0" w:color="auto"/>
        <w:left w:val="none" w:sz="0" w:space="0" w:color="auto"/>
        <w:bottom w:val="none" w:sz="0" w:space="0" w:color="auto"/>
        <w:right w:val="none" w:sz="0" w:space="0" w:color="auto"/>
      </w:divBdr>
    </w:div>
    <w:div w:id="1733844591">
      <w:bodyDiv w:val="1"/>
      <w:marLeft w:val="0"/>
      <w:marRight w:val="0"/>
      <w:marTop w:val="0"/>
      <w:marBottom w:val="0"/>
      <w:divBdr>
        <w:top w:val="none" w:sz="0" w:space="0" w:color="auto"/>
        <w:left w:val="none" w:sz="0" w:space="0" w:color="auto"/>
        <w:bottom w:val="none" w:sz="0" w:space="0" w:color="auto"/>
        <w:right w:val="none" w:sz="0" w:space="0" w:color="auto"/>
      </w:divBdr>
    </w:div>
    <w:div w:id="1890260314">
      <w:bodyDiv w:val="1"/>
      <w:marLeft w:val="0"/>
      <w:marRight w:val="0"/>
      <w:marTop w:val="0"/>
      <w:marBottom w:val="0"/>
      <w:divBdr>
        <w:top w:val="none" w:sz="0" w:space="0" w:color="auto"/>
        <w:left w:val="none" w:sz="0" w:space="0" w:color="auto"/>
        <w:bottom w:val="none" w:sz="0" w:space="0" w:color="auto"/>
        <w:right w:val="none" w:sz="0" w:space="0" w:color="auto"/>
      </w:divBdr>
    </w:div>
    <w:div w:id="1939212828">
      <w:bodyDiv w:val="1"/>
      <w:marLeft w:val="0"/>
      <w:marRight w:val="0"/>
      <w:marTop w:val="0"/>
      <w:marBottom w:val="0"/>
      <w:divBdr>
        <w:top w:val="none" w:sz="0" w:space="0" w:color="auto"/>
        <w:left w:val="none" w:sz="0" w:space="0" w:color="auto"/>
        <w:bottom w:val="none" w:sz="0" w:space="0" w:color="auto"/>
        <w:right w:val="none" w:sz="0" w:space="0" w:color="auto"/>
      </w:divBdr>
    </w:div>
    <w:div w:id="1998655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actsmaps.com/percentage-of-english-french-german-spanish-italian-russian-speakers-in-europe/" TargetMode="External"/><Relationship Id="rId18" Type="http://schemas.openxmlformats.org/officeDocument/2006/relationships/hyperlink" Target="https://www.reuters.com/markets/companies/TSCO.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tatista.com/statistics/490890/tesco-group-number-of-employees-worldwide/" TargetMode="External"/><Relationship Id="rId17" Type="http://schemas.openxmlformats.org/officeDocument/2006/relationships/hyperlink" Target="https://data.oecd.org/migration/foreign-population.htm" TargetMode="External"/><Relationship Id="rId2" Type="http://schemas.openxmlformats.org/officeDocument/2006/relationships/numbering" Target="numbering.xml"/><Relationship Id="rId16" Type="http://schemas.openxmlformats.org/officeDocument/2006/relationships/hyperlink" Target="https://www.oecd-ilibrary.org/sites/2b1a0e8d-en/index.html?itemId=/content/component/2b1a0e8d-en" TargetMode="External"/><Relationship Id="rId20" Type="http://schemas.openxmlformats.org/officeDocument/2006/relationships/hyperlink" Target="https://www.poppulo.com/blog/cross-cultural-communication-strateg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80208/grocery-market-share-in-the-united-kingdom-uk/" TargetMode="External"/><Relationship Id="rId5" Type="http://schemas.openxmlformats.org/officeDocument/2006/relationships/webSettings" Target="webSettings.xml"/><Relationship Id="rId15" Type="http://schemas.openxmlformats.org/officeDocument/2006/relationships/hyperlink" Target="https://iasservices.org.uk/how-many-immigrants-are-in-the-uk/"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ge.com/en/publication/fact-sheet/20184-c3-uk-cultural-guide?c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fstede-insights.com/country-comparison-tool?countries=denmark%2Citaly%2Cunited+kingd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4677EA-8ACD-4C5C-AC8D-83BAE49C8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13</Pages>
  <Words>3339</Words>
  <Characters>19034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Margarita Mandulova</cp:lastModifiedBy>
  <cp:revision>3</cp:revision>
  <dcterms:created xsi:type="dcterms:W3CDTF">2024-04-25T07:44:00Z</dcterms:created>
  <dcterms:modified xsi:type="dcterms:W3CDTF">2024-04-25T08:43:00Z</dcterms:modified>
</cp:coreProperties>
</file>