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E59056A" wp14:paraId="31019C33" wp14:textId="43CB7FD0">
      <w:pPr>
        <w:spacing w:before="240" w:beforeAutospacing="off" w:after="240" w:afterAutospacing="off"/>
        <w:rPr>
          <w:rFonts w:ascii="Arial" w:hAnsi="Arial" w:eastAsia="Arial" w:cs="Arial"/>
          <w:b w:val="1"/>
          <w:bCs w:val="1"/>
          <w:noProof w:val="0"/>
          <w:sz w:val="24"/>
          <w:szCs w:val="24"/>
          <w:lang w:val="en-GB"/>
        </w:rPr>
      </w:pPr>
      <w:r w:rsidRPr="5E59056A" w:rsidR="4B3E0621">
        <w:rPr>
          <w:rFonts w:ascii="Arial" w:hAnsi="Arial" w:eastAsia="Arial" w:cs="Arial"/>
          <w:b w:val="1"/>
          <w:bCs w:val="1"/>
          <w:noProof w:val="0"/>
          <w:sz w:val="24"/>
          <w:szCs w:val="24"/>
          <w:lang w:val="en-GB"/>
        </w:rPr>
        <w:t>Student: Melis Shaban</w:t>
      </w:r>
    </w:p>
    <w:p xmlns:wp14="http://schemas.microsoft.com/office/word/2010/wordml" w:rsidP="5E59056A" wp14:paraId="6E6DBFAD" wp14:textId="0C6A7864">
      <w:pPr>
        <w:spacing w:before="240" w:beforeAutospacing="off" w:after="240" w:afterAutospacing="off"/>
        <w:rPr>
          <w:rFonts w:ascii="Arial" w:hAnsi="Arial" w:eastAsia="Arial" w:cs="Arial"/>
          <w:b w:val="1"/>
          <w:bCs w:val="1"/>
          <w:noProof w:val="0"/>
          <w:sz w:val="24"/>
          <w:szCs w:val="24"/>
          <w:lang w:val="en-GB"/>
        </w:rPr>
      </w:pPr>
      <w:r w:rsidRPr="5E59056A" w:rsidR="4B3E0621">
        <w:rPr>
          <w:rFonts w:ascii="Arial" w:hAnsi="Arial" w:eastAsia="Arial" w:cs="Arial"/>
          <w:b w:val="1"/>
          <w:bCs w:val="1"/>
          <w:noProof w:val="0"/>
          <w:sz w:val="24"/>
          <w:szCs w:val="24"/>
          <w:lang w:val="en-GB"/>
        </w:rPr>
        <w:t>Student ID:2212035</w:t>
      </w:r>
    </w:p>
    <w:p xmlns:wp14="http://schemas.microsoft.com/office/word/2010/wordml" w:rsidP="5E59056A" wp14:paraId="10CA4CDA" wp14:textId="1755F01B">
      <w:pPr>
        <w:spacing w:before="240" w:beforeAutospacing="off" w:after="240" w:afterAutospacing="off"/>
        <w:rPr>
          <w:rFonts w:ascii="Arial" w:hAnsi="Arial" w:eastAsia="Arial" w:cs="Arial"/>
          <w:b w:val="1"/>
          <w:bCs w:val="1"/>
          <w:noProof w:val="0"/>
          <w:sz w:val="24"/>
          <w:szCs w:val="24"/>
          <w:lang w:val="en-GB"/>
        </w:rPr>
      </w:pPr>
      <w:r w:rsidRPr="5E59056A" w:rsidR="4B3E0621">
        <w:rPr>
          <w:rFonts w:ascii="Arial" w:hAnsi="Arial" w:eastAsia="Arial" w:cs="Arial"/>
          <w:b w:val="1"/>
          <w:bCs w:val="1"/>
          <w:noProof w:val="0"/>
          <w:sz w:val="24"/>
          <w:szCs w:val="24"/>
          <w:lang w:val="en-GB"/>
        </w:rPr>
        <w:t>Lecturer: Jessica Clapham</w:t>
      </w:r>
    </w:p>
    <w:p xmlns:wp14="http://schemas.microsoft.com/office/word/2010/wordml" w:rsidP="5E59056A" wp14:paraId="74FD97F9" wp14:textId="04735AF2">
      <w:pPr>
        <w:pStyle w:val="Normal"/>
        <w:rPr>
          <w:b w:val="1"/>
          <w:bCs w:val="1"/>
          <w:noProof w:val="0"/>
          <w:sz w:val="32"/>
          <w:szCs w:val="32"/>
          <w:lang w:val="en-GB"/>
        </w:rPr>
      </w:pPr>
      <w:r w:rsidRPr="5E59056A" w:rsidR="4B3E0621">
        <w:rPr>
          <w:rFonts w:ascii="Arial" w:hAnsi="Arial" w:eastAsia="Arial" w:cs="Arial"/>
          <w:b w:val="1"/>
          <w:bCs w:val="1"/>
          <w:noProof w:val="0"/>
          <w:sz w:val="24"/>
          <w:szCs w:val="24"/>
          <w:lang w:val="en-GB"/>
        </w:rPr>
        <w:t>Wordcount:2078</w:t>
      </w:r>
      <w:r w:rsidRPr="5E59056A" w:rsidR="4B3E0621">
        <w:rPr>
          <w:b w:val="1"/>
          <w:bCs w:val="1"/>
          <w:noProof w:val="0"/>
          <w:sz w:val="32"/>
          <w:szCs w:val="32"/>
          <w:lang w:val="en-GB"/>
        </w:rPr>
        <w:t xml:space="preserve"> </w:t>
      </w:r>
    </w:p>
    <w:p xmlns:wp14="http://schemas.microsoft.com/office/word/2010/wordml" w:rsidP="5E59056A" wp14:paraId="4BE976CD" wp14:textId="19427A22">
      <w:pPr>
        <w:pStyle w:val="Normal"/>
        <w:rPr>
          <w:b w:val="1"/>
          <w:bCs w:val="1"/>
          <w:noProof w:val="0"/>
          <w:sz w:val="32"/>
          <w:szCs w:val="32"/>
          <w:lang w:val="en-GB"/>
        </w:rPr>
      </w:pPr>
    </w:p>
    <w:p xmlns:wp14="http://schemas.microsoft.com/office/word/2010/wordml" w:rsidP="5E59056A" wp14:paraId="515790EA" wp14:textId="156C2C5D">
      <w:pPr>
        <w:pStyle w:val="Normal"/>
        <w:rPr>
          <w:b w:val="1"/>
          <w:bCs w:val="1"/>
          <w:noProof w:val="0"/>
          <w:sz w:val="32"/>
          <w:szCs w:val="32"/>
          <w:lang w:val="en-GB"/>
        </w:rPr>
      </w:pPr>
    </w:p>
    <w:p xmlns:wp14="http://schemas.microsoft.com/office/word/2010/wordml" w:rsidP="5E59056A" wp14:paraId="36D5C24D" wp14:textId="781DDAE9">
      <w:pPr>
        <w:pStyle w:val="Normal"/>
        <w:rPr>
          <w:b w:val="1"/>
          <w:bCs w:val="1"/>
          <w:noProof w:val="0"/>
          <w:sz w:val="32"/>
          <w:szCs w:val="32"/>
          <w:lang w:val="en-GB"/>
        </w:rPr>
      </w:pPr>
    </w:p>
    <w:p xmlns:wp14="http://schemas.microsoft.com/office/word/2010/wordml" w:rsidP="5E59056A" wp14:paraId="19AA87C1" wp14:textId="43DEF1D4">
      <w:pPr>
        <w:pStyle w:val="Normal"/>
        <w:rPr>
          <w:b w:val="1"/>
          <w:bCs w:val="1"/>
          <w:noProof w:val="0"/>
          <w:sz w:val="32"/>
          <w:szCs w:val="32"/>
          <w:lang w:val="en-GB"/>
        </w:rPr>
      </w:pPr>
    </w:p>
    <w:p xmlns:wp14="http://schemas.microsoft.com/office/word/2010/wordml" w:rsidP="5E59056A" wp14:paraId="32C96055" wp14:textId="3B438E6E">
      <w:pPr>
        <w:pStyle w:val="Normal"/>
        <w:rPr>
          <w:b w:val="1"/>
          <w:bCs w:val="1"/>
          <w:noProof w:val="0"/>
          <w:sz w:val="32"/>
          <w:szCs w:val="32"/>
          <w:lang w:val="en-GB"/>
        </w:rPr>
      </w:pPr>
    </w:p>
    <w:p xmlns:wp14="http://schemas.microsoft.com/office/word/2010/wordml" w:rsidP="5E59056A" wp14:paraId="2CFD16F4" wp14:textId="39A565FA">
      <w:pPr>
        <w:pStyle w:val="Normal"/>
        <w:rPr>
          <w:b w:val="1"/>
          <w:bCs w:val="1"/>
          <w:noProof w:val="0"/>
          <w:sz w:val="32"/>
          <w:szCs w:val="32"/>
          <w:lang w:val="en-GB"/>
        </w:rPr>
      </w:pPr>
    </w:p>
    <w:p xmlns:wp14="http://schemas.microsoft.com/office/word/2010/wordml" w:rsidP="5E59056A" wp14:paraId="66A16001" wp14:textId="6815AD32">
      <w:pPr>
        <w:pStyle w:val="Normal"/>
        <w:rPr>
          <w:b w:val="1"/>
          <w:bCs w:val="1"/>
          <w:noProof w:val="0"/>
          <w:sz w:val="32"/>
          <w:szCs w:val="32"/>
          <w:lang w:val="en-GB"/>
        </w:rPr>
      </w:pPr>
    </w:p>
    <w:p xmlns:wp14="http://schemas.microsoft.com/office/word/2010/wordml" w:rsidP="5E59056A" wp14:paraId="40A1AB1D" wp14:textId="6BA04B49">
      <w:pPr>
        <w:pStyle w:val="Normal"/>
        <w:rPr>
          <w:b w:val="1"/>
          <w:bCs w:val="1"/>
          <w:noProof w:val="0"/>
          <w:sz w:val="32"/>
          <w:szCs w:val="32"/>
          <w:lang w:val="en-GB"/>
        </w:rPr>
      </w:pPr>
    </w:p>
    <w:p xmlns:wp14="http://schemas.microsoft.com/office/word/2010/wordml" w:rsidP="5E59056A" wp14:paraId="15058F4C" wp14:textId="51B3C7C9">
      <w:pPr>
        <w:pStyle w:val="Normal"/>
        <w:rPr>
          <w:b w:val="1"/>
          <w:bCs w:val="1"/>
          <w:noProof w:val="0"/>
          <w:sz w:val="32"/>
          <w:szCs w:val="32"/>
          <w:lang w:val="en-GB"/>
        </w:rPr>
      </w:pPr>
    </w:p>
    <w:p xmlns:wp14="http://schemas.microsoft.com/office/word/2010/wordml" w:rsidP="5E59056A" wp14:paraId="312CB111" wp14:textId="6803BF75">
      <w:pPr>
        <w:pStyle w:val="Normal"/>
        <w:rPr>
          <w:b w:val="1"/>
          <w:bCs w:val="1"/>
          <w:noProof w:val="0"/>
          <w:sz w:val="32"/>
          <w:szCs w:val="32"/>
          <w:lang w:val="en-GB"/>
        </w:rPr>
      </w:pPr>
    </w:p>
    <w:p xmlns:wp14="http://schemas.microsoft.com/office/word/2010/wordml" w:rsidP="5E59056A" wp14:paraId="65F57173" wp14:textId="2080DC81">
      <w:pPr>
        <w:pStyle w:val="Normal"/>
        <w:rPr>
          <w:b w:val="1"/>
          <w:bCs w:val="1"/>
          <w:noProof w:val="0"/>
          <w:sz w:val="32"/>
          <w:szCs w:val="32"/>
          <w:lang w:val="en-GB"/>
        </w:rPr>
      </w:pPr>
    </w:p>
    <w:p xmlns:wp14="http://schemas.microsoft.com/office/word/2010/wordml" w:rsidP="5E59056A" wp14:paraId="5DAA206C" wp14:textId="76F038CB">
      <w:pPr>
        <w:pStyle w:val="Normal"/>
        <w:rPr>
          <w:b w:val="1"/>
          <w:bCs w:val="1"/>
          <w:noProof w:val="0"/>
          <w:sz w:val="32"/>
          <w:szCs w:val="32"/>
          <w:lang w:val="en-GB"/>
        </w:rPr>
      </w:pPr>
    </w:p>
    <w:p xmlns:wp14="http://schemas.microsoft.com/office/word/2010/wordml" w:rsidP="5E59056A" wp14:paraId="3482C5E1" wp14:textId="15716930">
      <w:pPr>
        <w:pStyle w:val="Normal"/>
        <w:rPr>
          <w:b w:val="1"/>
          <w:bCs w:val="1"/>
          <w:noProof w:val="0"/>
          <w:sz w:val="32"/>
          <w:szCs w:val="32"/>
          <w:lang w:val="en-GB"/>
        </w:rPr>
      </w:pPr>
    </w:p>
    <w:p xmlns:wp14="http://schemas.microsoft.com/office/word/2010/wordml" w:rsidP="5E59056A" wp14:paraId="2B0C903A" wp14:textId="74923EE0">
      <w:pPr>
        <w:pStyle w:val="Normal"/>
        <w:rPr>
          <w:b w:val="1"/>
          <w:bCs w:val="1"/>
          <w:noProof w:val="0"/>
          <w:sz w:val="32"/>
          <w:szCs w:val="32"/>
          <w:lang w:val="en-GB"/>
        </w:rPr>
      </w:pPr>
    </w:p>
    <w:p xmlns:wp14="http://schemas.microsoft.com/office/word/2010/wordml" w:rsidP="5E59056A" wp14:paraId="6C919335" wp14:textId="78D9C134">
      <w:pPr>
        <w:pStyle w:val="Normal"/>
        <w:rPr>
          <w:b w:val="1"/>
          <w:bCs w:val="1"/>
          <w:noProof w:val="0"/>
          <w:sz w:val="32"/>
          <w:szCs w:val="32"/>
          <w:lang w:val="en-GB"/>
        </w:rPr>
      </w:pPr>
    </w:p>
    <w:p xmlns:wp14="http://schemas.microsoft.com/office/word/2010/wordml" w:rsidP="5E59056A" wp14:paraId="46EA97D5" wp14:textId="194A24C4">
      <w:pPr>
        <w:pStyle w:val="Normal"/>
        <w:rPr>
          <w:b w:val="1"/>
          <w:bCs w:val="1"/>
          <w:noProof w:val="0"/>
          <w:sz w:val="32"/>
          <w:szCs w:val="32"/>
          <w:lang w:val="en-GB"/>
        </w:rPr>
      </w:pPr>
    </w:p>
    <w:p xmlns:wp14="http://schemas.microsoft.com/office/word/2010/wordml" w:rsidP="5E59056A" wp14:paraId="1CC24D57" wp14:textId="1CB2201B">
      <w:pPr>
        <w:pStyle w:val="Normal"/>
        <w:rPr>
          <w:b w:val="1"/>
          <w:bCs w:val="1"/>
          <w:noProof w:val="0"/>
          <w:sz w:val="32"/>
          <w:szCs w:val="32"/>
          <w:lang w:val="en-GB"/>
        </w:rPr>
      </w:pPr>
    </w:p>
    <w:p xmlns:wp14="http://schemas.microsoft.com/office/word/2010/wordml" w:rsidP="5E59056A" wp14:paraId="43A7F76B" wp14:textId="24217EE0">
      <w:pPr>
        <w:pStyle w:val="Normal"/>
        <w:rPr>
          <w:b w:val="1"/>
          <w:bCs w:val="1"/>
          <w:noProof w:val="0"/>
          <w:sz w:val="32"/>
          <w:szCs w:val="32"/>
          <w:lang w:val="en-GB"/>
        </w:rPr>
      </w:pPr>
    </w:p>
    <w:p xmlns:wp14="http://schemas.microsoft.com/office/word/2010/wordml" w:rsidP="5E59056A" wp14:paraId="786E9A80" wp14:textId="2F077AE0">
      <w:pPr>
        <w:pStyle w:val="Normal"/>
        <w:rPr>
          <w:b w:val="1"/>
          <w:bCs w:val="1"/>
          <w:noProof w:val="0"/>
          <w:sz w:val="32"/>
          <w:szCs w:val="32"/>
          <w:lang w:val="en-GB"/>
        </w:rPr>
      </w:pPr>
    </w:p>
    <w:p xmlns:wp14="http://schemas.microsoft.com/office/word/2010/wordml" w:rsidP="5E59056A" wp14:paraId="694DA69E" wp14:textId="7E039CFE">
      <w:pPr>
        <w:pStyle w:val="Normal"/>
        <w:rPr>
          <w:b w:val="1"/>
          <w:bCs w:val="1"/>
          <w:noProof w:val="0"/>
          <w:sz w:val="32"/>
          <w:szCs w:val="32"/>
          <w:lang w:val="en-GB"/>
        </w:rPr>
      </w:pPr>
      <w:r w:rsidRPr="5E59056A" w:rsidR="1182C085">
        <w:rPr>
          <w:b w:val="1"/>
          <w:bCs w:val="1"/>
          <w:noProof w:val="0"/>
          <w:sz w:val="32"/>
          <w:szCs w:val="32"/>
          <w:lang w:val="en-GB"/>
        </w:rPr>
        <w:t>Part 1 Proposal</w:t>
      </w:r>
    </w:p>
    <w:p xmlns:wp14="http://schemas.microsoft.com/office/word/2010/wordml" w:rsidP="5E59056A" wp14:paraId="540D6D0F" wp14:textId="574660C5">
      <w:pPr>
        <w:pStyle w:val="Normal"/>
        <w:rPr>
          <w:b w:val="1"/>
          <w:bCs w:val="1"/>
          <w:noProof w:val="0"/>
          <w:lang w:val="en-GB"/>
        </w:rPr>
      </w:pPr>
      <w:r w:rsidRPr="5E59056A" w:rsidR="1182C085">
        <w:rPr>
          <w:b w:val="1"/>
          <w:bCs w:val="1"/>
          <w:noProof w:val="0"/>
          <w:sz w:val="32"/>
          <w:szCs w:val="32"/>
          <w:lang w:val="en-GB"/>
        </w:rPr>
        <w:t>Title</w:t>
      </w:r>
    </w:p>
    <w:p xmlns:wp14="http://schemas.microsoft.com/office/word/2010/wordml" w:rsidP="5E59056A" wp14:paraId="6771A7E7" wp14:textId="3759E1FA">
      <w:pPr>
        <w:spacing w:before="240" w:beforeAutospacing="off" w:after="240" w:afterAutospacing="off"/>
      </w:pPr>
      <w:r w:rsidRPr="5E59056A" w:rsidR="1182C085">
        <w:rPr>
          <w:rFonts w:ascii="Arial" w:hAnsi="Arial" w:eastAsia="Arial" w:cs="Arial"/>
          <w:b w:val="1"/>
          <w:bCs w:val="1"/>
          <w:noProof w:val="0"/>
          <w:sz w:val="24"/>
          <w:szCs w:val="24"/>
          <w:lang w:val="en-GB"/>
        </w:rPr>
        <w:t xml:space="preserve">Planning, </w:t>
      </w:r>
      <w:r w:rsidRPr="5E59056A" w:rsidR="1182C085">
        <w:rPr>
          <w:rFonts w:ascii="Arial" w:hAnsi="Arial" w:eastAsia="Arial" w:cs="Arial"/>
          <w:b w:val="1"/>
          <w:bCs w:val="1"/>
          <w:noProof w:val="0"/>
          <w:sz w:val="24"/>
          <w:szCs w:val="24"/>
          <w:lang w:val="en-GB"/>
        </w:rPr>
        <w:t>implementing</w:t>
      </w:r>
      <w:r w:rsidRPr="5E59056A" w:rsidR="1182C085">
        <w:rPr>
          <w:rFonts w:ascii="Arial" w:hAnsi="Arial" w:eastAsia="Arial" w:cs="Arial"/>
          <w:b w:val="1"/>
          <w:bCs w:val="1"/>
          <w:noProof w:val="0"/>
          <w:sz w:val="24"/>
          <w:szCs w:val="24"/>
          <w:lang w:val="en-GB"/>
        </w:rPr>
        <w:t xml:space="preserve"> and evaluating a small-scale change in EFL classroom practice: the strategic use of codeswitching to support comprehension and participation in a bilingual classroom</w:t>
      </w:r>
    </w:p>
    <w:p xmlns:wp14="http://schemas.microsoft.com/office/word/2010/wordml" w:rsidP="5E59056A" wp14:paraId="6B6999B6" wp14:textId="00D1C316">
      <w:pPr>
        <w:spacing w:before="240" w:beforeAutospacing="off" w:after="240" w:afterAutospacing="off"/>
        <w:rPr>
          <w:rFonts w:ascii="Arial" w:hAnsi="Arial" w:eastAsia="Arial" w:cs="Arial"/>
          <w:b w:val="1"/>
          <w:bCs w:val="1"/>
          <w:noProof w:val="0"/>
          <w:sz w:val="24"/>
          <w:szCs w:val="24"/>
          <w:lang w:val="en-GB"/>
        </w:rPr>
      </w:pPr>
    </w:p>
    <w:p xmlns:wp14="http://schemas.microsoft.com/office/word/2010/wordml" w:rsidP="5E59056A" wp14:paraId="453FEC3B" wp14:textId="1DF341FA">
      <w:pPr>
        <w:pStyle w:val="Normal"/>
        <w:rPr>
          <w:noProof w:val="0"/>
          <w:lang w:val="en-GB"/>
        </w:rPr>
      </w:pPr>
      <w:r w:rsidRPr="5E59056A" w:rsidR="1182C085">
        <w:rPr>
          <w:noProof w:val="0"/>
          <w:lang w:val="en-GB"/>
        </w:rPr>
        <w:t>1. Aims of the investigation</w:t>
      </w:r>
    </w:p>
    <w:p xmlns:wp14="http://schemas.microsoft.com/office/word/2010/wordml" w:rsidP="5E59056A" wp14:paraId="53CEC45B" wp14:textId="1D600D02">
      <w:pPr>
        <w:spacing w:before="240" w:beforeAutospacing="off" w:after="240" w:afterAutospacing="off"/>
      </w:pPr>
      <w:r w:rsidRPr="5E59056A" w:rsidR="1182C085">
        <w:rPr>
          <w:rFonts w:ascii="Arial" w:hAnsi="Arial" w:eastAsia="Arial" w:cs="Arial"/>
          <w:noProof w:val="0"/>
          <w:sz w:val="24"/>
          <w:szCs w:val="24"/>
          <w:lang w:val="en-GB"/>
        </w:rPr>
        <w:t>The aim of this proposal is to plan, implement and evaluate a small-scale change in EFL classroom practice through the strategic use of codeswitching in a bilingual classroom. In this study, codeswitching refers to the purposeful movement between English and the learners’ first language at selected points in the lesson. The main purpose is to explore whether limited and careful use of the first language can support learner comprehension, increase participation and improve classroom interaction without reducing the importance of English as the target language.</w:t>
      </w:r>
    </w:p>
    <w:p xmlns:wp14="http://schemas.microsoft.com/office/word/2010/wordml" w:rsidP="5E59056A" wp14:paraId="32AA90A2" wp14:textId="745B5E16">
      <w:pPr>
        <w:spacing w:before="240" w:beforeAutospacing="off" w:after="240" w:afterAutospacing="off"/>
      </w:pPr>
      <w:r w:rsidRPr="5E59056A" w:rsidR="1182C085">
        <w:rPr>
          <w:rFonts w:ascii="Arial" w:hAnsi="Arial" w:eastAsia="Arial" w:cs="Arial"/>
          <w:noProof w:val="0"/>
          <w:sz w:val="24"/>
          <w:szCs w:val="24"/>
          <w:lang w:val="en-GB"/>
        </w:rPr>
        <w:t xml:space="preserve">This is a suitable topic for a small-scale TEFL investigation because it focuses on one realistic classroom issue rather than trying to cover too many areas at once. It also links clearly to teacher cognition, since teachers’ classroom choices are often influenced by what they think, know and believe about language teaching and learning (Borg, 2003). </w:t>
      </w:r>
    </w:p>
    <w:p xmlns:wp14="http://schemas.microsoft.com/office/word/2010/wordml" w:rsidP="5E59056A" wp14:paraId="48AF5807" wp14:textId="58C70A36">
      <w:pPr>
        <w:spacing w:before="240" w:beforeAutospacing="off" w:after="240" w:afterAutospacing="off"/>
      </w:pPr>
      <w:r w:rsidRPr="5E59056A" w:rsidR="1182C085">
        <w:rPr>
          <w:rFonts w:ascii="Arial" w:hAnsi="Arial" w:eastAsia="Arial" w:cs="Arial"/>
          <w:noProof w:val="0"/>
          <w:sz w:val="24"/>
          <w:szCs w:val="24"/>
          <w:lang w:val="en-GB"/>
        </w:rPr>
        <w:t>This proposal is guided by the following research questions:</w:t>
      </w:r>
    </w:p>
    <w:p xmlns:wp14="http://schemas.microsoft.com/office/word/2010/wordml" w:rsidP="5E59056A" wp14:paraId="78CEA9D9" wp14:textId="69FAC5E9">
      <w:pPr>
        <w:pStyle w:val="ListParagraph"/>
        <w:numPr>
          <w:ilvl w:val="0"/>
          <w:numId w:val="1"/>
        </w:numPr>
        <w:spacing w:before="0" w:beforeAutospacing="off" w:after="0" w:afterAutospacing="off"/>
        <w:rPr>
          <w:rFonts w:ascii="Arial" w:hAnsi="Arial" w:eastAsia="Arial" w:cs="Arial"/>
          <w:noProof w:val="0"/>
          <w:sz w:val="24"/>
          <w:szCs w:val="24"/>
          <w:lang w:val="en-GB"/>
        </w:rPr>
      </w:pPr>
      <w:r w:rsidRPr="5E59056A" w:rsidR="1182C085">
        <w:rPr>
          <w:rFonts w:ascii="Arial" w:hAnsi="Arial" w:eastAsia="Arial" w:cs="Arial"/>
          <w:noProof w:val="0"/>
          <w:sz w:val="24"/>
          <w:szCs w:val="24"/>
          <w:lang w:val="en-GB"/>
        </w:rPr>
        <w:t xml:space="preserve">How can the strategic use of codeswitching be planned as a small-scale change in EFL classroom practice? </w:t>
      </w:r>
    </w:p>
    <w:p xmlns:wp14="http://schemas.microsoft.com/office/word/2010/wordml" w:rsidP="5E59056A" wp14:paraId="65001185" wp14:textId="10AD50B8">
      <w:pPr>
        <w:pStyle w:val="ListParagraph"/>
        <w:numPr>
          <w:ilvl w:val="0"/>
          <w:numId w:val="1"/>
        </w:numPr>
        <w:spacing w:before="0" w:beforeAutospacing="off" w:after="0" w:afterAutospacing="off"/>
        <w:rPr>
          <w:rFonts w:ascii="Arial" w:hAnsi="Arial" w:eastAsia="Arial" w:cs="Arial"/>
          <w:noProof w:val="0"/>
          <w:sz w:val="24"/>
          <w:szCs w:val="24"/>
          <w:lang w:val="en-GB"/>
        </w:rPr>
      </w:pPr>
      <w:r w:rsidRPr="5E59056A" w:rsidR="1182C085">
        <w:rPr>
          <w:rFonts w:ascii="Arial" w:hAnsi="Arial" w:eastAsia="Arial" w:cs="Arial"/>
          <w:noProof w:val="0"/>
          <w:sz w:val="24"/>
          <w:szCs w:val="24"/>
          <w:lang w:val="en-GB"/>
        </w:rPr>
        <w:t xml:space="preserve">How do teachers perceive the use of codeswitching to support learner comprehension and participation? </w:t>
      </w:r>
    </w:p>
    <w:p xmlns:wp14="http://schemas.microsoft.com/office/word/2010/wordml" w:rsidP="5E59056A" wp14:paraId="4857402C" wp14:textId="45BC995A">
      <w:pPr>
        <w:pStyle w:val="ListParagraph"/>
        <w:numPr>
          <w:ilvl w:val="0"/>
          <w:numId w:val="1"/>
        </w:numPr>
        <w:spacing w:before="0" w:beforeAutospacing="off" w:after="0" w:afterAutospacing="off"/>
        <w:rPr>
          <w:rFonts w:ascii="Arial" w:hAnsi="Arial" w:eastAsia="Arial" w:cs="Arial"/>
          <w:noProof w:val="0"/>
          <w:sz w:val="24"/>
          <w:szCs w:val="24"/>
          <w:lang w:val="en-GB"/>
        </w:rPr>
      </w:pPr>
      <w:r w:rsidRPr="5E59056A" w:rsidR="1182C085">
        <w:rPr>
          <w:rFonts w:ascii="Arial" w:hAnsi="Arial" w:eastAsia="Arial" w:cs="Arial"/>
          <w:noProof w:val="0"/>
          <w:sz w:val="24"/>
          <w:szCs w:val="24"/>
          <w:lang w:val="en-GB"/>
        </w:rPr>
        <w:t xml:space="preserve">What are the possible implications of this classroom change for future EFL practice? </w:t>
      </w:r>
    </w:p>
    <w:p xmlns:wp14="http://schemas.microsoft.com/office/word/2010/wordml" w:rsidP="5E59056A" wp14:paraId="17A6CE97" wp14:textId="75FB114C">
      <w:pPr>
        <w:pStyle w:val="Normal"/>
        <w:rPr>
          <w:noProof w:val="0"/>
          <w:lang w:val="en-GB"/>
        </w:rPr>
      </w:pPr>
      <w:r w:rsidRPr="5E59056A" w:rsidR="1182C085">
        <w:rPr>
          <w:noProof w:val="0"/>
          <w:lang w:val="en-GB"/>
        </w:rPr>
        <w:t>2. The rationale and main conceptual themes for the investigation</w:t>
      </w:r>
    </w:p>
    <w:p xmlns:wp14="http://schemas.microsoft.com/office/word/2010/wordml" w:rsidP="5E59056A" wp14:paraId="2655E2BC" wp14:textId="2A0A5AAF">
      <w:pPr>
        <w:spacing w:before="240" w:beforeAutospacing="off" w:after="240" w:afterAutospacing="off"/>
      </w:pPr>
      <w:r w:rsidRPr="5E59056A" w:rsidR="1182C085">
        <w:rPr>
          <w:rFonts w:ascii="Arial" w:hAnsi="Arial" w:eastAsia="Arial" w:cs="Arial"/>
          <w:noProof w:val="0"/>
          <w:sz w:val="24"/>
          <w:szCs w:val="24"/>
          <w:lang w:val="en-GB"/>
        </w:rPr>
        <w:t xml:space="preserve">I chose this topic because codeswitching is a common part of many bilingual classrooms, yet it </w:t>
      </w:r>
      <w:r w:rsidRPr="5E59056A" w:rsidR="1182C085">
        <w:rPr>
          <w:rFonts w:ascii="Arial" w:hAnsi="Arial" w:eastAsia="Arial" w:cs="Arial"/>
          <w:noProof w:val="0"/>
          <w:sz w:val="24"/>
          <w:szCs w:val="24"/>
          <w:lang w:val="en-GB"/>
        </w:rPr>
        <w:t>still remains</w:t>
      </w:r>
      <w:r w:rsidRPr="5E59056A" w:rsidR="1182C085">
        <w:rPr>
          <w:rFonts w:ascii="Arial" w:hAnsi="Arial" w:eastAsia="Arial" w:cs="Arial"/>
          <w:noProof w:val="0"/>
          <w:sz w:val="24"/>
          <w:szCs w:val="24"/>
          <w:lang w:val="en-GB"/>
        </w:rPr>
        <w:t xml:space="preserve"> debated in English language teaching. For a long time, teaching approaches were influenced by the belief that English should be used as much as possible and that the first language should be avoided. Cook (2001) questioned this traditional view and argued that the first language should not automatically be treated as a problem in the classroom. In </w:t>
      </w:r>
      <w:r w:rsidRPr="5E59056A" w:rsidR="1182C085">
        <w:rPr>
          <w:rFonts w:ascii="Arial" w:hAnsi="Arial" w:eastAsia="Arial" w:cs="Arial"/>
          <w:noProof w:val="0"/>
          <w:sz w:val="24"/>
          <w:szCs w:val="24"/>
          <w:lang w:val="en-GB"/>
        </w:rPr>
        <w:t>a similar way</w:t>
      </w:r>
      <w:r w:rsidRPr="5E59056A" w:rsidR="1182C085">
        <w:rPr>
          <w:rFonts w:ascii="Arial" w:hAnsi="Arial" w:eastAsia="Arial" w:cs="Arial"/>
          <w:noProof w:val="0"/>
          <w:sz w:val="24"/>
          <w:szCs w:val="24"/>
          <w:lang w:val="en-GB"/>
        </w:rPr>
        <w:t xml:space="preserve">, Hall and Cook (2012) reviewed the literature on own-language use and showed that learners’ first languages continue to play </w:t>
      </w:r>
      <w:r w:rsidRPr="5E59056A" w:rsidR="1182C085">
        <w:rPr>
          <w:rFonts w:ascii="Arial" w:hAnsi="Arial" w:eastAsia="Arial" w:cs="Arial"/>
          <w:noProof w:val="0"/>
          <w:sz w:val="24"/>
          <w:szCs w:val="24"/>
          <w:lang w:val="en-GB"/>
        </w:rPr>
        <w:t>an important role</w:t>
      </w:r>
      <w:r w:rsidRPr="5E59056A" w:rsidR="1182C085">
        <w:rPr>
          <w:rFonts w:ascii="Arial" w:hAnsi="Arial" w:eastAsia="Arial" w:cs="Arial"/>
          <w:noProof w:val="0"/>
          <w:sz w:val="24"/>
          <w:szCs w:val="24"/>
          <w:lang w:val="en-GB"/>
        </w:rPr>
        <w:t xml:space="preserve"> in language teaching and learning across many contexts. This suggests that the first language is not necessarily a sign of weak </w:t>
      </w:r>
      <w:r w:rsidRPr="5E59056A" w:rsidR="58AB3736">
        <w:rPr>
          <w:rFonts w:ascii="Arial" w:hAnsi="Arial" w:eastAsia="Arial" w:cs="Arial"/>
          <w:noProof w:val="0"/>
          <w:sz w:val="24"/>
          <w:szCs w:val="24"/>
          <w:lang w:val="en-GB"/>
        </w:rPr>
        <w:t>teaching but</w:t>
      </w:r>
      <w:r w:rsidRPr="5E59056A" w:rsidR="1182C085">
        <w:rPr>
          <w:rFonts w:ascii="Arial" w:hAnsi="Arial" w:eastAsia="Arial" w:cs="Arial"/>
          <w:noProof w:val="0"/>
          <w:sz w:val="24"/>
          <w:szCs w:val="24"/>
          <w:lang w:val="en-GB"/>
        </w:rPr>
        <w:t xml:space="preserve"> may be a useful classroom resource when it is used with a clear purpose (Cook, 2001; Hall and Cook, 2012). </w:t>
      </w:r>
    </w:p>
    <w:p xmlns:wp14="http://schemas.microsoft.com/office/word/2010/wordml" w:rsidP="5E59056A" wp14:paraId="3CF6BAE3" wp14:textId="51E91530">
      <w:pPr>
        <w:spacing w:before="240" w:beforeAutospacing="off" w:after="240" w:afterAutospacing="off"/>
      </w:pPr>
      <w:r w:rsidRPr="5E59056A" w:rsidR="1182C085">
        <w:rPr>
          <w:rFonts w:ascii="Arial" w:hAnsi="Arial" w:eastAsia="Arial" w:cs="Arial"/>
          <w:noProof w:val="0"/>
          <w:sz w:val="24"/>
          <w:szCs w:val="24"/>
          <w:lang w:val="en-GB"/>
        </w:rPr>
        <w:t xml:space="preserve">The topic is also important in practical terms. In real lessons, teachers often have to make quick decisions about whether remaining only in English is the best option or whether a short switch to the learners’ first language may help explain a difficult word, clarify an instruction, save time or reduce confusion. This is especially relevant in bilingual settings, where learners may share the same first language and where classroom understanding can sometimes depend on short moments of clarification. Lee and Macaro (2013) found that linking vocabulary learning to the first language benefited Korean EFL learners, particularly younger learners. Although that does not mean the first language should replace English, it does suggest that it can play a supportive role in some situations (Lee and Macaro, 2013). </w:t>
      </w:r>
    </w:p>
    <w:p xmlns:wp14="http://schemas.microsoft.com/office/word/2010/wordml" w:rsidP="5E59056A" wp14:paraId="6290A789" wp14:textId="70235ADA">
      <w:pPr>
        <w:spacing w:before="240" w:beforeAutospacing="off" w:after="240" w:afterAutospacing="off"/>
      </w:pPr>
      <w:r w:rsidRPr="5E59056A" w:rsidR="1182C085">
        <w:rPr>
          <w:rFonts w:ascii="Arial" w:hAnsi="Arial" w:eastAsia="Arial" w:cs="Arial"/>
          <w:noProof w:val="0"/>
          <w:sz w:val="24"/>
          <w:szCs w:val="24"/>
          <w:lang w:val="en-GB"/>
        </w:rPr>
        <w:t xml:space="preserve">Another important idea connected to this proposal is translanguaging. García and Lin (2016) describe translanguaging as both the fluid language practices of bilinguals and the pedagogical approaches built around those practices. Li Wei (2018) also presents translanguaging as a practical theory of language, emphasising the fluid and dynamic ways multilingual speakers draw on different semiotic and linguistic resources. These ideas are useful because they challenge the older assumption that bilingual learners always keep languages strictly separate. Instead, they support a more realistic understanding of multilingual classrooms, where movement across languages can help learners make meaning and engage more fully in learning (García and Lin, 2016; Wei, 2018). </w:t>
      </w:r>
    </w:p>
    <w:p xmlns:wp14="http://schemas.microsoft.com/office/word/2010/wordml" w:rsidP="5E59056A" wp14:paraId="31D52660" wp14:textId="3D88D929">
      <w:pPr>
        <w:spacing w:before="240" w:beforeAutospacing="off" w:after="240" w:afterAutospacing="off"/>
      </w:pPr>
      <w:r w:rsidRPr="5E59056A" w:rsidR="1182C085">
        <w:rPr>
          <w:rFonts w:ascii="Arial" w:hAnsi="Arial" w:eastAsia="Arial" w:cs="Arial"/>
          <w:noProof w:val="0"/>
          <w:sz w:val="24"/>
          <w:szCs w:val="24"/>
          <w:lang w:val="en-GB"/>
        </w:rPr>
        <w:t xml:space="preserve">Teacher cognition is another key theme in this proposal. Borg (2003) explains teacher cognition in terms of what teachers think, know and believe, and how these mental processes relate to classroom practice. This is highly relevant to codeswitching because decisions about language use in class are rarely neutral. Teachers may use or avoid the first language because of their beliefs about good teaching, learner needs, classroom control or the role of English in the lesson. Looking at teacher perceptions therefore helps explain not only what happens in the classroom, but also why it happens. For this reason, the proposal connects the practical classroom change with wider theoretical ideas about teacher cognition, bilingual pedagogy, scaffolding, learner comprehension and learner participation (Borg, 2003). </w:t>
      </w:r>
    </w:p>
    <w:p xmlns:wp14="http://schemas.microsoft.com/office/word/2010/wordml" w:rsidP="5E59056A" wp14:paraId="52879C2B" wp14:textId="35E56DB9">
      <w:pPr>
        <w:spacing w:before="240" w:beforeAutospacing="off" w:after="240" w:afterAutospacing="off"/>
      </w:pPr>
      <w:r w:rsidRPr="5E59056A" w:rsidR="1182C085">
        <w:rPr>
          <w:rFonts w:ascii="Arial" w:hAnsi="Arial" w:eastAsia="Arial" w:cs="Arial"/>
          <w:noProof w:val="0"/>
          <w:sz w:val="24"/>
          <w:szCs w:val="24"/>
          <w:lang w:val="en-GB"/>
        </w:rPr>
        <w:t>This topic is also manageable, which is important for the assignment. It does not try to solve the full debate about English-only teaching. Instead, it focuses on one limited intervention: the strategic and selective use of codeswitching in a single teaching context. This makes the study realistic and closely aligned with the assignment requirement to plan, implement and evaluate a small-scale change in EFL classroom practice.</w:t>
      </w:r>
    </w:p>
    <w:p xmlns:wp14="http://schemas.microsoft.com/office/word/2010/wordml" w:rsidP="5E59056A" wp14:paraId="4888FB9B" wp14:textId="7436101F">
      <w:pPr>
        <w:pStyle w:val="Normal"/>
        <w:rPr>
          <w:b w:val="1"/>
          <w:bCs w:val="1"/>
          <w:noProof w:val="0"/>
          <w:sz w:val="32"/>
          <w:szCs w:val="32"/>
          <w:lang w:val="en-GB"/>
        </w:rPr>
      </w:pPr>
      <w:r w:rsidRPr="5E59056A" w:rsidR="1182C085">
        <w:rPr>
          <w:b w:val="1"/>
          <w:bCs w:val="1"/>
          <w:noProof w:val="0"/>
          <w:sz w:val="32"/>
          <w:szCs w:val="32"/>
          <w:lang w:val="en-GB"/>
        </w:rPr>
        <w:t>3. A description of the evidence you intend to collect</w:t>
      </w:r>
    </w:p>
    <w:p xmlns:wp14="http://schemas.microsoft.com/office/word/2010/wordml" w:rsidP="5E59056A" wp14:paraId="176FC946" wp14:textId="72CA652C">
      <w:pPr>
        <w:spacing w:before="240" w:beforeAutospacing="off" w:after="240" w:afterAutospacing="off"/>
      </w:pPr>
      <w:r w:rsidRPr="5E59056A" w:rsidR="1182C085">
        <w:rPr>
          <w:rFonts w:ascii="Arial" w:hAnsi="Arial" w:eastAsia="Arial" w:cs="Arial"/>
          <w:noProof w:val="0"/>
          <w:sz w:val="24"/>
          <w:szCs w:val="24"/>
          <w:lang w:val="en-GB"/>
        </w:rPr>
        <w:t>The study will collect mainly qualitative evidence. The first source of evidence will be semi-structured interviews with a small number of teachers, ideally three to five. These interviews will allow the teachers to explain when they use codeswitching, why they use it, and whether they believe it helps learner understanding and participation. Because the study is concerned with teacher perceptions, interviews are an appropriate main source of evidence.</w:t>
      </w:r>
    </w:p>
    <w:p xmlns:wp14="http://schemas.microsoft.com/office/word/2010/wordml" w:rsidP="5E59056A" wp14:paraId="049DB102" wp14:textId="0A3162CE">
      <w:pPr>
        <w:spacing w:before="240" w:beforeAutospacing="off" w:after="240" w:afterAutospacing="off"/>
      </w:pPr>
      <w:r w:rsidRPr="5E59056A" w:rsidR="1182C085">
        <w:rPr>
          <w:rFonts w:ascii="Arial" w:hAnsi="Arial" w:eastAsia="Arial" w:cs="Arial"/>
          <w:noProof w:val="0"/>
          <w:sz w:val="24"/>
          <w:szCs w:val="24"/>
          <w:lang w:val="en-GB"/>
        </w:rPr>
        <w:t>The second source of evidence will be classroom observation notes. Observation is important because it allows the study to look at how the planned use of codeswitching appears in practice. It will help identify where in the lesson switching takes place, for example during explanation, instructions, feedback, behaviour management or task support. It will also make it possible to note whether learners appear more confident, more engaged or less confused after the switch.</w:t>
      </w:r>
    </w:p>
    <w:p xmlns:wp14="http://schemas.microsoft.com/office/word/2010/wordml" w:rsidP="5E59056A" wp14:paraId="648CD3A2" wp14:textId="7BEDA9FB">
      <w:pPr>
        <w:spacing w:before="240" w:beforeAutospacing="off" w:after="240" w:afterAutospacing="off"/>
      </w:pPr>
      <w:r w:rsidRPr="5E59056A" w:rsidR="1182C085">
        <w:rPr>
          <w:rFonts w:ascii="Arial" w:hAnsi="Arial" w:eastAsia="Arial" w:cs="Arial"/>
          <w:noProof w:val="0"/>
          <w:sz w:val="24"/>
          <w:szCs w:val="24"/>
          <w:lang w:val="en-GB"/>
        </w:rPr>
        <w:t xml:space="preserve">Field notes will also be written during or immediately after the observation. These notes will include details such as lesson stage, the apparent reason for the switch, and any visible learner response. This combination of interviews and observation is useful because it makes it possible to compare what teachers say with what happens in the classroom. Cahyani, de Courcy and Barnett (2018) found that teachers’ codeswitching in bilingual classrooms could serve both pedagogical and sociocultural functions, which supports the choice of these methods in the present proposal (Cahyani, de Courcy and Barnett, 2018). </w:t>
      </w:r>
    </w:p>
    <w:p xmlns:wp14="http://schemas.microsoft.com/office/word/2010/wordml" w:rsidP="5E59056A" wp14:paraId="7B76341A" wp14:textId="1D4E89A7">
      <w:pPr>
        <w:pStyle w:val="Normal"/>
        <w:rPr>
          <w:b w:val="1"/>
          <w:bCs w:val="1"/>
          <w:noProof w:val="0"/>
          <w:sz w:val="32"/>
          <w:szCs w:val="32"/>
          <w:lang w:val="en-GB"/>
        </w:rPr>
      </w:pPr>
      <w:r w:rsidRPr="5E59056A" w:rsidR="1182C085">
        <w:rPr>
          <w:b w:val="1"/>
          <w:bCs w:val="1"/>
          <w:noProof w:val="0"/>
          <w:sz w:val="32"/>
          <w:szCs w:val="32"/>
          <w:lang w:val="en-GB"/>
        </w:rPr>
        <w:t>4. The methods you plan to use to collect your evidence</w:t>
      </w:r>
    </w:p>
    <w:p xmlns:wp14="http://schemas.microsoft.com/office/word/2010/wordml" w:rsidP="5E59056A" wp14:paraId="60D0F3C6" wp14:textId="0E76DBAA">
      <w:pPr>
        <w:spacing w:before="240" w:beforeAutospacing="off" w:after="240" w:afterAutospacing="off"/>
      </w:pPr>
      <w:r w:rsidRPr="5E59056A" w:rsidR="1182C085">
        <w:rPr>
          <w:rFonts w:ascii="Arial" w:hAnsi="Arial" w:eastAsia="Arial" w:cs="Arial"/>
          <w:noProof w:val="0"/>
          <w:sz w:val="24"/>
          <w:szCs w:val="24"/>
          <w:lang w:val="en-GB"/>
        </w:rPr>
        <w:t>This study will use a small-scale qualitative case study design. A qualitative approach is the best fit because the purpose is not to measure codeswitching statistically across many classrooms, but to understand how teachers view it and how it works in one teaching context. The focus is therefore on meanings, experiences and classroom decisions rather than on numerical comparison.</w:t>
      </w:r>
    </w:p>
    <w:p xmlns:wp14="http://schemas.microsoft.com/office/word/2010/wordml" w:rsidP="5E59056A" wp14:paraId="3041D3A6" wp14:textId="0FBD5B7F">
      <w:pPr>
        <w:spacing w:before="240" w:beforeAutospacing="off" w:after="240" w:afterAutospacing="off"/>
      </w:pPr>
      <w:r w:rsidRPr="5E59056A" w:rsidR="1182C085">
        <w:rPr>
          <w:rFonts w:ascii="Arial" w:hAnsi="Arial" w:eastAsia="Arial" w:cs="Arial"/>
          <w:noProof w:val="0"/>
          <w:sz w:val="24"/>
          <w:szCs w:val="24"/>
          <w:lang w:val="en-GB"/>
        </w:rPr>
        <w:t xml:space="preserve">Semi-structured interviews are suitable because they provide a balance between structure and flexibility. The researcher can prepare a set of core questions in advance, but participants still have room to explain their views in their own words. This matters because beliefs about first-language use can be complex and may depend on teaching experience, learner level or lesson type. Interviews are therefore a sensible method for exploring teacher cognition in relation to classroom language choices (Borg, 2003). </w:t>
      </w:r>
    </w:p>
    <w:p xmlns:wp14="http://schemas.microsoft.com/office/word/2010/wordml" w:rsidP="5E59056A" wp14:paraId="75C1EE52" wp14:textId="27B68B41">
      <w:pPr>
        <w:spacing w:before="240" w:beforeAutospacing="off" w:after="240" w:afterAutospacing="off"/>
      </w:pPr>
      <w:r w:rsidRPr="5E59056A" w:rsidR="1182C085">
        <w:rPr>
          <w:rFonts w:ascii="Arial" w:hAnsi="Arial" w:eastAsia="Arial" w:cs="Arial"/>
          <w:noProof w:val="0"/>
          <w:sz w:val="24"/>
          <w:szCs w:val="24"/>
          <w:lang w:val="en-GB"/>
        </w:rPr>
        <w:t xml:space="preserve">Non-participant observation will be used to support the interview data. In this method, the researcher observes the lesson without taking part in the teaching. This makes it possible to see whether teachers’ stated beliefs about codeswitching are reflected in classroom practice. Observation also strengthens the study by giving a clearer picture of the function of codeswitching in real time. Earlier research has shown that teacher codeswitching may serve several classroom purposes, including pedagogical, managerial and sociocultural ones, which makes observation especially relevant here (Cahyani, de Courcy and Barnett, 2018). </w:t>
      </w:r>
    </w:p>
    <w:p xmlns:wp14="http://schemas.microsoft.com/office/word/2010/wordml" w:rsidP="5E59056A" wp14:paraId="3BCF361A" wp14:textId="13BEC2B3">
      <w:pPr>
        <w:spacing w:before="240" w:beforeAutospacing="off" w:after="240" w:afterAutospacing="off"/>
      </w:pPr>
      <w:r w:rsidRPr="5E59056A" w:rsidR="1182C085">
        <w:rPr>
          <w:rFonts w:ascii="Arial" w:hAnsi="Arial" w:eastAsia="Arial" w:cs="Arial"/>
          <w:noProof w:val="0"/>
          <w:sz w:val="24"/>
          <w:szCs w:val="24"/>
          <w:lang w:val="en-GB"/>
        </w:rPr>
        <w:t>These methods are appropriate because they match the aims of the proposal closely. Since the project is mainly concerned with teacher perceptions and classroom use, interviews and observation are more suitable than test scores or large questionnaires. They are also realistic for a project with a short timescale and a small number of participants.</w:t>
      </w:r>
    </w:p>
    <w:p xmlns:wp14="http://schemas.microsoft.com/office/word/2010/wordml" w:rsidP="5E59056A" wp14:paraId="7D7A663C" wp14:textId="0DC4F917">
      <w:pPr>
        <w:pStyle w:val="Normal"/>
        <w:rPr>
          <w:b w:val="1"/>
          <w:bCs w:val="1"/>
          <w:noProof w:val="0"/>
          <w:sz w:val="32"/>
          <w:szCs w:val="32"/>
          <w:lang w:val="en-GB"/>
        </w:rPr>
      </w:pPr>
      <w:r w:rsidRPr="5E59056A" w:rsidR="1182C085">
        <w:rPr>
          <w:b w:val="1"/>
          <w:bCs w:val="1"/>
          <w:noProof w:val="0"/>
          <w:sz w:val="32"/>
          <w:szCs w:val="32"/>
          <w:lang w:val="en-GB"/>
        </w:rPr>
        <w:t>5. A description of the settings in which you plan to collect your evidence</w:t>
      </w:r>
    </w:p>
    <w:p xmlns:wp14="http://schemas.microsoft.com/office/word/2010/wordml" w:rsidP="5E59056A" wp14:paraId="47862A10" wp14:textId="7CDBAD6F">
      <w:pPr>
        <w:spacing w:before="240" w:beforeAutospacing="off" w:after="240" w:afterAutospacing="off"/>
      </w:pPr>
      <w:r w:rsidRPr="5E59056A" w:rsidR="1182C085">
        <w:rPr>
          <w:rFonts w:ascii="Arial" w:hAnsi="Arial" w:eastAsia="Arial" w:cs="Arial"/>
          <w:noProof w:val="0"/>
          <w:sz w:val="24"/>
          <w:szCs w:val="24"/>
          <w:lang w:val="en-GB"/>
        </w:rPr>
        <w:t>The proposed setting is a bilingual or multilingual teaching context in which English is taught to learners who share a first language. This could be a school, a private language centre or another educational environment where teachers regularly decide whether to remain in English or switch briefly into another language for support.</w:t>
      </w:r>
    </w:p>
    <w:p xmlns:wp14="http://schemas.microsoft.com/office/word/2010/wordml" w:rsidP="5E59056A" wp14:paraId="51C0F779" wp14:textId="452690C7">
      <w:pPr>
        <w:spacing w:before="240" w:beforeAutospacing="off" w:after="240" w:afterAutospacing="off"/>
      </w:pPr>
      <w:r w:rsidRPr="5E59056A" w:rsidR="1182C085">
        <w:rPr>
          <w:rFonts w:ascii="Arial" w:hAnsi="Arial" w:eastAsia="Arial" w:cs="Arial"/>
          <w:noProof w:val="0"/>
          <w:sz w:val="24"/>
          <w:szCs w:val="24"/>
          <w:lang w:val="en-GB"/>
        </w:rPr>
        <w:t>The participants will be a small number of English language teachers working in that setting. The learners themselves will not be the main research participants, although they will be present during classroom observations. The main focus will remain on teacher practice and teacher perceptions. This makes the project more manageable and keeps it within the scope of a small-scale proposal.</w:t>
      </w:r>
    </w:p>
    <w:p xmlns:wp14="http://schemas.microsoft.com/office/word/2010/wordml" w:rsidP="5E59056A" wp14:paraId="22DBCC8B" wp14:textId="075AEE16">
      <w:pPr>
        <w:spacing w:before="240" w:beforeAutospacing="off" w:after="240" w:afterAutospacing="off"/>
      </w:pPr>
      <w:r w:rsidRPr="5E59056A" w:rsidR="1182C085">
        <w:rPr>
          <w:rFonts w:ascii="Arial" w:hAnsi="Arial" w:eastAsia="Arial" w:cs="Arial"/>
          <w:noProof w:val="0"/>
          <w:sz w:val="24"/>
          <w:szCs w:val="24"/>
          <w:lang w:val="en-GB"/>
        </w:rPr>
        <w:t xml:space="preserve">Keeping the study within one setting is also useful because it allows the classroom change to be examined in relation to the actual context, including learner level, lesson aims and institutional expectations. Hall and Cook (2012) emphasise that own-language use in teaching is shaped by classroom realities, which supports the importance of context in a study like this (Hall and Cook, 2012). </w:t>
      </w:r>
    </w:p>
    <w:p xmlns:wp14="http://schemas.microsoft.com/office/word/2010/wordml" w:rsidP="5E59056A" wp14:paraId="684E260B" wp14:textId="1714575E">
      <w:pPr>
        <w:pStyle w:val="Normal"/>
        <w:rPr>
          <w:b w:val="1"/>
          <w:bCs w:val="1"/>
          <w:noProof w:val="0"/>
          <w:sz w:val="32"/>
          <w:szCs w:val="32"/>
          <w:lang w:val="en-GB"/>
        </w:rPr>
      </w:pPr>
      <w:r w:rsidRPr="5E59056A" w:rsidR="1182C085">
        <w:rPr>
          <w:b w:val="1"/>
          <w:bCs w:val="1"/>
          <w:noProof w:val="0"/>
          <w:sz w:val="32"/>
          <w:szCs w:val="32"/>
          <w:lang w:val="en-GB"/>
        </w:rPr>
        <w:t>6. The ethical issues you need to consider</w:t>
      </w:r>
    </w:p>
    <w:p xmlns:wp14="http://schemas.microsoft.com/office/word/2010/wordml" w:rsidP="5E59056A" wp14:paraId="6AF45DC4" wp14:textId="5876AA05">
      <w:pPr>
        <w:spacing w:before="240" w:beforeAutospacing="off" w:after="240" w:afterAutospacing="off"/>
      </w:pPr>
      <w:r w:rsidRPr="5E59056A" w:rsidR="1182C085">
        <w:rPr>
          <w:rFonts w:ascii="Arial" w:hAnsi="Arial" w:eastAsia="Arial" w:cs="Arial"/>
          <w:noProof w:val="0"/>
          <w:sz w:val="24"/>
          <w:szCs w:val="24"/>
          <w:lang w:val="en-GB"/>
        </w:rPr>
        <w:t xml:space="preserve">Ethics are an important part of this proposal because the research involves teachers and classroom-based observation, with learners indirectly present during the lesson. For this reason, the study will follow the </w:t>
      </w:r>
      <w:r w:rsidRPr="5E59056A" w:rsidR="1182C085">
        <w:rPr>
          <w:rFonts w:ascii="Arial" w:hAnsi="Arial" w:eastAsia="Arial" w:cs="Arial"/>
          <w:b w:val="1"/>
          <w:bCs w:val="1"/>
          <w:noProof w:val="0"/>
          <w:sz w:val="24"/>
          <w:szCs w:val="24"/>
          <w:lang w:val="en-GB"/>
        </w:rPr>
        <w:t>BERA Ethical Guidelines for Educational Research</w:t>
      </w:r>
      <w:r w:rsidRPr="5E59056A" w:rsidR="1182C085">
        <w:rPr>
          <w:rFonts w:ascii="Arial" w:hAnsi="Arial" w:eastAsia="Arial" w:cs="Arial"/>
          <w:noProof w:val="0"/>
          <w:sz w:val="24"/>
          <w:szCs w:val="24"/>
          <w:lang w:val="en-GB"/>
        </w:rPr>
        <w:t xml:space="preserve"> (BERA, 2024). The fifth edition states that the guidelines are designed to help researchers conduct their work to the highest ethical standards, and BERA’s related case material on classroom observation highlights issues such as consent, transparency, confidentiality, the right to withdraw and researchers’ duty of care (BERA, 2024). </w:t>
      </w:r>
    </w:p>
    <w:p xmlns:wp14="http://schemas.microsoft.com/office/word/2010/wordml" w:rsidP="5E59056A" wp14:paraId="22B7183C" wp14:textId="5418D608">
      <w:pPr>
        <w:spacing w:before="240" w:beforeAutospacing="off" w:after="240" w:afterAutospacing="off"/>
      </w:pPr>
      <w:r w:rsidRPr="5E59056A" w:rsidR="1182C085">
        <w:rPr>
          <w:rFonts w:ascii="Arial" w:hAnsi="Arial" w:eastAsia="Arial" w:cs="Arial"/>
          <w:noProof w:val="0"/>
          <w:sz w:val="24"/>
          <w:szCs w:val="24"/>
          <w:lang w:val="en-GB"/>
        </w:rPr>
        <w:t>All teacher participants will be given clear information about the purpose of the study and what participation involves. They will be asked to provide informed consent before interviews or observations begin. Participation will be voluntary, and participants will be informed that they can withdraw from the study at any point without penalty.</w:t>
      </w:r>
    </w:p>
    <w:p xmlns:wp14="http://schemas.microsoft.com/office/word/2010/wordml" w:rsidP="5E59056A" wp14:paraId="7702E8F1" wp14:textId="3F6BE412">
      <w:pPr>
        <w:spacing w:before="240" w:beforeAutospacing="off" w:after="240" w:afterAutospacing="off"/>
      </w:pPr>
      <w:r w:rsidRPr="5E59056A" w:rsidR="1182C085">
        <w:rPr>
          <w:rFonts w:ascii="Arial" w:hAnsi="Arial" w:eastAsia="Arial" w:cs="Arial"/>
          <w:noProof w:val="0"/>
          <w:sz w:val="24"/>
          <w:szCs w:val="24"/>
          <w:lang w:val="en-GB"/>
        </w:rPr>
        <w:t xml:space="preserve">Confidentiality will also be protected carefully. Pseudonyms will be used instead of real names, and identifying details about the institution, staff and learners will not appear in the final write-up. Any interview notes, recordings or observation records will be stored securely and used only for academic purposes. Institutional permission will also be sought before the observation stage begins. Since the focus is on teacher language use rather than on evaluating individual learners, observations will be carried out in a way that causes as little disruption as possible. These steps are consistent with the ethical principles set out by BERA and help ensure that the project is carried out responsibly (BERA, 2024). </w:t>
      </w:r>
    </w:p>
    <w:p xmlns:wp14="http://schemas.microsoft.com/office/word/2010/wordml" w:rsidP="5E59056A" wp14:paraId="2EDB15FB" wp14:textId="2E376BB4">
      <w:pPr>
        <w:pStyle w:val="Normal"/>
        <w:rPr>
          <w:b w:val="1"/>
          <w:bCs w:val="1"/>
          <w:noProof w:val="0"/>
          <w:sz w:val="32"/>
          <w:szCs w:val="32"/>
          <w:lang w:val="en-GB"/>
        </w:rPr>
      </w:pPr>
      <w:r w:rsidRPr="5E59056A" w:rsidR="1182C085">
        <w:rPr>
          <w:b w:val="1"/>
          <w:bCs w:val="1"/>
          <w:noProof w:val="0"/>
          <w:sz w:val="32"/>
          <w:szCs w:val="32"/>
          <w:lang w:val="en-GB"/>
        </w:rPr>
        <w:t>7. The methods you expect to use to analyse the evidence you collect</w:t>
      </w:r>
    </w:p>
    <w:p xmlns:wp14="http://schemas.microsoft.com/office/word/2010/wordml" w:rsidP="5E59056A" wp14:paraId="5C751B7D" wp14:textId="37F1F99B">
      <w:pPr>
        <w:spacing w:before="240" w:beforeAutospacing="off" w:after="240" w:afterAutospacing="off"/>
      </w:pPr>
      <w:r w:rsidRPr="5E59056A" w:rsidR="1182C085">
        <w:rPr>
          <w:rFonts w:ascii="Arial" w:hAnsi="Arial" w:eastAsia="Arial" w:cs="Arial"/>
          <w:noProof w:val="0"/>
          <w:sz w:val="24"/>
          <w:szCs w:val="24"/>
          <w:lang w:val="en-GB"/>
        </w:rPr>
        <w:t xml:space="preserve">The data will be analysed using thematic analysis. Braun and Clarke (2006) describe thematic analysis as an accessible and theoretically flexible method for analysing qualitative data. This makes it especially suitable for a small-scale project like this one, where the data will consist mainly of interview responses and observation notes rather than large datasets (Braun and Clarke, 2006). </w:t>
      </w:r>
    </w:p>
    <w:p xmlns:wp14="http://schemas.microsoft.com/office/word/2010/wordml" w:rsidP="5E59056A" wp14:paraId="32BB9E90" wp14:textId="2AAB4124">
      <w:pPr>
        <w:spacing w:before="240" w:beforeAutospacing="off" w:after="240" w:afterAutospacing="off"/>
      </w:pPr>
      <w:r w:rsidRPr="5E59056A" w:rsidR="1182C085">
        <w:rPr>
          <w:rFonts w:ascii="Arial" w:hAnsi="Arial" w:eastAsia="Arial" w:cs="Arial"/>
          <w:noProof w:val="0"/>
          <w:sz w:val="24"/>
          <w:szCs w:val="24"/>
          <w:lang w:val="en-GB"/>
        </w:rPr>
        <w:t>The first step will be to read through the interview responses and observation notes several times in order to become familiar with the data. After that, initial codes will be identified. These may include ideas such as “explaining difficult concepts”, “clarifying instructions”, “reducing anxiety”, “managing behaviour” and “encouraging participation”. The next step will be to group these codes into broader themes which reflect patterns across the data.</w:t>
      </w:r>
    </w:p>
    <w:p xmlns:wp14="http://schemas.microsoft.com/office/word/2010/wordml" w:rsidP="5E59056A" wp14:paraId="1ADA8481" wp14:textId="302318FF">
      <w:pPr>
        <w:spacing w:before="240" w:beforeAutospacing="off" w:after="240" w:afterAutospacing="off"/>
      </w:pPr>
      <w:r w:rsidRPr="5E59056A" w:rsidR="1182C085">
        <w:rPr>
          <w:rFonts w:ascii="Arial" w:hAnsi="Arial" w:eastAsia="Arial" w:cs="Arial"/>
          <w:noProof w:val="0"/>
          <w:sz w:val="24"/>
          <w:szCs w:val="24"/>
          <w:lang w:val="en-GB"/>
        </w:rPr>
        <w:t xml:space="preserve">The final stage of the analysis will involve comparing the themes that appear in the interviews with the patterns noticed during classroom observation. This will help show whether teachers’ views about strategic codeswitching are reflected in what they actually do in the classroom. Thematic analysis is therefore suitable because it allows the data to be organised clearly and helps link teacher perceptions to practical classroom behaviour (Braun and Clarke, 2006). </w:t>
      </w:r>
    </w:p>
    <w:p xmlns:wp14="http://schemas.microsoft.com/office/word/2010/wordml" w:rsidP="5E59056A" wp14:paraId="638A6D5C" wp14:textId="27D85A78">
      <w:pPr>
        <w:pStyle w:val="Normal"/>
        <w:rPr>
          <w:b w:val="1"/>
          <w:bCs w:val="1"/>
          <w:noProof w:val="0"/>
          <w:sz w:val="32"/>
          <w:szCs w:val="32"/>
          <w:lang w:val="en-GB"/>
        </w:rPr>
      </w:pPr>
      <w:r w:rsidRPr="5E59056A" w:rsidR="1182C085">
        <w:rPr>
          <w:b w:val="1"/>
          <w:bCs w:val="1"/>
          <w:noProof w:val="0"/>
          <w:sz w:val="32"/>
          <w:szCs w:val="32"/>
          <w:lang w:val="en-GB"/>
        </w:rPr>
        <w:t>8. The timetable for the proposed project</w:t>
      </w:r>
    </w:p>
    <w:p xmlns:wp14="http://schemas.microsoft.com/office/word/2010/wordml" w:rsidP="5E59056A" wp14:paraId="2977688E" wp14:textId="3DC8D667">
      <w:pPr>
        <w:spacing w:before="240" w:beforeAutospacing="off" w:after="240" w:afterAutospacing="off"/>
      </w:pPr>
      <w:r w:rsidRPr="5E59056A" w:rsidR="1182C085">
        <w:rPr>
          <w:rFonts w:ascii="Arial" w:hAnsi="Arial" w:eastAsia="Arial" w:cs="Arial"/>
          <w:noProof w:val="0"/>
          <w:sz w:val="24"/>
          <w:szCs w:val="24"/>
          <w:lang w:val="en-GB"/>
        </w:rPr>
        <w:t>A five-week timetable is realistic for this project.</w:t>
      </w:r>
    </w:p>
    <w:p xmlns:wp14="http://schemas.microsoft.com/office/word/2010/wordml" w:rsidP="5E59056A" wp14:paraId="7BF97953" wp14:textId="6026BEFC">
      <w:pPr>
        <w:spacing w:before="240" w:beforeAutospacing="off" w:after="240" w:afterAutospacing="off"/>
      </w:pPr>
      <w:r w:rsidRPr="5E59056A" w:rsidR="1182C085">
        <w:rPr>
          <w:rFonts w:ascii="Arial" w:hAnsi="Arial" w:eastAsia="Arial" w:cs="Arial"/>
          <w:b w:val="1"/>
          <w:bCs w:val="1"/>
          <w:noProof w:val="0"/>
          <w:sz w:val="24"/>
          <w:szCs w:val="24"/>
          <w:lang w:val="en-GB"/>
        </w:rPr>
        <w:t>Week 1:</w:t>
      </w:r>
      <w:r w:rsidRPr="5E59056A" w:rsidR="1182C085">
        <w:rPr>
          <w:rFonts w:ascii="Arial" w:hAnsi="Arial" w:eastAsia="Arial" w:cs="Arial"/>
          <w:noProof w:val="0"/>
          <w:sz w:val="24"/>
          <w:szCs w:val="24"/>
          <w:lang w:val="en-GB"/>
        </w:rPr>
        <w:t xml:space="preserve"> finalise the topic, review the key literature, and prepare the interview questions and observation framework.</w:t>
      </w:r>
      <w:r>
        <w:br/>
      </w:r>
      <w:r w:rsidRPr="5E59056A" w:rsidR="1182C085">
        <w:rPr>
          <w:rFonts w:ascii="Arial" w:hAnsi="Arial" w:eastAsia="Arial" w:cs="Arial"/>
          <w:noProof w:val="0"/>
          <w:sz w:val="24"/>
          <w:szCs w:val="24"/>
          <w:lang w:val="en-GB"/>
        </w:rPr>
        <w:t xml:space="preserve"> </w:t>
      </w:r>
      <w:r w:rsidRPr="5E59056A" w:rsidR="1182C085">
        <w:rPr>
          <w:rFonts w:ascii="Arial" w:hAnsi="Arial" w:eastAsia="Arial" w:cs="Arial"/>
          <w:b w:val="1"/>
          <w:bCs w:val="1"/>
          <w:noProof w:val="0"/>
          <w:sz w:val="24"/>
          <w:szCs w:val="24"/>
          <w:lang w:val="en-GB"/>
        </w:rPr>
        <w:t>Week 2:</w:t>
      </w:r>
      <w:r w:rsidRPr="5E59056A" w:rsidR="1182C085">
        <w:rPr>
          <w:rFonts w:ascii="Arial" w:hAnsi="Arial" w:eastAsia="Arial" w:cs="Arial"/>
          <w:noProof w:val="0"/>
          <w:sz w:val="24"/>
          <w:szCs w:val="24"/>
          <w:lang w:val="en-GB"/>
        </w:rPr>
        <w:t xml:space="preserve"> contact participants, seek institutional permission, and obtain informed consent.</w:t>
      </w:r>
      <w:r>
        <w:br/>
      </w:r>
      <w:r w:rsidRPr="5E59056A" w:rsidR="1182C085">
        <w:rPr>
          <w:rFonts w:ascii="Arial" w:hAnsi="Arial" w:eastAsia="Arial" w:cs="Arial"/>
          <w:noProof w:val="0"/>
          <w:sz w:val="24"/>
          <w:szCs w:val="24"/>
          <w:lang w:val="en-GB"/>
        </w:rPr>
        <w:t xml:space="preserve"> </w:t>
      </w:r>
      <w:r w:rsidRPr="5E59056A" w:rsidR="1182C085">
        <w:rPr>
          <w:rFonts w:ascii="Arial" w:hAnsi="Arial" w:eastAsia="Arial" w:cs="Arial"/>
          <w:b w:val="1"/>
          <w:bCs w:val="1"/>
          <w:noProof w:val="0"/>
          <w:sz w:val="24"/>
          <w:szCs w:val="24"/>
          <w:lang w:val="en-GB"/>
        </w:rPr>
        <w:t>Week 3:</w:t>
      </w:r>
      <w:r w:rsidRPr="5E59056A" w:rsidR="1182C085">
        <w:rPr>
          <w:rFonts w:ascii="Arial" w:hAnsi="Arial" w:eastAsia="Arial" w:cs="Arial"/>
          <w:noProof w:val="0"/>
          <w:sz w:val="24"/>
          <w:szCs w:val="24"/>
          <w:lang w:val="en-GB"/>
        </w:rPr>
        <w:t xml:space="preserve"> conduct the semi-structured interviews.</w:t>
      </w:r>
      <w:r>
        <w:br/>
      </w:r>
      <w:r w:rsidRPr="5E59056A" w:rsidR="1182C085">
        <w:rPr>
          <w:rFonts w:ascii="Arial" w:hAnsi="Arial" w:eastAsia="Arial" w:cs="Arial"/>
          <w:noProof w:val="0"/>
          <w:sz w:val="24"/>
          <w:szCs w:val="24"/>
          <w:lang w:val="en-GB"/>
        </w:rPr>
        <w:t xml:space="preserve"> </w:t>
      </w:r>
      <w:r w:rsidRPr="5E59056A" w:rsidR="1182C085">
        <w:rPr>
          <w:rFonts w:ascii="Arial" w:hAnsi="Arial" w:eastAsia="Arial" w:cs="Arial"/>
          <w:b w:val="1"/>
          <w:bCs w:val="1"/>
          <w:noProof w:val="0"/>
          <w:sz w:val="24"/>
          <w:szCs w:val="24"/>
          <w:lang w:val="en-GB"/>
        </w:rPr>
        <w:t>Week 4:</w:t>
      </w:r>
      <w:r w:rsidRPr="5E59056A" w:rsidR="1182C085">
        <w:rPr>
          <w:rFonts w:ascii="Arial" w:hAnsi="Arial" w:eastAsia="Arial" w:cs="Arial"/>
          <w:noProof w:val="0"/>
          <w:sz w:val="24"/>
          <w:szCs w:val="24"/>
          <w:lang w:val="en-GB"/>
        </w:rPr>
        <w:t xml:space="preserve"> carry out classroom observations and complete field notes.</w:t>
      </w:r>
      <w:r>
        <w:br/>
      </w:r>
      <w:r w:rsidRPr="5E59056A" w:rsidR="1182C085">
        <w:rPr>
          <w:rFonts w:ascii="Arial" w:hAnsi="Arial" w:eastAsia="Arial" w:cs="Arial"/>
          <w:noProof w:val="0"/>
          <w:sz w:val="24"/>
          <w:szCs w:val="24"/>
          <w:lang w:val="en-GB"/>
        </w:rPr>
        <w:t xml:space="preserve"> </w:t>
      </w:r>
      <w:r w:rsidRPr="5E59056A" w:rsidR="1182C085">
        <w:rPr>
          <w:rFonts w:ascii="Arial" w:hAnsi="Arial" w:eastAsia="Arial" w:cs="Arial"/>
          <w:b w:val="1"/>
          <w:bCs w:val="1"/>
          <w:noProof w:val="0"/>
          <w:sz w:val="24"/>
          <w:szCs w:val="24"/>
          <w:lang w:val="en-GB"/>
        </w:rPr>
        <w:t>Week 5:</w:t>
      </w:r>
      <w:r w:rsidRPr="5E59056A" w:rsidR="1182C085">
        <w:rPr>
          <w:rFonts w:ascii="Arial" w:hAnsi="Arial" w:eastAsia="Arial" w:cs="Arial"/>
          <w:noProof w:val="0"/>
          <w:sz w:val="24"/>
          <w:szCs w:val="24"/>
          <w:lang w:val="en-GB"/>
        </w:rPr>
        <w:t xml:space="preserve"> organise the data, identify the main themes, and begin the analysis and evaluation.</w:t>
      </w:r>
    </w:p>
    <w:p xmlns:wp14="http://schemas.microsoft.com/office/word/2010/wordml" w:rsidP="5E59056A" wp14:paraId="66FA6C4A" wp14:textId="03D2890A">
      <w:pPr>
        <w:spacing w:before="240" w:beforeAutospacing="off" w:after="240" w:afterAutospacing="off"/>
      </w:pPr>
      <w:r w:rsidRPr="5E59056A" w:rsidR="1182C085">
        <w:rPr>
          <w:rFonts w:ascii="Arial" w:hAnsi="Arial" w:eastAsia="Arial" w:cs="Arial"/>
          <w:noProof w:val="0"/>
          <w:sz w:val="24"/>
          <w:szCs w:val="24"/>
          <w:lang w:val="en-GB"/>
        </w:rPr>
        <w:t>This timetable is realistic because the project remains small in scale, uses a limited number of participants, and relies on straightforward qualitative methods. It is manageable within the scope of the assignment and leaves enough time for planning, data collection and initial analysis.</w:t>
      </w:r>
    </w:p>
    <w:p xmlns:wp14="http://schemas.microsoft.com/office/word/2010/wordml" w:rsidP="5E59056A" wp14:paraId="1EC36BBF" wp14:textId="250583DF">
      <w:pPr>
        <w:pStyle w:val="Normal"/>
        <w:rPr>
          <w:b w:val="1"/>
          <w:bCs w:val="1"/>
          <w:noProof w:val="0"/>
          <w:sz w:val="32"/>
          <w:szCs w:val="32"/>
          <w:lang w:val="en-GB"/>
        </w:rPr>
      </w:pPr>
      <w:r w:rsidRPr="5E59056A" w:rsidR="1182C085">
        <w:rPr>
          <w:b w:val="1"/>
          <w:bCs w:val="1"/>
          <w:noProof w:val="0"/>
          <w:sz w:val="32"/>
          <w:szCs w:val="32"/>
          <w:lang w:val="en-GB"/>
        </w:rPr>
        <w:t>References</w:t>
      </w:r>
    </w:p>
    <w:p xmlns:wp14="http://schemas.microsoft.com/office/word/2010/wordml" w:rsidP="5E59056A" wp14:paraId="5A92DACD" wp14:textId="64BD28AF">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Auerbach, E.R. (1993) ‘</w:t>
      </w:r>
      <w:r w:rsidRPr="5E59056A" w:rsidR="5444D343">
        <w:rPr>
          <w:rFonts w:ascii="Arial" w:hAnsi="Arial" w:eastAsia="Arial" w:cs="Arial"/>
          <w:noProof w:val="0"/>
          <w:sz w:val="24"/>
          <w:szCs w:val="24"/>
          <w:lang w:val="en-GB"/>
        </w:rPr>
        <w:t>Reexamining</w:t>
      </w:r>
      <w:r w:rsidRPr="5E59056A" w:rsidR="5444D343">
        <w:rPr>
          <w:rFonts w:ascii="Arial" w:hAnsi="Arial" w:eastAsia="Arial" w:cs="Arial"/>
          <w:noProof w:val="0"/>
          <w:sz w:val="24"/>
          <w:szCs w:val="24"/>
          <w:lang w:val="en-GB"/>
        </w:rPr>
        <w:t xml:space="preserve"> English only in the ESL classroom’, </w:t>
      </w:r>
      <w:r w:rsidRPr="5E59056A" w:rsidR="5444D343">
        <w:rPr>
          <w:rFonts w:ascii="Arial" w:hAnsi="Arial" w:eastAsia="Arial" w:cs="Arial"/>
          <w:i w:val="1"/>
          <w:iCs w:val="1"/>
          <w:noProof w:val="0"/>
          <w:sz w:val="24"/>
          <w:szCs w:val="24"/>
          <w:lang w:val="en-GB"/>
        </w:rPr>
        <w:t>TESOL Quarterly</w:t>
      </w:r>
      <w:r w:rsidRPr="5E59056A" w:rsidR="5444D343">
        <w:rPr>
          <w:rFonts w:ascii="Arial" w:hAnsi="Arial" w:eastAsia="Arial" w:cs="Arial"/>
          <w:noProof w:val="0"/>
          <w:sz w:val="24"/>
          <w:szCs w:val="24"/>
          <w:lang w:val="en-GB"/>
        </w:rPr>
        <w:t xml:space="preserve">, 27(1), pp. 9–32. doi:10.2307/3586949. </w:t>
      </w:r>
    </w:p>
    <w:p xmlns:wp14="http://schemas.microsoft.com/office/word/2010/wordml" w:rsidP="5E59056A" wp14:paraId="099F94C9" wp14:textId="28E2090F">
      <w:pPr>
        <w:pStyle w:val="ListParagraph"/>
        <w:spacing w:before="0" w:beforeAutospacing="off" w:after="0" w:afterAutospacing="off"/>
        <w:ind w:left="720"/>
        <w:rPr>
          <w:rFonts w:ascii="Arial" w:hAnsi="Arial" w:eastAsia="Arial" w:cs="Arial"/>
          <w:noProof w:val="0"/>
          <w:sz w:val="24"/>
          <w:szCs w:val="24"/>
          <w:lang w:val="en-GB"/>
        </w:rPr>
      </w:pPr>
    </w:p>
    <w:p xmlns:wp14="http://schemas.microsoft.com/office/word/2010/wordml" w:rsidP="5E59056A" wp14:paraId="65E07240" wp14:textId="508EFD3D">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 xml:space="preserve">BERA (2024) </w:t>
      </w:r>
      <w:r w:rsidRPr="5E59056A" w:rsidR="5444D343">
        <w:rPr>
          <w:rFonts w:ascii="Arial" w:hAnsi="Arial" w:eastAsia="Arial" w:cs="Arial"/>
          <w:i w:val="1"/>
          <w:iCs w:val="1"/>
          <w:noProof w:val="0"/>
          <w:sz w:val="24"/>
          <w:szCs w:val="24"/>
          <w:lang w:val="en-GB"/>
        </w:rPr>
        <w:t>Ethical Guidelines for Educational Research</w:t>
      </w:r>
      <w:r w:rsidRPr="5E59056A" w:rsidR="5444D343">
        <w:rPr>
          <w:rFonts w:ascii="Arial" w:hAnsi="Arial" w:eastAsia="Arial" w:cs="Arial"/>
          <w:noProof w:val="0"/>
          <w:sz w:val="24"/>
          <w:szCs w:val="24"/>
          <w:lang w:val="en-GB"/>
        </w:rPr>
        <w:t xml:space="preserve">. 5th </w:t>
      </w:r>
      <w:r w:rsidRPr="5E59056A" w:rsidR="5444D343">
        <w:rPr>
          <w:rFonts w:ascii="Arial" w:hAnsi="Arial" w:eastAsia="Arial" w:cs="Arial"/>
          <w:noProof w:val="0"/>
          <w:sz w:val="24"/>
          <w:szCs w:val="24"/>
          <w:lang w:val="en-GB"/>
        </w:rPr>
        <w:t>edn</w:t>
      </w:r>
      <w:r w:rsidRPr="5E59056A" w:rsidR="5444D343">
        <w:rPr>
          <w:rFonts w:ascii="Arial" w:hAnsi="Arial" w:eastAsia="Arial" w:cs="Arial"/>
          <w:noProof w:val="0"/>
          <w:sz w:val="24"/>
          <w:szCs w:val="24"/>
          <w:lang w:val="en-GB"/>
        </w:rPr>
        <w:t xml:space="preserve">. London: British Educational Research Association. </w:t>
      </w:r>
    </w:p>
    <w:p xmlns:wp14="http://schemas.microsoft.com/office/word/2010/wordml" w:rsidP="5E59056A" wp14:paraId="67E53FD6" wp14:textId="73522883">
      <w:pPr>
        <w:pStyle w:val="ListParagraph"/>
        <w:spacing w:before="0" w:beforeAutospacing="off" w:after="0" w:afterAutospacing="off"/>
        <w:ind w:left="720"/>
        <w:rPr>
          <w:rFonts w:ascii="Arial" w:hAnsi="Arial" w:eastAsia="Arial" w:cs="Arial"/>
          <w:noProof w:val="0"/>
          <w:sz w:val="24"/>
          <w:szCs w:val="24"/>
          <w:lang w:val="en-GB"/>
        </w:rPr>
      </w:pPr>
    </w:p>
    <w:p xmlns:wp14="http://schemas.microsoft.com/office/word/2010/wordml" w:rsidP="5E59056A" wp14:paraId="652092A0" wp14:textId="095F7F01">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 xml:space="preserve">Borg, S. (2003) ‘Teacher cognition in language teaching: A review of research on what language teachers think, know, believe, and do’, </w:t>
      </w:r>
      <w:r w:rsidRPr="5E59056A" w:rsidR="5444D343">
        <w:rPr>
          <w:rFonts w:ascii="Arial" w:hAnsi="Arial" w:eastAsia="Arial" w:cs="Arial"/>
          <w:i w:val="1"/>
          <w:iCs w:val="1"/>
          <w:noProof w:val="0"/>
          <w:sz w:val="24"/>
          <w:szCs w:val="24"/>
          <w:lang w:val="en-GB"/>
        </w:rPr>
        <w:t>Language Teaching</w:t>
      </w:r>
      <w:r w:rsidRPr="5E59056A" w:rsidR="5444D343">
        <w:rPr>
          <w:rFonts w:ascii="Arial" w:hAnsi="Arial" w:eastAsia="Arial" w:cs="Arial"/>
          <w:noProof w:val="0"/>
          <w:sz w:val="24"/>
          <w:szCs w:val="24"/>
          <w:lang w:val="en-GB"/>
        </w:rPr>
        <w:t xml:space="preserve">, 36(2), pp. 81–109. doi:10.1017/S0261444803001903. </w:t>
      </w:r>
    </w:p>
    <w:p xmlns:wp14="http://schemas.microsoft.com/office/word/2010/wordml" w:rsidP="5E59056A" wp14:paraId="3BD96D71" wp14:textId="24890F12">
      <w:pPr>
        <w:pStyle w:val="ListParagraph"/>
        <w:spacing w:before="0" w:beforeAutospacing="off" w:after="0" w:afterAutospacing="off"/>
        <w:ind w:left="720"/>
        <w:rPr>
          <w:rFonts w:ascii="Arial" w:hAnsi="Arial" w:eastAsia="Arial" w:cs="Arial"/>
          <w:noProof w:val="0"/>
          <w:sz w:val="24"/>
          <w:szCs w:val="24"/>
          <w:lang w:val="en-GB"/>
        </w:rPr>
      </w:pPr>
    </w:p>
    <w:p xmlns:wp14="http://schemas.microsoft.com/office/word/2010/wordml" w:rsidP="5E59056A" wp14:paraId="33F89A8A" wp14:textId="1697CC81">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 xml:space="preserve">Bonacina-Pugh, F., Da Costa Cabral, </w:t>
      </w:r>
      <w:r w:rsidRPr="5E59056A" w:rsidR="5444D343">
        <w:rPr>
          <w:rFonts w:ascii="Arial" w:hAnsi="Arial" w:eastAsia="Arial" w:cs="Arial"/>
          <w:noProof w:val="0"/>
          <w:sz w:val="24"/>
          <w:szCs w:val="24"/>
          <w:lang w:val="en-GB"/>
        </w:rPr>
        <w:t>I.</w:t>
      </w:r>
      <w:r w:rsidRPr="5E59056A" w:rsidR="5444D343">
        <w:rPr>
          <w:rFonts w:ascii="Arial" w:hAnsi="Arial" w:eastAsia="Arial" w:cs="Arial"/>
          <w:noProof w:val="0"/>
          <w:sz w:val="24"/>
          <w:szCs w:val="24"/>
          <w:lang w:val="en-GB"/>
        </w:rPr>
        <w:t xml:space="preserve"> and Huang, J. (2021) ‘Translanguaging in education’, </w:t>
      </w:r>
      <w:r w:rsidRPr="5E59056A" w:rsidR="5444D343">
        <w:rPr>
          <w:rFonts w:ascii="Arial" w:hAnsi="Arial" w:eastAsia="Arial" w:cs="Arial"/>
          <w:i w:val="1"/>
          <w:iCs w:val="1"/>
          <w:noProof w:val="0"/>
          <w:sz w:val="24"/>
          <w:szCs w:val="24"/>
          <w:lang w:val="en-GB"/>
        </w:rPr>
        <w:t>Language Teaching</w:t>
      </w:r>
      <w:r w:rsidRPr="5E59056A" w:rsidR="5444D343">
        <w:rPr>
          <w:rFonts w:ascii="Arial" w:hAnsi="Arial" w:eastAsia="Arial" w:cs="Arial"/>
          <w:noProof w:val="0"/>
          <w:sz w:val="24"/>
          <w:szCs w:val="24"/>
          <w:lang w:val="en-GB"/>
        </w:rPr>
        <w:t xml:space="preserve">, 54(4), pp. 439–471. doi:10.1017/S0261444821000173. </w:t>
      </w:r>
    </w:p>
    <w:p xmlns:wp14="http://schemas.microsoft.com/office/word/2010/wordml" w:rsidP="5E59056A" wp14:paraId="322A07DB" wp14:textId="7B18CF0E">
      <w:pPr>
        <w:pStyle w:val="ListParagraph"/>
        <w:spacing w:before="0" w:beforeAutospacing="off" w:after="0" w:afterAutospacing="off"/>
        <w:ind w:left="720"/>
        <w:rPr>
          <w:rFonts w:ascii="Arial" w:hAnsi="Arial" w:eastAsia="Arial" w:cs="Arial"/>
          <w:noProof w:val="0"/>
          <w:sz w:val="24"/>
          <w:szCs w:val="24"/>
          <w:lang w:val="en-GB"/>
        </w:rPr>
      </w:pPr>
    </w:p>
    <w:p xmlns:wp14="http://schemas.microsoft.com/office/word/2010/wordml" w:rsidP="5E59056A" wp14:paraId="10FD59BF" wp14:textId="00B9EF1E">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 xml:space="preserve">Braun, </w:t>
      </w:r>
      <w:r w:rsidRPr="5E59056A" w:rsidR="5444D343">
        <w:rPr>
          <w:rFonts w:ascii="Arial" w:hAnsi="Arial" w:eastAsia="Arial" w:cs="Arial"/>
          <w:noProof w:val="0"/>
          <w:sz w:val="24"/>
          <w:szCs w:val="24"/>
          <w:lang w:val="en-GB"/>
        </w:rPr>
        <w:t>V.</w:t>
      </w:r>
      <w:r w:rsidRPr="5E59056A" w:rsidR="5444D343">
        <w:rPr>
          <w:rFonts w:ascii="Arial" w:hAnsi="Arial" w:eastAsia="Arial" w:cs="Arial"/>
          <w:noProof w:val="0"/>
          <w:sz w:val="24"/>
          <w:szCs w:val="24"/>
          <w:lang w:val="en-GB"/>
        </w:rPr>
        <w:t xml:space="preserve"> and Clarke, V. (2006) ‘Using thematic analysis in psychology’, </w:t>
      </w:r>
      <w:r w:rsidRPr="5E59056A" w:rsidR="5444D343">
        <w:rPr>
          <w:rFonts w:ascii="Arial" w:hAnsi="Arial" w:eastAsia="Arial" w:cs="Arial"/>
          <w:i w:val="1"/>
          <w:iCs w:val="1"/>
          <w:noProof w:val="0"/>
          <w:sz w:val="24"/>
          <w:szCs w:val="24"/>
          <w:lang w:val="en-GB"/>
        </w:rPr>
        <w:t>Qualitative Research in Psychology</w:t>
      </w:r>
      <w:r w:rsidRPr="5E59056A" w:rsidR="5444D343">
        <w:rPr>
          <w:rFonts w:ascii="Arial" w:hAnsi="Arial" w:eastAsia="Arial" w:cs="Arial"/>
          <w:noProof w:val="0"/>
          <w:sz w:val="24"/>
          <w:szCs w:val="24"/>
          <w:lang w:val="en-GB"/>
        </w:rPr>
        <w:t xml:space="preserve">, 3(2), pp. 77–101. doi:10.1191/1478088706qp063oa. </w:t>
      </w:r>
    </w:p>
    <w:p xmlns:wp14="http://schemas.microsoft.com/office/word/2010/wordml" w:rsidP="5E59056A" wp14:paraId="4C9B7690" wp14:textId="55AA983F">
      <w:pPr>
        <w:pStyle w:val="ListParagraph"/>
        <w:spacing w:before="0" w:beforeAutospacing="off" w:after="0" w:afterAutospacing="off"/>
        <w:ind w:left="720"/>
        <w:rPr>
          <w:rFonts w:ascii="Arial" w:hAnsi="Arial" w:eastAsia="Arial" w:cs="Arial"/>
          <w:noProof w:val="0"/>
          <w:sz w:val="24"/>
          <w:szCs w:val="24"/>
          <w:lang w:val="en-GB"/>
        </w:rPr>
      </w:pPr>
    </w:p>
    <w:p xmlns:wp14="http://schemas.microsoft.com/office/word/2010/wordml" w:rsidP="5E59056A" wp14:paraId="1021F3BF" wp14:textId="191CAB6B">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 xml:space="preserve">Cahyani, H., de Courcy, M. and Barnett, J. (2018) ‘Teachers’ code-switching in bilingual classrooms: Exploring pedagogical and sociocultural functions’, </w:t>
      </w:r>
      <w:r w:rsidRPr="5E59056A" w:rsidR="5444D343">
        <w:rPr>
          <w:rFonts w:ascii="Arial" w:hAnsi="Arial" w:eastAsia="Arial" w:cs="Arial"/>
          <w:i w:val="1"/>
          <w:iCs w:val="1"/>
          <w:noProof w:val="0"/>
          <w:sz w:val="24"/>
          <w:szCs w:val="24"/>
          <w:lang w:val="en-GB"/>
        </w:rPr>
        <w:t>International Journal of Bilingual Education and Bilingualism</w:t>
      </w:r>
      <w:r w:rsidRPr="5E59056A" w:rsidR="5444D343">
        <w:rPr>
          <w:rFonts w:ascii="Arial" w:hAnsi="Arial" w:eastAsia="Arial" w:cs="Arial"/>
          <w:noProof w:val="0"/>
          <w:sz w:val="24"/>
          <w:szCs w:val="24"/>
          <w:lang w:val="en-GB"/>
        </w:rPr>
        <w:t xml:space="preserve">, 21(4), pp. 465–479. doi:10.1080/13670050.2016.1189509. </w:t>
      </w:r>
    </w:p>
    <w:p xmlns:wp14="http://schemas.microsoft.com/office/word/2010/wordml" w:rsidP="5E59056A" wp14:paraId="3E35B314" wp14:textId="6457EDC4">
      <w:pPr>
        <w:pStyle w:val="ListParagraph"/>
        <w:spacing w:before="0" w:beforeAutospacing="off" w:after="0" w:afterAutospacing="off"/>
        <w:ind w:left="720"/>
        <w:rPr>
          <w:rFonts w:ascii="Arial" w:hAnsi="Arial" w:eastAsia="Arial" w:cs="Arial"/>
          <w:noProof w:val="0"/>
          <w:sz w:val="24"/>
          <w:szCs w:val="24"/>
          <w:lang w:val="en-GB"/>
        </w:rPr>
      </w:pPr>
    </w:p>
    <w:p xmlns:wp14="http://schemas.microsoft.com/office/word/2010/wordml" w:rsidP="5E59056A" wp14:paraId="397EF3B1" wp14:textId="65050FA6">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Cenoz</w:t>
      </w:r>
      <w:r w:rsidRPr="5E59056A" w:rsidR="5444D343">
        <w:rPr>
          <w:rFonts w:ascii="Arial" w:hAnsi="Arial" w:eastAsia="Arial" w:cs="Arial"/>
          <w:noProof w:val="0"/>
          <w:sz w:val="24"/>
          <w:szCs w:val="24"/>
          <w:lang w:val="en-GB"/>
        </w:rPr>
        <w:t xml:space="preserve">, J. and Gorter, D. (2021) </w:t>
      </w:r>
      <w:r w:rsidRPr="5E59056A" w:rsidR="5444D343">
        <w:rPr>
          <w:rFonts w:ascii="Arial" w:hAnsi="Arial" w:eastAsia="Arial" w:cs="Arial"/>
          <w:i w:val="1"/>
          <w:iCs w:val="1"/>
          <w:noProof w:val="0"/>
          <w:sz w:val="24"/>
          <w:szCs w:val="24"/>
          <w:lang w:val="en-GB"/>
        </w:rPr>
        <w:t>Pedagogical Translanguaging</w:t>
      </w:r>
      <w:r w:rsidRPr="5E59056A" w:rsidR="5444D343">
        <w:rPr>
          <w:rFonts w:ascii="Arial" w:hAnsi="Arial" w:eastAsia="Arial" w:cs="Arial"/>
          <w:noProof w:val="0"/>
          <w:sz w:val="24"/>
          <w:szCs w:val="24"/>
          <w:lang w:val="en-GB"/>
        </w:rPr>
        <w:t xml:space="preserve">. Cambridge: Cambridge University Press. </w:t>
      </w:r>
    </w:p>
    <w:p xmlns:wp14="http://schemas.microsoft.com/office/word/2010/wordml" w:rsidP="5E59056A" wp14:paraId="47AEDC27" wp14:textId="1D830C48">
      <w:pPr>
        <w:pStyle w:val="ListParagraph"/>
        <w:spacing w:before="0" w:beforeAutospacing="off" w:after="0" w:afterAutospacing="off"/>
        <w:ind w:left="720"/>
        <w:rPr>
          <w:rFonts w:ascii="Arial" w:hAnsi="Arial" w:eastAsia="Arial" w:cs="Arial"/>
          <w:noProof w:val="0"/>
          <w:sz w:val="24"/>
          <w:szCs w:val="24"/>
          <w:lang w:val="en-GB"/>
        </w:rPr>
      </w:pPr>
    </w:p>
    <w:p xmlns:wp14="http://schemas.microsoft.com/office/word/2010/wordml" w:rsidP="5E59056A" wp14:paraId="088C4AF8" wp14:textId="46FC4B56">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 xml:space="preserve">Cook, V.J. (2001) ‘Using the first language in the classroom’, </w:t>
      </w:r>
      <w:r w:rsidRPr="5E59056A" w:rsidR="5444D343">
        <w:rPr>
          <w:rFonts w:ascii="Arial" w:hAnsi="Arial" w:eastAsia="Arial" w:cs="Arial"/>
          <w:i w:val="1"/>
          <w:iCs w:val="1"/>
          <w:noProof w:val="0"/>
          <w:sz w:val="24"/>
          <w:szCs w:val="24"/>
          <w:lang w:val="en-GB"/>
        </w:rPr>
        <w:t>Canadian Modern Language Review</w:t>
      </w:r>
      <w:r w:rsidRPr="5E59056A" w:rsidR="5444D343">
        <w:rPr>
          <w:rFonts w:ascii="Arial" w:hAnsi="Arial" w:eastAsia="Arial" w:cs="Arial"/>
          <w:noProof w:val="0"/>
          <w:sz w:val="24"/>
          <w:szCs w:val="24"/>
          <w:lang w:val="en-GB"/>
        </w:rPr>
        <w:t xml:space="preserve">, 57(3), pp. 402–423. doi:10.3138/cmlr.57.3.402. </w:t>
      </w:r>
    </w:p>
    <w:p xmlns:wp14="http://schemas.microsoft.com/office/word/2010/wordml" w:rsidP="5E59056A" wp14:paraId="18F46BF7" wp14:textId="533DCF21">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 xml:space="preserve">Edstrom, A. (2006) ‘L1 use in the L2 classroom: One teacher’s self-evaluation’, </w:t>
      </w:r>
      <w:r w:rsidRPr="5E59056A" w:rsidR="5444D343">
        <w:rPr>
          <w:rFonts w:ascii="Arial" w:hAnsi="Arial" w:eastAsia="Arial" w:cs="Arial"/>
          <w:i w:val="1"/>
          <w:iCs w:val="1"/>
          <w:noProof w:val="0"/>
          <w:sz w:val="24"/>
          <w:szCs w:val="24"/>
          <w:lang w:val="en-GB"/>
        </w:rPr>
        <w:t>Canadian Modern Language Review</w:t>
      </w:r>
      <w:r w:rsidRPr="5E59056A" w:rsidR="5444D343">
        <w:rPr>
          <w:rFonts w:ascii="Arial" w:hAnsi="Arial" w:eastAsia="Arial" w:cs="Arial"/>
          <w:noProof w:val="0"/>
          <w:sz w:val="24"/>
          <w:szCs w:val="24"/>
          <w:lang w:val="en-GB"/>
        </w:rPr>
        <w:t xml:space="preserve">, 63(2), pp. 275–292. doi:10.3138/cmlr.63.2.275. </w:t>
      </w:r>
    </w:p>
    <w:p xmlns:wp14="http://schemas.microsoft.com/office/word/2010/wordml" w:rsidP="5E59056A" wp14:paraId="5A98EC44" wp14:textId="28E1793D">
      <w:pPr>
        <w:pStyle w:val="ListParagraph"/>
        <w:spacing w:before="0" w:beforeAutospacing="off" w:after="0" w:afterAutospacing="off"/>
        <w:ind w:left="720"/>
        <w:rPr>
          <w:rFonts w:ascii="Arial" w:hAnsi="Arial" w:eastAsia="Arial" w:cs="Arial"/>
          <w:noProof w:val="0"/>
          <w:sz w:val="24"/>
          <w:szCs w:val="24"/>
          <w:lang w:val="en-GB"/>
        </w:rPr>
      </w:pPr>
    </w:p>
    <w:p xmlns:wp14="http://schemas.microsoft.com/office/word/2010/wordml" w:rsidP="5E59056A" wp14:paraId="53B641C5" wp14:textId="30B246D2">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 xml:space="preserve">García, O. and Lin, A.M.Y. (2017) ‘Translanguaging in bilingual education’, in García, O., Lin, A.M.Y. and May, S. (eds.) </w:t>
      </w:r>
      <w:r w:rsidRPr="5E59056A" w:rsidR="5444D343">
        <w:rPr>
          <w:rFonts w:ascii="Arial" w:hAnsi="Arial" w:eastAsia="Arial" w:cs="Arial"/>
          <w:i w:val="1"/>
          <w:iCs w:val="1"/>
          <w:noProof w:val="0"/>
          <w:sz w:val="24"/>
          <w:szCs w:val="24"/>
          <w:lang w:val="en-GB"/>
        </w:rPr>
        <w:t>Bilingual and Multilingual Education</w:t>
      </w:r>
      <w:r w:rsidRPr="5E59056A" w:rsidR="5444D343">
        <w:rPr>
          <w:rFonts w:ascii="Arial" w:hAnsi="Arial" w:eastAsia="Arial" w:cs="Arial"/>
          <w:noProof w:val="0"/>
          <w:sz w:val="24"/>
          <w:szCs w:val="24"/>
          <w:lang w:val="en-GB"/>
        </w:rPr>
        <w:t xml:space="preserve">. Cham: Springer, pp. 117–130. doi:10.1007/978-3-319-02258-1_9. </w:t>
      </w:r>
    </w:p>
    <w:p xmlns:wp14="http://schemas.microsoft.com/office/word/2010/wordml" w:rsidP="5E59056A" wp14:paraId="345A1A75" wp14:textId="39CC6C0F">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 xml:space="preserve">Hall, G. and Cook, G. (2012) ‘Own-language use in language teaching and learning’, </w:t>
      </w:r>
      <w:r w:rsidRPr="5E59056A" w:rsidR="5444D343">
        <w:rPr>
          <w:rFonts w:ascii="Arial" w:hAnsi="Arial" w:eastAsia="Arial" w:cs="Arial"/>
          <w:i w:val="1"/>
          <w:iCs w:val="1"/>
          <w:noProof w:val="0"/>
          <w:sz w:val="24"/>
          <w:szCs w:val="24"/>
          <w:lang w:val="en-GB"/>
        </w:rPr>
        <w:t>Language Teaching</w:t>
      </w:r>
      <w:r w:rsidRPr="5E59056A" w:rsidR="5444D343">
        <w:rPr>
          <w:rFonts w:ascii="Arial" w:hAnsi="Arial" w:eastAsia="Arial" w:cs="Arial"/>
          <w:noProof w:val="0"/>
          <w:sz w:val="24"/>
          <w:szCs w:val="24"/>
          <w:lang w:val="en-GB"/>
        </w:rPr>
        <w:t xml:space="preserve">, 45(3), pp. 271–308. doi:10.1017/S0261444812000067. </w:t>
      </w:r>
    </w:p>
    <w:p xmlns:wp14="http://schemas.microsoft.com/office/word/2010/wordml" w:rsidP="5E59056A" wp14:paraId="0CD2F130" wp14:textId="35D30B03">
      <w:pPr>
        <w:pStyle w:val="ListParagraph"/>
        <w:spacing w:before="0" w:beforeAutospacing="off" w:after="0" w:afterAutospacing="off"/>
        <w:ind w:left="720"/>
        <w:rPr>
          <w:rFonts w:ascii="Arial" w:hAnsi="Arial" w:eastAsia="Arial" w:cs="Arial"/>
          <w:noProof w:val="0"/>
          <w:sz w:val="24"/>
          <w:szCs w:val="24"/>
          <w:lang w:val="en-GB"/>
        </w:rPr>
      </w:pPr>
    </w:p>
    <w:p xmlns:wp14="http://schemas.microsoft.com/office/word/2010/wordml" w:rsidP="5E59056A" wp14:paraId="5E9F79C9" wp14:textId="6F2EB6D7">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 xml:space="preserve">Lee, J.H. and Macaro, E. (2013) ‘Investigating age in the use of L1 or English-only instruction: Vocabulary acquisition by Korean EFL learners’, </w:t>
      </w:r>
      <w:r w:rsidRPr="5E59056A" w:rsidR="5444D343">
        <w:rPr>
          <w:rFonts w:ascii="Arial" w:hAnsi="Arial" w:eastAsia="Arial" w:cs="Arial"/>
          <w:i w:val="1"/>
          <w:iCs w:val="1"/>
          <w:noProof w:val="0"/>
          <w:sz w:val="24"/>
          <w:szCs w:val="24"/>
          <w:lang w:val="en-GB"/>
        </w:rPr>
        <w:t>Modern Language Journal</w:t>
      </w:r>
      <w:r w:rsidRPr="5E59056A" w:rsidR="5444D343">
        <w:rPr>
          <w:rFonts w:ascii="Arial" w:hAnsi="Arial" w:eastAsia="Arial" w:cs="Arial"/>
          <w:noProof w:val="0"/>
          <w:sz w:val="24"/>
          <w:szCs w:val="24"/>
          <w:lang w:val="en-GB"/>
        </w:rPr>
        <w:t>, 97(4), pp. 887–901. doi:10.1111/j.1540-4781.2013.</w:t>
      </w:r>
      <w:r w:rsidRPr="5E59056A" w:rsidR="5444D343">
        <w:rPr>
          <w:rFonts w:ascii="Arial" w:hAnsi="Arial" w:eastAsia="Arial" w:cs="Arial"/>
          <w:noProof w:val="0"/>
          <w:sz w:val="24"/>
          <w:szCs w:val="24"/>
          <w:lang w:val="en-GB"/>
        </w:rPr>
        <w:t>12044.x.</w:t>
      </w:r>
      <w:r w:rsidRPr="5E59056A" w:rsidR="5444D343">
        <w:rPr>
          <w:rFonts w:ascii="Arial" w:hAnsi="Arial" w:eastAsia="Arial" w:cs="Arial"/>
          <w:noProof w:val="0"/>
          <w:sz w:val="24"/>
          <w:szCs w:val="24"/>
          <w:lang w:val="en-GB"/>
        </w:rPr>
        <w:t xml:space="preserve"> </w:t>
      </w:r>
    </w:p>
    <w:p xmlns:wp14="http://schemas.microsoft.com/office/word/2010/wordml" w:rsidP="5E59056A" wp14:paraId="7D9F05BB" wp14:textId="44565660">
      <w:pPr>
        <w:pStyle w:val="ListParagraph"/>
        <w:spacing w:before="0" w:beforeAutospacing="off" w:after="0" w:afterAutospacing="off"/>
        <w:ind w:left="720"/>
        <w:rPr>
          <w:rFonts w:ascii="Arial" w:hAnsi="Arial" w:eastAsia="Arial" w:cs="Arial"/>
          <w:noProof w:val="0"/>
          <w:sz w:val="24"/>
          <w:szCs w:val="24"/>
          <w:lang w:val="en-GB"/>
        </w:rPr>
      </w:pPr>
    </w:p>
    <w:p xmlns:wp14="http://schemas.microsoft.com/office/word/2010/wordml" w:rsidP="5E59056A" wp14:paraId="4CDE164F" wp14:textId="29B423AB">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 xml:space="preserve">Levine, G.S. (2014) ‘Principles for code choice in the foreign language classroom: A focus on grammaring’, </w:t>
      </w:r>
      <w:r w:rsidRPr="5E59056A" w:rsidR="5444D343">
        <w:rPr>
          <w:rFonts w:ascii="Arial" w:hAnsi="Arial" w:eastAsia="Arial" w:cs="Arial"/>
          <w:i w:val="1"/>
          <w:iCs w:val="1"/>
          <w:noProof w:val="0"/>
          <w:sz w:val="24"/>
          <w:szCs w:val="24"/>
          <w:lang w:val="en-GB"/>
        </w:rPr>
        <w:t>Language Teaching</w:t>
      </w:r>
      <w:r w:rsidRPr="5E59056A" w:rsidR="5444D343">
        <w:rPr>
          <w:rFonts w:ascii="Arial" w:hAnsi="Arial" w:eastAsia="Arial" w:cs="Arial"/>
          <w:noProof w:val="0"/>
          <w:sz w:val="24"/>
          <w:szCs w:val="24"/>
          <w:lang w:val="en-GB"/>
        </w:rPr>
        <w:t xml:space="preserve">, 47(3), pp. 332–348. </w:t>
      </w:r>
    </w:p>
    <w:p xmlns:wp14="http://schemas.microsoft.com/office/word/2010/wordml" w:rsidP="5E59056A" wp14:paraId="429C4E8C" wp14:textId="4FBD3524">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 xml:space="preserve">Macaro, E. (2001) ‘Analysing student teachers’ codeswitching in foreign language classrooms: Theories and decision making’, </w:t>
      </w:r>
      <w:r w:rsidRPr="5E59056A" w:rsidR="5444D343">
        <w:rPr>
          <w:rFonts w:ascii="Arial" w:hAnsi="Arial" w:eastAsia="Arial" w:cs="Arial"/>
          <w:i w:val="1"/>
          <w:iCs w:val="1"/>
          <w:noProof w:val="0"/>
          <w:sz w:val="24"/>
          <w:szCs w:val="24"/>
          <w:lang w:val="en-GB"/>
        </w:rPr>
        <w:t>Modern Language Journal</w:t>
      </w:r>
      <w:r w:rsidRPr="5E59056A" w:rsidR="5444D343">
        <w:rPr>
          <w:rFonts w:ascii="Arial" w:hAnsi="Arial" w:eastAsia="Arial" w:cs="Arial"/>
          <w:noProof w:val="0"/>
          <w:sz w:val="24"/>
          <w:szCs w:val="24"/>
          <w:lang w:val="en-GB"/>
        </w:rPr>
        <w:t xml:space="preserve">, 85(4), pp. 531–548. doi:10.1111/0026-7902.00124. </w:t>
      </w:r>
    </w:p>
    <w:p xmlns:wp14="http://schemas.microsoft.com/office/word/2010/wordml" w:rsidP="5E59056A" wp14:paraId="3A29B14C" wp14:textId="2D8E2485">
      <w:pPr>
        <w:pStyle w:val="ListParagraph"/>
        <w:spacing w:before="0" w:beforeAutospacing="off" w:after="0" w:afterAutospacing="off"/>
        <w:ind w:left="720"/>
        <w:rPr>
          <w:rFonts w:ascii="Arial" w:hAnsi="Arial" w:eastAsia="Arial" w:cs="Arial"/>
          <w:noProof w:val="0"/>
          <w:sz w:val="24"/>
          <w:szCs w:val="24"/>
          <w:lang w:val="en-GB"/>
        </w:rPr>
      </w:pPr>
    </w:p>
    <w:p xmlns:wp14="http://schemas.microsoft.com/office/word/2010/wordml" w:rsidP="5E59056A" wp14:paraId="0E299FF7" wp14:textId="1C6D0B74">
      <w:pPr>
        <w:pStyle w:val="ListParagraph"/>
        <w:numPr>
          <w:ilvl w:val="0"/>
          <w:numId w:val="2"/>
        </w:numPr>
        <w:spacing w:before="0" w:beforeAutospacing="off" w:after="0" w:afterAutospacing="off"/>
        <w:rPr>
          <w:rFonts w:ascii="Arial" w:hAnsi="Arial" w:eastAsia="Arial" w:cs="Arial"/>
          <w:noProof w:val="0"/>
          <w:sz w:val="24"/>
          <w:szCs w:val="24"/>
          <w:lang w:val="en-GB"/>
        </w:rPr>
      </w:pPr>
      <w:r w:rsidRPr="5E59056A" w:rsidR="5444D343">
        <w:rPr>
          <w:rFonts w:ascii="Arial" w:hAnsi="Arial" w:eastAsia="Arial" w:cs="Arial"/>
          <w:noProof w:val="0"/>
          <w:sz w:val="24"/>
          <w:szCs w:val="24"/>
          <w:lang w:val="en-GB"/>
        </w:rPr>
        <w:t xml:space="preserve">Wei, L. (2018) ‘Translanguaging as a practical theory of language’, </w:t>
      </w:r>
      <w:r w:rsidRPr="5E59056A" w:rsidR="5444D343">
        <w:rPr>
          <w:rFonts w:ascii="Arial" w:hAnsi="Arial" w:eastAsia="Arial" w:cs="Arial"/>
          <w:i w:val="1"/>
          <w:iCs w:val="1"/>
          <w:noProof w:val="0"/>
          <w:sz w:val="24"/>
          <w:szCs w:val="24"/>
          <w:lang w:val="en-GB"/>
        </w:rPr>
        <w:t>Applied Linguistics</w:t>
      </w:r>
      <w:r w:rsidRPr="5E59056A" w:rsidR="5444D343">
        <w:rPr>
          <w:rFonts w:ascii="Arial" w:hAnsi="Arial" w:eastAsia="Arial" w:cs="Arial"/>
          <w:noProof w:val="0"/>
          <w:sz w:val="24"/>
          <w:szCs w:val="24"/>
          <w:lang w:val="en-GB"/>
        </w:rPr>
        <w:t>, 39(1), pp. 9–30. doi:10.1093/applin/amx039.</w:t>
      </w:r>
    </w:p>
    <w:p xmlns:wp14="http://schemas.microsoft.com/office/word/2010/wordml" wp14:paraId="5E5787A5" wp14:textId="0FB0AF15"/>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eab0d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e2e7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BE655C"/>
    <w:rsid w:val="042539DB"/>
    <w:rsid w:val="06E826C0"/>
    <w:rsid w:val="1182C085"/>
    <w:rsid w:val="186232D5"/>
    <w:rsid w:val="228FE177"/>
    <w:rsid w:val="31BE655C"/>
    <w:rsid w:val="32D2AE7A"/>
    <w:rsid w:val="4158BC85"/>
    <w:rsid w:val="4B3E0621"/>
    <w:rsid w:val="4E2AE3CD"/>
    <w:rsid w:val="5444D343"/>
    <w:rsid w:val="58AB3736"/>
    <w:rsid w:val="5E59056A"/>
    <w:rsid w:val="6451C574"/>
    <w:rsid w:val="68FB1633"/>
    <w:rsid w:val="74DBE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E655C"/>
  <w15:chartTrackingRefBased/>
  <w15:docId w15:val="{13CA4966-3408-4560-A569-37E6A67D00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5E59056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5E59056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5E59056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b5fb8e243354ee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Melis Shaban (2212035)</dc:creator>
  <keywords/>
  <dc:description/>
  <lastModifiedBy>Melis Shaban (2212035)</lastModifiedBy>
  <revision>2</revision>
  <dcterms:created xsi:type="dcterms:W3CDTF">2026-04-15T23:24:53.6466895Z</dcterms:created>
  <dcterms:modified xsi:type="dcterms:W3CDTF">2026-04-15T23:38:47.1675919Z</dcterms:modified>
</coreProperties>
</file>