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0DD44D" w14:textId="77777777" w:rsidR="00A44D72" w:rsidRPr="00D961BF" w:rsidRDefault="00A44D72" w:rsidP="00A44D72">
      <w:pPr>
        <w:pStyle w:val="BodyText2"/>
        <w:rPr>
          <w:rFonts w:ascii="Garamond" w:hAnsi="Garamond"/>
          <w:b/>
          <w:sz w:val="36"/>
          <w:szCs w:val="36"/>
        </w:rPr>
      </w:pPr>
      <w:r>
        <w:rPr>
          <w:rFonts w:ascii="Garamond" w:hAnsi="Garamond"/>
          <w:b/>
          <w:sz w:val="36"/>
          <w:szCs w:val="36"/>
        </w:rPr>
        <w:t>HP</w:t>
      </w:r>
      <w:r w:rsidRPr="00D961BF">
        <w:rPr>
          <w:rFonts w:ascii="Garamond" w:hAnsi="Garamond"/>
          <w:b/>
          <w:sz w:val="36"/>
          <w:szCs w:val="36"/>
        </w:rPr>
        <w:t>EN</w:t>
      </w:r>
      <w:r>
        <w:rPr>
          <w:rFonts w:ascii="Garamond" w:hAnsi="Garamond"/>
          <w:b/>
          <w:sz w:val="36"/>
          <w:szCs w:val="36"/>
        </w:rPr>
        <w:t>5/6012</w:t>
      </w:r>
      <w:r w:rsidRPr="00D961BF">
        <w:rPr>
          <w:rFonts w:ascii="Garamond" w:hAnsi="Garamond"/>
          <w:b/>
          <w:sz w:val="36"/>
          <w:szCs w:val="36"/>
        </w:rPr>
        <w:t>:</w:t>
      </w:r>
      <w:r w:rsidRPr="00D961BF">
        <w:rPr>
          <w:rFonts w:ascii="Garamond" w:hAnsi="Garamond"/>
          <w:sz w:val="36"/>
          <w:szCs w:val="36"/>
        </w:rPr>
        <w:t xml:space="preserve"> </w:t>
      </w:r>
      <w:r w:rsidRPr="00D961BF">
        <w:rPr>
          <w:rFonts w:ascii="Garamond" w:hAnsi="Garamond"/>
          <w:b/>
          <w:sz w:val="36"/>
          <w:szCs w:val="36"/>
        </w:rPr>
        <w:t xml:space="preserve">WELSH </w:t>
      </w:r>
      <w:r>
        <w:rPr>
          <w:rFonts w:ascii="Garamond" w:hAnsi="Garamond"/>
          <w:b/>
          <w:sz w:val="36"/>
          <w:szCs w:val="36"/>
        </w:rPr>
        <w:t>WRITING WALES</w:t>
      </w:r>
    </w:p>
    <w:p w14:paraId="56490C86" w14:textId="77777777" w:rsidR="00934CD6" w:rsidRDefault="00934CD6">
      <w:pPr>
        <w:rPr>
          <w:rFonts w:ascii="Garamond" w:hAnsi="Garamond"/>
          <w:b/>
        </w:rPr>
      </w:pPr>
      <w:r w:rsidRPr="00934CD6">
        <w:rPr>
          <w:rFonts w:ascii="Garamond" w:hAnsi="Garamond"/>
          <w:b/>
        </w:rPr>
        <w:t>WRITING/REWRITING PLACE</w:t>
      </w:r>
      <w:r>
        <w:rPr>
          <w:rFonts w:ascii="Garamond" w:hAnsi="Garamond"/>
          <w:b/>
        </w:rPr>
        <w:t xml:space="preserve"> </w:t>
      </w:r>
    </w:p>
    <w:p w14:paraId="4B725250" w14:textId="77777777" w:rsidR="002532C9" w:rsidRPr="008540D8" w:rsidRDefault="002532C9" w:rsidP="002532C9">
      <w:pPr>
        <w:rPr>
          <w:rFonts w:ascii="Garamond" w:hAnsi="Garamond"/>
        </w:rPr>
      </w:pPr>
    </w:p>
    <w:p w14:paraId="7BCC9489" w14:textId="77777777" w:rsidR="00934CD6" w:rsidRPr="00B44318" w:rsidRDefault="00934CD6" w:rsidP="00934CD6">
      <w:pPr>
        <w:rPr>
          <w:rFonts w:ascii="Garamond" w:hAnsi="Garamond"/>
          <w:b/>
          <w:iCs/>
        </w:rPr>
      </w:pPr>
      <w:r w:rsidRPr="00B44318">
        <w:rPr>
          <w:rFonts w:ascii="Garamond" w:hAnsi="Garamond"/>
          <w:b/>
          <w:iCs/>
        </w:rPr>
        <w:t xml:space="preserve">Tristan Hughes, </w:t>
      </w:r>
      <w:r w:rsidRPr="00B44318">
        <w:rPr>
          <w:rFonts w:ascii="Garamond" w:hAnsi="Garamond"/>
          <w:b/>
          <w:i/>
          <w:iCs/>
        </w:rPr>
        <w:t>The Tower</w:t>
      </w:r>
      <w:r w:rsidRPr="00B44318">
        <w:rPr>
          <w:rFonts w:ascii="Garamond" w:hAnsi="Garamond"/>
          <w:b/>
          <w:iCs/>
        </w:rPr>
        <w:t>, Parthian, 2003</w:t>
      </w:r>
    </w:p>
    <w:p w14:paraId="726B44ED" w14:textId="77777777" w:rsidR="00934CD6" w:rsidRPr="00B44318" w:rsidRDefault="00934CD6" w:rsidP="00934CD6">
      <w:pPr>
        <w:rPr>
          <w:rFonts w:ascii="Garamond" w:hAnsi="Garamond"/>
          <w:i/>
          <w:iCs/>
          <w:sz w:val="22"/>
          <w:szCs w:val="22"/>
        </w:rPr>
      </w:pPr>
    </w:p>
    <w:p w14:paraId="18402D5D" w14:textId="77777777" w:rsidR="00934CD6" w:rsidRPr="00934CD6" w:rsidRDefault="00934CD6" w:rsidP="00934CD6">
      <w:pPr>
        <w:spacing w:after="120"/>
        <w:rPr>
          <w:rFonts w:ascii="Garamond" w:hAnsi="Garamond"/>
          <w:sz w:val="22"/>
          <w:szCs w:val="22"/>
        </w:rPr>
      </w:pPr>
      <w:r w:rsidRPr="00934CD6">
        <w:rPr>
          <w:rStyle w:val="BodyChar"/>
          <w:i/>
        </w:rPr>
        <w:t>The Tower</w:t>
      </w:r>
      <w:r w:rsidRPr="00934CD6">
        <w:rPr>
          <w:rStyle w:val="BodyChar"/>
        </w:rPr>
        <w:t xml:space="preserve"> is a beautifully written, thoughtful collection of seven short stories. They dramatise different, overlapping visions of a ‘small patch of land’ seen through the interlinked refracting prisms of different gazes, held together by their reference to the central motif of a ruined windmill they all call the Tower. The assured opening paragraph establishes the significance of this focus. The speaker describes his grandmother peering out of her window through a scuffed and ancient pair of binoculars whose battered surfaces record her husband’s history in Burma and, through these scratches, testify to public and political histories, of ‘armies, wars, continents, half a whole century’. But Hughes is more interested in the detail, in how things appear set against each other, both stories and images, than in overt politics. From this perspective, what the grandmother peers at is a microcosm of the wider world:</w:t>
      </w:r>
      <w:r w:rsidRPr="00934CD6">
        <w:rPr>
          <w:rFonts w:ascii="Garamond" w:hAnsi="Garamond"/>
          <w:sz w:val="22"/>
          <w:szCs w:val="22"/>
        </w:rPr>
        <w:t xml:space="preserve"> </w:t>
      </w:r>
    </w:p>
    <w:p w14:paraId="71190699" w14:textId="77777777" w:rsidR="00934CD6" w:rsidRPr="00B44318" w:rsidRDefault="00934CD6" w:rsidP="00934CD6">
      <w:pPr>
        <w:pStyle w:val="indent"/>
        <w:spacing w:before="0" w:beforeAutospacing="0" w:after="120" w:afterAutospacing="0"/>
        <w:ind w:right="748"/>
      </w:pPr>
      <w:r w:rsidRPr="00B44318">
        <w:t xml:space="preserve">… today the world crowding within their lenses is not so vast and populous: no more than a small patch of ground, a hill, the tower that sits upon it, and the piece of sky that hangs above them. </w:t>
      </w:r>
    </w:p>
    <w:p w14:paraId="681F162A" w14:textId="77777777" w:rsidR="00934CD6" w:rsidRPr="00B44318" w:rsidRDefault="00934CD6" w:rsidP="00934CD6">
      <w:pPr>
        <w:pStyle w:val="Body"/>
      </w:pPr>
      <w:r w:rsidRPr="00B44318">
        <w:t xml:space="preserve">As the cover suggests there are many spectral towers in this collection. The most vivid, lyrical image is that of the first story, the wonderfully named, ‘God’s Breath,’ where it appears as a vision of a working windmill: </w:t>
      </w:r>
    </w:p>
    <w:p w14:paraId="0BA22965" w14:textId="77777777" w:rsidR="00934CD6" w:rsidRPr="00B44318" w:rsidRDefault="00934CD6" w:rsidP="00934CD6">
      <w:pPr>
        <w:pStyle w:val="indent"/>
      </w:pPr>
      <w:r w:rsidRPr="00B44318">
        <w:t xml:space="preserve">painted the brightest of white, which, on sunny days, shone with an almost luminescent quality, as though all the surrounding light were drawn towards it and condensed into its shimmering surfaces; set against the pale blue of a spring sky it flickered and dazzled like some inland lighthouse…. its four great wings an airy constellation spread out across the heavens. </w:t>
      </w:r>
    </w:p>
    <w:p w14:paraId="671ABCE3" w14:textId="77777777" w:rsidR="00934CD6" w:rsidRPr="00B44318" w:rsidRDefault="00934CD6" w:rsidP="00934CD6">
      <w:pPr>
        <w:pStyle w:val="Body"/>
      </w:pPr>
      <w:r w:rsidRPr="00B44318">
        <w:t xml:space="preserve">But the mill falls into disrepair and the rest of the stories demonstrate the loss of purpose that accompanies the loss of this celestial vision. The new owner of the tower, a </w:t>
      </w:r>
      <w:proofErr w:type="spellStart"/>
      <w:r w:rsidRPr="00B44318">
        <w:t>scouser</w:t>
      </w:r>
      <w:proofErr w:type="spellEnd"/>
      <w:r w:rsidRPr="00B44318">
        <w:t xml:space="preserve"> given the soubriquet of Derrick Dallas wants to turn it into a drinking den. Nain dismisses him as one of those ‘Sais moneybags who like to play at being lord of the bloody manor; that’s what they want to be: the lords of all they survey.’ When we reach Derrick’s story however we find he is not in charge of anything and that it as painful and moving as the others, especially in its powerful, shocking conclusion. </w:t>
      </w:r>
    </w:p>
    <w:p w14:paraId="07CD4F52" w14:textId="77777777" w:rsidR="00934CD6" w:rsidRPr="00B44318" w:rsidRDefault="00934CD6" w:rsidP="00934CD6">
      <w:pPr>
        <w:pStyle w:val="Body"/>
      </w:pPr>
      <w:r w:rsidRPr="00B44318">
        <w:t xml:space="preserve">Each of these stories deals with a yearning for an attainable vision. In the wonderfully acerbic ‘Ley Lines’, two hippies live in misery in a rusty caravan on a sodden field. Having lost faith her increasingly paranoid boyfriend, Skinner, Gemma wonders hopelessly how she got there. The central story, ‘The Importance of Elsewhere,’ both evokes the experience of taking hallucinogenic mushrooms and the desperation that drives the central protagonist to want to </w:t>
      </w:r>
      <w:r w:rsidRPr="00B44318">
        <w:rPr>
          <w:i/>
          <w:iCs/>
        </w:rPr>
        <w:t>be</w:t>
      </w:r>
      <w:r w:rsidRPr="00B44318">
        <w:t xml:space="preserve"> elsewhere. In ‘Persistence’ the central figure is Jack </w:t>
      </w:r>
      <w:proofErr w:type="spellStart"/>
      <w:r w:rsidRPr="00B44318">
        <w:t>Cucu</w:t>
      </w:r>
      <w:proofErr w:type="spellEnd"/>
      <w:r w:rsidRPr="00B44318">
        <w:t xml:space="preserve">, a farmer whom we’ve encountered in several of the other stories as a peripheral figure, now suddenly characterised by an unexpected, deep grief a persistent mourning for a lost love. And in ‘Of Rocks and Stones’ the central figure is a vicar who has always lived where he was born and who sporadically writes letters that he never sends to his estranged brother, teaching geography in America. This story’s delicate, sensitive conclusion simultaneously explores the pain of self-discovery and impossible movement. </w:t>
      </w:r>
    </w:p>
    <w:p w14:paraId="6A68C41E" w14:textId="77777777" w:rsidR="00934CD6" w:rsidRPr="00934CD6" w:rsidRDefault="00934CD6" w:rsidP="00934CD6">
      <w:pPr>
        <w:pStyle w:val="Body"/>
      </w:pPr>
      <w:r w:rsidRPr="00934CD6">
        <w:t xml:space="preserve">The young man of the last story (‘Ynys’) feels stranded and lost in London. His comment early on in the story illuminates each of the stories – full of homesickness for a space that isn’t even there: </w:t>
      </w:r>
    </w:p>
    <w:p w14:paraId="5038B01A" w14:textId="77777777" w:rsidR="00934CD6" w:rsidRPr="00B44318" w:rsidRDefault="00934CD6" w:rsidP="00934CD6">
      <w:pPr>
        <w:pStyle w:val="indent6"/>
      </w:pPr>
      <w:r w:rsidRPr="00B44318">
        <w:t xml:space="preserve">I laughed and told her where I came from you were homesick even when you were at home. </w:t>
      </w:r>
    </w:p>
    <w:p w14:paraId="29C8C34B" w14:textId="77777777" w:rsidR="00934CD6" w:rsidRPr="008540D8" w:rsidRDefault="00934CD6" w:rsidP="00934CD6">
      <w:pPr>
        <w:rPr>
          <w:rFonts w:ascii="Garamond" w:hAnsi="Garamond"/>
          <w:b/>
        </w:rPr>
      </w:pPr>
      <w:r w:rsidRPr="008540D8">
        <w:rPr>
          <w:rFonts w:ascii="Garamond" w:hAnsi="Garamond"/>
          <w:b/>
        </w:rPr>
        <w:lastRenderedPageBreak/>
        <w:t>DISCUSSION</w:t>
      </w:r>
    </w:p>
    <w:p w14:paraId="2B059557" w14:textId="77777777" w:rsidR="00F61559" w:rsidRDefault="00F61559" w:rsidP="00F61559">
      <w:pPr>
        <w:rPr>
          <w:rFonts w:ascii="Garamond" w:hAnsi="Garamond"/>
        </w:rPr>
      </w:pPr>
    </w:p>
    <w:p w14:paraId="3F70E6F3" w14:textId="5B74F361" w:rsidR="00F61559" w:rsidRPr="00F61559" w:rsidRDefault="00F61559" w:rsidP="00F61559">
      <w:pPr>
        <w:rPr>
          <w:rFonts w:ascii="Garamond" w:hAnsi="Garamond"/>
          <w:b/>
          <w:bCs/>
        </w:rPr>
      </w:pPr>
      <w:r w:rsidRPr="00F61559">
        <w:rPr>
          <w:rFonts w:ascii="Garamond" w:hAnsi="Garamond"/>
          <w:b/>
          <w:bCs/>
        </w:rPr>
        <w:t>Structure</w:t>
      </w:r>
      <w:r>
        <w:rPr>
          <w:rFonts w:ascii="Garamond" w:hAnsi="Garamond"/>
          <w:b/>
          <w:bCs/>
        </w:rPr>
        <w:t xml:space="preserve"> of 7 stories</w:t>
      </w:r>
      <w:bookmarkStart w:id="0" w:name="_GoBack"/>
      <w:bookmarkEnd w:id="0"/>
    </w:p>
    <w:p w14:paraId="6958D868" w14:textId="77777777" w:rsidR="00F61559" w:rsidRDefault="00F61559" w:rsidP="00F61559">
      <w:pPr>
        <w:numPr>
          <w:ilvl w:val="0"/>
          <w:numId w:val="5"/>
        </w:numPr>
        <w:rPr>
          <w:rFonts w:ascii="Garamond" w:hAnsi="Garamond"/>
        </w:rPr>
      </w:pPr>
      <w:proofErr w:type="spellStart"/>
      <w:r w:rsidRPr="00BA0CF6">
        <w:rPr>
          <w:rFonts w:ascii="Garamond" w:hAnsi="Garamond"/>
        </w:rPr>
        <w:t>introd</w:t>
      </w:r>
      <w:proofErr w:type="spellEnd"/>
      <w:r w:rsidRPr="00BA0CF6">
        <w:rPr>
          <w:rFonts w:ascii="Garamond" w:hAnsi="Garamond"/>
        </w:rPr>
        <w:t xml:space="preserve"> – not world history but history and geography here – questions of perception and its ongoing impact on the world</w:t>
      </w:r>
    </w:p>
    <w:p w14:paraId="10730FB6" w14:textId="77777777" w:rsidR="00F61559" w:rsidRDefault="00F61559" w:rsidP="00F61559">
      <w:pPr>
        <w:numPr>
          <w:ilvl w:val="0"/>
          <w:numId w:val="5"/>
        </w:numPr>
        <w:rPr>
          <w:rFonts w:ascii="Garamond" w:hAnsi="Garamond"/>
        </w:rPr>
      </w:pPr>
      <w:r w:rsidRPr="00BA0CF6">
        <w:rPr>
          <w:rFonts w:ascii="Garamond" w:hAnsi="Garamond"/>
        </w:rPr>
        <w:t xml:space="preserve">property – </w:t>
      </w:r>
      <w:proofErr w:type="spellStart"/>
      <w:proofErr w:type="gramStart"/>
      <w:r w:rsidRPr="00BA0CF6">
        <w:rPr>
          <w:rFonts w:ascii="Garamond" w:hAnsi="Garamond"/>
        </w:rPr>
        <w:t>over looking</w:t>
      </w:r>
      <w:proofErr w:type="spellEnd"/>
      <w:proofErr w:type="gramEnd"/>
      <w:r w:rsidRPr="00BA0CF6">
        <w:rPr>
          <w:rFonts w:ascii="Garamond" w:hAnsi="Garamond"/>
        </w:rPr>
        <w:t xml:space="preserve"> </w:t>
      </w:r>
      <w:r>
        <w:rPr>
          <w:rFonts w:ascii="Garamond" w:hAnsi="Garamond"/>
        </w:rPr>
        <w:t>–</w:t>
      </w:r>
      <w:r w:rsidRPr="00BA0CF6">
        <w:rPr>
          <w:rFonts w:ascii="Garamond" w:hAnsi="Garamond"/>
        </w:rPr>
        <w:t xml:space="preserve"> incomer</w:t>
      </w:r>
      <w:r>
        <w:rPr>
          <w:rFonts w:ascii="Garamond" w:hAnsi="Garamond"/>
        </w:rPr>
        <w:t xml:space="preserve"> (capitalism and property) – kinds of blindness</w:t>
      </w:r>
    </w:p>
    <w:p w14:paraId="292E6B3F" w14:textId="77777777" w:rsidR="00F61559" w:rsidRDefault="00F61559" w:rsidP="00F61559">
      <w:pPr>
        <w:numPr>
          <w:ilvl w:val="0"/>
          <w:numId w:val="5"/>
        </w:numPr>
        <w:rPr>
          <w:rFonts w:ascii="Garamond" w:hAnsi="Garamond"/>
        </w:rPr>
      </w:pPr>
      <w:proofErr w:type="spellStart"/>
      <w:r w:rsidRPr="00BA0CF6">
        <w:rPr>
          <w:rFonts w:ascii="Garamond" w:hAnsi="Garamond"/>
        </w:rPr>
        <w:t>leylines</w:t>
      </w:r>
      <w:proofErr w:type="spellEnd"/>
      <w:r w:rsidRPr="00BA0CF6">
        <w:rPr>
          <w:rFonts w:ascii="Garamond" w:hAnsi="Garamond"/>
        </w:rPr>
        <w:t xml:space="preserve"> – under looking </w:t>
      </w:r>
      <w:r>
        <w:rPr>
          <w:rFonts w:ascii="Garamond" w:hAnsi="Garamond"/>
        </w:rPr>
        <w:t>–</w:t>
      </w:r>
      <w:r w:rsidRPr="00BA0CF6">
        <w:rPr>
          <w:rFonts w:ascii="Garamond" w:hAnsi="Garamond"/>
        </w:rPr>
        <w:t xml:space="preserve"> incomer</w:t>
      </w:r>
      <w:r>
        <w:rPr>
          <w:rFonts w:ascii="Garamond" w:hAnsi="Garamond"/>
        </w:rPr>
        <w:t xml:space="preserve"> (different kind of property)</w:t>
      </w:r>
      <w:r w:rsidRPr="000F5B1A">
        <w:rPr>
          <w:rFonts w:ascii="Garamond" w:hAnsi="Garamond"/>
        </w:rPr>
        <w:t xml:space="preserve"> </w:t>
      </w:r>
      <w:r>
        <w:rPr>
          <w:rFonts w:ascii="Garamond" w:hAnsi="Garamond"/>
        </w:rPr>
        <w:t>– kinds of blindness</w:t>
      </w:r>
    </w:p>
    <w:p w14:paraId="74D51737" w14:textId="77777777" w:rsidR="00F61559" w:rsidRDefault="00F61559" w:rsidP="00F61559">
      <w:pPr>
        <w:numPr>
          <w:ilvl w:val="0"/>
          <w:numId w:val="5"/>
        </w:numPr>
        <w:rPr>
          <w:rFonts w:ascii="Garamond" w:hAnsi="Garamond"/>
        </w:rPr>
      </w:pPr>
      <w:r w:rsidRPr="00BA0CF6">
        <w:rPr>
          <w:rFonts w:ascii="Garamond" w:hAnsi="Garamond"/>
        </w:rPr>
        <w:t>the importance of being elsewhere</w:t>
      </w:r>
    </w:p>
    <w:p w14:paraId="2DE89630" w14:textId="77777777" w:rsidR="00F61559" w:rsidRDefault="00F61559" w:rsidP="00F61559">
      <w:pPr>
        <w:numPr>
          <w:ilvl w:val="0"/>
          <w:numId w:val="5"/>
        </w:numPr>
        <w:rPr>
          <w:rFonts w:ascii="Garamond" w:hAnsi="Garamond"/>
        </w:rPr>
      </w:pPr>
      <w:proofErr w:type="spellStart"/>
      <w:r>
        <w:rPr>
          <w:rFonts w:ascii="Garamond" w:hAnsi="Garamond"/>
        </w:rPr>
        <w:t>cucu</w:t>
      </w:r>
      <w:proofErr w:type="spellEnd"/>
      <w:r>
        <w:rPr>
          <w:rFonts w:ascii="Garamond" w:hAnsi="Garamond"/>
        </w:rPr>
        <w:t xml:space="preserve"> -the left behind and isolated (lost future potential/lost love)</w:t>
      </w:r>
    </w:p>
    <w:p w14:paraId="4ED676FE" w14:textId="77777777" w:rsidR="00F61559" w:rsidRDefault="00F61559" w:rsidP="00F61559">
      <w:pPr>
        <w:numPr>
          <w:ilvl w:val="0"/>
          <w:numId w:val="5"/>
        </w:numPr>
        <w:rPr>
          <w:rFonts w:ascii="Garamond" w:hAnsi="Garamond"/>
        </w:rPr>
      </w:pPr>
      <w:r>
        <w:rPr>
          <w:rFonts w:ascii="Garamond" w:hAnsi="Garamond"/>
        </w:rPr>
        <w:t>rocks and stones – the left behind and isolated (lost past potential/lost family)</w:t>
      </w:r>
    </w:p>
    <w:p w14:paraId="149FDA06" w14:textId="77777777" w:rsidR="00F61559" w:rsidRPr="00BA0CF6" w:rsidRDefault="00F61559" w:rsidP="00F61559">
      <w:pPr>
        <w:numPr>
          <w:ilvl w:val="0"/>
          <w:numId w:val="5"/>
        </w:numPr>
        <w:rPr>
          <w:rFonts w:ascii="Garamond" w:hAnsi="Garamond"/>
        </w:rPr>
      </w:pPr>
      <w:r>
        <w:rPr>
          <w:rFonts w:ascii="Garamond" w:hAnsi="Garamond"/>
        </w:rPr>
        <w:t xml:space="preserve">Ynys – loss (lost future, past and possibilities) </w:t>
      </w:r>
    </w:p>
    <w:p w14:paraId="537BD34C" w14:textId="77777777" w:rsidR="00F61559" w:rsidRDefault="00F61559" w:rsidP="00F61559">
      <w:pPr>
        <w:rPr>
          <w:rFonts w:ascii="Garamond" w:hAnsi="Garamond"/>
        </w:rPr>
      </w:pPr>
    </w:p>
    <w:p w14:paraId="71C8ACA0" w14:textId="77777777" w:rsidR="00F61559" w:rsidRPr="008540D8" w:rsidRDefault="00F61559" w:rsidP="00F61559">
      <w:pPr>
        <w:rPr>
          <w:rFonts w:ascii="Garamond" w:hAnsi="Garamond"/>
        </w:rPr>
      </w:pPr>
    </w:p>
    <w:p w14:paraId="15F8D2AA" w14:textId="3DCF285D" w:rsidR="00934CD6" w:rsidRPr="00F61559" w:rsidRDefault="00934CD6" w:rsidP="00934CD6">
      <w:pPr>
        <w:rPr>
          <w:rFonts w:ascii="Garamond" w:hAnsi="Garamond"/>
          <w:b/>
          <w:bCs/>
        </w:rPr>
      </w:pPr>
      <w:r w:rsidRPr="00F61559">
        <w:rPr>
          <w:rFonts w:ascii="Garamond" w:hAnsi="Garamond"/>
          <w:b/>
          <w:bCs/>
        </w:rPr>
        <w:t>Genre and text:</w:t>
      </w:r>
    </w:p>
    <w:p w14:paraId="05B68300" w14:textId="77777777" w:rsidR="00934CD6" w:rsidRPr="008540D8" w:rsidRDefault="00934CD6" w:rsidP="00934CD6">
      <w:pPr>
        <w:numPr>
          <w:ilvl w:val="0"/>
          <w:numId w:val="1"/>
        </w:numPr>
        <w:rPr>
          <w:rFonts w:ascii="Garamond" w:hAnsi="Garamond"/>
        </w:rPr>
      </w:pPr>
      <w:r w:rsidRPr="008540D8">
        <w:rPr>
          <w:rFonts w:ascii="Garamond" w:hAnsi="Garamond"/>
        </w:rPr>
        <w:t>Short Stories, (Gordimer’s flash of fireflies) popular fiction (eschewing direct pursuit of questions of identity</w:t>
      </w:r>
      <w:proofErr w:type="gramStart"/>
      <w:r w:rsidRPr="008540D8">
        <w:rPr>
          <w:rFonts w:ascii="Garamond" w:hAnsi="Garamond"/>
        </w:rPr>
        <w:t>);</w:t>
      </w:r>
      <w:proofErr w:type="gramEnd"/>
    </w:p>
    <w:p w14:paraId="45CC562A" w14:textId="77777777" w:rsidR="00934CD6" w:rsidRDefault="00934CD6" w:rsidP="00934CD6">
      <w:pPr>
        <w:numPr>
          <w:ilvl w:val="0"/>
          <w:numId w:val="1"/>
        </w:numPr>
        <w:rPr>
          <w:rFonts w:ascii="Garamond" w:hAnsi="Garamond"/>
        </w:rPr>
      </w:pPr>
      <w:r>
        <w:rPr>
          <w:rFonts w:ascii="Garamond" w:hAnsi="Garamond"/>
        </w:rPr>
        <w:t>Questions of the nature of home and away</w:t>
      </w:r>
    </w:p>
    <w:p w14:paraId="4B1267D1" w14:textId="77777777" w:rsidR="00934CD6" w:rsidRPr="008540D8" w:rsidRDefault="00934CD6" w:rsidP="00934CD6">
      <w:pPr>
        <w:numPr>
          <w:ilvl w:val="0"/>
          <w:numId w:val="1"/>
        </w:numPr>
        <w:rPr>
          <w:rFonts w:ascii="Garamond" w:hAnsi="Garamond"/>
        </w:rPr>
      </w:pPr>
      <w:r w:rsidRPr="008540D8">
        <w:rPr>
          <w:rFonts w:ascii="Garamond" w:hAnsi="Garamond"/>
        </w:rPr>
        <w:t>Plot rather than detailed analysis of the character</w:t>
      </w:r>
    </w:p>
    <w:p w14:paraId="1C259F9C" w14:textId="77777777" w:rsidR="00934CD6" w:rsidRPr="008540D8" w:rsidRDefault="00934CD6" w:rsidP="00934CD6">
      <w:pPr>
        <w:numPr>
          <w:ilvl w:val="0"/>
          <w:numId w:val="1"/>
        </w:numPr>
        <w:rPr>
          <w:rFonts w:ascii="Garamond" w:hAnsi="Garamond"/>
        </w:rPr>
      </w:pPr>
      <w:r w:rsidRPr="008540D8">
        <w:rPr>
          <w:rFonts w:ascii="Garamond" w:hAnsi="Garamond"/>
        </w:rPr>
        <w:t xml:space="preserve">How relevant </w:t>
      </w:r>
      <w:r>
        <w:rPr>
          <w:rFonts w:ascii="Garamond" w:hAnsi="Garamond"/>
        </w:rPr>
        <w:t xml:space="preserve">is </w:t>
      </w:r>
      <w:r w:rsidRPr="008540D8">
        <w:rPr>
          <w:rFonts w:ascii="Garamond" w:hAnsi="Garamond"/>
        </w:rPr>
        <w:t xml:space="preserve">the following comment? </w:t>
      </w:r>
    </w:p>
    <w:p w14:paraId="6A68DF9D" w14:textId="77777777" w:rsidR="00934CD6" w:rsidRPr="008540D8" w:rsidRDefault="00934CD6" w:rsidP="00934CD6">
      <w:pPr>
        <w:rPr>
          <w:rFonts w:ascii="Garamond" w:hAnsi="Garamond"/>
        </w:rPr>
      </w:pPr>
    </w:p>
    <w:p w14:paraId="54576FDD" w14:textId="77777777" w:rsidR="00934CD6" w:rsidRPr="008540D8" w:rsidRDefault="00934CD6" w:rsidP="00934CD6">
      <w:pPr>
        <w:ind w:left="540" w:right="926"/>
        <w:rPr>
          <w:rFonts w:ascii="Garamond" w:hAnsi="Garamond"/>
          <w:sz w:val="22"/>
        </w:rPr>
      </w:pPr>
      <w:r w:rsidRPr="008540D8">
        <w:rPr>
          <w:rFonts w:ascii="Garamond" w:hAnsi="Garamond"/>
          <w:sz w:val="22"/>
        </w:rPr>
        <w:t xml:space="preserve">Short stories amount for the most part to </w:t>
      </w:r>
      <w:proofErr w:type="spellStart"/>
      <w:r w:rsidRPr="008540D8">
        <w:rPr>
          <w:rFonts w:ascii="Garamond" w:hAnsi="Garamond"/>
          <w:sz w:val="22"/>
        </w:rPr>
        <w:t>parlor</w:t>
      </w:r>
      <w:proofErr w:type="spellEnd"/>
      <w:r w:rsidRPr="008540D8">
        <w:rPr>
          <w:rFonts w:ascii="Garamond" w:hAnsi="Garamond"/>
          <w:sz w:val="22"/>
        </w:rPr>
        <w:t xml:space="preserve"> tricks, party </w:t>
      </w:r>
      <w:proofErr w:type="spellStart"/>
      <w:r w:rsidRPr="008540D8">
        <w:rPr>
          <w:rFonts w:ascii="Garamond" w:hAnsi="Garamond"/>
          <w:sz w:val="22"/>
        </w:rPr>
        <w:t>favors</w:t>
      </w:r>
      <w:proofErr w:type="spellEnd"/>
      <w:r w:rsidRPr="008540D8">
        <w:rPr>
          <w:rFonts w:ascii="Garamond" w:hAnsi="Garamond"/>
          <w:sz w:val="22"/>
        </w:rPr>
        <w:t xml:space="preserve"> with built in snappers, gadgets for inducing recognition and reversals: a small pump serves to build up the pressure, a tiny trigger releases it, there follows a puff and a flash as freedom and necessity combine; finally a celluloid doll drops from the muzzle and descends by parachute to the floor. These things happen, but they happen to no-one in particular. </w:t>
      </w:r>
    </w:p>
    <w:p w14:paraId="396B455B" w14:textId="77777777" w:rsidR="00934CD6" w:rsidRPr="008540D8" w:rsidRDefault="00934CD6" w:rsidP="00934CD6">
      <w:pPr>
        <w:ind w:left="720"/>
        <w:rPr>
          <w:rFonts w:ascii="Garamond" w:hAnsi="Garamond"/>
          <w:sz w:val="22"/>
        </w:rPr>
      </w:pPr>
      <w:r w:rsidRPr="008540D8">
        <w:rPr>
          <w:rFonts w:ascii="Garamond" w:hAnsi="Garamond"/>
          <w:sz w:val="22"/>
        </w:rPr>
        <w:t xml:space="preserve">Howard Nemerov, ‘Composition and Fate in the Short Novel,’ quoted in </w:t>
      </w:r>
    </w:p>
    <w:p w14:paraId="63508641" w14:textId="77777777" w:rsidR="00934CD6" w:rsidRDefault="00934CD6" w:rsidP="00934CD6">
      <w:pPr>
        <w:ind w:left="720"/>
        <w:rPr>
          <w:rFonts w:ascii="Garamond" w:hAnsi="Garamond"/>
          <w:sz w:val="22"/>
        </w:rPr>
      </w:pPr>
      <w:r w:rsidRPr="008540D8">
        <w:rPr>
          <w:rFonts w:ascii="Garamond" w:hAnsi="Garamond"/>
          <w:sz w:val="22"/>
        </w:rPr>
        <w:t xml:space="preserve">Ian Reid, </w:t>
      </w:r>
      <w:r w:rsidRPr="008540D8">
        <w:rPr>
          <w:rFonts w:ascii="Garamond" w:hAnsi="Garamond"/>
          <w:i/>
          <w:sz w:val="22"/>
        </w:rPr>
        <w:t>The Short Story</w:t>
      </w:r>
      <w:r w:rsidRPr="008540D8">
        <w:rPr>
          <w:rFonts w:ascii="Garamond" w:hAnsi="Garamond"/>
          <w:sz w:val="22"/>
        </w:rPr>
        <w:t>, (London: Routledge, 1977), p.2.</w:t>
      </w:r>
    </w:p>
    <w:p w14:paraId="233B4F6B" w14:textId="77777777" w:rsidR="00934CD6" w:rsidRPr="008540D8" w:rsidRDefault="00934CD6" w:rsidP="00934CD6">
      <w:pPr>
        <w:ind w:left="720"/>
        <w:rPr>
          <w:rFonts w:ascii="Garamond" w:hAnsi="Garamond"/>
          <w:sz w:val="22"/>
        </w:rPr>
      </w:pPr>
    </w:p>
    <w:p w14:paraId="3562939D" w14:textId="77777777" w:rsidR="00934CD6" w:rsidRDefault="00934CD6" w:rsidP="00934CD6">
      <w:pPr>
        <w:numPr>
          <w:ilvl w:val="0"/>
          <w:numId w:val="4"/>
        </w:numPr>
        <w:rPr>
          <w:rFonts w:ascii="Garamond" w:hAnsi="Garamond"/>
        </w:rPr>
      </w:pPr>
      <w:r>
        <w:rPr>
          <w:rFonts w:ascii="Garamond" w:hAnsi="Garamond"/>
        </w:rPr>
        <w:t>Difference made by having link between the two</w:t>
      </w:r>
    </w:p>
    <w:p w14:paraId="21C5BC6A" w14:textId="77777777" w:rsidR="008F1A6A" w:rsidRDefault="008F1A6A" w:rsidP="008F1A6A">
      <w:pPr>
        <w:rPr>
          <w:rFonts w:ascii="Garamond" w:hAnsi="Garamond"/>
        </w:rPr>
      </w:pPr>
    </w:p>
    <w:p w14:paraId="39D9E1D6" w14:textId="77777777" w:rsidR="00934CD6" w:rsidRDefault="008F1A6A" w:rsidP="008F1A6A">
      <w:pPr>
        <w:rPr>
          <w:rFonts w:ascii="Garamond" w:hAnsi="Garamond"/>
        </w:rPr>
      </w:pPr>
      <w:r>
        <w:rPr>
          <w:rFonts w:ascii="Garamond" w:hAnsi="Garamond"/>
        </w:rPr>
        <w:t>PSYCHOGEOGRAPHY Mapping land from the self</w:t>
      </w:r>
    </w:p>
    <w:p w14:paraId="76B99279" w14:textId="77777777" w:rsidR="006946BD" w:rsidRPr="008F1A6A" w:rsidRDefault="006946BD" w:rsidP="008F1A6A">
      <w:pPr>
        <w:rPr>
          <w:rFonts w:ascii="Garamond" w:hAnsi="Garamond"/>
          <w:sz w:val="44"/>
        </w:rPr>
      </w:pPr>
    </w:p>
    <w:p w14:paraId="483533F4" w14:textId="77777777" w:rsidR="008F1A6A" w:rsidRPr="008F1A6A" w:rsidRDefault="008F1A6A" w:rsidP="008F1A6A">
      <w:pPr>
        <w:spacing w:after="120"/>
        <w:rPr>
          <w:rFonts w:ascii="Garamond" w:hAnsi="Garamond"/>
          <w:szCs w:val="14"/>
        </w:rPr>
      </w:pPr>
      <w:r w:rsidRPr="008F1A6A">
        <w:rPr>
          <w:rFonts w:ascii="Garamond" w:hAnsi="Garamond"/>
          <w:szCs w:val="14"/>
        </w:rPr>
        <w:t xml:space="preserve">In front of me, on the desk where I write, I’ve assembled a bunch of instruments useful in measuring the environment, instruments that I’ve found around the house. In front of me, on the desk where I write, I’ve assembled a tape measure, a yardstick, a stopwatch, a watch, a goniometer and an arm protractor, a clinometer, a map measure, a compass, a wall thermometer, a pocket thermometer, a percentage protractor, a level, a plumb, a light meter, a camera, a pocket scale, a postage scale, a barometer, a measuring cup, a set of measuring spoons, a pedometer, a stud finder, and a </w:t>
      </w:r>
      <w:proofErr w:type="spellStart"/>
      <w:r w:rsidRPr="008F1A6A">
        <w:rPr>
          <w:rFonts w:ascii="Garamond" w:hAnsi="Garamond"/>
          <w:szCs w:val="14"/>
        </w:rPr>
        <w:t>passel</w:t>
      </w:r>
      <w:proofErr w:type="spellEnd"/>
      <w:r w:rsidRPr="008F1A6A">
        <w:rPr>
          <w:rFonts w:ascii="Garamond" w:hAnsi="Garamond"/>
          <w:szCs w:val="14"/>
        </w:rPr>
        <w:t xml:space="preserve"> of questionnaires. Some of them, like the pedometer, no longer work, but still I hold on to them. Others, like a couple of the questionnaires, never worked at all, but even these I am </w:t>
      </w:r>
      <w:proofErr w:type="gramStart"/>
      <w:r w:rsidRPr="008F1A6A">
        <w:rPr>
          <w:rFonts w:ascii="Garamond" w:hAnsi="Garamond"/>
          <w:szCs w:val="14"/>
        </w:rPr>
        <w:t>loathe</w:t>
      </w:r>
      <w:proofErr w:type="gramEnd"/>
      <w:r w:rsidRPr="008F1A6A">
        <w:rPr>
          <w:rFonts w:ascii="Garamond" w:hAnsi="Garamond"/>
          <w:szCs w:val="14"/>
        </w:rPr>
        <w:t xml:space="preserve"> to throw away. All of them have told me, or promised to tell me, something about my world, and since the world is </w:t>
      </w:r>
      <w:proofErr w:type="gramStart"/>
      <w:r w:rsidRPr="008F1A6A">
        <w:rPr>
          <w:rFonts w:ascii="Garamond" w:hAnsi="Garamond"/>
          <w:szCs w:val="14"/>
        </w:rPr>
        <w:t>something</w:t>
      </w:r>
      <w:proofErr w:type="gramEnd"/>
      <w:r w:rsidRPr="008F1A6A">
        <w:rPr>
          <w:rFonts w:ascii="Garamond" w:hAnsi="Garamond"/>
          <w:szCs w:val="14"/>
        </w:rPr>
        <w:t xml:space="preserve"> I’m eager to know about, I’m not eager to part with these instruments, functioning, flawed, or broken down. It’s 84º F where I sit at 11:30:36 in the morning. It’s nine minutes and forty-seven seconds since I typed the first word in this paragraph.</w:t>
      </w:r>
    </w:p>
    <w:p w14:paraId="3C16E531" w14:textId="77777777" w:rsidR="008F1A6A" w:rsidRPr="008F1A6A" w:rsidRDefault="008F1A6A" w:rsidP="008F1A6A">
      <w:pPr>
        <w:spacing w:after="120"/>
        <w:rPr>
          <w:rFonts w:ascii="Garamond" w:hAnsi="Garamond"/>
          <w:szCs w:val="14"/>
        </w:rPr>
      </w:pPr>
      <w:r w:rsidRPr="008F1A6A">
        <w:rPr>
          <w:rFonts w:ascii="Garamond" w:hAnsi="Garamond"/>
          <w:szCs w:val="14"/>
        </w:rPr>
        <w:t xml:space="preserve">There’s another instrument in this room and I am it. I would have said it was stuffy where I sit and that half an hour had passed since I started writing, although my stop watch now says it’s been eleven minutes and thirty-eight seconds at, according to my </w:t>
      </w:r>
      <w:r w:rsidRPr="008F1A6A">
        <w:rPr>
          <w:rFonts w:ascii="Garamond" w:hAnsi="Garamond"/>
          <w:szCs w:val="14"/>
        </w:rPr>
        <w:lastRenderedPageBreak/>
        <w:t>other watch, 11:34 on the nose. I won’t argue with my instruments. They’re measuring different things than I. My thermometer knows nothing of the humidity oppressing me; my watches, recording the pressure of their drive springs, know nothing of the pressure of trying to say something with words.</w:t>
      </w:r>
    </w:p>
    <w:p w14:paraId="55636290" w14:textId="77777777" w:rsidR="008F1A6A" w:rsidRPr="008F1A6A" w:rsidRDefault="008F1A6A" w:rsidP="008F1A6A">
      <w:pPr>
        <w:spacing w:after="120"/>
        <w:rPr>
          <w:rFonts w:ascii="Garamond" w:hAnsi="Garamond"/>
          <w:szCs w:val="14"/>
        </w:rPr>
      </w:pPr>
      <w:r w:rsidRPr="008F1A6A">
        <w:rPr>
          <w:rFonts w:ascii="Garamond" w:hAnsi="Garamond"/>
          <w:szCs w:val="14"/>
        </w:rPr>
        <w:t>Who should say which is superior instrumentation? Not I, certainly. My watches and I, we’re holding up the world against different standards, but both of these are interesting and valuable and important.</w:t>
      </w:r>
    </w:p>
    <w:p w14:paraId="60C91F61" w14:textId="77777777" w:rsidR="008F1A6A" w:rsidRPr="008F1A6A" w:rsidRDefault="008F1A6A" w:rsidP="008F1A6A">
      <w:pPr>
        <w:spacing w:after="120"/>
        <w:rPr>
          <w:rFonts w:ascii="Garamond" w:hAnsi="Garamond"/>
          <w:szCs w:val="14"/>
        </w:rPr>
      </w:pPr>
      <w:r w:rsidRPr="008F1A6A">
        <w:rPr>
          <w:rFonts w:ascii="Garamond" w:hAnsi="Garamond"/>
          <w:szCs w:val="14"/>
        </w:rPr>
        <w:t>Wood “</w:t>
      </w:r>
      <w:hyperlink r:id="rId5" w:tgtFrame="_blank" w:history="1">
        <w:r w:rsidRPr="008F1A6A">
          <w:rPr>
            <w:rStyle w:val="Hyperlink"/>
            <w:rFonts w:ascii="Garamond" w:hAnsi="Garamond"/>
            <w:color w:val="auto"/>
            <w:szCs w:val="14"/>
            <w:u w:val="none"/>
          </w:rPr>
          <w:t xml:space="preserve">Lynch </w:t>
        </w:r>
        <w:proofErr w:type="spellStart"/>
        <w:r w:rsidRPr="008F1A6A">
          <w:rPr>
            <w:rStyle w:val="Hyperlink"/>
            <w:rFonts w:ascii="Garamond" w:hAnsi="Garamond"/>
            <w:color w:val="auto"/>
            <w:szCs w:val="14"/>
            <w:u w:val="none"/>
          </w:rPr>
          <w:t>Debord</w:t>
        </w:r>
        <w:proofErr w:type="spellEnd"/>
        <w:r w:rsidRPr="008F1A6A">
          <w:rPr>
            <w:rStyle w:val="Hyperlink"/>
            <w:rFonts w:ascii="Garamond" w:hAnsi="Garamond"/>
            <w:color w:val="auto"/>
            <w:szCs w:val="14"/>
            <w:u w:val="none"/>
          </w:rPr>
          <w:t>.</w:t>
        </w:r>
      </w:hyperlink>
      <w:r w:rsidRPr="008F1A6A">
        <w:rPr>
          <w:rFonts w:ascii="Garamond" w:hAnsi="Garamond"/>
          <w:szCs w:val="14"/>
        </w:rPr>
        <w:t>“</w:t>
      </w:r>
    </w:p>
    <w:p w14:paraId="1EC5A9C0" w14:textId="475D1691" w:rsidR="008F1A6A" w:rsidRDefault="008F1A6A">
      <w:pPr>
        <w:rPr>
          <w:rFonts w:ascii="Garamond" w:hAnsi="Garamond"/>
        </w:rPr>
      </w:pPr>
    </w:p>
    <w:p w14:paraId="593797E9" w14:textId="44CB9A50" w:rsidR="00BA0CF6" w:rsidRDefault="00BA0CF6">
      <w:pPr>
        <w:rPr>
          <w:rFonts w:ascii="Garamond" w:hAnsi="Garamond"/>
        </w:rPr>
      </w:pPr>
    </w:p>
    <w:p w14:paraId="51EBD2A4" w14:textId="412A9B24" w:rsidR="00BA0CF6" w:rsidRDefault="00BA0CF6">
      <w:pPr>
        <w:rPr>
          <w:rFonts w:ascii="Garamond" w:hAnsi="Garamond"/>
        </w:rPr>
      </w:pPr>
    </w:p>
    <w:sectPr w:rsidR="00BA0CF6">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F64CD1"/>
    <w:multiLevelType w:val="hybridMultilevel"/>
    <w:tmpl w:val="7C5AF70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7DD246D"/>
    <w:multiLevelType w:val="hybridMultilevel"/>
    <w:tmpl w:val="6830803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4476EF7"/>
    <w:multiLevelType w:val="hybridMultilevel"/>
    <w:tmpl w:val="27FC531E"/>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48B0187"/>
    <w:multiLevelType w:val="hybridMultilevel"/>
    <w:tmpl w:val="76889C0E"/>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4" w15:restartNumberingAfterBreak="0">
    <w:nsid w:val="71BF7658"/>
    <w:multiLevelType w:val="hybridMultilevel"/>
    <w:tmpl w:val="9C32D88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045AA"/>
    <w:rsid w:val="000F5B1A"/>
    <w:rsid w:val="001457B1"/>
    <w:rsid w:val="00223B6D"/>
    <w:rsid w:val="002532C9"/>
    <w:rsid w:val="0027673D"/>
    <w:rsid w:val="005440B1"/>
    <w:rsid w:val="006946BD"/>
    <w:rsid w:val="008540D8"/>
    <w:rsid w:val="008F1A6A"/>
    <w:rsid w:val="00934CD6"/>
    <w:rsid w:val="0096221B"/>
    <w:rsid w:val="00994239"/>
    <w:rsid w:val="009D081D"/>
    <w:rsid w:val="00A44D72"/>
    <w:rsid w:val="00BA0CF6"/>
    <w:rsid w:val="00C045AA"/>
    <w:rsid w:val="00C95AE7"/>
    <w:rsid w:val="00D961BF"/>
    <w:rsid w:val="00DA7190"/>
    <w:rsid w:val="00E628F4"/>
    <w:rsid w:val="00F61559"/>
    <w:rsid w:val="00FB0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CC2A1C"/>
  <w15:chartTrackingRefBased/>
  <w15:docId w15:val="{099D2F80-5EFF-47BA-8900-FEFB1C03F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6BD"/>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6946BD"/>
    <w:rPr>
      <w:sz w:val="22"/>
    </w:rPr>
  </w:style>
  <w:style w:type="paragraph" w:styleId="BalloonText">
    <w:name w:val="Balloon Text"/>
    <w:basedOn w:val="Normal"/>
    <w:semiHidden/>
    <w:rsid w:val="00E628F4"/>
    <w:rPr>
      <w:rFonts w:ascii="Tahoma" w:hAnsi="Tahoma" w:cs="Tahoma"/>
      <w:sz w:val="16"/>
      <w:szCs w:val="16"/>
    </w:rPr>
  </w:style>
  <w:style w:type="paragraph" w:styleId="NormalWeb">
    <w:name w:val="Normal (Web)"/>
    <w:basedOn w:val="Normal"/>
    <w:uiPriority w:val="99"/>
    <w:rsid w:val="00934CD6"/>
    <w:pPr>
      <w:spacing w:before="100" w:beforeAutospacing="1" w:after="100" w:afterAutospacing="1"/>
    </w:pPr>
    <w:rPr>
      <w:szCs w:val="24"/>
    </w:rPr>
  </w:style>
  <w:style w:type="paragraph" w:customStyle="1" w:styleId="indent">
    <w:name w:val="indent"/>
    <w:basedOn w:val="NormalWeb"/>
    <w:rsid w:val="00934CD6"/>
    <w:pPr>
      <w:ind w:left="720" w:right="746"/>
    </w:pPr>
    <w:rPr>
      <w:rFonts w:ascii="Garamond" w:hAnsi="Garamond"/>
      <w:iCs/>
      <w:sz w:val="20"/>
      <w:szCs w:val="20"/>
    </w:rPr>
  </w:style>
  <w:style w:type="paragraph" w:customStyle="1" w:styleId="Body">
    <w:name w:val="Body"/>
    <w:basedOn w:val="Normal"/>
    <w:link w:val="BodyChar"/>
    <w:rsid w:val="00934CD6"/>
    <w:pPr>
      <w:spacing w:after="120"/>
    </w:pPr>
    <w:rPr>
      <w:rFonts w:ascii="Garamond" w:hAnsi="Garamond"/>
      <w:sz w:val="22"/>
      <w:szCs w:val="22"/>
    </w:rPr>
  </w:style>
  <w:style w:type="character" w:customStyle="1" w:styleId="BodyChar">
    <w:name w:val="Body Char"/>
    <w:link w:val="Body"/>
    <w:rsid w:val="00934CD6"/>
    <w:rPr>
      <w:rFonts w:ascii="Garamond" w:hAnsi="Garamond"/>
      <w:sz w:val="22"/>
      <w:szCs w:val="22"/>
      <w:lang w:val="en-GB" w:eastAsia="en-GB" w:bidi="ar-SA"/>
    </w:rPr>
  </w:style>
  <w:style w:type="paragraph" w:customStyle="1" w:styleId="indent6">
    <w:name w:val="indent 6"/>
    <w:basedOn w:val="indent"/>
    <w:rsid w:val="00934CD6"/>
  </w:style>
  <w:style w:type="character" w:styleId="Hyperlink">
    <w:name w:val="Hyperlink"/>
    <w:uiPriority w:val="99"/>
    <w:semiHidden/>
    <w:unhideWhenUsed/>
    <w:rsid w:val="008F1A6A"/>
    <w:rPr>
      <w:color w:val="0000FF"/>
      <w:u w:val="single"/>
    </w:rPr>
  </w:style>
  <w:style w:type="character" w:customStyle="1" w:styleId="BodyText2Char">
    <w:name w:val="Body Text 2 Char"/>
    <w:link w:val="BodyText2"/>
    <w:rsid w:val="00A44D72"/>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353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go.owu.edu/~jbkrygie/krygier_html/geog_222/geog_222_lo/wood_lynch_debord.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1085</Words>
  <Characters>6189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EN-340: THE WELSH WRITING WALES</vt:lpstr>
    </vt:vector>
  </TitlesOfParts>
  <Company>CYD</Company>
  <LinksUpToDate>false</LinksUpToDate>
  <CharactersWithSpaces>7260</CharactersWithSpaces>
  <SharedDoc>false</SharedDoc>
  <HLinks>
    <vt:vector size="6" baseType="variant">
      <vt:variant>
        <vt:i4>2949224</vt:i4>
      </vt:variant>
      <vt:variant>
        <vt:i4>0</vt:i4>
      </vt:variant>
      <vt:variant>
        <vt:i4>0</vt:i4>
      </vt:variant>
      <vt:variant>
        <vt:i4>5</vt:i4>
      </vt:variant>
      <vt:variant>
        <vt:lpwstr>http://go.owu.edu/~jbkrygie/krygier_html/geog_222/geog_222_lo/wood_lynch_debord.pdf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EN-340: THE WELSH WRITING WALES</dc:title>
  <dc:subject/>
  <dc:creator>IT</dc:creator>
  <cp:keywords/>
  <dc:description/>
  <cp:lastModifiedBy>Jeni Williams</cp:lastModifiedBy>
  <cp:revision>2</cp:revision>
  <cp:lastPrinted>2010-03-01T11:21:00Z</cp:lastPrinted>
  <dcterms:created xsi:type="dcterms:W3CDTF">2019-12-27T12:41:00Z</dcterms:created>
  <dcterms:modified xsi:type="dcterms:W3CDTF">2019-12-27T12:41:00Z</dcterms:modified>
</cp:coreProperties>
</file>