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E171C" w:rsidRDefault="008E171C" w:rsidP="00C5033B">
      <w:pPr>
        <w:spacing w:line="480" w:lineRule="auto"/>
        <w:rPr>
          <w:b/>
          <w:sz w:val="28"/>
          <w:szCs w:val="28"/>
          <w:u w:val="single"/>
        </w:rPr>
      </w:pPr>
      <w:r w:rsidRPr="008E171C">
        <w:rPr>
          <w:b/>
          <w:sz w:val="28"/>
          <w:szCs w:val="28"/>
          <w:u w:val="single"/>
        </w:rPr>
        <w:t>Assess the extent that objects can be ‘inalienable’?</w:t>
      </w:r>
      <w:r w:rsidR="00990713">
        <w:rPr>
          <w:b/>
          <w:sz w:val="28"/>
          <w:szCs w:val="28"/>
          <w:u w:val="single"/>
        </w:rPr>
        <w:t xml:space="preserve"> </w:t>
      </w:r>
      <w:bookmarkStart w:id="0" w:name="_GoBack"/>
      <w:bookmarkEnd w:id="0"/>
    </w:p>
    <w:p w:rsidR="008E171C" w:rsidRPr="00FA56C7" w:rsidRDefault="00FA56C7" w:rsidP="00C5033B">
      <w:pPr>
        <w:spacing w:line="480" w:lineRule="auto"/>
        <w:rPr>
          <w:b/>
        </w:rPr>
      </w:pPr>
      <w:r>
        <w:rPr>
          <w:b/>
        </w:rPr>
        <w:t>Introduction</w:t>
      </w:r>
    </w:p>
    <w:p w:rsidR="00FA56C7" w:rsidRDefault="00D7072F" w:rsidP="00C5033B">
      <w:pPr>
        <w:spacing w:line="480" w:lineRule="auto"/>
      </w:pPr>
      <w:r>
        <w:t>Materials and objects undeniably play a huge role in the lives of all humans, and our interactions with them have taught us much of what we know about our history as a</w:t>
      </w:r>
      <w:r w:rsidR="00B7639A">
        <w:t xml:space="preserve"> species. </w:t>
      </w:r>
      <w:r>
        <w:t>Perhaps, in the br</w:t>
      </w:r>
      <w:r w:rsidR="00190760">
        <w:t>oadest and most obvious sense, object(s)</w:t>
      </w:r>
      <w:r>
        <w:t xml:space="preserve"> can never be separated from any human, as by doing so, that human would lose the most identifiable feature of their being (their bodies), and with it they would also lose the necessary parts of themselves needed to identify themselves</w:t>
      </w:r>
      <w:r w:rsidR="00107678">
        <w:t xml:space="preserve"> even</w:t>
      </w:r>
      <w:r>
        <w:t xml:space="preserve"> as being. For most humans, losing any body part, especially those specialised to sensory recognition, is greatly undesirable, and when threatened by this prospect, people will do all in their power to prevent this great personal loss</w:t>
      </w:r>
      <w:r w:rsidR="00431521" w:rsidRPr="00431521">
        <w:rPr>
          <w:vertAlign w:val="superscript"/>
        </w:rPr>
        <w:footnoteReference w:id="1"/>
      </w:r>
      <w:r>
        <w:t xml:space="preserve">. </w:t>
      </w:r>
      <w:r w:rsidR="00190760">
        <w:t>However, the inalienability of objects runs deeper than this, and must take into account the various cultural and individual factors that cause us to ‘feel’ for physical things.</w:t>
      </w:r>
      <w:r w:rsidR="00182F9F">
        <w:t xml:space="preserve"> This essay will be exploring the play of give-and-take between objects</w:t>
      </w:r>
      <w:r w:rsidR="00107678">
        <w:t xml:space="preserve"> and people</w:t>
      </w:r>
      <w:r w:rsidR="00182F9F">
        <w:t>, looking not only at the physical, but at the cultural</w:t>
      </w:r>
      <w:r w:rsidR="00107678">
        <w:t xml:space="preserve"> and social</w:t>
      </w:r>
      <w:r w:rsidR="00182F9F">
        <w:t xml:space="preserve"> indentations</w:t>
      </w:r>
      <w:r w:rsidR="00B7639A">
        <w:t xml:space="preserve"> and forces</w:t>
      </w:r>
      <w:r w:rsidR="00107678">
        <w:t xml:space="preserve"> given by those who have interacted and shaped</w:t>
      </w:r>
      <w:r w:rsidR="00182F9F">
        <w:t xml:space="preserve"> these objects</w:t>
      </w:r>
      <w:r w:rsidR="00DF0858">
        <w:t xml:space="preserve">, and asks, and </w:t>
      </w:r>
      <w:r w:rsidR="00190760">
        <w:t>seeks to answer</w:t>
      </w:r>
      <w:r w:rsidR="00DF0858">
        <w:t xml:space="preserve"> </w:t>
      </w:r>
      <w:r w:rsidR="00190760">
        <w:t>the extent that an object can ultimately be inalienable</w:t>
      </w:r>
      <w:r w:rsidR="00DF0858">
        <w:t xml:space="preserve">. </w:t>
      </w:r>
    </w:p>
    <w:p w:rsidR="00170840" w:rsidRPr="00170840" w:rsidRDefault="00170840" w:rsidP="00C5033B">
      <w:pPr>
        <w:spacing w:line="480" w:lineRule="auto"/>
        <w:rPr>
          <w:b/>
        </w:rPr>
      </w:pPr>
      <w:r w:rsidRPr="00170840">
        <w:rPr>
          <w:b/>
        </w:rPr>
        <w:t>What makes objects inalienable?</w:t>
      </w:r>
    </w:p>
    <w:p w:rsidR="00FA56C7" w:rsidRDefault="00170840" w:rsidP="00C5033B">
      <w:pPr>
        <w:spacing w:line="480" w:lineRule="auto"/>
      </w:pPr>
      <w:r>
        <w:t>Objects become inalie</w:t>
      </w:r>
      <w:r w:rsidR="007F7196">
        <w:t xml:space="preserve">nable to us when we view them </w:t>
      </w:r>
      <w:r>
        <w:t xml:space="preserve">as important. </w:t>
      </w:r>
      <w:r w:rsidR="007F7196">
        <w:t xml:space="preserve">This can be seen </w:t>
      </w:r>
      <w:r w:rsidR="00AE6FA7">
        <w:t xml:space="preserve">all over the world in a diverse display of actions. </w:t>
      </w:r>
      <w:r w:rsidR="001A5C85">
        <w:t>Minimalists, those who seek to ‘</w:t>
      </w:r>
      <w:r w:rsidR="001A5C85" w:rsidRPr="001A5C85">
        <w:t>inte</w:t>
      </w:r>
      <w:r w:rsidR="001A5C85">
        <w:t>ntionally [try]</w:t>
      </w:r>
      <w:r w:rsidR="001A5C85" w:rsidRPr="001A5C85">
        <w:t xml:space="preserve"> to live with only the things </w:t>
      </w:r>
      <w:r w:rsidR="001A5C85">
        <w:t>[they]</w:t>
      </w:r>
      <w:r w:rsidR="00B2313B">
        <w:t xml:space="preserve"> really need</w:t>
      </w:r>
      <w:r w:rsidR="001A5C85">
        <w:t>’</w:t>
      </w:r>
      <w:r w:rsidR="00C5033B">
        <w:t xml:space="preserve"> </w:t>
      </w:r>
      <w:r w:rsidR="00C5033B" w:rsidRPr="00C5033B">
        <w:t xml:space="preserve">(Becker, </w:t>
      </w:r>
      <w:proofErr w:type="spellStart"/>
      <w:r w:rsidR="00C5033B" w:rsidRPr="00C5033B">
        <w:t>n.d.</w:t>
      </w:r>
      <w:proofErr w:type="spellEnd"/>
      <w:r w:rsidR="00C5033B" w:rsidRPr="00C5033B">
        <w:t>)</w:t>
      </w:r>
      <w:r w:rsidR="001A5C85">
        <w:t xml:space="preserve"> are people that have recognised and embraced the objects in their life that </w:t>
      </w:r>
      <w:r w:rsidR="00B2313B">
        <w:t xml:space="preserve">they cherish, with the ultimate aim of intentionally realising the value of an object in its own context, and with it, their own internal value in living. </w:t>
      </w:r>
      <w:r w:rsidR="0091412F" w:rsidRPr="0091412F">
        <w:t xml:space="preserve">(Becker, </w:t>
      </w:r>
      <w:proofErr w:type="spellStart"/>
      <w:r w:rsidR="0091412F" w:rsidRPr="0091412F">
        <w:t>n.d.</w:t>
      </w:r>
      <w:proofErr w:type="spellEnd"/>
      <w:r w:rsidR="0091412F" w:rsidRPr="0091412F">
        <w:t>)</w:t>
      </w:r>
      <w:r w:rsidR="00B2313B">
        <w:t>. To a minimalist, each object has an innate value, and is inalienable</w:t>
      </w:r>
      <w:r w:rsidR="003E5C3A">
        <w:t xml:space="preserve"> to them because of it, while all</w:t>
      </w:r>
      <w:r w:rsidR="00FB63B3">
        <w:t xml:space="preserve"> other </w:t>
      </w:r>
      <w:r w:rsidR="00FB63B3">
        <w:lastRenderedPageBreak/>
        <w:t>objects are</w:t>
      </w:r>
      <w:r w:rsidR="003E5C3A">
        <w:t xml:space="preserve"> seen not only to not have worth, but as a detriment to the value of </w:t>
      </w:r>
      <w:r w:rsidR="00447117">
        <w:t xml:space="preserve">already </w:t>
      </w:r>
      <w:r w:rsidR="003E5C3A">
        <w:t>valued objects,</w:t>
      </w:r>
      <w:r w:rsidR="00447117">
        <w:t xml:space="preserve"> and are discarded</w:t>
      </w:r>
      <w:r w:rsidR="0091412F">
        <w:t xml:space="preserve"> </w:t>
      </w:r>
      <w:r w:rsidR="00FB63B3">
        <w:t>happily</w:t>
      </w:r>
      <w:r w:rsidR="003E5C3A">
        <w:t xml:space="preserve">. Seemingly far from minimalism, hoarders also show the same characteristics of inalienability when dealing with objects. </w:t>
      </w:r>
      <w:r w:rsidR="00AE6FA7">
        <w:t>For example, hoarding, a symptom of OCD (amongst other neurological conditions), causes those affected to become unable to distinguish between useful or valuable o</w:t>
      </w:r>
      <w:r w:rsidR="003E5C3A">
        <w:t>bjects</w:t>
      </w:r>
      <w:r w:rsidR="0091412F">
        <w:t>, and other</w:t>
      </w:r>
      <w:r w:rsidR="00AE6FA7">
        <w:t xml:space="preserve"> objects of less worth (</w:t>
      </w:r>
      <w:r w:rsidR="003E5C3A">
        <w:t xml:space="preserve">or what many </w:t>
      </w:r>
      <w:r w:rsidR="00C5033B">
        <w:t>may</w:t>
      </w:r>
      <w:r w:rsidR="003E5C3A">
        <w:t xml:space="preserve"> describe as</w:t>
      </w:r>
      <w:r w:rsidR="00AE6FA7">
        <w:t xml:space="preserve"> </w:t>
      </w:r>
      <w:r w:rsidR="003E5C3A">
        <w:t>‘j</w:t>
      </w:r>
      <w:r w:rsidR="00AE6FA7">
        <w:t>unk</w:t>
      </w:r>
      <w:r w:rsidR="003E5C3A">
        <w:t>’</w:t>
      </w:r>
      <w:r w:rsidR="005A52E7">
        <w:t>). Many become</w:t>
      </w:r>
      <w:r w:rsidR="0091412F">
        <w:t xml:space="preserve"> very</w:t>
      </w:r>
      <w:r w:rsidR="005A52E7">
        <w:t xml:space="preserve"> emotion</w:t>
      </w:r>
      <w:r w:rsidR="00665A37">
        <w:t xml:space="preserve">ally attached to these objects </w:t>
      </w:r>
      <w:r w:rsidR="00665A37" w:rsidRPr="00665A37">
        <w:t xml:space="preserve">(Brown and </w:t>
      </w:r>
      <w:proofErr w:type="spellStart"/>
      <w:r w:rsidR="00665A37" w:rsidRPr="00665A37">
        <w:t>Meszaros</w:t>
      </w:r>
      <w:proofErr w:type="spellEnd"/>
      <w:r w:rsidR="00665A37" w:rsidRPr="00665A37">
        <w:t>, 2007)</w:t>
      </w:r>
      <w:r w:rsidR="00665A37">
        <w:t xml:space="preserve">, with these emotions so strong in some cases, that one patient felt that he could not discard an item, as he would be ‘haunted’ by memories of it </w:t>
      </w:r>
      <w:r w:rsidR="00665A37" w:rsidRPr="00665A37">
        <w:t xml:space="preserve">(Frost, </w:t>
      </w:r>
      <w:proofErr w:type="spellStart"/>
      <w:r w:rsidR="00665A37" w:rsidRPr="00665A37">
        <w:t>Steketee</w:t>
      </w:r>
      <w:proofErr w:type="spellEnd"/>
      <w:r w:rsidR="00665A37" w:rsidRPr="00665A37">
        <w:t xml:space="preserve"> and Greene, 2003)</w:t>
      </w:r>
      <w:r w:rsidR="00665A37">
        <w:t xml:space="preserve">. </w:t>
      </w:r>
      <w:r w:rsidR="0091412F">
        <w:t xml:space="preserve">Both minimalism and hoarding demonstrate to us examples of </w:t>
      </w:r>
      <w:r w:rsidR="003E5C3A">
        <w:t>the</w:t>
      </w:r>
      <w:r w:rsidR="00447117">
        <w:t xml:space="preserve"> innate</w:t>
      </w:r>
      <w:r w:rsidR="003E5C3A">
        <w:t xml:space="preserve"> relationship between our perceived sense of worth or value of an object, and its inalienability. </w:t>
      </w:r>
      <w:r w:rsidR="0091412F">
        <w:t xml:space="preserve">Both of these examples also suggest that there are many external factors that can </w:t>
      </w:r>
      <w:r w:rsidR="005432A4">
        <w:t>affect our perception of value</w:t>
      </w:r>
      <w:r w:rsidR="00FB63B3">
        <w:t xml:space="preserve">, and that there is no one-size-fits-all value that any object can have. </w:t>
      </w:r>
    </w:p>
    <w:p w:rsidR="00FA56C7" w:rsidRDefault="00DC2368" w:rsidP="00C5033B">
      <w:pPr>
        <w:spacing w:line="480" w:lineRule="auto"/>
        <w:rPr>
          <w:b/>
        </w:rPr>
      </w:pPr>
      <w:r>
        <w:rPr>
          <w:b/>
        </w:rPr>
        <w:t>Inalienability as a social function</w:t>
      </w:r>
    </w:p>
    <w:p w:rsidR="00702B9D" w:rsidRDefault="00DC2368" w:rsidP="00C5033B">
      <w:pPr>
        <w:spacing w:line="480" w:lineRule="auto"/>
      </w:pPr>
      <w:r>
        <w:t>It has long been documented that oftentimes objects that are inalienable to us, particularly those which are inalienable to a group or culture</w:t>
      </w:r>
      <w:r w:rsidR="00FA56C7">
        <w:t>, serve the individual, family, or community involved in other ways too</w:t>
      </w:r>
      <w:r w:rsidR="00C21794">
        <w:t xml:space="preserve">.  During his time in the Trobriand Islands, off the east coast of New Guinea, </w:t>
      </w:r>
      <w:proofErr w:type="spellStart"/>
      <w:r w:rsidR="00E008A7">
        <w:t>Bronislaw</w:t>
      </w:r>
      <w:proofErr w:type="spellEnd"/>
      <w:r w:rsidR="00E008A7">
        <w:t xml:space="preserve"> </w:t>
      </w:r>
      <w:r w:rsidR="00C21794">
        <w:t>Malinowski observed a ceremonial exchange of arm-shells and necklaces between neighbouring island communities</w:t>
      </w:r>
      <w:r w:rsidR="00D00A49">
        <w:t>, known as the Kula Ring</w:t>
      </w:r>
      <w:r w:rsidR="00C21794">
        <w:t xml:space="preserve">. </w:t>
      </w:r>
      <w:r w:rsidR="00D00A49">
        <w:t>Those who are able to trade in the Kula Ring have notable status</w:t>
      </w:r>
      <w:r w:rsidR="00C268CB">
        <w:t xml:space="preserve"> (in some communities, only the chief may enter the Kula Ring</w:t>
      </w:r>
      <w:r w:rsidR="00C268CB" w:rsidRPr="00C268CB">
        <w:t xml:space="preserve"> (Weiner, 1992)</w:t>
      </w:r>
      <w:r w:rsidR="00C268CB">
        <w:t>)</w:t>
      </w:r>
      <w:r w:rsidR="00D00A49">
        <w:t xml:space="preserve">, and one is not automatically given the right to trade, instead they must earn the right to trade through </w:t>
      </w:r>
      <w:r w:rsidR="00C268CB">
        <w:t xml:space="preserve">lower spheres of exchange </w:t>
      </w:r>
      <w:r w:rsidR="00C268CB" w:rsidRPr="00C268CB">
        <w:t>(Damon, 1980)</w:t>
      </w:r>
      <w:r w:rsidR="00C268CB">
        <w:t>.</w:t>
      </w:r>
      <w:r w:rsidR="00CE1441">
        <w:t xml:space="preserve"> What Malinowski found however,</w:t>
      </w:r>
      <w:r w:rsidR="006719BB">
        <w:t xml:space="preserve"> is</w:t>
      </w:r>
      <w:r w:rsidR="00CE1441">
        <w:t xml:space="preserve"> that these simple gift exchanges </w:t>
      </w:r>
      <w:r w:rsidR="006719BB">
        <w:t>were just the surface of a much larger underlying system, opening the doors for many other exchanges and bonds between the communities.</w:t>
      </w:r>
      <w:r w:rsidR="0004561A">
        <w:t xml:space="preserve"> These exchanges are frequent, and no member of the Kula Ring keeps any item long enough to call them their own, and as such the frequent trading of valuable items between men of status creates a reason for a lasting </w:t>
      </w:r>
      <w:r w:rsidR="0004561A">
        <w:lastRenderedPageBreak/>
        <w:t>bond between them, aiding peace and stability between the neighbouring tribes</w:t>
      </w:r>
      <w:r w:rsidR="001037A9">
        <w:t xml:space="preserve"> </w:t>
      </w:r>
      <w:r w:rsidR="001037A9" w:rsidRPr="001037A9">
        <w:t>(Malinowski, 1922)</w:t>
      </w:r>
      <w:r w:rsidR="00C5033B">
        <w:t>. A</w:t>
      </w:r>
      <w:r w:rsidR="0004561A">
        <w:t xml:space="preserve">s Mauss pointed out, this </w:t>
      </w:r>
      <w:r w:rsidR="009236AA">
        <w:t>exchange</w:t>
      </w:r>
      <w:r w:rsidR="0004561A">
        <w:t xml:space="preserve"> is distinguished from</w:t>
      </w:r>
      <w:r w:rsidR="001037A9">
        <w:t xml:space="preserve"> regular</w:t>
      </w:r>
      <w:r w:rsidR="0004561A">
        <w:t xml:space="preserve"> </w:t>
      </w:r>
      <w:r w:rsidR="009236AA">
        <w:t>bartered trade (known as ‘</w:t>
      </w:r>
      <w:proofErr w:type="spellStart"/>
      <w:r w:rsidR="009236AA">
        <w:t>gimwali</w:t>
      </w:r>
      <w:proofErr w:type="spellEnd"/>
      <w:r w:rsidR="009236AA">
        <w:t>’</w:t>
      </w:r>
      <w:r w:rsidR="00E325B9">
        <w:t xml:space="preserve">). </w:t>
      </w:r>
      <w:r w:rsidR="001037A9">
        <w:t>The Kula Ring was a notable basis for Mauss’s work on</w:t>
      </w:r>
      <w:r w:rsidR="008C62EB">
        <w:t xml:space="preserve"> reciprocity and exchange, whereby Mauss ultimately concluded</w:t>
      </w:r>
      <w:r w:rsidR="001037A9">
        <w:t xml:space="preserve"> that gifts are not selfless acts, but are </w:t>
      </w:r>
      <w:r w:rsidR="008C62EB">
        <w:t xml:space="preserve">instead the creation of self-interested economic and social obligations </w:t>
      </w:r>
      <w:r w:rsidR="009E1877" w:rsidRPr="009E1877">
        <w:t>(Mauss, 1954)</w:t>
      </w:r>
      <w:r w:rsidR="009E1877">
        <w:t xml:space="preserve">. </w:t>
      </w:r>
      <w:r w:rsidR="00F65A62">
        <w:t xml:space="preserve">These ceremonies are very comparable in function to magical rituals held also by the Trobriand Islanders, whereby before going on a dangerous sea voyage, they would perform a ritual to appease their God and grant them safe passage. </w:t>
      </w:r>
      <w:r w:rsidR="00EA27F9">
        <w:t xml:space="preserve">When reflecting on this act, Malinowski came to the conclusion that the ritual was unlikely to make a difference to the peril of the deep waters, but instead would give those travelling the courage to embark on a journey from which they may never return (Malinowski, 1922). It is within both these actions – Kula Exchange and magical rituals that we can see, within the </w:t>
      </w:r>
      <w:proofErr w:type="spellStart"/>
      <w:r w:rsidR="00EA27F9">
        <w:t>Trobrianders</w:t>
      </w:r>
      <w:proofErr w:type="spellEnd"/>
      <w:r w:rsidR="00EA27F9">
        <w:t xml:space="preserve"> at least, that these rituals displayed open up a far greater world of opportunity, and have far more influence on a culture t</w:t>
      </w:r>
      <w:r w:rsidR="00C5033B">
        <w:t>han is seen at face value.</w:t>
      </w:r>
      <w:r w:rsidR="00E008A7">
        <w:t xml:space="preserve"> </w:t>
      </w:r>
      <w:r w:rsidR="00C5033B">
        <w:t>F</w:t>
      </w:r>
      <w:r w:rsidR="00E008A7">
        <w:t>rom this</w:t>
      </w:r>
      <w:r w:rsidR="00C5033B">
        <w:t>,</w:t>
      </w:r>
      <w:r w:rsidR="00E008A7">
        <w:t xml:space="preserve"> we can see that objects we see as valuable have not only a very great meaning to ourselves, be it our status, our culture, or our personal memories, but also have the potential to have a large effect on our wider communities. Evidence suggests that ritual behaviour surrounding objects that we would consider inalienable serves as a medium for us to create social bonds and encourage exchange, with tradition uniting us, and keeping us away from the social politics that can so easily occur. </w:t>
      </w:r>
    </w:p>
    <w:p w:rsidR="00E008A7" w:rsidRDefault="00242797" w:rsidP="00C5033B">
      <w:pPr>
        <w:spacing w:line="480" w:lineRule="auto"/>
        <w:rPr>
          <w:b/>
        </w:rPr>
      </w:pPr>
      <w:r>
        <w:rPr>
          <w:b/>
        </w:rPr>
        <w:t>Alienable Objects</w:t>
      </w:r>
    </w:p>
    <w:p w:rsidR="002F7E2A" w:rsidRDefault="001825F2" w:rsidP="00C5033B">
      <w:pPr>
        <w:spacing w:line="480" w:lineRule="auto"/>
      </w:pPr>
      <w:r>
        <w:t>To understand fully what makes objects inalienable, and to achieve a point where one can assess the extent to whic</w:t>
      </w:r>
      <w:r w:rsidR="00725B7D">
        <w:t>h object inalienability is</w:t>
      </w:r>
      <w:r>
        <w:t xml:space="preserve"> possible, it is equally important to look at what makes an object alienable to us. </w:t>
      </w:r>
      <w:r w:rsidR="006D76F0">
        <w:t xml:space="preserve">If an inalienable object has value to an individual or group, then an alienable object can be anything from worthless or meaningless, all the way to repulsive.  One particularly interesting example on a controversial subject looks at the inalienability of human embryos, which have become a topic of </w:t>
      </w:r>
      <w:r w:rsidR="002F7E2A">
        <w:t xml:space="preserve">increasing </w:t>
      </w:r>
      <w:r w:rsidR="006D76F0">
        <w:t xml:space="preserve">ethical discussion as scientists, as they like to do, seek to </w:t>
      </w:r>
      <w:r w:rsidR="006D76F0">
        <w:lastRenderedPageBreak/>
        <w:t>investigate</w:t>
      </w:r>
      <w:r w:rsidR="002C7F09">
        <w:t xml:space="preserve"> and</w:t>
      </w:r>
      <w:r w:rsidR="006D76F0">
        <w:t xml:space="preserve"> explore them as much as possible. </w:t>
      </w:r>
      <w:r w:rsidR="002C7F09">
        <w:t xml:space="preserve">The main issue of debate surrounds the fact that there are many people out there who fear that embryonic research, especially when the destruction of embryos occurs as a result, risks the commodification of human reproductive tissues </w:t>
      </w:r>
      <w:r w:rsidR="002C7F09" w:rsidRPr="002C7F09">
        <w:t xml:space="preserve">(McLeod and </w:t>
      </w:r>
      <w:proofErr w:type="spellStart"/>
      <w:r w:rsidR="002C7F09" w:rsidRPr="002C7F09">
        <w:t>Baylis</w:t>
      </w:r>
      <w:proofErr w:type="spellEnd"/>
      <w:r w:rsidR="002C7F09" w:rsidRPr="002C7F09">
        <w:t>, 2006)</w:t>
      </w:r>
      <w:r w:rsidR="002C7F09">
        <w:t xml:space="preserve">. </w:t>
      </w:r>
      <w:r w:rsidR="00A65CD6">
        <w:t>Interestingly</w:t>
      </w:r>
      <w:r w:rsidR="00E02EC9">
        <w:t xml:space="preserve"> the main fear here stems from </w:t>
      </w:r>
      <w:r w:rsidR="00C2329D">
        <w:t>a</w:t>
      </w:r>
      <w:r w:rsidR="002F7E2A">
        <w:t xml:space="preserve"> fear of commodification/</w:t>
      </w:r>
      <w:r w:rsidR="00E02EC9">
        <w:t>objec</w:t>
      </w:r>
      <w:r w:rsidR="00C2329D">
        <w:t>tification of something that many</w:t>
      </w:r>
      <w:r w:rsidR="002F7E2A">
        <w:t xml:space="preserve"> intrinsically hold sacred,</w:t>
      </w:r>
      <w:r w:rsidR="00E02EC9">
        <w:t xml:space="preserve"> </w:t>
      </w:r>
      <w:r w:rsidR="002F7E2A">
        <w:t>thereby s</w:t>
      </w:r>
      <w:r w:rsidR="00E02EC9">
        <w:t xml:space="preserve">uggesting that the </w:t>
      </w:r>
      <w:r w:rsidR="00C2329D">
        <w:t xml:space="preserve">typical </w:t>
      </w:r>
      <w:r w:rsidR="00E02EC9">
        <w:t>objects we do value for say, sentimental reasons, are given something more</w:t>
      </w:r>
      <w:r w:rsidR="00C2329D">
        <w:t xml:space="preserve"> through the meaning they have with us, and that it is not the object itself that matters, but instead our inability to imbue this meaning into another object, so that it may be replaced or discarded. </w:t>
      </w:r>
    </w:p>
    <w:p w:rsidR="006D76F0" w:rsidRDefault="00C2329D" w:rsidP="00C5033B">
      <w:pPr>
        <w:spacing w:line="480" w:lineRule="auto"/>
      </w:pPr>
      <w:r>
        <w:t>When looking at embryos, there are a lot of factors to consider when thinking of their alienability. To begin with, for the majority of her life, a woman will be</w:t>
      </w:r>
      <w:r w:rsidR="00CB6D36">
        <w:t xml:space="preserve"> autonomously</w:t>
      </w:r>
      <w:r>
        <w:t xml:space="preserve"> discarding embryos naturally on a monthly basis</w:t>
      </w:r>
      <w:r w:rsidR="00CB6D36">
        <w:t>, yet despite this eggs remain seen to have “an intimate connection to [our] personhood”</w:t>
      </w:r>
      <w:r w:rsidR="003D169B">
        <w:t xml:space="preserve"> (Holland 2001), and arguments remain that they have personhood status and should be treated with full moral standing (McLeod and </w:t>
      </w:r>
      <w:proofErr w:type="spellStart"/>
      <w:r w:rsidR="003D169B">
        <w:t>Baylis</w:t>
      </w:r>
      <w:proofErr w:type="spellEnd"/>
      <w:r w:rsidR="003D169B">
        <w:t xml:space="preserve"> 2006). But what about a mans sperm?</w:t>
      </w:r>
      <w:r w:rsidR="00CB6D36">
        <w:t xml:space="preserve"> </w:t>
      </w:r>
      <w:r w:rsidR="003D169B">
        <w:t xml:space="preserve">Unfertilised, a chicken’s egg is as good in a sandwich as it is in her nest, yet </w:t>
      </w:r>
      <w:r w:rsidR="007D61AD">
        <w:t>when not fertilising, a</w:t>
      </w:r>
      <w:r w:rsidR="003D169B">
        <w:t xml:space="preserve"> man’s sperm is </w:t>
      </w:r>
      <w:r w:rsidR="00582C05">
        <w:t>considered far more alienable, with many men alienating themselves from it on a regular basis</w:t>
      </w:r>
      <w:r w:rsidR="00956545">
        <w:t>, and sometimes even literally commodifying their sperm – in the case of paid sperm ‘donation’</w:t>
      </w:r>
      <w:r w:rsidR="00582C05">
        <w:t xml:space="preserve">. Perhaps this is because a man’s sperm is created constantly throughout his life, whereas a woman is born with every egg she’ll ever use </w:t>
      </w:r>
      <w:r w:rsidR="00582C05" w:rsidRPr="00582C05">
        <w:t>(Wallace and Kelsey, 2010)</w:t>
      </w:r>
      <w:r w:rsidR="00582C05">
        <w:t>, leading one to value a diminishing resource over an unlimited resource, though as this is not necessarily comm</w:t>
      </w:r>
      <w:r w:rsidR="00956545">
        <w:t>on knowledge, this is unlikely,</w:t>
      </w:r>
      <w:r w:rsidR="002F7E2A">
        <w:t xml:space="preserve"> and the fact still remains that for whatever reason, a man’s sperm which is equally essential for life, is considered far more alienable than an embryo. Ultimately however, the inalienability of an embryo highlights the d</w:t>
      </w:r>
      <w:r w:rsidR="007D61AD">
        <w:t>eeper significance th</w:t>
      </w:r>
      <w:r w:rsidR="002C601D">
        <w:t>at we place on certain objects</w:t>
      </w:r>
      <w:r w:rsidR="00956545">
        <w:t xml:space="preserve">, and the physical representation of life and the pure expression of one’s own personhood that is an embryo, certainly does characterise the meaning of significance. </w:t>
      </w:r>
      <w:r w:rsidR="007D61AD">
        <w:t>The influence of this significance</w:t>
      </w:r>
      <w:r w:rsidR="00956545">
        <w:t xml:space="preserve"> of course,</w:t>
      </w:r>
      <w:r w:rsidR="007D61AD">
        <w:t xml:space="preserve"> may come from ext</w:t>
      </w:r>
      <w:r w:rsidR="00956545">
        <w:t>ernal sources (culture), or it</w:t>
      </w:r>
      <w:r w:rsidR="007D61AD">
        <w:t xml:space="preserve"> may come internally</w:t>
      </w:r>
      <w:r w:rsidR="00A65CD6">
        <w:t>.</w:t>
      </w:r>
      <w:r w:rsidR="00956545">
        <w:t xml:space="preserve"> </w:t>
      </w:r>
      <w:r w:rsidR="00A65CD6">
        <w:t>R</w:t>
      </w:r>
      <w:r w:rsidR="00956545">
        <w:t>egardless</w:t>
      </w:r>
      <w:r w:rsidR="002C601D">
        <w:t xml:space="preserve">, it is </w:t>
      </w:r>
      <w:r w:rsidR="00956545">
        <w:t>certainly present</w:t>
      </w:r>
      <w:r w:rsidR="002C601D">
        <w:t>, an</w:t>
      </w:r>
      <w:r w:rsidR="00956545">
        <w:t>d has a great power over</w:t>
      </w:r>
      <w:r w:rsidR="002C601D">
        <w:t xml:space="preserve"> people, and their approach to</w:t>
      </w:r>
      <w:r w:rsidR="00956545">
        <w:t xml:space="preserve"> the</w:t>
      </w:r>
      <w:r w:rsidR="002C601D">
        <w:t xml:space="preserve"> life</w:t>
      </w:r>
      <w:r w:rsidR="00956545">
        <w:t xml:space="preserve"> they live</w:t>
      </w:r>
      <w:r w:rsidR="002C601D">
        <w:t xml:space="preserve">. </w:t>
      </w:r>
      <w:r w:rsidR="00956545">
        <w:t xml:space="preserve">From </w:t>
      </w:r>
      <w:r w:rsidR="00956545">
        <w:lastRenderedPageBreak/>
        <w:t>this, we can summarise that alienability</w:t>
      </w:r>
      <w:r w:rsidR="002C601D">
        <w:t xml:space="preserve"> can best be seen in objects when they are in relation to individuals who do not have an emotional, spiritual, or physical connection with them. </w:t>
      </w:r>
    </w:p>
    <w:p w:rsidR="00956545" w:rsidRDefault="00A424EC" w:rsidP="00C5033B">
      <w:pPr>
        <w:spacing w:line="480" w:lineRule="auto"/>
        <w:rPr>
          <w:b/>
        </w:rPr>
      </w:pPr>
      <w:r>
        <w:rPr>
          <w:b/>
        </w:rPr>
        <w:t>Objects, or things?</w:t>
      </w:r>
    </w:p>
    <w:p w:rsidR="003D6720" w:rsidRPr="003D6720" w:rsidRDefault="003D6720" w:rsidP="00C5033B">
      <w:pPr>
        <w:spacing w:line="480" w:lineRule="auto"/>
      </w:pPr>
      <w:r>
        <w:t xml:space="preserve">In his essay </w:t>
      </w:r>
      <w:r>
        <w:rPr>
          <w:i/>
        </w:rPr>
        <w:t>The Thing</w:t>
      </w:r>
      <w:r>
        <w:t xml:space="preserve">, Heidegger tried to figure just out what it was that made a thing different from an object. </w:t>
      </w:r>
      <w:r w:rsidR="00CE6EAE">
        <w:t>An object, he described as something that has happened,</w:t>
      </w:r>
      <w:r w:rsidR="00E92BF8">
        <w:t xml:space="preserve"> something that sits on its own, in contrast to its environment. A thing however, is a happening, or a ‘going on’, this becomes the case when it is involved as part of the world, and cannot be separated from it without losing its very nature</w:t>
      </w:r>
      <w:r w:rsidR="00C904DF" w:rsidRPr="00C904DF">
        <w:t xml:space="preserve"> (Heidegger and Hofstadter, 1975)</w:t>
      </w:r>
      <w:r w:rsidR="00E92BF8">
        <w:t xml:space="preserve">. </w:t>
      </w:r>
      <w:proofErr w:type="spellStart"/>
      <w:r w:rsidR="00C904DF">
        <w:t>Ingold</w:t>
      </w:r>
      <w:proofErr w:type="spellEnd"/>
      <w:r w:rsidR="00C904DF">
        <w:t xml:space="preserve"> then furthered this, and described a thing as ‘a knot whose constituent threads, far from being contained within it, trail beyond, only to become caught with other threads in other knots’ </w:t>
      </w:r>
      <w:r w:rsidR="00C904DF" w:rsidRPr="00C904DF">
        <w:t>(</w:t>
      </w:r>
      <w:proofErr w:type="spellStart"/>
      <w:r w:rsidR="00C904DF" w:rsidRPr="00C904DF">
        <w:t>Ingold</w:t>
      </w:r>
      <w:proofErr w:type="spellEnd"/>
      <w:r w:rsidR="00C904DF" w:rsidRPr="00C904DF">
        <w:t>, 2010)</w:t>
      </w:r>
      <w:r w:rsidR="00C904DF">
        <w:t>. Looking back at the Kula Ring, the arm shells are traded, and then worn only on very special occasions, such as great feasts, or ceremonies</w:t>
      </w:r>
      <w:r w:rsidR="008332B5">
        <w:t>. They are not necessarily worn by the chief at these events, and may be worn by others, his children or relatives for example</w:t>
      </w:r>
      <w:r w:rsidR="00412061">
        <w:t>. The articles</w:t>
      </w:r>
      <w:r w:rsidR="008332B5">
        <w:t xml:space="preserve"> themselves</w:t>
      </w:r>
      <w:r w:rsidR="00412061">
        <w:t xml:space="preserve"> are made of many different shells of different colours all shaped and crafted together, before </w:t>
      </w:r>
      <w:r w:rsidR="008332B5">
        <w:t>being strung and woven to create the finished product which is then traded, and over time brings status</w:t>
      </w:r>
      <w:r w:rsidR="008332B5" w:rsidRPr="008332B5">
        <w:t xml:space="preserve"> (Malinowski, 1922)</w:t>
      </w:r>
      <w:r w:rsidR="008332B5">
        <w:t xml:space="preserve">. However, this raises questions as to where such an intricate thing starts and ends. If an armband was dropped, or damaged, causing one of the many shells it is made up of to become separated from the main band, does this separate piece still hold the same worth as the rest of the band? Or, despite its history, does it lose all of its value and instead become a worthless shell, the same as all of the others found by the shore? According to Malinowski, one of the main reasons these shell armbands gain such status, is due to all of the highly respected people that have held it – the more respected the person, the more the value </w:t>
      </w:r>
      <w:r w:rsidR="008332B5" w:rsidRPr="008332B5">
        <w:t>(Malinowski, 1922)</w:t>
      </w:r>
      <w:r w:rsidR="008332B5">
        <w:t xml:space="preserve"> (much like an autograph from a famous celebrity in our own culture). The shell that has fallen off has still had that exact same history</w:t>
      </w:r>
      <w:r w:rsidR="004665FC">
        <w:t>, but may be considered only as a damaged by-product of a significant item – it’s damaged. As a contrast to this, when my sister was younger, she had ‘</w:t>
      </w:r>
      <w:proofErr w:type="spellStart"/>
      <w:r w:rsidR="004665FC">
        <w:t>blanky</w:t>
      </w:r>
      <w:proofErr w:type="spellEnd"/>
      <w:r w:rsidR="004665FC">
        <w:t xml:space="preserve">’. To her, this ‘object’ was completely inalienable, and it would go </w:t>
      </w:r>
      <w:r w:rsidR="004665FC">
        <w:lastRenderedPageBreak/>
        <w:t>everywhere she did. Over the course of months and years however, ‘</w:t>
      </w:r>
      <w:proofErr w:type="spellStart"/>
      <w:r w:rsidR="004665FC">
        <w:t>blanky</w:t>
      </w:r>
      <w:proofErr w:type="spellEnd"/>
      <w:r w:rsidR="004665FC">
        <w:t>’ began to gain holes, shrink, and smell profusely. Eventually there came a point where ‘</w:t>
      </w:r>
      <w:proofErr w:type="spellStart"/>
      <w:r w:rsidR="004665FC">
        <w:t>blanky</w:t>
      </w:r>
      <w:proofErr w:type="spellEnd"/>
      <w:r w:rsidR="004665FC">
        <w:t>’ was little more than a few threads, however what still remained was the inalienability. Any part of ‘</w:t>
      </w:r>
      <w:proofErr w:type="spellStart"/>
      <w:r w:rsidR="004665FC">
        <w:t>blanky</w:t>
      </w:r>
      <w:proofErr w:type="spellEnd"/>
      <w:r w:rsidR="004665FC">
        <w:t>’ was a special to her as another, and while ‘</w:t>
      </w:r>
      <w:proofErr w:type="spellStart"/>
      <w:r w:rsidR="004665FC">
        <w:t>blanky’s</w:t>
      </w:r>
      <w:proofErr w:type="spellEnd"/>
      <w:r w:rsidR="004665FC">
        <w:t xml:space="preserve"> state was definitely considered damage</w:t>
      </w:r>
      <w:r w:rsidR="00A65CD6">
        <w:t>d</w:t>
      </w:r>
      <w:r w:rsidR="004665FC">
        <w:t xml:space="preserve">, it had not lost worth. </w:t>
      </w:r>
      <w:r w:rsidR="00A65CD6">
        <w:t xml:space="preserve">Perhaps between these two examples it could be speculated that individually, an inalienable object will forever remain so regardless of condition, however culturally, damage represents dishonour to the group. </w:t>
      </w:r>
      <w:r w:rsidR="004665FC">
        <w:t>Ultimately</w:t>
      </w:r>
      <w:r w:rsidR="00A65CD6">
        <w:t xml:space="preserve"> though</w:t>
      </w:r>
      <w:r w:rsidR="004665FC">
        <w:t xml:space="preserve">, it seems as though the difference between an object and a thing is context. When we objectify something we do just that. For example, in a museum we objectify articles from all over the world, and it would come as no surprise if Kula shells were displayed somewhere. </w:t>
      </w:r>
      <w:r w:rsidR="004231AF">
        <w:t xml:space="preserve">However, when we do this, they </w:t>
      </w:r>
      <w:r w:rsidR="00A65CD6">
        <w:t>appear</w:t>
      </w:r>
      <w:r w:rsidR="004231AF">
        <w:t xml:space="preserve"> one dimensional and impersonal, and the threads that join them to the world become severed, away from the possibility of transformation. </w:t>
      </w:r>
    </w:p>
    <w:p w:rsidR="00A424EC" w:rsidRDefault="00A424EC" w:rsidP="00C5033B">
      <w:pPr>
        <w:spacing w:line="480" w:lineRule="auto"/>
        <w:rPr>
          <w:b/>
        </w:rPr>
      </w:pPr>
      <w:r>
        <w:rPr>
          <w:b/>
        </w:rPr>
        <w:t>Conclusion</w:t>
      </w:r>
    </w:p>
    <w:p w:rsidR="00BC5164" w:rsidRDefault="004231AF" w:rsidP="00C5033B">
      <w:pPr>
        <w:spacing w:line="480" w:lineRule="auto"/>
      </w:pPr>
      <w:r>
        <w:t>On reflection of the various different approaches to inalienability</w:t>
      </w:r>
      <w:r w:rsidR="00EF2D5D">
        <w:t xml:space="preserve"> explored within this essay, it seems as though pretty much every living person will have an object that they would consider inalienable to them. To further this, time and time again, while writing, researching, and evaluating each section of this essay, the ultimate conclusion always seemed to point to the fact that it is not the object itself that is inalienable. Instead the object </w:t>
      </w:r>
      <w:r w:rsidR="00880A88">
        <w:t>seems to act</w:t>
      </w:r>
      <w:r w:rsidR="00EF2D5D">
        <w:t xml:space="preserve"> as a vehicle that allows us to connect to a deeper significance within ourselves. From this I hypothesise that if the emotive response granted by the presence of certain objects could be replicated, transferred, or otherwise induced, then objects that were originally inalienable, would find themselves much more alienable, and that</w:t>
      </w:r>
      <w:r w:rsidR="00880A88">
        <w:t xml:space="preserve"> then</w:t>
      </w:r>
      <w:r w:rsidR="00EF2D5D">
        <w:t xml:space="preserve"> they could much easier be discarded. </w:t>
      </w:r>
      <w:r w:rsidR="00880A88">
        <w:t xml:space="preserve">However, as this is not currently possible, both objects and things remain to have various levels of inalienability to certain people, for a variety of reasons. These reasons all seem to stem from our value of them, and this value exists within our emotions. It is likely that a hoarder would feel similar emotions if forced to discard any object found in their ‘collection’ that most would view as ‘valueless’, as a grandmother may feel if she was forced to </w:t>
      </w:r>
      <w:r w:rsidR="00880A88">
        <w:lastRenderedPageBreak/>
        <w:t>discard a family heirloom. What can be said however, is that inalienability ultimately comes down to the individual, and as the saying goes ‘one man’s trash, is another mans treasure’.</w:t>
      </w:r>
    </w:p>
    <w:p w:rsidR="00EA27F9" w:rsidRPr="00BC5164" w:rsidRDefault="00BC5164" w:rsidP="00C5033B">
      <w:pPr>
        <w:spacing w:line="480" w:lineRule="auto"/>
        <w:rPr>
          <w:b/>
        </w:rPr>
      </w:pPr>
      <w:r>
        <w:rPr>
          <w:b/>
        </w:rPr>
        <w:t>Reference List</w:t>
      </w:r>
    </w:p>
    <w:p w:rsidR="00EA27F9" w:rsidRDefault="00EA27F9" w:rsidP="00C5033B">
      <w:pPr>
        <w:spacing w:line="480" w:lineRule="auto"/>
      </w:pPr>
      <w:r w:rsidRPr="00EA27F9">
        <w:t>Becker, J. (</w:t>
      </w:r>
      <w:proofErr w:type="spellStart"/>
      <w:r w:rsidRPr="00EA27F9">
        <w:t>n</w:t>
      </w:r>
      <w:r w:rsidR="00BC5164">
        <w:t>.d.</w:t>
      </w:r>
      <w:proofErr w:type="spellEnd"/>
      <w:r w:rsidR="00BC5164">
        <w:t xml:space="preserve">). What is </w:t>
      </w:r>
      <w:proofErr w:type="gramStart"/>
      <w:r w:rsidR="00BC5164">
        <w:t>Minimalism?.</w:t>
      </w:r>
      <w:proofErr w:type="gramEnd"/>
      <w:r w:rsidR="00BC5164">
        <w:t xml:space="preserve"> [Online</w:t>
      </w:r>
      <w:r w:rsidRPr="00EA27F9">
        <w:t xml:space="preserve">] </w:t>
      </w:r>
      <w:proofErr w:type="spellStart"/>
      <w:r w:rsidRPr="00EA27F9">
        <w:rPr>
          <w:i/>
          <w:iCs/>
        </w:rPr>
        <w:t>becomingminimalist</w:t>
      </w:r>
      <w:proofErr w:type="spellEnd"/>
      <w:r w:rsidRPr="00EA27F9">
        <w:t>. Available at: https://www.becomingminimalist.com/what-is-minimalism/ [Accessed 2 Dec. 2017].</w:t>
      </w:r>
    </w:p>
    <w:p w:rsidR="00BC5164" w:rsidRDefault="00BC5164" w:rsidP="00C5033B">
      <w:pPr>
        <w:spacing w:line="480" w:lineRule="auto"/>
      </w:pPr>
      <w:r w:rsidRPr="00BC5164">
        <w:t xml:space="preserve">Brown, W. and </w:t>
      </w:r>
      <w:proofErr w:type="spellStart"/>
      <w:r w:rsidRPr="00BC5164">
        <w:t>Meszaros</w:t>
      </w:r>
      <w:proofErr w:type="spellEnd"/>
      <w:r w:rsidRPr="00BC5164">
        <w:t xml:space="preserve">, Z. (2007). </w:t>
      </w:r>
      <w:r w:rsidRPr="00BC5164">
        <w:rPr>
          <w:i/>
          <w:iCs/>
        </w:rPr>
        <w:t>Psychiatric Times</w:t>
      </w:r>
      <w:r w:rsidRPr="00BC5164">
        <w:t>, [online] 24(13). Available at: https://search.proquest.com/docview/204641352?accountid=130472 [Accessed 1 Dec. 2017].</w:t>
      </w:r>
    </w:p>
    <w:p w:rsidR="00BC5164" w:rsidRPr="008E171C" w:rsidRDefault="00BC5164" w:rsidP="00C5033B">
      <w:pPr>
        <w:spacing w:line="480" w:lineRule="auto"/>
      </w:pPr>
      <w:r w:rsidRPr="00BC5164">
        <w:t xml:space="preserve">Damon, F. (1980). The Kula and Generalised Exchange: Considering some Unconsidered Aspects of the Elementary Structures of Kinship. </w:t>
      </w:r>
      <w:r w:rsidRPr="00BC5164">
        <w:rPr>
          <w:i/>
          <w:iCs/>
        </w:rPr>
        <w:t>Man (new series)</w:t>
      </w:r>
      <w:r w:rsidRPr="00BC5164">
        <w:t>, [online] pp.15: 278. Available at: http://www.jstor.org/stable/2801671 [Accessed 2 Dec. 2017].</w:t>
      </w:r>
    </w:p>
    <w:p w:rsidR="00BC5164" w:rsidRDefault="00BC5164" w:rsidP="00C5033B">
      <w:pPr>
        <w:spacing w:line="480" w:lineRule="auto"/>
      </w:pPr>
      <w:r w:rsidRPr="00BC5164">
        <w:t xml:space="preserve">Frost, R., </w:t>
      </w:r>
      <w:proofErr w:type="spellStart"/>
      <w:r w:rsidRPr="00BC5164">
        <w:t>Steketee</w:t>
      </w:r>
      <w:proofErr w:type="spellEnd"/>
      <w:r w:rsidRPr="00BC5164">
        <w:t xml:space="preserve">, G. and Greene, K. (2003). </w:t>
      </w:r>
      <w:r w:rsidRPr="00BC5164">
        <w:rPr>
          <w:i/>
          <w:iCs/>
        </w:rPr>
        <w:t xml:space="preserve">Cognitive and </w:t>
      </w:r>
      <w:proofErr w:type="spellStart"/>
      <w:r w:rsidRPr="00BC5164">
        <w:rPr>
          <w:i/>
          <w:iCs/>
        </w:rPr>
        <w:t>behavioral</w:t>
      </w:r>
      <w:proofErr w:type="spellEnd"/>
      <w:r w:rsidRPr="00BC5164">
        <w:rPr>
          <w:i/>
          <w:iCs/>
        </w:rPr>
        <w:t xml:space="preserve"> treatment of compulsive hoarding</w:t>
      </w:r>
      <w:r w:rsidRPr="00BC5164">
        <w:t>. [</w:t>
      </w:r>
      <w:proofErr w:type="spellStart"/>
      <w:r w:rsidRPr="00BC5164">
        <w:t>ebook</w:t>
      </w:r>
      <w:proofErr w:type="spellEnd"/>
      <w:r w:rsidRPr="00BC5164">
        <w:t xml:space="preserve">] Brief Treat Crisis </w:t>
      </w:r>
      <w:proofErr w:type="spellStart"/>
      <w:r w:rsidRPr="00BC5164">
        <w:t>Interv</w:t>
      </w:r>
      <w:proofErr w:type="spellEnd"/>
      <w:r w:rsidRPr="00BC5164">
        <w:t>, pp.323-337. Available at: https://btci.stanford.clockss.org/cgi/reprint/3/3/323.pdf [Accessed 2 Dec. 2017].</w:t>
      </w:r>
    </w:p>
    <w:p w:rsidR="00993C82" w:rsidRDefault="00993C82" w:rsidP="00C5033B">
      <w:pPr>
        <w:spacing w:line="480" w:lineRule="auto"/>
      </w:pPr>
      <w:r w:rsidRPr="00993C82">
        <w:t xml:space="preserve">Heidegger, M. and Hofstadter, A. (1975). </w:t>
      </w:r>
      <w:r w:rsidRPr="00993C82">
        <w:rPr>
          <w:i/>
          <w:iCs/>
        </w:rPr>
        <w:t>Poetry, Language, Thought translations and introduction</w:t>
      </w:r>
      <w:r w:rsidRPr="00993C82">
        <w:t>. New York: Harper &amp; Row, p.167.</w:t>
      </w:r>
    </w:p>
    <w:p w:rsidR="003D169B" w:rsidRDefault="003D169B" w:rsidP="00C5033B">
      <w:pPr>
        <w:spacing w:line="480" w:lineRule="auto"/>
      </w:pPr>
      <w:r>
        <w:t xml:space="preserve">Holland, S. (2001). </w:t>
      </w:r>
      <w:r>
        <w:rPr>
          <w:i/>
        </w:rPr>
        <w:t xml:space="preserve">Contested commodities at both ends of life: Buying and selling gametes, embryos, and body tissues. </w:t>
      </w:r>
      <w:r>
        <w:t>Kennedy Institute of Ethics Journal 11 (3)</w:t>
      </w:r>
      <w:r w:rsidR="00582C05">
        <w:t>, pp.265.</w:t>
      </w:r>
    </w:p>
    <w:p w:rsidR="00CF220D" w:rsidRPr="003D169B" w:rsidRDefault="00CF220D" w:rsidP="00C5033B">
      <w:pPr>
        <w:spacing w:line="480" w:lineRule="auto"/>
      </w:pPr>
      <w:proofErr w:type="spellStart"/>
      <w:r w:rsidRPr="00CF220D">
        <w:t>Ingold</w:t>
      </w:r>
      <w:proofErr w:type="spellEnd"/>
      <w:r w:rsidRPr="00CF220D">
        <w:t xml:space="preserve">, T. (2010). </w:t>
      </w:r>
      <w:r>
        <w:rPr>
          <w:i/>
          <w:iCs/>
        </w:rPr>
        <w:t>Bringing Things t</w:t>
      </w:r>
      <w:r w:rsidRPr="00CF220D">
        <w:rPr>
          <w:i/>
          <w:iCs/>
        </w:rPr>
        <w:t>o Life: Creative Entanglements in a World of Materials</w:t>
      </w:r>
      <w:r w:rsidRPr="00CF220D">
        <w:t>. [</w:t>
      </w:r>
      <w:proofErr w:type="spellStart"/>
      <w:r w:rsidRPr="00CF220D">
        <w:t>ebook</w:t>
      </w:r>
      <w:proofErr w:type="spellEnd"/>
      <w:r w:rsidRPr="00CF220D">
        <w:t xml:space="preserve">] Manchester: ESCR National Centre for Research Methods, pp.3-5. Available at: http://eprints.ncrm.ac.uk/1306/1/0510_creative_entanglements.pdf [Accessed </w:t>
      </w:r>
      <w:r>
        <w:t>1 Dec</w:t>
      </w:r>
      <w:r w:rsidRPr="00CF220D">
        <w:t>. 2017].</w:t>
      </w:r>
    </w:p>
    <w:p w:rsidR="00BC5164" w:rsidRDefault="00BC5164" w:rsidP="00C5033B">
      <w:pPr>
        <w:spacing w:line="480" w:lineRule="auto"/>
      </w:pPr>
      <w:r w:rsidRPr="00BC5164">
        <w:t xml:space="preserve">Malinowski, B. (1922). </w:t>
      </w:r>
      <w:r w:rsidRPr="00BC5164">
        <w:rPr>
          <w:i/>
          <w:iCs/>
        </w:rPr>
        <w:t xml:space="preserve">Argonauts of the Western Pacific: An Account of Native Enterprise and Adventure in the </w:t>
      </w:r>
      <w:proofErr w:type="spellStart"/>
      <w:r w:rsidRPr="00BC5164">
        <w:rPr>
          <w:i/>
          <w:iCs/>
        </w:rPr>
        <w:t>Archipelagoes</w:t>
      </w:r>
      <w:proofErr w:type="spellEnd"/>
      <w:r w:rsidRPr="00BC5164">
        <w:rPr>
          <w:i/>
          <w:iCs/>
        </w:rPr>
        <w:t xml:space="preserve"> of Melanesian New </w:t>
      </w:r>
      <w:proofErr w:type="spellStart"/>
      <w:r w:rsidRPr="00BC5164">
        <w:rPr>
          <w:i/>
          <w:iCs/>
        </w:rPr>
        <w:t>Quinea</w:t>
      </w:r>
      <w:proofErr w:type="spellEnd"/>
      <w:r w:rsidRPr="00BC5164">
        <w:t>. 3rd ed. [</w:t>
      </w:r>
      <w:proofErr w:type="spellStart"/>
      <w:r w:rsidRPr="00BC5164">
        <w:t>ebook</w:t>
      </w:r>
      <w:proofErr w:type="spellEnd"/>
      <w:r w:rsidRPr="00BC5164">
        <w:t xml:space="preserve">] London: Taylor &amp; Francis Group, pp.62-64. Available at: </w:t>
      </w:r>
      <w:r w:rsidRPr="00BC5164">
        <w:lastRenderedPageBreak/>
        <w:t>https://monoskop.org/images/4/41/Malinowski_Bronislaw_Argonauts_of_the_Western_Pacific_2002.pdf [Accessed 3 Dec. 2017].</w:t>
      </w:r>
    </w:p>
    <w:p w:rsidR="00BC5164" w:rsidRPr="008E171C" w:rsidRDefault="00BC5164" w:rsidP="00C5033B">
      <w:pPr>
        <w:spacing w:line="480" w:lineRule="auto"/>
      </w:pPr>
      <w:r w:rsidRPr="00BC5164">
        <w:t xml:space="preserve">Mauss, M. (1954). </w:t>
      </w:r>
      <w:r w:rsidR="00350247">
        <w:rPr>
          <w:i/>
          <w:iCs/>
        </w:rPr>
        <w:t>The G</w:t>
      </w:r>
      <w:r w:rsidRPr="00BC5164">
        <w:rPr>
          <w:i/>
          <w:iCs/>
        </w:rPr>
        <w:t>ift</w:t>
      </w:r>
      <w:r w:rsidRPr="00BC5164">
        <w:t>. Mansfield Centre, CT: Martino Publishing, pp.18-27.</w:t>
      </w:r>
    </w:p>
    <w:p w:rsidR="00E008A7" w:rsidRDefault="00E008A7" w:rsidP="00C5033B">
      <w:pPr>
        <w:spacing w:line="480" w:lineRule="auto"/>
      </w:pPr>
      <w:r w:rsidRPr="00EA27F9">
        <w:t xml:space="preserve">Weiner, A. (1992). </w:t>
      </w:r>
      <w:r w:rsidRPr="00EA27F9">
        <w:rPr>
          <w:i/>
          <w:iCs/>
        </w:rPr>
        <w:t xml:space="preserve">Inalienable Possessions: The Paradox of Keeping-while-Giving. </w:t>
      </w:r>
      <w:proofErr w:type="gramStart"/>
      <w:r w:rsidRPr="00EA27F9">
        <w:rPr>
          <w:i/>
          <w:iCs/>
        </w:rPr>
        <w:t>Berkeley:</w:t>
      </w:r>
      <w:r w:rsidRPr="00EA27F9">
        <w:t>.</w:t>
      </w:r>
      <w:proofErr w:type="gramEnd"/>
      <w:r w:rsidRPr="00EA27F9">
        <w:t xml:space="preserve"> 4th ed. Berkeley: University of California Press., pp.137-140.</w:t>
      </w:r>
    </w:p>
    <w:p w:rsidR="00EA27F9" w:rsidRDefault="00EA27F9" w:rsidP="00C5033B">
      <w:pPr>
        <w:spacing w:line="480" w:lineRule="auto"/>
      </w:pPr>
      <w:r w:rsidRPr="00EA27F9">
        <w:t xml:space="preserve">Weiner, A. (1988). </w:t>
      </w:r>
      <w:r w:rsidRPr="00EA27F9">
        <w:rPr>
          <w:i/>
          <w:iCs/>
        </w:rPr>
        <w:t xml:space="preserve">The </w:t>
      </w:r>
      <w:proofErr w:type="spellStart"/>
      <w:r w:rsidRPr="00EA27F9">
        <w:rPr>
          <w:i/>
          <w:iCs/>
        </w:rPr>
        <w:t>Trobrianders</w:t>
      </w:r>
      <w:proofErr w:type="spellEnd"/>
      <w:r w:rsidRPr="00EA27F9">
        <w:rPr>
          <w:i/>
          <w:iCs/>
        </w:rPr>
        <w:t xml:space="preserve"> of Papua New Guinea</w:t>
      </w:r>
      <w:r w:rsidRPr="00EA27F9">
        <w:t>. 25th ed. New York, NY: Thomson/Wadsworth, p.159.</w:t>
      </w:r>
    </w:p>
    <w:p w:rsidR="00BC5164" w:rsidRPr="008E171C" w:rsidRDefault="00BC5164" w:rsidP="00C5033B">
      <w:pPr>
        <w:spacing w:line="480" w:lineRule="auto"/>
      </w:pPr>
    </w:p>
    <w:sectPr w:rsidR="00BC5164" w:rsidRPr="008E171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F1502" w:rsidRDefault="00BF1502" w:rsidP="00431521">
      <w:pPr>
        <w:spacing w:after="0" w:line="240" w:lineRule="auto"/>
      </w:pPr>
      <w:r>
        <w:separator/>
      </w:r>
    </w:p>
  </w:endnote>
  <w:endnote w:type="continuationSeparator" w:id="0">
    <w:p w:rsidR="00BF1502" w:rsidRDefault="00BF1502" w:rsidP="004315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F1502" w:rsidRDefault="00BF1502" w:rsidP="00431521">
      <w:pPr>
        <w:spacing w:after="0" w:line="240" w:lineRule="auto"/>
      </w:pPr>
      <w:r>
        <w:separator/>
      </w:r>
    </w:p>
  </w:footnote>
  <w:footnote w:type="continuationSeparator" w:id="0">
    <w:p w:rsidR="00BF1502" w:rsidRDefault="00BF1502" w:rsidP="00431521">
      <w:pPr>
        <w:spacing w:after="0" w:line="240" w:lineRule="auto"/>
      </w:pPr>
      <w:r>
        <w:continuationSeparator/>
      </w:r>
    </w:p>
  </w:footnote>
  <w:footnote w:id="1">
    <w:p w:rsidR="00431521" w:rsidRDefault="00431521" w:rsidP="00431521">
      <w:pPr>
        <w:pStyle w:val="FootnoteText"/>
      </w:pPr>
      <w:r>
        <w:rPr>
          <w:rStyle w:val="FootnoteReference"/>
        </w:rPr>
        <w:footnoteRef/>
      </w:r>
      <w:r>
        <w:t xml:space="preserve"> None the less, the human body is not totally inalienable, as the poverty stricken of Bangladesh</w:t>
      </w:r>
      <w:r w:rsidR="00107678">
        <w:t xml:space="preserve"> (amongst others)</w:t>
      </w:r>
      <w:r>
        <w:t xml:space="preserve"> have been recorded selling their organs</w:t>
      </w:r>
      <w:r w:rsidR="00107678">
        <w:t xml:space="preserve"> on the black market</w:t>
      </w:r>
      <w:r>
        <w:t xml:space="preserve"> to provide for themselves and their loved ones. </w:t>
      </w:r>
      <w:r w:rsidRPr="00431521">
        <w:t>http://www.bbc.co.uk/news/world-asia-24128096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171C"/>
    <w:rsid w:val="0004561A"/>
    <w:rsid w:val="00065529"/>
    <w:rsid w:val="001037A9"/>
    <w:rsid w:val="00107678"/>
    <w:rsid w:val="00170840"/>
    <w:rsid w:val="001825F2"/>
    <w:rsid w:val="00182F9F"/>
    <w:rsid w:val="00190760"/>
    <w:rsid w:val="001A5C85"/>
    <w:rsid w:val="00242797"/>
    <w:rsid w:val="002C601D"/>
    <w:rsid w:val="002C7F09"/>
    <w:rsid w:val="002F7E2A"/>
    <w:rsid w:val="00350247"/>
    <w:rsid w:val="003A4842"/>
    <w:rsid w:val="003D169B"/>
    <w:rsid w:val="003D6720"/>
    <w:rsid w:val="003E5C3A"/>
    <w:rsid w:val="00412061"/>
    <w:rsid w:val="004231AF"/>
    <w:rsid w:val="00431521"/>
    <w:rsid w:val="00447117"/>
    <w:rsid w:val="004665FC"/>
    <w:rsid w:val="004C599A"/>
    <w:rsid w:val="00502041"/>
    <w:rsid w:val="005432A4"/>
    <w:rsid w:val="00582C05"/>
    <w:rsid w:val="00584679"/>
    <w:rsid w:val="005A52E7"/>
    <w:rsid w:val="00665A37"/>
    <w:rsid w:val="006719BB"/>
    <w:rsid w:val="006C5CA9"/>
    <w:rsid w:val="006D76F0"/>
    <w:rsid w:val="006F3FEA"/>
    <w:rsid w:val="00702B9D"/>
    <w:rsid w:val="00725B7D"/>
    <w:rsid w:val="007D61AD"/>
    <w:rsid w:val="007F7196"/>
    <w:rsid w:val="00832172"/>
    <w:rsid w:val="008332B5"/>
    <w:rsid w:val="00880A88"/>
    <w:rsid w:val="008A7FB9"/>
    <w:rsid w:val="008C62EB"/>
    <w:rsid w:val="008E171C"/>
    <w:rsid w:val="0091412F"/>
    <w:rsid w:val="009236AA"/>
    <w:rsid w:val="00956545"/>
    <w:rsid w:val="00990713"/>
    <w:rsid w:val="00993C82"/>
    <w:rsid w:val="009E1877"/>
    <w:rsid w:val="00A424EC"/>
    <w:rsid w:val="00A65CD6"/>
    <w:rsid w:val="00A85EF4"/>
    <w:rsid w:val="00AE6FA7"/>
    <w:rsid w:val="00B06E3F"/>
    <w:rsid w:val="00B2313B"/>
    <w:rsid w:val="00B7639A"/>
    <w:rsid w:val="00BC5164"/>
    <w:rsid w:val="00BF1502"/>
    <w:rsid w:val="00C21794"/>
    <w:rsid w:val="00C2329D"/>
    <w:rsid w:val="00C268CB"/>
    <w:rsid w:val="00C5033B"/>
    <w:rsid w:val="00C62304"/>
    <w:rsid w:val="00C904DF"/>
    <w:rsid w:val="00CB6D36"/>
    <w:rsid w:val="00CE1441"/>
    <w:rsid w:val="00CE6EAE"/>
    <w:rsid w:val="00CF220D"/>
    <w:rsid w:val="00D00A49"/>
    <w:rsid w:val="00D253A9"/>
    <w:rsid w:val="00D7072F"/>
    <w:rsid w:val="00DC2368"/>
    <w:rsid w:val="00DD74DF"/>
    <w:rsid w:val="00DE5F4C"/>
    <w:rsid w:val="00DF0858"/>
    <w:rsid w:val="00E008A7"/>
    <w:rsid w:val="00E02EC9"/>
    <w:rsid w:val="00E325B9"/>
    <w:rsid w:val="00E753EC"/>
    <w:rsid w:val="00E92BF8"/>
    <w:rsid w:val="00EA27F9"/>
    <w:rsid w:val="00EF2D5D"/>
    <w:rsid w:val="00F62864"/>
    <w:rsid w:val="00F65A62"/>
    <w:rsid w:val="00FA56C7"/>
    <w:rsid w:val="00FB63B3"/>
    <w:rsid w:val="00FE27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32960"/>
  <w15:chartTrackingRefBased/>
  <w15:docId w15:val="{B85CD49C-A4CE-4F23-8E52-0960BF93E9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3152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31521"/>
    <w:rPr>
      <w:sz w:val="20"/>
      <w:szCs w:val="20"/>
    </w:rPr>
  </w:style>
  <w:style w:type="character" w:styleId="FootnoteReference">
    <w:name w:val="footnote reference"/>
    <w:basedOn w:val="DefaultParagraphFont"/>
    <w:uiPriority w:val="99"/>
    <w:semiHidden/>
    <w:unhideWhenUsed/>
    <w:rsid w:val="0043152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F838C8-A25F-4B52-AD84-72C7CB64EA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2404</Words>
  <Characters>13705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Barker</dc:creator>
  <cp:keywords/>
  <dc:description/>
  <cp:lastModifiedBy>James Barker</cp:lastModifiedBy>
  <cp:revision>2</cp:revision>
  <dcterms:created xsi:type="dcterms:W3CDTF">2017-12-04T22:55:00Z</dcterms:created>
  <dcterms:modified xsi:type="dcterms:W3CDTF">2017-12-04T22:55:00Z</dcterms:modified>
</cp:coreProperties>
</file>