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53B5" w:rsidRPr="001F5433" w:rsidRDefault="00F663C1">
      <w:pPr>
        <w:pStyle w:val="normal0"/>
        <w:spacing w:line="360" w:lineRule="auto"/>
        <w:jc w:val="center"/>
        <w:rPr>
          <w:b/>
          <w:sz w:val="32"/>
          <w:szCs w:val="32"/>
          <w:u w:val="single"/>
          <w:lang w:val="en-GB"/>
        </w:rPr>
      </w:pPr>
      <w:r w:rsidRPr="001F5433">
        <w:rPr>
          <w:b/>
          <w:sz w:val="32"/>
          <w:szCs w:val="32"/>
          <w:u w:val="single"/>
          <w:lang w:val="en-GB"/>
        </w:rPr>
        <w:t>Global Business Management</w:t>
      </w:r>
    </w:p>
    <w:p w:rsidR="008C53B5" w:rsidRPr="00646356" w:rsidRDefault="00F663C1">
      <w:pPr>
        <w:pStyle w:val="normal0"/>
        <w:spacing w:line="360" w:lineRule="auto"/>
        <w:jc w:val="center"/>
        <w:rPr>
          <w:b/>
          <w:i/>
          <w:lang w:val="en-GB"/>
        </w:rPr>
      </w:pPr>
      <w:r w:rsidRPr="001F5433">
        <w:rPr>
          <w:lang w:val="en-GB"/>
        </w:rPr>
        <w:br w:type="page"/>
      </w:r>
      <w:r w:rsidRPr="00646356">
        <w:rPr>
          <w:b/>
          <w:lang w:val="en-GB"/>
        </w:rPr>
        <w:lastRenderedPageBreak/>
        <w:t>Table of Contents</w:t>
      </w:r>
    </w:p>
    <w:sdt>
      <w:sdtPr>
        <w:rPr>
          <w:lang w:val="en-GB"/>
        </w:rPr>
        <w:id w:val="20987704"/>
        <w:docPartObj>
          <w:docPartGallery w:val="Table of Contents"/>
          <w:docPartUnique/>
        </w:docPartObj>
      </w:sdtPr>
      <w:sdtContent>
        <w:p w:rsidR="008C53B5" w:rsidRPr="001F5433" w:rsidRDefault="0053574B">
          <w:pPr>
            <w:pStyle w:val="normal0"/>
            <w:tabs>
              <w:tab w:val="right" w:pos="9025"/>
            </w:tabs>
            <w:spacing w:before="80" w:line="240" w:lineRule="auto"/>
            <w:rPr>
              <w:lang w:val="en-GB"/>
            </w:rPr>
          </w:pPr>
          <w:r w:rsidRPr="001F5433">
            <w:rPr>
              <w:lang w:val="en-GB"/>
            </w:rPr>
            <w:fldChar w:fldCharType="begin"/>
          </w:r>
          <w:r w:rsidR="00F663C1" w:rsidRPr="001F5433">
            <w:rPr>
              <w:lang w:val="en-GB"/>
            </w:rPr>
            <w:instrText xml:space="preserve"> TOC \h \u \z </w:instrText>
          </w:r>
          <w:r w:rsidRPr="001F5433">
            <w:rPr>
              <w:lang w:val="en-GB"/>
            </w:rPr>
            <w:fldChar w:fldCharType="separate"/>
          </w:r>
          <w:hyperlink w:anchor="_2opvwdxz4npd">
            <w:r w:rsidR="00F663C1" w:rsidRPr="001F5433">
              <w:rPr>
                <w:lang w:val="en-GB"/>
              </w:rPr>
              <w:t>Introduction</w:t>
            </w:r>
          </w:hyperlink>
          <w:r w:rsidR="00F663C1" w:rsidRPr="001F5433">
            <w:rPr>
              <w:lang w:val="en-GB"/>
            </w:rPr>
            <w:tab/>
          </w:r>
          <w:r w:rsidRPr="001F5433">
            <w:rPr>
              <w:lang w:val="en-GB"/>
            </w:rPr>
            <w:fldChar w:fldCharType="begin"/>
          </w:r>
          <w:r w:rsidR="00F663C1" w:rsidRPr="001F5433">
            <w:rPr>
              <w:lang w:val="en-GB"/>
            </w:rPr>
            <w:instrText xml:space="preserve"> PAGEREF _2opvwdxz4npd \h </w:instrText>
          </w:r>
          <w:r w:rsidRPr="001F5433">
            <w:rPr>
              <w:lang w:val="en-GB"/>
            </w:rPr>
          </w:r>
          <w:r w:rsidRPr="001F5433">
            <w:rPr>
              <w:lang w:val="en-GB"/>
            </w:rPr>
            <w:fldChar w:fldCharType="separate"/>
          </w:r>
          <w:r w:rsidR="00F663C1" w:rsidRPr="001F5433">
            <w:rPr>
              <w:lang w:val="en-GB"/>
            </w:rPr>
            <w:t>3</w:t>
          </w:r>
          <w:r w:rsidRPr="001F5433">
            <w:rPr>
              <w:lang w:val="en-GB"/>
            </w:rPr>
            <w:fldChar w:fldCharType="end"/>
          </w:r>
        </w:p>
        <w:p w:rsidR="008C53B5" w:rsidRPr="001F5433" w:rsidRDefault="0053574B">
          <w:pPr>
            <w:pStyle w:val="normal0"/>
            <w:tabs>
              <w:tab w:val="right" w:pos="9025"/>
            </w:tabs>
            <w:spacing w:before="200" w:line="240" w:lineRule="auto"/>
            <w:rPr>
              <w:lang w:val="en-GB"/>
            </w:rPr>
          </w:pPr>
          <w:hyperlink w:anchor="_6gfgv3gkww59">
            <w:r w:rsidR="00F663C1" w:rsidRPr="001F5433">
              <w:rPr>
                <w:lang w:val="en-GB"/>
              </w:rPr>
              <w:t>Overview of Higher Education Sector</w:t>
            </w:r>
          </w:hyperlink>
          <w:r w:rsidR="00F663C1" w:rsidRPr="001F5433">
            <w:rPr>
              <w:lang w:val="en-GB"/>
            </w:rPr>
            <w:tab/>
          </w:r>
          <w:r w:rsidRPr="001F5433">
            <w:rPr>
              <w:lang w:val="en-GB"/>
            </w:rPr>
            <w:fldChar w:fldCharType="begin"/>
          </w:r>
          <w:r w:rsidR="00F663C1" w:rsidRPr="001F5433">
            <w:rPr>
              <w:lang w:val="en-GB"/>
            </w:rPr>
            <w:instrText xml:space="preserve"> PAGEREF _6gfgv3gkww59 \h </w:instrText>
          </w:r>
          <w:r w:rsidRPr="001F5433">
            <w:rPr>
              <w:lang w:val="en-GB"/>
            </w:rPr>
          </w:r>
          <w:r w:rsidRPr="001F5433">
            <w:rPr>
              <w:lang w:val="en-GB"/>
            </w:rPr>
            <w:fldChar w:fldCharType="separate"/>
          </w:r>
          <w:r w:rsidR="00F663C1" w:rsidRPr="001F5433">
            <w:rPr>
              <w:lang w:val="en-GB"/>
            </w:rPr>
            <w:t>4</w:t>
          </w:r>
          <w:r w:rsidRPr="001F5433">
            <w:rPr>
              <w:lang w:val="en-GB"/>
            </w:rPr>
            <w:fldChar w:fldCharType="end"/>
          </w:r>
        </w:p>
        <w:p w:rsidR="008C53B5" w:rsidRPr="001F5433" w:rsidRDefault="0053574B">
          <w:pPr>
            <w:pStyle w:val="normal0"/>
            <w:tabs>
              <w:tab w:val="right" w:pos="9025"/>
            </w:tabs>
            <w:spacing w:before="200" w:line="240" w:lineRule="auto"/>
            <w:rPr>
              <w:lang w:val="en-GB"/>
            </w:rPr>
          </w:pPr>
          <w:hyperlink w:anchor="_291gb9wj9uzi">
            <w:r w:rsidR="00F663C1" w:rsidRPr="001F5433">
              <w:rPr>
                <w:lang w:val="en-GB"/>
              </w:rPr>
              <w:t>Business Environment</w:t>
            </w:r>
          </w:hyperlink>
          <w:r w:rsidR="00F663C1" w:rsidRPr="001F5433">
            <w:rPr>
              <w:lang w:val="en-GB"/>
            </w:rPr>
            <w:tab/>
          </w:r>
          <w:r w:rsidRPr="001F5433">
            <w:rPr>
              <w:lang w:val="en-GB"/>
            </w:rPr>
            <w:fldChar w:fldCharType="begin"/>
          </w:r>
          <w:r w:rsidR="00F663C1" w:rsidRPr="001F5433">
            <w:rPr>
              <w:lang w:val="en-GB"/>
            </w:rPr>
            <w:instrText xml:space="preserve"> PAGEREF _291gb9wj9uzi \h </w:instrText>
          </w:r>
          <w:r w:rsidRPr="001F5433">
            <w:rPr>
              <w:lang w:val="en-GB"/>
            </w:rPr>
          </w:r>
          <w:r w:rsidRPr="001F5433">
            <w:rPr>
              <w:lang w:val="en-GB"/>
            </w:rPr>
            <w:fldChar w:fldCharType="separate"/>
          </w:r>
          <w:r w:rsidR="00F663C1" w:rsidRPr="001F5433">
            <w:rPr>
              <w:lang w:val="en-GB"/>
            </w:rPr>
            <w:t>5</w:t>
          </w:r>
          <w:r w:rsidRPr="001F5433">
            <w:rPr>
              <w:lang w:val="en-GB"/>
            </w:rPr>
            <w:fldChar w:fldCharType="end"/>
          </w:r>
        </w:p>
        <w:p w:rsidR="008C53B5" w:rsidRPr="001F5433" w:rsidRDefault="0053574B">
          <w:pPr>
            <w:pStyle w:val="normal0"/>
            <w:tabs>
              <w:tab w:val="right" w:pos="9025"/>
            </w:tabs>
            <w:spacing w:before="60" w:line="240" w:lineRule="auto"/>
            <w:ind w:left="360"/>
            <w:rPr>
              <w:lang w:val="en-GB"/>
            </w:rPr>
          </w:pPr>
          <w:hyperlink w:anchor="_rrfrzn4gc7bi">
            <w:r w:rsidR="00F663C1" w:rsidRPr="001F5433">
              <w:rPr>
                <w:lang w:val="en-GB"/>
              </w:rPr>
              <w:t>“PESTEL Framework”</w:t>
            </w:r>
          </w:hyperlink>
          <w:r w:rsidR="00F663C1" w:rsidRPr="001F5433">
            <w:rPr>
              <w:lang w:val="en-GB"/>
            </w:rPr>
            <w:tab/>
          </w:r>
          <w:r w:rsidRPr="001F5433">
            <w:rPr>
              <w:lang w:val="en-GB"/>
            </w:rPr>
            <w:fldChar w:fldCharType="begin"/>
          </w:r>
          <w:r w:rsidR="00F663C1" w:rsidRPr="001F5433">
            <w:rPr>
              <w:lang w:val="en-GB"/>
            </w:rPr>
            <w:instrText xml:space="preserve"> PAGEREF _rrfrzn4gc7bi \h </w:instrText>
          </w:r>
          <w:r w:rsidRPr="001F5433">
            <w:rPr>
              <w:lang w:val="en-GB"/>
            </w:rPr>
          </w:r>
          <w:r w:rsidRPr="001F5433">
            <w:rPr>
              <w:lang w:val="en-GB"/>
            </w:rPr>
            <w:fldChar w:fldCharType="separate"/>
          </w:r>
          <w:r w:rsidR="00F663C1" w:rsidRPr="001F5433">
            <w:rPr>
              <w:lang w:val="en-GB"/>
            </w:rPr>
            <w:t>5</w:t>
          </w:r>
          <w:r w:rsidRPr="001F5433">
            <w:rPr>
              <w:lang w:val="en-GB"/>
            </w:rPr>
            <w:fldChar w:fldCharType="end"/>
          </w:r>
        </w:p>
        <w:p w:rsidR="008C53B5" w:rsidRPr="001F5433" w:rsidRDefault="0053574B">
          <w:pPr>
            <w:pStyle w:val="normal0"/>
            <w:tabs>
              <w:tab w:val="right" w:pos="9025"/>
            </w:tabs>
            <w:spacing w:before="60" w:line="240" w:lineRule="auto"/>
            <w:ind w:left="360"/>
            <w:rPr>
              <w:lang w:val="en-GB"/>
            </w:rPr>
          </w:pPr>
          <w:hyperlink w:anchor="_lddcuaiylx2m">
            <w:r w:rsidR="00F663C1" w:rsidRPr="001F5433">
              <w:rPr>
                <w:lang w:val="en-GB"/>
              </w:rPr>
              <w:t>“Porter’s Five Forces Analysis”</w:t>
            </w:r>
          </w:hyperlink>
          <w:r w:rsidR="00F663C1" w:rsidRPr="001F5433">
            <w:rPr>
              <w:lang w:val="en-GB"/>
            </w:rPr>
            <w:tab/>
          </w:r>
          <w:r w:rsidRPr="001F5433">
            <w:rPr>
              <w:lang w:val="en-GB"/>
            </w:rPr>
            <w:fldChar w:fldCharType="begin"/>
          </w:r>
          <w:r w:rsidR="00F663C1" w:rsidRPr="001F5433">
            <w:rPr>
              <w:lang w:val="en-GB"/>
            </w:rPr>
            <w:instrText xml:space="preserve"> PAGEREF _lddcuaiylx2m \h </w:instrText>
          </w:r>
          <w:r w:rsidRPr="001F5433">
            <w:rPr>
              <w:lang w:val="en-GB"/>
            </w:rPr>
          </w:r>
          <w:r w:rsidRPr="001F5433">
            <w:rPr>
              <w:lang w:val="en-GB"/>
            </w:rPr>
            <w:fldChar w:fldCharType="separate"/>
          </w:r>
          <w:r w:rsidR="00F663C1" w:rsidRPr="001F5433">
            <w:rPr>
              <w:lang w:val="en-GB"/>
            </w:rPr>
            <w:t>9</w:t>
          </w:r>
          <w:r w:rsidRPr="001F5433">
            <w:rPr>
              <w:lang w:val="en-GB"/>
            </w:rPr>
            <w:fldChar w:fldCharType="end"/>
          </w:r>
        </w:p>
        <w:p w:rsidR="008C53B5" w:rsidRPr="001F5433" w:rsidRDefault="0053574B">
          <w:pPr>
            <w:pStyle w:val="normal0"/>
            <w:tabs>
              <w:tab w:val="right" w:pos="9025"/>
            </w:tabs>
            <w:spacing w:before="200" w:line="240" w:lineRule="auto"/>
            <w:rPr>
              <w:lang w:val="en-GB"/>
            </w:rPr>
          </w:pPr>
          <w:hyperlink w:anchor="_g7jpag5b0wo4">
            <w:r w:rsidR="00F663C1" w:rsidRPr="001F5433">
              <w:rPr>
                <w:lang w:val="en-GB"/>
              </w:rPr>
              <w:t>Conclusion</w:t>
            </w:r>
          </w:hyperlink>
          <w:r w:rsidR="00F663C1" w:rsidRPr="001F5433">
            <w:rPr>
              <w:lang w:val="en-GB"/>
            </w:rPr>
            <w:tab/>
          </w:r>
          <w:r w:rsidRPr="001F5433">
            <w:rPr>
              <w:lang w:val="en-GB"/>
            </w:rPr>
            <w:fldChar w:fldCharType="begin"/>
          </w:r>
          <w:r w:rsidR="00F663C1" w:rsidRPr="001F5433">
            <w:rPr>
              <w:lang w:val="en-GB"/>
            </w:rPr>
            <w:instrText xml:space="preserve"> PAGEREF _g7jpag5b0wo4 \h </w:instrText>
          </w:r>
          <w:r w:rsidRPr="001F5433">
            <w:rPr>
              <w:lang w:val="en-GB"/>
            </w:rPr>
          </w:r>
          <w:r w:rsidRPr="001F5433">
            <w:rPr>
              <w:lang w:val="en-GB"/>
            </w:rPr>
            <w:fldChar w:fldCharType="separate"/>
          </w:r>
          <w:r w:rsidR="00F663C1" w:rsidRPr="001F5433">
            <w:rPr>
              <w:lang w:val="en-GB"/>
            </w:rPr>
            <w:t>11</w:t>
          </w:r>
          <w:r w:rsidRPr="001F5433">
            <w:rPr>
              <w:lang w:val="en-GB"/>
            </w:rPr>
            <w:fldChar w:fldCharType="end"/>
          </w:r>
        </w:p>
        <w:p w:rsidR="008C53B5" w:rsidRPr="001F5433" w:rsidRDefault="0053574B">
          <w:pPr>
            <w:pStyle w:val="normal0"/>
            <w:tabs>
              <w:tab w:val="right" w:pos="9025"/>
            </w:tabs>
            <w:spacing w:before="200" w:after="80" w:line="240" w:lineRule="auto"/>
            <w:rPr>
              <w:lang w:val="en-GB"/>
            </w:rPr>
          </w:pPr>
          <w:hyperlink w:anchor="_5ngdoadb5fe7">
            <w:r w:rsidR="00F663C1" w:rsidRPr="001F5433">
              <w:rPr>
                <w:lang w:val="en-GB"/>
              </w:rPr>
              <w:t>References</w:t>
            </w:r>
          </w:hyperlink>
          <w:r w:rsidR="00F663C1" w:rsidRPr="001F5433">
            <w:rPr>
              <w:lang w:val="en-GB"/>
            </w:rPr>
            <w:tab/>
          </w:r>
          <w:r w:rsidRPr="001F5433">
            <w:rPr>
              <w:lang w:val="en-GB"/>
            </w:rPr>
            <w:fldChar w:fldCharType="begin"/>
          </w:r>
          <w:r w:rsidR="00F663C1" w:rsidRPr="001F5433">
            <w:rPr>
              <w:lang w:val="en-GB"/>
            </w:rPr>
            <w:instrText xml:space="preserve"> PAGEREF _5ngdoadb5fe7 \h </w:instrText>
          </w:r>
          <w:r w:rsidRPr="001F5433">
            <w:rPr>
              <w:lang w:val="en-GB"/>
            </w:rPr>
          </w:r>
          <w:r w:rsidRPr="001F5433">
            <w:rPr>
              <w:lang w:val="en-GB"/>
            </w:rPr>
            <w:fldChar w:fldCharType="separate"/>
          </w:r>
          <w:r w:rsidR="00F663C1" w:rsidRPr="001F5433">
            <w:rPr>
              <w:lang w:val="en-GB"/>
            </w:rPr>
            <w:t>12</w:t>
          </w:r>
          <w:r w:rsidRPr="001F5433">
            <w:rPr>
              <w:lang w:val="en-GB"/>
            </w:rPr>
            <w:fldChar w:fldCharType="end"/>
          </w:r>
          <w:r w:rsidRPr="001F5433">
            <w:rPr>
              <w:lang w:val="en-GB"/>
            </w:rPr>
            <w:fldChar w:fldCharType="end"/>
          </w:r>
        </w:p>
      </w:sdtContent>
    </w:sdt>
    <w:p w:rsidR="008C53B5" w:rsidRPr="001F5433" w:rsidRDefault="008C53B5">
      <w:pPr>
        <w:pStyle w:val="normal0"/>
        <w:rPr>
          <w:lang w:val="en-GB"/>
        </w:rPr>
      </w:pPr>
    </w:p>
    <w:p w:rsidR="008C53B5" w:rsidRPr="001F5433" w:rsidRDefault="00F663C1">
      <w:pPr>
        <w:pStyle w:val="normal0"/>
        <w:spacing w:after="200" w:line="360" w:lineRule="auto"/>
        <w:jc w:val="both"/>
        <w:rPr>
          <w:lang w:val="en-GB"/>
        </w:rPr>
      </w:pPr>
      <w:r w:rsidRPr="001F5433">
        <w:rPr>
          <w:lang w:val="en-GB"/>
        </w:rPr>
        <w:br w:type="page"/>
      </w:r>
    </w:p>
    <w:p w:rsidR="008C53B5" w:rsidRPr="001F5433" w:rsidRDefault="00F663C1">
      <w:pPr>
        <w:pStyle w:val="Heading1"/>
        <w:rPr>
          <w:lang w:val="en-GB"/>
        </w:rPr>
      </w:pPr>
      <w:bookmarkStart w:id="0" w:name="_2opvwdxz4npd" w:colFirst="0" w:colLast="0"/>
      <w:bookmarkEnd w:id="0"/>
      <w:r w:rsidRPr="001F5433">
        <w:rPr>
          <w:lang w:val="en-GB"/>
        </w:rPr>
        <w:lastRenderedPageBreak/>
        <w:t xml:space="preserve">Introduction </w:t>
      </w:r>
    </w:p>
    <w:p w:rsidR="008C53B5" w:rsidRPr="001F5433" w:rsidRDefault="00F663C1">
      <w:pPr>
        <w:pStyle w:val="normal0"/>
        <w:spacing w:line="360" w:lineRule="auto"/>
        <w:jc w:val="both"/>
        <w:rPr>
          <w:lang w:val="en-GB"/>
        </w:rPr>
      </w:pPr>
      <w:r w:rsidRPr="001F5433">
        <w:rPr>
          <w:lang w:val="en-GB"/>
        </w:rPr>
        <w:t xml:space="preserve">The global business environment is very dynamic and businesses are often faced with quite a number of issues that influence their operations remarkably and can have a considerable impact on their business efficiency. Despite the issues, there are also some positive contributions of the global business environment in the form of infrastructure development, employment opportunities, new technology, </w:t>
      </w:r>
      <w:r w:rsidR="001F5433" w:rsidRPr="001F5433">
        <w:rPr>
          <w:lang w:val="en-GB"/>
        </w:rPr>
        <w:t>and economic</w:t>
      </w:r>
      <w:r w:rsidRPr="001F5433">
        <w:rPr>
          <w:lang w:val="en-GB"/>
        </w:rPr>
        <w:t xml:space="preserve"> enhancement and more (Bhagra and Sharma, 2018). This report will be aimed at discovering the components affecting the global business environment of the higher education sector and their impact on the </w:t>
      </w:r>
      <w:r w:rsidRPr="001F5433">
        <w:rPr>
          <w:b/>
          <w:i/>
          <w:lang w:val="en-GB"/>
        </w:rPr>
        <w:t xml:space="preserve">“University of Wales Trinity Saint David (UWTSD)”. </w:t>
      </w:r>
      <w:r w:rsidRPr="001F5433">
        <w:rPr>
          <w:lang w:val="en-GB"/>
        </w:rPr>
        <w:t xml:space="preserve">It will provide a detailed overview of the higher education sector in order to understand its implications and significance. The Pestle analysis will be conducted to identify the external factors affecting the higher education sector. Moreover the “Porter's five forces analysis” will also be conducted to identify the competitive factors affecting the higher education sector. </w:t>
      </w:r>
      <w:r w:rsidRPr="001F5433">
        <w:rPr>
          <w:lang w:val="en-GB"/>
        </w:rPr>
        <w:br w:type="page"/>
      </w:r>
    </w:p>
    <w:p w:rsidR="008C53B5" w:rsidRPr="001F5433" w:rsidRDefault="00F663C1">
      <w:pPr>
        <w:pStyle w:val="Heading1"/>
        <w:rPr>
          <w:lang w:val="en-GB"/>
        </w:rPr>
      </w:pPr>
      <w:bookmarkStart w:id="1" w:name="_6gfgv3gkww59" w:colFirst="0" w:colLast="0"/>
      <w:bookmarkEnd w:id="1"/>
      <w:r w:rsidRPr="001F5433">
        <w:rPr>
          <w:lang w:val="en-GB"/>
        </w:rPr>
        <w:lastRenderedPageBreak/>
        <w:t xml:space="preserve">Overview of Higher Education Sector </w:t>
      </w:r>
    </w:p>
    <w:p w:rsidR="008C53B5" w:rsidRPr="001F5433" w:rsidRDefault="00F663C1">
      <w:pPr>
        <w:pStyle w:val="normal0"/>
        <w:spacing w:line="360" w:lineRule="auto"/>
        <w:jc w:val="both"/>
        <w:rPr>
          <w:lang w:val="en-GB"/>
        </w:rPr>
      </w:pPr>
      <w:r w:rsidRPr="001F5433">
        <w:rPr>
          <w:lang w:val="en-GB"/>
        </w:rPr>
        <w:t xml:space="preserve">Higher education is also known as tertiary or third level education as well as post-secondary education. It is an optional level of education providing the highest form of formal knowledge and subsequently an academic degree on a particular subject of choice (Granger and Bazaz, 2018). This stage of formal education can be obtained by any individual post completion of their secondary or school education. Higher education is not just beneficial for the individual but is also crucial for society as a whole. This is due to the fact that well-educated people are much more conscious about their surroundings, have a higher level of participation in social activities, have healthier habits and also possess remarkable skills and knowledge. These people are much more productive and have the ability to adjust and adapt to any circumstances by using their knowledge and abilities. Thus, higher education results in increased income, healthy lifestyle, sustainable way of living, stronger relationships, better employability and the laying down of a better foundation for the next generation (Lomer </w:t>
      </w:r>
      <w:r w:rsidRPr="001F5433">
        <w:rPr>
          <w:i/>
          <w:lang w:val="en-GB"/>
        </w:rPr>
        <w:t xml:space="preserve">et al., </w:t>
      </w:r>
      <w:r w:rsidRPr="001F5433">
        <w:rPr>
          <w:lang w:val="en-GB"/>
        </w:rPr>
        <w:t>2018). The higher education sector comprises all forms of post-secondary education institutes such as public and private colleges, universities, training institutes, vocational schools as well</w:t>
      </w:r>
      <w:r w:rsidR="001F5433" w:rsidRPr="001F5433">
        <w:rPr>
          <w:lang w:val="en-GB"/>
        </w:rPr>
        <w:t xml:space="preserve"> as online educational program</w:t>
      </w:r>
      <w:r w:rsidRPr="001F5433">
        <w:rPr>
          <w:lang w:val="en-GB"/>
        </w:rPr>
        <w:t xml:space="preserve">s. </w:t>
      </w:r>
    </w:p>
    <w:p w:rsidR="008C53B5" w:rsidRPr="001F5433" w:rsidRDefault="00F663C1">
      <w:pPr>
        <w:pStyle w:val="normal0"/>
        <w:spacing w:line="360" w:lineRule="auto"/>
        <w:jc w:val="both"/>
        <w:rPr>
          <w:lang w:val="en-GB"/>
        </w:rPr>
      </w:pPr>
      <w:r w:rsidRPr="001F5433">
        <w:rPr>
          <w:lang w:val="en-GB"/>
        </w:rPr>
        <w:t xml:space="preserve">In the UK, higher educational institutions comprise diplomas, </w:t>
      </w:r>
      <w:r w:rsidR="001F5433" w:rsidRPr="001F5433">
        <w:rPr>
          <w:lang w:val="en-GB"/>
        </w:rPr>
        <w:t>bachelors</w:t>
      </w:r>
      <w:r w:rsidRPr="001F5433">
        <w:rPr>
          <w:lang w:val="en-GB"/>
        </w:rPr>
        <w:t xml:space="preserve">, </w:t>
      </w:r>
      <w:r w:rsidR="001F5433" w:rsidRPr="001F5433">
        <w:rPr>
          <w:lang w:val="en-GB"/>
        </w:rPr>
        <w:t>masters</w:t>
      </w:r>
      <w:r w:rsidRPr="001F5433">
        <w:rPr>
          <w:lang w:val="en-GB"/>
        </w:rPr>
        <w:t xml:space="preserve"> and doctoral courses and subsequent degrees in every field or subject along with some special foundation degrees. The education sector of the country is widely renowned in </w:t>
      </w:r>
      <w:r w:rsidR="001F5433" w:rsidRPr="001F5433">
        <w:rPr>
          <w:lang w:val="en-GB"/>
        </w:rPr>
        <w:t>the whole</w:t>
      </w:r>
      <w:r w:rsidRPr="001F5433">
        <w:rPr>
          <w:lang w:val="en-GB"/>
        </w:rPr>
        <w:t xml:space="preserve"> world and attracts a large number of overseas students. It provides world class facilities to the students as well as the teachers and researchers. The colleges and universities in the UK have a range of highly adept and efficient facilities that include science and computers laboratories, libraries, sports, music, cultural drama and more. In addition to this, there are a wide range of courses available in the UK such as art, agriculture, business management, engineering, healthcare and more (Blackledge, 2021). The positive aspect of the UK’s higher education sector is that it not just provides textbook knowledge to the students, rather aims to teach them to become independent and competent through a range of seminars, workshops, tutorials, real life assignments, conferences and more. Thus, the sector has had significant contributions to the country in the form of economic boost, cultural knowledge and more. The UK education sector has been able to maintain its reputation due to the presence of a </w:t>
      </w:r>
      <w:r w:rsidRPr="001F5433">
        <w:rPr>
          <w:b/>
          <w:i/>
          <w:lang w:val="en-GB"/>
        </w:rPr>
        <w:t xml:space="preserve">Quality Assurance Agency (QAA) </w:t>
      </w:r>
      <w:r w:rsidRPr="001F5433">
        <w:rPr>
          <w:lang w:val="en-GB"/>
        </w:rPr>
        <w:t xml:space="preserve">in the country (qaa, 2022). The purpose of this independent entity is to </w:t>
      </w:r>
      <w:r w:rsidR="001F5433" w:rsidRPr="001F5433">
        <w:rPr>
          <w:lang w:val="en-GB"/>
        </w:rPr>
        <w:t>assess</w:t>
      </w:r>
      <w:r w:rsidRPr="001F5433">
        <w:rPr>
          <w:lang w:val="en-GB"/>
        </w:rPr>
        <w:t xml:space="preserve">, analyse and compare the higher education institutes in the country through reviews and regular audits. The agency also outlines the best practices in education throughout the country and also provides recommendations for improving them in order to facilitate the provision of best quality education. </w:t>
      </w:r>
    </w:p>
    <w:p w:rsidR="008C53B5" w:rsidRPr="001F5433" w:rsidRDefault="00F663C1">
      <w:pPr>
        <w:pStyle w:val="normal0"/>
        <w:spacing w:line="360" w:lineRule="auto"/>
        <w:jc w:val="both"/>
        <w:rPr>
          <w:lang w:val="en-GB"/>
        </w:rPr>
      </w:pPr>
      <w:r w:rsidRPr="001F5433">
        <w:rPr>
          <w:lang w:val="en-GB"/>
        </w:rPr>
        <w:br w:type="page"/>
      </w:r>
    </w:p>
    <w:p w:rsidR="008C53B5" w:rsidRPr="001F5433" w:rsidRDefault="00F663C1">
      <w:pPr>
        <w:pStyle w:val="Heading1"/>
        <w:rPr>
          <w:lang w:val="en-GB"/>
        </w:rPr>
      </w:pPr>
      <w:bookmarkStart w:id="2" w:name="_291gb9wj9uzi" w:colFirst="0" w:colLast="0"/>
      <w:bookmarkEnd w:id="2"/>
      <w:r w:rsidRPr="001F5433">
        <w:rPr>
          <w:lang w:val="en-GB"/>
        </w:rPr>
        <w:lastRenderedPageBreak/>
        <w:t>Business Environment</w:t>
      </w:r>
    </w:p>
    <w:p w:rsidR="008C53B5" w:rsidRPr="001F5433" w:rsidRDefault="00F663C1">
      <w:pPr>
        <w:pStyle w:val="normal0"/>
        <w:spacing w:line="360" w:lineRule="auto"/>
        <w:jc w:val="both"/>
        <w:rPr>
          <w:lang w:val="en-GB"/>
        </w:rPr>
      </w:pPr>
      <w:r w:rsidRPr="001F5433">
        <w:rPr>
          <w:lang w:val="en-GB"/>
        </w:rPr>
        <w:t xml:space="preserve">The business environmental factors affecting the higher education sector include culture, geography, </w:t>
      </w:r>
      <w:r w:rsidR="001F5433" w:rsidRPr="001F5433">
        <w:rPr>
          <w:lang w:val="en-GB"/>
        </w:rPr>
        <w:t>and competition</w:t>
      </w:r>
      <w:r w:rsidRPr="001F5433">
        <w:rPr>
          <w:lang w:val="en-GB"/>
        </w:rPr>
        <w:t xml:space="preserve">, social and legal components and so on. These factors can be identified using the Pestel framework and “Porter's five forces analysis”.  </w:t>
      </w:r>
    </w:p>
    <w:p w:rsidR="008C53B5" w:rsidRPr="001F5433" w:rsidRDefault="00F663C1">
      <w:pPr>
        <w:pStyle w:val="Heading2"/>
        <w:rPr>
          <w:lang w:val="en-GB"/>
        </w:rPr>
      </w:pPr>
      <w:bookmarkStart w:id="3" w:name="_rrfrzn4gc7bi" w:colFirst="0" w:colLast="0"/>
      <w:bookmarkEnd w:id="3"/>
      <w:r w:rsidRPr="001F5433">
        <w:rPr>
          <w:lang w:val="en-GB"/>
        </w:rPr>
        <w:t xml:space="preserve">“PESTEL Framework” </w:t>
      </w:r>
    </w:p>
    <w:p w:rsidR="008C53B5" w:rsidRPr="001F5433" w:rsidRDefault="00F663C1">
      <w:pPr>
        <w:pStyle w:val="normal0"/>
        <w:spacing w:line="360" w:lineRule="auto"/>
        <w:jc w:val="both"/>
        <w:rPr>
          <w:lang w:val="en-GB"/>
        </w:rPr>
      </w:pPr>
      <w:r w:rsidRPr="001F5433">
        <w:rPr>
          <w:lang w:val="en-GB"/>
        </w:rPr>
        <w:t xml:space="preserve">Pestel is an analytical tool that enables businesses to gain an understanding of the macro factors affecting the industry (Pan </w:t>
      </w:r>
      <w:r w:rsidRPr="001F5433">
        <w:rPr>
          <w:i/>
          <w:lang w:val="en-GB"/>
        </w:rPr>
        <w:t xml:space="preserve">et al., </w:t>
      </w:r>
      <w:r w:rsidRPr="001F5433">
        <w:rPr>
          <w:lang w:val="en-GB"/>
        </w:rPr>
        <w:t xml:space="preserve">2019). </w:t>
      </w:r>
    </w:p>
    <w:tbl>
      <w:tblPr>
        <w:tblStyle w:val="a"/>
        <w:tblW w:w="901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1286"/>
        <w:gridCol w:w="2350"/>
        <w:gridCol w:w="5375"/>
      </w:tblGrid>
      <w:tr w:rsidR="008C53B5" w:rsidRPr="001F5433">
        <w:trPr>
          <w:cantSplit/>
          <w:tblHeader/>
        </w:trPr>
        <w:tc>
          <w:tcPr>
            <w:tcW w:w="1286" w:type="dxa"/>
            <w:shd w:val="clear" w:color="auto" w:fill="auto"/>
            <w:tcMar>
              <w:top w:w="100" w:type="dxa"/>
              <w:left w:w="100" w:type="dxa"/>
              <w:bottom w:w="100" w:type="dxa"/>
              <w:right w:w="100" w:type="dxa"/>
            </w:tcMar>
          </w:tcPr>
          <w:p w:rsidR="008C53B5" w:rsidRPr="001F5433" w:rsidRDefault="00F663C1">
            <w:pPr>
              <w:pStyle w:val="normal0"/>
              <w:widowControl w:val="0"/>
              <w:pBdr>
                <w:top w:val="nil"/>
                <w:left w:val="nil"/>
                <w:bottom w:val="nil"/>
                <w:right w:val="nil"/>
                <w:between w:val="nil"/>
              </w:pBdr>
              <w:spacing w:line="240" w:lineRule="auto"/>
              <w:rPr>
                <w:b/>
                <w:lang w:val="en-GB"/>
              </w:rPr>
            </w:pPr>
            <w:r w:rsidRPr="001F5433">
              <w:rPr>
                <w:b/>
                <w:lang w:val="en-GB"/>
              </w:rPr>
              <w:t xml:space="preserve">Elements </w:t>
            </w:r>
          </w:p>
        </w:tc>
        <w:tc>
          <w:tcPr>
            <w:tcW w:w="2350" w:type="dxa"/>
            <w:shd w:val="clear" w:color="auto" w:fill="auto"/>
            <w:tcMar>
              <w:top w:w="100" w:type="dxa"/>
              <w:left w:w="100" w:type="dxa"/>
              <w:bottom w:w="100" w:type="dxa"/>
              <w:right w:w="100" w:type="dxa"/>
            </w:tcMar>
          </w:tcPr>
          <w:p w:rsidR="008C53B5" w:rsidRPr="001F5433" w:rsidRDefault="00F663C1">
            <w:pPr>
              <w:pStyle w:val="normal0"/>
              <w:widowControl w:val="0"/>
              <w:pBdr>
                <w:top w:val="nil"/>
                <w:left w:val="nil"/>
                <w:bottom w:val="nil"/>
                <w:right w:val="nil"/>
                <w:between w:val="nil"/>
              </w:pBdr>
              <w:spacing w:line="240" w:lineRule="auto"/>
              <w:rPr>
                <w:b/>
                <w:lang w:val="en-GB"/>
              </w:rPr>
            </w:pPr>
            <w:r w:rsidRPr="001F5433">
              <w:rPr>
                <w:b/>
                <w:lang w:val="en-GB"/>
              </w:rPr>
              <w:t xml:space="preserve">Factors </w:t>
            </w:r>
          </w:p>
        </w:tc>
        <w:tc>
          <w:tcPr>
            <w:tcW w:w="5375" w:type="dxa"/>
            <w:shd w:val="clear" w:color="auto" w:fill="auto"/>
            <w:tcMar>
              <w:top w:w="100" w:type="dxa"/>
              <w:left w:w="100" w:type="dxa"/>
              <w:bottom w:w="100" w:type="dxa"/>
              <w:right w:w="100" w:type="dxa"/>
            </w:tcMar>
          </w:tcPr>
          <w:p w:rsidR="008C53B5" w:rsidRPr="001F5433" w:rsidRDefault="00F663C1">
            <w:pPr>
              <w:pStyle w:val="normal0"/>
              <w:widowControl w:val="0"/>
              <w:pBdr>
                <w:top w:val="nil"/>
                <w:left w:val="nil"/>
                <w:bottom w:val="nil"/>
                <w:right w:val="nil"/>
                <w:between w:val="nil"/>
              </w:pBdr>
              <w:spacing w:line="240" w:lineRule="auto"/>
              <w:rPr>
                <w:b/>
                <w:lang w:val="en-GB"/>
              </w:rPr>
            </w:pPr>
            <w:r w:rsidRPr="001F5433">
              <w:rPr>
                <w:b/>
                <w:lang w:val="en-GB"/>
              </w:rPr>
              <w:t xml:space="preserve">Impacts </w:t>
            </w:r>
          </w:p>
        </w:tc>
      </w:tr>
      <w:tr w:rsidR="008C53B5" w:rsidRPr="001F5433">
        <w:trPr>
          <w:cantSplit/>
          <w:tblHeader/>
        </w:trPr>
        <w:tc>
          <w:tcPr>
            <w:tcW w:w="1286" w:type="dxa"/>
            <w:shd w:val="clear" w:color="auto" w:fill="auto"/>
            <w:tcMar>
              <w:top w:w="100" w:type="dxa"/>
              <w:left w:w="100" w:type="dxa"/>
              <w:bottom w:w="100" w:type="dxa"/>
              <w:right w:w="100" w:type="dxa"/>
            </w:tcMar>
          </w:tcPr>
          <w:p w:rsidR="008C53B5" w:rsidRPr="001F5433" w:rsidRDefault="00F663C1">
            <w:pPr>
              <w:pStyle w:val="normal0"/>
              <w:widowControl w:val="0"/>
              <w:pBdr>
                <w:top w:val="nil"/>
                <w:left w:val="nil"/>
                <w:bottom w:val="nil"/>
                <w:right w:val="nil"/>
                <w:between w:val="nil"/>
              </w:pBdr>
              <w:spacing w:line="240" w:lineRule="auto"/>
              <w:jc w:val="both"/>
              <w:rPr>
                <w:i/>
                <w:lang w:val="en-GB"/>
              </w:rPr>
            </w:pPr>
            <w:r w:rsidRPr="001F5433">
              <w:rPr>
                <w:i/>
                <w:lang w:val="en-GB"/>
              </w:rPr>
              <w:t xml:space="preserve">Political </w:t>
            </w:r>
          </w:p>
        </w:tc>
        <w:tc>
          <w:tcPr>
            <w:tcW w:w="2350" w:type="dxa"/>
            <w:shd w:val="clear" w:color="auto" w:fill="auto"/>
            <w:tcMar>
              <w:top w:w="100" w:type="dxa"/>
              <w:left w:w="100" w:type="dxa"/>
              <w:bottom w:w="100" w:type="dxa"/>
              <w:right w:w="100" w:type="dxa"/>
            </w:tcMar>
          </w:tcPr>
          <w:p w:rsidR="008C53B5" w:rsidRPr="001F5433" w:rsidRDefault="00F663C1">
            <w:pPr>
              <w:pStyle w:val="normal0"/>
              <w:widowControl w:val="0"/>
              <w:pBdr>
                <w:top w:val="nil"/>
                <w:left w:val="nil"/>
                <w:bottom w:val="nil"/>
                <w:right w:val="nil"/>
                <w:between w:val="nil"/>
              </w:pBdr>
              <w:spacing w:line="240" w:lineRule="auto"/>
              <w:jc w:val="both"/>
              <w:rPr>
                <w:lang w:val="en-GB"/>
              </w:rPr>
            </w:pPr>
            <w:r w:rsidRPr="001F5433">
              <w:rPr>
                <w:lang w:val="en-GB"/>
              </w:rPr>
              <w:t>Government support</w:t>
            </w:r>
          </w:p>
          <w:p w:rsidR="008C53B5" w:rsidRPr="001F5433" w:rsidRDefault="00F663C1">
            <w:pPr>
              <w:pStyle w:val="normal0"/>
              <w:widowControl w:val="0"/>
              <w:pBdr>
                <w:top w:val="nil"/>
                <w:left w:val="nil"/>
                <w:bottom w:val="nil"/>
                <w:right w:val="nil"/>
                <w:between w:val="nil"/>
              </w:pBdr>
              <w:spacing w:line="240" w:lineRule="auto"/>
              <w:jc w:val="both"/>
              <w:rPr>
                <w:lang w:val="en-GB"/>
              </w:rPr>
            </w:pPr>
            <w:r w:rsidRPr="001F5433">
              <w:rPr>
                <w:lang w:val="en-GB"/>
              </w:rPr>
              <w:t>Brexit</w:t>
            </w:r>
          </w:p>
          <w:p w:rsidR="008C53B5" w:rsidRPr="001F5433" w:rsidRDefault="00F663C1">
            <w:pPr>
              <w:pStyle w:val="normal0"/>
              <w:widowControl w:val="0"/>
              <w:pBdr>
                <w:top w:val="nil"/>
                <w:left w:val="nil"/>
                <w:bottom w:val="nil"/>
                <w:right w:val="nil"/>
                <w:between w:val="nil"/>
              </w:pBdr>
              <w:spacing w:line="240" w:lineRule="auto"/>
              <w:jc w:val="both"/>
              <w:rPr>
                <w:lang w:val="en-GB"/>
              </w:rPr>
            </w:pPr>
            <w:r w:rsidRPr="001F5433">
              <w:rPr>
                <w:lang w:val="en-GB"/>
              </w:rPr>
              <w:t>Overseas student guidelines</w:t>
            </w:r>
          </w:p>
        </w:tc>
        <w:tc>
          <w:tcPr>
            <w:tcW w:w="5375" w:type="dxa"/>
            <w:shd w:val="clear" w:color="auto" w:fill="auto"/>
            <w:tcMar>
              <w:top w:w="100" w:type="dxa"/>
              <w:left w:w="100" w:type="dxa"/>
              <w:bottom w:w="100" w:type="dxa"/>
              <w:right w:w="100" w:type="dxa"/>
            </w:tcMar>
          </w:tcPr>
          <w:p w:rsidR="008C53B5" w:rsidRPr="001F5433" w:rsidRDefault="00F663C1">
            <w:pPr>
              <w:pStyle w:val="normal0"/>
              <w:spacing w:line="360" w:lineRule="auto"/>
              <w:jc w:val="both"/>
              <w:rPr>
                <w:lang w:val="en-GB"/>
              </w:rPr>
            </w:pPr>
            <w:r w:rsidRPr="001F5433">
              <w:rPr>
                <w:lang w:val="en-GB"/>
              </w:rPr>
              <w:t>The political environment in the UK in relation to higher education is very conducive with almost every public body given grants from the government budget. This is a favourable factor for the higher education sector as the institutions are able to upgrade their facilities and improve the quality of their education. Moreover, 20% of the UK students are from overseas in higher education which rises up to 40% for the post graduate courses (Gbadamosi, 2018). This has been possible due to continuous support from the government to facilitate and upgrade the level of education in the country. The UK government, however, has been forced to cut down on education expenses due to the Covid-19 and Brexit. In addition to this, Brexit has significantly reduced the number of overseas students due to changes in immigration guidelines and student VISA (Mayhew, 2022).  This could raise questions on the competency of the higher education sector in the country on a global level, further affecting UWTSD.</w:t>
            </w:r>
          </w:p>
        </w:tc>
      </w:tr>
      <w:tr w:rsidR="008C53B5" w:rsidRPr="001F5433">
        <w:trPr>
          <w:cantSplit/>
          <w:tblHeader/>
        </w:trPr>
        <w:tc>
          <w:tcPr>
            <w:tcW w:w="1286" w:type="dxa"/>
            <w:shd w:val="clear" w:color="auto" w:fill="auto"/>
            <w:tcMar>
              <w:top w:w="100" w:type="dxa"/>
              <w:left w:w="100" w:type="dxa"/>
              <w:bottom w:w="100" w:type="dxa"/>
              <w:right w:w="100" w:type="dxa"/>
            </w:tcMar>
          </w:tcPr>
          <w:p w:rsidR="008C53B5" w:rsidRPr="001F5433" w:rsidRDefault="00F663C1">
            <w:pPr>
              <w:pStyle w:val="normal0"/>
              <w:widowControl w:val="0"/>
              <w:pBdr>
                <w:top w:val="nil"/>
                <w:left w:val="nil"/>
                <w:bottom w:val="nil"/>
                <w:right w:val="nil"/>
                <w:between w:val="nil"/>
              </w:pBdr>
              <w:spacing w:line="240" w:lineRule="auto"/>
              <w:jc w:val="both"/>
              <w:rPr>
                <w:i/>
                <w:lang w:val="en-GB"/>
              </w:rPr>
            </w:pPr>
            <w:r w:rsidRPr="001F5433">
              <w:rPr>
                <w:i/>
                <w:lang w:val="en-GB"/>
              </w:rPr>
              <w:lastRenderedPageBreak/>
              <w:t xml:space="preserve">Economic </w:t>
            </w:r>
          </w:p>
        </w:tc>
        <w:tc>
          <w:tcPr>
            <w:tcW w:w="2350" w:type="dxa"/>
            <w:shd w:val="clear" w:color="auto" w:fill="auto"/>
            <w:tcMar>
              <w:top w:w="100" w:type="dxa"/>
              <w:left w:w="100" w:type="dxa"/>
              <w:bottom w:w="100" w:type="dxa"/>
              <w:right w:w="100" w:type="dxa"/>
            </w:tcMar>
          </w:tcPr>
          <w:p w:rsidR="008C53B5" w:rsidRPr="001F5433" w:rsidRDefault="00F663C1">
            <w:pPr>
              <w:pStyle w:val="normal0"/>
              <w:widowControl w:val="0"/>
              <w:spacing w:line="240" w:lineRule="auto"/>
              <w:jc w:val="both"/>
              <w:rPr>
                <w:lang w:val="en-GB"/>
              </w:rPr>
            </w:pPr>
            <w:r w:rsidRPr="001F5433">
              <w:rPr>
                <w:lang w:val="en-GB"/>
              </w:rPr>
              <w:t>Education budget</w:t>
            </w:r>
          </w:p>
          <w:p w:rsidR="008C53B5" w:rsidRPr="001F5433" w:rsidRDefault="00F663C1">
            <w:pPr>
              <w:pStyle w:val="normal0"/>
              <w:widowControl w:val="0"/>
              <w:spacing w:line="240" w:lineRule="auto"/>
              <w:jc w:val="both"/>
              <w:rPr>
                <w:lang w:val="en-GB"/>
              </w:rPr>
            </w:pPr>
            <w:r w:rsidRPr="001F5433">
              <w:rPr>
                <w:lang w:val="en-GB"/>
              </w:rPr>
              <w:t>Inflation rate</w:t>
            </w:r>
          </w:p>
        </w:tc>
        <w:tc>
          <w:tcPr>
            <w:tcW w:w="5375" w:type="dxa"/>
            <w:shd w:val="clear" w:color="auto" w:fill="auto"/>
            <w:tcMar>
              <w:top w:w="100" w:type="dxa"/>
              <w:left w:w="100" w:type="dxa"/>
              <w:bottom w:w="100" w:type="dxa"/>
              <w:right w:w="100" w:type="dxa"/>
            </w:tcMar>
          </w:tcPr>
          <w:p w:rsidR="008C53B5" w:rsidRPr="001F5433" w:rsidRDefault="00F663C1">
            <w:pPr>
              <w:pStyle w:val="normal0"/>
              <w:spacing w:line="360" w:lineRule="auto"/>
              <w:jc w:val="both"/>
              <w:rPr>
                <w:lang w:val="en-GB"/>
              </w:rPr>
            </w:pPr>
            <w:r w:rsidRPr="001F5433">
              <w:rPr>
                <w:lang w:val="en-GB"/>
              </w:rPr>
              <w:t xml:space="preserve">According to Statista, the UK education budget for the year 2019/20 was ₤95.5 billion whereas, for the year 2020/21 it was reduced to ₤95.3 billion. However, the budget was increased by a massive ₤4.8 billion pounds to ₤103.1 billion for the year 2021/22 (Statista, 2022). This could prove beneficial for the higher education sector in the country and also enhance learning opportunities for the students with increased scholarships and more. However, the rising inflation could deter the spendings on education in the UK. The current inflation rate in the UK is over 9% after crossing 10% in August (ons, 2022). This could increase the operating cost of the colleges and universities in the country. This could lead to increased difficulties for the students as well in the form of increased fee for the courses and more. The operations of UWTSD can also get severely affected by the increasing prices.   </w:t>
            </w:r>
          </w:p>
        </w:tc>
      </w:tr>
      <w:tr w:rsidR="008C53B5" w:rsidRPr="001F5433">
        <w:trPr>
          <w:cantSplit/>
          <w:tblHeader/>
        </w:trPr>
        <w:tc>
          <w:tcPr>
            <w:tcW w:w="1286" w:type="dxa"/>
            <w:shd w:val="clear" w:color="auto" w:fill="auto"/>
            <w:tcMar>
              <w:top w:w="100" w:type="dxa"/>
              <w:left w:w="100" w:type="dxa"/>
              <w:bottom w:w="100" w:type="dxa"/>
              <w:right w:w="100" w:type="dxa"/>
            </w:tcMar>
          </w:tcPr>
          <w:p w:rsidR="008C53B5" w:rsidRPr="001F5433" w:rsidRDefault="00F663C1">
            <w:pPr>
              <w:pStyle w:val="normal0"/>
              <w:widowControl w:val="0"/>
              <w:pBdr>
                <w:top w:val="nil"/>
                <w:left w:val="nil"/>
                <w:bottom w:val="nil"/>
                <w:right w:val="nil"/>
                <w:between w:val="nil"/>
              </w:pBdr>
              <w:spacing w:line="360" w:lineRule="auto"/>
              <w:jc w:val="both"/>
              <w:rPr>
                <w:i/>
                <w:lang w:val="en-GB"/>
              </w:rPr>
            </w:pPr>
            <w:r w:rsidRPr="001F5433">
              <w:rPr>
                <w:i/>
                <w:lang w:val="en-GB"/>
              </w:rPr>
              <w:t xml:space="preserve">Social </w:t>
            </w:r>
          </w:p>
        </w:tc>
        <w:tc>
          <w:tcPr>
            <w:tcW w:w="2350" w:type="dxa"/>
            <w:shd w:val="clear" w:color="auto" w:fill="auto"/>
            <w:tcMar>
              <w:top w:w="100" w:type="dxa"/>
              <w:left w:w="100" w:type="dxa"/>
              <w:bottom w:w="100" w:type="dxa"/>
              <w:right w:w="100" w:type="dxa"/>
            </w:tcMar>
          </w:tcPr>
          <w:p w:rsidR="008C53B5" w:rsidRPr="001F5433" w:rsidRDefault="00F663C1">
            <w:pPr>
              <w:pStyle w:val="normal0"/>
              <w:widowControl w:val="0"/>
              <w:pBdr>
                <w:top w:val="nil"/>
                <w:left w:val="nil"/>
                <w:bottom w:val="nil"/>
                <w:right w:val="nil"/>
                <w:between w:val="nil"/>
              </w:pBdr>
              <w:spacing w:line="360" w:lineRule="auto"/>
              <w:jc w:val="both"/>
              <w:rPr>
                <w:lang w:val="en-GB"/>
              </w:rPr>
            </w:pPr>
            <w:r w:rsidRPr="001F5433">
              <w:rPr>
                <w:lang w:val="en-GB"/>
              </w:rPr>
              <w:t>Quality education and reputation</w:t>
            </w:r>
          </w:p>
        </w:tc>
        <w:tc>
          <w:tcPr>
            <w:tcW w:w="5375" w:type="dxa"/>
            <w:shd w:val="clear" w:color="auto" w:fill="auto"/>
            <w:tcMar>
              <w:top w:w="100" w:type="dxa"/>
              <w:left w:w="100" w:type="dxa"/>
              <w:bottom w:w="100" w:type="dxa"/>
              <w:right w:w="100" w:type="dxa"/>
            </w:tcMar>
          </w:tcPr>
          <w:p w:rsidR="008C53B5" w:rsidRPr="001F5433" w:rsidRDefault="00F663C1">
            <w:pPr>
              <w:pStyle w:val="normal0"/>
              <w:widowControl w:val="0"/>
              <w:pBdr>
                <w:top w:val="nil"/>
                <w:left w:val="nil"/>
                <w:bottom w:val="nil"/>
                <w:right w:val="nil"/>
                <w:between w:val="nil"/>
              </w:pBdr>
              <w:spacing w:line="360" w:lineRule="auto"/>
              <w:jc w:val="both"/>
              <w:rPr>
                <w:lang w:val="en-GB"/>
              </w:rPr>
            </w:pPr>
            <w:r w:rsidRPr="001F5433">
              <w:rPr>
                <w:lang w:val="en-GB"/>
              </w:rPr>
              <w:t xml:space="preserve">The reputation of the higher education sector of the UK is very high and people from all over the world come to the country to complete their higher education. However, the new migration guidelines due to Brexit could prove to be unfavourable and raise significant questions on the quality. This is because previously the country had around 16% tutors and other staff from EU nations (Gbadamosi, 2018). The loss of these credible teaching forces could significantly reduce the quality of education as well as the trust in the higher education institutions. The credibility of UWTSD could also become a matter of concern due to this factor and have a negative impact on the institution. </w:t>
            </w:r>
          </w:p>
        </w:tc>
      </w:tr>
      <w:tr w:rsidR="008C53B5" w:rsidRPr="001F5433">
        <w:trPr>
          <w:cantSplit/>
          <w:tblHeader/>
        </w:trPr>
        <w:tc>
          <w:tcPr>
            <w:tcW w:w="1286" w:type="dxa"/>
            <w:shd w:val="clear" w:color="auto" w:fill="auto"/>
            <w:tcMar>
              <w:top w:w="100" w:type="dxa"/>
              <w:left w:w="100" w:type="dxa"/>
              <w:bottom w:w="100" w:type="dxa"/>
              <w:right w:w="100" w:type="dxa"/>
            </w:tcMar>
          </w:tcPr>
          <w:p w:rsidR="008C53B5" w:rsidRPr="001F5433" w:rsidRDefault="00F663C1">
            <w:pPr>
              <w:pStyle w:val="normal0"/>
              <w:widowControl w:val="0"/>
              <w:pBdr>
                <w:top w:val="nil"/>
                <w:left w:val="nil"/>
                <w:bottom w:val="nil"/>
                <w:right w:val="nil"/>
                <w:between w:val="nil"/>
              </w:pBdr>
              <w:spacing w:line="360" w:lineRule="auto"/>
              <w:jc w:val="both"/>
              <w:rPr>
                <w:i/>
                <w:lang w:val="en-GB"/>
              </w:rPr>
            </w:pPr>
            <w:r w:rsidRPr="001F5433">
              <w:rPr>
                <w:i/>
                <w:lang w:val="en-GB"/>
              </w:rPr>
              <w:lastRenderedPageBreak/>
              <w:t xml:space="preserve">Technological </w:t>
            </w:r>
          </w:p>
        </w:tc>
        <w:tc>
          <w:tcPr>
            <w:tcW w:w="2350" w:type="dxa"/>
            <w:shd w:val="clear" w:color="auto" w:fill="auto"/>
            <w:tcMar>
              <w:top w:w="100" w:type="dxa"/>
              <w:left w:w="100" w:type="dxa"/>
              <w:bottom w:w="100" w:type="dxa"/>
              <w:right w:w="100" w:type="dxa"/>
            </w:tcMar>
          </w:tcPr>
          <w:p w:rsidR="008C53B5" w:rsidRPr="001F5433" w:rsidRDefault="00F663C1">
            <w:pPr>
              <w:pStyle w:val="normal0"/>
              <w:widowControl w:val="0"/>
              <w:pBdr>
                <w:top w:val="nil"/>
                <w:left w:val="nil"/>
                <w:bottom w:val="nil"/>
                <w:right w:val="nil"/>
                <w:between w:val="nil"/>
              </w:pBdr>
              <w:spacing w:line="360" w:lineRule="auto"/>
              <w:jc w:val="both"/>
              <w:rPr>
                <w:lang w:val="en-GB"/>
              </w:rPr>
            </w:pPr>
            <w:r w:rsidRPr="001F5433">
              <w:rPr>
                <w:lang w:val="en-GB"/>
              </w:rPr>
              <w:t>Artificial Intelligence</w:t>
            </w:r>
          </w:p>
          <w:p w:rsidR="008C53B5" w:rsidRPr="001F5433" w:rsidRDefault="00F663C1">
            <w:pPr>
              <w:pStyle w:val="normal0"/>
              <w:widowControl w:val="0"/>
              <w:pBdr>
                <w:top w:val="nil"/>
                <w:left w:val="nil"/>
                <w:bottom w:val="nil"/>
                <w:right w:val="nil"/>
                <w:between w:val="nil"/>
              </w:pBdr>
              <w:spacing w:line="360" w:lineRule="auto"/>
              <w:jc w:val="both"/>
              <w:rPr>
                <w:lang w:val="en-GB"/>
              </w:rPr>
            </w:pPr>
            <w:r w:rsidRPr="001F5433">
              <w:rPr>
                <w:lang w:val="en-GB"/>
              </w:rPr>
              <w:t>Augmented learning  Virtual Reality</w:t>
            </w:r>
          </w:p>
        </w:tc>
        <w:tc>
          <w:tcPr>
            <w:tcW w:w="5375" w:type="dxa"/>
            <w:shd w:val="clear" w:color="auto" w:fill="auto"/>
            <w:tcMar>
              <w:top w:w="100" w:type="dxa"/>
              <w:left w:w="100" w:type="dxa"/>
              <w:bottom w:w="100" w:type="dxa"/>
              <w:right w:w="100" w:type="dxa"/>
            </w:tcMar>
          </w:tcPr>
          <w:p w:rsidR="008C53B5" w:rsidRPr="001F5433" w:rsidRDefault="00F663C1">
            <w:pPr>
              <w:pStyle w:val="normal0"/>
              <w:widowControl w:val="0"/>
              <w:pBdr>
                <w:top w:val="nil"/>
                <w:left w:val="nil"/>
                <w:bottom w:val="nil"/>
                <w:right w:val="nil"/>
                <w:between w:val="nil"/>
              </w:pBdr>
              <w:spacing w:line="360" w:lineRule="auto"/>
              <w:jc w:val="both"/>
              <w:rPr>
                <w:lang w:val="en-GB"/>
              </w:rPr>
            </w:pPr>
            <w:r w:rsidRPr="001F5433">
              <w:rPr>
                <w:lang w:val="en-GB"/>
              </w:rPr>
              <w:t xml:space="preserve">The technological advancements have made their way in education and the UK has adopted it with open arms. The education institutes in the country are equipped with the latest technologies with online lectures, digital classrooms and more. Moreover, online learning platforms are also becoming a regular practice with every educational institution making their courses available online. Further, the incorporation of latest advancements such as augmented learning, artificial intelligence, and virtual reality has improved the scope and level of learning provided by the higher education sector in the country. The Covid-19 pandemic has accelerated the adoption of digital methods for teaching and learning with online classes, virtual learning environment (VLE), online assignments and more (Dunn and Kennedy, 2019). The skills and abilities of not just the students but everyone associated with the educational organisations can witness a positive impact due to this. UWTSD also has the opportunity to enhance their education by incorporating the latest technologies in their curriculum. </w:t>
            </w:r>
          </w:p>
        </w:tc>
      </w:tr>
      <w:tr w:rsidR="008C53B5" w:rsidRPr="001F5433">
        <w:trPr>
          <w:cantSplit/>
          <w:tblHeader/>
        </w:trPr>
        <w:tc>
          <w:tcPr>
            <w:tcW w:w="1286" w:type="dxa"/>
            <w:shd w:val="clear" w:color="auto" w:fill="auto"/>
            <w:tcMar>
              <w:top w:w="100" w:type="dxa"/>
              <w:left w:w="100" w:type="dxa"/>
              <w:bottom w:w="100" w:type="dxa"/>
              <w:right w:w="100" w:type="dxa"/>
            </w:tcMar>
          </w:tcPr>
          <w:p w:rsidR="008C53B5" w:rsidRPr="001F5433" w:rsidRDefault="00F663C1">
            <w:pPr>
              <w:pStyle w:val="normal0"/>
              <w:widowControl w:val="0"/>
              <w:pBdr>
                <w:top w:val="nil"/>
                <w:left w:val="nil"/>
                <w:bottom w:val="nil"/>
                <w:right w:val="nil"/>
                <w:between w:val="nil"/>
              </w:pBdr>
              <w:spacing w:line="360" w:lineRule="auto"/>
              <w:jc w:val="both"/>
              <w:rPr>
                <w:i/>
                <w:lang w:val="en-GB"/>
              </w:rPr>
            </w:pPr>
            <w:r w:rsidRPr="001F5433">
              <w:rPr>
                <w:i/>
                <w:lang w:val="en-GB"/>
              </w:rPr>
              <w:lastRenderedPageBreak/>
              <w:t xml:space="preserve">Environmental </w:t>
            </w:r>
          </w:p>
        </w:tc>
        <w:tc>
          <w:tcPr>
            <w:tcW w:w="2350" w:type="dxa"/>
            <w:shd w:val="clear" w:color="auto" w:fill="auto"/>
            <w:tcMar>
              <w:top w:w="100" w:type="dxa"/>
              <w:left w:w="100" w:type="dxa"/>
              <w:bottom w:w="100" w:type="dxa"/>
              <w:right w:w="100" w:type="dxa"/>
            </w:tcMar>
          </w:tcPr>
          <w:p w:rsidR="008C53B5" w:rsidRPr="001F5433" w:rsidRDefault="00F663C1">
            <w:pPr>
              <w:pStyle w:val="normal0"/>
              <w:widowControl w:val="0"/>
              <w:pBdr>
                <w:top w:val="nil"/>
                <w:left w:val="nil"/>
                <w:bottom w:val="nil"/>
                <w:right w:val="nil"/>
                <w:between w:val="nil"/>
              </w:pBdr>
              <w:spacing w:line="360" w:lineRule="auto"/>
              <w:jc w:val="both"/>
              <w:rPr>
                <w:lang w:val="en-GB"/>
              </w:rPr>
            </w:pPr>
            <w:r w:rsidRPr="001F5433">
              <w:rPr>
                <w:lang w:val="en-GB"/>
              </w:rPr>
              <w:t>Environment laws</w:t>
            </w:r>
          </w:p>
          <w:p w:rsidR="008C53B5" w:rsidRPr="001F5433" w:rsidRDefault="00F663C1">
            <w:pPr>
              <w:pStyle w:val="normal0"/>
              <w:widowControl w:val="0"/>
              <w:pBdr>
                <w:top w:val="nil"/>
                <w:left w:val="nil"/>
                <w:bottom w:val="nil"/>
                <w:right w:val="nil"/>
                <w:between w:val="nil"/>
              </w:pBdr>
              <w:spacing w:line="360" w:lineRule="auto"/>
              <w:jc w:val="both"/>
              <w:rPr>
                <w:lang w:val="en-GB"/>
              </w:rPr>
            </w:pPr>
            <w:r w:rsidRPr="001F5433">
              <w:rPr>
                <w:lang w:val="en-GB"/>
              </w:rPr>
              <w:t>Reduction in the use of paper</w:t>
            </w:r>
          </w:p>
          <w:p w:rsidR="008C53B5" w:rsidRPr="001F5433" w:rsidRDefault="00F663C1">
            <w:pPr>
              <w:pStyle w:val="normal0"/>
              <w:widowControl w:val="0"/>
              <w:pBdr>
                <w:top w:val="nil"/>
                <w:left w:val="nil"/>
                <w:bottom w:val="nil"/>
                <w:right w:val="nil"/>
                <w:between w:val="nil"/>
              </w:pBdr>
              <w:spacing w:line="360" w:lineRule="auto"/>
              <w:jc w:val="both"/>
              <w:rPr>
                <w:lang w:val="en-GB"/>
              </w:rPr>
            </w:pPr>
            <w:r w:rsidRPr="001F5433">
              <w:rPr>
                <w:lang w:val="en-GB"/>
              </w:rPr>
              <w:t>Credibility and competence</w:t>
            </w:r>
          </w:p>
        </w:tc>
        <w:tc>
          <w:tcPr>
            <w:tcW w:w="5375" w:type="dxa"/>
            <w:shd w:val="clear" w:color="auto" w:fill="auto"/>
            <w:tcMar>
              <w:top w:w="100" w:type="dxa"/>
              <w:left w:w="100" w:type="dxa"/>
              <w:bottom w:w="100" w:type="dxa"/>
              <w:right w:w="100" w:type="dxa"/>
            </w:tcMar>
          </w:tcPr>
          <w:p w:rsidR="008C53B5" w:rsidRPr="001F5433" w:rsidRDefault="00F663C1">
            <w:pPr>
              <w:pStyle w:val="normal0"/>
              <w:widowControl w:val="0"/>
              <w:pBdr>
                <w:top w:val="nil"/>
                <w:left w:val="nil"/>
                <w:bottom w:val="nil"/>
                <w:right w:val="nil"/>
                <w:between w:val="nil"/>
              </w:pBdr>
              <w:spacing w:line="360" w:lineRule="auto"/>
              <w:jc w:val="both"/>
              <w:rPr>
                <w:lang w:val="en-GB"/>
              </w:rPr>
            </w:pPr>
            <w:r w:rsidRPr="001F5433">
              <w:rPr>
                <w:lang w:val="en-GB"/>
              </w:rPr>
              <w:t xml:space="preserve">The environmental laws in the UK equally apply to every business organisation as well as educational institutions. This entails the incorporation of sustainable methods and ways of operating in order to reduce the harmful impact on the planet. Education is the root of knowledge and information and education institutions need to be the first ones to adopt sustainable practices as an example for other sectors. The higher education sector needs to adhere to the guidelines and provisions of </w:t>
            </w:r>
            <w:r w:rsidRPr="001F5433">
              <w:rPr>
                <w:b/>
                <w:i/>
                <w:lang w:val="en-GB"/>
              </w:rPr>
              <w:t xml:space="preserve">“The Environment Act 2021” </w:t>
            </w:r>
            <w:r w:rsidRPr="001F5433">
              <w:rPr>
                <w:lang w:val="en-GB"/>
              </w:rPr>
              <w:t>and also promote sustainable practices in their curriculum (legislation, 2022). The use of online methods for teaching and learning by colleges and universities can also lead to a reduction in paper usage in the country. This could have a positive impact on sustainability. Moreover, adhering to the sustainability laws and guidelines enable the higher education sector to further enhance their credibility and competency in the global arena. UWTSD can also benefit remarkably by adhering to the environmental laws and promoting sustainable practices within the institution.</w:t>
            </w:r>
          </w:p>
        </w:tc>
      </w:tr>
      <w:tr w:rsidR="008C53B5" w:rsidRPr="001F5433">
        <w:trPr>
          <w:cantSplit/>
          <w:tblHeader/>
        </w:trPr>
        <w:tc>
          <w:tcPr>
            <w:tcW w:w="1286" w:type="dxa"/>
            <w:shd w:val="clear" w:color="auto" w:fill="auto"/>
            <w:tcMar>
              <w:top w:w="100" w:type="dxa"/>
              <w:left w:w="100" w:type="dxa"/>
              <w:bottom w:w="100" w:type="dxa"/>
              <w:right w:w="100" w:type="dxa"/>
            </w:tcMar>
          </w:tcPr>
          <w:p w:rsidR="008C53B5" w:rsidRPr="001F5433" w:rsidRDefault="00F663C1">
            <w:pPr>
              <w:pStyle w:val="normal0"/>
              <w:widowControl w:val="0"/>
              <w:pBdr>
                <w:top w:val="nil"/>
                <w:left w:val="nil"/>
                <w:bottom w:val="nil"/>
                <w:right w:val="nil"/>
                <w:between w:val="nil"/>
              </w:pBdr>
              <w:spacing w:line="360" w:lineRule="auto"/>
              <w:jc w:val="both"/>
              <w:rPr>
                <w:i/>
                <w:lang w:val="en-GB"/>
              </w:rPr>
            </w:pPr>
            <w:r w:rsidRPr="001F5433">
              <w:rPr>
                <w:i/>
                <w:lang w:val="en-GB"/>
              </w:rPr>
              <w:lastRenderedPageBreak/>
              <w:t xml:space="preserve">Legal </w:t>
            </w:r>
          </w:p>
        </w:tc>
        <w:tc>
          <w:tcPr>
            <w:tcW w:w="2350" w:type="dxa"/>
            <w:shd w:val="clear" w:color="auto" w:fill="auto"/>
            <w:tcMar>
              <w:top w:w="100" w:type="dxa"/>
              <w:left w:w="100" w:type="dxa"/>
              <w:bottom w:w="100" w:type="dxa"/>
              <w:right w:w="100" w:type="dxa"/>
            </w:tcMar>
          </w:tcPr>
          <w:p w:rsidR="008C53B5" w:rsidRPr="001F5433" w:rsidRDefault="00F663C1">
            <w:pPr>
              <w:pStyle w:val="normal0"/>
              <w:widowControl w:val="0"/>
              <w:pBdr>
                <w:top w:val="nil"/>
                <w:left w:val="nil"/>
                <w:bottom w:val="nil"/>
                <w:right w:val="nil"/>
                <w:between w:val="nil"/>
              </w:pBdr>
              <w:spacing w:line="360" w:lineRule="auto"/>
              <w:jc w:val="both"/>
              <w:rPr>
                <w:lang w:val="en-GB"/>
              </w:rPr>
            </w:pPr>
            <w:r w:rsidRPr="001F5433">
              <w:rPr>
                <w:lang w:val="en-GB"/>
              </w:rPr>
              <w:t>QAA</w:t>
            </w:r>
          </w:p>
          <w:p w:rsidR="008C53B5" w:rsidRPr="001F5433" w:rsidRDefault="00F663C1">
            <w:pPr>
              <w:pStyle w:val="normal0"/>
              <w:widowControl w:val="0"/>
              <w:pBdr>
                <w:top w:val="nil"/>
                <w:left w:val="nil"/>
                <w:bottom w:val="nil"/>
                <w:right w:val="nil"/>
                <w:between w:val="nil"/>
              </w:pBdr>
              <w:spacing w:line="360" w:lineRule="auto"/>
              <w:jc w:val="both"/>
              <w:rPr>
                <w:lang w:val="en-GB"/>
              </w:rPr>
            </w:pPr>
            <w:r w:rsidRPr="001F5433">
              <w:rPr>
                <w:lang w:val="en-GB"/>
              </w:rPr>
              <w:t xml:space="preserve">Sexual Harassment </w:t>
            </w:r>
          </w:p>
          <w:p w:rsidR="008C53B5" w:rsidRPr="001F5433" w:rsidRDefault="00F663C1">
            <w:pPr>
              <w:pStyle w:val="normal0"/>
              <w:widowControl w:val="0"/>
              <w:pBdr>
                <w:top w:val="nil"/>
                <w:left w:val="nil"/>
                <w:bottom w:val="nil"/>
                <w:right w:val="nil"/>
                <w:between w:val="nil"/>
              </w:pBdr>
              <w:spacing w:line="360" w:lineRule="auto"/>
              <w:jc w:val="both"/>
              <w:rPr>
                <w:lang w:val="en-GB"/>
              </w:rPr>
            </w:pPr>
            <w:r w:rsidRPr="001F5433">
              <w:rPr>
                <w:lang w:val="en-GB"/>
              </w:rPr>
              <w:t>Free speech</w:t>
            </w:r>
          </w:p>
          <w:p w:rsidR="008C53B5" w:rsidRPr="001F5433" w:rsidRDefault="008C53B5">
            <w:pPr>
              <w:pStyle w:val="normal0"/>
              <w:widowControl w:val="0"/>
              <w:pBdr>
                <w:top w:val="nil"/>
                <w:left w:val="nil"/>
                <w:bottom w:val="nil"/>
                <w:right w:val="nil"/>
                <w:between w:val="nil"/>
              </w:pBdr>
              <w:spacing w:line="360" w:lineRule="auto"/>
              <w:jc w:val="both"/>
              <w:rPr>
                <w:lang w:val="en-GB"/>
              </w:rPr>
            </w:pPr>
          </w:p>
        </w:tc>
        <w:tc>
          <w:tcPr>
            <w:tcW w:w="5375" w:type="dxa"/>
            <w:shd w:val="clear" w:color="auto" w:fill="auto"/>
            <w:tcMar>
              <w:top w:w="100" w:type="dxa"/>
              <w:left w:w="100" w:type="dxa"/>
              <w:bottom w:w="100" w:type="dxa"/>
              <w:right w:w="100" w:type="dxa"/>
            </w:tcMar>
          </w:tcPr>
          <w:p w:rsidR="008C53B5" w:rsidRPr="001F5433" w:rsidRDefault="00F663C1">
            <w:pPr>
              <w:pStyle w:val="normal0"/>
              <w:widowControl w:val="0"/>
              <w:pBdr>
                <w:top w:val="nil"/>
                <w:left w:val="nil"/>
                <w:bottom w:val="nil"/>
                <w:right w:val="nil"/>
                <w:between w:val="nil"/>
              </w:pBdr>
              <w:spacing w:line="360" w:lineRule="auto"/>
              <w:jc w:val="both"/>
              <w:rPr>
                <w:lang w:val="en-GB"/>
              </w:rPr>
            </w:pPr>
            <w:r w:rsidRPr="001F5433">
              <w:rPr>
                <w:lang w:val="en-GB"/>
              </w:rPr>
              <w:t xml:space="preserve">The higher education sector in the UK is monitored and reviewed by the </w:t>
            </w:r>
            <w:r w:rsidRPr="001F5433">
              <w:rPr>
                <w:b/>
                <w:i/>
                <w:lang w:val="en-GB"/>
              </w:rPr>
              <w:t xml:space="preserve">“Quality Assurance Agency” </w:t>
            </w:r>
            <w:r w:rsidRPr="001F5433">
              <w:rPr>
                <w:lang w:val="en-GB"/>
              </w:rPr>
              <w:t xml:space="preserve">that is responsible for improving and maintaining high quality education (qaa, 2022). The agency provides guidelines and recommendations for the educational institutions that need to be followed. This has resulted in the maintenance of the highest standards and a subsequent global recognition for the higher education sector of the UK. Moreover, there have been multiple instances of allegation for sexual harassment by students against institution staff in the past. According to the guardian, it was found in a survey in 2015 that 28% out of more than 150,000 respondents witnesses some form of sexual harassment at the campus (theguardian, 2017). However, these are not the actual figures as most of the victims are afraid </w:t>
            </w:r>
            <w:r w:rsidR="001F5433" w:rsidRPr="001F5433">
              <w:rPr>
                <w:lang w:val="en-GB"/>
              </w:rPr>
              <w:t>of the</w:t>
            </w:r>
            <w:r w:rsidRPr="001F5433">
              <w:rPr>
                <w:lang w:val="en-GB"/>
              </w:rPr>
              <w:t xml:space="preserve"> consequences of complaining or telling about such incidents. This could severely damage the reputation and trust built by the educational institutions. They need to set up stringent rules and guidelines to eliminate sexual harassment and also provide platforms to promote freedom of speech within the campus. UWTSD also needs to do the same in order to mitigate the negative impacts of these issues and maintain the highest standards. </w:t>
            </w:r>
          </w:p>
        </w:tc>
      </w:tr>
    </w:tbl>
    <w:p w:rsidR="00646356" w:rsidRPr="00646356" w:rsidRDefault="00646356" w:rsidP="00646356">
      <w:pPr>
        <w:pStyle w:val="normal0"/>
        <w:spacing w:line="360" w:lineRule="auto"/>
        <w:jc w:val="center"/>
        <w:rPr>
          <w:b/>
          <w:lang w:val="en-GB"/>
        </w:rPr>
      </w:pPr>
      <w:r w:rsidRPr="00646356">
        <w:rPr>
          <w:b/>
          <w:lang w:val="en-GB"/>
        </w:rPr>
        <w:t>Table 1: PESTLE Analysis</w:t>
      </w:r>
    </w:p>
    <w:p w:rsidR="008C53B5" w:rsidRPr="001F5433" w:rsidRDefault="00646356" w:rsidP="00646356">
      <w:pPr>
        <w:pStyle w:val="normal0"/>
        <w:spacing w:line="360" w:lineRule="auto"/>
        <w:jc w:val="center"/>
        <w:rPr>
          <w:lang w:val="en-GB"/>
        </w:rPr>
      </w:pPr>
      <w:r>
        <w:rPr>
          <w:lang w:val="en-GB"/>
        </w:rPr>
        <w:t>(Source: Created by learner)</w:t>
      </w:r>
      <w:r w:rsidR="00F663C1" w:rsidRPr="001F5433">
        <w:rPr>
          <w:lang w:val="en-GB"/>
        </w:rPr>
        <w:br w:type="page"/>
      </w:r>
    </w:p>
    <w:p w:rsidR="008C53B5" w:rsidRPr="001F5433" w:rsidRDefault="00F663C1">
      <w:pPr>
        <w:pStyle w:val="Heading2"/>
        <w:rPr>
          <w:lang w:val="en-GB"/>
        </w:rPr>
      </w:pPr>
      <w:bookmarkStart w:id="4" w:name="_lddcuaiylx2m" w:colFirst="0" w:colLast="0"/>
      <w:bookmarkEnd w:id="4"/>
      <w:r w:rsidRPr="001F5433">
        <w:rPr>
          <w:lang w:val="en-GB"/>
        </w:rPr>
        <w:lastRenderedPageBreak/>
        <w:t>“Porter’s Five Forces Analysis”</w:t>
      </w:r>
    </w:p>
    <w:p w:rsidR="008C53B5" w:rsidRPr="001F5433" w:rsidRDefault="00F663C1">
      <w:pPr>
        <w:pStyle w:val="normal0"/>
        <w:spacing w:line="360" w:lineRule="auto"/>
        <w:jc w:val="both"/>
        <w:rPr>
          <w:lang w:val="en-GB"/>
        </w:rPr>
      </w:pPr>
      <w:r w:rsidRPr="001F5433">
        <w:rPr>
          <w:lang w:val="en-GB"/>
        </w:rPr>
        <w:t xml:space="preserve">This is also an analysis tool used by businesses to identify and evaluate the competitive forces in the market influencing its operations. It was developed by Harvard Business School Professor Michael Porter in 1979 (Bruijl and Gerard, 2018). </w:t>
      </w:r>
    </w:p>
    <w:p w:rsidR="008C53B5" w:rsidRPr="001F5433" w:rsidRDefault="00F663C1">
      <w:pPr>
        <w:pStyle w:val="normal0"/>
        <w:spacing w:line="360" w:lineRule="auto"/>
        <w:jc w:val="both"/>
        <w:rPr>
          <w:b/>
          <w:i/>
          <w:lang w:val="en-GB"/>
        </w:rPr>
      </w:pPr>
      <w:r w:rsidRPr="001F5433">
        <w:rPr>
          <w:b/>
          <w:i/>
          <w:lang w:val="en-GB"/>
        </w:rPr>
        <w:t>“Bargaining Power of the Supplier (MODERATE)”</w:t>
      </w:r>
    </w:p>
    <w:p w:rsidR="008C53B5" w:rsidRPr="001F5433" w:rsidRDefault="00F663C1">
      <w:pPr>
        <w:pStyle w:val="normal0"/>
        <w:spacing w:line="360" w:lineRule="auto"/>
        <w:jc w:val="both"/>
        <w:rPr>
          <w:lang w:val="en-GB"/>
        </w:rPr>
      </w:pPr>
      <w:r w:rsidRPr="001F5433">
        <w:rPr>
          <w:lang w:val="en-GB"/>
        </w:rPr>
        <w:t xml:space="preserve">The suppliers of the higher education sector of the UK are teaching staff and infrastructure providers. There is growing demand for the highest level of education and due to this the demand for competent teachers and equally adept infrastructure is on the rise (Alsharari, 2018). Brexit has severely reduced the talent pool for the higher education institutes in the UK. The students coming from the EU countries will also have to pay the international student fees which could increase their educational cost. Subsequently, the number of abroad students has also decreased due to the new migration guidelines. On the other hand, technological advancements have made it easier for the organisations to incorporate the latest technologies but also increased their budget constraints (Munge </w:t>
      </w:r>
      <w:r w:rsidRPr="001F5433">
        <w:rPr>
          <w:i/>
          <w:lang w:val="en-GB"/>
        </w:rPr>
        <w:t xml:space="preserve">et al., </w:t>
      </w:r>
      <w:r w:rsidRPr="001F5433">
        <w:rPr>
          <w:lang w:val="en-GB"/>
        </w:rPr>
        <w:t xml:space="preserve">2018). UWTSD can face difficulties in incorporating the latest technologies and upgrading their infrastructure along with hiring adept teaching and non-teaching staff. This has resulted in the bargaining power of the suppliers of the higher education sector in the UK to be </w:t>
      </w:r>
      <w:r w:rsidRPr="001F5433">
        <w:rPr>
          <w:b/>
          <w:i/>
          <w:lang w:val="en-GB"/>
        </w:rPr>
        <w:t xml:space="preserve">moderate. </w:t>
      </w:r>
      <w:r w:rsidRPr="001F5433">
        <w:rPr>
          <w:lang w:val="en-GB"/>
        </w:rPr>
        <w:t xml:space="preserve">  </w:t>
      </w:r>
    </w:p>
    <w:p w:rsidR="008C53B5" w:rsidRPr="001F5433" w:rsidRDefault="00F663C1">
      <w:pPr>
        <w:pStyle w:val="normal0"/>
        <w:spacing w:line="360" w:lineRule="auto"/>
        <w:jc w:val="both"/>
        <w:rPr>
          <w:b/>
          <w:i/>
          <w:lang w:val="en-GB"/>
        </w:rPr>
      </w:pPr>
      <w:r w:rsidRPr="001F5433">
        <w:rPr>
          <w:b/>
          <w:i/>
          <w:lang w:val="en-GB"/>
        </w:rPr>
        <w:t xml:space="preserve">“Bargaining Power of the Buyers (HIGH)” </w:t>
      </w:r>
    </w:p>
    <w:p w:rsidR="008C53B5" w:rsidRPr="001F5433" w:rsidRDefault="00F663C1">
      <w:pPr>
        <w:pStyle w:val="normal0"/>
        <w:spacing w:line="360" w:lineRule="auto"/>
        <w:jc w:val="both"/>
        <w:rPr>
          <w:b/>
          <w:i/>
          <w:lang w:val="en-GB"/>
        </w:rPr>
      </w:pPr>
      <w:r w:rsidRPr="001F5433">
        <w:rPr>
          <w:lang w:val="en-GB"/>
        </w:rPr>
        <w:t xml:space="preserve">The buyers of the higher education sector are basically the students who seek the highest level of formal education. There are a huge number of domestic as well as international students studying in the higher educational institutes in the UK. According to Statista, there were more than 2.75 million students studying in the UK universities as of 2021. In addition to this, the UK universities received nearly 750,000 study applications in the same year (Statista, 2022). However, Brexit has resulted in decline in these numbers due to policy changes regarding student VISA and other financial debts and charges. Moreover, the UK is home to a number of top universities, with more than 85 universities in the “QS World University Rankings 2023”. There are four UK universities in the global list of top 10 and three more in the list of top 50 (topuniversities, 2022). This has resulted in the students having a huge number of options available to them to receive quality education. This has created a severe competitive environment for the higher education institutions in the UK. UWTSD also faces a huge competition with multiple competitors and a decreasing number of students due to Brexit. Thus, the bargaining power of the buyers of the higher education sector in the UK is </w:t>
      </w:r>
      <w:r w:rsidRPr="001F5433">
        <w:rPr>
          <w:b/>
          <w:i/>
          <w:lang w:val="en-GB"/>
        </w:rPr>
        <w:t xml:space="preserve">high. </w:t>
      </w:r>
    </w:p>
    <w:p w:rsidR="008C53B5" w:rsidRPr="001F5433" w:rsidRDefault="00F663C1">
      <w:pPr>
        <w:pStyle w:val="normal0"/>
        <w:spacing w:line="360" w:lineRule="auto"/>
        <w:jc w:val="both"/>
        <w:rPr>
          <w:b/>
          <w:i/>
          <w:lang w:val="en-GB"/>
        </w:rPr>
      </w:pPr>
      <w:r w:rsidRPr="001F5433">
        <w:rPr>
          <w:b/>
          <w:i/>
          <w:lang w:val="en-GB"/>
        </w:rPr>
        <w:t>“Threat of Substitution (MODERATE)”</w:t>
      </w:r>
    </w:p>
    <w:p w:rsidR="008C53B5" w:rsidRPr="001F5433" w:rsidRDefault="00F663C1">
      <w:pPr>
        <w:pStyle w:val="normal0"/>
        <w:spacing w:line="360" w:lineRule="auto"/>
        <w:jc w:val="both"/>
        <w:rPr>
          <w:lang w:val="en-GB"/>
        </w:rPr>
      </w:pPr>
      <w:r w:rsidRPr="001F5433">
        <w:rPr>
          <w:lang w:val="en-GB"/>
        </w:rPr>
        <w:t xml:space="preserve">The higher education system of the UK is widely recognised all around the world with people coming from overseas to seek the highest level of education and corresponding degrees. The colleges, universities and other educational institutions are provided with a massive </w:t>
      </w:r>
      <w:r w:rsidRPr="001F5433">
        <w:rPr>
          <w:lang w:val="en-GB"/>
        </w:rPr>
        <w:lastRenderedPageBreak/>
        <w:t xml:space="preserve">education budget to facilitate the provision of latest technologies and world-class facilities. However, the recent Covid-19 pandemic and Brexit has resulted in the inflation rate in the country to spike up reaching up to 12 % in August (ons, 2022). This can result in limited spendings on education in the future and increased charges. This could result in the quality of education dwindling to some extent in the country. Moreover, Brexit has resulted in migration issues for both teachers and students coming from the EU countries. This could also add to the limitations of the higher education sector leading to people looking at other countries such as the United States, Singapore and more for quality education (Musselin, 2018). This could also have a negative impact on the competency of UWTSD making the threat of substitution to be </w:t>
      </w:r>
      <w:r w:rsidRPr="001F5433">
        <w:rPr>
          <w:b/>
          <w:i/>
          <w:lang w:val="en-GB"/>
        </w:rPr>
        <w:t>moderate</w:t>
      </w:r>
      <w:r w:rsidRPr="001F5433">
        <w:rPr>
          <w:lang w:val="en-GB"/>
        </w:rPr>
        <w:t xml:space="preserve">. </w:t>
      </w:r>
    </w:p>
    <w:p w:rsidR="008C53B5" w:rsidRPr="001F5433" w:rsidRDefault="00F663C1">
      <w:pPr>
        <w:pStyle w:val="normal0"/>
        <w:spacing w:line="360" w:lineRule="auto"/>
        <w:jc w:val="both"/>
        <w:rPr>
          <w:b/>
          <w:i/>
          <w:lang w:val="en-GB"/>
        </w:rPr>
      </w:pPr>
      <w:r w:rsidRPr="001F5433">
        <w:rPr>
          <w:b/>
          <w:i/>
          <w:lang w:val="en-GB"/>
        </w:rPr>
        <w:t>“Threat of New Entrant (LOW)”</w:t>
      </w:r>
    </w:p>
    <w:p w:rsidR="008C53B5" w:rsidRPr="001F5433" w:rsidRDefault="00F663C1">
      <w:pPr>
        <w:pStyle w:val="normal0"/>
        <w:spacing w:line="360" w:lineRule="auto"/>
        <w:jc w:val="both"/>
        <w:rPr>
          <w:lang w:val="en-GB"/>
        </w:rPr>
      </w:pPr>
      <w:r w:rsidRPr="001F5433">
        <w:rPr>
          <w:lang w:val="en-GB"/>
        </w:rPr>
        <w:t xml:space="preserve">Education institutions in the UK have world-class infrastructure and are equipped with the latest technologies and are counted in top universities in the world. This enables them to provide high-quality education, however, the rising inflation rate and loss of students as well as teachers due to Brexit has had a negative impact on the sector. The already operating organisations have been in a pinch and so setting up new institutions can be very problematic in such situations. Thus, the threat of new entrants in the higher education sector of the UK is </w:t>
      </w:r>
      <w:r w:rsidRPr="001F5433">
        <w:rPr>
          <w:b/>
          <w:i/>
          <w:lang w:val="en-GB"/>
        </w:rPr>
        <w:t>low</w:t>
      </w:r>
      <w:r w:rsidRPr="001F5433">
        <w:rPr>
          <w:lang w:val="en-GB"/>
        </w:rPr>
        <w:t>.</w:t>
      </w:r>
    </w:p>
    <w:p w:rsidR="008C53B5" w:rsidRPr="001F5433" w:rsidRDefault="00F663C1">
      <w:pPr>
        <w:pStyle w:val="normal0"/>
        <w:spacing w:line="360" w:lineRule="auto"/>
        <w:jc w:val="both"/>
        <w:rPr>
          <w:b/>
          <w:i/>
          <w:lang w:val="en-GB"/>
        </w:rPr>
      </w:pPr>
      <w:r w:rsidRPr="001F5433">
        <w:rPr>
          <w:b/>
          <w:i/>
          <w:lang w:val="en-GB"/>
        </w:rPr>
        <w:t xml:space="preserve">“Competitive Rivalry (HIGH)” </w:t>
      </w:r>
    </w:p>
    <w:p w:rsidR="008C53B5" w:rsidRPr="001F5433" w:rsidRDefault="00F663C1">
      <w:pPr>
        <w:pStyle w:val="normal0"/>
        <w:spacing w:line="360" w:lineRule="auto"/>
        <w:jc w:val="both"/>
        <w:rPr>
          <w:lang w:val="en-GB"/>
        </w:rPr>
      </w:pPr>
      <w:r w:rsidRPr="001F5433">
        <w:rPr>
          <w:lang w:val="en-GB"/>
        </w:rPr>
        <w:t xml:space="preserve">The </w:t>
      </w:r>
      <w:r w:rsidRPr="001F5433">
        <w:rPr>
          <w:b/>
          <w:i/>
          <w:lang w:val="en-GB"/>
        </w:rPr>
        <w:t xml:space="preserve">“University of Cambridge” </w:t>
      </w:r>
      <w:r w:rsidRPr="001F5433">
        <w:rPr>
          <w:lang w:val="en-GB"/>
        </w:rPr>
        <w:t xml:space="preserve">has been placed as the second best university in the world by “QS World University Rankings 2023” and </w:t>
      </w:r>
      <w:r w:rsidRPr="001F5433">
        <w:rPr>
          <w:b/>
          <w:i/>
          <w:lang w:val="en-GB"/>
        </w:rPr>
        <w:t xml:space="preserve">“University of Oxford” </w:t>
      </w:r>
      <w:r w:rsidRPr="001F5433">
        <w:rPr>
          <w:lang w:val="en-GB"/>
        </w:rPr>
        <w:t xml:space="preserve">is placed in the fourth position. There are three more universities finding a place in the top 50 universities in the world and more than 85 UK universities present in the list (topuniversities, 2022). Thus, the level of competition is very high in the higher education sector of the UK. This has a negative impact on the credibility and competency of UWTSD and so the competitive rivalry is </w:t>
      </w:r>
      <w:r w:rsidRPr="001F5433">
        <w:rPr>
          <w:b/>
          <w:i/>
          <w:lang w:val="en-GB"/>
        </w:rPr>
        <w:t xml:space="preserve">high. </w:t>
      </w:r>
      <w:r w:rsidRPr="001F5433">
        <w:rPr>
          <w:lang w:val="en-GB"/>
        </w:rPr>
        <w:t xml:space="preserve">  </w:t>
      </w:r>
      <w:r w:rsidRPr="001F5433">
        <w:rPr>
          <w:lang w:val="en-GB"/>
        </w:rPr>
        <w:br w:type="page"/>
      </w:r>
    </w:p>
    <w:p w:rsidR="008C53B5" w:rsidRPr="001F5433" w:rsidRDefault="00F663C1">
      <w:pPr>
        <w:pStyle w:val="Heading1"/>
        <w:rPr>
          <w:lang w:val="en-GB"/>
        </w:rPr>
      </w:pPr>
      <w:bookmarkStart w:id="5" w:name="_g7jpag5b0wo4" w:colFirst="0" w:colLast="0"/>
      <w:bookmarkEnd w:id="5"/>
      <w:r w:rsidRPr="001F5433">
        <w:rPr>
          <w:lang w:val="en-GB"/>
        </w:rPr>
        <w:lastRenderedPageBreak/>
        <w:t xml:space="preserve">Conclusion </w:t>
      </w:r>
    </w:p>
    <w:p w:rsidR="008C53B5" w:rsidRPr="001F5433" w:rsidRDefault="00F663C1">
      <w:pPr>
        <w:pStyle w:val="normal0"/>
        <w:spacing w:line="360" w:lineRule="auto"/>
        <w:jc w:val="both"/>
        <w:rPr>
          <w:lang w:val="en-GB"/>
        </w:rPr>
      </w:pPr>
      <w:r w:rsidRPr="001F5433">
        <w:rPr>
          <w:lang w:val="en-GB"/>
        </w:rPr>
        <w:t xml:space="preserve">This report provides a detailed analysis of the global business environment of the UK higher education sector. The pestel framework determines the external factors affecting the sector both positively and negatively. These include the government support, Brexit, rising inflation, technological advancements, sustainability, environmental laws, freedom of speech and more. The five forces analysis determines the competitiveness of the sector which can be considered to be highly competitive. The suppliers have a moderate power whereas the buyers of the sector have high power due to multiple options available to them. Thus, the positive and negative </w:t>
      </w:r>
      <w:r w:rsidR="001F5433" w:rsidRPr="001F5433">
        <w:rPr>
          <w:lang w:val="en-GB"/>
        </w:rPr>
        <w:t>impact of these factors on UWTSD has</w:t>
      </w:r>
      <w:r w:rsidRPr="001F5433">
        <w:rPr>
          <w:lang w:val="en-GB"/>
        </w:rPr>
        <w:t xml:space="preserve"> been discussed with proper explanation. </w:t>
      </w:r>
    </w:p>
    <w:p w:rsidR="008C53B5" w:rsidRPr="001F5433" w:rsidRDefault="00F663C1">
      <w:pPr>
        <w:pStyle w:val="normal0"/>
        <w:spacing w:line="360" w:lineRule="auto"/>
        <w:jc w:val="both"/>
        <w:rPr>
          <w:lang w:val="en-GB"/>
        </w:rPr>
      </w:pPr>
      <w:r w:rsidRPr="001F5433">
        <w:rPr>
          <w:lang w:val="en-GB"/>
        </w:rPr>
        <w:br w:type="page"/>
      </w:r>
    </w:p>
    <w:p w:rsidR="008C53B5" w:rsidRPr="001F5433" w:rsidRDefault="00F663C1">
      <w:pPr>
        <w:pStyle w:val="Heading1"/>
        <w:rPr>
          <w:lang w:val="en-GB"/>
        </w:rPr>
      </w:pPr>
      <w:bookmarkStart w:id="6" w:name="_5ngdoadb5fe7" w:colFirst="0" w:colLast="0"/>
      <w:bookmarkEnd w:id="6"/>
      <w:r w:rsidRPr="001F5433">
        <w:rPr>
          <w:lang w:val="en-GB"/>
        </w:rPr>
        <w:lastRenderedPageBreak/>
        <w:t xml:space="preserve">References </w:t>
      </w:r>
    </w:p>
    <w:p w:rsidR="001F5433" w:rsidRPr="001F5433" w:rsidRDefault="001F5433" w:rsidP="001F5433">
      <w:pPr>
        <w:pStyle w:val="normal0"/>
        <w:spacing w:line="360" w:lineRule="auto"/>
        <w:jc w:val="both"/>
        <w:rPr>
          <w:lang w:val="en-GB"/>
        </w:rPr>
      </w:pPr>
      <w:r w:rsidRPr="001F5433">
        <w:rPr>
          <w:lang w:val="en-GB"/>
        </w:rPr>
        <w:t>Alsharari, N.M., 2018. Internationalization of the higher education system: an interpretive analysis. International Journal of Educational Management.</w:t>
      </w:r>
    </w:p>
    <w:p w:rsidR="001F5433" w:rsidRPr="001F5433" w:rsidRDefault="001F5433" w:rsidP="001F5433">
      <w:pPr>
        <w:pStyle w:val="normal0"/>
        <w:spacing w:line="360" w:lineRule="auto"/>
        <w:jc w:val="both"/>
        <w:rPr>
          <w:lang w:val="en-GB"/>
        </w:rPr>
      </w:pPr>
      <w:r w:rsidRPr="001F5433">
        <w:rPr>
          <w:lang w:val="en-GB"/>
        </w:rPr>
        <w:t>Bhagra, A. and Sharma, D.K., 2018. Changing paradigm of employability skills in the global business world: A review. IUP Journal of Soft Skills, 12(2).</w:t>
      </w:r>
    </w:p>
    <w:p w:rsidR="001F5433" w:rsidRPr="001F5433" w:rsidRDefault="001F5433" w:rsidP="001F5433">
      <w:pPr>
        <w:pStyle w:val="normal0"/>
        <w:spacing w:line="360" w:lineRule="auto"/>
        <w:jc w:val="both"/>
        <w:rPr>
          <w:lang w:val="en-GB"/>
        </w:rPr>
      </w:pPr>
      <w:r w:rsidRPr="001F5433">
        <w:rPr>
          <w:lang w:val="en-GB"/>
        </w:rPr>
        <w:t>Blackledge, J., 2021. Thoughts on the future of higher education in the UK: A personal view with a historical context. Education Sciences, 11(9), p.474.</w:t>
      </w:r>
    </w:p>
    <w:p w:rsidR="001F5433" w:rsidRPr="001F5433" w:rsidRDefault="001F5433" w:rsidP="001F5433">
      <w:pPr>
        <w:pStyle w:val="normal0"/>
        <w:spacing w:line="360" w:lineRule="auto"/>
        <w:jc w:val="both"/>
        <w:rPr>
          <w:lang w:val="en-GB"/>
        </w:rPr>
      </w:pPr>
      <w:r w:rsidRPr="001F5433">
        <w:rPr>
          <w:lang w:val="en-GB"/>
        </w:rPr>
        <w:t>Bruijl, D. and Gerard, H.T., 2018. The relevance of Porter's five forces in today's innovative and changing business environment. Available at SSRN 3192207.</w:t>
      </w:r>
    </w:p>
    <w:p w:rsidR="001F5433" w:rsidRPr="001F5433" w:rsidRDefault="001F5433" w:rsidP="001F5433">
      <w:pPr>
        <w:pStyle w:val="normal0"/>
        <w:spacing w:line="360" w:lineRule="auto"/>
        <w:jc w:val="both"/>
        <w:rPr>
          <w:lang w:val="en-GB"/>
        </w:rPr>
      </w:pPr>
      <w:r w:rsidRPr="001F5433">
        <w:rPr>
          <w:lang w:val="en-GB"/>
        </w:rPr>
        <w:t>Dunn, T.J. and Kennedy, M., 2019. Technology enhanced learning in higher education; motivations, engagement and academic achievement. Computers &amp; Education, 137, pp.104-113.</w:t>
      </w:r>
    </w:p>
    <w:p w:rsidR="001F5433" w:rsidRPr="001F5433" w:rsidRDefault="001F5433" w:rsidP="001F5433">
      <w:pPr>
        <w:pStyle w:val="normal0"/>
        <w:spacing w:line="360" w:lineRule="auto"/>
        <w:jc w:val="both"/>
        <w:rPr>
          <w:lang w:val="en-GB"/>
        </w:rPr>
      </w:pPr>
      <w:r w:rsidRPr="001F5433">
        <w:rPr>
          <w:lang w:val="en-GB"/>
        </w:rPr>
        <w:t>Gbadamosi, A., 2018. The anatomy of international students’ acculturation in UK universities. Industry and Higher Education, 32(2), pp.129-138.</w:t>
      </w:r>
    </w:p>
    <w:p w:rsidR="001F5433" w:rsidRPr="001F5433" w:rsidRDefault="001F5433" w:rsidP="001F5433">
      <w:pPr>
        <w:pStyle w:val="normal0"/>
        <w:spacing w:line="360" w:lineRule="auto"/>
        <w:jc w:val="both"/>
        <w:rPr>
          <w:lang w:val="en-GB"/>
        </w:rPr>
      </w:pPr>
      <w:r w:rsidRPr="001F5433">
        <w:rPr>
          <w:lang w:val="en-GB"/>
        </w:rPr>
        <w:t>Granger, R.C. and Bazaz, P., 2018. The Art of Disruption. Creative learning and disruption in the higher education sector.</w:t>
      </w:r>
    </w:p>
    <w:p w:rsidR="001F5433" w:rsidRPr="001F5433" w:rsidRDefault="001F5433" w:rsidP="001F5433">
      <w:pPr>
        <w:pStyle w:val="normal0"/>
        <w:spacing w:line="360" w:lineRule="auto"/>
        <w:jc w:val="both"/>
        <w:rPr>
          <w:lang w:val="en-GB"/>
        </w:rPr>
      </w:pPr>
      <w:r w:rsidRPr="001F5433">
        <w:rPr>
          <w:lang w:val="en-GB"/>
        </w:rPr>
        <w:t xml:space="preserve">legislation.gov.uk (2022) </w:t>
      </w:r>
      <w:r w:rsidRPr="001F5433">
        <w:rPr>
          <w:i/>
          <w:lang w:val="en-GB"/>
        </w:rPr>
        <w:t>Environment act 2021</w:t>
      </w:r>
      <w:r w:rsidRPr="001F5433">
        <w:rPr>
          <w:lang w:val="en-GB"/>
        </w:rPr>
        <w:t xml:space="preserve">, </w:t>
      </w:r>
      <w:r w:rsidRPr="001F5433">
        <w:rPr>
          <w:i/>
          <w:lang w:val="en-GB"/>
        </w:rPr>
        <w:t>Legislation.gov.uk</w:t>
      </w:r>
      <w:r w:rsidRPr="001F5433">
        <w:rPr>
          <w:lang w:val="en-GB"/>
        </w:rPr>
        <w:t xml:space="preserve">. Queen's Printer of Acts of Parliament. Available at: https://www.legislation.gov.uk/ukpga/2021/30/contents/enacted (Accessed: October 10, 2022). </w:t>
      </w:r>
    </w:p>
    <w:p w:rsidR="001F5433" w:rsidRPr="001F5433" w:rsidRDefault="001F5433" w:rsidP="001F5433">
      <w:pPr>
        <w:pStyle w:val="normal0"/>
        <w:spacing w:line="360" w:lineRule="auto"/>
        <w:jc w:val="both"/>
        <w:rPr>
          <w:lang w:val="en-GB"/>
        </w:rPr>
      </w:pPr>
      <w:r w:rsidRPr="001F5433">
        <w:rPr>
          <w:lang w:val="en-GB"/>
        </w:rPr>
        <w:t>Lomer, S., Papatsiba, V. and Naidoo, R., 2018. Constructing a national higher education brand for the UK: Positional competition and promised capitals. Studies in Higher Education, 43(1), pp.134-153.</w:t>
      </w:r>
    </w:p>
    <w:p w:rsidR="001F5433" w:rsidRPr="001F5433" w:rsidRDefault="001F5433" w:rsidP="001F5433">
      <w:pPr>
        <w:pStyle w:val="normal0"/>
        <w:spacing w:line="360" w:lineRule="auto"/>
        <w:jc w:val="both"/>
        <w:rPr>
          <w:lang w:val="en-GB"/>
        </w:rPr>
      </w:pPr>
      <w:r w:rsidRPr="001F5433">
        <w:rPr>
          <w:lang w:val="en-GB"/>
        </w:rPr>
        <w:t>Marginson, S., 2018. Global trends in higher education financing: The United Kingdom. International Journal of Educational Development, 58, pp.26-36.</w:t>
      </w:r>
    </w:p>
    <w:p w:rsidR="001F5433" w:rsidRPr="001F5433" w:rsidRDefault="001F5433" w:rsidP="001F5433">
      <w:pPr>
        <w:pStyle w:val="normal0"/>
        <w:spacing w:line="360" w:lineRule="auto"/>
        <w:jc w:val="both"/>
        <w:rPr>
          <w:lang w:val="en-GB"/>
        </w:rPr>
      </w:pPr>
      <w:r w:rsidRPr="001F5433">
        <w:rPr>
          <w:lang w:val="en-GB"/>
        </w:rPr>
        <w:t>Mayhew, K., 2022. Brexit and UK higher education. Oxford Review of Economic Policy, 38(1), pp.179-187.</w:t>
      </w:r>
    </w:p>
    <w:p w:rsidR="001F5433" w:rsidRPr="001F5433" w:rsidRDefault="001F5433" w:rsidP="001F5433">
      <w:pPr>
        <w:pStyle w:val="normal0"/>
        <w:spacing w:line="360" w:lineRule="auto"/>
        <w:jc w:val="both"/>
        <w:rPr>
          <w:lang w:val="en-GB"/>
        </w:rPr>
      </w:pPr>
      <w:r w:rsidRPr="001F5433">
        <w:rPr>
          <w:lang w:val="en-GB"/>
        </w:rPr>
        <w:t>Munge, B., Thomas, G. and Heck, D., 2018. Outdoor fieldwork in higher education: Learning from multidisciplinary experience. Journal of Experiential Education, 41(1), pp.39-53.</w:t>
      </w:r>
    </w:p>
    <w:p w:rsidR="001F5433" w:rsidRPr="001F5433" w:rsidRDefault="001F5433" w:rsidP="001F5433">
      <w:pPr>
        <w:pStyle w:val="normal0"/>
        <w:spacing w:line="360" w:lineRule="auto"/>
        <w:jc w:val="both"/>
        <w:rPr>
          <w:lang w:val="en-GB"/>
        </w:rPr>
      </w:pPr>
      <w:r w:rsidRPr="001F5433">
        <w:rPr>
          <w:lang w:val="en-GB"/>
        </w:rPr>
        <w:t>Musselin, C., 2018. New forms of competition in higher education. Socio-Economic Review, 16(3), pp.657-683.</w:t>
      </w:r>
    </w:p>
    <w:p w:rsidR="001F5433" w:rsidRPr="001F5433" w:rsidRDefault="001F5433" w:rsidP="001F5433">
      <w:pPr>
        <w:pStyle w:val="normal0"/>
        <w:spacing w:line="360" w:lineRule="auto"/>
        <w:jc w:val="both"/>
        <w:rPr>
          <w:lang w:val="en-GB"/>
        </w:rPr>
      </w:pPr>
      <w:r w:rsidRPr="001F5433">
        <w:rPr>
          <w:lang w:val="en-GB"/>
        </w:rPr>
        <w:t xml:space="preserve">ons.gov.uk (2022) </w:t>
      </w:r>
      <w:r w:rsidRPr="001F5433">
        <w:rPr>
          <w:i/>
          <w:lang w:val="en-GB"/>
        </w:rPr>
        <w:t>Consumer price inflation, UK: August 2022</w:t>
      </w:r>
      <w:r w:rsidRPr="001F5433">
        <w:rPr>
          <w:lang w:val="en-GB"/>
        </w:rPr>
        <w:t xml:space="preserve">, </w:t>
      </w:r>
      <w:r w:rsidRPr="001F5433">
        <w:rPr>
          <w:i/>
          <w:lang w:val="en-GB"/>
        </w:rPr>
        <w:t>Consumer price inflation, UK - Office for National Statistics</w:t>
      </w:r>
      <w:r w:rsidRPr="001F5433">
        <w:rPr>
          <w:lang w:val="en-GB"/>
        </w:rPr>
        <w:t xml:space="preserve">. Office for National Statistics. Available at: https://www.ons.gov.uk/economy/inflationandpriceindices/bulletins/consumerpriceinflation/august2022 (Accessed: October 10, 2022). </w:t>
      </w:r>
    </w:p>
    <w:p w:rsidR="001F5433" w:rsidRPr="001F5433" w:rsidRDefault="001F5433" w:rsidP="001F5433">
      <w:pPr>
        <w:pStyle w:val="normal0"/>
        <w:spacing w:line="360" w:lineRule="auto"/>
        <w:jc w:val="both"/>
        <w:rPr>
          <w:lang w:val="en-GB"/>
        </w:rPr>
      </w:pPr>
      <w:r w:rsidRPr="001F5433">
        <w:rPr>
          <w:lang w:val="en-GB"/>
        </w:rPr>
        <w:t>Pan, W., Chen, L. and Zhan, W., 2019. PESTEL analysis of construction productivity enhancement strategies: A case study of three economies. Journal of Management in Engineering, 35(1), p.05018013.</w:t>
      </w:r>
    </w:p>
    <w:p w:rsidR="001F5433" w:rsidRPr="001F5433" w:rsidRDefault="001F5433" w:rsidP="001F5433">
      <w:pPr>
        <w:pStyle w:val="normal0"/>
        <w:spacing w:line="360" w:lineRule="auto"/>
        <w:jc w:val="both"/>
        <w:rPr>
          <w:lang w:val="en-GB"/>
        </w:rPr>
      </w:pPr>
      <w:r w:rsidRPr="001F5433">
        <w:rPr>
          <w:lang w:val="en-GB"/>
        </w:rPr>
        <w:lastRenderedPageBreak/>
        <w:t xml:space="preserve">qaa.ac.uk (2022) </w:t>
      </w:r>
      <w:r w:rsidRPr="001F5433">
        <w:rPr>
          <w:i/>
          <w:lang w:val="en-GB"/>
        </w:rPr>
        <w:t>The UK's quality body for Higher Education, The Quality Assurance Agency for Higher Education.</w:t>
      </w:r>
      <w:r w:rsidRPr="001F5433">
        <w:rPr>
          <w:lang w:val="en-GB"/>
        </w:rPr>
        <w:t xml:space="preserve"> Available at: https://www.qaa.ac.uk/ (Accessed: October 10, 2022). </w:t>
      </w:r>
    </w:p>
    <w:p w:rsidR="001F5433" w:rsidRPr="001F5433" w:rsidRDefault="001F5433" w:rsidP="001F5433">
      <w:pPr>
        <w:pStyle w:val="normal0"/>
        <w:spacing w:line="360" w:lineRule="auto"/>
        <w:jc w:val="both"/>
        <w:rPr>
          <w:lang w:val="en-GB"/>
        </w:rPr>
      </w:pPr>
      <w:r w:rsidRPr="001F5433">
        <w:rPr>
          <w:lang w:val="en-GB"/>
        </w:rPr>
        <w:t>Shields, R., 2019. The sustainability of international higher education: Student mobility and global climate change. Journal of Cleaner Production, 217, pp.594-602.</w:t>
      </w:r>
    </w:p>
    <w:p w:rsidR="001F5433" w:rsidRPr="001F5433" w:rsidRDefault="001F5433" w:rsidP="001F5433">
      <w:pPr>
        <w:pStyle w:val="normal0"/>
        <w:spacing w:line="360" w:lineRule="auto"/>
        <w:jc w:val="both"/>
        <w:rPr>
          <w:lang w:val="en-GB"/>
        </w:rPr>
      </w:pPr>
      <w:r w:rsidRPr="001F5433">
        <w:rPr>
          <w:lang w:val="en-GB"/>
        </w:rPr>
        <w:t xml:space="preserve">Statista (2022) </w:t>
      </w:r>
      <w:r w:rsidRPr="001F5433">
        <w:rPr>
          <w:i/>
          <w:lang w:val="en-GB"/>
        </w:rPr>
        <w:t>Topic: Higher education in the UK</w:t>
      </w:r>
      <w:r w:rsidRPr="001F5433">
        <w:rPr>
          <w:lang w:val="en-GB"/>
        </w:rPr>
        <w:t xml:space="preserve">, </w:t>
      </w:r>
      <w:r w:rsidRPr="001F5433">
        <w:rPr>
          <w:i/>
          <w:lang w:val="en-GB"/>
        </w:rPr>
        <w:t>Statista</w:t>
      </w:r>
      <w:r w:rsidRPr="001F5433">
        <w:rPr>
          <w:lang w:val="en-GB"/>
        </w:rPr>
        <w:t xml:space="preserve">. Available at: https://www.statista.com/topics/6938/higher-education-in-the-uk/#topicHeader__wrapper (Accessed: October 10, 2022). </w:t>
      </w:r>
    </w:p>
    <w:p w:rsidR="001F5433" w:rsidRPr="001F5433" w:rsidRDefault="001F5433" w:rsidP="001F5433">
      <w:pPr>
        <w:pStyle w:val="normal0"/>
        <w:spacing w:line="360" w:lineRule="auto"/>
        <w:jc w:val="both"/>
        <w:rPr>
          <w:lang w:val="en-GB"/>
        </w:rPr>
      </w:pPr>
      <w:r w:rsidRPr="001F5433">
        <w:rPr>
          <w:lang w:val="en-GB"/>
        </w:rPr>
        <w:t xml:space="preserve">Statista (2022) </w:t>
      </w:r>
      <w:r w:rsidRPr="001F5433">
        <w:rPr>
          <w:i/>
          <w:lang w:val="en-GB"/>
        </w:rPr>
        <w:t>UK education spending 2022,</w:t>
      </w:r>
      <w:r w:rsidRPr="001F5433">
        <w:rPr>
          <w:lang w:val="en-GB"/>
        </w:rPr>
        <w:t xml:space="preserve"> </w:t>
      </w:r>
      <w:r w:rsidRPr="001F5433">
        <w:rPr>
          <w:i/>
          <w:lang w:val="en-GB"/>
        </w:rPr>
        <w:t>Statista.</w:t>
      </w:r>
      <w:r w:rsidRPr="001F5433">
        <w:rPr>
          <w:lang w:val="en-GB"/>
        </w:rPr>
        <w:t xml:space="preserve"> Available at: https://www.statista.com/statistics/298522/education-spending-uk/ (Accessed: October 10, 2022). </w:t>
      </w:r>
    </w:p>
    <w:p w:rsidR="001F5433" w:rsidRPr="001F5433" w:rsidRDefault="001F5433" w:rsidP="001F5433">
      <w:pPr>
        <w:pStyle w:val="normal0"/>
        <w:spacing w:line="360" w:lineRule="auto"/>
        <w:jc w:val="both"/>
        <w:rPr>
          <w:lang w:val="en-GB"/>
        </w:rPr>
      </w:pPr>
      <w:r w:rsidRPr="001F5433">
        <w:rPr>
          <w:lang w:val="en-GB"/>
        </w:rPr>
        <w:t xml:space="preserve">theguardian.com (2017) </w:t>
      </w:r>
      <w:r w:rsidRPr="001F5433">
        <w:rPr>
          <w:i/>
          <w:lang w:val="en-GB"/>
        </w:rPr>
        <w:t>Sexual harassment 'at Epidemic Levels' in UK universities</w:t>
      </w:r>
      <w:r w:rsidRPr="001F5433">
        <w:rPr>
          <w:lang w:val="en-GB"/>
        </w:rPr>
        <w:t xml:space="preserve">, </w:t>
      </w:r>
      <w:r w:rsidRPr="001F5433">
        <w:rPr>
          <w:i/>
          <w:lang w:val="en-GB"/>
        </w:rPr>
        <w:t>The Guardian</w:t>
      </w:r>
      <w:r w:rsidRPr="001F5433">
        <w:rPr>
          <w:lang w:val="en-GB"/>
        </w:rPr>
        <w:t xml:space="preserve">. Guardian News and Media. Available at: https://www.theguardian.com/education/2017/mar/05/students-staff-uk-universities-sexual-harassment-epidemic (Accessed: October 10, 2022). </w:t>
      </w:r>
    </w:p>
    <w:p w:rsidR="001F5433" w:rsidRPr="001F5433" w:rsidRDefault="001F5433" w:rsidP="001F5433">
      <w:pPr>
        <w:pStyle w:val="normal0"/>
        <w:spacing w:line="360" w:lineRule="auto"/>
        <w:jc w:val="both"/>
        <w:rPr>
          <w:lang w:val="en-GB"/>
        </w:rPr>
      </w:pPr>
      <w:r w:rsidRPr="001F5433">
        <w:rPr>
          <w:lang w:val="en-GB"/>
        </w:rPr>
        <w:t xml:space="preserve">topuniversities.com (2022) QS World University Rankings 2023: Top global universities, Top Universities. Available at: https://www.topuniversities.com/qs-top-uni-wur (Accessed: October 10, 2022). </w:t>
      </w:r>
    </w:p>
    <w:p w:rsidR="008C53B5" w:rsidRPr="001F5433" w:rsidRDefault="008C53B5">
      <w:pPr>
        <w:pStyle w:val="normal0"/>
        <w:spacing w:before="240" w:after="240" w:line="360" w:lineRule="auto"/>
        <w:jc w:val="both"/>
        <w:rPr>
          <w:lang w:val="en-GB"/>
        </w:rPr>
      </w:pPr>
    </w:p>
    <w:p w:rsidR="008C53B5" w:rsidRPr="001F5433" w:rsidRDefault="008C53B5">
      <w:pPr>
        <w:pStyle w:val="normal0"/>
        <w:spacing w:before="240" w:after="240" w:line="360" w:lineRule="auto"/>
        <w:jc w:val="both"/>
        <w:rPr>
          <w:lang w:val="en-GB"/>
        </w:rPr>
      </w:pPr>
    </w:p>
    <w:p w:rsidR="008C53B5" w:rsidRPr="001F5433" w:rsidRDefault="008C53B5">
      <w:pPr>
        <w:pStyle w:val="normal0"/>
        <w:spacing w:before="240" w:after="240" w:line="360" w:lineRule="auto"/>
        <w:jc w:val="both"/>
        <w:rPr>
          <w:lang w:val="en-GB"/>
        </w:rPr>
      </w:pPr>
    </w:p>
    <w:p w:rsidR="008C53B5" w:rsidRPr="001F5433" w:rsidRDefault="008C53B5">
      <w:pPr>
        <w:pStyle w:val="normal0"/>
        <w:spacing w:line="360" w:lineRule="auto"/>
        <w:jc w:val="both"/>
        <w:rPr>
          <w:lang w:val="en-GB"/>
        </w:rPr>
      </w:pPr>
    </w:p>
    <w:p w:rsidR="008C53B5" w:rsidRPr="001F5433" w:rsidRDefault="008C53B5">
      <w:pPr>
        <w:pStyle w:val="normal0"/>
        <w:rPr>
          <w:lang w:val="en-GB"/>
        </w:rPr>
      </w:pPr>
    </w:p>
    <w:p w:rsidR="008C53B5" w:rsidRPr="001F5433" w:rsidRDefault="008C53B5">
      <w:pPr>
        <w:pStyle w:val="normal0"/>
        <w:rPr>
          <w:lang w:val="en-GB"/>
        </w:rPr>
      </w:pPr>
    </w:p>
    <w:sectPr w:rsidR="008C53B5" w:rsidRPr="001F5433" w:rsidSect="008C53B5">
      <w:footerReference w:type="default" r:id="rId7"/>
      <w:pgSz w:w="11909" w:h="16834"/>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A398C" w:rsidRDefault="00DA398C" w:rsidP="008C53B5">
      <w:pPr>
        <w:spacing w:line="240" w:lineRule="auto"/>
      </w:pPr>
      <w:r>
        <w:separator/>
      </w:r>
    </w:p>
  </w:endnote>
  <w:endnote w:type="continuationSeparator" w:id="1">
    <w:p w:rsidR="00DA398C" w:rsidRDefault="00DA398C" w:rsidP="008C53B5">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53B5" w:rsidRDefault="0053574B">
    <w:pPr>
      <w:pStyle w:val="normal0"/>
      <w:jc w:val="right"/>
    </w:pPr>
    <w:r>
      <w:fldChar w:fldCharType="begin"/>
    </w:r>
    <w:r w:rsidR="00F663C1">
      <w:instrText>PAGE</w:instrText>
    </w:r>
    <w:r>
      <w:fldChar w:fldCharType="separate"/>
    </w:r>
    <w:r w:rsidR="00646356">
      <w:rPr>
        <w:noProof/>
      </w:rPr>
      <w:t>13</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A398C" w:rsidRDefault="00DA398C" w:rsidP="008C53B5">
      <w:pPr>
        <w:spacing w:line="240" w:lineRule="auto"/>
      </w:pPr>
      <w:r>
        <w:separator/>
      </w:r>
    </w:p>
  </w:footnote>
  <w:footnote w:type="continuationSeparator" w:id="1">
    <w:p w:rsidR="00DA398C" w:rsidRDefault="00DA398C" w:rsidP="008C53B5">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F4D1B16"/>
    <w:multiLevelType w:val="hybridMultilevel"/>
    <w:tmpl w:val="B67AEB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8C53B5"/>
    <w:rsid w:val="001F5433"/>
    <w:rsid w:val="0053574B"/>
    <w:rsid w:val="00646356"/>
    <w:rsid w:val="008C53B5"/>
    <w:rsid w:val="00DA398C"/>
    <w:rsid w:val="00F663C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574B"/>
  </w:style>
  <w:style w:type="paragraph" w:styleId="Heading1">
    <w:name w:val="heading 1"/>
    <w:basedOn w:val="normal0"/>
    <w:next w:val="normal0"/>
    <w:rsid w:val="008C53B5"/>
    <w:pPr>
      <w:keepNext/>
      <w:keepLines/>
      <w:spacing w:line="360" w:lineRule="auto"/>
      <w:jc w:val="both"/>
      <w:outlineLvl w:val="0"/>
    </w:pPr>
    <w:rPr>
      <w:b/>
    </w:rPr>
  </w:style>
  <w:style w:type="paragraph" w:styleId="Heading2">
    <w:name w:val="heading 2"/>
    <w:basedOn w:val="normal0"/>
    <w:next w:val="normal0"/>
    <w:rsid w:val="008C53B5"/>
    <w:pPr>
      <w:keepNext/>
      <w:keepLines/>
      <w:spacing w:line="360" w:lineRule="auto"/>
      <w:jc w:val="both"/>
      <w:outlineLvl w:val="1"/>
    </w:pPr>
    <w:rPr>
      <w:b/>
    </w:rPr>
  </w:style>
  <w:style w:type="paragraph" w:styleId="Heading3">
    <w:name w:val="heading 3"/>
    <w:basedOn w:val="normal0"/>
    <w:next w:val="normal0"/>
    <w:rsid w:val="008C53B5"/>
    <w:pPr>
      <w:keepNext/>
      <w:keepLines/>
      <w:spacing w:before="320" w:after="80"/>
      <w:outlineLvl w:val="2"/>
    </w:pPr>
    <w:rPr>
      <w:color w:val="434343"/>
      <w:sz w:val="28"/>
      <w:szCs w:val="28"/>
    </w:rPr>
  </w:style>
  <w:style w:type="paragraph" w:styleId="Heading4">
    <w:name w:val="heading 4"/>
    <w:basedOn w:val="normal0"/>
    <w:next w:val="normal0"/>
    <w:rsid w:val="008C53B5"/>
    <w:pPr>
      <w:keepNext/>
      <w:keepLines/>
      <w:spacing w:before="280" w:after="80"/>
      <w:outlineLvl w:val="3"/>
    </w:pPr>
    <w:rPr>
      <w:color w:val="666666"/>
      <w:sz w:val="24"/>
      <w:szCs w:val="24"/>
    </w:rPr>
  </w:style>
  <w:style w:type="paragraph" w:styleId="Heading5">
    <w:name w:val="heading 5"/>
    <w:basedOn w:val="normal0"/>
    <w:next w:val="normal0"/>
    <w:rsid w:val="008C53B5"/>
    <w:pPr>
      <w:keepNext/>
      <w:keepLines/>
      <w:spacing w:before="240" w:after="80"/>
      <w:outlineLvl w:val="4"/>
    </w:pPr>
    <w:rPr>
      <w:color w:val="666666"/>
    </w:rPr>
  </w:style>
  <w:style w:type="paragraph" w:styleId="Heading6">
    <w:name w:val="heading 6"/>
    <w:basedOn w:val="normal0"/>
    <w:next w:val="normal0"/>
    <w:rsid w:val="008C53B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8C53B5"/>
  </w:style>
  <w:style w:type="paragraph" w:styleId="Title">
    <w:name w:val="Title"/>
    <w:basedOn w:val="normal0"/>
    <w:next w:val="normal0"/>
    <w:rsid w:val="008C53B5"/>
    <w:pPr>
      <w:keepNext/>
      <w:keepLines/>
      <w:spacing w:after="60"/>
    </w:pPr>
    <w:rPr>
      <w:sz w:val="52"/>
      <w:szCs w:val="52"/>
    </w:rPr>
  </w:style>
  <w:style w:type="paragraph" w:styleId="Subtitle">
    <w:name w:val="Subtitle"/>
    <w:basedOn w:val="normal0"/>
    <w:next w:val="normal0"/>
    <w:rsid w:val="008C53B5"/>
    <w:pPr>
      <w:keepNext/>
      <w:keepLines/>
      <w:spacing w:after="320"/>
    </w:pPr>
    <w:rPr>
      <w:color w:val="666666"/>
      <w:sz w:val="30"/>
      <w:szCs w:val="30"/>
    </w:rPr>
  </w:style>
  <w:style w:type="table" w:customStyle="1" w:styleId="a">
    <w:basedOn w:val="TableNormal"/>
    <w:rsid w:val="008C53B5"/>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1F543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543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14</Pages>
  <Words>3169</Words>
  <Characters>18066</Characters>
  <Application>Microsoft Office Word</Application>
  <DocSecurity>0</DocSecurity>
  <Lines>150</Lines>
  <Paragraphs>42</Paragraphs>
  <ScaleCrop>false</ScaleCrop>
  <Company/>
  <LinksUpToDate>false</LinksUpToDate>
  <CharactersWithSpaces>21193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RT306</dc:creator>
  <cp:lastModifiedBy>user</cp:lastModifiedBy>
  <cp:revision>3</cp:revision>
  <dcterms:created xsi:type="dcterms:W3CDTF">2022-10-10T10:54:00Z</dcterms:created>
  <dcterms:modified xsi:type="dcterms:W3CDTF">2022-10-10T11:26:00Z</dcterms:modified>
</cp:coreProperties>
</file>