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2AFEA" w14:textId="77777777" w:rsidR="00C971EF" w:rsidRPr="00007C4F" w:rsidRDefault="00C971EF" w:rsidP="00007C4F">
      <w:pPr>
        <w:spacing w:line="360" w:lineRule="auto"/>
        <w:jc w:val="center"/>
        <w:rPr>
          <w:b/>
          <w:bCs/>
        </w:rPr>
      </w:pPr>
    </w:p>
    <w:p w14:paraId="5ECFD00E" w14:textId="382C2357" w:rsidR="00C971EF" w:rsidRPr="00607362" w:rsidRDefault="00187D07" w:rsidP="00007C4F">
      <w:pPr>
        <w:spacing w:line="360" w:lineRule="auto"/>
        <w:jc w:val="center"/>
        <w:rPr>
          <w:b/>
          <w:bCs/>
          <w:sz w:val="32"/>
          <w:szCs w:val="32"/>
        </w:rPr>
      </w:pPr>
      <w:r w:rsidRPr="00607362">
        <w:rPr>
          <w:b/>
          <w:bCs/>
          <w:sz w:val="32"/>
          <w:szCs w:val="32"/>
        </w:rPr>
        <w:t xml:space="preserve">BEng Manufacturing Systems Engineering, BEng </w:t>
      </w:r>
      <w:r w:rsidR="00607362" w:rsidRPr="00607362">
        <w:rPr>
          <w:b/>
          <w:bCs/>
          <w:sz w:val="32"/>
          <w:szCs w:val="32"/>
        </w:rPr>
        <w:t>Advanced</w:t>
      </w:r>
      <w:r w:rsidRPr="00607362">
        <w:rPr>
          <w:b/>
          <w:bCs/>
          <w:sz w:val="32"/>
          <w:szCs w:val="32"/>
        </w:rPr>
        <w:t xml:space="preserve"> Manufacturing Operations.</w:t>
      </w:r>
    </w:p>
    <w:p w14:paraId="1226B933" w14:textId="00C07533" w:rsidR="00187D07" w:rsidRPr="00607362" w:rsidRDefault="00187D07" w:rsidP="00007C4F">
      <w:pPr>
        <w:spacing w:line="360" w:lineRule="auto"/>
        <w:jc w:val="center"/>
        <w:rPr>
          <w:b/>
          <w:bCs/>
          <w:sz w:val="32"/>
          <w:szCs w:val="32"/>
        </w:rPr>
      </w:pPr>
      <w:r w:rsidRPr="00607362">
        <w:rPr>
          <w:b/>
          <w:bCs/>
          <w:sz w:val="32"/>
          <w:szCs w:val="32"/>
        </w:rPr>
        <w:t>Module: Control Technology</w:t>
      </w:r>
      <w:r w:rsidR="00007C4F" w:rsidRPr="00607362">
        <w:rPr>
          <w:b/>
          <w:bCs/>
          <w:sz w:val="32"/>
          <w:szCs w:val="32"/>
        </w:rPr>
        <w:t>, ACMA6001.</w:t>
      </w:r>
    </w:p>
    <w:p w14:paraId="1464A838" w14:textId="2F3DA69B" w:rsidR="00007C4F" w:rsidRPr="00607362" w:rsidRDefault="00007C4F" w:rsidP="00007C4F">
      <w:pPr>
        <w:spacing w:line="360" w:lineRule="auto"/>
        <w:jc w:val="center"/>
        <w:rPr>
          <w:b/>
          <w:bCs/>
          <w:sz w:val="32"/>
          <w:szCs w:val="32"/>
        </w:rPr>
      </w:pPr>
      <w:r w:rsidRPr="00607362">
        <w:rPr>
          <w:b/>
          <w:bCs/>
          <w:sz w:val="32"/>
          <w:szCs w:val="32"/>
        </w:rPr>
        <w:t>Assignment Title: Modelling Industrial Control Systems in MATLAB.</w:t>
      </w:r>
    </w:p>
    <w:p w14:paraId="1D2EFD12" w14:textId="3F760A4F" w:rsidR="00917725" w:rsidRPr="00607362" w:rsidRDefault="00917725" w:rsidP="00007C4F">
      <w:pPr>
        <w:spacing w:line="360" w:lineRule="auto"/>
        <w:jc w:val="center"/>
        <w:rPr>
          <w:b/>
          <w:bCs/>
          <w:sz w:val="32"/>
          <w:szCs w:val="32"/>
        </w:rPr>
      </w:pPr>
      <w:r w:rsidRPr="00607362">
        <w:rPr>
          <w:b/>
          <w:bCs/>
          <w:sz w:val="32"/>
          <w:szCs w:val="32"/>
        </w:rPr>
        <w:t xml:space="preserve">Submission deadline: 29/07/2024. </w:t>
      </w:r>
    </w:p>
    <w:p w14:paraId="0C380A96" w14:textId="005668BA" w:rsidR="00917725" w:rsidRDefault="00607362" w:rsidP="00007C4F">
      <w:pPr>
        <w:spacing w:line="360" w:lineRule="auto"/>
        <w:jc w:val="center"/>
        <w:rPr>
          <w:b/>
          <w:bCs/>
          <w:sz w:val="32"/>
          <w:szCs w:val="32"/>
        </w:rPr>
      </w:pPr>
      <w:r w:rsidRPr="00607362">
        <w:rPr>
          <w:b/>
          <w:bCs/>
          <w:sz w:val="32"/>
          <w:szCs w:val="32"/>
        </w:rPr>
        <w:t xml:space="preserve">Rhys Stroud – 2114318. </w:t>
      </w:r>
    </w:p>
    <w:p w14:paraId="72D05A89" w14:textId="77777777" w:rsidR="00CE5D35" w:rsidRDefault="00CE5D35" w:rsidP="00007C4F">
      <w:pPr>
        <w:spacing w:line="360" w:lineRule="auto"/>
        <w:jc w:val="center"/>
        <w:rPr>
          <w:b/>
          <w:bCs/>
          <w:sz w:val="32"/>
          <w:szCs w:val="32"/>
        </w:rPr>
      </w:pPr>
    </w:p>
    <w:p w14:paraId="0BC3D60B" w14:textId="77777777" w:rsidR="00CE5D35" w:rsidRDefault="00CE5D35" w:rsidP="00007C4F">
      <w:pPr>
        <w:spacing w:line="360" w:lineRule="auto"/>
        <w:jc w:val="center"/>
        <w:rPr>
          <w:b/>
          <w:bCs/>
          <w:sz w:val="32"/>
          <w:szCs w:val="32"/>
        </w:rPr>
      </w:pPr>
    </w:p>
    <w:p w14:paraId="0A5B0501" w14:textId="77777777" w:rsidR="00CE5D35" w:rsidRDefault="00CE5D35" w:rsidP="00007C4F">
      <w:pPr>
        <w:spacing w:line="360" w:lineRule="auto"/>
        <w:jc w:val="center"/>
        <w:rPr>
          <w:b/>
          <w:bCs/>
          <w:sz w:val="32"/>
          <w:szCs w:val="32"/>
        </w:rPr>
      </w:pPr>
    </w:p>
    <w:p w14:paraId="6982E5C1" w14:textId="77777777" w:rsidR="00CE5D35" w:rsidRDefault="00CE5D35" w:rsidP="00007C4F">
      <w:pPr>
        <w:spacing w:line="360" w:lineRule="auto"/>
        <w:jc w:val="center"/>
        <w:rPr>
          <w:b/>
          <w:bCs/>
          <w:sz w:val="32"/>
          <w:szCs w:val="32"/>
        </w:rPr>
      </w:pPr>
    </w:p>
    <w:p w14:paraId="04C8A56B" w14:textId="77777777" w:rsidR="00CE5D35" w:rsidRDefault="00CE5D35" w:rsidP="00007C4F">
      <w:pPr>
        <w:spacing w:line="360" w:lineRule="auto"/>
        <w:jc w:val="center"/>
        <w:rPr>
          <w:b/>
          <w:bCs/>
          <w:sz w:val="32"/>
          <w:szCs w:val="32"/>
        </w:rPr>
      </w:pPr>
    </w:p>
    <w:p w14:paraId="78E1620F" w14:textId="77777777" w:rsidR="00CE5D35" w:rsidRDefault="00CE5D35" w:rsidP="00CE5D35">
      <w:pPr>
        <w:spacing w:line="360" w:lineRule="auto"/>
        <w:rPr>
          <w:rFonts w:cs="Arial"/>
          <w:noProof/>
          <w:sz w:val="24"/>
          <w:szCs w:val="24"/>
        </w:rPr>
      </w:pPr>
    </w:p>
    <w:p w14:paraId="1FC6E881" w14:textId="77777777" w:rsidR="00CE5D35" w:rsidRDefault="00CE5D35" w:rsidP="00CE5D35">
      <w:pPr>
        <w:spacing w:line="360" w:lineRule="auto"/>
        <w:rPr>
          <w:rFonts w:cs="Arial"/>
          <w:noProof/>
          <w:sz w:val="24"/>
          <w:szCs w:val="24"/>
        </w:rPr>
      </w:pPr>
    </w:p>
    <w:p w14:paraId="1BE52555" w14:textId="77777777" w:rsidR="00CE5D35" w:rsidRDefault="00CE5D35" w:rsidP="00CE5D35">
      <w:pPr>
        <w:spacing w:line="360" w:lineRule="auto"/>
        <w:rPr>
          <w:rFonts w:cs="Arial"/>
          <w:noProof/>
          <w:sz w:val="24"/>
          <w:szCs w:val="24"/>
        </w:rPr>
      </w:pPr>
    </w:p>
    <w:p w14:paraId="68782EA0" w14:textId="77777777" w:rsidR="00CE5D35" w:rsidRDefault="00CE5D35" w:rsidP="00CE5D35">
      <w:pPr>
        <w:spacing w:line="360" w:lineRule="auto"/>
        <w:rPr>
          <w:rFonts w:cs="Arial"/>
          <w:noProof/>
          <w:sz w:val="24"/>
          <w:szCs w:val="24"/>
        </w:rPr>
      </w:pPr>
    </w:p>
    <w:p w14:paraId="03923F3F" w14:textId="77777777" w:rsidR="00CE5D35" w:rsidRDefault="00CE5D35" w:rsidP="00CE5D35">
      <w:pPr>
        <w:spacing w:line="360" w:lineRule="auto"/>
        <w:rPr>
          <w:rFonts w:cs="Arial"/>
          <w:noProof/>
          <w:sz w:val="24"/>
          <w:szCs w:val="24"/>
        </w:rPr>
      </w:pPr>
    </w:p>
    <w:p w14:paraId="054CB002" w14:textId="77777777" w:rsidR="00CE5D35" w:rsidRDefault="00CE5D35" w:rsidP="00CE5D35">
      <w:pPr>
        <w:spacing w:line="360" w:lineRule="auto"/>
        <w:rPr>
          <w:rFonts w:cs="Arial"/>
          <w:noProof/>
          <w:sz w:val="24"/>
          <w:szCs w:val="24"/>
        </w:rPr>
      </w:pPr>
    </w:p>
    <w:p w14:paraId="0DDF1A03" w14:textId="77777777" w:rsidR="00B65B38" w:rsidRDefault="00CE5D35" w:rsidP="002E4E64">
      <w:pPr>
        <w:spacing w:line="360" w:lineRule="auto"/>
        <w:rPr>
          <w:b/>
          <w:bCs/>
          <w:sz w:val="32"/>
          <w:szCs w:val="32"/>
        </w:rPr>
      </w:pPr>
      <w:r w:rsidRPr="00E15CF7">
        <w:rPr>
          <w:rFonts w:cs="Arial"/>
          <w:noProof/>
          <w:sz w:val="24"/>
          <w:szCs w:val="24"/>
        </w:rPr>
        <w:drawing>
          <wp:inline distT="0" distB="0" distL="0" distR="0" wp14:anchorId="242E2170" wp14:editId="18C58634">
            <wp:extent cx="2038350" cy="1057275"/>
            <wp:effectExtent l="0" t="0" r="0" b="0"/>
            <wp:docPr id="26" name="Picture 2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038350" cy="1057275"/>
                    </a:xfrm>
                    <a:prstGeom prst="rect">
                      <a:avLst/>
                    </a:prstGeom>
                    <a:noFill/>
                    <a:ln>
                      <a:noFill/>
                    </a:ln>
                  </pic:spPr>
                </pic:pic>
              </a:graphicData>
            </a:graphic>
          </wp:inline>
        </w:drawing>
      </w:r>
      <w:r w:rsidR="006D45E5">
        <w:rPr>
          <w:rFonts w:cs="Arial"/>
          <w:noProof/>
          <w:sz w:val="24"/>
          <w:szCs w:val="24"/>
        </w:rPr>
        <w:t xml:space="preserve">                               </w:t>
      </w:r>
      <w:r w:rsidR="006D45E5" w:rsidRPr="00E15CF7">
        <w:rPr>
          <w:rFonts w:cs="Arial"/>
          <w:noProof/>
          <w:sz w:val="24"/>
          <w:szCs w:val="24"/>
        </w:rPr>
        <w:drawing>
          <wp:inline distT="0" distB="0" distL="0" distR="0" wp14:anchorId="49323F1E" wp14:editId="70D6EAE3">
            <wp:extent cx="2333625" cy="1085850"/>
            <wp:effectExtent l="0" t="0" r="9525" b="0"/>
            <wp:docPr id="28" name="Picture 28" descr="TATA-Steel logo - ETN ATH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TA-Steel logo - ETN ATHO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33625" cy="1085850"/>
                    </a:xfrm>
                    <a:prstGeom prst="rect">
                      <a:avLst/>
                    </a:prstGeom>
                    <a:noFill/>
                    <a:ln>
                      <a:noFill/>
                    </a:ln>
                  </pic:spPr>
                </pic:pic>
              </a:graphicData>
            </a:graphic>
          </wp:inline>
        </w:drawing>
      </w:r>
    </w:p>
    <w:p w14:paraId="37EAB663" w14:textId="249F49CE" w:rsidR="00C971EF" w:rsidRPr="00B65B38" w:rsidRDefault="006D45E5" w:rsidP="002E4E64">
      <w:pPr>
        <w:spacing w:line="360" w:lineRule="auto"/>
        <w:rPr>
          <w:b/>
          <w:bCs/>
          <w:sz w:val="32"/>
          <w:szCs w:val="32"/>
        </w:rPr>
      </w:pPr>
      <w:r>
        <w:rPr>
          <w:b/>
          <w:bCs/>
          <w:u w:val="single"/>
        </w:rPr>
        <w:lastRenderedPageBreak/>
        <w:t xml:space="preserve">Table of Content. </w:t>
      </w:r>
    </w:p>
    <w:p w14:paraId="09512FB8" w14:textId="536A7776" w:rsidR="00C971EF" w:rsidRPr="00EB0607" w:rsidRDefault="006D45E5" w:rsidP="002E4E64">
      <w:pPr>
        <w:spacing w:line="360" w:lineRule="auto"/>
      </w:pPr>
      <w:r w:rsidRPr="00EB0607">
        <w:t xml:space="preserve">Task 1 – Process control system – Thermocouples </w:t>
      </w:r>
      <w:r w:rsidR="00A66096" w:rsidRPr="00EB0607">
        <w:t>…………………………………</w:t>
      </w:r>
      <w:r w:rsidR="00593426">
        <w:t>…….</w:t>
      </w:r>
      <w:r w:rsidR="00A66096" w:rsidRPr="00EB0607">
        <w:t>P</w:t>
      </w:r>
      <w:r w:rsidR="00066940" w:rsidRPr="00EB0607">
        <w:t>4-</w:t>
      </w:r>
      <w:r w:rsidR="00B65B38">
        <w:t>9</w:t>
      </w:r>
      <w:r w:rsidR="00066940" w:rsidRPr="00EB0607">
        <w:t>.</w:t>
      </w:r>
    </w:p>
    <w:p w14:paraId="456426E4" w14:textId="5AFD4EDE" w:rsidR="00C971EF" w:rsidRPr="00EB0607" w:rsidRDefault="00066940" w:rsidP="00066940">
      <w:pPr>
        <w:spacing w:line="360" w:lineRule="auto"/>
      </w:pPr>
      <w:r w:rsidRPr="00EB0607">
        <w:t>Task 2 – Cruise control system</w:t>
      </w:r>
      <w:r w:rsidR="00EB0607" w:rsidRPr="00EB0607">
        <w:t xml:space="preserve"> ……………………………………………………</w:t>
      </w:r>
      <w:r w:rsidR="00593426">
        <w:t>………</w:t>
      </w:r>
      <w:r w:rsidR="00EB0607" w:rsidRPr="00EB0607">
        <w:t>.P</w:t>
      </w:r>
      <w:r w:rsidR="00B65B38">
        <w:t>9</w:t>
      </w:r>
      <w:r w:rsidR="00EB0607" w:rsidRPr="00EB0607">
        <w:t>-</w:t>
      </w:r>
      <w:r w:rsidR="00B65B38">
        <w:t>15</w:t>
      </w:r>
      <w:r w:rsidR="00EB0607" w:rsidRPr="00EB0607">
        <w:t xml:space="preserve">.    </w:t>
      </w:r>
    </w:p>
    <w:p w14:paraId="48FC8915" w14:textId="4BDFC842" w:rsidR="00EA78F9" w:rsidRPr="00EB0607" w:rsidRDefault="00EB0607" w:rsidP="002E4E64">
      <w:pPr>
        <w:spacing w:line="360" w:lineRule="auto"/>
      </w:pPr>
      <w:r>
        <w:t>References</w:t>
      </w:r>
      <w:r w:rsidR="00593426">
        <w:t xml:space="preserve"> ……………………………………………………………………………………P1</w:t>
      </w:r>
      <w:r w:rsidR="00B65B38">
        <w:t>6</w:t>
      </w:r>
      <w:r w:rsidR="00593426">
        <w:t>-1</w:t>
      </w:r>
      <w:r w:rsidR="00B65B38">
        <w:t>7</w:t>
      </w:r>
      <w:r w:rsidR="00593426">
        <w:t>.</w:t>
      </w:r>
    </w:p>
    <w:p w14:paraId="322FCB71" w14:textId="6AE2FB48" w:rsidR="00C971EF" w:rsidRPr="00593426" w:rsidRDefault="00593426" w:rsidP="002E4E64">
      <w:pPr>
        <w:spacing w:line="360" w:lineRule="auto"/>
        <w:rPr>
          <w:b/>
          <w:bCs/>
          <w:u w:val="single"/>
        </w:rPr>
      </w:pPr>
      <w:r w:rsidRPr="00593426">
        <w:rPr>
          <w:b/>
          <w:bCs/>
          <w:u w:val="single"/>
        </w:rPr>
        <w:t>Table of Figures.</w:t>
      </w:r>
    </w:p>
    <w:p w14:paraId="718136F5" w14:textId="77777777" w:rsidR="00593426" w:rsidRPr="00BF2B45" w:rsidRDefault="00593426" w:rsidP="00BF2B45">
      <w:pPr>
        <w:spacing w:line="240" w:lineRule="auto"/>
        <w:rPr>
          <w:rFonts w:cs="Arial"/>
          <w:sz w:val="20"/>
          <w:szCs w:val="20"/>
        </w:rPr>
      </w:pPr>
      <w:r w:rsidRPr="00BF2B45">
        <w:rPr>
          <w:rFonts w:cs="Arial"/>
          <w:sz w:val="20"/>
          <w:szCs w:val="20"/>
        </w:rPr>
        <w:t>Figure 1.0 – Schematic diagram of the Seebeck effect in order.</w:t>
      </w:r>
    </w:p>
    <w:p w14:paraId="2260BA3A" w14:textId="77777777" w:rsidR="00593426" w:rsidRPr="00BF2B45" w:rsidRDefault="00593426" w:rsidP="00BF2B45">
      <w:pPr>
        <w:spacing w:line="240" w:lineRule="auto"/>
        <w:rPr>
          <w:rFonts w:cs="Arial"/>
          <w:sz w:val="20"/>
          <w:szCs w:val="20"/>
        </w:rPr>
      </w:pPr>
      <w:r w:rsidRPr="00BF2B45">
        <w:rPr>
          <w:rFonts w:cs="Arial"/>
          <w:sz w:val="20"/>
          <w:szCs w:val="20"/>
        </w:rPr>
        <w:t xml:space="preserve">Figure 2.0 – Schematic diagram of the Seebeck effect measure. </w:t>
      </w:r>
    </w:p>
    <w:p w14:paraId="4FF43830" w14:textId="77777777" w:rsidR="00593426" w:rsidRPr="00BF2B45" w:rsidRDefault="00593426" w:rsidP="00BF2B45">
      <w:pPr>
        <w:spacing w:line="240" w:lineRule="auto"/>
        <w:rPr>
          <w:rFonts w:eastAsia="Times New Roman" w:cs="Arial"/>
          <w:sz w:val="20"/>
          <w:szCs w:val="20"/>
          <w:lang w:eastAsia="en-GB"/>
        </w:rPr>
      </w:pPr>
      <w:r w:rsidRPr="00BF2B45">
        <w:rPr>
          <w:rFonts w:eastAsia="Times New Roman" w:cs="Arial"/>
          <w:sz w:val="20"/>
          <w:szCs w:val="20"/>
          <w:lang w:eastAsia="en-GB"/>
        </w:rPr>
        <w:t xml:space="preserve">Figure 3.0 Blast furnace hearth in its ideal state.           </w:t>
      </w:r>
    </w:p>
    <w:p w14:paraId="1E2E5527" w14:textId="08B62D4A" w:rsidR="00593426" w:rsidRPr="00BF2B45" w:rsidRDefault="00593426" w:rsidP="00BF2B45">
      <w:pPr>
        <w:spacing w:line="240" w:lineRule="auto"/>
        <w:rPr>
          <w:rFonts w:eastAsia="Times New Roman" w:cs="Arial"/>
          <w:sz w:val="20"/>
          <w:szCs w:val="20"/>
          <w:lang w:eastAsia="en-GB"/>
        </w:rPr>
      </w:pPr>
      <w:r w:rsidRPr="00BF2B45">
        <w:rPr>
          <w:rFonts w:eastAsia="Times New Roman" w:cs="Arial"/>
          <w:sz w:val="20"/>
          <w:szCs w:val="20"/>
          <w:lang w:eastAsia="en-GB"/>
        </w:rPr>
        <w:t xml:space="preserve"> Figure 3.1  Schematic of typical erosion occurring within the hearth.</w:t>
      </w:r>
    </w:p>
    <w:p w14:paraId="48BA39B6" w14:textId="77777777" w:rsidR="00593426" w:rsidRPr="00BF2B45" w:rsidRDefault="00593426" w:rsidP="00BF2B45">
      <w:pPr>
        <w:spacing w:line="240" w:lineRule="auto"/>
        <w:rPr>
          <w:rFonts w:cs="Arial"/>
          <w:sz w:val="20"/>
          <w:szCs w:val="20"/>
        </w:rPr>
      </w:pPr>
      <w:r w:rsidRPr="00BF2B45">
        <w:rPr>
          <w:rFonts w:cs="Arial"/>
          <w:sz w:val="20"/>
          <w:szCs w:val="20"/>
        </w:rPr>
        <w:t>Figure 3.2 - Blast furnace at TSPT hearth pad thermocouple monitoring.</w:t>
      </w:r>
    </w:p>
    <w:p w14:paraId="44D6D6DA" w14:textId="77777777" w:rsidR="00EA78F9" w:rsidRPr="00BF2B45" w:rsidRDefault="00EA78F9" w:rsidP="00BF2B45">
      <w:pPr>
        <w:spacing w:line="240" w:lineRule="auto"/>
        <w:rPr>
          <w:rFonts w:cs="Arial"/>
          <w:sz w:val="20"/>
          <w:szCs w:val="20"/>
        </w:rPr>
      </w:pPr>
      <w:r w:rsidRPr="00BF2B45">
        <w:rPr>
          <w:rFonts w:cs="Arial"/>
          <w:sz w:val="20"/>
          <w:szCs w:val="20"/>
        </w:rPr>
        <w:t xml:space="preserve">Figure 4.0 - Illustrating the time constant and response times for in-service activation of a thermocouple. </w:t>
      </w:r>
    </w:p>
    <w:p w14:paraId="34041F8E" w14:textId="77777777" w:rsidR="00EA78F9" w:rsidRPr="00BF2B45" w:rsidRDefault="00EA78F9" w:rsidP="00BF2B45">
      <w:pPr>
        <w:spacing w:line="240" w:lineRule="auto"/>
        <w:rPr>
          <w:rFonts w:cs="Arial"/>
          <w:sz w:val="20"/>
          <w:szCs w:val="20"/>
        </w:rPr>
      </w:pPr>
      <w:r w:rsidRPr="00BF2B45">
        <w:rPr>
          <w:rFonts w:cs="Arial"/>
          <w:sz w:val="20"/>
          <w:szCs w:val="20"/>
        </w:rPr>
        <w:t xml:space="preserve">Figure 5.0 - System dynamic delays </w:t>
      </w:r>
    </w:p>
    <w:p w14:paraId="1B56F2AB" w14:textId="77777777" w:rsidR="00EA78F9" w:rsidRPr="00BF2B45" w:rsidRDefault="00EA78F9" w:rsidP="00BF2B45">
      <w:pPr>
        <w:spacing w:line="240" w:lineRule="auto"/>
        <w:rPr>
          <w:rFonts w:cs="Arial"/>
          <w:sz w:val="20"/>
          <w:szCs w:val="20"/>
        </w:rPr>
      </w:pPr>
      <w:r w:rsidRPr="00BF2B45">
        <w:rPr>
          <w:rFonts w:cs="Arial"/>
          <w:sz w:val="20"/>
          <w:szCs w:val="20"/>
        </w:rPr>
        <w:t>Figure 6.0  Real-time PI data of a blast furnace at TSPT.</w:t>
      </w:r>
    </w:p>
    <w:p w14:paraId="78E5EB87" w14:textId="77777777" w:rsidR="00EA78F9" w:rsidRPr="00BF2B45" w:rsidRDefault="00EA78F9" w:rsidP="00BF2B45">
      <w:pPr>
        <w:spacing w:line="240" w:lineRule="auto"/>
        <w:rPr>
          <w:rFonts w:cs="Arial"/>
          <w:i/>
          <w:iCs/>
          <w:sz w:val="20"/>
          <w:szCs w:val="20"/>
        </w:rPr>
      </w:pPr>
      <w:r w:rsidRPr="00BF2B45">
        <w:rPr>
          <w:rFonts w:cs="Arial"/>
          <w:i/>
          <w:iCs/>
          <w:sz w:val="20"/>
          <w:szCs w:val="20"/>
        </w:rPr>
        <w:t>Figure 7.0 – Real-time monitoring of thermocouples within MIR.</w:t>
      </w:r>
    </w:p>
    <w:p w14:paraId="20FF4618" w14:textId="77777777" w:rsidR="00EA78F9" w:rsidRPr="00BF2B45" w:rsidRDefault="00EA78F9" w:rsidP="00BF2B45">
      <w:pPr>
        <w:spacing w:line="240" w:lineRule="auto"/>
        <w:rPr>
          <w:rFonts w:cs="Arial"/>
          <w:i/>
          <w:iCs/>
          <w:sz w:val="20"/>
          <w:szCs w:val="20"/>
        </w:rPr>
      </w:pPr>
      <w:r w:rsidRPr="00BF2B45">
        <w:rPr>
          <w:rFonts w:cs="Arial"/>
          <w:i/>
          <w:iCs/>
          <w:sz w:val="20"/>
          <w:szCs w:val="20"/>
        </w:rPr>
        <w:t xml:space="preserve">Figure 8.0 Iron exiting the MIR in service.       </w:t>
      </w:r>
    </w:p>
    <w:p w14:paraId="2789A124" w14:textId="175E8ACB" w:rsidR="00EA78F9" w:rsidRPr="00BF2B45" w:rsidRDefault="00EA78F9" w:rsidP="00BF2B45">
      <w:pPr>
        <w:spacing w:line="240" w:lineRule="auto"/>
        <w:rPr>
          <w:rFonts w:cs="Arial"/>
          <w:i/>
          <w:iCs/>
          <w:sz w:val="20"/>
          <w:szCs w:val="20"/>
        </w:rPr>
      </w:pPr>
      <w:r w:rsidRPr="00BF2B45">
        <w:rPr>
          <w:rFonts w:cs="Arial"/>
          <w:i/>
          <w:iCs/>
          <w:sz w:val="20"/>
          <w:szCs w:val="20"/>
        </w:rPr>
        <w:t>Figure 8.1 - Frozen iron with extent of damage shown.</w:t>
      </w:r>
    </w:p>
    <w:p w14:paraId="2703EC3F" w14:textId="77777777" w:rsidR="00BF2B45" w:rsidRPr="00BF2B45" w:rsidRDefault="00BF2B45" w:rsidP="00BF2B45">
      <w:pPr>
        <w:spacing w:line="240" w:lineRule="auto"/>
        <w:rPr>
          <w:rFonts w:cs="Arial"/>
          <w:i/>
          <w:iCs/>
          <w:sz w:val="20"/>
          <w:szCs w:val="20"/>
        </w:rPr>
      </w:pPr>
      <w:r w:rsidRPr="00BF2B45">
        <w:rPr>
          <w:rFonts w:cs="Arial"/>
          <w:i/>
          <w:iCs/>
          <w:sz w:val="20"/>
          <w:szCs w:val="20"/>
        </w:rPr>
        <w:t>Figure 8.2 – The thermocouple trend for the LoC incident.</w:t>
      </w:r>
    </w:p>
    <w:p w14:paraId="466FC808" w14:textId="77777777" w:rsidR="00BF2B45" w:rsidRPr="00BF2B45" w:rsidRDefault="00BF2B45" w:rsidP="00BF2B45">
      <w:pPr>
        <w:spacing w:line="240" w:lineRule="auto"/>
        <w:rPr>
          <w:rFonts w:cs="Arial"/>
          <w:i/>
          <w:iCs/>
          <w:sz w:val="20"/>
          <w:szCs w:val="20"/>
        </w:rPr>
      </w:pPr>
      <w:r w:rsidRPr="00BF2B45">
        <w:rPr>
          <w:rFonts w:cs="Arial"/>
          <w:i/>
          <w:iCs/>
          <w:sz w:val="20"/>
          <w:szCs w:val="20"/>
        </w:rPr>
        <w:t xml:space="preserve">Figure 9.0 - Calculation required for raw binary into decimal.        </w:t>
      </w:r>
    </w:p>
    <w:p w14:paraId="5C8AEB86" w14:textId="5BB83FAD" w:rsidR="00BF2B45" w:rsidRPr="00BF2B45" w:rsidRDefault="00BF2B45" w:rsidP="00BF2B45">
      <w:pPr>
        <w:spacing w:line="240" w:lineRule="auto"/>
        <w:rPr>
          <w:rFonts w:cs="Arial"/>
          <w:i/>
          <w:iCs/>
          <w:sz w:val="20"/>
          <w:szCs w:val="20"/>
        </w:rPr>
      </w:pPr>
      <w:r w:rsidRPr="00BF2B45">
        <w:rPr>
          <w:rFonts w:cs="Arial"/>
          <w:i/>
          <w:iCs/>
          <w:sz w:val="20"/>
          <w:szCs w:val="20"/>
        </w:rPr>
        <w:t xml:space="preserve"> Figure 9.1 Calculation control output from decimal to binary. </w:t>
      </w:r>
    </w:p>
    <w:p w14:paraId="2B408702" w14:textId="77777777" w:rsidR="00BF2B45" w:rsidRPr="00BF2B45" w:rsidRDefault="00BF2B45" w:rsidP="00BF2B45">
      <w:pPr>
        <w:spacing w:line="240" w:lineRule="auto"/>
        <w:rPr>
          <w:rFonts w:cs="Arial"/>
          <w:i/>
          <w:iCs/>
          <w:sz w:val="20"/>
          <w:szCs w:val="20"/>
        </w:rPr>
      </w:pPr>
      <w:r w:rsidRPr="00BF2B45">
        <w:rPr>
          <w:rFonts w:cs="Arial"/>
          <w:i/>
          <w:iCs/>
          <w:sz w:val="20"/>
          <w:szCs w:val="20"/>
        </w:rPr>
        <w:t xml:space="preserve">Figure 9.2  Encoding of system. </w:t>
      </w:r>
    </w:p>
    <w:p w14:paraId="658812C5" w14:textId="77777777" w:rsidR="00BF2B45" w:rsidRPr="00BF2B45" w:rsidRDefault="00BF2B45" w:rsidP="00BF2B45">
      <w:pPr>
        <w:spacing w:line="240" w:lineRule="auto"/>
        <w:rPr>
          <w:rFonts w:cs="Arial"/>
          <w:i/>
          <w:iCs/>
          <w:sz w:val="20"/>
          <w:szCs w:val="20"/>
        </w:rPr>
      </w:pPr>
      <w:r w:rsidRPr="00BF2B45">
        <w:rPr>
          <w:rFonts w:cs="Arial"/>
          <w:i/>
          <w:iCs/>
          <w:sz w:val="20"/>
          <w:szCs w:val="20"/>
        </w:rPr>
        <w:t xml:space="preserve">Figure 9.3 Decoding of system. </w:t>
      </w:r>
    </w:p>
    <w:p w14:paraId="3044EE80" w14:textId="77777777" w:rsidR="00BF2B45" w:rsidRPr="00BF2B45" w:rsidRDefault="00BF2B45" w:rsidP="00BF2B45">
      <w:pPr>
        <w:spacing w:line="240" w:lineRule="auto"/>
        <w:rPr>
          <w:rFonts w:cs="Arial"/>
          <w:i/>
          <w:iCs/>
          <w:sz w:val="20"/>
          <w:szCs w:val="20"/>
        </w:rPr>
      </w:pPr>
      <w:r w:rsidRPr="00BF2B45">
        <w:rPr>
          <w:rFonts w:cs="Arial"/>
          <w:i/>
          <w:iCs/>
          <w:sz w:val="20"/>
          <w:szCs w:val="20"/>
        </w:rPr>
        <w:t xml:space="preserve">Figure 9.4 – PID set up. </w:t>
      </w:r>
    </w:p>
    <w:p w14:paraId="5F7E83A8" w14:textId="77777777" w:rsidR="00BF2B45" w:rsidRPr="00BF2B45" w:rsidRDefault="00BF2B45" w:rsidP="00BF2B45">
      <w:pPr>
        <w:spacing w:line="240" w:lineRule="auto"/>
        <w:rPr>
          <w:rFonts w:cs="Arial"/>
          <w:i/>
          <w:iCs/>
          <w:sz w:val="20"/>
          <w:szCs w:val="20"/>
        </w:rPr>
      </w:pPr>
      <w:r w:rsidRPr="00BF2B45">
        <w:rPr>
          <w:rFonts w:cs="Arial"/>
          <w:i/>
          <w:iCs/>
          <w:sz w:val="20"/>
          <w:szCs w:val="20"/>
        </w:rPr>
        <w:t>Figure 9.5 – Initial PID input.</w:t>
      </w:r>
    </w:p>
    <w:p w14:paraId="138DB819" w14:textId="77777777" w:rsidR="00BF2B45" w:rsidRPr="00BF2B45" w:rsidRDefault="00BF2B45" w:rsidP="00BF2B45">
      <w:pPr>
        <w:spacing w:line="240" w:lineRule="auto"/>
        <w:rPr>
          <w:sz w:val="20"/>
          <w:szCs w:val="20"/>
        </w:rPr>
      </w:pPr>
      <w:r w:rsidRPr="00BF2B45">
        <w:rPr>
          <w:rFonts w:cs="Arial"/>
          <w:i/>
          <w:iCs/>
          <w:sz w:val="20"/>
          <w:szCs w:val="20"/>
        </w:rPr>
        <w:t>Figure 9.6 – Input of PID integral resulting in unstable oscillation occurring</w:t>
      </w:r>
    </w:p>
    <w:p w14:paraId="3EDC586B" w14:textId="77777777" w:rsidR="00BF2B45" w:rsidRPr="00BF2B45" w:rsidRDefault="00BF2B45" w:rsidP="00BF2B45">
      <w:pPr>
        <w:spacing w:line="240" w:lineRule="auto"/>
        <w:rPr>
          <w:rFonts w:cs="Arial"/>
          <w:i/>
          <w:iCs/>
          <w:sz w:val="20"/>
          <w:szCs w:val="20"/>
        </w:rPr>
      </w:pPr>
      <w:r w:rsidRPr="00BF2B45">
        <w:rPr>
          <w:rFonts w:cs="Arial"/>
          <w:i/>
          <w:iCs/>
          <w:sz w:val="20"/>
          <w:szCs w:val="20"/>
        </w:rPr>
        <w:t>Figure  9.7 – Further analysis of input resulting in closely mirrored response.</w:t>
      </w:r>
    </w:p>
    <w:p w14:paraId="7902E002" w14:textId="1AF8A60A" w:rsidR="00BF2B45" w:rsidRPr="004B646F" w:rsidRDefault="00BF2B45" w:rsidP="00BF2B45">
      <w:pPr>
        <w:spacing w:line="240" w:lineRule="auto"/>
        <w:rPr>
          <w:rFonts w:cs="Arial"/>
          <w:i/>
          <w:iCs/>
          <w:sz w:val="20"/>
          <w:szCs w:val="20"/>
        </w:rPr>
      </w:pPr>
      <w:r w:rsidRPr="004B646F">
        <w:rPr>
          <w:rFonts w:cs="Arial"/>
          <w:i/>
          <w:iCs/>
          <w:sz w:val="20"/>
          <w:szCs w:val="20"/>
        </w:rPr>
        <w:t xml:space="preserve">Figure 9.8 </w:t>
      </w:r>
      <w:r>
        <w:rPr>
          <w:rFonts w:cs="Arial"/>
          <w:i/>
          <w:iCs/>
          <w:sz w:val="20"/>
          <w:szCs w:val="20"/>
        </w:rPr>
        <w:t xml:space="preserve">- </w:t>
      </w:r>
      <w:r w:rsidRPr="004B646F">
        <w:rPr>
          <w:rFonts w:cs="Arial"/>
          <w:i/>
          <w:iCs/>
          <w:sz w:val="20"/>
          <w:szCs w:val="20"/>
        </w:rPr>
        <w:t>0.01 sampling time still guaranteeing performance.</w:t>
      </w:r>
    </w:p>
    <w:p w14:paraId="7E58AEB9" w14:textId="24CA7E63" w:rsidR="00BF2B45" w:rsidRPr="00F64F88" w:rsidRDefault="00BF2B45" w:rsidP="00BF2B45">
      <w:pPr>
        <w:spacing w:line="240" w:lineRule="auto"/>
        <w:rPr>
          <w:rFonts w:cs="Arial"/>
          <w:i/>
          <w:iCs/>
          <w:sz w:val="20"/>
          <w:szCs w:val="20"/>
        </w:rPr>
      </w:pPr>
      <w:r w:rsidRPr="00A33EEE">
        <w:rPr>
          <w:rFonts w:cs="Arial"/>
          <w:i/>
          <w:iCs/>
          <w:sz w:val="20"/>
          <w:szCs w:val="20"/>
        </w:rPr>
        <w:t xml:space="preserve">Figure 9.9 </w:t>
      </w:r>
      <w:r>
        <w:rPr>
          <w:rFonts w:cs="Arial"/>
          <w:i/>
          <w:iCs/>
          <w:sz w:val="20"/>
          <w:szCs w:val="20"/>
        </w:rPr>
        <w:t xml:space="preserve">- </w:t>
      </w:r>
      <w:r w:rsidRPr="00A33EEE">
        <w:rPr>
          <w:rFonts w:cs="Arial"/>
          <w:i/>
          <w:iCs/>
          <w:sz w:val="20"/>
          <w:szCs w:val="20"/>
        </w:rPr>
        <w:t xml:space="preserve">System sampling time slowed down </w:t>
      </w:r>
      <w:r>
        <w:rPr>
          <w:rFonts w:cs="Arial"/>
          <w:i/>
          <w:iCs/>
          <w:sz w:val="20"/>
          <w:szCs w:val="20"/>
        </w:rPr>
        <w:t>f</w:t>
      </w:r>
      <w:r w:rsidRPr="00A33EEE">
        <w:rPr>
          <w:rFonts w:cs="Arial"/>
          <w:i/>
          <w:iCs/>
          <w:sz w:val="20"/>
          <w:szCs w:val="20"/>
        </w:rPr>
        <w:t>ar too much where errors are now occurring.</w:t>
      </w:r>
    </w:p>
    <w:p w14:paraId="2B33F51B" w14:textId="73E994FF" w:rsidR="00BF2B45" w:rsidRPr="00765382" w:rsidRDefault="00BF2B45" w:rsidP="00BF2B45">
      <w:pPr>
        <w:spacing w:line="240" w:lineRule="auto"/>
        <w:rPr>
          <w:rFonts w:cs="Arial"/>
          <w:i/>
          <w:iCs/>
          <w:sz w:val="20"/>
          <w:szCs w:val="20"/>
        </w:rPr>
      </w:pPr>
      <w:r w:rsidRPr="00765382">
        <w:rPr>
          <w:rFonts w:cs="Arial"/>
          <w:i/>
          <w:iCs/>
          <w:sz w:val="20"/>
          <w:szCs w:val="20"/>
        </w:rPr>
        <w:t xml:space="preserve">Figure 10.0 </w:t>
      </w:r>
      <w:r>
        <w:rPr>
          <w:rFonts w:cs="Arial"/>
          <w:i/>
          <w:iCs/>
          <w:sz w:val="20"/>
          <w:szCs w:val="20"/>
        </w:rPr>
        <w:t xml:space="preserve">- </w:t>
      </w:r>
      <w:r w:rsidRPr="00765382">
        <w:rPr>
          <w:rFonts w:cs="Arial"/>
          <w:i/>
          <w:iCs/>
          <w:sz w:val="20"/>
          <w:szCs w:val="20"/>
        </w:rPr>
        <w:t xml:space="preserve">Sampling time within the script. </w:t>
      </w:r>
    </w:p>
    <w:p w14:paraId="034ED711" w14:textId="77777777" w:rsidR="00BF2B45" w:rsidRPr="0090350B" w:rsidRDefault="00BF2B45" w:rsidP="00BF2B45">
      <w:pPr>
        <w:spacing w:line="240" w:lineRule="auto"/>
        <w:rPr>
          <w:rFonts w:cs="Arial"/>
          <w:i/>
          <w:iCs/>
          <w:sz w:val="20"/>
          <w:szCs w:val="20"/>
        </w:rPr>
      </w:pPr>
      <w:r w:rsidRPr="0090350B">
        <w:rPr>
          <w:rFonts w:cs="Arial"/>
          <w:i/>
          <w:iCs/>
          <w:sz w:val="20"/>
          <w:szCs w:val="20"/>
        </w:rPr>
        <w:t>Figure 11.0 – Min and Max values.</w:t>
      </w:r>
    </w:p>
    <w:p w14:paraId="029D5AE1" w14:textId="77777777" w:rsidR="00BF2B45" w:rsidRPr="00E15C3F" w:rsidRDefault="00BF2B45" w:rsidP="00BF2B45">
      <w:pPr>
        <w:spacing w:line="240" w:lineRule="auto"/>
        <w:rPr>
          <w:rFonts w:cs="Arial"/>
          <w:i/>
          <w:iCs/>
          <w:sz w:val="20"/>
          <w:szCs w:val="20"/>
        </w:rPr>
      </w:pPr>
      <w:r w:rsidRPr="00E15C3F">
        <w:rPr>
          <w:rFonts w:cs="Arial"/>
          <w:i/>
          <w:iCs/>
          <w:sz w:val="20"/>
          <w:szCs w:val="20"/>
        </w:rPr>
        <w:t xml:space="preserve">Figure 12.0 – signal sensor bits. </w:t>
      </w:r>
    </w:p>
    <w:p w14:paraId="69B429F4" w14:textId="77777777" w:rsidR="00BF2B45" w:rsidRPr="00CB4827" w:rsidRDefault="00BF2B45" w:rsidP="00BF2B45">
      <w:pPr>
        <w:spacing w:line="240" w:lineRule="auto"/>
        <w:rPr>
          <w:rFonts w:cs="Arial"/>
          <w:i/>
          <w:iCs/>
          <w:sz w:val="20"/>
          <w:szCs w:val="20"/>
        </w:rPr>
      </w:pPr>
      <w:r w:rsidRPr="00CB4827">
        <w:rPr>
          <w:rFonts w:cs="Arial"/>
          <w:i/>
          <w:iCs/>
          <w:sz w:val="20"/>
          <w:szCs w:val="20"/>
        </w:rPr>
        <w:t>Figure 12.1 - System after completing changing sampling time to more closely mirror the required demand.</w:t>
      </w:r>
    </w:p>
    <w:p w14:paraId="3FBA59AA" w14:textId="76D1034C" w:rsidR="00BF2B45" w:rsidRPr="005126E8" w:rsidRDefault="00BF2B45" w:rsidP="00BF2B45">
      <w:pPr>
        <w:spacing w:line="240" w:lineRule="auto"/>
        <w:rPr>
          <w:rFonts w:cs="Arial"/>
          <w:i/>
          <w:iCs/>
          <w:sz w:val="20"/>
          <w:szCs w:val="20"/>
        </w:rPr>
      </w:pPr>
      <w:r w:rsidRPr="005126E8">
        <w:rPr>
          <w:rFonts w:cs="Arial"/>
          <w:i/>
          <w:iCs/>
          <w:sz w:val="20"/>
          <w:szCs w:val="20"/>
        </w:rPr>
        <w:t>Figure 13.0</w:t>
      </w:r>
      <w:r>
        <w:rPr>
          <w:rFonts w:cs="Arial"/>
          <w:i/>
          <w:iCs/>
          <w:sz w:val="20"/>
          <w:szCs w:val="20"/>
        </w:rPr>
        <w:t xml:space="preserve"> -</w:t>
      </w:r>
      <w:r w:rsidRPr="005126E8">
        <w:rPr>
          <w:rFonts w:cs="Arial"/>
          <w:i/>
          <w:iCs/>
          <w:sz w:val="20"/>
          <w:szCs w:val="20"/>
        </w:rPr>
        <w:t xml:space="preserve"> Entire collaboration of chapter 4.</w:t>
      </w:r>
    </w:p>
    <w:p w14:paraId="4E46AEE6" w14:textId="77777777" w:rsidR="00BF2B45" w:rsidRDefault="00BF2B45" w:rsidP="002E4E64">
      <w:pPr>
        <w:spacing w:line="360" w:lineRule="auto"/>
      </w:pPr>
    </w:p>
    <w:p w14:paraId="75C43880" w14:textId="5B510557" w:rsidR="002E4E64" w:rsidRPr="00C4734C" w:rsidRDefault="00C4734C" w:rsidP="002E4E64">
      <w:pPr>
        <w:spacing w:line="360" w:lineRule="auto"/>
        <w:rPr>
          <w:b/>
          <w:bCs/>
          <w:u w:val="single"/>
        </w:rPr>
      </w:pPr>
      <w:r w:rsidRPr="00C4734C">
        <w:rPr>
          <w:b/>
          <w:bCs/>
          <w:u w:val="single"/>
        </w:rPr>
        <w:lastRenderedPageBreak/>
        <w:t>Task 1 – Process control system – Thermocouples.</w:t>
      </w:r>
      <w:r w:rsidR="002E4E64" w:rsidRPr="00C4734C">
        <w:rPr>
          <w:b/>
          <w:bCs/>
          <w:u w:val="single"/>
        </w:rPr>
        <w:t xml:space="preserve"> </w:t>
      </w:r>
    </w:p>
    <w:p w14:paraId="7E62B484" w14:textId="2DA61B6A" w:rsidR="00A40B5A" w:rsidRPr="005C597F" w:rsidRDefault="00980192" w:rsidP="005C597F">
      <w:pPr>
        <w:spacing w:line="360" w:lineRule="auto"/>
        <w:rPr>
          <w:rFonts w:eastAsia="Times New Roman" w:cs="Arial"/>
          <w:lang w:eastAsia="en-GB"/>
        </w:rPr>
      </w:pPr>
      <w:r>
        <w:rPr>
          <w:rFonts w:cs="Arial"/>
        </w:rPr>
        <w:t xml:space="preserve">Tata Steel Port Talbot (=TSPT) </w:t>
      </w:r>
      <w:r w:rsidR="00705547">
        <w:rPr>
          <w:rFonts w:cs="Arial"/>
        </w:rPr>
        <w:t xml:space="preserve">operate a singular blast furnace, known as Blast Furnace 4 (=BF4); more recently the business has </w:t>
      </w:r>
      <w:r w:rsidR="009F43DF">
        <w:rPr>
          <w:rFonts w:cs="Arial"/>
        </w:rPr>
        <w:t>stop</w:t>
      </w:r>
      <w:r w:rsidR="00776832">
        <w:rPr>
          <w:rFonts w:cs="Arial"/>
        </w:rPr>
        <w:t>ped</w:t>
      </w:r>
      <w:r w:rsidR="009F43DF">
        <w:rPr>
          <w:rFonts w:cs="Arial"/>
        </w:rPr>
        <w:t xml:space="preserve"> operations on its sister </w:t>
      </w:r>
      <w:r w:rsidR="000861C2">
        <w:rPr>
          <w:rFonts w:cs="Arial"/>
        </w:rPr>
        <w:t xml:space="preserve">plant, </w:t>
      </w:r>
      <w:r w:rsidR="009F43DF">
        <w:rPr>
          <w:rFonts w:cs="Arial"/>
        </w:rPr>
        <w:t xml:space="preserve">Blast furnace 5 (=BF5). </w:t>
      </w:r>
      <w:r w:rsidR="00187B28">
        <w:rPr>
          <w:rFonts w:cs="Arial"/>
        </w:rPr>
        <w:t>Both plant</w:t>
      </w:r>
      <w:r w:rsidR="000861C2">
        <w:rPr>
          <w:rFonts w:cs="Arial"/>
        </w:rPr>
        <w:t>s</w:t>
      </w:r>
      <w:r w:rsidR="00187B28">
        <w:rPr>
          <w:rFonts w:cs="Arial"/>
        </w:rPr>
        <w:t xml:space="preserve"> operate</w:t>
      </w:r>
      <w:r w:rsidR="00AD7CEA">
        <w:rPr>
          <w:rFonts w:cs="Arial"/>
        </w:rPr>
        <w:t>/d</w:t>
      </w:r>
      <w:r w:rsidR="00187B28">
        <w:rPr>
          <w:rFonts w:cs="Arial"/>
        </w:rPr>
        <w:t xml:space="preserve"> a</w:t>
      </w:r>
      <w:r w:rsidR="000F29CC">
        <w:rPr>
          <w:rFonts w:cs="Arial"/>
        </w:rPr>
        <w:t xml:space="preserve">n extensive </w:t>
      </w:r>
      <w:r w:rsidR="00C97C67">
        <w:rPr>
          <w:rFonts w:cs="Arial"/>
        </w:rPr>
        <w:t xml:space="preserve">array of control systems to ensure the maximum </w:t>
      </w:r>
      <w:r w:rsidR="00CC0002">
        <w:rPr>
          <w:rFonts w:cs="Arial"/>
        </w:rPr>
        <w:t>efficiency</w:t>
      </w:r>
      <w:r w:rsidR="00C97C67">
        <w:rPr>
          <w:rFonts w:cs="Arial"/>
        </w:rPr>
        <w:t xml:space="preserve">, </w:t>
      </w:r>
      <w:r w:rsidR="00CC0002">
        <w:rPr>
          <w:rFonts w:cs="Arial"/>
        </w:rPr>
        <w:t>effectiveness</w:t>
      </w:r>
      <w:r w:rsidR="00C97C67">
        <w:rPr>
          <w:rFonts w:cs="Arial"/>
        </w:rPr>
        <w:t xml:space="preserve"> and safety is adhered to. </w:t>
      </w:r>
      <w:r w:rsidR="009E7ED6">
        <w:rPr>
          <w:rFonts w:cs="Arial"/>
        </w:rPr>
        <w:t xml:space="preserve">The safety aspect of the furnaces is of paramount concern for the business, this </w:t>
      </w:r>
      <w:r w:rsidR="007A4AE8">
        <w:rPr>
          <w:rFonts w:cs="Arial"/>
        </w:rPr>
        <w:t xml:space="preserve">is done through number of control systems, i.e. </w:t>
      </w:r>
      <w:r w:rsidR="00745195">
        <w:rPr>
          <w:rFonts w:cs="Arial"/>
        </w:rPr>
        <w:t xml:space="preserve">above and in burden probes, stock-line detectors, </w:t>
      </w:r>
      <w:r w:rsidR="000B5EF3">
        <w:rPr>
          <w:rFonts w:cs="Arial"/>
        </w:rPr>
        <w:t xml:space="preserve">pressure gauges, and many more. This report is to </w:t>
      </w:r>
      <w:r w:rsidR="00140BDE">
        <w:rPr>
          <w:rFonts w:cs="Arial"/>
        </w:rPr>
        <w:t xml:space="preserve">be centred around thermocouples and the role they play within the blast furnaces. </w:t>
      </w:r>
      <w:r w:rsidR="002E4E64" w:rsidRPr="005C597F">
        <w:rPr>
          <w:rFonts w:cs="Arial"/>
        </w:rPr>
        <w:t>Thermocouples TCs, these are devices that use the thermoelectrical effect (Seebeck effect) to measure the temperature difference between an initial measuring point, and a reference junction with a known temperature</w:t>
      </w:r>
      <w:r w:rsidR="00A40B5A" w:rsidRPr="005C597F">
        <w:rPr>
          <w:rFonts w:cs="Arial"/>
        </w:rPr>
        <w:t xml:space="preserve"> </w:t>
      </w:r>
      <w:r w:rsidR="00A40B5A" w:rsidRPr="005C597F">
        <w:rPr>
          <w:rFonts w:eastAsia="Times New Roman" w:cs="Arial"/>
          <w:lang w:eastAsia="en-GB"/>
        </w:rPr>
        <w:t>(A A M Sayigh 165–209: 3). The Seebeck effect, in 1774 an Italian scientist Alessandro Volta first discovered the potential of this effect, this was later backed and named by Thomas Johann Seebeck in 1821. The Seebeck effect reads a temperature gradient in the thermoelectric materials that will cause the carriers in the material (the conductors, and semi-conductors) to ensure the movement as to reali</w:t>
      </w:r>
      <w:r w:rsidR="0026457E">
        <w:rPr>
          <w:rFonts w:eastAsia="Times New Roman" w:cs="Arial"/>
          <w:lang w:eastAsia="en-GB"/>
        </w:rPr>
        <w:t>z</w:t>
      </w:r>
      <w:r w:rsidR="00A40B5A" w:rsidRPr="005C597F">
        <w:rPr>
          <w:rFonts w:eastAsia="Times New Roman" w:cs="Arial"/>
          <w:lang w:eastAsia="en-GB"/>
        </w:rPr>
        <w:t>e the transition from initial thermal energy to an electrical energy</w:t>
      </w:r>
      <w:r w:rsidR="005C597F" w:rsidRPr="005C597F">
        <w:rPr>
          <w:rFonts w:eastAsia="Times New Roman" w:cs="Arial"/>
          <w:lang w:eastAsia="en-GB"/>
        </w:rPr>
        <w:t xml:space="preserve"> (Xingyi</w:t>
      </w:r>
      <w:r w:rsidR="00125199">
        <w:rPr>
          <w:rFonts w:eastAsia="Times New Roman" w:cs="Arial"/>
          <w:lang w:eastAsia="en-GB"/>
        </w:rPr>
        <w:t>, 2019</w:t>
      </w:r>
      <w:r w:rsidR="005C597F" w:rsidRPr="005C597F">
        <w:rPr>
          <w:rFonts w:eastAsia="Times New Roman" w:cs="Arial"/>
          <w:lang w:eastAsia="en-GB"/>
        </w:rPr>
        <w:t>)</w:t>
      </w:r>
      <w:r w:rsidR="00A40B5A" w:rsidRPr="005C597F">
        <w:rPr>
          <w:rFonts w:eastAsia="Times New Roman" w:cs="Arial"/>
          <w:lang w:eastAsia="en-GB"/>
        </w:rPr>
        <w:t xml:space="preserve">. The energy is diffused through the gradient temperature toward an electron-rich material, and the electrons </w:t>
      </w:r>
      <w:r w:rsidR="00F80866">
        <w:rPr>
          <w:rFonts w:eastAsia="Times New Roman" w:cs="Arial"/>
          <w:lang w:eastAsia="en-GB"/>
        </w:rPr>
        <w:t xml:space="preserve">within </w:t>
      </w:r>
      <w:r w:rsidR="0026457E">
        <w:rPr>
          <w:rFonts w:eastAsia="Times New Roman" w:cs="Arial"/>
          <w:lang w:eastAsia="en-GB"/>
        </w:rPr>
        <w:t>an</w:t>
      </w:r>
      <w:r w:rsidR="00A40B5A" w:rsidRPr="005C597F">
        <w:rPr>
          <w:rFonts w:eastAsia="Times New Roman" w:cs="Arial"/>
          <w:lang w:eastAsia="en-GB"/>
        </w:rPr>
        <w:t xml:space="preserve"> electron rich material diffuse into the material, this creates an electromotive force</w:t>
      </w:r>
      <w:r w:rsidR="005C597F" w:rsidRPr="005C597F">
        <w:rPr>
          <w:rFonts w:eastAsia="Times New Roman" w:cs="Arial"/>
          <w:lang w:eastAsia="en-GB"/>
        </w:rPr>
        <w:t xml:space="preserve"> (Xingyi</w:t>
      </w:r>
      <w:r w:rsidR="00125199">
        <w:rPr>
          <w:rFonts w:eastAsia="Times New Roman" w:cs="Arial"/>
          <w:lang w:eastAsia="en-GB"/>
        </w:rPr>
        <w:t>, 2019</w:t>
      </w:r>
      <w:r w:rsidR="005C597F" w:rsidRPr="005C597F">
        <w:rPr>
          <w:rFonts w:eastAsia="Times New Roman" w:cs="Arial"/>
          <w:lang w:eastAsia="en-GB"/>
        </w:rPr>
        <w:t>)</w:t>
      </w:r>
      <w:r w:rsidR="00A40B5A" w:rsidRPr="005C597F">
        <w:rPr>
          <w:rFonts w:eastAsia="Times New Roman" w:cs="Arial"/>
          <w:lang w:eastAsia="en-GB"/>
        </w:rPr>
        <w:t xml:space="preserve">. In figure 1.0 is an diagrammatical image of this Seebeck effect occurring. </w:t>
      </w:r>
    </w:p>
    <w:p w14:paraId="68650DD7" w14:textId="439932C6" w:rsidR="002E4E64" w:rsidRPr="005C597F" w:rsidRDefault="002E4E64" w:rsidP="005C597F">
      <w:pPr>
        <w:spacing w:line="360" w:lineRule="auto"/>
        <w:jc w:val="center"/>
        <w:rPr>
          <w:rFonts w:cs="Arial"/>
        </w:rPr>
      </w:pPr>
      <w:r w:rsidRPr="005C597F">
        <w:rPr>
          <w:rFonts w:cs="Arial"/>
        </w:rPr>
        <w:t xml:space="preserve">. </w:t>
      </w:r>
      <w:r w:rsidR="00A40B5A" w:rsidRPr="005C597F">
        <w:rPr>
          <w:rFonts w:cs="Arial"/>
          <w:noProof/>
        </w:rPr>
        <w:drawing>
          <wp:inline distT="0" distB="0" distL="0" distR="0" wp14:anchorId="673DB6A9" wp14:editId="77B9D059">
            <wp:extent cx="3477914" cy="1966078"/>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97505" cy="1977153"/>
                    </a:xfrm>
                    <a:prstGeom prst="rect">
                      <a:avLst/>
                    </a:prstGeom>
                  </pic:spPr>
                </pic:pic>
              </a:graphicData>
            </a:graphic>
          </wp:inline>
        </w:drawing>
      </w:r>
    </w:p>
    <w:p w14:paraId="6CCB0762" w14:textId="3DD5E815" w:rsidR="00A40B5A" w:rsidRPr="005C597F" w:rsidRDefault="00A40B5A" w:rsidP="005C597F">
      <w:pPr>
        <w:spacing w:line="360" w:lineRule="auto"/>
        <w:jc w:val="center"/>
        <w:rPr>
          <w:rFonts w:cs="Arial"/>
          <w:i/>
          <w:iCs/>
          <w:sz w:val="20"/>
          <w:szCs w:val="20"/>
        </w:rPr>
      </w:pPr>
      <w:r w:rsidRPr="005C597F">
        <w:rPr>
          <w:rFonts w:cs="Arial"/>
          <w:i/>
          <w:iCs/>
          <w:sz w:val="20"/>
          <w:szCs w:val="20"/>
        </w:rPr>
        <w:t>Figure 1.0 – Schematic diagram of the Seebeck effect in order.</w:t>
      </w:r>
    </w:p>
    <w:p w14:paraId="183DC8CB" w14:textId="5E29A66C" w:rsidR="00A40B5A" w:rsidRPr="00125199" w:rsidRDefault="005C597F" w:rsidP="007F1915">
      <w:pPr>
        <w:spacing w:line="360" w:lineRule="auto"/>
        <w:rPr>
          <w:rFonts w:eastAsia="Times New Roman" w:cs="Arial"/>
          <w:lang w:eastAsia="en-GB"/>
        </w:rPr>
      </w:pPr>
      <w:r w:rsidRPr="007F1915">
        <w:rPr>
          <w:rFonts w:cs="Arial"/>
        </w:rPr>
        <w:t>The Seebeck effect is regarded as a thermoelectric phenomenon that generates voltage due to temperatures differentials, the electrons move toward the colder end, creating a potential difference</w:t>
      </w:r>
      <w:r w:rsidR="007F1915" w:rsidRPr="007F1915">
        <w:rPr>
          <w:rFonts w:cs="Arial"/>
        </w:rPr>
        <w:t xml:space="preserve"> </w:t>
      </w:r>
      <w:r w:rsidR="007F1915" w:rsidRPr="007F1915">
        <w:rPr>
          <w:rFonts w:eastAsia="Times New Roman" w:cs="Arial"/>
          <w:lang w:eastAsia="en-GB"/>
        </w:rPr>
        <w:t>(Adresi</w:t>
      </w:r>
      <w:r w:rsidR="00125199">
        <w:rPr>
          <w:rFonts w:eastAsia="Times New Roman" w:cs="Arial"/>
          <w:lang w:eastAsia="en-GB"/>
        </w:rPr>
        <w:t>, 2023</w:t>
      </w:r>
      <w:r w:rsidR="007F1915" w:rsidRPr="007F1915">
        <w:rPr>
          <w:rFonts w:eastAsia="Times New Roman" w:cs="Arial"/>
          <w:lang w:eastAsia="en-GB"/>
        </w:rPr>
        <w:t>)</w:t>
      </w:r>
      <w:r w:rsidRPr="007F1915">
        <w:rPr>
          <w:rFonts w:cs="Arial"/>
        </w:rPr>
        <w:t xml:space="preserve">. Figure </w:t>
      </w:r>
      <w:r w:rsidR="000D74FF">
        <w:rPr>
          <w:rFonts w:cs="Arial"/>
        </w:rPr>
        <w:t>2.0</w:t>
      </w:r>
      <w:r w:rsidRPr="007F1915">
        <w:rPr>
          <w:rFonts w:cs="Arial"/>
        </w:rPr>
        <w:t xml:space="preserve"> illustrates this shift in the electrons. </w:t>
      </w:r>
    </w:p>
    <w:p w14:paraId="0C1CE44B" w14:textId="3C546D1A" w:rsidR="005C597F" w:rsidRPr="007F1915" w:rsidRDefault="005C597F" w:rsidP="007F1915">
      <w:pPr>
        <w:spacing w:line="360" w:lineRule="auto"/>
        <w:jc w:val="center"/>
        <w:rPr>
          <w:rFonts w:cs="Arial"/>
        </w:rPr>
      </w:pPr>
      <w:r w:rsidRPr="007F1915">
        <w:rPr>
          <w:rFonts w:cs="Arial"/>
          <w:noProof/>
        </w:rPr>
        <w:lastRenderedPageBreak/>
        <w:drawing>
          <wp:inline distT="0" distB="0" distL="0" distR="0" wp14:anchorId="0DEA55E4" wp14:editId="6662B4E0">
            <wp:extent cx="3807304" cy="853250"/>
            <wp:effectExtent l="0" t="0" r="317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51560" cy="863168"/>
                    </a:xfrm>
                    <a:prstGeom prst="rect">
                      <a:avLst/>
                    </a:prstGeom>
                  </pic:spPr>
                </pic:pic>
              </a:graphicData>
            </a:graphic>
          </wp:inline>
        </w:drawing>
      </w:r>
    </w:p>
    <w:p w14:paraId="701CE149" w14:textId="55032DC9" w:rsidR="005C597F" w:rsidRPr="007F1915" w:rsidRDefault="005C597F" w:rsidP="007F1915">
      <w:pPr>
        <w:spacing w:line="360" w:lineRule="auto"/>
        <w:jc w:val="center"/>
        <w:rPr>
          <w:rFonts w:cs="Arial"/>
          <w:i/>
          <w:iCs/>
          <w:sz w:val="20"/>
          <w:szCs w:val="20"/>
        </w:rPr>
      </w:pPr>
      <w:r w:rsidRPr="007F1915">
        <w:rPr>
          <w:rFonts w:cs="Arial"/>
          <w:i/>
          <w:iCs/>
          <w:sz w:val="20"/>
          <w:szCs w:val="20"/>
        </w:rPr>
        <w:t xml:space="preserve">Figure </w:t>
      </w:r>
      <w:r w:rsidR="000D74FF">
        <w:rPr>
          <w:rFonts w:cs="Arial"/>
          <w:i/>
          <w:iCs/>
          <w:sz w:val="20"/>
          <w:szCs w:val="20"/>
        </w:rPr>
        <w:t>2.0</w:t>
      </w:r>
      <w:r w:rsidRPr="007F1915">
        <w:rPr>
          <w:rFonts w:cs="Arial"/>
          <w:i/>
          <w:iCs/>
          <w:sz w:val="20"/>
          <w:szCs w:val="20"/>
        </w:rPr>
        <w:t xml:space="preserve"> – Schematic diagram of the Seebeck effect measure. </w:t>
      </w:r>
    </w:p>
    <w:p w14:paraId="3F63B1C8" w14:textId="14B7F0F0" w:rsidR="00A40B5A" w:rsidRDefault="00142B50" w:rsidP="00E63A22">
      <w:pPr>
        <w:spacing w:line="360" w:lineRule="auto"/>
        <w:rPr>
          <w:rFonts w:eastAsia="Times New Roman" w:cs="Arial"/>
          <w:lang w:eastAsia="en-GB"/>
        </w:rPr>
      </w:pPr>
      <w:r w:rsidRPr="00E63A22">
        <w:rPr>
          <w:rFonts w:eastAsia="Times New Roman" w:cs="Arial"/>
          <w:lang w:eastAsia="en-GB"/>
        </w:rPr>
        <w:t>Thermocouples are extensively used by engineers as they are regarded as one of the most applicable, accurate</w:t>
      </w:r>
      <w:r w:rsidR="0092554C">
        <w:rPr>
          <w:rFonts w:eastAsia="Times New Roman" w:cs="Arial"/>
          <w:lang w:eastAsia="en-GB"/>
        </w:rPr>
        <w:t>,</w:t>
      </w:r>
      <w:r w:rsidRPr="00E63A22">
        <w:rPr>
          <w:rFonts w:eastAsia="Times New Roman" w:cs="Arial"/>
          <w:lang w:eastAsia="en-GB"/>
        </w:rPr>
        <w:t xml:space="preserve"> accessible temperature sensors on the market allowing engineers to manage the data more precisely</w:t>
      </w:r>
      <w:r w:rsidR="00E63A22" w:rsidRPr="00E63A22">
        <w:rPr>
          <w:rFonts w:eastAsia="Times New Roman" w:cs="Arial"/>
          <w:lang w:eastAsia="en-GB"/>
        </w:rPr>
        <w:t xml:space="preserve"> (Oliveria, 2021)</w:t>
      </w:r>
      <w:r w:rsidRPr="00E63A22">
        <w:rPr>
          <w:rFonts w:eastAsia="Times New Roman" w:cs="Arial"/>
          <w:lang w:eastAsia="en-GB"/>
        </w:rPr>
        <w:t xml:space="preserve">. </w:t>
      </w:r>
      <w:r w:rsidR="00713CC7">
        <w:rPr>
          <w:rFonts w:eastAsia="Times New Roman" w:cs="Arial"/>
          <w:lang w:eastAsia="en-GB"/>
        </w:rPr>
        <w:t xml:space="preserve">Thermocouples have become at the forefront in the desire to increase blast furnace </w:t>
      </w:r>
      <w:r w:rsidR="00FA629C">
        <w:rPr>
          <w:rFonts w:eastAsia="Times New Roman" w:cs="Arial"/>
          <w:lang w:eastAsia="en-GB"/>
        </w:rPr>
        <w:t xml:space="preserve">campaign longevity, moreover the hearth of a </w:t>
      </w:r>
      <w:r w:rsidR="00EA514E">
        <w:rPr>
          <w:rFonts w:eastAsia="Times New Roman" w:cs="Arial"/>
          <w:lang w:eastAsia="en-GB"/>
        </w:rPr>
        <w:t xml:space="preserve">blast furnace. The hearth is </w:t>
      </w:r>
      <w:r w:rsidR="00514F15">
        <w:rPr>
          <w:rFonts w:eastAsia="Times New Roman" w:cs="Arial"/>
          <w:lang w:eastAsia="en-GB"/>
        </w:rPr>
        <w:t xml:space="preserve">a </w:t>
      </w:r>
      <w:r w:rsidR="00877A80">
        <w:rPr>
          <w:rFonts w:eastAsia="Times New Roman" w:cs="Arial"/>
          <w:lang w:eastAsia="en-GB"/>
        </w:rPr>
        <w:t>apparatus containing high temperature molten iron and slag, the structure contains refractories, cooling</w:t>
      </w:r>
      <w:r w:rsidR="00D354E2">
        <w:rPr>
          <w:rFonts w:eastAsia="Times New Roman" w:cs="Arial"/>
          <w:lang w:eastAsia="en-GB"/>
        </w:rPr>
        <w:t xml:space="preserve"> and monitoring equipment and the steel shell of the blast furnace. The residual lining of the </w:t>
      </w:r>
      <w:r w:rsidR="00C86783">
        <w:rPr>
          <w:rFonts w:eastAsia="Times New Roman" w:cs="Arial"/>
          <w:lang w:eastAsia="en-GB"/>
        </w:rPr>
        <w:t xml:space="preserve">hearth is a key factor to </w:t>
      </w:r>
      <w:r w:rsidR="00FD595A">
        <w:rPr>
          <w:rFonts w:eastAsia="Times New Roman" w:cs="Arial"/>
          <w:lang w:eastAsia="en-GB"/>
        </w:rPr>
        <w:t>determine</w:t>
      </w:r>
      <w:r w:rsidR="00C86783">
        <w:rPr>
          <w:rFonts w:eastAsia="Times New Roman" w:cs="Arial"/>
          <w:lang w:eastAsia="en-GB"/>
        </w:rPr>
        <w:t xml:space="preserve"> the </w:t>
      </w:r>
      <w:r w:rsidR="00FD595A">
        <w:rPr>
          <w:rFonts w:eastAsia="Times New Roman" w:cs="Arial"/>
          <w:lang w:eastAsia="en-GB"/>
        </w:rPr>
        <w:t>campaign</w:t>
      </w:r>
      <w:r w:rsidR="00C86783">
        <w:rPr>
          <w:rFonts w:eastAsia="Times New Roman" w:cs="Arial"/>
          <w:lang w:eastAsia="en-GB"/>
        </w:rPr>
        <w:t xml:space="preserve"> life of the </w:t>
      </w:r>
      <w:r w:rsidR="00FD595A">
        <w:rPr>
          <w:rFonts w:eastAsia="Times New Roman" w:cs="Arial"/>
          <w:lang w:eastAsia="en-GB"/>
        </w:rPr>
        <w:t xml:space="preserve">entire blast furnace </w:t>
      </w:r>
      <w:r w:rsidR="00FC43C6">
        <w:rPr>
          <w:rFonts w:eastAsia="Times New Roman" w:cs="Arial"/>
          <w:lang w:eastAsia="en-GB"/>
        </w:rPr>
        <w:t>(Wang, 2023)</w:t>
      </w:r>
      <w:r w:rsidR="00FD595A">
        <w:rPr>
          <w:rFonts w:eastAsia="Times New Roman" w:cs="Arial"/>
          <w:lang w:eastAsia="en-GB"/>
        </w:rPr>
        <w:t xml:space="preserve">. </w:t>
      </w:r>
      <w:r w:rsidR="006A532C">
        <w:rPr>
          <w:rFonts w:eastAsia="Times New Roman" w:cs="Arial"/>
          <w:lang w:eastAsia="en-GB"/>
        </w:rPr>
        <w:t xml:space="preserve">As the </w:t>
      </w:r>
      <w:r w:rsidR="00567AB8">
        <w:rPr>
          <w:rFonts w:eastAsia="Times New Roman" w:cs="Arial"/>
          <w:lang w:eastAsia="en-GB"/>
        </w:rPr>
        <w:t xml:space="preserve">furnace operates the flow of molten iron and slag within the hearth </w:t>
      </w:r>
      <w:r w:rsidR="002479FF">
        <w:rPr>
          <w:rFonts w:eastAsia="Times New Roman" w:cs="Arial"/>
          <w:lang w:eastAsia="en-GB"/>
        </w:rPr>
        <w:t>area causes significant effects to the erosion of the hearth itself</w:t>
      </w:r>
      <w:r w:rsidR="0042748B">
        <w:rPr>
          <w:rFonts w:eastAsia="Times New Roman" w:cs="Arial"/>
          <w:lang w:eastAsia="en-GB"/>
        </w:rPr>
        <w:t>, figur</w:t>
      </w:r>
      <w:r w:rsidR="00727447">
        <w:rPr>
          <w:rFonts w:eastAsia="Times New Roman" w:cs="Arial"/>
          <w:lang w:eastAsia="en-GB"/>
        </w:rPr>
        <w:t>e 3.1</w:t>
      </w:r>
      <w:r w:rsidR="0042748B">
        <w:rPr>
          <w:rFonts w:eastAsia="Times New Roman" w:cs="Arial"/>
          <w:lang w:eastAsia="en-GB"/>
        </w:rPr>
        <w:t xml:space="preserve"> is a schematic drawing of this erosion phenomenon occurring</w:t>
      </w:r>
      <w:r w:rsidR="002018EB">
        <w:rPr>
          <w:rFonts w:eastAsia="Times New Roman" w:cs="Arial"/>
          <w:lang w:eastAsia="en-GB"/>
        </w:rPr>
        <w:t xml:space="preserve"> (Jiao, 2017)</w:t>
      </w:r>
      <w:r w:rsidR="00A57275">
        <w:rPr>
          <w:rFonts w:eastAsia="Times New Roman" w:cs="Arial"/>
          <w:lang w:eastAsia="en-GB"/>
        </w:rPr>
        <w:t xml:space="preserve">. The purpose of introducing thermocouples </w:t>
      </w:r>
      <w:r w:rsidR="002F58A3">
        <w:rPr>
          <w:rFonts w:eastAsia="Times New Roman" w:cs="Arial"/>
          <w:lang w:eastAsia="en-GB"/>
        </w:rPr>
        <w:t>into</w:t>
      </w:r>
      <w:r w:rsidR="00A57275">
        <w:rPr>
          <w:rFonts w:eastAsia="Times New Roman" w:cs="Arial"/>
          <w:lang w:eastAsia="en-GB"/>
        </w:rPr>
        <w:t xml:space="preserve"> the hearth, and other areas that encounter </w:t>
      </w:r>
      <w:r w:rsidR="002F58A3">
        <w:rPr>
          <w:rFonts w:eastAsia="Times New Roman" w:cs="Arial"/>
          <w:lang w:eastAsia="en-GB"/>
        </w:rPr>
        <w:t>molten materials is to monitor the campaign life of the refractor</w:t>
      </w:r>
      <w:r w:rsidR="003C2EE7">
        <w:rPr>
          <w:rFonts w:eastAsia="Times New Roman" w:cs="Arial"/>
          <w:lang w:eastAsia="en-GB"/>
        </w:rPr>
        <w:t>y</w:t>
      </w:r>
      <w:r w:rsidR="002F58A3">
        <w:rPr>
          <w:rFonts w:eastAsia="Times New Roman" w:cs="Arial"/>
          <w:lang w:eastAsia="en-GB"/>
        </w:rPr>
        <w:t xml:space="preserve"> materials within. </w:t>
      </w:r>
      <w:r w:rsidR="001378D5">
        <w:rPr>
          <w:rFonts w:eastAsia="Times New Roman" w:cs="Arial"/>
          <w:lang w:eastAsia="en-GB"/>
        </w:rPr>
        <w:t>Figur</w:t>
      </w:r>
      <w:r w:rsidR="000D74FF">
        <w:rPr>
          <w:rFonts w:eastAsia="Times New Roman" w:cs="Arial"/>
          <w:lang w:eastAsia="en-GB"/>
        </w:rPr>
        <w:t>e 3.0</w:t>
      </w:r>
      <w:r w:rsidR="001378D5">
        <w:rPr>
          <w:rFonts w:eastAsia="Times New Roman" w:cs="Arial"/>
          <w:lang w:eastAsia="en-GB"/>
        </w:rPr>
        <w:t xml:space="preserve"> is a designed structure of a </w:t>
      </w:r>
      <w:r w:rsidR="00A44FAE">
        <w:rPr>
          <w:rFonts w:eastAsia="Times New Roman" w:cs="Arial"/>
          <w:lang w:eastAsia="en-GB"/>
        </w:rPr>
        <w:t>blast furnace hearth with thermocouple positions.</w:t>
      </w:r>
      <w:r w:rsidR="00056E02">
        <w:rPr>
          <w:rFonts w:eastAsia="Times New Roman" w:cs="Arial"/>
          <w:lang w:eastAsia="en-GB"/>
        </w:rPr>
        <w:t xml:space="preserve"> The monitoring of thermocouples at one of the blast furnaces can be seen in Figu</w:t>
      </w:r>
      <w:r w:rsidR="000D74FF">
        <w:rPr>
          <w:rFonts w:eastAsia="Times New Roman" w:cs="Arial"/>
          <w:lang w:eastAsia="en-GB"/>
        </w:rPr>
        <w:t>re 3.</w:t>
      </w:r>
      <w:r w:rsidR="00727447">
        <w:rPr>
          <w:rFonts w:eastAsia="Times New Roman" w:cs="Arial"/>
          <w:lang w:eastAsia="en-GB"/>
        </w:rPr>
        <w:t>2</w:t>
      </w:r>
      <w:r w:rsidR="000D74FF">
        <w:rPr>
          <w:rFonts w:eastAsia="Times New Roman" w:cs="Arial"/>
          <w:lang w:eastAsia="en-GB"/>
        </w:rPr>
        <w:t>.</w:t>
      </w:r>
      <w:r w:rsidR="00056E02">
        <w:rPr>
          <w:rFonts w:eastAsia="Times New Roman" w:cs="Arial"/>
          <w:lang w:eastAsia="en-GB"/>
        </w:rPr>
        <w:t xml:space="preserve"> </w:t>
      </w:r>
    </w:p>
    <w:p w14:paraId="20438810" w14:textId="4D129459" w:rsidR="00301C34" w:rsidRDefault="0042748B" w:rsidP="00301C34">
      <w:pPr>
        <w:spacing w:line="360" w:lineRule="auto"/>
        <w:rPr>
          <w:rFonts w:eastAsia="Times New Roman" w:cs="Arial"/>
          <w:lang w:eastAsia="en-GB"/>
        </w:rPr>
      </w:pPr>
      <w:r>
        <w:rPr>
          <w:noProof/>
        </w:rPr>
        <w:drawing>
          <wp:inline distT="0" distB="0" distL="0" distR="0" wp14:anchorId="1D775C1F" wp14:editId="6A5E75B9">
            <wp:extent cx="2990850" cy="29432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28522" cy="2980297"/>
                    </a:xfrm>
                    <a:prstGeom prst="rect">
                      <a:avLst/>
                    </a:prstGeom>
                  </pic:spPr>
                </pic:pic>
              </a:graphicData>
            </a:graphic>
          </wp:inline>
        </w:drawing>
      </w:r>
      <w:r w:rsidR="00301C34">
        <w:rPr>
          <w:noProof/>
        </w:rPr>
        <w:drawing>
          <wp:inline distT="0" distB="0" distL="0" distR="0" wp14:anchorId="5719B6F0" wp14:editId="602B91D5">
            <wp:extent cx="2724150" cy="2857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49121" cy="2883693"/>
                    </a:xfrm>
                    <a:prstGeom prst="rect">
                      <a:avLst/>
                    </a:prstGeom>
                  </pic:spPr>
                </pic:pic>
              </a:graphicData>
            </a:graphic>
          </wp:inline>
        </w:drawing>
      </w:r>
    </w:p>
    <w:p w14:paraId="77104BD6" w14:textId="297E67D8" w:rsidR="00301C34" w:rsidRPr="00301C34" w:rsidRDefault="00301C34" w:rsidP="00301C34">
      <w:pPr>
        <w:spacing w:line="360" w:lineRule="auto"/>
        <w:jc w:val="center"/>
        <w:rPr>
          <w:rFonts w:eastAsia="Times New Roman" w:cs="Arial"/>
          <w:i/>
          <w:iCs/>
          <w:sz w:val="16"/>
          <w:szCs w:val="16"/>
          <w:lang w:eastAsia="en-GB"/>
        </w:rPr>
      </w:pPr>
      <w:r w:rsidRPr="00301C34">
        <w:rPr>
          <w:rFonts w:eastAsia="Times New Roman" w:cs="Arial"/>
          <w:i/>
          <w:iCs/>
          <w:sz w:val="16"/>
          <w:szCs w:val="16"/>
          <w:lang w:eastAsia="en-GB"/>
        </w:rPr>
        <w:t xml:space="preserve">Figure </w:t>
      </w:r>
      <w:r w:rsidR="000D74FF">
        <w:rPr>
          <w:rFonts w:eastAsia="Times New Roman" w:cs="Arial"/>
          <w:i/>
          <w:iCs/>
          <w:sz w:val="16"/>
          <w:szCs w:val="16"/>
          <w:lang w:eastAsia="en-GB"/>
        </w:rPr>
        <w:t>3.0</w:t>
      </w:r>
      <w:r w:rsidRPr="00301C34">
        <w:rPr>
          <w:rFonts w:eastAsia="Times New Roman" w:cs="Arial"/>
          <w:i/>
          <w:iCs/>
          <w:sz w:val="16"/>
          <w:szCs w:val="16"/>
          <w:lang w:eastAsia="en-GB"/>
        </w:rPr>
        <w:t xml:space="preserve"> Blast furnace hearth in its ideal state.            Figur</w:t>
      </w:r>
      <w:r w:rsidR="000D74FF">
        <w:rPr>
          <w:rFonts w:eastAsia="Times New Roman" w:cs="Arial"/>
          <w:i/>
          <w:iCs/>
          <w:sz w:val="16"/>
          <w:szCs w:val="16"/>
          <w:lang w:eastAsia="en-GB"/>
        </w:rPr>
        <w:t xml:space="preserve">e 3.1 </w:t>
      </w:r>
      <w:r w:rsidRPr="00301C34">
        <w:rPr>
          <w:rFonts w:eastAsia="Times New Roman" w:cs="Arial"/>
          <w:i/>
          <w:iCs/>
          <w:sz w:val="16"/>
          <w:szCs w:val="16"/>
          <w:lang w:eastAsia="en-GB"/>
        </w:rPr>
        <w:t xml:space="preserve"> Schematic of typical erosion occurring within the hearth.</w:t>
      </w:r>
    </w:p>
    <w:p w14:paraId="4646B1A4" w14:textId="29BFD6E7" w:rsidR="00056E02" w:rsidRDefault="00056E02" w:rsidP="00070040">
      <w:pPr>
        <w:spacing w:line="360" w:lineRule="auto"/>
        <w:rPr>
          <w:rFonts w:cs="Arial"/>
        </w:rPr>
      </w:pPr>
      <w:r>
        <w:rPr>
          <w:noProof/>
        </w:rPr>
        <w:lastRenderedPageBreak/>
        <w:drawing>
          <wp:inline distT="0" distB="0" distL="0" distR="0" wp14:anchorId="3FA42978" wp14:editId="1BF4ACEF">
            <wp:extent cx="5731510" cy="1710414"/>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710414"/>
                    </a:xfrm>
                    <a:prstGeom prst="rect">
                      <a:avLst/>
                    </a:prstGeom>
                  </pic:spPr>
                </pic:pic>
              </a:graphicData>
            </a:graphic>
          </wp:inline>
        </w:drawing>
      </w:r>
    </w:p>
    <w:p w14:paraId="22D03CF9" w14:textId="507F24D7" w:rsidR="00056E02" w:rsidRPr="00056E02" w:rsidRDefault="00056E02" w:rsidP="00056E02">
      <w:pPr>
        <w:spacing w:line="360" w:lineRule="auto"/>
        <w:jc w:val="center"/>
        <w:rPr>
          <w:rFonts w:cs="Arial"/>
          <w:i/>
          <w:iCs/>
          <w:sz w:val="20"/>
          <w:szCs w:val="20"/>
        </w:rPr>
      </w:pPr>
      <w:r w:rsidRPr="00056E02">
        <w:rPr>
          <w:rFonts w:cs="Arial"/>
          <w:i/>
          <w:iCs/>
          <w:sz w:val="20"/>
          <w:szCs w:val="20"/>
        </w:rPr>
        <w:t>Figure</w:t>
      </w:r>
      <w:r w:rsidR="00727447">
        <w:rPr>
          <w:rFonts w:cs="Arial"/>
          <w:i/>
          <w:iCs/>
          <w:sz w:val="20"/>
          <w:szCs w:val="20"/>
        </w:rPr>
        <w:t xml:space="preserve"> 3.2</w:t>
      </w:r>
      <w:r w:rsidRPr="00056E02">
        <w:rPr>
          <w:rFonts w:cs="Arial"/>
          <w:i/>
          <w:iCs/>
          <w:sz w:val="20"/>
          <w:szCs w:val="20"/>
        </w:rPr>
        <w:t xml:space="preserve"> - Blast furnace at TSPT hearth pad thermocouple monitoring</w:t>
      </w:r>
      <w:r w:rsidR="00B1359A">
        <w:rPr>
          <w:rFonts w:cs="Arial"/>
          <w:i/>
          <w:iCs/>
          <w:sz w:val="20"/>
          <w:szCs w:val="20"/>
        </w:rPr>
        <w:t>.</w:t>
      </w:r>
    </w:p>
    <w:p w14:paraId="4314F993" w14:textId="2CAA7827" w:rsidR="00A40B5A" w:rsidRDefault="00067EBD" w:rsidP="00070040">
      <w:pPr>
        <w:spacing w:line="360" w:lineRule="auto"/>
        <w:rPr>
          <w:rFonts w:cs="Arial"/>
        </w:rPr>
      </w:pPr>
      <w:r w:rsidRPr="00070040">
        <w:rPr>
          <w:rFonts w:cs="Arial"/>
        </w:rPr>
        <w:t>Thermocouples act as</w:t>
      </w:r>
      <w:r w:rsidR="00FD31F2" w:rsidRPr="00070040">
        <w:rPr>
          <w:rFonts w:cs="Arial"/>
        </w:rPr>
        <w:t xml:space="preserve"> a typical first-order dynamic system due to the functionality of the device themselves,</w:t>
      </w:r>
      <w:r w:rsidR="00624D35" w:rsidRPr="00070040">
        <w:rPr>
          <w:rFonts w:cs="Arial"/>
        </w:rPr>
        <w:t xml:space="preserve"> due to the inhibiting heat transfer technology</w:t>
      </w:r>
      <w:r w:rsidR="00D309C2">
        <w:rPr>
          <w:rFonts w:cs="Arial"/>
        </w:rPr>
        <w:t xml:space="preserve"> (</w:t>
      </w:r>
      <w:r w:rsidR="00D309C2" w:rsidRPr="007A7A93">
        <w:rPr>
          <w:rFonts w:cs="Arial"/>
        </w:rPr>
        <w:t>Takakura</w:t>
      </w:r>
      <w:r w:rsidR="00D309C2">
        <w:rPr>
          <w:rFonts w:cs="Arial"/>
        </w:rPr>
        <w:t>, 2013)</w:t>
      </w:r>
      <w:r w:rsidR="00624D35" w:rsidRPr="00070040">
        <w:rPr>
          <w:rFonts w:cs="Arial"/>
        </w:rPr>
        <w:t xml:space="preserve">. </w:t>
      </w:r>
      <w:r w:rsidR="00753C49" w:rsidRPr="00070040">
        <w:rPr>
          <w:rFonts w:cs="Arial"/>
        </w:rPr>
        <w:t xml:space="preserve">Thermocouples are </w:t>
      </w:r>
      <w:r w:rsidR="000E7A11" w:rsidRPr="00070040">
        <w:rPr>
          <w:rFonts w:cs="Arial"/>
        </w:rPr>
        <w:t xml:space="preserve">can be made of many different </w:t>
      </w:r>
      <w:r w:rsidR="00B22906" w:rsidRPr="00070040">
        <w:rPr>
          <w:rFonts w:cs="Arial"/>
        </w:rPr>
        <w:t xml:space="preserve">metals and metallic alloys, however they are normally chosen according to their </w:t>
      </w:r>
      <w:r w:rsidR="00EC18DA" w:rsidRPr="00070040">
        <w:rPr>
          <w:rFonts w:cs="Arial"/>
        </w:rPr>
        <w:t>desired functionality; maximum sensibility, long-term stability</w:t>
      </w:r>
      <w:r w:rsidR="003724D0" w:rsidRPr="00070040">
        <w:rPr>
          <w:rFonts w:cs="Arial"/>
        </w:rPr>
        <w:t xml:space="preserve">, cost etc.. </w:t>
      </w:r>
      <w:r w:rsidR="00322B70" w:rsidRPr="00070040">
        <w:rPr>
          <w:rFonts w:cs="Arial"/>
        </w:rPr>
        <w:t xml:space="preserve">but most commonly they comprise of inexpensive, cheap conductor based materials </w:t>
      </w:r>
      <w:r w:rsidR="00867253" w:rsidRPr="00070040">
        <w:rPr>
          <w:rFonts w:cs="Arial"/>
        </w:rPr>
        <w:t>such as nickel, iron, and copper</w:t>
      </w:r>
      <w:r w:rsidR="00070040" w:rsidRPr="00070040">
        <w:rPr>
          <w:rFonts w:cs="Arial"/>
        </w:rPr>
        <w:t xml:space="preserve"> </w:t>
      </w:r>
      <w:r w:rsidR="00070040" w:rsidRPr="00070040">
        <w:rPr>
          <w:rFonts w:eastAsia="Times New Roman" w:cs="Arial"/>
          <w:lang w:eastAsia="en-GB"/>
        </w:rPr>
        <w:t>(Lucia 101–154: 4)</w:t>
      </w:r>
      <w:r w:rsidR="00867253" w:rsidRPr="00070040">
        <w:rPr>
          <w:rFonts w:cs="Arial"/>
        </w:rPr>
        <w:t xml:space="preserve">. </w:t>
      </w:r>
      <w:r w:rsidR="00573CF4">
        <w:rPr>
          <w:rFonts w:cs="Arial"/>
        </w:rPr>
        <w:t>The inner workings of the thermocouples consist of a pair of dissimilar wires, these are connected via different junction points</w:t>
      </w:r>
      <w:r w:rsidR="006F79C0">
        <w:rPr>
          <w:rFonts w:cs="Arial"/>
        </w:rPr>
        <w:t>, namely hot and cold junctions. The voltage across these is proportional to the temperature difference (</w:t>
      </w:r>
      <w:r w:rsidR="006F79C0" w:rsidRPr="007A7A93">
        <w:rPr>
          <w:rFonts w:cs="Arial"/>
        </w:rPr>
        <w:t>Takakura</w:t>
      </w:r>
      <w:r w:rsidR="006F79C0">
        <w:rPr>
          <w:rFonts w:cs="Arial"/>
        </w:rPr>
        <w:t xml:space="preserve">, 2013). </w:t>
      </w:r>
      <w:r w:rsidR="00C65CC1">
        <w:rPr>
          <w:rFonts w:cs="Arial"/>
        </w:rPr>
        <w:t xml:space="preserve">Material and the size of the metal probe will affect the overall heat distribution in the </w:t>
      </w:r>
      <w:r w:rsidR="0030285C">
        <w:rPr>
          <w:rFonts w:cs="Arial"/>
        </w:rPr>
        <w:t>thermocouple</w:t>
      </w:r>
      <w:r w:rsidR="00C65CC1">
        <w:rPr>
          <w:rFonts w:cs="Arial"/>
        </w:rPr>
        <w:t xml:space="preserve"> rod</w:t>
      </w:r>
      <w:r w:rsidR="0030285C">
        <w:rPr>
          <w:rFonts w:cs="Arial"/>
        </w:rPr>
        <w:t xml:space="preserve">, and can either shorten or lengthen the </w:t>
      </w:r>
      <w:r w:rsidR="004E1B04">
        <w:rPr>
          <w:rFonts w:cs="Arial"/>
        </w:rPr>
        <w:t xml:space="preserve">time it then takes to achieve steady-state temperature. </w:t>
      </w:r>
      <w:r w:rsidR="00254BA5">
        <w:rPr>
          <w:rFonts w:cs="Arial"/>
        </w:rPr>
        <w:t xml:space="preserve">To achieve this </w:t>
      </w:r>
      <w:r w:rsidR="00A45F46">
        <w:rPr>
          <w:rFonts w:cs="Arial"/>
        </w:rPr>
        <w:t>steady</w:t>
      </w:r>
      <w:r w:rsidR="00254BA5">
        <w:rPr>
          <w:rFonts w:cs="Arial"/>
        </w:rPr>
        <w:t xml:space="preserve"> </w:t>
      </w:r>
      <w:r w:rsidR="00A45F46">
        <w:rPr>
          <w:rFonts w:cs="Arial"/>
        </w:rPr>
        <w:t>state</w:t>
      </w:r>
      <w:r w:rsidR="00254BA5">
        <w:rPr>
          <w:rFonts w:cs="Arial"/>
        </w:rPr>
        <w:t xml:space="preserve"> </w:t>
      </w:r>
      <w:r w:rsidR="006F3F57">
        <w:rPr>
          <w:rFonts w:cs="Arial"/>
        </w:rPr>
        <w:t>there must be an identification in the suitable sampling times on hand to produce accurate and timely data acquisition when thermocouples are in use, in</w:t>
      </w:r>
      <w:r w:rsidR="00A45F46">
        <w:rPr>
          <w:rFonts w:cs="Arial"/>
        </w:rPr>
        <w:t xml:space="preserve"> a control system as it is crucial for maintaining system performance and stability. </w:t>
      </w:r>
      <w:r w:rsidR="00CD6A8B">
        <w:rPr>
          <w:rFonts w:cs="Arial"/>
        </w:rPr>
        <w:t>Looking more closely at the samplin</w:t>
      </w:r>
      <w:r w:rsidR="005E3C67">
        <w:rPr>
          <w:rFonts w:cs="Arial"/>
        </w:rPr>
        <w:t xml:space="preserve">g times or the system dynamics: </w:t>
      </w:r>
    </w:p>
    <w:p w14:paraId="7CD0C8CA" w14:textId="3CD41DD4" w:rsidR="008A0429" w:rsidRPr="004941C1" w:rsidRDefault="008A0429" w:rsidP="004941C1">
      <w:pPr>
        <w:spacing w:line="360" w:lineRule="auto"/>
        <w:rPr>
          <w:rFonts w:cs="Arial"/>
        </w:rPr>
      </w:pPr>
      <w:r w:rsidRPr="00244F2E">
        <w:rPr>
          <w:rFonts w:cs="Arial"/>
          <w:i/>
          <w:iCs/>
        </w:rPr>
        <w:t>Ti</w:t>
      </w:r>
      <w:r w:rsidR="00914722">
        <w:rPr>
          <w:rFonts w:cs="Arial"/>
          <w:i/>
          <w:iCs/>
        </w:rPr>
        <w:t>m</w:t>
      </w:r>
      <w:r w:rsidRPr="00244F2E">
        <w:rPr>
          <w:rFonts w:cs="Arial"/>
          <w:i/>
          <w:iCs/>
        </w:rPr>
        <w:t>e constant –</w:t>
      </w:r>
      <w:r w:rsidRPr="004941C1">
        <w:rPr>
          <w:rFonts w:cs="Arial"/>
        </w:rPr>
        <w:t xml:space="preserve"> The responsiveness of a thermocouple </w:t>
      </w:r>
      <w:r w:rsidR="00F86C91" w:rsidRPr="004941C1">
        <w:rPr>
          <w:rFonts w:cs="Arial"/>
        </w:rPr>
        <w:t>is often expressed as the time constant. The time constant is defined as the time that is required for the sensor to respond to 63.2% of the total output</w:t>
      </w:r>
      <w:r w:rsidR="00E76D83" w:rsidRPr="004941C1">
        <w:rPr>
          <w:rFonts w:cs="Arial"/>
        </w:rPr>
        <w:t xml:space="preserve"> when the device is subject to the step in change of temperature</w:t>
      </w:r>
      <w:r w:rsidR="004941C1">
        <w:rPr>
          <w:rFonts w:cs="Arial"/>
        </w:rPr>
        <w:t xml:space="preserve"> </w:t>
      </w:r>
      <w:r w:rsidR="004941C1" w:rsidRPr="004941C1">
        <w:rPr>
          <w:rFonts w:eastAsia="Times New Roman" w:cs="Arial"/>
          <w:lang w:eastAsia="en-GB"/>
        </w:rPr>
        <w:t>(Schaevitz, 2022)</w:t>
      </w:r>
      <w:r w:rsidR="00E76D83" w:rsidRPr="004941C1">
        <w:rPr>
          <w:rFonts w:cs="Arial"/>
        </w:rPr>
        <w:t xml:space="preserve">. </w:t>
      </w:r>
    </w:p>
    <w:p w14:paraId="5E15F500" w14:textId="26043C8E" w:rsidR="00E76D83" w:rsidRPr="004941C1" w:rsidRDefault="00E76D83" w:rsidP="004941C1">
      <w:pPr>
        <w:spacing w:line="360" w:lineRule="auto"/>
        <w:rPr>
          <w:rFonts w:eastAsia="Times New Roman" w:cs="Arial"/>
          <w:lang w:eastAsia="en-GB"/>
        </w:rPr>
      </w:pPr>
      <w:r w:rsidRPr="00244F2E">
        <w:rPr>
          <w:rFonts w:cs="Arial"/>
          <w:i/>
          <w:iCs/>
        </w:rPr>
        <w:t xml:space="preserve">Response time </w:t>
      </w:r>
      <w:r w:rsidR="00DF3BBF" w:rsidRPr="00244F2E">
        <w:rPr>
          <w:rFonts w:cs="Arial"/>
          <w:i/>
          <w:iCs/>
        </w:rPr>
        <w:t>–</w:t>
      </w:r>
      <w:r w:rsidRPr="004941C1">
        <w:rPr>
          <w:rFonts w:cs="Arial"/>
        </w:rPr>
        <w:t xml:space="preserve"> </w:t>
      </w:r>
      <w:r w:rsidR="00DF3BBF" w:rsidRPr="004941C1">
        <w:rPr>
          <w:rFonts w:cs="Arial"/>
        </w:rPr>
        <w:t xml:space="preserve">The time constant of a thermocouple isn’t the same as the response time of a thermocouple. </w:t>
      </w:r>
      <w:r w:rsidR="008B4F62" w:rsidRPr="004941C1">
        <w:rPr>
          <w:rFonts w:cs="Arial"/>
        </w:rPr>
        <w:t xml:space="preserve">When a person wants to derive the response time of the thermocouple they really are trying o determine the </w:t>
      </w:r>
      <w:r w:rsidR="00353E5A" w:rsidRPr="004941C1">
        <w:rPr>
          <w:rFonts w:cs="Arial"/>
        </w:rPr>
        <w:t>time it takes for the thermocouple to reach its full output</w:t>
      </w:r>
      <w:r w:rsidR="004941C1" w:rsidRPr="004941C1">
        <w:rPr>
          <w:rFonts w:cs="Arial"/>
        </w:rPr>
        <w:t xml:space="preserve"> </w:t>
      </w:r>
      <w:r w:rsidR="004941C1" w:rsidRPr="004941C1">
        <w:rPr>
          <w:rFonts w:eastAsia="Times New Roman" w:cs="Arial"/>
          <w:lang w:eastAsia="en-GB"/>
        </w:rPr>
        <w:t>(Schaevitz, 2022)</w:t>
      </w:r>
      <w:r w:rsidR="00353E5A" w:rsidRPr="004941C1">
        <w:rPr>
          <w:rFonts w:cs="Arial"/>
        </w:rPr>
        <w:t xml:space="preserve">. </w:t>
      </w:r>
      <w:r w:rsidR="002E7D78" w:rsidRPr="004941C1">
        <w:rPr>
          <w:rFonts w:cs="Arial"/>
        </w:rPr>
        <w:t xml:space="preserve">The system must read </w:t>
      </w:r>
      <w:r w:rsidR="0013133E" w:rsidRPr="004941C1">
        <w:rPr>
          <w:rFonts w:cs="Arial"/>
        </w:rPr>
        <w:t xml:space="preserve">five time constants for the thermocouple to respond to the 99.3% of the total step change in temperature. </w:t>
      </w:r>
    </w:p>
    <w:p w14:paraId="273D8FFC" w14:textId="1FA6CDA3" w:rsidR="00DF4A82" w:rsidRPr="004941C1" w:rsidRDefault="00DF4A82" w:rsidP="004941C1">
      <w:pPr>
        <w:spacing w:line="360" w:lineRule="auto"/>
        <w:rPr>
          <w:rFonts w:cs="Arial"/>
        </w:rPr>
      </w:pPr>
      <w:r w:rsidRPr="004941C1">
        <w:rPr>
          <w:rFonts w:cs="Arial"/>
        </w:rPr>
        <w:t>B</w:t>
      </w:r>
      <w:r w:rsidR="006B0A9C" w:rsidRPr="004941C1">
        <w:rPr>
          <w:rFonts w:cs="Arial"/>
        </w:rPr>
        <w:t>e</w:t>
      </w:r>
      <w:r w:rsidRPr="004941C1">
        <w:rPr>
          <w:rFonts w:cs="Arial"/>
        </w:rPr>
        <w:t>low</w:t>
      </w:r>
      <w:r w:rsidR="006B0A9C" w:rsidRPr="004941C1">
        <w:rPr>
          <w:rFonts w:cs="Arial"/>
        </w:rPr>
        <w:t xml:space="preserve"> in figur</w:t>
      </w:r>
      <w:r w:rsidR="00727447">
        <w:rPr>
          <w:rFonts w:cs="Arial"/>
        </w:rPr>
        <w:t>e 4.0</w:t>
      </w:r>
      <w:r w:rsidRPr="004941C1">
        <w:rPr>
          <w:rFonts w:cs="Arial"/>
        </w:rPr>
        <w:t xml:space="preserve"> is a graph that </w:t>
      </w:r>
      <w:r w:rsidR="006B0A9C" w:rsidRPr="004941C1">
        <w:rPr>
          <w:rFonts w:cs="Arial"/>
        </w:rPr>
        <w:t>highlights</w:t>
      </w:r>
      <w:r w:rsidRPr="004941C1">
        <w:rPr>
          <w:rFonts w:cs="Arial"/>
        </w:rPr>
        <w:t xml:space="preserve"> the above statements in regard to time constant</w:t>
      </w:r>
      <w:r w:rsidR="006B0A9C" w:rsidRPr="004941C1">
        <w:rPr>
          <w:rFonts w:cs="Arial"/>
        </w:rPr>
        <w:t xml:space="preserve">, and response time – </w:t>
      </w:r>
    </w:p>
    <w:p w14:paraId="3FD7E62C" w14:textId="1C10C0DE" w:rsidR="006B0A9C" w:rsidRDefault="009B69CE" w:rsidP="009B69CE">
      <w:pPr>
        <w:spacing w:line="360" w:lineRule="auto"/>
        <w:jc w:val="center"/>
        <w:rPr>
          <w:rFonts w:cs="Arial"/>
        </w:rPr>
      </w:pPr>
      <w:r>
        <w:rPr>
          <w:noProof/>
        </w:rPr>
        <w:lastRenderedPageBreak/>
        <w:drawing>
          <wp:inline distT="0" distB="0" distL="0" distR="0" wp14:anchorId="49C3C443" wp14:editId="035B011F">
            <wp:extent cx="3676650" cy="221568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76650" cy="2215684"/>
                    </a:xfrm>
                    <a:prstGeom prst="rect">
                      <a:avLst/>
                    </a:prstGeom>
                  </pic:spPr>
                </pic:pic>
              </a:graphicData>
            </a:graphic>
          </wp:inline>
        </w:drawing>
      </w:r>
    </w:p>
    <w:p w14:paraId="0DF15A6E" w14:textId="781312FF" w:rsidR="009B69CE" w:rsidRPr="00952189" w:rsidRDefault="009B69CE" w:rsidP="009B69CE">
      <w:pPr>
        <w:spacing w:line="360" w:lineRule="auto"/>
        <w:jc w:val="center"/>
        <w:rPr>
          <w:rFonts w:cs="Arial"/>
          <w:i/>
          <w:iCs/>
          <w:sz w:val="20"/>
          <w:szCs w:val="20"/>
        </w:rPr>
      </w:pPr>
      <w:r w:rsidRPr="00952189">
        <w:rPr>
          <w:rFonts w:cs="Arial"/>
          <w:i/>
          <w:iCs/>
          <w:sz w:val="20"/>
          <w:szCs w:val="20"/>
        </w:rPr>
        <w:t>Figure</w:t>
      </w:r>
      <w:r w:rsidR="00727447">
        <w:rPr>
          <w:rFonts w:cs="Arial"/>
          <w:i/>
          <w:iCs/>
          <w:sz w:val="20"/>
          <w:szCs w:val="20"/>
        </w:rPr>
        <w:t xml:space="preserve"> 4.0</w:t>
      </w:r>
      <w:r w:rsidRPr="00952189">
        <w:rPr>
          <w:rFonts w:cs="Arial"/>
          <w:i/>
          <w:iCs/>
          <w:sz w:val="20"/>
          <w:szCs w:val="20"/>
        </w:rPr>
        <w:t xml:space="preserve"> - </w:t>
      </w:r>
      <w:r w:rsidR="00952189" w:rsidRPr="00952189">
        <w:rPr>
          <w:rFonts w:cs="Arial"/>
          <w:i/>
          <w:iCs/>
          <w:sz w:val="20"/>
          <w:szCs w:val="20"/>
        </w:rPr>
        <w:t>Illustrating</w:t>
      </w:r>
      <w:r w:rsidRPr="00952189">
        <w:rPr>
          <w:rFonts w:cs="Arial"/>
          <w:i/>
          <w:iCs/>
          <w:sz w:val="20"/>
          <w:szCs w:val="20"/>
        </w:rPr>
        <w:t xml:space="preserve"> the </w:t>
      </w:r>
      <w:r w:rsidR="00952189" w:rsidRPr="00952189">
        <w:rPr>
          <w:rFonts w:cs="Arial"/>
          <w:i/>
          <w:iCs/>
          <w:sz w:val="20"/>
          <w:szCs w:val="20"/>
        </w:rPr>
        <w:t xml:space="preserve">time constant and response times for in-service activation of a thermocouple. </w:t>
      </w:r>
    </w:p>
    <w:p w14:paraId="5B60470C" w14:textId="7A5D8978" w:rsidR="00125199" w:rsidRDefault="002D5759" w:rsidP="007F1915">
      <w:pPr>
        <w:spacing w:line="360" w:lineRule="auto"/>
        <w:rPr>
          <w:rFonts w:cs="Arial"/>
        </w:rPr>
      </w:pPr>
      <w:r>
        <w:rPr>
          <w:rFonts w:cs="Arial"/>
        </w:rPr>
        <w:t>D</w:t>
      </w:r>
      <w:r w:rsidR="00930075">
        <w:rPr>
          <w:rFonts w:cs="Arial"/>
        </w:rPr>
        <w:t>e</w:t>
      </w:r>
      <w:r w:rsidR="00B908AC">
        <w:rPr>
          <w:rFonts w:cs="Arial"/>
        </w:rPr>
        <w:t xml:space="preserve">lays are an omnipresent feature that </w:t>
      </w:r>
      <w:r>
        <w:rPr>
          <w:rFonts w:cs="Arial"/>
        </w:rPr>
        <w:t>are encounter</w:t>
      </w:r>
      <w:r w:rsidR="001E515C">
        <w:rPr>
          <w:rFonts w:cs="Arial"/>
        </w:rPr>
        <w:t>ed</w:t>
      </w:r>
      <w:r>
        <w:rPr>
          <w:rFonts w:cs="Arial"/>
        </w:rPr>
        <w:t xml:space="preserve"> with all dynamic systems; unfortunately they are present at every stage of action. </w:t>
      </w:r>
      <w:r w:rsidR="00735F7D">
        <w:rPr>
          <w:rFonts w:cs="Arial"/>
        </w:rPr>
        <w:t xml:space="preserve">There is a requirement for the time to </w:t>
      </w:r>
      <w:r w:rsidR="00264BBC">
        <w:rPr>
          <w:rFonts w:cs="Arial"/>
        </w:rPr>
        <w:t>recognise</w:t>
      </w:r>
      <w:r w:rsidR="00735F7D">
        <w:rPr>
          <w:rFonts w:cs="Arial"/>
        </w:rPr>
        <w:t xml:space="preserve"> an issue/problem within a given process, to </w:t>
      </w:r>
      <w:r w:rsidR="00264BBC">
        <w:rPr>
          <w:rFonts w:cs="Arial"/>
        </w:rPr>
        <w:t>decide</w:t>
      </w:r>
      <w:r w:rsidR="00735F7D">
        <w:rPr>
          <w:rFonts w:cs="Arial"/>
        </w:rPr>
        <w:t xml:space="preserve"> what must be done to mediate, and to implement the chosen action. </w:t>
      </w:r>
      <w:r w:rsidR="005F22D0">
        <w:rPr>
          <w:rFonts w:cs="Arial"/>
        </w:rPr>
        <w:t xml:space="preserve">Engineers have to </w:t>
      </w:r>
      <w:r w:rsidR="0027447B">
        <w:rPr>
          <w:rFonts w:cs="Arial"/>
        </w:rPr>
        <w:t>understand</w:t>
      </w:r>
      <w:r w:rsidR="005F22D0">
        <w:rPr>
          <w:rFonts w:cs="Arial"/>
        </w:rPr>
        <w:t xml:space="preserve"> that </w:t>
      </w:r>
      <w:r w:rsidR="0027447B">
        <w:rPr>
          <w:rFonts w:cs="Arial"/>
        </w:rPr>
        <w:t>these</w:t>
      </w:r>
      <w:r w:rsidR="005F22D0">
        <w:rPr>
          <w:rFonts w:cs="Arial"/>
        </w:rPr>
        <w:t xml:space="preserve"> issues are to be encountered</w:t>
      </w:r>
      <w:r w:rsidR="00052738">
        <w:rPr>
          <w:rFonts w:cs="Arial"/>
        </w:rPr>
        <w:t xml:space="preserve">, and their consequences must be understood. </w:t>
      </w:r>
      <w:r w:rsidR="0027447B">
        <w:rPr>
          <w:rFonts w:cs="Arial"/>
        </w:rPr>
        <w:t xml:space="preserve">Whether these delays are stabilising or destabilising </w:t>
      </w:r>
      <w:r w:rsidR="007845F0">
        <w:rPr>
          <w:rFonts w:cs="Arial"/>
        </w:rPr>
        <w:t xml:space="preserve">will </w:t>
      </w:r>
      <w:r w:rsidR="0094516C">
        <w:rPr>
          <w:rFonts w:cs="Arial"/>
        </w:rPr>
        <w:t>depend</w:t>
      </w:r>
      <w:r w:rsidR="007845F0">
        <w:rPr>
          <w:rFonts w:cs="Arial"/>
        </w:rPr>
        <w:t xml:space="preserve"> on the </w:t>
      </w:r>
      <w:r w:rsidR="0094516C">
        <w:rPr>
          <w:rFonts w:cs="Arial"/>
        </w:rPr>
        <w:t>repercussions</w:t>
      </w:r>
      <w:r w:rsidR="007845F0">
        <w:rPr>
          <w:rFonts w:cs="Arial"/>
        </w:rPr>
        <w:t xml:space="preserve"> </w:t>
      </w:r>
      <w:r w:rsidR="003D14B2">
        <w:rPr>
          <w:rFonts w:cs="Arial"/>
        </w:rPr>
        <w:t xml:space="preserve">whether they </w:t>
      </w:r>
      <w:r w:rsidR="007845F0">
        <w:rPr>
          <w:rFonts w:cs="Arial"/>
        </w:rPr>
        <w:t>are concentrated or dispersed</w:t>
      </w:r>
      <w:r w:rsidR="0094516C">
        <w:rPr>
          <w:rFonts w:cs="Arial"/>
        </w:rPr>
        <w:t xml:space="preserve">, as well as the time lag is long or short. </w:t>
      </w:r>
    </w:p>
    <w:p w14:paraId="1711F0C8" w14:textId="7A27A50A" w:rsidR="00264BBC" w:rsidRDefault="00264BBC" w:rsidP="007F1915">
      <w:pPr>
        <w:spacing w:line="360" w:lineRule="auto"/>
        <w:rPr>
          <w:rFonts w:cs="Arial"/>
        </w:rPr>
      </w:pPr>
      <w:r>
        <w:rPr>
          <w:rFonts w:cs="Arial"/>
        </w:rPr>
        <w:t xml:space="preserve">Delays in </w:t>
      </w:r>
      <w:r w:rsidR="006C4A57">
        <w:rPr>
          <w:rFonts w:cs="Arial"/>
        </w:rPr>
        <w:t>system models can be characterised by two parameters: their length, and their order</w:t>
      </w:r>
      <w:r w:rsidR="00457827">
        <w:rPr>
          <w:rFonts w:cs="Arial"/>
        </w:rPr>
        <w:t>. The initial length of the delay</w:t>
      </w:r>
      <w:r w:rsidR="00BD7E6D">
        <w:rPr>
          <w:rFonts w:cs="Arial"/>
        </w:rPr>
        <w:t xml:space="preserve">, or adjustment is the average length that is defined. The order of delays within these systems </w:t>
      </w:r>
      <w:r w:rsidR="00135D99">
        <w:rPr>
          <w:rFonts w:cs="Arial"/>
        </w:rPr>
        <w:t>is an integer that is greater or equal to 1</w:t>
      </w:r>
      <w:r w:rsidR="006772E9">
        <w:rPr>
          <w:rFonts w:cs="Arial"/>
        </w:rPr>
        <w:t xml:space="preserve"> (Hamilton, 1974)</w:t>
      </w:r>
      <w:r w:rsidR="00135D99">
        <w:rPr>
          <w:rFonts w:cs="Arial"/>
        </w:rPr>
        <w:t xml:space="preserve">. A first order delay (which is what thermocouples are regarded as) </w:t>
      </w:r>
      <w:r w:rsidR="00975199">
        <w:rPr>
          <w:rFonts w:cs="Arial"/>
        </w:rPr>
        <w:t xml:space="preserve">of a variable produces an </w:t>
      </w:r>
      <w:r w:rsidR="00061C82">
        <w:rPr>
          <w:rFonts w:cs="Arial"/>
        </w:rPr>
        <w:t>exponential</w:t>
      </w:r>
      <w:r w:rsidR="00975199">
        <w:rPr>
          <w:rFonts w:cs="Arial"/>
        </w:rPr>
        <w:t xml:space="preserve"> </w:t>
      </w:r>
      <w:r w:rsidR="005375B7">
        <w:rPr>
          <w:rFonts w:cs="Arial"/>
        </w:rPr>
        <w:t xml:space="preserve">average of the past </w:t>
      </w:r>
      <w:r w:rsidR="00061C82">
        <w:rPr>
          <w:rFonts w:cs="Arial"/>
        </w:rPr>
        <w:t>values</w:t>
      </w:r>
      <w:r w:rsidR="005375B7">
        <w:rPr>
          <w:rFonts w:cs="Arial"/>
        </w:rPr>
        <w:t xml:space="preserve"> of that variable</w:t>
      </w:r>
      <w:r w:rsidR="005D3C92">
        <w:rPr>
          <w:rFonts w:cs="Arial"/>
        </w:rPr>
        <w:t>.</w:t>
      </w:r>
      <w:r w:rsidR="005375B7">
        <w:rPr>
          <w:rFonts w:cs="Arial"/>
        </w:rPr>
        <w:t xml:space="preserve"> </w:t>
      </w:r>
      <w:r w:rsidR="00E74E96">
        <w:rPr>
          <w:rFonts w:cs="Arial"/>
        </w:rPr>
        <w:t>Below in figure</w:t>
      </w:r>
      <w:r w:rsidR="00727447">
        <w:rPr>
          <w:rFonts w:cs="Arial"/>
        </w:rPr>
        <w:t xml:space="preserve"> 5.0</w:t>
      </w:r>
      <w:r w:rsidR="00E74E96">
        <w:rPr>
          <w:rFonts w:cs="Arial"/>
        </w:rPr>
        <w:t xml:space="preserve"> is a graphical illustration depicting the </w:t>
      </w:r>
      <w:r w:rsidR="004C78FA">
        <w:rPr>
          <w:rFonts w:cs="Arial"/>
        </w:rPr>
        <w:t xml:space="preserve">potential delays encountered within the systems – </w:t>
      </w:r>
    </w:p>
    <w:p w14:paraId="669DCE36" w14:textId="390D6771" w:rsidR="004C78FA" w:rsidRDefault="004C78FA" w:rsidP="004C78FA">
      <w:pPr>
        <w:spacing w:line="360" w:lineRule="auto"/>
        <w:jc w:val="center"/>
        <w:rPr>
          <w:rFonts w:cs="Arial"/>
          <w:b/>
          <w:bCs/>
        </w:rPr>
      </w:pPr>
      <w:r>
        <w:rPr>
          <w:noProof/>
        </w:rPr>
        <w:drawing>
          <wp:inline distT="0" distB="0" distL="0" distR="0" wp14:anchorId="52461FE2" wp14:editId="46DEF3B4">
            <wp:extent cx="5799878" cy="22574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56915" cy="2279625"/>
                    </a:xfrm>
                    <a:prstGeom prst="rect">
                      <a:avLst/>
                    </a:prstGeom>
                  </pic:spPr>
                </pic:pic>
              </a:graphicData>
            </a:graphic>
          </wp:inline>
        </w:drawing>
      </w:r>
    </w:p>
    <w:p w14:paraId="6FE3512A" w14:textId="1864A9B1" w:rsidR="004C78FA" w:rsidRPr="00FD353D" w:rsidRDefault="00FD353D" w:rsidP="004C78FA">
      <w:pPr>
        <w:spacing w:line="360" w:lineRule="auto"/>
        <w:jc w:val="center"/>
        <w:rPr>
          <w:rFonts w:cs="Arial"/>
          <w:i/>
          <w:iCs/>
          <w:sz w:val="20"/>
          <w:szCs w:val="20"/>
        </w:rPr>
      </w:pPr>
      <w:r w:rsidRPr="00FD353D">
        <w:rPr>
          <w:rFonts w:cs="Arial"/>
          <w:i/>
          <w:iCs/>
          <w:sz w:val="20"/>
          <w:szCs w:val="20"/>
        </w:rPr>
        <w:t>Figure</w:t>
      </w:r>
      <w:r w:rsidR="00727447">
        <w:rPr>
          <w:rFonts w:cs="Arial"/>
          <w:i/>
          <w:iCs/>
          <w:sz w:val="20"/>
          <w:szCs w:val="20"/>
        </w:rPr>
        <w:t xml:space="preserve"> 5.0</w:t>
      </w:r>
      <w:r w:rsidRPr="00FD353D">
        <w:rPr>
          <w:rFonts w:cs="Arial"/>
          <w:i/>
          <w:iCs/>
          <w:sz w:val="20"/>
          <w:szCs w:val="20"/>
        </w:rPr>
        <w:t xml:space="preserve"> - System dynamic delays </w:t>
      </w:r>
    </w:p>
    <w:p w14:paraId="54A4AF28" w14:textId="78E1B823" w:rsidR="00AE2C10" w:rsidRDefault="00E66C13" w:rsidP="007F1915">
      <w:pPr>
        <w:spacing w:line="360" w:lineRule="auto"/>
        <w:rPr>
          <w:rFonts w:cs="Arial"/>
        </w:rPr>
      </w:pPr>
      <w:r>
        <w:rPr>
          <w:rFonts w:cs="Arial"/>
        </w:rPr>
        <w:lastRenderedPageBreak/>
        <w:t xml:space="preserve">The data at TSPT blast furnaces is compiled within a </w:t>
      </w:r>
      <w:r w:rsidR="000561E3">
        <w:rPr>
          <w:rFonts w:cs="Arial"/>
        </w:rPr>
        <w:t xml:space="preserve">OSI software known as PI. PI is a complex system that has the </w:t>
      </w:r>
      <w:r w:rsidR="00F04D26">
        <w:rPr>
          <w:rFonts w:cs="Arial"/>
        </w:rPr>
        <w:t>ability</w:t>
      </w:r>
      <w:r w:rsidR="000561E3">
        <w:rPr>
          <w:rFonts w:cs="Arial"/>
        </w:rPr>
        <w:t xml:space="preserve"> to provide </w:t>
      </w:r>
      <w:r w:rsidR="005B7653">
        <w:rPr>
          <w:rFonts w:cs="Arial"/>
        </w:rPr>
        <w:t xml:space="preserve">data pipes brining different areas throughout plant together in a </w:t>
      </w:r>
      <w:r w:rsidR="00CC3BD6">
        <w:rPr>
          <w:rFonts w:cs="Arial"/>
        </w:rPr>
        <w:t xml:space="preserve">series of databases. PI enables TSPT engineers to access real-time data, and historical </w:t>
      </w:r>
      <w:r w:rsidR="00F04D26">
        <w:rPr>
          <w:rFonts w:cs="Arial"/>
        </w:rPr>
        <w:t xml:space="preserve">through the database. </w:t>
      </w:r>
      <w:r w:rsidR="00DE7C69">
        <w:rPr>
          <w:rFonts w:cs="Arial"/>
        </w:rPr>
        <w:t xml:space="preserve">PI databases are </w:t>
      </w:r>
      <w:r w:rsidR="00DC31B5">
        <w:rPr>
          <w:rFonts w:cs="Arial"/>
        </w:rPr>
        <w:t>created with archives, allowing the engineers at TSPT to store and retrieve time series data</w:t>
      </w:r>
      <w:r w:rsidR="00056E02">
        <w:rPr>
          <w:rFonts w:cs="Arial"/>
        </w:rPr>
        <w:t>. An example of this can be seen below in Figure</w:t>
      </w:r>
      <w:r w:rsidR="0089272C">
        <w:rPr>
          <w:rFonts w:cs="Arial"/>
        </w:rPr>
        <w:t xml:space="preserve"> 6.0.</w:t>
      </w:r>
      <w:r w:rsidR="00056E02">
        <w:rPr>
          <w:rFonts w:cs="Arial"/>
        </w:rPr>
        <w:t xml:space="preserve"> </w:t>
      </w:r>
    </w:p>
    <w:p w14:paraId="586A0E59" w14:textId="279D29CB" w:rsidR="00AE2C10" w:rsidRDefault="00B1359A" w:rsidP="001A415F">
      <w:pPr>
        <w:spacing w:line="360" w:lineRule="auto"/>
        <w:jc w:val="center"/>
        <w:rPr>
          <w:rFonts w:cs="Arial"/>
        </w:rPr>
      </w:pPr>
      <w:r>
        <w:rPr>
          <w:noProof/>
        </w:rPr>
        <w:drawing>
          <wp:inline distT="0" distB="0" distL="0" distR="0" wp14:anchorId="53590B0A" wp14:editId="49174A63">
            <wp:extent cx="5731510" cy="42291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229100"/>
                    </a:xfrm>
                    <a:prstGeom prst="rect">
                      <a:avLst/>
                    </a:prstGeom>
                  </pic:spPr>
                </pic:pic>
              </a:graphicData>
            </a:graphic>
          </wp:inline>
        </w:drawing>
      </w:r>
    </w:p>
    <w:p w14:paraId="000FBAA3" w14:textId="239BB5E4" w:rsidR="00AE2C10" w:rsidRPr="00B1359A" w:rsidRDefault="00B1359A" w:rsidP="00B1359A">
      <w:pPr>
        <w:spacing w:line="360" w:lineRule="auto"/>
        <w:jc w:val="center"/>
        <w:rPr>
          <w:rFonts w:cs="Arial"/>
          <w:i/>
          <w:iCs/>
          <w:sz w:val="20"/>
          <w:szCs w:val="20"/>
        </w:rPr>
      </w:pPr>
      <w:r w:rsidRPr="00B1359A">
        <w:rPr>
          <w:rFonts w:cs="Arial"/>
          <w:i/>
          <w:iCs/>
          <w:sz w:val="20"/>
          <w:szCs w:val="20"/>
        </w:rPr>
        <w:t>Figur</w:t>
      </w:r>
      <w:r w:rsidR="00727447">
        <w:rPr>
          <w:rFonts w:cs="Arial"/>
          <w:i/>
          <w:iCs/>
          <w:sz w:val="20"/>
          <w:szCs w:val="20"/>
        </w:rPr>
        <w:t xml:space="preserve">e </w:t>
      </w:r>
      <w:r w:rsidR="0089272C">
        <w:rPr>
          <w:rFonts w:cs="Arial"/>
          <w:i/>
          <w:iCs/>
          <w:sz w:val="20"/>
          <w:szCs w:val="20"/>
        </w:rPr>
        <w:t xml:space="preserve">6.0 </w:t>
      </w:r>
      <w:r w:rsidRPr="00B1359A">
        <w:rPr>
          <w:rFonts w:cs="Arial"/>
          <w:i/>
          <w:iCs/>
          <w:sz w:val="20"/>
          <w:szCs w:val="20"/>
        </w:rPr>
        <w:t xml:space="preserve"> Real-time PI data of a blast furnace at TSPT.</w:t>
      </w:r>
    </w:p>
    <w:p w14:paraId="65F5A5AA" w14:textId="568D9D64" w:rsidR="00AE2C10" w:rsidRDefault="002F77EB" w:rsidP="007F1915">
      <w:pPr>
        <w:spacing w:line="360" w:lineRule="auto"/>
        <w:rPr>
          <w:rFonts w:cs="Arial"/>
        </w:rPr>
      </w:pPr>
      <w:r>
        <w:rPr>
          <w:rFonts w:cs="Arial"/>
        </w:rPr>
        <w:t xml:space="preserve">The PI database </w:t>
      </w:r>
      <w:r w:rsidR="00F42867">
        <w:rPr>
          <w:rFonts w:cs="Arial"/>
        </w:rPr>
        <w:t>allows</w:t>
      </w:r>
      <w:r>
        <w:rPr>
          <w:rFonts w:cs="Arial"/>
        </w:rPr>
        <w:t xml:space="preserve"> the tracking of thermocouples, and other data throughout </w:t>
      </w:r>
      <w:r w:rsidR="007904B6">
        <w:rPr>
          <w:rFonts w:cs="Arial"/>
        </w:rPr>
        <w:t>t</w:t>
      </w:r>
      <w:r>
        <w:rPr>
          <w:rFonts w:cs="Arial"/>
        </w:rPr>
        <w:t xml:space="preserve">he plant to be monitored. </w:t>
      </w:r>
      <w:r w:rsidR="007904B6">
        <w:rPr>
          <w:rFonts w:cs="Arial"/>
        </w:rPr>
        <w:t>As well as the hearth, thermocouples are also positioned throughout the Main Iron Runners (=MIRs) on the blast furnace casthouses</w:t>
      </w:r>
      <w:r w:rsidR="003278EE">
        <w:rPr>
          <w:rFonts w:cs="Arial"/>
        </w:rPr>
        <w:t xml:space="preserve">. These too act I the same way as the hearth positions, they monitor in-service conditions </w:t>
      </w:r>
      <w:r w:rsidR="00ED6482">
        <w:rPr>
          <w:rFonts w:cs="Arial"/>
        </w:rPr>
        <w:t>enabling the engineers at TSPT to determine the actual conditions of the runner beneath the molten iron and slag</w:t>
      </w:r>
      <w:r w:rsidR="002D5ABB">
        <w:rPr>
          <w:rFonts w:cs="Arial"/>
        </w:rPr>
        <w:t xml:space="preserve"> ensuring that the runner systems can operate as safely as possible. Figure</w:t>
      </w:r>
      <w:r w:rsidR="0089272C">
        <w:rPr>
          <w:rFonts w:cs="Arial"/>
        </w:rPr>
        <w:t xml:space="preserve"> 7.0</w:t>
      </w:r>
      <w:r w:rsidR="002D5ABB">
        <w:rPr>
          <w:rFonts w:cs="Arial"/>
        </w:rPr>
        <w:t xml:space="preserve"> is a</w:t>
      </w:r>
      <w:r w:rsidR="00F7762B">
        <w:rPr>
          <w:rFonts w:cs="Arial"/>
        </w:rPr>
        <w:t xml:space="preserve"> real-time </w:t>
      </w:r>
      <w:r w:rsidR="00DD5BDE">
        <w:rPr>
          <w:rFonts w:cs="Arial"/>
        </w:rPr>
        <w:t xml:space="preserve">data reading of a MIR in service. </w:t>
      </w:r>
    </w:p>
    <w:p w14:paraId="4C3152A4" w14:textId="77777777" w:rsidR="002D5ABB" w:rsidRDefault="002D5ABB" w:rsidP="007F1915">
      <w:pPr>
        <w:spacing w:line="360" w:lineRule="auto"/>
        <w:rPr>
          <w:rFonts w:cs="Arial"/>
        </w:rPr>
      </w:pPr>
    </w:p>
    <w:p w14:paraId="7574D6C9" w14:textId="17175BBB" w:rsidR="002D5ABB" w:rsidRDefault="00A369C4" w:rsidP="0088162D">
      <w:pPr>
        <w:spacing w:line="360" w:lineRule="auto"/>
        <w:jc w:val="center"/>
        <w:rPr>
          <w:rFonts w:cs="Arial"/>
        </w:rPr>
      </w:pPr>
      <w:r>
        <w:rPr>
          <w:noProof/>
        </w:rPr>
        <w:lastRenderedPageBreak/>
        <w:drawing>
          <wp:inline distT="0" distB="0" distL="0" distR="0" wp14:anchorId="7626D6DE" wp14:editId="35B84BA1">
            <wp:extent cx="5534025" cy="326009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46366" cy="3267360"/>
                    </a:xfrm>
                    <a:prstGeom prst="rect">
                      <a:avLst/>
                    </a:prstGeom>
                  </pic:spPr>
                </pic:pic>
              </a:graphicData>
            </a:graphic>
          </wp:inline>
        </w:drawing>
      </w:r>
    </w:p>
    <w:p w14:paraId="78C60D31" w14:textId="1A6AF190" w:rsidR="0089272C" w:rsidRPr="0089272C" w:rsidRDefault="0089272C" w:rsidP="0088162D">
      <w:pPr>
        <w:spacing w:line="360" w:lineRule="auto"/>
        <w:jc w:val="center"/>
        <w:rPr>
          <w:rFonts w:cs="Arial"/>
          <w:i/>
          <w:iCs/>
          <w:sz w:val="20"/>
          <w:szCs w:val="20"/>
        </w:rPr>
      </w:pPr>
      <w:r w:rsidRPr="0089272C">
        <w:rPr>
          <w:rFonts w:cs="Arial"/>
          <w:i/>
          <w:iCs/>
          <w:sz w:val="20"/>
          <w:szCs w:val="20"/>
        </w:rPr>
        <w:t>Figure 7.0 – Real-time monitoring of thermocouples within MIR.</w:t>
      </w:r>
    </w:p>
    <w:p w14:paraId="46AF2DE8" w14:textId="2075F2A0" w:rsidR="00AD5F93" w:rsidRDefault="00D06577" w:rsidP="005E6072">
      <w:pPr>
        <w:spacing w:line="360" w:lineRule="auto"/>
        <w:rPr>
          <w:rFonts w:cs="Arial"/>
        </w:rPr>
      </w:pPr>
      <w:r>
        <w:rPr>
          <w:rFonts w:cs="Arial"/>
        </w:rPr>
        <w:t xml:space="preserve">Using an in service </w:t>
      </w:r>
      <w:r w:rsidR="00D72543">
        <w:rPr>
          <w:rFonts w:cs="Arial"/>
        </w:rPr>
        <w:t>example of the system</w:t>
      </w:r>
      <w:r w:rsidR="004E4166">
        <w:rPr>
          <w:rFonts w:cs="Arial"/>
        </w:rPr>
        <w:t>;</w:t>
      </w:r>
      <w:r w:rsidR="004868D0">
        <w:rPr>
          <w:rFonts w:cs="Arial"/>
        </w:rPr>
        <w:t xml:space="preserve"> in 2022 </w:t>
      </w:r>
      <w:r w:rsidR="004E4166">
        <w:rPr>
          <w:rFonts w:cs="Arial"/>
        </w:rPr>
        <w:t xml:space="preserve">one of the MIRs at TSPT </w:t>
      </w:r>
      <w:r w:rsidR="008F0D02">
        <w:rPr>
          <w:rFonts w:cs="Arial"/>
        </w:rPr>
        <w:t>suffered</w:t>
      </w:r>
      <w:r w:rsidR="004E4166">
        <w:rPr>
          <w:rFonts w:cs="Arial"/>
        </w:rPr>
        <w:t xml:space="preserve"> a Loss of Containment (=LoC)</w:t>
      </w:r>
      <w:r w:rsidR="00EB7F9E">
        <w:rPr>
          <w:rFonts w:cs="Arial"/>
        </w:rPr>
        <w:t xml:space="preserve"> </w:t>
      </w:r>
      <w:r w:rsidR="008F0D02">
        <w:rPr>
          <w:rFonts w:cs="Arial"/>
        </w:rPr>
        <w:t>that resulted in molten iron and slag exiting through the side of the MIR</w:t>
      </w:r>
      <w:r w:rsidR="00AD5F93">
        <w:rPr>
          <w:rFonts w:cs="Arial"/>
        </w:rPr>
        <w:t xml:space="preserve"> onto the iron roads below the casthouse; see figures </w:t>
      </w:r>
      <w:r w:rsidR="000709BB">
        <w:rPr>
          <w:rFonts w:cs="Arial"/>
        </w:rPr>
        <w:t>8.0 and 8.1</w:t>
      </w:r>
      <w:r w:rsidR="00AD5F93">
        <w:rPr>
          <w:rFonts w:cs="Arial"/>
        </w:rPr>
        <w:t xml:space="preserve"> to see the extent of the damage. </w:t>
      </w:r>
      <w:r w:rsidR="002F6789">
        <w:rPr>
          <w:rFonts w:cs="Arial"/>
        </w:rPr>
        <w:t>The LoC occurred throughout the night where there were no specialist engineers in to monitor the thermocouple trend</w:t>
      </w:r>
      <w:r w:rsidR="00783937">
        <w:rPr>
          <w:rFonts w:cs="Arial"/>
        </w:rPr>
        <w:t xml:space="preserve"> as seen in figure</w:t>
      </w:r>
      <w:r w:rsidR="000709BB">
        <w:rPr>
          <w:rFonts w:cs="Arial"/>
        </w:rPr>
        <w:t xml:space="preserve"> 8.2.</w:t>
      </w:r>
      <w:r w:rsidR="00783937">
        <w:rPr>
          <w:rFonts w:cs="Arial"/>
        </w:rPr>
        <w:t xml:space="preserve"> The </w:t>
      </w:r>
      <w:r w:rsidR="00305ECA">
        <w:rPr>
          <w:rFonts w:cs="Arial"/>
        </w:rPr>
        <w:t xml:space="preserve">LoC occurred due to thermal shock </w:t>
      </w:r>
      <w:r w:rsidR="006D32B5">
        <w:rPr>
          <w:rFonts w:cs="Arial"/>
        </w:rPr>
        <w:t xml:space="preserve">induced cracking </w:t>
      </w:r>
      <w:r w:rsidR="00305ECA">
        <w:rPr>
          <w:rFonts w:cs="Arial"/>
        </w:rPr>
        <w:t>occurring within the refractories in the MIR</w:t>
      </w:r>
      <w:r w:rsidR="00D560DC">
        <w:rPr>
          <w:rFonts w:cs="Arial"/>
        </w:rPr>
        <w:t xml:space="preserve">, it was a sudden failure as figure </w:t>
      </w:r>
      <w:r w:rsidR="000709BB">
        <w:rPr>
          <w:rFonts w:cs="Arial"/>
        </w:rPr>
        <w:t>8</w:t>
      </w:r>
      <w:r w:rsidR="00D560DC">
        <w:rPr>
          <w:rFonts w:cs="Arial"/>
        </w:rPr>
        <w:t>.</w:t>
      </w:r>
      <w:r w:rsidR="000709BB">
        <w:rPr>
          <w:rFonts w:cs="Arial"/>
        </w:rPr>
        <w:t>2</w:t>
      </w:r>
      <w:r w:rsidR="00D560DC">
        <w:rPr>
          <w:rFonts w:cs="Arial"/>
        </w:rPr>
        <w:t xml:space="preserve"> displays the sudden spike in temperature.</w:t>
      </w:r>
    </w:p>
    <w:p w14:paraId="2C59EF8A" w14:textId="31E80258" w:rsidR="00E04252" w:rsidRDefault="00DB7574" w:rsidP="00DB7574">
      <w:pPr>
        <w:spacing w:line="360" w:lineRule="auto"/>
        <w:rPr>
          <w:rFonts w:cs="Arial"/>
        </w:rPr>
      </w:pPr>
      <w:r>
        <w:rPr>
          <w:noProof/>
        </w:rPr>
        <w:drawing>
          <wp:inline distT="0" distB="0" distL="0" distR="0" wp14:anchorId="267BE551" wp14:editId="3063CD1F">
            <wp:extent cx="2790825" cy="2952115"/>
            <wp:effectExtent l="0" t="0" r="9525"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95175" cy="2956716"/>
                    </a:xfrm>
                    <a:prstGeom prst="rect">
                      <a:avLst/>
                    </a:prstGeom>
                  </pic:spPr>
                </pic:pic>
              </a:graphicData>
            </a:graphic>
          </wp:inline>
        </w:drawing>
      </w:r>
      <w:r w:rsidR="004D60DE">
        <w:rPr>
          <w:rFonts w:cs="Arial"/>
        </w:rPr>
        <w:t xml:space="preserve"> </w:t>
      </w:r>
      <w:r w:rsidR="004D60DE">
        <w:rPr>
          <w:noProof/>
        </w:rPr>
        <w:drawing>
          <wp:inline distT="0" distB="0" distL="0" distR="0" wp14:anchorId="2CAEC9A7" wp14:editId="29E9297F">
            <wp:extent cx="2790825" cy="29718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90825" cy="2971800"/>
                    </a:xfrm>
                    <a:prstGeom prst="rect">
                      <a:avLst/>
                    </a:prstGeom>
                  </pic:spPr>
                </pic:pic>
              </a:graphicData>
            </a:graphic>
          </wp:inline>
        </w:drawing>
      </w:r>
    </w:p>
    <w:p w14:paraId="750D4715" w14:textId="5C43288B" w:rsidR="00E04252" w:rsidRPr="004D60DE" w:rsidRDefault="004D60DE" w:rsidP="004D60DE">
      <w:pPr>
        <w:spacing w:line="360" w:lineRule="auto"/>
        <w:rPr>
          <w:rFonts w:cs="Arial"/>
          <w:i/>
          <w:iCs/>
          <w:sz w:val="20"/>
          <w:szCs w:val="20"/>
        </w:rPr>
      </w:pPr>
      <w:r w:rsidRPr="004D60DE">
        <w:rPr>
          <w:rFonts w:cs="Arial"/>
          <w:i/>
          <w:iCs/>
          <w:sz w:val="20"/>
          <w:szCs w:val="20"/>
        </w:rPr>
        <w:t>Figure</w:t>
      </w:r>
      <w:r w:rsidR="005E6D9B">
        <w:rPr>
          <w:rFonts w:cs="Arial"/>
          <w:i/>
          <w:iCs/>
          <w:sz w:val="20"/>
          <w:szCs w:val="20"/>
        </w:rPr>
        <w:t xml:space="preserve"> 8.0</w:t>
      </w:r>
      <w:r w:rsidRPr="004D60DE">
        <w:rPr>
          <w:rFonts w:cs="Arial"/>
          <w:i/>
          <w:iCs/>
          <w:sz w:val="20"/>
          <w:szCs w:val="20"/>
        </w:rPr>
        <w:t xml:space="preserve"> Iron exiting the MIR in service.          Figur</w:t>
      </w:r>
      <w:r w:rsidR="005E6D9B">
        <w:rPr>
          <w:rFonts w:cs="Arial"/>
          <w:i/>
          <w:iCs/>
          <w:sz w:val="20"/>
          <w:szCs w:val="20"/>
        </w:rPr>
        <w:t>e 8.1</w:t>
      </w:r>
      <w:r w:rsidRPr="004D60DE">
        <w:rPr>
          <w:rFonts w:cs="Arial"/>
          <w:i/>
          <w:iCs/>
          <w:sz w:val="20"/>
          <w:szCs w:val="20"/>
        </w:rPr>
        <w:t xml:space="preserve"> - Frozen iron with extent of damage shown.</w:t>
      </w:r>
    </w:p>
    <w:p w14:paraId="31CB714D" w14:textId="1DA65A08" w:rsidR="00AE2C10" w:rsidRDefault="00977322" w:rsidP="007F1915">
      <w:pPr>
        <w:spacing w:line="360" w:lineRule="auto"/>
        <w:rPr>
          <w:rFonts w:cs="Arial"/>
        </w:rPr>
      </w:pPr>
      <w:r>
        <w:rPr>
          <w:noProof/>
        </w:rPr>
        <w:lastRenderedPageBreak/>
        <w:drawing>
          <wp:inline distT="0" distB="0" distL="0" distR="0" wp14:anchorId="11D89F81" wp14:editId="5566D87D">
            <wp:extent cx="5731510" cy="2625090"/>
            <wp:effectExtent l="0" t="0" r="254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625090"/>
                    </a:xfrm>
                    <a:prstGeom prst="rect">
                      <a:avLst/>
                    </a:prstGeom>
                  </pic:spPr>
                </pic:pic>
              </a:graphicData>
            </a:graphic>
          </wp:inline>
        </w:drawing>
      </w:r>
    </w:p>
    <w:p w14:paraId="1041B8DE" w14:textId="1B225E54" w:rsidR="00977322" w:rsidRPr="00977322" w:rsidRDefault="00977322" w:rsidP="00977322">
      <w:pPr>
        <w:spacing w:line="360" w:lineRule="auto"/>
        <w:jc w:val="center"/>
        <w:rPr>
          <w:rFonts w:cs="Arial"/>
          <w:i/>
          <w:iCs/>
          <w:sz w:val="20"/>
          <w:szCs w:val="20"/>
        </w:rPr>
      </w:pPr>
      <w:r w:rsidRPr="00977322">
        <w:rPr>
          <w:rFonts w:cs="Arial"/>
          <w:i/>
          <w:iCs/>
          <w:sz w:val="20"/>
          <w:szCs w:val="20"/>
        </w:rPr>
        <w:t xml:space="preserve">Figure </w:t>
      </w:r>
      <w:r w:rsidR="005E6D9B">
        <w:rPr>
          <w:rFonts w:cs="Arial"/>
          <w:i/>
          <w:iCs/>
          <w:sz w:val="20"/>
          <w:szCs w:val="20"/>
        </w:rPr>
        <w:t>8.2</w:t>
      </w:r>
      <w:r w:rsidRPr="00977322">
        <w:rPr>
          <w:rFonts w:cs="Arial"/>
          <w:i/>
          <w:iCs/>
          <w:sz w:val="20"/>
          <w:szCs w:val="20"/>
        </w:rPr>
        <w:t xml:space="preserve"> – The thermocouple trend for the LoC incident.</w:t>
      </w:r>
    </w:p>
    <w:p w14:paraId="716F7EDA" w14:textId="5FA42B48" w:rsidR="00787EBE" w:rsidRPr="005126E8" w:rsidRDefault="00A628CC" w:rsidP="007F1915">
      <w:pPr>
        <w:spacing w:line="360" w:lineRule="auto"/>
        <w:rPr>
          <w:rFonts w:cs="Arial"/>
        </w:rPr>
      </w:pPr>
      <w:r>
        <w:rPr>
          <w:rFonts w:cs="Arial"/>
        </w:rPr>
        <w:t xml:space="preserve">An assessment on the process that led to the LoC </w:t>
      </w:r>
      <w:r w:rsidR="00DF7BC2">
        <w:rPr>
          <w:rFonts w:cs="Arial"/>
        </w:rPr>
        <w:t xml:space="preserve">uncovered several issues, more notably the lack of alarm </w:t>
      </w:r>
      <w:r w:rsidR="003E2187">
        <w:rPr>
          <w:rFonts w:cs="Arial"/>
        </w:rPr>
        <w:t xml:space="preserve">for the sudden, steep climb in thermocouple temperature. </w:t>
      </w:r>
      <w:r w:rsidR="0008506C">
        <w:rPr>
          <w:rFonts w:cs="Arial"/>
        </w:rPr>
        <w:t xml:space="preserve">Thermocouple alarm limits are predefined setpoints to alert operators </w:t>
      </w:r>
      <w:r w:rsidR="00311319">
        <w:rPr>
          <w:rFonts w:cs="Arial"/>
        </w:rPr>
        <w:t xml:space="preserve">when temperatures exceed a certain </w:t>
      </w:r>
      <w:r w:rsidR="00113A68">
        <w:rPr>
          <w:rFonts w:cs="Arial"/>
        </w:rPr>
        <w:t>threshold</w:t>
      </w:r>
      <w:r w:rsidR="00311319">
        <w:rPr>
          <w:rFonts w:cs="Arial"/>
        </w:rPr>
        <w:t xml:space="preserve">. In this instance they didn’t, to better prepare for future scenarios the integration of </w:t>
      </w:r>
      <w:r w:rsidR="00113A68">
        <w:rPr>
          <w:rFonts w:cs="Arial"/>
        </w:rPr>
        <w:t xml:space="preserve">alarm limits must be set to ensure the process maintains maximum efficiency in protecting people, and the assets themselves. </w:t>
      </w:r>
    </w:p>
    <w:p w14:paraId="261506ED" w14:textId="157CD7CD" w:rsidR="002E74A5" w:rsidRPr="00C4734C" w:rsidRDefault="002E74A5" w:rsidP="007F1915">
      <w:pPr>
        <w:spacing w:line="360" w:lineRule="auto"/>
        <w:rPr>
          <w:rFonts w:cs="Arial"/>
          <w:b/>
          <w:bCs/>
          <w:u w:val="single"/>
        </w:rPr>
      </w:pPr>
      <w:r w:rsidRPr="00C4734C">
        <w:rPr>
          <w:rFonts w:cs="Arial"/>
          <w:b/>
          <w:bCs/>
          <w:u w:val="single"/>
        </w:rPr>
        <w:t xml:space="preserve">Task 2 </w:t>
      </w:r>
      <w:r w:rsidR="001777E8" w:rsidRPr="00C4734C">
        <w:rPr>
          <w:rFonts w:cs="Arial"/>
          <w:b/>
          <w:bCs/>
          <w:u w:val="single"/>
        </w:rPr>
        <w:t xml:space="preserve">– Cruise control system. </w:t>
      </w:r>
    </w:p>
    <w:p w14:paraId="617B2ECA" w14:textId="264033C5" w:rsidR="00524DBA" w:rsidRDefault="00260DB3" w:rsidP="00CF3A44">
      <w:pPr>
        <w:spacing w:line="360" w:lineRule="auto"/>
        <w:rPr>
          <w:rFonts w:cs="Arial"/>
        </w:rPr>
      </w:pPr>
      <w:r>
        <w:rPr>
          <w:rFonts w:cs="Arial"/>
        </w:rPr>
        <w:t xml:space="preserve">Cruise control is a technology that forms part of a suite of </w:t>
      </w:r>
      <w:r w:rsidR="007D0E3B">
        <w:rPr>
          <w:rFonts w:cs="Arial"/>
        </w:rPr>
        <w:t>driver</w:t>
      </w:r>
      <w:r>
        <w:rPr>
          <w:rFonts w:cs="Arial"/>
        </w:rPr>
        <w:t xml:space="preserve"> assistance systems (ADAS), that allow your car to drive at a constant set speed</w:t>
      </w:r>
      <w:r w:rsidR="00F466FF">
        <w:rPr>
          <w:rFonts w:cs="Arial"/>
        </w:rPr>
        <w:t>, without having to put you foot on the accelerator</w:t>
      </w:r>
      <w:r w:rsidR="00E71CFF">
        <w:rPr>
          <w:rFonts w:cs="Arial"/>
        </w:rPr>
        <w:t xml:space="preserve"> (Staff, 2023)</w:t>
      </w:r>
      <w:r w:rsidR="00F466FF">
        <w:rPr>
          <w:rFonts w:cs="Arial"/>
        </w:rPr>
        <w:t xml:space="preserve">. It is one of the technologies that is a regarded as a stepping stone to fully autonomous driving, and is a incredibly useful </w:t>
      </w:r>
      <w:r w:rsidR="007D0E3B">
        <w:rPr>
          <w:rFonts w:cs="Arial"/>
        </w:rPr>
        <w:t xml:space="preserve">tool for drivers. The origins of the system were first </w:t>
      </w:r>
      <w:r w:rsidR="00C42A76">
        <w:rPr>
          <w:rFonts w:cs="Arial"/>
        </w:rPr>
        <w:t xml:space="preserve">discovered back in 1948,  when Ralph Teetor a blind American </w:t>
      </w:r>
      <w:r w:rsidR="001250A7">
        <w:rPr>
          <w:rFonts w:cs="Arial"/>
        </w:rPr>
        <w:t>mechanical engineer updated the sped control technology from the 18</w:t>
      </w:r>
      <w:r w:rsidR="001250A7" w:rsidRPr="001250A7">
        <w:rPr>
          <w:rFonts w:cs="Arial"/>
          <w:vertAlign w:val="superscript"/>
        </w:rPr>
        <w:t>th</w:t>
      </w:r>
      <w:r w:rsidR="001250A7">
        <w:rPr>
          <w:rFonts w:cs="Arial"/>
        </w:rPr>
        <w:t xml:space="preserve"> century steam engines</w:t>
      </w:r>
      <w:r w:rsidR="00E71CFF">
        <w:rPr>
          <w:rFonts w:cs="Arial"/>
        </w:rPr>
        <w:t xml:space="preserve"> (Staff, 2023)</w:t>
      </w:r>
      <w:r w:rsidR="001250A7">
        <w:rPr>
          <w:rFonts w:cs="Arial"/>
        </w:rPr>
        <w:t xml:space="preserve">. </w:t>
      </w:r>
    </w:p>
    <w:p w14:paraId="644BBDBD" w14:textId="725ABF93" w:rsidR="00CF3A44" w:rsidRDefault="000F75EB" w:rsidP="00CF3A44">
      <w:pPr>
        <w:spacing w:line="360" w:lineRule="auto"/>
        <w:rPr>
          <w:rFonts w:cs="Arial"/>
        </w:rPr>
      </w:pPr>
      <w:r>
        <w:rPr>
          <w:rFonts w:cs="Arial"/>
        </w:rPr>
        <w:t xml:space="preserve">Encoding and decoding are used in many </w:t>
      </w:r>
      <w:r w:rsidR="00E83666">
        <w:rPr>
          <w:rFonts w:cs="Arial"/>
        </w:rPr>
        <w:t>different</w:t>
      </w:r>
      <w:r>
        <w:rPr>
          <w:rFonts w:cs="Arial"/>
        </w:rPr>
        <w:t xml:space="preserve"> forms of communication, this can include </w:t>
      </w:r>
      <w:r w:rsidR="00181227">
        <w:rPr>
          <w:rFonts w:cs="Arial"/>
        </w:rPr>
        <w:t>computing, data communications, programming, digital electronics, and human communications.</w:t>
      </w:r>
      <w:r w:rsidR="00E83666">
        <w:rPr>
          <w:rFonts w:cs="Arial"/>
        </w:rPr>
        <w:t xml:space="preserve"> These processes involve the change in format of content for optimal transmission or storage. </w:t>
      </w:r>
    </w:p>
    <w:p w14:paraId="26E1357B" w14:textId="626681D0" w:rsidR="00F23F1A" w:rsidRDefault="00F430B3" w:rsidP="00CF3A44">
      <w:pPr>
        <w:spacing w:line="360" w:lineRule="auto"/>
        <w:rPr>
          <w:rFonts w:cs="Arial"/>
        </w:rPr>
      </w:pPr>
      <w:r>
        <w:rPr>
          <w:noProof/>
        </w:rPr>
        <w:drawing>
          <wp:inline distT="0" distB="0" distL="0" distR="0" wp14:anchorId="7CE8ACF9" wp14:editId="75891515">
            <wp:extent cx="2857500" cy="5607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84378" cy="565979"/>
                    </a:xfrm>
                    <a:prstGeom prst="rect">
                      <a:avLst/>
                    </a:prstGeom>
                  </pic:spPr>
                </pic:pic>
              </a:graphicData>
            </a:graphic>
          </wp:inline>
        </w:drawing>
      </w:r>
      <w:r>
        <w:rPr>
          <w:rFonts w:cs="Arial"/>
        </w:rPr>
        <w:t xml:space="preserve"> </w:t>
      </w:r>
      <w:r w:rsidR="003D626B">
        <w:rPr>
          <w:noProof/>
        </w:rPr>
        <w:drawing>
          <wp:inline distT="0" distB="0" distL="0" distR="0" wp14:anchorId="118EEBFF" wp14:editId="335EB955">
            <wp:extent cx="2819400" cy="58039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834990" cy="583599"/>
                    </a:xfrm>
                    <a:prstGeom prst="rect">
                      <a:avLst/>
                    </a:prstGeom>
                  </pic:spPr>
                </pic:pic>
              </a:graphicData>
            </a:graphic>
          </wp:inline>
        </w:drawing>
      </w:r>
    </w:p>
    <w:p w14:paraId="3CE4EA16" w14:textId="0709A6ED" w:rsidR="00E83666" w:rsidRPr="005703B2" w:rsidRDefault="003D626B" w:rsidP="00CF3A44">
      <w:pPr>
        <w:spacing w:line="360" w:lineRule="auto"/>
        <w:rPr>
          <w:rFonts w:cs="Arial"/>
          <w:i/>
          <w:iCs/>
          <w:sz w:val="16"/>
          <w:szCs w:val="16"/>
        </w:rPr>
      </w:pPr>
      <w:r w:rsidRPr="005703B2">
        <w:rPr>
          <w:rFonts w:cs="Arial"/>
          <w:i/>
          <w:iCs/>
          <w:sz w:val="16"/>
          <w:szCs w:val="16"/>
        </w:rPr>
        <w:t>Figure</w:t>
      </w:r>
      <w:r w:rsidR="00BE39C7">
        <w:rPr>
          <w:rFonts w:cs="Arial"/>
          <w:i/>
          <w:iCs/>
          <w:sz w:val="16"/>
          <w:szCs w:val="16"/>
        </w:rPr>
        <w:t xml:space="preserve"> 9.0</w:t>
      </w:r>
      <w:r w:rsidRPr="005703B2">
        <w:rPr>
          <w:rFonts w:cs="Arial"/>
          <w:i/>
          <w:iCs/>
          <w:sz w:val="16"/>
          <w:szCs w:val="16"/>
        </w:rPr>
        <w:t xml:space="preserve"> - </w:t>
      </w:r>
      <w:r w:rsidR="00FF3E90" w:rsidRPr="005703B2">
        <w:rPr>
          <w:rFonts w:cs="Arial"/>
          <w:i/>
          <w:iCs/>
          <w:sz w:val="16"/>
          <w:szCs w:val="16"/>
        </w:rPr>
        <w:t>Calculation required for raw binary into decimal</w:t>
      </w:r>
      <w:r w:rsidR="005703B2" w:rsidRPr="005703B2">
        <w:rPr>
          <w:rFonts w:cs="Arial"/>
          <w:i/>
          <w:iCs/>
          <w:sz w:val="16"/>
          <w:szCs w:val="16"/>
        </w:rPr>
        <w:t>.</w:t>
      </w:r>
      <w:r w:rsidR="00FF3E90" w:rsidRPr="005703B2">
        <w:rPr>
          <w:rFonts w:cs="Arial"/>
          <w:i/>
          <w:iCs/>
          <w:sz w:val="16"/>
          <w:szCs w:val="16"/>
        </w:rPr>
        <w:t xml:space="preserve"> </w:t>
      </w:r>
      <w:r w:rsidR="005703B2">
        <w:rPr>
          <w:rFonts w:cs="Arial"/>
          <w:i/>
          <w:iCs/>
          <w:sz w:val="16"/>
          <w:szCs w:val="16"/>
        </w:rPr>
        <w:t xml:space="preserve">        </w:t>
      </w:r>
      <w:r w:rsidR="00FF3E90" w:rsidRPr="005703B2">
        <w:rPr>
          <w:rFonts w:cs="Arial"/>
          <w:i/>
          <w:iCs/>
          <w:sz w:val="16"/>
          <w:szCs w:val="16"/>
        </w:rPr>
        <w:t>Figure</w:t>
      </w:r>
      <w:r w:rsidR="00BE39C7">
        <w:rPr>
          <w:rFonts w:cs="Arial"/>
          <w:i/>
          <w:iCs/>
          <w:sz w:val="16"/>
          <w:szCs w:val="16"/>
        </w:rPr>
        <w:t xml:space="preserve"> 9.1</w:t>
      </w:r>
      <w:r w:rsidR="00FF3E90" w:rsidRPr="005703B2">
        <w:rPr>
          <w:rFonts w:cs="Arial"/>
          <w:i/>
          <w:iCs/>
          <w:sz w:val="16"/>
          <w:szCs w:val="16"/>
        </w:rPr>
        <w:t xml:space="preserve"> Calculation </w:t>
      </w:r>
      <w:r w:rsidR="005703B2" w:rsidRPr="005703B2">
        <w:rPr>
          <w:rFonts w:cs="Arial"/>
          <w:i/>
          <w:iCs/>
          <w:sz w:val="16"/>
          <w:szCs w:val="16"/>
        </w:rPr>
        <w:t xml:space="preserve">control output from decimal to binary. </w:t>
      </w:r>
    </w:p>
    <w:p w14:paraId="31FB0C61" w14:textId="353864A3" w:rsidR="0064255B" w:rsidRDefault="00924833" w:rsidP="0064255B">
      <w:pPr>
        <w:spacing w:line="360" w:lineRule="auto"/>
        <w:jc w:val="center"/>
        <w:rPr>
          <w:rFonts w:cs="Arial"/>
        </w:rPr>
      </w:pPr>
      <w:r>
        <w:rPr>
          <w:noProof/>
        </w:rPr>
        <w:lastRenderedPageBreak/>
        <w:drawing>
          <wp:inline distT="0" distB="0" distL="0" distR="0" wp14:anchorId="64AEE2B9" wp14:editId="5945D8C3">
            <wp:extent cx="4830792" cy="2535555"/>
            <wp:effectExtent l="0" t="0" r="825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66712" cy="2554408"/>
                    </a:xfrm>
                    <a:prstGeom prst="rect">
                      <a:avLst/>
                    </a:prstGeom>
                  </pic:spPr>
                </pic:pic>
              </a:graphicData>
            </a:graphic>
          </wp:inline>
        </w:drawing>
      </w:r>
    </w:p>
    <w:p w14:paraId="05C2CAD5" w14:textId="3F08AE8D" w:rsidR="0064255B" w:rsidRPr="00420D12" w:rsidRDefault="0064255B" w:rsidP="0064255B">
      <w:pPr>
        <w:spacing w:line="360" w:lineRule="auto"/>
        <w:jc w:val="center"/>
        <w:rPr>
          <w:rFonts w:cs="Arial"/>
          <w:i/>
          <w:iCs/>
          <w:sz w:val="20"/>
          <w:szCs w:val="20"/>
        </w:rPr>
      </w:pPr>
      <w:r w:rsidRPr="00420D12">
        <w:rPr>
          <w:rFonts w:cs="Arial"/>
          <w:i/>
          <w:iCs/>
          <w:sz w:val="20"/>
          <w:szCs w:val="20"/>
        </w:rPr>
        <w:t xml:space="preserve">Figure </w:t>
      </w:r>
      <w:r w:rsidR="00BE39C7">
        <w:rPr>
          <w:rFonts w:cs="Arial"/>
          <w:i/>
          <w:iCs/>
          <w:sz w:val="20"/>
          <w:szCs w:val="20"/>
        </w:rPr>
        <w:t xml:space="preserve">9.2 </w:t>
      </w:r>
      <w:r w:rsidRPr="00420D12">
        <w:rPr>
          <w:rFonts w:cs="Arial"/>
          <w:i/>
          <w:iCs/>
          <w:sz w:val="20"/>
          <w:szCs w:val="20"/>
        </w:rPr>
        <w:t xml:space="preserve"> Encoding </w:t>
      </w:r>
      <w:r w:rsidR="00420D12" w:rsidRPr="00420D12">
        <w:rPr>
          <w:rFonts w:cs="Arial"/>
          <w:i/>
          <w:iCs/>
          <w:sz w:val="20"/>
          <w:szCs w:val="20"/>
        </w:rPr>
        <w:t xml:space="preserve">of system. </w:t>
      </w:r>
    </w:p>
    <w:p w14:paraId="06A65AC7" w14:textId="4C3F4306" w:rsidR="00924833" w:rsidRDefault="0064255B" w:rsidP="0064255B">
      <w:pPr>
        <w:spacing w:line="360" w:lineRule="auto"/>
        <w:jc w:val="center"/>
        <w:rPr>
          <w:rFonts w:cs="Arial"/>
        </w:rPr>
      </w:pPr>
      <w:r>
        <w:rPr>
          <w:noProof/>
        </w:rPr>
        <w:drawing>
          <wp:inline distT="0" distB="0" distL="0" distR="0" wp14:anchorId="3A60F751" wp14:editId="77DB5AD4">
            <wp:extent cx="5158105" cy="1544128"/>
            <wp:effectExtent l="0" t="0" r="444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12655" cy="1620330"/>
                    </a:xfrm>
                    <a:prstGeom prst="rect">
                      <a:avLst/>
                    </a:prstGeom>
                  </pic:spPr>
                </pic:pic>
              </a:graphicData>
            </a:graphic>
          </wp:inline>
        </w:drawing>
      </w:r>
    </w:p>
    <w:p w14:paraId="2FC787C2" w14:textId="75A8A6F6" w:rsidR="00420D12" w:rsidRPr="00420D12" w:rsidRDefault="00420D12" w:rsidP="0064255B">
      <w:pPr>
        <w:spacing w:line="360" w:lineRule="auto"/>
        <w:jc w:val="center"/>
        <w:rPr>
          <w:rFonts w:cs="Arial"/>
          <w:i/>
          <w:iCs/>
          <w:sz w:val="20"/>
          <w:szCs w:val="20"/>
        </w:rPr>
      </w:pPr>
      <w:r w:rsidRPr="00420D12">
        <w:rPr>
          <w:rFonts w:cs="Arial"/>
          <w:i/>
          <w:iCs/>
          <w:sz w:val="20"/>
          <w:szCs w:val="20"/>
        </w:rPr>
        <w:t>Figure</w:t>
      </w:r>
      <w:r w:rsidR="00BE39C7">
        <w:rPr>
          <w:rFonts w:cs="Arial"/>
          <w:i/>
          <w:iCs/>
          <w:sz w:val="20"/>
          <w:szCs w:val="20"/>
        </w:rPr>
        <w:t xml:space="preserve"> 9.3</w:t>
      </w:r>
      <w:r w:rsidRPr="00420D12">
        <w:rPr>
          <w:rFonts w:cs="Arial"/>
          <w:i/>
          <w:iCs/>
          <w:sz w:val="20"/>
          <w:szCs w:val="20"/>
        </w:rPr>
        <w:t xml:space="preserve"> Decoding of system. </w:t>
      </w:r>
    </w:p>
    <w:p w14:paraId="5B497252" w14:textId="6F3598FD" w:rsidR="00AD6B59" w:rsidRDefault="00C64DCE" w:rsidP="00CF3A44">
      <w:pPr>
        <w:spacing w:line="360" w:lineRule="auto"/>
        <w:rPr>
          <w:rFonts w:cs="Arial"/>
        </w:rPr>
      </w:pPr>
      <w:r>
        <w:rPr>
          <w:rFonts w:cs="Arial"/>
        </w:rPr>
        <w:t>Proportional</w:t>
      </w:r>
      <w:r w:rsidR="001A048C">
        <w:rPr>
          <w:rFonts w:cs="Arial"/>
        </w:rPr>
        <w:t xml:space="preserve">-Integral-Derivative (PID) control is the most common control algorithm that is used throughout industry, and has been universally accepted as </w:t>
      </w:r>
      <w:r w:rsidR="00586FC4">
        <w:rPr>
          <w:rFonts w:cs="Arial"/>
        </w:rPr>
        <w:t xml:space="preserve">an industrial control. Th popularity of PID controllers can be linked to the robustness of their performance </w:t>
      </w:r>
      <w:r w:rsidR="002632BF">
        <w:rPr>
          <w:rFonts w:cs="Arial"/>
        </w:rPr>
        <w:t xml:space="preserve">within a wide range of operating </w:t>
      </w:r>
      <w:r w:rsidR="00706DE0">
        <w:rPr>
          <w:rFonts w:cs="Arial"/>
        </w:rPr>
        <w:t xml:space="preserve">conditions/environment due to their simplistic </w:t>
      </w:r>
      <w:r w:rsidR="004A2D66">
        <w:rPr>
          <w:rFonts w:cs="Arial"/>
        </w:rPr>
        <w:t>operational functionality</w:t>
      </w:r>
      <w:r w:rsidR="00AE417E">
        <w:rPr>
          <w:rFonts w:cs="Arial"/>
        </w:rPr>
        <w:t xml:space="preserve"> (Zola, 2021)</w:t>
      </w:r>
      <w:r w:rsidR="004A2D66">
        <w:rPr>
          <w:rFonts w:cs="Arial"/>
        </w:rPr>
        <w:t xml:space="preserve">. </w:t>
      </w:r>
      <w:r w:rsidR="00047E35">
        <w:rPr>
          <w:rFonts w:cs="Arial"/>
        </w:rPr>
        <w:t xml:space="preserve">The </w:t>
      </w:r>
      <w:r w:rsidR="00C4473F">
        <w:rPr>
          <w:rFonts w:cs="Arial"/>
        </w:rPr>
        <w:t>proportional</w:t>
      </w:r>
      <w:r w:rsidR="00047E35">
        <w:rPr>
          <w:rFonts w:cs="Arial"/>
        </w:rPr>
        <w:t xml:space="preserve"> </w:t>
      </w:r>
      <w:r w:rsidR="002C4FB4">
        <w:rPr>
          <w:rFonts w:cs="Arial"/>
        </w:rPr>
        <w:t xml:space="preserve">component refers to the difference that is between the set point and the process variable. The difference </w:t>
      </w:r>
      <w:r w:rsidR="00440F1A">
        <w:rPr>
          <w:rFonts w:cs="Arial"/>
        </w:rPr>
        <w:t xml:space="preserve">can be referred t as the error term. The </w:t>
      </w:r>
      <w:r w:rsidR="00C4473F">
        <w:rPr>
          <w:rFonts w:cs="Arial"/>
        </w:rPr>
        <w:t>proportional</w:t>
      </w:r>
      <w:r w:rsidR="00440F1A">
        <w:rPr>
          <w:rFonts w:cs="Arial"/>
        </w:rPr>
        <w:t xml:space="preserve"> gain (Kc) </w:t>
      </w:r>
      <w:r w:rsidR="00890334">
        <w:rPr>
          <w:rFonts w:cs="Arial"/>
        </w:rPr>
        <w:t xml:space="preserve">is what determines the ratio output response to the error of the signal. For instance, if </w:t>
      </w:r>
      <w:r w:rsidR="00122D9C">
        <w:rPr>
          <w:rFonts w:cs="Arial"/>
        </w:rPr>
        <w:t>an error term has a greater</w:t>
      </w:r>
      <w:r w:rsidR="00C4473F">
        <w:rPr>
          <w:rFonts w:cs="Arial"/>
        </w:rPr>
        <w:t xml:space="preserve"> magnitude of 10, a proportional gain of 5 would produce a proportional response of 50. To </w:t>
      </w:r>
      <w:r w:rsidR="000C5673">
        <w:rPr>
          <w:rFonts w:cs="Arial"/>
        </w:rPr>
        <w:t>generalise</w:t>
      </w:r>
      <w:r w:rsidR="00C4473F">
        <w:rPr>
          <w:rFonts w:cs="Arial"/>
        </w:rPr>
        <w:t xml:space="preserve">, increasing the </w:t>
      </w:r>
      <w:r w:rsidR="000C5673">
        <w:rPr>
          <w:rFonts w:cs="Arial"/>
        </w:rPr>
        <w:t>proportional</w:t>
      </w:r>
      <w:r w:rsidR="00C4473F">
        <w:rPr>
          <w:rFonts w:cs="Arial"/>
        </w:rPr>
        <w:t xml:space="preserve"> gain </w:t>
      </w:r>
      <w:r w:rsidR="000C5673">
        <w:rPr>
          <w:rFonts w:cs="Arial"/>
        </w:rPr>
        <w:t xml:space="preserve">will increase the speed of the control system response. </w:t>
      </w:r>
      <w:r w:rsidR="00E32E26">
        <w:rPr>
          <w:rFonts w:cs="Arial"/>
        </w:rPr>
        <w:t xml:space="preserve">If the </w:t>
      </w:r>
      <w:r w:rsidR="00326ECC">
        <w:rPr>
          <w:rFonts w:cs="Arial"/>
        </w:rPr>
        <w:t>proportional</w:t>
      </w:r>
      <w:r w:rsidR="00E32E26">
        <w:rPr>
          <w:rFonts w:cs="Arial"/>
        </w:rPr>
        <w:t xml:space="preserve"> gain variable becomes too large the process </w:t>
      </w:r>
      <w:r w:rsidR="00326ECC">
        <w:rPr>
          <w:rFonts w:cs="Arial"/>
        </w:rPr>
        <w:t>variable</w:t>
      </w:r>
      <w:r w:rsidR="00E32E26">
        <w:rPr>
          <w:rFonts w:cs="Arial"/>
        </w:rPr>
        <w:t xml:space="preserve"> will begin to oscillate</w:t>
      </w:r>
      <w:r w:rsidR="002A63AA">
        <w:rPr>
          <w:rFonts w:cs="Arial"/>
        </w:rPr>
        <w:t xml:space="preserve">, if these variables continue to increase the oscillations have the potential to become completely unstable </w:t>
      </w:r>
      <w:r w:rsidR="00326ECC">
        <w:rPr>
          <w:rFonts w:cs="Arial"/>
        </w:rPr>
        <w:t>eventually leading to the oscillations becoming out of control</w:t>
      </w:r>
      <w:r w:rsidR="00AE417E">
        <w:rPr>
          <w:rFonts w:cs="Arial"/>
        </w:rPr>
        <w:t xml:space="preserve"> (Zola</w:t>
      </w:r>
      <w:r w:rsidR="00753E61">
        <w:rPr>
          <w:rFonts w:cs="Arial"/>
        </w:rPr>
        <w:t>, 2021)</w:t>
      </w:r>
      <w:r w:rsidR="0094230D">
        <w:rPr>
          <w:rFonts w:cs="Arial"/>
        </w:rPr>
        <w:t xml:space="preserve"> can be seen in figure 9.6</w:t>
      </w:r>
      <w:r w:rsidR="00326ECC">
        <w:rPr>
          <w:rFonts w:cs="Arial"/>
        </w:rPr>
        <w:t xml:space="preserve">. </w:t>
      </w:r>
      <w:r w:rsidR="00AE6BCA">
        <w:rPr>
          <w:rFonts w:cs="Arial"/>
        </w:rPr>
        <w:t xml:space="preserve">The figures below show the input change – </w:t>
      </w:r>
    </w:p>
    <w:p w14:paraId="64DFFDB3" w14:textId="22D26D3B" w:rsidR="00AE6BCA" w:rsidRDefault="00AE6BCA" w:rsidP="00C03157">
      <w:pPr>
        <w:spacing w:line="360" w:lineRule="auto"/>
        <w:jc w:val="center"/>
        <w:rPr>
          <w:rFonts w:cs="Arial"/>
        </w:rPr>
      </w:pPr>
      <w:r>
        <w:rPr>
          <w:noProof/>
        </w:rPr>
        <w:lastRenderedPageBreak/>
        <w:drawing>
          <wp:inline distT="0" distB="0" distL="0" distR="0" wp14:anchorId="7DB54087" wp14:editId="52BDB4D4">
            <wp:extent cx="4514224" cy="2631057"/>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33224" cy="2642131"/>
                    </a:xfrm>
                    <a:prstGeom prst="rect">
                      <a:avLst/>
                    </a:prstGeom>
                  </pic:spPr>
                </pic:pic>
              </a:graphicData>
            </a:graphic>
          </wp:inline>
        </w:drawing>
      </w:r>
    </w:p>
    <w:p w14:paraId="213FCF34" w14:textId="6A04F0EB" w:rsidR="00BE39C7" w:rsidRPr="006A1348" w:rsidRDefault="00BE39C7" w:rsidP="00C03157">
      <w:pPr>
        <w:spacing w:line="360" w:lineRule="auto"/>
        <w:jc w:val="center"/>
        <w:rPr>
          <w:rFonts w:cs="Arial"/>
          <w:i/>
          <w:iCs/>
          <w:sz w:val="20"/>
          <w:szCs w:val="20"/>
        </w:rPr>
      </w:pPr>
      <w:r w:rsidRPr="006A1348">
        <w:rPr>
          <w:rFonts w:cs="Arial"/>
          <w:i/>
          <w:iCs/>
          <w:sz w:val="20"/>
          <w:szCs w:val="20"/>
        </w:rPr>
        <w:t xml:space="preserve">Figure </w:t>
      </w:r>
      <w:r w:rsidR="006A1348" w:rsidRPr="006A1348">
        <w:rPr>
          <w:rFonts w:cs="Arial"/>
          <w:i/>
          <w:iCs/>
          <w:sz w:val="20"/>
          <w:szCs w:val="20"/>
        </w:rPr>
        <w:t xml:space="preserve">9.4 – PID set up. </w:t>
      </w:r>
    </w:p>
    <w:p w14:paraId="6C694F84" w14:textId="04648D5E" w:rsidR="00C03157" w:rsidRDefault="00D07151" w:rsidP="00D07151">
      <w:pPr>
        <w:spacing w:line="360" w:lineRule="auto"/>
        <w:jc w:val="center"/>
        <w:rPr>
          <w:rFonts w:cs="Arial"/>
        </w:rPr>
      </w:pPr>
      <w:r>
        <w:rPr>
          <w:noProof/>
        </w:rPr>
        <w:drawing>
          <wp:inline distT="0" distB="0" distL="0" distR="0" wp14:anchorId="2090089F" wp14:editId="03D0D9D0">
            <wp:extent cx="5920280" cy="3000375"/>
            <wp:effectExtent l="0" t="0" r="444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20280" cy="3000375"/>
                    </a:xfrm>
                    <a:prstGeom prst="rect">
                      <a:avLst/>
                    </a:prstGeom>
                  </pic:spPr>
                </pic:pic>
              </a:graphicData>
            </a:graphic>
          </wp:inline>
        </w:drawing>
      </w:r>
    </w:p>
    <w:p w14:paraId="13914A3A" w14:textId="1F77E62D" w:rsidR="006A1348" w:rsidRPr="006A1348" w:rsidRDefault="006A1348" w:rsidP="00D07151">
      <w:pPr>
        <w:spacing w:line="360" w:lineRule="auto"/>
        <w:jc w:val="center"/>
        <w:rPr>
          <w:rFonts w:cs="Arial"/>
          <w:i/>
          <w:iCs/>
          <w:sz w:val="20"/>
          <w:szCs w:val="20"/>
        </w:rPr>
      </w:pPr>
      <w:r w:rsidRPr="006A1348">
        <w:rPr>
          <w:rFonts w:cs="Arial"/>
          <w:i/>
          <w:iCs/>
          <w:sz w:val="20"/>
          <w:szCs w:val="20"/>
        </w:rPr>
        <w:t>Figure 9.5 – Initial PID input.</w:t>
      </w:r>
    </w:p>
    <w:p w14:paraId="62F81C94" w14:textId="5A7BE96F" w:rsidR="00D07151" w:rsidRDefault="00D07151" w:rsidP="002768E7">
      <w:pPr>
        <w:spacing w:line="360" w:lineRule="auto"/>
        <w:rPr>
          <w:rFonts w:cs="Arial"/>
        </w:rPr>
      </w:pPr>
      <w:r>
        <w:rPr>
          <w:rFonts w:cs="Arial"/>
        </w:rPr>
        <w:t xml:space="preserve">The defined PID inputs were </w:t>
      </w:r>
      <w:r w:rsidR="002768E7">
        <w:rPr>
          <w:rFonts w:cs="Arial"/>
        </w:rPr>
        <w:t xml:space="preserve">far off the suggested demand, to continue to work the system to correct further analysis was required to deviate the response. </w:t>
      </w:r>
    </w:p>
    <w:p w14:paraId="35FB31D7" w14:textId="29294D8C" w:rsidR="002768E7" w:rsidRDefault="00832B4F" w:rsidP="00832B4F">
      <w:pPr>
        <w:spacing w:line="360" w:lineRule="auto"/>
        <w:jc w:val="center"/>
        <w:rPr>
          <w:rFonts w:cs="Arial"/>
        </w:rPr>
      </w:pPr>
      <w:r>
        <w:rPr>
          <w:noProof/>
        </w:rPr>
        <w:lastRenderedPageBreak/>
        <w:drawing>
          <wp:inline distT="0" distB="0" distL="0" distR="0" wp14:anchorId="3090C59B" wp14:editId="23F424E0">
            <wp:extent cx="5583845" cy="29337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591752" cy="2937854"/>
                    </a:xfrm>
                    <a:prstGeom prst="rect">
                      <a:avLst/>
                    </a:prstGeom>
                  </pic:spPr>
                </pic:pic>
              </a:graphicData>
            </a:graphic>
          </wp:inline>
        </w:drawing>
      </w:r>
    </w:p>
    <w:p w14:paraId="2C43E1AA" w14:textId="49919FB6" w:rsidR="006A1348" w:rsidRPr="00693191" w:rsidRDefault="006A1348" w:rsidP="00832B4F">
      <w:pPr>
        <w:spacing w:line="360" w:lineRule="auto"/>
        <w:jc w:val="center"/>
        <w:rPr>
          <w:rFonts w:cs="Arial"/>
          <w:i/>
          <w:iCs/>
          <w:sz w:val="20"/>
          <w:szCs w:val="20"/>
        </w:rPr>
      </w:pPr>
      <w:r w:rsidRPr="00693191">
        <w:rPr>
          <w:rFonts w:cs="Arial"/>
          <w:i/>
          <w:iCs/>
          <w:sz w:val="20"/>
          <w:szCs w:val="20"/>
        </w:rPr>
        <w:t xml:space="preserve">Figure 9.6 – Input of </w:t>
      </w:r>
      <w:r w:rsidR="00693191" w:rsidRPr="00693191">
        <w:rPr>
          <w:rFonts w:cs="Arial"/>
          <w:i/>
          <w:iCs/>
          <w:sz w:val="20"/>
          <w:szCs w:val="20"/>
        </w:rPr>
        <w:t xml:space="preserve">PID integral resulting in unstable oscillation occurring. </w:t>
      </w:r>
    </w:p>
    <w:p w14:paraId="0DB0D048" w14:textId="7E4EC216" w:rsidR="002768E7" w:rsidRDefault="00832B4F" w:rsidP="002768E7">
      <w:pPr>
        <w:spacing w:line="360" w:lineRule="auto"/>
        <w:rPr>
          <w:rFonts w:cs="Arial"/>
        </w:rPr>
      </w:pPr>
      <w:r>
        <w:rPr>
          <w:rFonts w:cs="Arial"/>
        </w:rPr>
        <w:t xml:space="preserve">As previously mentioned, the increase in </w:t>
      </w:r>
      <w:r w:rsidR="00D25292">
        <w:rPr>
          <w:rFonts w:cs="Arial"/>
        </w:rPr>
        <w:t>proportional</w:t>
      </w:r>
      <w:r w:rsidR="00E66B4E">
        <w:rPr>
          <w:rFonts w:cs="Arial"/>
        </w:rPr>
        <w:t xml:space="preserve"> gain considered to be far greater than required </w:t>
      </w:r>
      <w:r w:rsidR="00D25292">
        <w:rPr>
          <w:rFonts w:cs="Arial"/>
        </w:rPr>
        <w:t>can negatively effect the oscillations, creating an out of control system. This can be seen in figure</w:t>
      </w:r>
      <w:r w:rsidR="00874896">
        <w:rPr>
          <w:rFonts w:cs="Arial"/>
        </w:rPr>
        <w:t xml:space="preserve"> 9.6</w:t>
      </w:r>
      <w:r w:rsidR="00D25292">
        <w:rPr>
          <w:rFonts w:cs="Arial"/>
        </w:rPr>
        <w:t xml:space="preserve"> above </w:t>
      </w:r>
      <w:r w:rsidR="007E0B01">
        <w:rPr>
          <w:rFonts w:cs="Arial"/>
        </w:rPr>
        <w:t xml:space="preserve">when the integral was increased far beyond its point. </w:t>
      </w:r>
    </w:p>
    <w:p w14:paraId="6FB41FE4" w14:textId="797BEB6C" w:rsidR="007E0B01" w:rsidRDefault="00FA0EBC" w:rsidP="002768E7">
      <w:pPr>
        <w:spacing w:line="360" w:lineRule="auto"/>
        <w:rPr>
          <w:rFonts w:cs="Arial"/>
        </w:rPr>
      </w:pPr>
      <w:r>
        <w:rPr>
          <w:noProof/>
        </w:rPr>
        <w:drawing>
          <wp:inline distT="0" distB="0" distL="0" distR="0" wp14:anchorId="2203884B" wp14:editId="7DD7A76C">
            <wp:extent cx="5731510" cy="242062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420620"/>
                    </a:xfrm>
                    <a:prstGeom prst="rect">
                      <a:avLst/>
                    </a:prstGeom>
                  </pic:spPr>
                </pic:pic>
              </a:graphicData>
            </a:graphic>
          </wp:inline>
        </w:drawing>
      </w:r>
    </w:p>
    <w:p w14:paraId="53262D8A" w14:textId="33DC29D8" w:rsidR="00693191" w:rsidRPr="00B53B73" w:rsidRDefault="00B53B73" w:rsidP="00B53B73">
      <w:pPr>
        <w:spacing w:line="360" w:lineRule="auto"/>
        <w:jc w:val="center"/>
        <w:rPr>
          <w:rFonts w:cs="Arial"/>
          <w:i/>
          <w:iCs/>
          <w:sz w:val="20"/>
          <w:szCs w:val="20"/>
        </w:rPr>
      </w:pPr>
      <w:r w:rsidRPr="00B53B73">
        <w:rPr>
          <w:rFonts w:cs="Arial"/>
          <w:i/>
          <w:iCs/>
          <w:sz w:val="20"/>
          <w:szCs w:val="20"/>
        </w:rPr>
        <w:t>Figure  9.7 – Further analysis of input resulting in closely mirrored response.</w:t>
      </w:r>
    </w:p>
    <w:p w14:paraId="1BA7D74F" w14:textId="0F96B815" w:rsidR="00042274" w:rsidRDefault="00FA0EBC" w:rsidP="00CF3A44">
      <w:pPr>
        <w:spacing w:line="360" w:lineRule="auto"/>
        <w:rPr>
          <w:rFonts w:cs="Arial"/>
        </w:rPr>
      </w:pPr>
      <w:r>
        <w:rPr>
          <w:rFonts w:cs="Arial"/>
        </w:rPr>
        <w:t xml:space="preserve">Eventually with further analysis the system closely represented the required path </w:t>
      </w:r>
      <w:r w:rsidR="00971534">
        <w:rPr>
          <w:rFonts w:cs="Arial"/>
        </w:rPr>
        <w:t xml:space="preserve">of demand vs actual velocity, as well as a more mirrored response in error. </w:t>
      </w:r>
    </w:p>
    <w:p w14:paraId="6E7B3FF9" w14:textId="74BA8370" w:rsidR="00090998" w:rsidRDefault="00532655" w:rsidP="00CF3A44">
      <w:pPr>
        <w:spacing w:line="360" w:lineRule="auto"/>
        <w:rPr>
          <w:rFonts w:cs="Arial"/>
        </w:rPr>
      </w:pPr>
      <w:r>
        <w:rPr>
          <w:rFonts w:cs="Arial"/>
        </w:rPr>
        <w:t xml:space="preserve">The longest guaranteed sampling time that was analysed and seemed sufficient </w:t>
      </w:r>
      <w:r w:rsidR="00F310AE">
        <w:rPr>
          <w:rFonts w:cs="Arial"/>
        </w:rPr>
        <w:t xml:space="preserve">to maintain performance was a figure of </w:t>
      </w:r>
      <w:r w:rsidR="00585A39">
        <w:rPr>
          <w:rFonts w:cs="Arial"/>
        </w:rPr>
        <w:t xml:space="preserve">Ts=0.01, the script still ran and produced a comprehensive guaranteed performance as depicted in figure 9.8 below. Further analysis </w:t>
      </w:r>
      <w:r w:rsidR="00D00720">
        <w:rPr>
          <w:rFonts w:cs="Arial"/>
        </w:rPr>
        <w:t xml:space="preserve">was undertaken </w:t>
      </w:r>
      <w:r w:rsidR="00D00720">
        <w:rPr>
          <w:rFonts w:cs="Arial"/>
        </w:rPr>
        <w:lastRenderedPageBreak/>
        <w:t xml:space="preserve">and it was realised that to slow the sampling times down any further will only result in errors occurring </w:t>
      </w:r>
      <w:r w:rsidR="00C012C1">
        <w:rPr>
          <w:rFonts w:cs="Arial"/>
        </w:rPr>
        <w:t xml:space="preserve">within the system, this is backed </w:t>
      </w:r>
      <w:r w:rsidR="00C11455">
        <w:rPr>
          <w:rFonts w:cs="Arial"/>
        </w:rPr>
        <w:t>u</w:t>
      </w:r>
      <w:r w:rsidR="00C012C1">
        <w:rPr>
          <w:rFonts w:cs="Arial"/>
        </w:rPr>
        <w:t xml:space="preserve">p by figure 9.9 where this is deemed evident. </w:t>
      </w:r>
    </w:p>
    <w:p w14:paraId="0468ACA0" w14:textId="6D4189F7" w:rsidR="00532655" w:rsidRDefault="00C11455" w:rsidP="00CF3A44">
      <w:pPr>
        <w:spacing w:line="360" w:lineRule="auto"/>
        <w:rPr>
          <w:rFonts w:cs="Arial"/>
        </w:rPr>
      </w:pPr>
      <w:r>
        <w:rPr>
          <w:noProof/>
        </w:rPr>
        <w:drawing>
          <wp:inline distT="0" distB="0" distL="0" distR="0" wp14:anchorId="0656C617" wp14:editId="1B0C6EFB">
            <wp:extent cx="5960853" cy="2870911"/>
            <wp:effectExtent l="0" t="0" r="1905"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67937" cy="2874323"/>
                    </a:xfrm>
                    <a:prstGeom prst="rect">
                      <a:avLst/>
                    </a:prstGeom>
                  </pic:spPr>
                </pic:pic>
              </a:graphicData>
            </a:graphic>
          </wp:inline>
        </w:drawing>
      </w:r>
    </w:p>
    <w:p w14:paraId="7A724910" w14:textId="299878A7" w:rsidR="00532655" w:rsidRPr="004B646F" w:rsidRDefault="00C11455" w:rsidP="004B646F">
      <w:pPr>
        <w:spacing w:line="360" w:lineRule="auto"/>
        <w:jc w:val="center"/>
        <w:rPr>
          <w:rFonts w:cs="Arial"/>
          <w:i/>
          <w:iCs/>
          <w:sz w:val="20"/>
          <w:szCs w:val="20"/>
        </w:rPr>
      </w:pPr>
      <w:r w:rsidRPr="004B646F">
        <w:rPr>
          <w:rFonts w:cs="Arial"/>
          <w:i/>
          <w:iCs/>
          <w:sz w:val="20"/>
          <w:szCs w:val="20"/>
        </w:rPr>
        <w:t>Figure 9.8</w:t>
      </w:r>
      <w:r w:rsidR="00FB33AB">
        <w:rPr>
          <w:rFonts w:cs="Arial"/>
          <w:i/>
          <w:iCs/>
          <w:sz w:val="20"/>
          <w:szCs w:val="20"/>
        </w:rPr>
        <w:t xml:space="preserve"> -</w:t>
      </w:r>
      <w:r w:rsidRPr="004B646F">
        <w:rPr>
          <w:rFonts w:cs="Arial"/>
          <w:i/>
          <w:iCs/>
          <w:sz w:val="20"/>
          <w:szCs w:val="20"/>
        </w:rPr>
        <w:t xml:space="preserve"> 0.01 sampling time still guaranteeing performance.</w:t>
      </w:r>
    </w:p>
    <w:p w14:paraId="6CB37A02" w14:textId="0AB0DB2A" w:rsidR="00C11455" w:rsidRDefault="004B646F" w:rsidP="00CF3A44">
      <w:pPr>
        <w:spacing w:line="360" w:lineRule="auto"/>
        <w:rPr>
          <w:rFonts w:cs="Arial"/>
        </w:rPr>
      </w:pPr>
      <w:r>
        <w:rPr>
          <w:noProof/>
        </w:rPr>
        <w:drawing>
          <wp:inline distT="0" distB="0" distL="0" distR="0" wp14:anchorId="3DD4A1E4" wp14:editId="30378928">
            <wp:extent cx="5731510" cy="2546350"/>
            <wp:effectExtent l="0" t="0" r="254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546350"/>
                    </a:xfrm>
                    <a:prstGeom prst="rect">
                      <a:avLst/>
                    </a:prstGeom>
                  </pic:spPr>
                </pic:pic>
              </a:graphicData>
            </a:graphic>
          </wp:inline>
        </w:drawing>
      </w:r>
    </w:p>
    <w:p w14:paraId="1376BEA9" w14:textId="56CD37C7" w:rsidR="00B53B73" w:rsidRPr="00F64F88" w:rsidRDefault="004B646F" w:rsidP="00F64F88">
      <w:pPr>
        <w:spacing w:line="360" w:lineRule="auto"/>
        <w:jc w:val="center"/>
        <w:rPr>
          <w:rFonts w:cs="Arial"/>
          <w:i/>
          <w:iCs/>
          <w:sz w:val="20"/>
          <w:szCs w:val="20"/>
        </w:rPr>
      </w:pPr>
      <w:r w:rsidRPr="00A33EEE">
        <w:rPr>
          <w:rFonts w:cs="Arial"/>
          <w:i/>
          <w:iCs/>
          <w:sz w:val="20"/>
          <w:szCs w:val="20"/>
        </w:rPr>
        <w:t>Figure 9.9</w:t>
      </w:r>
      <w:r w:rsidR="00FB33AB">
        <w:rPr>
          <w:rFonts w:cs="Arial"/>
          <w:i/>
          <w:iCs/>
          <w:sz w:val="20"/>
          <w:szCs w:val="20"/>
        </w:rPr>
        <w:t xml:space="preserve"> -</w:t>
      </w:r>
      <w:r w:rsidRPr="00A33EEE">
        <w:rPr>
          <w:rFonts w:cs="Arial"/>
          <w:i/>
          <w:iCs/>
          <w:sz w:val="20"/>
          <w:szCs w:val="20"/>
        </w:rPr>
        <w:t xml:space="preserve"> </w:t>
      </w:r>
      <w:r w:rsidR="00A33EEE" w:rsidRPr="00A33EEE">
        <w:rPr>
          <w:rFonts w:cs="Arial"/>
          <w:i/>
          <w:iCs/>
          <w:sz w:val="20"/>
          <w:szCs w:val="20"/>
        </w:rPr>
        <w:t xml:space="preserve">System sampling time slowed down </w:t>
      </w:r>
      <w:r w:rsidR="00A33EEE">
        <w:rPr>
          <w:rFonts w:cs="Arial"/>
          <w:i/>
          <w:iCs/>
          <w:sz w:val="20"/>
          <w:szCs w:val="20"/>
        </w:rPr>
        <w:t>f</w:t>
      </w:r>
      <w:r w:rsidR="00A33EEE" w:rsidRPr="00A33EEE">
        <w:rPr>
          <w:rFonts w:cs="Arial"/>
          <w:i/>
          <w:iCs/>
          <w:sz w:val="20"/>
          <w:szCs w:val="20"/>
        </w:rPr>
        <w:t>ar too much where errors are now occurring.</w:t>
      </w:r>
    </w:p>
    <w:p w14:paraId="75A8B0E6" w14:textId="41D6128B" w:rsidR="008E273A" w:rsidRDefault="005F2306" w:rsidP="008E273A">
      <w:pPr>
        <w:spacing w:line="360" w:lineRule="auto"/>
        <w:rPr>
          <w:rFonts w:cs="Arial"/>
        </w:rPr>
      </w:pPr>
      <w:r>
        <w:rPr>
          <w:rFonts w:cs="Arial"/>
        </w:rPr>
        <w:t>I</w:t>
      </w:r>
      <w:r w:rsidR="00791F15">
        <w:rPr>
          <w:rFonts w:cs="Arial"/>
        </w:rPr>
        <w:t xml:space="preserve">mplementation parameters </w:t>
      </w:r>
      <w:r w:rsidR="006B2533">
        <w:rPr>
          <w:rFonts w:cs="Arial"/>
        </w:rPr>
        <w:t>–</w:t>
      </w:r>
      <w:r w:rsidR="00791F15">
        <w:rPr>
          <w:rFonts w:cs="Arial"/>
        </w:rPr>
        <w:t xml:space="preserve"> </w:t>
      </w:r>
      <w:r w:rsidR="006B2533">
        <w:rPr>
          <w:rFonts w:cs="Arial"/>
        </w:rPr>
        <w:t xml:space="preserve">defining </w:t>
      </w:r>
      <w:r>
        <w:rPr>
          <w:rFonts w:cs="Arial"/>
        </w:rPr>
        <w:t>t</w:t>
      </w:r>
      <w:r w:rsidR="006B2533">
        <w:rPr>
          <w:rFonts w:cs="Arial"/>
        </w:rPr>
        <w:t>he characteristics of the control system rather than the simulation itself</w:t>
      </w:r>
      <w:r w:rsidR="006E18B9">
        <w:rPr>
          <w:rFonts w:cs="Arial"/>
        </w:rPr>
        <w:t>. These are parameters to do with the control system</w:t>
      </w:r>
      <w:r w:rsidR="00161CFA">
        <w:rPr>
          <w:rFonts w:cs="Arial"/>
        </w:rPr>
        <w:t>. First annotation</w:t>
      </w:r>
      <w:r>
        <w:rPr>
          <w:rFonts w:cs="Arial"/>
        </w:rPr>
        <w:t>; figure</w:t>
      </w:r>
      <w:r w:rsidR="00C67885">
        <w:rPr>
          <w:rFonts w:cs="Arial"/>
        </w:rPr>
        <w:t xml:space="preserve"> 10.0</w:t>
      </w:r>
      <w:r>
        <w:rPr>
          <w:rFonts w:cs="Arial"/>
        </w:rPr>
        <w:t xml:space="preserve"> </w:t>
      </w:r>
      <w:r w:rsidR="00161CFA">
        <w:rPr>
          <w:rFonts w:cs="Arial"/>
        </w:rPr>
        <w:t xml:space="preserve"> is the sampling time,</w:t>
      </w:r>
      <w:r>
        <w:rPr>
          <w:rFonts w:cs="Arial"/>
        </w:rPr>
        <w:t xml:space="preserve"> this is</w:t>
      </w:r>
      <w:r w:rsidR="00161CFA">
        <w:rPr>
          <w:rFonts w:cs="Arial"/>
        </w:rPr>
        <w:t xml:space="preserve"> how frequent </w:t>
      </w:r>
      <w:r w:rsidR="00FA4B1A">
        <w:rPr>
          <w:rFonts w:cs="Arial"/>
        </w:rPr>
        <w:t>the</w:t>
      </w:r>
      <w:r w:rsidR="00161CFA">
        <w:rPr>
          <w:rFonts w:cs="Arial"/>
        </w:rPr>
        <w:t xml:space="preserve"> control system is going to sample </w:t>
      </w:r>
      <w:r w:rsidR="001B3255">
        <w:rPr>
          <w:rFonts w:cs="Arial"/>
        </w:rPr>
        <w:t xml:space="preserve">an error and try to correct it, this is completed within a base unit of seconds. In the base model the system is going to sample and move to correct every 0.5 </w:t>
      </w:r>
      <w:r w:rsidR="00C423DC">
        <w:rPr>
          <w:rFonts w:cs="Arial"/>
        </w:rPr>
        <w:t xml:space="preserve">seconds. </w:t>
      </w:r>
      <w:r w:rsidR="008E273A">
        <w:rPr>
          <w:rFonts w:cs="Arial"/>
        </w:rPr>
        <w:t xml:space="preserve">Sampling times are key parameters to the design and performance of a control system, there are many different potential impacts that the alteration of sampling times can induce on the </w:t>
      </w:r>
      <w:r w:rsidR="008E273A">
        <w:rPr>
          <w:rFonts w:cs="Arial"/>
        </w:rPr>
        <w:lastRenderedPageBreak/>
        <w:t xml:space="preserve">system. The sampling time directly affects the responsiveness of the PID controller. Shorter sampling times allow the controller to respond more frequently to changes from the process variable enabling a faster disturbance rejection and tighter overall control. Slower response has the potential to lead to an increase in overshoot, settling times, and likelihood of instability occurring. </w:t>
      </w:r>
    </w:p>
    <w:p w14:paraId="6EE87B58" w14:textId="49C30C7A" w:rsidR="003C6D7C" w:rsidRDefault="00C67885" w:rsidP="00C67885">
      <w:pPr>
        <w:spacing w:line="360" w:lineRule="auto"/>
        <w:jc w:val="center"/>
        <w:rPr>
          <w:rFonts w:cs="Arial"/>
        </w:rPr>
      </w:pPr>
      <w:r>
        <w:rPr>
          <w:noProof/>
        </w:rPr>
        <w:drawing>
          <wp:inline distT="0" distB="0" distL="0" distR="0" wp14:anchorId="5AC282F4" wp14:editId="75933D6D">
            <wp:extent cx="4856671" cy="457200"/>
            <wp:effectExtent l="0" t="0" r="127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874276" cy="458857"/>
                    </a:xfrm>
                    <a:prstGeom prst="rect">
                      <a:avLst/>
                    </a:prstGeom>
                  </pic:spPr>
                </pic:pic>
              </a:graphicData>
            </a:graphic>
          </wp:inline>
        </w:drawing>
      </w:r>
    </w:p>
    <w:p w14:paraId="1E2C6813" w14:textId="04B2688A" w:rsidR="00C67885" w:rsidRPr="00765382" w:rsidRDefault="00C67885" w:rsidP="00C67885">
      <w:pPr>
        <w:spacing w:line="360" w:lineRule="auto"/>
        <w:jc w:val="center"/>
        <w:rPr>
          <w:rFonts w:cs="Arial"/>
          <w:i/>
          <w:iCs/>
          <w:sz w:val="20"/>
          <w:szCs w:val="20"/>
        </w:rPr>
      </w:pPr>
      <w:r w:rsidRPr="00765382">
        <w:rPr>
          <w:rFonts w:cs="Arial"/>
          <w:i/>
          <w:iCs/>
          <w:sz w:val="20"/>
          <w:szCs w:val="20"/>
        </w:rPr>
        <w:t>Figure 10.0</w:t>
      </w:r>
      <w:r w:rsidR="00FB33AB">
        <w:rPr>
          <w:rFonts w:cs="Arial"/>
          <w:i/>
          <w:iCs/>
          <w:sz w:val="20"/>
          <w:szCs w:val="20"/>
        </w:rPr>
        <w:t xml:space="preserve"> -</w:t>
      </w:r>
      <w:r w:rsidRPr="00765382">
        <w:rPr>
          <w:rFonts w:cs="Arial"/>
          <w:i/>
          <w:iCs/>
          <w:sz w:val="20"/>
          <w:szCs w:val="20"/>
        </w:rPr>
        <w:t xml:space="preserve"> Sampling time </w:t>
      </w:r>
      <w:r w:rsidR="00765382" w:rsidRPr="00765382">
        <w:rPr>
          <w:rFonts w:cs="Arial"/>
          <w:i/>
          <w:iCs/>
          <w:sz w:val="20"/>
          <w:szCs w:val="20"/>
        </w:rPr>
        <w:t xml:space="preserve">within the script. </w:t>
      </w:r>
    </w:p>
    <w:p w14:paraId="2114C51E" w14:textId="30E71C2A" w:rsidR="00C423DC" w:rsidRDefault="00C423DC" w:rsidP="007F1915">
      <w:pPr>
        <w:spacing w:line="360" w:lineRule="auto"/>
        <w:rPr>
          <w:rFonts w:cs="Arial"/>
        </w:rPr>
      </w:pPr>
      <w:r>
        <w:rPr>
          <w:rFonts w:cs="Arial"/>
        </w:rPr>
        <w:t xml:space="preserve">Velocity values – these are used to define the range in which </w:t>
      </w:r>
      <w:r w:rsidR="00054ABA">
        <w:rPr>
          <w:rFonts w:cs="Arial"/>
        </w:rPr>
        <w:t>the value of the velocity is conducted using the speed sensor , with a minimum value of 0.5 during its base unit</w:t>
      </w:r>
      <w:r w:rsidR="00FA4B1A">
        <w:rPr>
          <w:rFonts w:cs="Arial"/>
        </w:rPr>
        <w:t>; with a maximum if 150</w:t>
      </w:r>
      <w:r w:rsidR="00447CAF">
        <w:rPr>
          <w:rFonts w:cs="Arial"/>
        </w:rPr>
        <w:t xml:space="preserve"> seen below – </w:t>
      </w:r>
      <w:r w:rsidR="00FA4B1A">
        <w:rPr>
          <w:rFonts w:cs="Arial"/>
        </w:rPr>
        <w:t xml:space="preserve"> </w:t>
      </w:r>
    </w:p>
    <w:p w14:paraId="4711EC57" w14:textId="1E8DC7C2" w:rsidR="002018EB" w:rsidRDefault="0090350B" w:rsidP="00E15C3F">
      <w:pPr>
        <w:spacing w:line="360" w:lineRule="auto"/>
        <w:jc w:val="center"/>
        <w:rPr>
          <w:rFonts w:cs="Arial"/>
        </w:rPr>
      </w:pPr>
      <w:r>
        <w:rPr>
          <w:noProof/>
        </w:rPr>
        <w:drawing>
          <wp:inline distT="0" distB="0" distL="0" distR="0" wp14:anchorId="40352DA6" wp14:editId="19C30A2F">
            <wp:extent cx="4937880" cy="89938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973817" cy="905934"/>
                    </a:xfrm>
                    <a:prstGeom prst="rect">
                      <a:avLst/>
                    </a:prstGeom>
                  </pic:spPr>
                </pic:pic>
              </a:graphicData>
            </a:graphic>
          </wp:inline>
        </w:drawing>
      </w:r>
    </w:p>
    <w:p w14:paraId="304B0D46" w14:textId="0F34D4FB" w:rsidR="00447CAF" w:rsidRPr="0090350B" w:rsidRDefault="00447CAF" w:rsidP="0090350B">
      <w:pPr>
        <w:spacing w:line="360" w:lineRule="auto"/>
        <w:jc w:val="center"/>
        <w:rPr>
          <w:rFonts w:cs="Arial"/>
          <w:i/>
          <w:iCs/>
          <w:sz w:val="20"/>
          <w:szCs w:val="20"/>
        </w:rPr>
      </w:pPr>
      <w:r w:rsidRPr="0090350B">
        <w:rPr>
          <w:rFonts w:cs="Arial"/>
          <w:i/>
          <w:iCs/>
          <w:sz w:val="20"/>
          <w:szCs w:val="20"/>
        </w:rPr>
        <w:t xml:space="preserve">Figure 11.0 – Min and Max </w:t>
      </w:r>
      <w:r w:rsidR="0090350B" w:rsidRPr="0090350B">
        <w:rPr>
          <w:rFonts w:cs="Arial"/>
          <w:i/>
          <w:iCs/>
          <w:sz w:val="20"/>
          <w:szCs w:val="20"/>
        </w:rPr>
        <w:t>values.</w:t>
      </w:r>
    </w:p>
    <w:p w14:paraId="2508A325" w14:textId="30F6F239" w:rsidR="00423552" w:rsidRDefault="00423552" w:rsidP="00125199">
      <w:pPr>
        <w:spacing w:line="360" w:lineRule="auto"/>
        <w:rPr>
          <w:rFonts w:cs="Arial"/>
        </w:rPr>
      </w:pPr>
      <w:r>
        <w:rPr>
          <w:rFonts w:cs="Arial"/>
        </w:rPr>
        <w:t>Figure</w:t>
      </w:r>
      <w:r w:rsidR="00E15C3F">
        <w:rPr>
          <w:rFonts w:cs="Arial"/>
        </w:rPr>
        <w:t xml:space="preserve"> 12.0</w:t>
      </w:r>
      <w:r>
        <w:rPr>
          <w:rFonts w:cs="Arial"/>
        </w:rPr>
        <w:t xml:space="preserve"> </w:t>
      </w:r>
      <w:r w:rsidR="0006176A">
        <w:rPr>
          <w:rFonts w:cs="Arial"/>
        </w:rPr>
        <w:t xml:space="preserve">is the number of bits within the sensor </w:t>
      </w:r>
      <w:r w:rsidR="009420C7">
        <w:rPr>
          <w:rFonts w:cs="Arial"/>
        </w:rPr>
        <w:t xml:space="preserve">signal, this can be altered </w:t>
      </w:r>
      <w:r w:rsidR="00F37BB4">
        <w:rPr>
          <w:rFonts w:cs="Arial"/>
        </w:rPr>
        <w:t xml:space="preserve">to affect the outputs. </w:t>
      </w:r>
      <w:r w:rsidR="00B54D39">
        <w:rPr>
          <w:rFonts w:cs="Arial"/>
        </w:rPr>
        <w:t xml:space="preserve">In a real-life situation we cannot change the number of bits within a car </w:t>
      </w:r>
      <w:r w:rsidR="00FB02A4">
        <w:rPr>
          <w:rFonts w:cs="Arial"/>
        </w:rPr>
        <w:t xml:space="preserve">that is communicating with ECU. </w:t>
      </w:r>
      <w:r w:rsidR="0090350B">
        <w:rPr>
          <w:rFonts w:cs="Arial"/>
        </w:rPr>
        <w:t>That’s</w:t>
      </w:r>
      <w:r w:rsidR="00FB02A4">
        <w:rPr>
          <w:rFonts w:cs="Arial"/>
        </w:rPr>
        <w:t xml:space="preserve"> defined by the </w:t>
      </w:r>
      <w:r w:rsidR="006930C4">
        <w:rPr>
          <w:rFonts w:cs="Arial"/>
        </w:rPr>
        <w:t>specification</w:t>
      </w:r>
      <w:r w:rsidR="00FB02A4">
        <w:rPr>
          <w:rFonts w:cs="Arial"/>
        </w:rPr>
        <w:t xml:space="preserve"> of the </w:t>
      </w:r>
      <w:r w:rsidR="006930C4">
        <w:rPr>
          <w:rFonts w:cs="Arial"/>
        </w:rPr>
        <w:t>in-service</w:t>
      </w:r>
      <w:r w:rsidR="00FB02A4">
        <w:rPr>
          <w:rFonts w:cs="Arial"/>
        </w:rPr>
        <w:t xml:space="preserve"> </w:t>
      </w:r>
      <w:r w:rsidR="006930C4">
        <w:rPr>
          <w:rFonts w:cs="Arial"/>
        </w:rPr>
        <w:t xml:space="preserve">system. </w:t>
      </w:r>
    </w:p>
    <w:p w14:paraId="75410DCA" w14:textId="01B364B2" w:rsidR="003B640C" w:rsidRDefault="00F92F34" w:rsidP="003B640C">
      <w:pPr>
        <w:spacing w:line="360" w:lineRule="auto"/>
        <w:jc w:val="center"/>
        <w:rPr>
          <w:noProof/>
        </w:rPr>
      </w:pPr>
      <w:r>
        <w:rPr>
          <w:noProof/>
        </w:rPr>
        <w:drawing>
          <wp:inline distT="0" distB="0" distL="0" distR="0" wp14:anchorId="5A2AAAC6" wp14:editId="3B8A4807">
            <wp:extent cx="4906545" cy="1518249"/>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076148" cy="1570730"/>
                    </a:xfrm>
                    <a:prstGeom prst="rect">
                      <a:avLst/>
                    </a:prstGeom>
                  </pic:spPr>
                </pic:pic>
              </a:graphicData>
            </a:graphic>
          </wp:inline>
        </w:drawing>
      </w:r>
    </w:p>
    <w:p w14:paraId="5236E3BE" w14:textId="21B7B647" w:rsidR="008771C7" w:rsidRPr="00E15C3F" w:rsidRDefault="008771C7" w:rsidP="008771C7">
      <w:pPr>
        <w:jc w:val="center"/>
        <w:rPr>
          <w:rFonts w:cs="Arial"/>
          <w:i/>
          <w:iCs/>
          <w:sz w:val="20"/>
          <w:szCs w:val="20"/>
        </w:rPr>
      </w:pPr>
      <w:r w:rsidRPr="00E15C3F">
        <w:rPr>
          <w:rFonts w:cs="Arial"/>
          <w:i/>
          <w:iCs/>
          <w:sz w:val="20"/>
          <w:szCs w:val="20"/>
        </w:rPr>
        <w:t xml:space="preserve">Figure 12.0 </w:t>
      </w:r>
      <w:r w:rsidR="00E15C3F" w:rsidRPr="00E15C3F">
        <w:rPr>
          <w:rFonts w:cs="Arial"/>
          <w:i/>
          <w:iCs/>
          <w:sz w:val="20"/>
          <w:szCs w:val="20"/>
        </w:rPr>
        <w:t>–</w:t>
      </w:r>
      <w:r w:rsidRPr="00E15C3F">
        <w:rPr>
          <w:rFonts w:cs="Arial"/>
          <w:i/>
          <w:iCs/>
          <w:sz w:val="20"/>
          <w:szCs w:val="20"/>
        </w:rPr>
        <w:t xml:space="preserve"> </w:t>
      </w:r>
      <w:r w:rsidR="00E15C3F" w:rsidRPr="00E15C3F">
        <w:rPr>
          <w:rFonts w:cs="Arial"/>
          <w:i/>
          <w:iCs/>
          <w:sz w:val="20"/>
          <w:szCs w:val="20"/>
        </w:rPr>
        <w:t xml:space="preserve">signal sensor bits. </w:t>
      </w:r>
    </w:p>
    <w:p w14:paraId="4BF762CD" w14:textId="4A1C7F42" w:rsidR="00704469" w:rsidRDefault="008A359F" w:rsidP="008A359F">
      <w:pPr>
        <w:spacing w:line="360" w:lineRule="auto"/>
        <w:jc w:val="center"/>
        <w:rPr>
          <w:rFonts w:cs="Arial"/>
        </w:rPr>
      </w:pPr>
      <w:r>
        <w:rPr>
          <w:noProof/>
        </w:rPr>
        <w:lastRenderedPageBreak/>
        <w:drawing>
          <wp:inline distT="0" distB="0" distL="0" distR="0" wp14:anchorId="424AE4B6" wp14:editId="51A4E494">
            <wp:extent cx="4813459" cy="2527540"/>
            <wp:effectExtent l="0" t="0" r="635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846787" cy="2545041"/>
                    </a:xfrm>
                    <a:prstGeom prst="rect">
                      <a:avLst/>
                    </a:prstGeom>
                  </pic:spPr>
                </pic:pic>
              </a:graphicData>
            </a:graphic>
          </wp:inline>
        </w:drawing>
      </w:r>
    </w:p>
    <w:p w14:paraId="2DE09186" w14:textId="5DCC7376" w:rsidR="00CB4827" w:rsidRPr="00CB4827" w:rsidRDefault="00CB4827" w:rsidP="00CB4827">
      <w:pPr>
        <w:spacing w:line="360" w:lineRule="auto"/>
        <w:jc w:val="center"/>
        <w:rPr>
          <w:rFonts w:cs="Arial"/>
          <w:i/>
          <w:iCs/>
          <w:sz w:val="20"/>
          <w:szCs w:val="20"/>
        </w:rPr>
      </w:pPr>
      <w:r w:rsidRPr="00CB4827">
        <w:rPr>
          <w:rFonts w:cs="Arial"/>
          <w:i/>
          <w:iCs/>
          <w:sz w:val="20"/>
          <w:szCs w:val="20"/>
        </w:rPr>
        <w:t>Figure 12.1 - System after completing changing sampling time to more closely mirror the required demand.</w:t>
      </w:r>
    </w:p>
    <w:p w14:paraId="0958CD61" w14:textId="4816CDC3" w:rsidR="00512790" w:rsidRDefault="008A359F" w:rsidP="00125199">
      <w:pPr>
        <w:spacing w:line="360" w:lineRule="auto"/>
        <w:rPr>
          <w:rFonts w:cs="Arial"/>
        </w:rPr>
      </w:pPr>
      <w:r>
        <w:rPr>
          <w:rFonts w:cs="Arial"/>
        </w:rPr>
        <w:t xml:space="preserve">Altering the sampling time of the system enabled the </w:t>
      </w:r>
      <w:r w:rsidR="00D83DB3">
        <w:rPr>
          <w:rFonts w:cs="Arial"/>
        </w:rPr>
        <w:t xml:space="preserve">entire system to more closely emulate the required demand. This was done by </w:t>
      </w:r>
      <w:r w:rsidR="00211807">
        <w:rPr>
          <w:rFonts w:cs="Arial"/>
        </w:rPr>
        <w:t xml:space="preserve">increasing the sampling demand from </w:t>
      </w:r>
      <w:r w:rsidR="00512790">
        <w:rPr>
          <w:rFonts w:cs="Arial"/>
        </w:rPr>
        <w:t>0.05s to an increased 0.5s, as seen above in figure</w:t>
      </w:r>
      <w:r w:rsidR="00E15C3F">
        <w:rPr>
          <w:rFonts w:cs="Arial"/>
        </w:rPr>
        <w:t xml:space="preserve"> 12.1.</w:t>
      </w:r>
    </w:p>
    <w:p w14:paraId="56C77AE6" w14:textId="1A6755F1" w:rsidR="00704469" w:rsidRDefault="004C3BEC" w:rsidP="00125199">
      <w:pPr>
        <w:spacing w:line="360" w:lineRule="auto"/>
        <w:rPr>
          <w:rFonts w:cs="Arial"/>
        </w:rPr>
      </w:pPr>
      <w:r>
        <w:rPr>
          <w:rFonts w:cs="Arial"/>
        </w:rPr>
        <w:t xml:space="preserve">Setting up the </w:t>
      </w:r>
      <w:r w:rsidR="00360FE6">
        <w:rPr>
          <w:rFonts w:cs="Arial"/>
        </w:rPr>
        <w:t xml:space="preserve">parameters for simulation, so this is not directly involved in the </w:t>
      </w:r>
      <w:r w:rsidR="00EB3D1B">
        <w:rPr>
          <w:rFonts w:cs="Arial"/>
        </w:rPr>
        <w:t>dynamics</w:t>
      </w:r>
      <w:r w:rsidR="00360FE6">
        <w:rPr>
          <w:rFonts w:cs="Arial"/>
        </w:rPr>
        <w:t xml:space="preserve"> </w:t>
      </w:r>
      <w:r w:rsidR="00192608">
        <w:rPr>
          <w:rFonts w:cs="Arial"/>
        </w:rPr>
        <w:t xml:space="preserve">of the control system. </w:t>
      </w:r>
      <w:r w:rsidR="00192CBA">
        <w:rPr>
          <w:rFonts w:cs="Arial"/>
        </w:rPr>
        <w:t>The actuator signal delay</w:t>
      </w:r>
      <w:r w:rsidR="00DA0D84">
        <w:rPr>
          <w:rFonts w:cs="Arial"/>
        </w:rPr>
        <w:t xml:space="preserve">. This model allows for real world delay in the communication between </w:t>
      </w:r>
      <w:r w:rsidR="005762A0">
        <w:rPr>
          <w:rFonts w:cs="Arial"/>
        </w:rPr>
        <w:t xml:space="preserve">an actuator and the control system. For example, the real world systems </w:t>
      </w:r>
      <w:r w:rsidR="008610F9">
        <w:rPr>
          <w:rFonts w:cs="Arial"/>
        </w:rPr>
        <w:t xml:space="preserve">that is always something that must be </w:t>
      </w:r>
      <w:r w:rsidR="00D363F2">
        <w:rPr>
          <w:rFonts w:cs="Arial"/>
        </w:rPr>
        <w:t xml:space="preserve">considered and comprehended when looking at things like response time </w:t>
      </w:r>
      <w:r w:rsidR="0091433B">
        <w:rPr>
          <w:rFonts w:cs="Arial"/>
        </w:rPr>
        <w:t xml:space="preserve">of a given control system. </w:t>
      </w:r>
    </w:p>
    <w:p w14:paraId="55DB5E35" w14:textId="74B3DAD5" w:rsidR="002D5E3F" w:rsidRDefault="002D5E3F" w:rsidP="00125199">
      <w:pPr>
        <w:spacing w:line="360" w:lineRule="auto"/>
        <w:rPr>
          <w:rFonts w:cs="Arial"/>
        </w:rPr>
      </w:pPr>
      <w:r>
        <w:rPr>
          <w:rFonts w:cs="Arial"/>
        </w:rPr>
        <w:t xml:space="preserve">The simulation loop is the end of the script, where all the </w:t>
      </w:r>
      <w:r w:rsidR="00982F86">
        <w:rPr>
          <w:rFonts w:cs="Arial"/>
        </w:rPr>
        <w:t>defined codes</w:t>
      </w:r>
      <w:r w:rsidR="006A0EDC">
        <w:rPr>
          <w:rFonts w:cs="Arial"/>
        </w:rPr>
        <w:t xml:space="preserve"> </w:t>
      </w:r>
      <w:r w:rsidR="00982F86">
        <w:rPr>
          <w:rFonts w:cs="Arial"/>
        </w:rPr>
        <w:t xml:space="preserve">to </w:t>
      </w:r>
      <w:r w:rsidR="000609F5">
        <w:rPr>
          <w:rFonts w:cs="Arial"/>
        </w:rPr>
        <w:t>determine the end condition of the model is known</w:t>
      </w:r>
      <w:r w:rsidR="006A0EDC">
        <w:rPr>
          <w:rFonts w:cs="Arial"/>
        </w:rPr>
        <w:t xml:space="preserve">. In the case of this model the </w:t>
      </w:r>
      <w:r w:rsidR="006C1DB8">
        <w:rPr>
          <w:rFonts w:cs="Arial"/>
        </w:rPr>
        <w:t xml:space="preserve">end time of simulation is 70 seconds, and the end is defined that vector T is </w:t>
      </w:r>
      <w:r w:rsidR="00E27BD9">
        <w:rPr>
          <w:rFonts w:cs="Arial"/>
        </w:rPr>
        <w:t>t</w:t>
      </w:r>
      <w:r w:rsidR="006C1DB8">
        <w:rPr>
          <w:rFonts w:cs="Arial"/>
        </w:rPr>
        <w:t xml:space="preserve">he length </w:t>
      </w:r>
      <w:r w:rsidR="003C6954">
        <w:rPr>
          <w:rFonts w:cs="Arial"/>
        </w:rPr>
        <w:t xml:space="preserve">or all of the calculations. </w:t>
      </w:r>
      <w:r w:rsidR="00E27BD9">
        <w:rPr>
          <w:rFonts w:cs="Arial"/>
        </w:rPr>
        <w:t>The</w:t>
      </w:r>
      <w:r w:rsidR="00D25EC0">
        <w:rPr>
          <w:rFonts w:cs="Arial"/>
        </w:rPr>
        <w:t xml:space="preserve"> entire collaboration can be seen in chapter 4 below – </w:t>
      </w:r>
    </w:p>
    <w:p w14:paraId="56C9A5DE" w14:textId="4E7C2FC2" w:rsidR="00D25EC0" w:rsidRDefault="00C83C41" w:rsidP="00144D27">
      <w:pPr>
        <w:spacing w:line="360" w:lineRule="auto"/>
        <w:jc w:val="center"/>
        <w:rPr>
          <w:rFonts w:cs="Arial"/>
        </w:rPr>
      </w:pPr>
      <w:r>
        <w:rPr>
          <w:noProof/>
        </w:rPr>
        <w:drawing>
          <wp:inline distT="0" distB="0" distL="0" distR="0" wp14:anchorId="0D4108FC" wp14:editId="61C01A4A">
            <wp:extent cx="5296619" cy="2035810"/>
            <wp:effectExtent l="0" t="0" r="0" b="254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384620" cy="2069634"/>
                    </a:xfrm>
                    <a:prstGeom prst="rect">
                      <a:avLst/>
                    </a:prstGeom>
                  </pic:spPr>
                </pic:pic>
              </a:graphicData>
            </a:graphic>
          </wp:inline>
        </w:drawing>
      </w:r>
    </w:p>
    <w:p w14:paraId="00F3488C" w14:textId="091DBBA5" w:rsidR="00C20E66" w:rsidRPr="005126E8" w:rsidRDefault="00C83C41" w:rsidP="005126E8">
      <w:pPr>
        <w:spacing w:line="360" w:lineRule="auto"/>
        <w:jc w:val="center"/>
        <w:rPr>
          <w:rFonts w:cs="Arial"/>
          <w:i/>
          <w:iCs/>
          <w:sz w:val="20"/>
          <w:szCs w:val="20"/>
        </w:rPr>
      </w:pPr>
      <w:r w:rsidRPr="005126E8">
        <w:rPr>
          <w:rFonts w:cs="Arial"/>
          <w:i/>
          <w:iCs/>
          <w:sz w:val="20"/>
          <w:szCs w:val="20"/>
        </w:rPr>
        <w:t xml:space="preserve">Figure 13.0 </w:t>
      </w:r>
      <w:r w:rsidR="005126E8" w:rsidRPr="005126E8">
        <w:rPr>
          <w:rFonts w:cs="Arial"/>
          <w:i/>
          <w:iCs/>
          <w:sz w:val="20"/>
          <w:szCs w:val="20"/>
        </w:rPr>
        <w:t>Entire collaboration of chapter 4.</w:t>
      </w:r>
    </w:p>
    <w:p w14:paraId="68A7BB1E" w14:textId="16B93200" w:rsidR="00A40B5A" w:rsidRPr="006772E9" w:rsidRDefault="00A40B5A" w:rsidP="006772E9">
      <w:pPr>
        <w:spacing w:line="360" w:lineRule="auto"/>
        <w:rPr>
          <w:rFonts w:cs="Arial"/>
          <w:b/>
          <w:bCs/>
          <w:u w:val="single"/>
        </w:rPr>
      </w:pPr>
      <w:r w:rsidRPr="006772E9">
        <w:rPr>
          <w:rFonts w:cs="Arial"/>
          <w:b/>
          <w:bCs/>
          <w:u w:val="single"/>
        </w:rPr>
        <w:lastRenderedPageBreak/>
        <w:t>References.</w:t>
      </w:r>
    </w:p>
    <w:p w14:paraId="0580B0D0" w14:textId="77777777" w:rsidR="00A40B5A" w:rsidRDefault="00A40B5A" w:rsidP="006772E9">
      <w:pPr>
        <w:pStyle w:val="NormalWeb"/>
        <w:spacing w:before="0" w:beforeAutospacing="0" w:after="0" w:afterAutospacing="0" w:line="360" w:lineRule="auto"/>
        <w:ind w:left="720" w:hanging="720"/>
        <w:rPr>
          <w:rFonts w:ascii="Arial" w:hAnsi="Arial" w:cs="Arial"/>
          <w:sz w:val="22"/>
          <w:szCs w:val="22"/>
        </w:rPr>
      </w:pPr>
      <w:r w:rsidRPr="006772E9">
        <w:rPr>
          <w:rFonts w:ascii="Arial" w:hAnsi="Arial" w:cs="Arial"/>
          <w:sz w:val="22"/>
          <w:szCs w:val="22"/>
        </w:rPr>
        <w:t xml:space="preserve">A A M Sayigh. </w:t>
      </w:r>
      <w:r w:rsidRPr="006772E9">
        <w:rPr>
          <w:rFonts w:ascii="Arial" w:hAnsi="Arial" w:cs="Arial"/>
          <w:i/>
          <w:iCs/>
          <w:sz w:val="22"/>
          <w:szCs w:val="22"/>
        </w:rPr>
        <w:t>Comprehensive Renewable Energy</w:t>
      </w:r>
      <w:r w:rsidRPr="006772E9">
        <w:rPr>
          <w:rFonts w:ascii="Arial" w:hAnsi="Arial" w:cs="Arial"/>
          <w:sz w:val="22"/>
          <w:szCs w:val="22"/>
        </w:rPr>
        <w:t>. 2024. 1st ed., vol. 3, Amsterdam, Elevier, 2012, pp. 165–209.</w:t>
      </w:r>
    </w:p>
    <w:p w14:paraId="68028E85" w14:textId="77777777" w:rsidR="001230B3" w:rsidRPr="006772E9" w:rsidRDefault="001230B3" w:rsidP="006772E9">
      <w:pPr>
        <w:pStyle w:val="NormalWeb"/>
        <w:spacing w:before="0" w:beforeAutospacing="0" w:after="0" w:afterAutospacing="0" w:line="360" w:lineRule="auto"/>
        <w:ind w:left="720" w:hanging="720"/>
        <w:rPr>
          <w:rFonts w:ascii="Arial" w:hAnsi="Arial" w:cs="Arial"/>
          <w:sz w:val="22"/>
          <w:szCs w:val="22"/>
        </w:rPr>
      </w:pPr>
    </w:p>
    <w:p w14:paraId="5524AA37" w14:textId="77777777" w:rsidR="005C597F" w:rsidRDefault="005C597F" w:rsidP="006772E9">
      <w:pPr>
        <w:pStyle w:val="NormalWeb"/>
        <w:spacing w:before="0" w:beforeAutospacing="0" w:after="0" w:afterAutospacing="0" w:line="360" w:lineRule="auto"/>
        <w:ind w:left="720" w:hanging="720"/>
        <w:rPr>
          <w:rFonts w:ascii="Arial" w:hAnsi="Arial" w:cs="Arial"/>
          <w:sz w:val="22"/>
          <w:szCs w:val="22"/>
        </w:rPr>
      </w:pPr>
      <w:r w:rsidRPr="006772E9">
        <w:rPr>
          <w:rFonts w:ascii="Arial" w:hAnsi="Arial" w:cs="Arial"/>
          <w:sz w:val="22"/>
          <w:szCs w:val="22"/>
        </w:rPr>
        <w:t xml:space="preserve">Xingyi, Zhu. “A Review on Thermoelectric Energy Harvesting from Asphalt Pavement: Configuration, Performance and Future.” </w:t>
      </w:r>
      <w:r w:rsidRPr="006772E9">
        <w:rPr>
          <w:rFonts w:ascii="Arial" w:hAnsi="Arial" w:cs="Arial"/>
          <w:i/>
          <w:iCs/>
          <w:sz w:val="22"/>
          <w:szCs w:val="22"/>
        </w:rPr>
        <w:t>Construction and Building Materials</w:t>
      </w:r>
      <w:r w:rsidRPr="006772E9">
        <w:rPr>
          <w:rFonts w:ascii="Arial" w:hAnsi="Arial" w:cs="Arial"/>
          <w:sz w:val="22"/>
          <w:szCs w:val="22"/>
        </w:rPr>
        <w:t xml:space="preserve">, vol. 228, no. 1, 2019. </w:t>
      </w:r>
      <w:r w:rsidRPr="006772E9">
        <w:rPr>
          <w:rFonts w:ascii="Arial" w:hAnsi="Arial" w:cs="Arial"/>
          <w:i/>
          <w:iCs/>
          <w:sz w:val="22"/>
          <w:szCs w:val="22"/>
        </w:rPr>
        <w:t>Science Direct</w:t>
      </w:r>
      <w:r w:rsidRPr="006772E9">
        <w:rPr>
          <w:rFonts w:ascii="Arial" w:hAnsi="Arial" w:cs="Arial"/>
          <w:sz w:val="22"/>
          <w:szCs w:val="22"/>
        </w:rPr>
        <w:t>.</w:t>
      </w:r>
    </w:p>
    <w:p w14:paraId="232F8D67" w14:textId="77777777" w:rsidR="001230B3" w:rsidRPr="006772E9" w:rsidRDefault="001230B3" w:rsidP="006772E9">
      <w:pPr>
        <w:pStyle w:val="NormalWeb"/>
        <w:spacing w:before="0" w:beforeAutospacing="0" w:after="0" w:afterAutospacing="0" w:line="360" w:lineRule="auto"/>
        <w:ind w:left="720" w:hanging="720"/>
        <w:rPr>
          <w:rFonts w:ascii="Arial" w:hAnsi="Arial" w:cs="Arial"/>
          <w:sz w:val="22"/>
          <w:szCs w:val="22"/>
        </w:rPr>
      </w:pPr>
    </w:p>
    <w:p w14:paraId="773DCCD6" w14:textId="4DEBC809" w:rsidR="006772E9" w:rsidRDefault="006772E9" w:rsidP="006772E9">
      <w:pPr>
        <w:pStyle w:val="NormalWeb"/>
        <w:spacing w:before="0" w:beforeAutospacing="0" w:after="0" w:afterAutospacing="0" w:line="360" w:lineRule="auto"/>
        <w:ind w:left="720" w:hanging="720"/>
        <w:rPr>
          <w:rFonts w:ascii="Arial" w:hAnsi="Arial" w:cs="Arial"/>
          <w:sz w:val="22"/>
          <w:szCs w:val="22"/>
        </w:rPr>
      </w:pPr>
      <w:r w:rsidRPr="006772E9">
        <w:rPr>
          <w:rFonts w:ascii="Arial" w:hAnsi="Arial" w:cs="Arial"/>
          <w:sz w:val="22"/>
          <w:szCs w:val="22"/>
        </w:rPr>
        <w:t xml:space="preserve">Hamilton, Margaret. “Estimating Lengths and Orders of Delays in System Dynamics Models.” </w:t>
      </w:r>
      <w:r w:rsidRPr="006772E9">
        <w:rPr>
          <w:rFonts w:ascii="Arial" w:hAnsi="Arial" w:cs="Arial"/>
          <w:i/>
          <w:iCs/>
          <w:sz w:val="22"/>
          <w:szCs w:val="22"/>
        </w:rPr>
        <w:t>Office of Resource Analysis</w:t>
      </w:r>
      <w:r w:rsidRPr="006772E9">
        <w:rPr>
          <w:rFonts w:ascii="Arial" w:hAnsi="Arial" w:cs="Arial"/>
          <w:sz w:val="22"/>
          <w:szCs w:val="22"/>
        </w:rPr>
        <w:t>, U.S. Geological Survey, 1974, pp. 593–598.</w:t>
      </w:r>
    </w:p>
    <w:p w14:paraId="152EF4D3" w14:textId="77777777" w:rsidR="001230B3" w:rsidRPr="006772E9" w:rsidRDefault="001230B3" w:rsidP="006772E9">
      <w:pPr>
        <w:pStyle w:val="NormalWeb"/>
        <w:spacing w:before="0" w:beforeAutospacing="0" w:after="0" w:afterAutospacing="0" w:line="360" w:lineRule="auto"/>
        <w:ind w:left="720" w:hanging="720"/>
        <w:rPr>
          <w:rFonts w:ascii="Arial" w:hAnsi="Arial" w:cs="Arial"/>
          <w:sz w:val="22"/>
          <w:szCs w:val="22"/>
        </w:rPr>
      </w:pPr>
    </w:p>
    <w:p w14:paraId="7998AF69" w14:textId="0128CA0C" w:rsidR="00FF2663" w:rsidRDefault="00C86E90" w:rsidP="006772E9">
      <w:pPr>
        <w:pStyle w:val="NormalWeb"/>
        <w:spacing w:before="0" w:beforeAutospacing="0" w:after="0" w:afterAutospacing="0" w:line="360" w:lineRule="auto"/>
        <w:ind w:left="720" w:hanging="720"/>
        <w:rPr>
          <w:rFonts w:ascii="Arial" w:hAnsi="Arial" w:cs="Arial"/>
          <w:sz w:val="22"/>
          <w:szCs w:val="22"/>
        </w:rPr>
      </w:pPr>
      <w:r w:rsidRPr="006772E9">
        <w:rPr>
          <w:rFonts w:ascii="Arial" w:hAnsi="Arial" w:cs="Arial"/>
          <w:sz w:val="22"/>
          <w:szCs w:val="22"/>
        </w:rPr>
        <w:t xml:space="preserve">Lucia, Vera. </w:t>
      </w:r>
      <w:r w:rsidRPr="006772E9">
        <w:rPr>
          <w:rFonts w:ascii="Arial" w:hAnsi="Arial" w:cs="Arial"/>
          <w:i/>
          <w:iCs/>
          <w:sz w:val="22"/>
          <w:szCs w:val="22"/>
        </w:rPr>
        <w:t>Principles of Measurement and Transduction of Biomedical Variables</w:t>
      </w:r>
      <w:r w:rsidRPr="006772E9">
        <w:rPr>
          <w:rFonts w:ascii="Arial" w:hAnsi="Arial" w:cs="Arial"/>
          <w:sz w:val="22"/>
          <w:szCs w:val="22"/>
        </w:rPr>
        <w:t>. 1st ed., vol. 4, Amsterdam, Elsevier, 2015, pp. 101–154.</w:t>
      </w:r>
    </w:p>
    <w:p w14:paraId="37272500" w14:textId="77777777" w:rsidR="001230B3" w:rsidRPr="006772E9" w:rsidRDefault="001230B3" w:rsidP="006772E9">
      <w:pPr>
        <w:pStyle w:val="NormalWeb"/>
        <w:spacing w:before="0" w:beforeAutospacing="0" w:after="0" w:afterAutospacing="0" w:line="360" w:lineRule="auto"/>
        <w:ind w:left="720" w:hanging="720"/>
        <w:rPr>
          <w:rFonts w:ascii="Arial" w:hAnsi="Arial" w:cs="Arial"/>
          <w:sz w:val="22"/>
          <w:szCs w:val="22"/>
        </w:rPr>
      </w:pPr>
    </w:p>
    <w:p w14:paraId="40A26DCB" w14:textId="1B1D080E" w:rsidR="00142B50" w:rsidRDefault="00142B50" w:rsidP="006772E9">
      <w:pPr>
        <w:pStyle w:val="NormalWeb"/>
        <w:spacing w:before="0" w:beforeAutospacing="0" w:after="0" w:afterAutospacing="0" w:line="360" w:lineRule="auto"/>
        <w:ind w:left="720" w:hanging="720"/>
        <w:rPr>
          <w:rFonts w:ascii="Arial" w:hAnsi="Arial" w:cs="Arial"/>
          <w:sz w:val="22"/>
          <w:szCs w:val="22"/>
        </w:rPr>
      </w:pPr>
      <w:r w:rsidRPr="006772E9">
        <w:rPr>
          <w:rFonts w:ascii="Arial" w:hAnsi="Arial" w:cs="Arial"/>
          <w:sz w:val="22"/>
          <w:szCs w:val="22"/>
        </w:rPr>
        <w:t xml:space="preserve">Oliveria, A.V.S. “Thermocouple Response Time Estimation and Temperature Signal Correction for an Accurate Heat Flux Calculation in Inverse Heat Conduction Problems.” </w:t>
      </w:r>
      <w:r w:rsidRPr="006772E9">
        <w:rPr>
          <w:rFonts w:ascii="Arial" w:hAnsi="Arial" w:cs="Arial"/>
          <w:i/>
          <w:iCs/>
          <w:sz w:val="22"/>
          <w:szCs w:val="22"/>
        </w:rPr>
        <w:t>International Journal of Heat and Mass Transfer</w:t>
      </w:r>
      <w:r w:rsidRPr="006772E9">
        <w:rPr>
          <w:rFonts w:ascii="Arial" w:hAnsi="Arial" w:cs="Arial"/>
          <w:sz w:val="22"/>
          <w:szCs w:val="22"/>
        </w:rPr>
        <w:t>, vol. 185, no. 122398,</w:t>
      </w:r>
      <w:r w:rsidRPr="007A7A93">
        <w:rPr>
          <w:rFonts w:ascii="Arial" w:hAnsi="Arial" w:cs="Arial"/>
          <w:sz w:val="22"/>
          <w:szCs w:val="22"/>
        </w:rPr>
        <w:t xml:space="preserve"> 2021, pp. 2–5.</w:t>
      </w:r>
    </w:p>
    <w:p w14:paraId="45EB46B4" w14:textId="77777777" w:rsidR="001230B3" w:rsidRDefault="001230B3" w:rsidP="006772E9">
      <w:pPr>
        <w:pStyle w:val="NormalWeb"/>
        <w:spacing w:before="0" w:beforeAutospacing="0" w:after="0" w:afterAutospacing="0" w:line="360" w:lineRule="auto"/>
        <w:ind w:left="720" w:hanging="720"/>
        <w:rPr>
          <w:rFonts w:ascii="Arial" w:hAnsi="Arial" w:cs="Arial"/>
          <w:sz w:val="22"/>
          <w:szCs w:val="22"/>
        </w:rPr>
      </w:pPr>
    </w:p>
    <w:p w14:paraId="67EE616A" w14:textId="1030019C" w:rsidR="00D309C2" w:rsidRDefault="00D309C2" w:rsidP="00C20E66">
      <w:pPr>
        <w:pStyle w:val="NormalWeb"/>
        <w:spacing w:before="0" w:beforeAutospacing="0" w:after="0" w:afterAutospacing="0" w:line="360" w:lineRule="auto"/>
        <w:ind w:left="720" w:hanging="720"/>
        <w:rPr>
          <w:rFonts w:ascii="Arial" w:hAnsi="Arial" w:cs="Arial"/>
          <w:sz w:val="22"/>
          <w:szCs w:val="22"/>
        </w:rPr>
      </w:pPr>
      <w:r w:rsidRPr="00C20E66">
        <w:rPr>
          <w:rFonts w:ascii="Arial" w:hAnsi="Arial" w:cs="Arial"/>
          <w:sz w:val="22"/>
          <w:szCs w:val="22"/>
        </w:rPr>
        <w:t xml:space="preserve">Takakura, Tamuto. “Dynamic System Response Laboratory Procedures Handout.” </w:t>
      </w:r>
      <w:r w:rsidRPr="00C20E66">
        <w:rPr>
          <w:rFonts w:ascii="Arial" w:hAnsi="Arial" w:cs="Arial"/>
          <w:i/>
          <w:iCs/>
          <w:sz w:val="22"/>
          <w:szCs w:val="22"/>
        </w:rPr>
        <w:t>AME 20213 LEX-3</w:t>
      </w:r>
      <w:r w:rsidRPr="00C20E66">
        <w:rPr>
          <w:rFonts w:ascii="Arial" w:hAnsi="Arial" w:cs="Arial"/>
          <w:sz w:val="22"/>
          <w:szCs w:val="22"/>
        </w:rPr>
        <w:t>, vol. 1, no. 1, 2013, pp. 1–2.</w:t>
      </w:r>
    </w:p>
    <w:p w14:paraId="0206BD3D" w14:textId="77777777" w:rsidR="001230B3" w:rsidRPr="00C20E66" w:rsidRDefault="001230B3" w:rsidP="00C20E66">
      <w:pPr>
        <w:pStyle w:val="NormalWeb"/>
        <w:spacing w:before="0" w:beforeAutospacing="0" w:after="0" w:afterAutospacing="0" w:line="360" w:lineRule="auto"/>
        <w:ind w:left="720" w:hanging="720"/>
        <w:rPr>
          <w:rFonts w:ascii="Arial" w:hAnsi="Arial" w:cs="Arial"/>
          <w:sz w:val="22"/>
          <w:szCs w:val="22"/>
        </w:rPr>
      </w:pPr>
    </w:p>
    <w:p w14:paraId="7A4919CC" w14:textId="2AA3B294" w:rsidR="00C20E66" w:rsidRPr="00E71CFF" w:rsidRDefault="00C20E66" w:rsidP="00E71CFF">
      <w:pPr>
        <w:pStyle w:val="NormalWeb"/>
        <w:spacing w:before="0" w:beforeAutospacing="0" w:after="0" w:afterAutospacing="0" w:line="360" w:lineRule="auto"/>
        <w:ind w:left="720" w:hanging="720"/>
        <w:rPr>
          <w:rFonts w:ascii="Arial" w:hAnsi="Arial" w:cs="Arial"/>
          <w:sz w:val="22"/>
          <w:szCs w:val="22"/>
        </w:rPr>
      </w:pPr>
      <w:r w:rsidRPr="00C20E66">
        <w:rPr>
          <w:rFonts w:ascii="Arial" w:hAnsi="Arial" w:cs="Arial"/>
          <w:sz w:val="22"/>
          <w:szCs w:val="22"/>
        </w:rPr>
        <w:t xml:space="preserve">Schaevitz, Harold. “Understanding Thermocouple Time Constants &amp; Response Times | the Sensor Connection Motorsports Temperature and Position Sensors.” </w:t>
      </w:r>
      <w:r w:rsidRPr="00E71CFF">
        <w:rPr>
          <w:rFonts w:ascii="Arial" w:hAnsi="Arial" w:cs="Arial"/>
          <w:i/>
          <w:iCs/>
          <w:sz w:val="22"/>
          <w:szCs w:val="22"/>
        </w:rPr>
        <w:t>Thesensorconnection.com</w:t>
      </w:r>
      <w:r w:rsidRPr="00E71CFF">
        <w:rPr>
          <w:rFonts w:ascii="Arial" w:hAnsi="Arial" w:cs="Arial"/>
          <w:sz w:val="22"/>
          <w:szCs w:val="22"/>
        </w:rPr>
        <w:t>, 2022, thesensorconnection.com/blog/understanding-thermocouple-time-constants-response-times. Accessed 25 July 2024.</w:t>
      </w:r>
    </w:p>
    <w:p w14:paraId="57F8427D" w14:textId="77777777" w:rsidR="00E71CFF" w:rsidRPr="00E71CFF" w:rsidRDefault="00E71CFF" w:rsidP="00E71CFF">
      <w:pPr>
        <w:pStyle w:val="NormalWeb"/>
        <w:spacing w:before="0" w:beforeAutospacing="0" w:after="0" w:afterAutospacing="0" w:line="360" w:lineRule="auto"/>
        <w:rPr>
          <w:rFonts w:ascii="Arial" w:hAnsi="Arial" w:cs="Arial"/>
          <w:sz w:val="22"/>
          <w:szCs w:val="22"/>
        </w:rPr>
      </w:pPr>
    </w:p>
    <w:p w14:paraId="2AA4A771" w14:textId="6BFB0EE6" w:rsidR="001230B3" w:rsidRPr="00E71CFF" w:rsidRDefault="00E71CFF" w:rsidP="00E71CFF">
      <w:pPr>
        <w:pStyle w:val="NormalWeb"/>
        <w:spacing w:before="0" w:beforeAutospacing="0" w:after="0" w:afterAutospacing="0" w:line="360" w:lineRule="auto"/>
        <w:ind w:left="720" w:hanging="720"/>
        <w:rPr>
          <w:rFonts w:ascii="Arial" w:hAnsi="Arial" w:cs="Arial"/>
          <w:sz w:val="22"/>
          <w:szCs w:val="22"/>
        </w:rPr>
      </w:pPr>
      <w:r w:rsidRPr="00E71CFF">
        <w:rPr>
          <w:rFonts w:ascii="Arial" w:hAnsi="Arial" w:cs="Arial"/>
          <w:sz w:val="22"/>
          <w:szCs w:val="22"/>
        </w:rPr>
        <w:t xml:space="preserve">Staff, Carwow. “What Is Cruise Control?” </w:t>
      </w:r>
      <w:r w:rsidRPr="00E71CFF">
        <w:rPr>
          <w:rFonts w:ascii="Arial" w:hAnsi="Arial" w:cs="Arial"/>
          <w:i/>
          <w:iCs/>
          <w:sz w:val="22"/>
          <w:szCs w:val="22"/>
        </w:rPr>
        <w:t>Carwow.co.uk</w:t>
      </w:r>
      <w:r w:rsidRPr="00E71CFF">
        <w:rPr>
          <w:rFonts w:ascii="Arial" w:hAnsi="Arial" w:cs="Arial"/>
          <w:sz w:val="22"/>
          <w:szCs w:val="22"/>
        </w:rPr>
        <w:t>, 2023, www.carwow.co.uk/blog/what-is-cruise-control#gref. Accessed 29 July 2024.</w:t>
      </w:r>
    </w:p>
    <w:p w14:paraId="4AAD1207" w14:textId="65380936" w:rsidR="00137737" w:rsidRPr="00E71CFF" w:rsidRDefault="00137737" w:rsidP="00E71CFF">
      <w:pPr>
        <w:pStyle w:val="NormalWeb"/>
        <w:spacing w:before="0" w:beforeAutospacing="0" w:after="0" w:afterAutospacing="0" w:line="360" w:lineRule="auto"/>
        <w:ind w:left="720" w:hanging="720"/>
        <w:rPr>
          <w:rFonts w:ascii="Arial" w:hAnsi="Arial" w:cs="Arial"/>
          <w:sz w:val="22"/>
          <w:szCs w:val="22"/>
        </w:rPr>
      </w:pPr>
      <w:r w:rsidRPr="00E71CFF">
        <w:rPr>
          <w:rFonts w:ascii="Arial" w:hAnsi="Arial" w:cs="Arial"/>
          <w:sz w:val="22"/>
          <w:szCs w:val="22"/>
        </w:rPr>
        <w:t xml:space="preserve">Wang, Lei. </w:t>
      </w:r>
      <w:r w:rsidRPr="00E71CFF">
        <w:rPr>
          <w:rFonts w:ascii="Arial" w:hAnsi="Arial" w:cs="Arial"/>
          <w:i/>
          <w:iCs/>
          <w:sz w:val="22"/>
          <w:szCs w:val="22"/>
        </w:rPr>
        <w:t>Thermal Stress Analysis of Blast Furnace Hearth with Typical Erosion Based on Thermal Fluid-Solid Coupling</w:t>
      </w:r>
      <w:r w:rsidRPr="00E71CFF">
        <w:rPr>
          <w:rFonts w:ascii="Arial" w:hAnsi="Arial" w:cs="Arial"/>
          <w:sz w:val="22"/>
          <w:szCs w:val="22"/>
        </w:rPr>
        <w:t xml:space="preserve">. Vol. 2, no. 11, 2023, pp. 2–4. </w:t>
      </w:r>
      <w:r w:rsidRPr="00E71CFF">
        <w:rPr>
          <w:rFonts w:ascii="Arial" w:hAnsi="Arial" w:cs="Arial"/>
          <w:i/>
          <w:iCs/>
          <w:sz w:val="22"/>
          <w:szCs w:val="22"/>
        </w:rPr>
        <w:t>MDPI</w:t>
      </w:r>
      <w:r w:rsidRPr="00E71CFF">
        <w:rPr>
          <w:rFonts w:ascii="Arial" w:hAnsi="Arial" w:cs="Arial"/>
          <w:sz w:val="22"/>
          <w:szCs w:val="22"/>
        </w:rPr>
        <w:t>.</w:t>
      </w:r>
    </w:p>
    <w:p w14:paraId="2777EA37" w14:textId="77777777" w:rsidR="001230B3" w:rsidRPr="00E71CFF" w:rsidRDefault="001230B3" w:rsidP="00E71CFF">
      <w:pPr>
        <w:pStyle w:val="NormalWeb"/>
        <w:spacing w:before="0" w:beforeAutospacing="0" w:after="0" w:afterAutospacing="0" w:line="360" w:lineRule="auto"/>
        <w:ind w:left="720" w:hanging="720"/>
        <w:rPr>
          <w:rFonts w:ascii="Arial" w:hAnsi="Arial" w:cs="Arial"/>
          <w:sz w:val="22"/>
          <w:szCs w:val="22"/>
        </w:rPr>
      </w:pPr>
    </w:p>
    <w:p w14:paraId="06C11043" w14:textId="77777777" w:rsidR="007F1915" w:rsidRDefault="007F1915" w:rsidP="00E71CFF">
      <w:pPr>
        <w:pStyle w:val="NormalWeb"/>
        <w:spacing w:before="0" w:beforeAutospacing="0" w:after="0" w:afterAutospacing="0" w:line="360" w:lineRule="auto"/>
        <w:ind w:left="720" w:hanging="720"/>
        <w:rPr>
          <w:rFonts w:ascii="Arial" w:hAnsi="Arial" w:cs="Arial"/>
          <w:sz w:val="22"/>
          <w:szCs w:val="22"/>
        </w:rPr>
      </w:pPr>
      <w:r w:rsidRPr="00E71CFF">
        <w:rPr>
          <w:rFonts w:ascii="Arial" w:hAnsi="Arial" w:cs="Arial"/>
          <w:sz w:val="22"/>
          <w:szCs w:val="22"/>
        </w:rPr>
        <w:t xml:space="preserve">Adresi, Motsafa. “Evaluating the Performance of Self-Sensing Concrete Sensors under Temperature and Moisture Variations- a Review.” </w:t>
      </w:r>
      <w:r w:rsidRPr="00E71CFF">
        <w:rPr>
          <w:rFonts w:ascii="Arial" w:hAnsi="Arial" w:cs="Arial"/>
          <w:i/>
          <w:iCs/>
          <w:sz w:val="22"/>
          <w:szCs w:val="22"/>
        </w:rPr>
        <w:t>Construction and Building Materials</w:t>
      </w:r>
      <w:r w:rsidRPr="00E71CFF">
        <w:rPr>
          <w:rFonts w:ascii="Arial" w:hAnsi="Arial" w:cs="Arial"/>
          <w:sz w:val="22"/>
          <w:szCs w:val="22"/>
        </w:rPr>
        <w:t>, vol. 404, no. 1, 2023, pp</w:t>
      </w:r>
      <w:r w:rsidRPr="002018EB">
        <w:rPr>
          <w:rFonts w:ascii="Arial" w:hAnsi="Arial" w:cs="Arial"/>
          <w:sz w:val="22"/>
          <w:szCs w:val="22"/>
        </w:rPr>
        <w:t>. 45–50.</w:t>
      </w:r>
    </w:p>
    <w:p w14:paraId="78542147" w14:textId="77777777" w:rsidR="001230B3" w:rsidRPr="002018EB" w:rsidRDefault="001230B3" w:rsidP="00C20E66">
      <w:pPr>
        <w:pStyle w:val="NormalWeb"/>
        <w:spacing w:before="0" w:beforeAutospacing="0" w:after="0" w:afterAutospacing="0" w:line="360" w:lineRule="auto"/>
        <w:ind w:left="720" w:hanging="720"/>
        <w:rPr>
          <w:rFonts w:ascii="Arial" w:hAnsi="Arial" w:cs="Arial"/>
          <w:sz w:val="22"/>
          <w:szCs w:val="22"/>
        </w:rPr>
      </w:pPr>
    </w:p>
    <w:p w14:paraId="60EEE769" w14:textId="77777777" w:rsidR="002018EB" w:rsidRPr="003570DD" w:rsidRDefault="002018EB" w:rsidP="003570DD">
      <w:pPr>
        <w:pStyle w:val="NormalWeb"/>
        <w:spacing w:before="0" w:beforeAutospacing="0" w:after="0" w:afterAutospacing="0" w:line="360" w:lineRule="auto"/>
        <w:ind w:left="720" w:hanging="720"/>
        <w:rPr>
          <w:rFonts w:ascii="Arial" w:hAnsi="Arial" w:cs="Arial"/>
          <w:sz w:val="22"/>
          <w:szCs w:val="22"/>
        </w:rPr>
      </w:pPr>
      <w:r w:rsidRPr="003570DD">
        <w:rPr>
          <w:rFonts w:ascii="Arial" w:hAnsi="Arial" w:cs="Arial"/>
          <w:sz w:val="22"/>
          <w:szCs w:val="22"/>
        </w:rPr>
        <w:lastRenderedPageBreak/>
        <w:t xml:space="preserve">Jiao, Kexin. </w:t>
      </w:r>
      <w:r w:rsidRPr="003570DD">
        <w:rPr>
          <w:rFonts w:ascii="Arial" w:hAnsi="Arial" w:cs="Arial"/>
          <w:i/>
          <w:iCs/>
          <w:sz w:val="22"/>
          <w:szCs w:val="22"/>
        </w:rPr>
        <w:t>Analysis of the Relationship between Productivity and Hearth Wall Temperature of a Commercial Blast Furnace and Model Prediction</w:t>
      </w:r>
      <w:r w:rsidRPr="003570DD">
        <w:rPr>
          <w:rFonts w:ascii="Arial" w:hAnsi="Arial" w:cs="Arial"/>
          <w:sz w:val="22"/>
          <w:szCs w:val="22"/>
        </w:rPr>
        <w:t xml:space="preserve">. Vol. 88, no. 9, 2017, pp. 1–6. </w:t>
      </w:r>
      <w:r w:rsidRPr="003570DD">
        <w:rPr>
          <w:rFonts w:ascii="Arial" w:hAnsi="Arial" w:cs="Arial"/>
          <w:i/>
          <w:iCs/>
          <w:sz w:val="22"/>
          <w:szCs w:val="22"/>
        </w:rPr>
        <w:t>Steel Research International</w:t>
      </w:r>
      <w:r w:rsidRPr="003570DD">
        <w:rPr>
          <w:rFonts w:ascii="Arial" w:hAnsi="Arial" w:cs="Arial"/>
          <w:sz w:val="22"/>
          <w:szCs w:val="22"/>
        </w:rPr>
        <w:t>.</w:t>
      </w:r>
    </w:p>
    <w:p w14:paraId="786AD96E" w14:textId="77777777" w:rsidR="002018EB" w:rsidRPr="003570DD" w:rsidRDefault="002018EB" w:rsidP="003570DD">
      <w:pPr>
        <w:pStyle w:val="NormalWeb"/>
        <w:spacing w:before="0" w:beforeAutospacing="0" w:after="0" w:afterAutospacing="0" w:line="360" w:lineRule="auto"/>
        <w:ind w:left="720" w:hanging="720"/>
        <w:rPr>
          <w:rFonts w:ascii="Arial" w:hAnsi="Arial" w:cs="Arial"/>
          <w:sz w:val="22"/>
          <w:szCs w:val="22"/>
        </w:rPr>
      </w:pPr>
    </w:p>
    <w:p w14:paraId="50AEBE33" w14:textId="77777777" w:rsidR="003570DD" w:rsidRPr="003570DD" w:rsidRDefault="003570DD" w:rsidP="003570DD">
      <w:pPr>
        <w:pStyle w:val="NormalWeb"/>
        <w:spacing w:before="0" w:beforeAutospacing="0" w:after="0" w:afterAutospacing="0" w:line="360" w:lineRule="auto"/>
        <w:ind w:left="720" w:hanging="720"/>
        <w:rPr>
          <w:rFonts w:ascii="Arial" w:hAnsi="Arial" w:cs="Arial"/>
          <w:sz w:val="22"/>
          <w:szCs w:val="22"/>
        </w:rPr>
      </w:pPr>
      <w:r w:rsidRPr="003570DD">
        <w:rPr>
          <w:rFonts w:ascii="Arial" w:hAnsi="Arial" w:cs="Arial"/>
          <w:sz w:val="22"/>
          <w:szCs w:val="22"/>
        </w:rPr>
        <w:t xml:space="preserve">Zola, Andrew. “What Is Encoding and Decoding?” </w:t>
      </w:r>
      <w:r w:rsidRPr="003570DD">
        <w:rPr>
          <w:rFonts w:ascii="Arial" w:hAnsi="Arial" w:cs="Arial"/>
          <w:i/>
          <w:iCs/>
          <w:sz w:val="22"/>
          <w:szCs w:val="22"/>
        </w:rPr>
        <w:t>SearchNetworking</w:t>
      </w:r>
      <w:r w:rsidRPr="003570DD">
        <w:rPr>
          <w:rFonts w:ascii="Arial" w:hAnsi="Arial" w:cs="Arial"/>
          <w:sz w:val="22"/>
          <w:szCs w:val="22"/>
        </w:rPr>
        <w:t>, July 2021, www.techtarget.com/searchnetworking/definition/encoding-and-decoding.</w:t>
      </w:r>
    </w:p>
    <w:p w14:paraId="3E71C71F" w14:textId="77777777" w:rsidR="00A40B5A" w:rsidRPr="003570DD" w:rsidRDefault="00A40B5A" w:rsidP="003570DD">
      <w:pPr>
        <w:spacing w:line="360" w:lineRule="auto"/>
        <w:rPr>
          <w:rStyle w:val="Strong"/>
          <w:rFonts w:cs="Arial"/>
        </w:rPr>
      </w:pPr>
    </w:p>
    <w:sectPr w:rsidR="00A40B5A" w:rsidRPr="003570DD">
      <w:footerReference w:type="even" r:id="rId37"/>
      <w:footerReference w:type="default" r:id="rId38"/>
      <w:footerReference w:type="firs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50221" w14:textId="77777777" w:rsidR="00337C15" w:rsidRDefault="00337C15" w:rsidP="007713B0">
      <w:pPr>
        <w:spacing w:after="0" w:line="240" w:lineRule="auto"/>
      </w:pPr>
      <w:r>
        <w:separator/>
      </w:r>
    </w:p>
  </w:endnote>
  <w:endnote w:type="continuationSeparator" w:id="0">
    <w:p w14:paraId="6C7E8DC0" w14:textId="77777777" w:rsidR="00337C15" w:rsidRDefault="00337C15" w:rsidP="00771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1FF91E" w14:textId="38AC93AC" w:rsidR="007713B0" w:rsidRDefault="007713B0">
    <w:pPr>
      <w:pStyle w:val="Footer"/>
    </w:pPr>
    <w:r>
      <w:rPr>
        <w:noProof/>
      </w:rPr>
      <mc:AlternateContent>
        <mc:Choice Requires="wps">
          <w:drawing>
            <wp:anchor distT="0" distB="0" distL="0" distR="0" simplePos="0" relativeHeight="251659264" behindDoc="0" locked="0" layoutInCell="1" allowOverlap="1" wp14:anchorId="4FAA109D" wp14:editId="197B31A5">
              <wp:simplePos x="635" y="635"/>
              <wp:positionH relativeFrom="page">
                <wp:align>left</wp:align>
              </wp:positionH>
              <wp:positionV relativeFrom="page">
                <wp:align>bottom</wp:align>
              </wp:positionV>
              <wp:extent cx="443865" cy="443865"/>
              <wp:effectExtent l="0" t="0" r="13335" b="0"/>
              <wp:wrapNone/>
              <wp:docPr id="4"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098115D" w14:textId="24DF0038" w:rsidR="007713B0" w:rsidRPr="007713B0" w:rsidRDefault="007713B0" w:rsidP="007713B0">
                          <w:pPr>
                            <w:spacing w:after="0"/>
                            <w:rPr>
                              <w:rFonts w:ascii="Calibri" w:eastAsia="Calibri" w:hAnsi="Calibri" w:cs="Calibri"/>
                              <w:noProof/>
                              <w:color w:val="000000"/>
                              <w:sz w:val="16"/>
                              <w:szCs w:val="16"/>
                            </w:rPr>
                          </w:pPr>
                          <w:r w:rsidRPr="007713B0">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FAA109D" id="_x0000_t202" coordsize="21600,21600" o:spt="202" path="m,l,21600r21600,l21600,xe">
              <v:stroke joinstyle="miter"/>
              <v:path gradientshapeok="t" o:connecttype="rect"/>
            </v:shapetype>
            <v:shape id="Text Box 4"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4098115D" w14:textId="24DF0038" w:rsidR="007713B0" w:rsidRPr="007713B0" w:rsidRDefault="007713B0" w:rsidP="007713B0">
                    <w:pPr>
                      <w:spacing w:after="0"/>
                      <w:rPr>
                        <w:rFonts w:ascii="Calibri" w:eastAsia="Calibri" w:hAnsi="Calibri" w:cs="Calibri"/>
                        <w:noProof/>
                        <w:color w:val="000000"/>
                        <w:sz w:val="16"/>
                        <w:szCs w:val="16"/>
                      </w:rPr>
                    </w:pPr>
                    <w:r w:rsidRPr="007713B0">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065754"/>
      <w:docPartObj>
        <w:docPartGallery w:val="Page Numbers (Bottom of Page)"/>
        <w:docPartUnique/>
      </w:docPartObj>
    </w:sdtPr>
    <w:sdtEndPr>
      <w:rPr>
        <w:noProof/>
      </w:rPr>
    </w:sdtEndPr>
    <w:sdtContent>
      <w:p w14:paraId="203C75FA" w14:textId="2D99BAEF" w:rsidR="00A66096" w:rsidRDefault="00A660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05825F" w14:textId="3F253F0D" w:rsidR="007713B0" w:rsidRDefault="00A66096">
    <w:pPr>
      <w:pStyle w:val="Footer"/>
    </w:pPr>
    <w:r>
      <w:t>AC</w:t>
    </w:r>
    <w:r w:rsidR="00C15DDB">
      <w:t>MA6001 – Control Technology – Rhys Stroud 2114318</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76AE2" w14:textId="094C416D" w:rsidR="007713B0" w:rsidRDefault="007713B0">
    <w:pPr>
      <w:pStyle w:val="Footer"/>
    </w:pPr>
    <w:r>
      <w:rPr>
        <w:noProof/>
      </w:rPr>
      <mc:AlternateContent>
        <mc:Choice Requires="wps">
          <w:drawing>
            <wp:anchor distT="0" distB="0" distL="0" distR="0" simplePos="0" relativeHeight="251658240" behindDoc="0" locked="0" layoutInCell="1" allowOverlap="1" wp14:anchorId="4D76BB5A" wp14:editId="37967248">
              <wp:simplePos x="635" y="635"/>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98F4B8E" w14:textId="09527602" w:rsidR="007713B0" w:rsidRPr="007713B0" w:rsidRDefault="007713B0" w:rsidP="007713B0">
                          <w:pPr>
                            <w:spacing w:after="0"/>
                            <w:rPr>
                              <w:rFonts w:ascii="Calibri" w:eastAsia="Calibri" w:hAnsi="Calibri" w:cs="Calibri"/>
                              <w:noProof/>
                              <w:color w:val="000000"/>
                              <w:sz w:val="16"/>
                              <w:szCs w:val="16"/>
                            </w:rPr>
                          </w:pPr>
                          <w:r w:rsidRPr="007713B0">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D76BB5A" id="_x0000_t202" coordsize="21600,21600" o:spt="202" path="m,l,21600r21600,l21600,xe">
              <v:stroke joinstyle="miter"/>
              <v:path gradientshapeok="t" o:connecttype="rect"/>
            </v:shapetype>
            <v:shape id="Text Box 3" o:spid="_x0000_s1027"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798F4B8E" w14:textId="09527602" w:rsidR="007713B0" w:rsidRPr="007713B0" w:rsidRDefault="007713B0" w:rsidP="007713B0">
                    <w:pPr>
                      <w:spacing w:after="0"/>
                      <w:rPr>
                        <w:rFonts w:ascii="Calibri" w:eastAsia="Calibri" w:hAnsi="Calibri" w:cs="Calibri"/>
                        <w:noProof/>
                        <w:color w:val="000000"/>
                        <w:sz w:val="16"/>
                        <w:szCs w:val="16"/>
                      </w:rPr>
                    </w:pPr>
                    <w:r w:rsidRPr="007713B0">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A05B43" w14:textId="77777777" w:rsidR="00337C15" w:rsidRDefault="00337C15" w:rsidP="007713B0">
      <w:pPr>
        <w:spacing w:after="0" w:line="240" w:lineRule="auto"/>
      </w:pPr>
      <w:r>
        <w:separator/>
      </w:r>
    </w:p>
  </w:footnote>
  <w:footnote w:type="continuationSeparator" w:id="0">
    <w:p w14:paraId="630897C3" w14:textId="77777777" w:rsidR="00337C15" w:rsidRDefault="00337C15" w:rsidP="007713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E64"/>
    <w:rsid w:val="00007C4F"/>
    <w:rsid w:val="00031126"/>
    <w:rsid w:val="0004095D"/>
    <w:rsid w:val="00042274"/>
    <w:rsid w:val="00047E35"/>
    <w:rsid w:val="00052738"/>
    <w:rsid w:val="00054ABA"/>
    <w:rsid w:val="000561E3"/>
    <w:rsid w:val="00056E02"/>
    <w:rsid w:val="000609F5"/>
    <w:rsid w:val="0006176A"/>
    <w:rsid w:val="00061C82"/>
    <w:rsid w:val="00066940"/>
    <w:rsid w:val="00067EBD"/>
    <w:rsid w:val="00070040"/>
    <w:rsid w:val="000709BB"/>
    <w:rsid w:val="000724BD"/>
    <w:rsid w:val="000742DC"/>
    <w:rsid w:val="0008506C"/>
    <w:rsid w:val="000861C2"/>
    <w:rsid w:val="00090998"/>
    <w:rsid w:val="00096D1D"/>
    <w:rsid w:val="000A303A"/>
    <w:rsid w:val="000B5EF3"/>
    <w:rsid w:val="000C5673"/>
    <w:rsid w:val="000D74FF"/>
    <w:rsid w:val="000E0546"/>
    <w:rsid w:val="000E217C"/>
    <w:rsid w:val="000E7A11"/>
    <w:rsid w:val="000F29CC"/>
    <w:rsid w:val="000F3CF9"/>
    <w:rsid w:val="000F75EB"/>
    <w:rsid w:val="001006DE"/>
    <w:rsid w:val="001034CD"/>
    <w:rsid w:val="00113A68"/>
    <w:rsid w:val="00115A6A"/>
    <w:rsid w:val="00120299"/>
    <w:rsid w:val="00122D9C"/>
    <w:rsid w:val="001230B3"/>
    <w:rsid w:val="001250A7"/>
    <w:rsid w:val="00125199"/>
    <w:rsid w:val="0013133E"/>
    <w:rsid w:val="0013167B"/>
    <w:rsid w:val="00135D99"/>
    <w:rsid w:val="00137737"/>
    <w:rsid w:val="001378D5"/>
    <w:rsid w:val="00140BDE"/>
    <w:rsid w:val="00142B50"/>
    <w:rsid w:val="00144D27"/>
    <w:rsid w:val="00161CFA"/>
    <w:rsid w:val="001777E8"/>
    <w:rsid w:val="00181227"/>
    <w:rsid w:val="00187B28"/>
    <w:rsid w:val="00187D07"/>
    <w:rsid w:val="00192608"/>
    <w:rsid w:val="00192CBA"/>
    <w:rsid w:val="001A048C"/>
    <w:rsid w:val="001A415F"/>
    <w:rsid w:val="001B3255"/>
    <w:rsid w:val="001C466E"/>
    <w:rsid w:val="001E515C"/>
    <w:rsid w:val="002018EB"/>
    <w:rsid w:val="00211807"/>
    <w:rsid w:val="00244F2E"/>
    <w:rsid w:val="002479FF"/>
    <w:rsid w:val="00254BA5"/>
    <w:rsid w:val="00260DB3"/>
    <w:rsid w:val="002632BF"/>
    <w:rsid w:val="0026457E"/>
    <w:rsid w:val="00264BBC"/>
    <w:rsid w:val="0027447B"/>
    <w:rsid w:val="002768E7"/>
    <w:rsid w:val="002A63AA"/>
    <w:rsid w:val="002C4FB4"/>
    <w:rsid w:val="002D5759"/>
    <w:rsid w:val="002D5ABB"/>
    <w:rsid w:val="002D5E3F"/>
    <w:rsid w:val="002E06E6"/>
    <w:rsid w:val="002E4E64"/>
    <w:rsid w:val="002E74A5"/>
    <w:rsid w:val="002E7D78"/>
    <w:rsid w:val="002F58A3"/>
    <w:rsid w:val="002F6789"/>
    <w:rsid w:val="002F77EB"/>
    <w:rsid w:val="002F7B0E"/>
    <w:rsid w:val="00301C34"/>
    <w:rsid w:val="00301FBE"/>
    <w:rsid w:val="0030285C"/>
    <w:rsid w:val="00302FFD"/>
    <w:rsid w:val="00305ECA"/>
    <w:rsid w:val="00311319"/>
    <w:rsid w:val="00322B70"/>
    <w:rsid w:val="00326ECC"/>
    <w:rsid w:val="003278EE"/>
    <w:rsid w:val="00337C15"/>
    <w:rsid w:val="00353E5A"/>
    <w:rsid w:val="003570DD"/>
    <w:rsid w:val="00360FE6"/>
    <w:rsid w:val="003724D0"/>
    <w:rsid w:val="00373307"/>
    <w:rsid w:val="00376074"/>
    <w:rsid w:val="003B5D89"/>
    <w:rsid w:val="003B640C"/>
    <w:rsid w:val="003C1446"/>
    <w:rsid w:val="003C2EE7"/>
    <w:rsid w:val="003C6954"/>
    <w:rsid w:val="003C6D7C"/>
    <w:rsid w:val="003D14B2"/>
    <w:rsid w:val="003D532B"/>
    <w:rsid w:val="003D626B"/>
    <w:rsid w:val="003E10E5"/>
    <w:rsid w:val="003E1CBE"/>
    <w:rsid w:val="003E2187"/>
    <w:rsid w:val="003E6683"/>
    <w:rsid w:val="00403736"/>
    <w:rsid w:val="00420D12"/>
    <w:rsid w:val="00423552"/>
    <w:rsid w:val="0042748B"/>
    <w:rsid w:val="00427758"/>
    <w:rsid w:val="00440F1A"/>
    <w:rsid w:val="00447CAF"/>
    <w:rsid w:val="00452006"/>
    <w:rsid w:val="00457827"/>
    <w:rsid w:val="00464360"/>
    <w:rsid w:val="0048679C"/>
    <w:rsid w:val="004868D0"/>
    <w:rsid w:val="004941C1"/>
    <w:rsid w:val="004A2D66"/>
    <w:rsid w:val="004B646F"/>
    <w:rsid w:val="004C3BEC"/>
    <w:rsid w:val="004C78FA"/>
    <w:rsid w:val="004D60DE"/>
    <w:rsid w:val="004E1B04"/>
    <w:rsid w:val="004E4166"/>
    <w:rsid w:val="004E4952"/>
    <w:rsid w:val="004F2641"/>
    <w:rsid w:val="005073F9"/>
    <w:rsid w:val="005126E8"/>
    <w:rsid w:val="00512790"/>
    <w:rsid w:val="00514F15"/>
    <w:rsid w:val="00524DBA"/>
    <w:rsid w:val="00532655"/>
    <w:rsid w:val="005375B7"/>
    <w:rsid w:val="00560ABD"/>
    <w:rsid w:val="00567AB8"/>
    <w:rsid w:val="005703B2"/>
    <w:rsid w:val="00573CF4"/>
    <w:rsid w:val="005762A0"/>
    <w:rsid w:val="00580FBD"/>
    <w:rsid w:val="00585A39"/>
    <w:rsid w:val="00586FC4"/>
    <w:rsid w:val="00593426"/>
    <w:rsid w:val="005B7653"/>
    <w:rsid w:val="005C44AF"/>
    <w:rsid w:val="005C597F"/>
    <w:rsid w:val="005D33D6"/>
    <w:rsid w:val="005D3C92"/>
    <w:rsid w:val="005E3C67"/>
    <w:rsid w:val="005E6072"/>
    <w:rsid w:val="005E6D9B"/>
    <w:rsid w:val="005F22D0"/>
    <w:rsid w:val="005F2306"/>
    <w:rsid w:val="00606151"/>
    <w:rsid w:val="00607362"/>
    <w:rsid w:val="00623DBE"/>
    <w:rsid w:val="00624D35"/>
    <w:rsid w:val="0064255B"/>
    <w:rsid w:val="006772E9"/>
    <w:rsid w:val="0068222F"/>
    <w:rsid w:val="006930C4"/>
    <w:rsid w:val="00693191"/>
    <w:rsid w:val="006962F2"/>
    <w:rsid w:val="006A0EDC"/>
    <w:rsid w:val="006A1348"/>
    <w:rsid w:val="006A16F6"/>
    <w:rsid w:val="006A532C"/>
    <w:rsid w:val="006B0A9C"/>
    <w:rsid w:val="006B0E00"/>
    <w:rsid w:val="006B2533"/>
    <w:rsid w:val="006B326D"/>
    <w:rsid w:val="006C1DB8"/>
    <w:rsid w:val="006C4A57"/>
    <w:rsid w:val="006D2984"/>
    <w:rsid w:val="006D32B5"/>
    <w:rsid w:val="006D45E5"/>
    <w:rsid w:val="006E18B9"/>
    <w:rsid w:val="006F130B"/>
    <w:rsid w:val="006F3F57"/>
    <w:rsid w:val="006F79C0"/>
    <w:rsid w:val="00704469"/>
    <w:rsid w:val="00705547"/>
    <w:rsid w:val="00706DE0"/>
    <w:rsid w:val="00707D25"/>
    <w:rsid w:val="00711CCD"/>
    <w:rsid w:val="00713CC7"/>
    <w:rsid w:val="00726B98"/>
    <w:rsid w:val="00727447"/>
    <w:rsid w:val="00735F7D"/>
    <w:rsid w:val="007407EB"/>
    <w:rsid w:val="00745195"/>
    <w:rsid w:val="0075370D"/>
    <w:rsid w:val="00753C49"/>
    <w:rsid w:val="00753E61"/>
    <w:rsid w:val="00765382"/>
    <w:rsid w:val="007713B0"/>
    <w:rsid w:val="00776832"/>
    <w:rsid w:val="00783937"/>
    <w:rsid w:val="007845F0"/>
    <w:rsid w:val="00785C2C"/>
    <w:rsid w:val="00787EBE"/>
    <w:rsid w:val="007904B6"/>
    <w:rsid w:val="00791F15"/>
    <w:rsid w:val="007A4AE8"/>
    <w:rsid w:val="007A7A93"/>
    <w:rsid w:val="007C31F1"/>
    <w:rsid w:val="007D0E3B"/>
    <w:rsid w:val="007D5E54"/>
    <w:rsid w:val="007E0B01"/>
    <w:rsid w:val="007E2000"/>
    <w:rsid w:val="007F1915"/>
    <w:rsid w:val="007F1D48"/>
    <w:rsid w:val="007F2FE4"/>
    <w:rsid w:val="008240B0"/>
    <w:rsid w:val="00832B4F"/>
    <w:rsid w:val="008610F9"/>
    <w:rsid w:val="00867253"/>
    <w:rsid w:val="00874896"/>
    <w:rsid w:val="008771C7"/>
    <w:rsid w:val="00877A80"/>
    <w:rsid w:val="0088162D"/>
    <w:rsid w:val="00882669"/>
    <w:rsid w:val="00890334"/>
    <w:rsid w:val="0089272C"/>
    <w:rsid w:val="008A0429"/>
    <w:rsid w:val="008A359F"/>
    <w:rsid w:val="008A622D"/>
    <w:rsid w:val="008B4F62"/>
    <w:rsid w:val="008C343D"/>
    <w:rsid w:val="008C6843"/>
    <w:rsid w:val="008D47A3"/>
    <w:rsid w:val="008E273A"/>
    <w:rsid w:val="008F0D02"/>
    <w:rsid w:val="0090350B"/>
    <w:rsid w:val="0091433B"/>
    <w:rsid w:val="00914722"/>
    <w:rsid w:val="00917725"/>
    <w:rsid w:val="00924833"/>
    <w:rsid w:val="0092554C"/>
    <w:rsid w:val="00930075"/>
    <w:rsid w:val="009420C7"/>
    <w:rsid w:val="0094230D"/>
    <w:rsid w:val="009446BC"/>
    <w:rsid w:val="0094516C"/>
    <w:rsid w:val="00952189"/>
    <w:rsid w:val="00962F43"/>
    <w:rsid w:val="00971534"/>
    <w:rsid w:val="00975199"/>
    <w:rsid w:val="00977322"/>
    <w:rsid w:val="00980192"/>
    <w:rsid w:val="00982F86"/>
    <w:rsid w:val="009B69CE"/>
    <w:rsid w:val="009E7ED6"/>
    <w:rsid w:val="009F43DF"/>
    <w:rsid w:val="00A33EEE"/>
    <w:rsid w:val="00A369C4"/>
    <w:rsid w:val="00A40B5A"/>
    <w:rsid w:val="00A44FAE"/>
    <w:rsid w:val="00A45F46"/>
    <w:rsid w:val="00A57275"/>
    <w:rsid w:val="00A628CC"/>
    <w:rsid w:val="00A65317"/>
    <w:rsid w:val="00A66096"/>
    <w:rsid w:val="00A9139B"/>
    <w:rsid w:val="00A9684F"/>
    <w:rsid w:val="00A96D19"/>
    <w:rsid w:val="00AB303D"/>
    <w:rsid w:val="00AB68BE"/>
    <w:rsid w:val="00AD5F93"/>
    <w:rsid w:val="00AD6B59"/>
    <w:rsid w:val="00AD7CEA"/>
    <w:rsid w:val="00AE2C10"/>
    <w:rsid w:val="00AE417E"/>
    <w:rsid w:val="00AE6BCA"/>
    <w:rsid w:val="00B1359A"/>
    <w:rsid w:val="00B2211D"/>
    <w:rsid w:val="00B22906"/>
    <w:rsid w:val="00B47BDB"/>
    <w:rsid w:val="00B52F2B"/>
    <w:rsid w:val="00B53B73"/>
    <w:rsid w:val="00B54D39"/>
    <w:rsid w:val="00B639B4"/>
    <w:rsid w:val="00B65B38"/>
    <w:rsid w:val="00B908AC"/>
    <w:rsid w:val="00BD09BF"/>
    <w:rsid w:val="00BD7E6D"/>
    <w:rsid w:val="00BE39C7"/>
    <w:rsid w:val="00BF2B45"/>
    <w:rsid w:val="00C012C1"/>
    <w:rsid w:val="00C03157"/>
    <w:rsid w:val="00C11455"/>
    <w:rsid w:val="00C15DDB"/>
    <w:rsid w:val="00C20E66"/>
    <w:rsid w:val="00C26329"/>
    <w:rsid w:val="00C32A62"/>
    <w:rsid w:val="00C354A4"/>
    <w:rsid w:val="00C423DC"/>
    <w:rsid w:val="00C42A76"/>
    <w:rsid w:val="00C4473F"/>
    <w:rsid w:val="00C453EC"/>
    <w:rsid w:val="00C4734C"/>
    <w:rsid w:val="00C6042B"/>
    <w:rsid w:val="00C64DCE"/>
    <w:rsid w:val="00C65CC1"/>
    <w:rsid w:val="00C67885"/>
    <w:rsid w:val="00C817CB"/>
    <w:rsid w:val="00C83C41"/>
    <w:rsid w:val="00C86783"/>
    <w:rsid w:val="00C86E90"/>
    <w:rsid w:val="00C92C1D"/>
    <w:rsid w:val="00C971EF"/>
    <w:rsid w:val="00C97C67"/>
    <w:rsid w:val="00CB4827"/>
    <w:rsid w:val="00CC0002"/>
    <w:rsid w:val="00CC3BD6"/>
    <w:rsid w:val="00CD39D8"/>
    <w:rsid w:val="00CD6A8B"/>
    <w:rsid w:val="00CE5D35"/>
    <w:rsid w:val="00CF3A44"/>
    <w:rsid w:val="00D00720"/>
    <w:rsid w:val="00D06577"/>
    <w:rsid w:val="00D07151"/>
    <w:rsid w:val="00D1329D"/>
    <w:rsid w:val="00D13684"/>
    <w:rsid w:val="00D25292"/>
    <w:rsid w:val="00D25EC0"/>
    <w:rsid w:val="00D309C2"/>
    <w:rsid w:val="00D354E2"/>
    <w:rsid w:val="00D363F2"/>
    <w:rsid w:val="00D50570"/>
    <w:rsid w:val="00D560DC"/>
    <w:rsid w:val="00D72543"/>
    <w:rsid w:val="00D73442"/>
    <w:rsid w:val="00D83DB3"/>
    <w:rsid w:val="00DA0D84"/>
    <w:rsid w:val="00DB4E54"/>
    <w:rsid w:val="00DB7574"/>
    <w:rsid w:val="00DC31B5"/>
    <w:rsid w:val="00DD5BDE"/>
    <w:rsid w:val="00DE0963"/>
    <w:rsid w:val="00DE7C69"/>
    <w:rsid w:val="00DF3BBF"/>
    <w:rsid w:val="00DF4A82"/>
    <w:rsid w:val="00DF7BC2"/>
    <w:rsid w:val="00E04252"/>
    <w:rsid w:val="00E05C80"/>
    <w:rsid w:val="00E15C3F"/>
    <w:rsid w:val="00E2657F"/>
    <w:rsid w:val="00E27BD9"/>
    <w:rsid w:val="00E32E26"/>
    <w:rsid w:val="00E46897"/>
    <w:rsid w:val="00E54D4C"/>
    <w:rsid w:val="00E63A22"/>
    <w:rsid w:val="00E66B4E"/>
    <w:rsid w:val="00E66C13"/>
    <w:rsid w:val="00E71CFF"/>
    <w:rsid w:val="00E74E96"/>
    <w:rsid w:val="00E76D83"/>
    <w:rsid w:val="00E83666"/>
    <w:rsid w:val="00EA514E"/>
    <w:rsid w:val="00EA6EA9"/>
    <w:rsid w:val="00EA78F9"/>
    <w:rsid w:val="00EB0607"/>
    <w:rsid w:val="00EB28CF"/>
    <w:rsid w:val="00EB3D1B"/>
    <w:rsid w:val="00EB7F9E"/>
    <w:rsid w:val="00EC18DA"/>
    <w:rsid w:val="00EC5A1F"/>
    <w:rsid w:val="00ED6482"/>
    <w:rsid w:val="00F04D26"/>
    <w:rsid w:val="00F23F1A"/>
    <w:rsid w:val="00F310AE"/>
    <w:rsid w:val="00F37BB4"/>
    <w:rsid w:val="00F42867"/>
    <w:rsid w:val="00F430B3"/>
    <w:rsid w:val="00F436FA"/>
    <w:rsid w:val="00F466FF"/>
    <w:rsid w:val="00F510A7"/>
    <w:rsid w:val="00F55A10"/>
    <w:rsid w:val="00F64F88"/>
    <w:rsid w:val="00F7762B"/>
    <w:rsid w:val="00F80866"/>
    <w:rsid w:val="00F86C91"/>
    <w:rsid w:val="00F870F4"/>
    <w:rsid w:val="00F92F34"/>
    <w:rsid w:val="00F93932"/>
    <w:rsid w:val="00FA0EBC"/>
    <w:rsid w:val="00FA4B1A"/>
    <w:rsid w:val="00FA54F6"/>
    <w:rsid w:val="00FA629C"/>
    <w:rsid w:val="00FB02A4"/>
    <w:rsid w:val="00FB33AB"/>
    <w:rsid w:val="00FC43C6"/>
    <w:rsid w:val="00FD31F2"/>
    <w:rsid w:val="00FD353D"/>
    <w:rsid w:val="00FD595A"/>
    <w:rsid w:val="00FF2663"/>
    <w:rsid w:val="00FF3E73"/>
    <w:rsid w:val="00FF3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B10C3"/>
  <w15:chartTrackingRefBased/>
  <w15:docId w15:val="{0E45287A-CF25-4B2D-83B9-806FFAEDA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NormalWeb">
    <w:name w:val="Normal (Web)"/>
    <w:basedOn w:val="Normal"/>
    <w:uiPriority w:val="99"/>
    <w:semiHidden/>
    <w:unhideWhenUsed/>
    <w:rsid w:val="00A40B5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713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3B0"/>
    <w:rPr>
      <w:rFonts w:ascii="Arial" w:hAnsi="Arial"/>
    </w:rPr>
  </w:style>
  <w:style w:type="character" w:customStyle="1" w:styleId="NoSpacingChar">
    <w:name w:val="No Spacing Char"/>
    <w:basedOn w:val="DefaultParagraphFont"/>
    <w:link w:val="NoSpacing"/>
    <w:uiPriority w:val="1"/>
    <w:rsid w:val="0048679C"/>
    <w:rPr>
      <w:rFonts w:ascii="Arial" w:hAnsi="Arial"/>
    </w:rPr>
  </w:style>
  <w:style w:type="paragraph" w:styleId="Header">
    <w:name w:val="header"/>
    <w:basedOn w:val="Normal"/>
    <w:link w:val="HeaderChar"/>
    <w:uiPriority w:val="99"/>
    <w:unhideWhenUsed/>
    <w:rsid w:val="00A660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096"/>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63">
      <w:bodyDiv w:val="1"/>
      <w:marLeft w:val="0"/>
      <w:marRight w:val="0"/>
      <w:marTop w:val="0"/>
      <w:marBottom w:val="0"/>
      <w:divBdr>
        <w:top w:val="none" w:sz="0" w:space="0" w:color="auto"/>
        <w:left w:val="none" w:sz="0" w:space="0" w:color="auto"/>
        <w:bottom w:val="none" w:sz="0" w:space="0" w:color="auto"/>
        <w:right w:val="none" w:sz="0" w:space="0" w:color="auto"/>
      </w:divBdr>
    </w:div>
    <w:div w:id="187840127">
      <w:bodyDiv w:val="1"/>
      <w:marLeft w:val="0"/>
      <w:marRight w:val="0"/>
      <w:marTop w:val="0"/>
      <w:marBottom w:val="0"/>
      <w:divBdr>
        <w:top w:val="none" w:sz="0" w:space="0" w:color="auto"/>
        <w:left w:val="none" w:sz="0" w:space="0" w:color="auto"/>
        <w:bottom w:val="none" w:sz="0" w:space="0" w:color="auto"/>
        <w:right w:val="none" w:sz="0" w:space="0" w:color="auto"/>
      </w:divBdr>
    </w:div>
    <w:div w:id="460611830">
      <w:bodyDiv w:val="1"/>
      <w:marLeft w:val="0"/>
      <w:marRight w:val="0"/>
      <w:marTop w:val="0"/>
      <w:marBottom w:val="0"/>
      <w:divBdr>
        <w:top w:val="none" w:sz="0" w:space="0" w:color="auto"/>
        <w:left w:val="none" w:sz="0" w:space="0" w:color="auto"/>
        <w:bottom w:val="none" w:sz="0" w:space="0" w:color="auto"/>
        <w:right w:val="none" w:sz="0" w:space="0" w:color="auto"/>
      </w:divBdr>
    </w:div>
    <w:div w:id="500894242">
      <w:bodyDiv w:val="1"/>
      <w:marLeft w:val="0"/>
      <w:marRight w:val="0"/>
      <w:marTop w:val="0"/>
      <w:marBottom w:val="0"/>
      <w:divBdr>
        <w:top w:val="none" w:sz="0" w:space="0" w:color="auto"/>
        <w:left w:val="none" w:sz="0" w:space="0" w:color="auto"/>
        <w:bottom w:val="none" w:sz="0" w:space="0" w:color="auto"/>
        <w:right w:val="none" w:sz="0" w:space="0" w:color="auto"/>
      </w:divBdr>
    </w:div>
    <w:div w:id="632442967">
      <w:bodyDiv w:val="1"/>
      <w:marLeft w:val="0"/>
      <w:marRight w:val="0"/>
      <w:marTop w:val="0"/>
      <w:marBottom w:val="0"/>
      <w:divBdr>
        <w:top w:val="none" w:sz="0" w:space="0" w:color="auto"/>
        <w:left w:val="none" w:sz="0" w:space="0" w:color="auto"/>
        <w:bottom w:val="none" w:sz="0" w:space="0" w:color="auto"/>
        <w:right w:val="none" w:sz="0" w:space="0" w:color="auto"/>
      </w:divBdr>
    </w:div>
    <w:div w:id="767579164">
      <w:bodyDiv w:val="1"/>
      <w:marLeft w:val="0"/>
      <w:marRight w:val="0"/>
      <w:marTop w:val="0"/>
      <w:marBottom w:val="0"/>
      <w:divBdr>
        <w:top w:val="none" w:sz="0" w:space="0" w:color="auto"/>
        <w:left w:val="none" w:sz="0" w:space="0" w:color="auto"/>
        <w:bottom w:val="none" w:sz="0" w:space="0" w:color="auto"/>
        <w:right w:val="none" w:sz="0" w:space="0" w:color="auto"/>
      </w:divBdr>
      <w:divsChild>
        <w:div w:id="698161392">
          <w:marLeft w:val="-720"/>
          <w:marRight w:val="0"/>
          <w:marTop w:val="0"/>
          <w:marBottom w:val="0"/>
          <w:divBdr>
            <w:top w:val="none" w:sz="0" w:space="0" w:color="auto"/>
            <w:left w:val="none" w:sz="0" w:space="0" w:color="auto"/>
            <w:bottom w:val="none" w:sz="0" w:space="0" w:color="auto"/>
            <w:right w:val="none" w:sz="0" w:space="0" w:color="auto"/>
          </w:divBdr>
        </w:div>
      </w:divsChild>
    </w:div>
    <w:div w:id="956373270">
      <w:bodyDiv w:val="1"/>
      <w:marLeft w:val="0"/>
      <w:marRight w:val="0"/>
      <w:marTop w:val="0"/>
      <w:marBottom w:val="0"/>
      <w:divBdr>
        <w:top w:val="none" w:sz="0" w:space="0" w:color="auto"/>
        <w:left w:val="none" w:sz="0" w:space="0" w:color="auto"/>
        <w:bottom w:val="none" w:sz="0" w:space="0" w:color="auto"/>
        <w:right w:val="none" w:sz="0" w:space="0" w:color="auto"/>
      </w:divBdr>
      <w:divsChild>
        <w:div w:id="284164571">
          <w:marLeft w:val="-720"/>
          <w:marRight w:val="0"/>
          <w:marTop w:val="0"/>
          <w:marBottom w:val="0"/>
          <w:divBdr>
            <w:top w:val="none" w:sz="0" w:space="0" w:color="auto"/>
            <w:left w:val="none" w:sz="0" w:space="0" w:color="auto"/>
            <w:bottom w:val="none" w:sz="0" w:space="0" w:color="auto"/>
            <w:right w:val="none" w:sz="0" w:space="0" w:color="auto"/>
          </w:divBdr>
        </w:div>
      </w:divsChild>
    </w:div>
    <w:div w:id="994337052">
      <w:bodyDiv w:val="1"/>
      <w:marLeft w:val="0"/>
      <w:marRight w:val="0"/>
      <w:marTop w:val="0"/>
      <w:marBottom w:val="0"/>
      <w:divBdr>
        <w:top w:val="none" w:sz="0" w:space="0" w:color="auto"/>
        <w:left w:val="none" w:sz="0" w:space="0" w:color="auto"/>
        <w:bottom w:val="none" w:sz="0" w:space="0" w:color="auto"/>
        <w:right w:val="none" w:sz="0" w:space="0" w:color="auto"/>
      </w:divBdr>
      <w:divsChild>
        <w:div w:id="1101267699">
          <w:marLeft w:val="-720"/>
          <w:marRight w:val="0"/>
          <w:marTop w:val="0"/>
          <w:marBottom w:val="0"/>
          <w:divBdr>
            <w:top w:val="none" w:sz="0" w:space="0" w:color="auto"/>
            <w:left w:val="none" w:sz="0" w:space="0" w:color="auto"/>
            <w:bottom w:val="none" w:sz="0" w:space="0" w:color="auto"/>
            <w:right w:val="none" w:sz="0" w:space="0" w:color="auto"/>
          </w:divBdr>
        </w:div>
      </w:divsChild>
    </w:div>
    <w:div w:id="1385257892">
      <w:bodyDiv w:val="1"/>
      <w:marLeft w:val="0"/>
      <w:marRight w:val="0"/>
      <w:marTop w:val="0"/>
      <w:marBottom w:val="0"/>
      <w:divBdr>
        <w:top w:val="none" w:sz="0" w:space="0" w:color="auto"/>
        <w:left w:val="none" w:sz="0" w:space="0" w:color="auto"/>
        <w:bottom w:val="none" w:sz="0" w:space="0" w:color="auto"/>
        <w:right w:val="none" w:sz="0" w:space="0" w:color="auto"/>
      </w:divBdr>
      <w:divsChild>
        <w:div w:id="60638288">
          <w:marLeft w:val="-720"/>
          <w:marRight w:val="0"/>
          <w:marTop w:val="0"/>
          <w:marBottom w:val="0"/>
          <w:divBdr>
            <w:top w:val="none" w:sz="0" w:space="0" w:color="auto"/>
            <w:left w:val="none" w:sz="0" w:space="0" w:color="auto"/>
            <w:bottom w:val="none" w:sz="0" w:space="0" w:color="auto"/>
            <w:right w:val="none" w:sz="0" w:space="0" w:color="auto"/>
          </w:divBdr>
        </w:div>
      </w:divsChild>
    </w:div>
    <w:div w:id="1495223454">
      <w:bodyDiv w:val="1"/>
      <w:marLeft w:val="0"/>
      <w:marRight w:val="0"/>
      <w:marTop w:val="0"/>
      <w:marBottom w:val="0"/>
      <w:divBdr>
        <w:top w:val="none" w:sz="0" w:space="0" w:color="auto"/>
        <w:left w:val="none" w:sz="0" w:space="0" w:color="auto"/>
        <w:bottom w:val="none" w:sz="0" w:space="0" w:color="auto"/>
        <w:right w:val="none" w:sz="0" w:space="0" w:color="auto"/>
      </w:divBdr>
    </w:div>
    <w:div w:id="1596279283">
      <w:bodyDiv w:val="1"/>
      <w:marLeft w:val="0"/>
      <w:marRight w:val="0"/>
      <w:marTop w:val="0"/>
      <w:marBottom w:val="0"/>
      <w:divBdr>
        <w:top w:val="none" w:sz="0" w:space="0" w:color="auto"/>
        <w:left w:val="none" w:sz="0" w:space="0" w:color="auto"/>
        <w:bottom w:val="none" w:sz="0" w:space="0" w:color="auto"/>
        <w:right w:val="none" w:sz="0" w:space="0" w:color="auto"/>
      </w:divBdr>
      <w:divsChild>
        <w:div w:id="1202013872">
          <w:marLeft w:val="-720"/>
          <w:marRight w:val="0"/>
          <w:marTop w:val="0"/>
          <w:marBottom w:val="0"/>
          <w:divBdr>
            <w:top w:val="none" w:sz="0" w:space="0" w:color="auto"/>
            <w:left w:val="none" w:sz="0" w:space="0" w:color="auto"/>
            <w:bottom w:val="none" w:sz="0" w:space="0" w:color="auto"/>
            <w:right w:val="none" w:sz="0" w:space="0" w:color="auto"/>
          </w:divBdr>
        </w:div>
      </w:divsChild>
    </w:div>
    <w:div w:id="1687947314">
      <w:bodyDiv w:val="1"/>
      <w:marLeft w:val="0"/>
      <w:marRight w:val="0"/>
      <w:marTop w:val="0"/>
      <w:marBottom w:val="0"/>
      <w:divBdr>
        <w:top w:val="none" w:sz="0" w:space="0" w:color="auto"/>
        <w:left w:val="none" w:sz="0" w:space="0" w:color="auto"/>
        <w:bottom w:val="none" w:sz="0" w:space="0" w:color="auto"/>
        <w:right w:val="none" w:sz="0" w:space="0" w:color="auto"/>
      </w:divBdr>
      <w:divsChild>
        <w:div w:id="918291896">
          <w:marLeft w:val="-720"/>
          <w:marRight w:val="0"/>
          <w:marTop w:val="0"/>
          <w:marBottom w:val="0"/>
          <w:divBdr>
            <w:top w:val="none" w:sz="0" w:space="0" w:color="auto"/>
            <w:left w:val="none" w:sz="0" w:space="0" w:color="auto"/>
            <w:bottom w:val="none" w:sz="0" w:space="0" w:color="auto"/>
            <w:right w:val="none" w:sz="0" w:space="0" w:color="auto"/>
          </w:divBdr>
        </w:div>
      </w:divsChild>
    </w:div>
    <w:div w:id="1743480190">
      <w:bodyDiv w:val="1"/>
      <w:marLeft w:val="0"/>
      <w:marRight w:val="0"/>
      <w:marTop w:val="0"/>
      <w:marBottom w:val="0"/>
      <w:divBdr>
        <w:top w:val="none" w:sz="0" w:space="0" w:color="auto"/>
        <w:left w:val="none" w:sz="0" w:space="0" w:color="auto"/>
        <w:bottom w:val="none" w:sz="0" w:space="0" w:color="auto"/>
        <w:right w:val="none" w:sz="0" w:space="0" w:color="auto"/>
      </w:divBdr>
      <w:divsChild>
        <w:div w:id="561405361">
          <w:marLeft w:val="-720"/>
          <w:marRight w:val="0"/>
          <w:marTop w:val="0"/>
          <w:marBottom w:val="0"/>
          <w:divBdr>
            <w:top w:val="none" w:sz="0" w:space="0" w:color="auto"/>
            <w:left w:val="none" w:sz="0" w:space="0" w:color="auto"/>
            <w:bottom w:val="none" w:sz="0" w:space="0" w:color="auto"/>
            <w:right w:val="none" w:sz="0" w:space="0" w:color="auto"/>
          </w:divBdr>
        </w:div>
      </w:divsChild>
    </w:div>
    <w:div w:id="1744331744">
      <w:bodyDiv w:val="1"/>
      <w:marLeft w:val="0"/>
      <w:marRight w:val="0"/>
      <w:marTop w:val="0"/>
      <w:marBottom w:val="0"/>
      <w:divBdr>
        <w:top w:val="none" w:sz="0" w:space="0" w:color="auto"/>
        <w:left w:val="none" w:sz="0" w:space="0" w:color="auto"/>
        <w:bottom w:val="none" w:sz="0" w:space="0" w:color="auto"/>
        <w:right w:val="none" w:sz="0" w:space="0" w:color="auto"/>
      </w:divBdr>
    </w:div>
    <w:div w:id="1752698496">
      <w:bodyDiv w:val="1"/>
      <w:marLeft w:val="0"/>
      <w:marRight w:val="0"/>
      <w:marTop w:val="0"/>
      <w:marBottom w:val="0"/>
      <w:divBdr>
        <w:top w:val="none" w:sz="0" w:space="0" w:color="auto"/>
        <w:left w:val="none" w:sz="0" w:space="0" w:color="auto"/>
        <w:bottom w:val="none" w:sz="0" w:space="0" w:color="auto"/>
        <w:right w:val="none" w:sz="0" w:space="0" w:color="auto"/>
      </w:divBdr>
      <w:divsChild>
        <w:div w:id="126314803">
          <w:marLeft w:val="-720"/>
          <w:marRight w:val="0"/>
          <w:marTop w:val="0"/>
          <w:marBottom w:val="0"/>
          <w:divBdr>
            <w:top w:val="none" w:sz="0" w:space="0" w:color="auto"/>
            <w:left w:val="none" w:sz="0" w:space="0" w:color="auto"/>
            <w:bottom w:val="none" w:sz="0" w:space="0" w:color="auto"/>
            <w:right w:val="none" w:sz="0" w:space="0" w:color="auto"/>
          </w:divBdr>
        </w:div>
      </w:divsChild>
    </w:div>
    <w:div w:id="1783763072">
      <w:bodyDiv w:val="1"/>
      <w:marLeft w:val="0"/>
      <w:marRight w:val="0"/>
      <w:marTop w:val="0"/>
      <w:marBottom w:val="0"/>
      <w:divBdr>
        <w:top w:val="none" w:sz="0" w:space="0" w:color="auto"/>
        <w:left w:val="none" w:sz="0" w:space="0" w:color="auto"/>
        <w:bottom w:val="none" w:sz="0" w:space="0" w:color="auto"/>
        <w:right w:val="none" w:sz="0" w:space="0" w:color="auto"/>
      </w:divBdr>
      <w:divsChild>
        <w:div w:id="621885884">
          <w:marLeft w:val="-720"/>
          <w:marRight w:val="0"/>
          <w:marTop w:val="0"/>
          <w:marBottom w:val="0"/>
          <w:divBdr>
            <w:top w:val="none" w:sz="0" w:space="0" w:color="auto"/>
            <w:left w:val="none" w:sz="0" w:space="0" w:color="auto"/>
            <w:bottom w:val="none" w:sz="0" w:space="0" w:color="auto"/>
            <w:right w:val="none" w:sz="0" w:space="0" w:color="auto"/>
          </w:divBdr>
        </w:div>
      </w:divsChild>
    </w:div>
    <w:div w:id="1852453860">
      <w:bodyDiv w:val="1"/>
      <w:marLeft w:val="0"/>
      <w:marRight w:val="0"/>
      <w:marTop w:val="0"/>
      <w:marBottom w:val="0"/>
      <w:divBdr>
        <w:top w:val="none" w:sz="0" w:space="0" w:color="auto"/>
        <w:left w:val="none" w:sz="0" w:space="0" w:color="auto"/>
        <w:bottom w:val="none" w:sz="0" w:space="0" w:color="auto"/>
        <w:right w:val="none" w:sz="0" w:space="0" w:color="auto"/>
      </w:divBdr>
      <w:divsChild>
        <w:div w:id="1660229399">
          <w:marLeft w:val="-720"/>
          <w:marRight w:val="0"/>
          <w:marTop w:val="0"/>
          <w:marBottom w:val="0"/>
          <w:divBdr>
            <w:top w:val="none" w:sz="0" w:space="0" w:color="auto"/>
            <w:left w:val="none" w:sz="0" w:space="0" w:color="auto"/>
            <w:bottom w:val="none" w:sz="0" w:space="0" w:color="auto"/>
            <w:right w:val="none" w:sz="0" w:space="0" w:color="auto"/>
          </w:divBdr>
        </w:div>
      </w:divsChild>
    </w:div>
    <w:div w:id="1882546592">
      <w:bodyDiv w:val="1"/>
      <w:marLeft w:val="0"/>
      <w:marRight w:val="0"/>
      <w:marTop w:val="0"/>
      <w:marBottom w:val="0"/>
      <w:divBdr>
        <w:top w:val="none" w:sz="0" w:space="0" w:color="auto"/>
        <w:left w:val="none" w:sz="0" w:space="0" w:color="auto"/>
        <w:bottom w:val="none" w:sz="0" w:space="0" w:color="auto"/>
        <w:right w:val="none" w:sz="0" w:space="0" w:color="auto"/>
      </w:divBdr>
    </w:div>
    <w:div w:id="1928881997">
      <w:bodyDiv w:val="1"/>
      <w:marLeft w:val="0"/>
      <w:marRight w:val="0"/>
      <w:marTop w:val="0"/>
      <w:marBottom w:val="0"/>
      <w:divBdr>
        <w:top w:val="none" w:sz="0" w:space="0" w:color="auto"/>
        <w:left w:val="none" w:sz="0" w:space="0" w:color="auto"/>
        <w:bottom w:val="none" w:sz="0" w:space="0" w:color="auto"/>
        <w:right w:val="none" w:sz="0" w:space="0" w:color="auto"/>
      </w:divBdr>
      <w:divsChild>
        <w:div w:id="1475678979">
          <w:marLeft w:val="-720"/>
          <w:marRight w:val="0"/>
          <w:marTop w:val="0"/>
          <w:marBottom w:val="0"/>
          <w:divBdr>
            <w:top w:val="none" w:sz="0" w:space="0" w:color="auto"/>
            <w:left w:val="none" w:sz="0" w:space="0" w:color="auto"/>
            <w:bottom w:val="none" w:sz="0" w:space="0" w:color="auto"/>
            <w:right w:val="none" w:sz="0" w:space="0" w:color="auto"/>
          </w:divBdr>
        </w:div>
      </w:divsChild>
    </w:div>
    <w:div w:id="2009745224">
      <w:bodyDiv w:val="1"/>
      <w:marLeft w:val="0"/>
      <w:marRight w:val="0"/>
      <w:marTop w:val="0"/>
      <w:marBottom w:val="0"/>
      <w:divBdr>
        <w:top w:val="none" w:sz="0" w:space="0" w:color="auto"/>
        <w:left w:val="none" w:sz="0" w:space="0" w:color="auto"/>
        <w:bottom w:val="none" w:sz="0" w:space="0" w:color="auto"/>
        <w:right w:val="none" w:sz="0" w:space="0" w:color="auto"/>
      </w:divBdr>
    </w:div>
    <w:div w:id="2021618832">
      <w:bodyDiv w:val="1"/>
      <w:marLeft w:val="0"/>
      <w:marRight w:val="0"/>
      <w:marTop w:val="0"/>
      <w:marBottom w:val="0"/>
      <w:divBdr>
        <w:top w:val="none" w:sz="0" w:space="0" w:color="auto"/>
        <w:left w:val="none" w:sz="0" w:space="0" w:color="auto"/>
        <w:bottom w:val="none" w:sz="0" w:space="0" w:color="auto"/>
        <w:right w:val="none" w:sz="0" w:space="0" w:color="auto"/>
      </w:divBdr>
      <w:divsChild>
        <w:div w:id="1789935510">
          <w:marLeft w:val="-720"/>
          <w:marRight w:val="0"/>
          <w:marTop w:val="0"/>
          <w:marBottom w:val="0"/>
          <w:divBdr>
            <w:top w:val="none" w:sz="0" w:space="0" w:color="auto"/>
            <w:left w:val="none" w:sz="0" w:space="0" w:color="auto"/>
            <w:bottom w:val="none" w:sz="0" w:space="0" w:color="auto"/>
            <w:right w:val="none" w:sz="0" w:space="0" w:color="auto"/>
          </w:divBdr>
        </w:div>
      </w:divsChild>
    </w:div>
    <w:div w:id="2061325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61B62A-5CDE-4930-AB7F-39111B801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3007</Words>
  <Characters>17141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Stroud, Rhys</dc:creator>
  <cp:keywords/>
  <dc:description/>
  <cp:lastModifiedBy>Stroud, Rhys</cp:lastModifiedBy>
  <cp:revision>388</cp:revision>
  <dcterms:created xsi:type="dcterms:W3CDTF">2024-07-23T09:00:00Z</dcterms:created>
  <dcterms:modified xsi:type="dcterms:W3CDTF">2024-07-29T14:41:00Z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3,4,5</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2024-07-23T12:47:27Z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edecaefc-a7bb-4f92-8a4f-b5510b21ec63</vt:lpwstr>
  </property>
  <property fmtid="{D5CDD505-2E9C-101B-9397-08002B2CF9AE}" pid="11" name="MSIP_Label_73aa366c-74b9-492b-a1b9-5472c41e7d31_ContentBits">
    <vt:lpwstr>2</vt:lpwstr>
  </property>
</Properties>
</file>