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18FBA" w14:textId="77777777" w:rsidR="00720726" w:rsidRDefault="00000000" w:rsidP="00FC0FCD">
      <w:pPr>
        <w:spacing w:line="360" w:lineRule="auto"/>
        <w:rPr>
          <w:rFonts w:ascii="Arial" w:eastAsia="Arial" w:hAnsi="Arial" w:cs="Arial"/>
          <w:b/>
          <w:bCs/>
          <w:sz w:val="28"/>
          <w:szCs w:val="28"/>
        </w:rPr>
      </w:pPr>
      <w:r>
        <w:rPr>
          <w:noProof/>
        </w:rPr>
        <w:drawing>
          <wp:anchor distT="0" distB="0" distL="114300" distR="114300" simplePos="0" relativeHeight="251658240" behindDoc="0" locked="0" layoutInCell="1" hidden="0" allowOverlap="1" wp14:anchorId="0AF5995D" wp14:editId="0B094740">
            <wp:simplePos x="0" y="0"/>
            <wp:positionH relativeFrom="column">
              <wp:posOffset>1138553</wp:posOffset>
            </wp:positionH>
            <wp:positionV relativeFrom="paragraph">
              <wp:posOffset>0</wp:posOffset>
            </wp:positionV>
            <wp:extent cx="3454400" cy="1145540"/>
            <wp:effectExtent l="0" t="0" r="0" b="0"/>
            <wp:wrapTopAndBottom distT="0" dist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7"/>
                    <a:srcRect/>
                    <a:stretch>
                      <a:fillRect/>
                    </a:stretch>
                  </pic:blipFill>
                  <pic:spPr>
                    <a:xfrm>
                      <a:off x="0" y="0"/>
                      <a:ext cx="3454400" cy="1145540"/>
                    </a:xfrm>
                    <a:prstGeom prst="rect">
                      <a:avLst/>
                    </a:prstGeom>
                    <a:ln/>
                  </pic:spPr>
                </pic:pic>
              </a:graphicData>
            </a:graphic>
          </wp:anchor>
        </w:drawing>
      </w:r>
    </w:p>
    <w:p w14:paraId="40F3C85C" w14:textId="77777777" w:rsidR="00720726" w:rsidRDefault="00000000">
      <w:pPr>
        <w:spacing w:line="360" w:lineRule="auto"/>
        <w:jc w:val="center"/>
        <w:rPr>
          <w:rFonts w:ascii="Arial" w:eastAsia="Arial" w:hAnsi="Arial" w:cs="Arial"/>
          <w:b/>
          <w:bCs/>
          <w:sz w:val="28"/>
          <w:szCs w:val="28"/>
        </w:rPr>
      </w:pPr>
      <w:r>
        <w:rPr>
          <w:rFonts w:ascii="Arial" w:eastAsia="Arial" w:hAnsi="Arial" w:cs="Arial"/>
          <w:b/>
          <w:bCs/>
          <w:sz w:val="28"/>
          <w:szCs w:val="28"/>
        </w:rPr>
        <w:t>Master of Business Administration</w:t>
      </w:r>
    </w:p>
    <w:p w14:paraId="635A3993" w14:textId="77777777" w:rsidR="00720726" w:rsidRDefault="00000000">
      <w:pPr>
        <w:spacing w:line="360" w:lineRule="auto"/>
        <w:jc w:val="center"/>
        <w:rPr>
          <w:rFonts w:ascii="Arial" w:eastAsia="Arial" w:hAnsi="Arial" w:cs="Arial"/>
          <w:b/>
          <w:bCs/>
          <w:sz w:val="28"/>
          <w:szCs w:val="28"/>
        </w:rPr>
      </w:pPr>
      <w:r>
        <w:rPr>
          <w:rFonts w:ascii="Arial" w:eastAsia="Arial" w:hAnsi="Arial" w:cs="Arial"/>
          <w:b/>
          <w:bCs/>
          <w:sz w:val="28"/>
          <w:szCs w:val="28"/>
        </w:rPr>
        <w:t>Student Name:</w:t>
      </w:r>
      <w:r>
        <w:rPr>
          <w:rFonts w:ascii="Arial" w:eastAsia="Arial" w:hAnsi="Arial" w:cs="Arial"/>
          <w:sz w:val="28"/>
          <w:szCs w:val="28"/>
        </w:rPr>
        <w:t xml:space="preserve"> </w:t>
      </w:r>
      <w:r>
        <w:rPr>
          <w:rFonts w:ascii="Arial" w:eastAsia="Arial" w:hAnsi="Arial" w:cs="Arial"/>
          <w:b/>
          <w:bCs/>
          <w:sz w:val="28"/>
          <w:szCs w:val="28"/>
        </w:rPr>
        <w:t>Ali Akbar Rafsan</w:t>
      </w:r>
    </w:p>
    <w:p w14:paraId="175FB989" w14:textId="77777777" w:rsidR="00720726" w:rsidRDefault="00000000">
      <w:pPr>
        <w:spacing w:line="360" w:lineRule="auto"/>
        <w:jc w:val="center"/>
        <w:rPr>
          <w:rFonts w:ascii="Arial" w:eastAsia="Arial" w:hAnsi="Arial" w:cs="Arial"/>
          <w:sz w:val="28"/>
          <w:szCs w:val="28"/>
        </w:rPr>
      </w:pPr>
      <w:r>
        <w:rPr>
          <w:rFonts w:ascii="Arial" w:eastAsia="Arial" w:hAnsi="Arial" w:cs="Arial"/>
          <w:b/>
          <w:bCs/>
          <w:sz w:val="28"/>
          <w:szCs w:val="28"/>
        </w:rPr>
        <w:t>Student Number: 2433800</w:t>
      </w:r>
    </w:p>
    <w:p w14:paraId="4E5D7D48" w14:textId="77777777" w:rsidR="00720726" w:rsidRDefault="00000000">
      <w:pPr>
        <w:spacing w:line="360" w:lineRule="auto"/>
        <w:jc w:val="center"/>
        <w:rPr>
          <w:rFonts w:ascii="Arial" w:eastAsia="Arial" w:hAnsi="Arial" w:cs="Arial"/>
          <w:b/>
          <w:bCs/>
          <w:sz w:val="28"/>
          <w:szCs w:val="28"/>
        </w:rPr>
      </w:pPr>
      <w:r>
        <w:rPr>
          <w:rFonts w:ascii="Arial" w:eastAsia="Arial" w:hAnsi="Arial" w:cs="Arial"/>
          <w:b/>
          <w:bCs/>
          <w:sz w:val="28"/>
          <w:szCs w:val="28"/>
        </w:rPr>
        <w:t>Module code: LCMB7035</w:t>
      </w:r>
    </w:p>
    <w:p w14:paraId="739C1C0E" w14:textId="77777777" w:rsidR="00720726" w:rsidRDefault="00000000">
      <w:pPr>
        <w:spacing w:line="360" w:lineRule="auto"/>
        <w:jc w:val="center"/>
        <w:rPr>
          <w:rFonts w:ascii="Arial" w:eastAsia="Arial" w:hAnsi="Arial" w:cs="Arial"/>
          <w:b/>
          <w:bCs/>
          <w:sz w:val="28"/>
          <w:szCs w:val="28"/>
        </w:rPr>
      </w:pPr>
      <w:r>
        <w:rPr>
          <w:rFonts w:ascii="Arial" w:eastAsia="Arial" w:hAnsi="Arial" w:cs="Arial"/>
          <w:b/>
          <w:bCs/>
          <w:sz w:val="28"/>
          <w:szCs w:val="28"/>
        </w:rPr>
        <w:t>Module Name: Dissertation</w:t>
      </w:r>
    </w:p>
    <w:p w14:paraId="46ED2A50" w14:textId="77777777" w:rsidR="00720726" w:rsidRDefault="00000000">
      <w:pPr>
        <w:spacing w:line="360" w:lineRule="auto"/>
        <w:jc w:val="center"/>
        <w:rPr>
          <w:rFonts w:ascii="Arial" w:eastAsia="Arial" w:hAnsi="Arial" w:cs="Arial"/>
          <w:b/>
          <w:bCs/>
          <w:sz w:val="28"/>
          <w:szCs w:val="28"/>
        </w:rPr>
      </w:pPr>
      <w:r>
        <w:rPr>
          <w:rFonts w:ascii="Arial" w:eastAsia="Arial" w:hAnsi="Arial" w:cs="Arial"/>
          <w:b/>
          <w:bCs/>
          <w:sz w:val="28"/>
          <w:szCs w:val="28"/>
        </w:rPr>
        <w:t>Title: "Analysing the Impact of Corporate Social Responsibility on Consumer Buying Behaviour: A Study of Sainsbury's"</w:t>
      </w:r>
    </w:p>
    <w:p w14:paraId="137D2831" w14:textId="77777777" w:rsidR="00720726" w:rsidRDefault="00000000">
      <w:pPr>
        <w:spacing w:line="360" w:lineRule="auto"/>
        <w:jc w:val="center"/>
        <w:rPr>
          <w:rFonts w:ascii="Arial" w:eastAsia="Arial" w:hAnsi="Arial" w:cs="Arial"/>
          <w:b/>
          <w:bCs/>
          <w:sz w:val="28"/>
          <w:szCs w:val="28"/>
        </w:rPr>
      </w:pPr>
      <w:r>
        <w:rPr>
          <w:rFonts w:ascii="Arial" w:eastAsia="Arial" w:hAnsi="Arial" w:cs="Arial"/>
          <w:b/>
          <w:bCs/>
          <w:sz w:val="28"/>
          <w:szCs w:val="28"/>
        </w:rPr>
        <w:t>Supervisor: Thomas Adeyemi</w:t>
      </w:r>
    </w:p>
    <w:p w14:paraId="437B8D35" w14:textId="77777777" w:rsidR="00720726" w:rsidRDefault="00000000">
      <w:pPr>
        <w:spacing w:line="360" w:lineRule="auto"/>
        <w:jc w:val="center"/>
        <w:rPr>
          <w:rFonts w:ascii="Arial" w:eastAsia="Arial" w:hAnsi="Arial" w:cs="Arial"/>
          <w:b/>
          <w:bCs/>
          <w:sz w:val="28"/>
          <w:szCs w:val="28"/>
        </w:rPr>
      </w:pPr>
      <w:r>
        <w:rPr>
          <w:rFonts w:ascii="Arial" w:eastAsia="Arial" w:hAnsi="Arial" w:cs="Arial"/>
          <w:b/>
          <w:bCs/>
          <w:sz w:val="28"/>
          <w:szCs w:val="28"/>
        </w:rPr>
        <w:t>Words Count: 16497 (Main body: Chapter 01 to Chapter 06)</w:t>
      </w:r>
    </w:p>
    <w:p w14:paraId="75E506F0" w14:textId="77777777" w:rsidR="00720726" w:rsidRDefault="00000000">
      <w:pPr>
        <w:spacing w:line="278" w:lineRule="auto"/>
        <w:rPr>
          <w:rFonts w:ascii="Arial" w:eastAsia="Arial" w:hAnsi="Arial" w:cs="Arial"/>
          <w:b/>
          <w:bCs/>
          <w:sz w:val="28"/>
          <w:szCs w:val="28"/>
        </w:rPr>
        <w:sectPr w:rsidR="00720726">
          <w:pgSz w:w="11906" w:h="16838"/>
          <w:pgMar w:top="1440" w:right="1440" w:bottom="1440" w:left="1440" w:header="708" w:footer="708" w:gutter="0"/>
          <w:pgNumType w:start="1"/>
          <w:cols w:space="720"/>
        </w:sectPr>
      </w:pPr>
      <w:r>
        <w:br w:type="page"/>
      </w:r>
    </w:p>
    <w:p w14:paraId="6E481979" w14:textId="77777777" w:rsidR="00720726" w:rsidRDefault="00000000">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rPr>
      </w:pPr>
      <w:r>
        <w:rPr>
          <w:rFonts w:ascii="Arial" w:eastAsia="Arial" w:hAnsi="Arial" w:cs="Arial"/>
          <w:noProof/>
        </w:rPr>
        <w:lastRenderedPageBreak/>
        <w:drawing>
          <wp:inline distT="0" distB="0" distL="0" distR="0" wp14:anchorId="7DFF1A25" wp14:editId="3E9AEA9D">
            <wp:extent cx="2844800" cy="1168400"/>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2844800" cy="1168400"/>
                    </a:xfrm>
                    <a:prstGeom prst="rect">
                      <a:avLst/>
                    </a:prstGeom>
                    <a:ln/>
                  </pic:spPr>
                </pic:pic>
              </a:graphicData>
            </a:graphic>
          </wp:inline>
        </w:drawing>
      </w:r>
    </w:p>
    <w:p w14:paraId="5F063390" w14:textId="77777777" w:rsidR="00720726" w:rsidRDefault="00720726">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b/>
          <w:bCs/>
          <w:sz w:val="28"/>
          <w:szCs w:val="28"/>
        </w:rPr>
      </w:pPr>
    </w:p>
    <w:p w14:paraId="0BF4F7DA" w14:textId="77777777" w:rsidR="00720726" w:rsidRDefault="00000000">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sz w:val="28"/>
          <w:szCs w:val="28"/>
        </w:rPr>
      </w:pPr>
      <w:r>
        <w:rPr>
          <w:rFonts w:ascii="Arial" w:eastAsia="Arial" w:hAnsi="Arial" w:cs="Arial"/>
          <w:b/>
          <w:bCs/>
          <w:sz w:val="28"/>
          <w:szCs w:val="28"/>
        </w:rPr>
        <w:t>Master’s Degrees by Examination and Dissertation</w:t>
      </w:r>
    </w:p>
    <w:p w14:paraId="4FD5262F" w14:textId="77777777" w:rsidR="00720726" w:rsidRDefault="00000000">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sz w:val="28"/>
          <w:szCs w:val="28"/>
        </w:rPr>
      </w:pPr>
      <w:r>
        <w:rPr>
          <w:rFonts w:ascii="Arial" w:eastAsia="Arial" w:hAnsi="Arial" w:cs="Arial"/>
          <w:b/>
          <w:bCs/>
          <w:sz w:val="28"/>
          <w:szCs w:val="28"/>
        </w:rPr>
        <w:t>Declaration Form</w:t>
      </w:r>
    </w:p>
    <w:p w14:paraId="3F26B78F" w14:textId="77777777" w:rsidR="00720726" w:rsidRDefault="00720726">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rPr>
      </w:pPr>
    </w:p>
    <w:p w14:paraId="4B5CC4A9" w14:textId="77777777" w:rsidR="00720726" w:rsidRDefault="00000000">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rPr>
      </w:pPr>
      <w:r>
        <w:rPr>
          <w:rFonts w:ascii="Arial" w:eastAsia="Arial" w:hAnsi="Arial" w:cs="Arial"/>
          <w:sz w:val="24"/>
          <w:szCs w:val="24"/>
        </w:rPr>
        <w:t xml:space="preserve">I, Ali Akbar Rafsan,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0F16DD2" w14:textId="1D5973F7" w:rsidR="00720726" w:rsidRDefault="00000000">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rPr>
      </w:pPr>
      <w:r>
        <w:rPr>
          <w:rFonts w:ascii="Arial" w:eastAsia="Arial" w:hAnsi="Arial" w:cs="Arial"/>
          <w:sz w:val="24"/>
          <w:szCs w:val="24"/>
        </w:rPr>
        <w:t xml:space="preserve"> </w:t>
      </w:r>
      <w:r w:rsidR="00D80A1E" w:rsidRPr="00D80A1E">
        <w:rPr>
          <w:rFonts w:ascii="Arial" w:eastAsia="Arial" w:hAnsi="Arial" w:cs="Arial"/>
          <w:sz w:val="24"/>
          <w:szCs w:val="24"/>
        </w:rPr>
        <w:drawing>
          <wp:inline distT="0" distB="0" distL="0" distR="0" wp14:anchorId="0BC27CB6" wp14:editId="6E8A3A3C">
            <wp:extent cx="1047710" cy="495300"/>
            <wp:effectExtent l="0" t="0" r="635" b="0"/>
            <wp:docPr id="591761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761872" name=""/>
                    <pic:cNvPicPr/>
                  </pic:nvPicPr>
                  <pic:blipFill>
                    <a:blip r:embed="rId9"/>
                    <a:stretch>
                      <a:fillRect/>
                    </a:stretch>
                  </pic:blipFill>
                  <pic:spPr>
                    <a:xfrm>
                      <a:off x="0" y="0"/>
                      <a:ext cx="1057478" cy="499918"/>
                    </a:xfrm>
                    <a:prstGeom prst="rect">
                      <a:avLst/>
                    </a:prstGeom>
                  </pic:spPr>
                </pic:pic>
              </a:graphicData>
            </a:graphic>
          </wp:inline>
        </w:drawing>
      </w:r>
    </w:p>
    <w:p w14:paraId="090EF6BF" w14:textId="77777777" w:rsidR="00720726" w:rsidRDefault="00000000">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rPr>
      </w:pPr>
      <w:r>
        <w:rPr>
          <w:rFonts w:ascii="Arial" w:eastAsia="Arial" w:hAnsi="Arial" w:cs="Arial"/>
          <w:sz w:val="24"/>
          <w:szCs w:val="24"/>
        </w:rPr>
        <w:t>Signature: Ali Akbar Rafsan</w:t>
      </w:r>
    </w:p>
    <w:p w14:paraId="1E1CAE9E" w14:textId="08BDAD2A" w:rsidR="00720726" w:rsidRDefault="00000000">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rPr>
      </w:pPr>
      <w:r>
        <w:rPr>
          <w:rFonts w:ascii="Arial" w:eastAsia="Arial" w:hAnsi="Arial" w:cs="Arial"/>
          <w:sz w:val="24"/>
          <w:szCs w:val="24"/>
        </w:rPr>
        <w:t xml:space="preserve">Date: </w:t>
      </w:r>
      <w:r w:rsidR="00D80A1E">
        <w:rPr>
          <w:rFonts w:ascii="Arial" w:eastAsia="Arial" w:hAnsi="Arial" w:cs="Arial"/>
          <w:sz w:val="24"/>
          <w:szCs w:val="24"/>
        </w:rPr>
        <w:t>06/06/2026</w:t>
      </w:r>
    </w:p>
    <w:p w14:paraId="4D63A3D6" w14:textId="77777777" w:rsidR="00720726" w:rsidRDefault="00720726">
      <w:pPr>
        <w:pBdr>
          <w:top w:val="single" w:sz="4" w:space="1" w:color="000000"/>
          <w:left w:val="single" w:sz="4" w:space="4" w:color="000000"/>
          <w:bottom w:val="single" w:sz="4" w:space="31" w:color="000000"/>
          <w:right w:val="single" w:sz="4" w:space="4" w:color="000000"/>
        </w:pBdr>
        <w:spacing w:after="120"/>
        <w:rPr>
          <w:rFonts w:ascii="Arial" w:eastAsia="Arial" w:hAnsi="Arial" w:cs="Arial"/>
        </w:rPr>
      </w:pPr>
    </w:p>
    <w:p w14:paraId="02912AAD" w14:textId="77777777" w:rsidR="00720726" w:rsidRDefault="00720726">
      <w:pPr>
        <w:spacing w:line="360" w:lineRule="auto"/>
        <w:jc w:val="center"/>
        <w:rPr>
          <w:rFonts w:ascii="Arial" w:eastAsia="Arial" w:hAnsi="Arial" w:cs="Arial"/>
          <w:b/>
          <w:bCs/>
          <w:sz w:val="28"/>
          <w:szCs w:val="28"/>
        </w:rPr>
      </w:pPr>
    </w:p>
    <w:p w14:paraId="161EF1D6" w14:textId="77777777" w:rsidR="00720726" w:rsidRDefault="00720726">
      <w:pPr>
        <w:spacing w:line="360" w:lineRule="auto"/>
      </w:pPr>
    </w:p>
    <w:p w14:paraId="3C30610E" w14:textId="77777777" w:rsidR="00720726" w:rsidRDefault="00720726">
      <w:pPr>
        <w:spacing w:line="360" w:lineRule="auto"/>
      </w:pPr>
    </w:p>
    <w:p w14:paraId="27083D6A" w14:textId="77777777" w:rsidR="00720726" w:rsidRDefault="00720726">
      <w:pPr>
        <w:spacing w:line="360" w:lineRule="auto"/>
      </w:pPr>
    </w:p>
    <w:p w14:paraId="0228D17F" w14:textId="77777777" w:rsidR="00720726" w:rsidRDefault="00720726">
      <w:pPr>
        <w:spacing w:line="360" w:lineRule="auto"/>
      </w:pPr>
    </w:p>
    <w:p w14:paraId="72F99B46" w14:textId="77777777" w:rsidR="00720726" w:rsidRDefault="00720726">
      <w:pPr>
        <w:spacing w:line="360" w:lineRule="auto"/>
      </w:pPr>
    </w:p>
    <w:p w14:paraId="6CC6B7BA" w14:textId="77777777" w:rsidR="00720726" w:rsidRDefault="00720726">
      <w:pPr>
        <w:spacing w:line="360" w:lineRule="auto"/>
      </w:pPr>
    </w:p>
    <w:p w14:paraId="1E834FB0" w14:textId="77777777" w:rsidR="00720726" w:rsidRDefault="00720726">
      <w:pPr>
        <w:spacing w:line="360" w:lineRule="auto"/>
      </w:pPr>
    </w:p>
    <w:p w14:paraId="2E94C2D1" w14:textId="77777777" w:rsidR="00720726" w:rsidRDefault="00000000">
      <w:pPr>
        <w:pStyle w:val="Heading1"/>
      </w:pPr>
      <w:bookmarkStart w:id="0" w:name="_9dldmvv1qoo0" w:colFirst="0" w:colLast="0"/>
      <w:bookmarkEnd w:id="0"/>
      <w:r>
        <w:t>AI Use Acknowledgement</w:t>
      </w:r>
    </w:p>
    <w:p w14:paraId="1C02A864" w14:textId="77777777" w:rsidR="00720726"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I confirm that no Artificial Intelligence (AI) tools were used to generate, analyse, or write the content of this dissertation. All research, critical analysis, interpretation, and academic writing presented in this study were completed independently by the researcher.</w:t>
      </w:r>
    </w:p>
    <w:p w14:paraId="2D02BD5A" w14:textId="77777777" w:rsidR="00720726"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All sources have been appropriately acknowledged and referenced in accordance with academic integrity and Harvard referencing requirements.</w:t>
      </w:r>
    </w:p>
    <w:p w14:paraId="5D26E1F0" w14:textId="77777777" w:rsidR="00720726" w:rsidRDefault="00720726">
      <w:pPr>
        <w:pBdr>
          <w:top w:val="nil"/>
          <w:left w:val="nil"/>
          <w:bottom w:val="nil"/>
          <w:right w:val="nil"/>
          <w:between w:val="nil"/>
        </w:pBdr>
        <w:spacing w:after="0" w:line="240" w:lineRule="auto"/>
        <w:rPr>
          <w:color w:val="000000"/>
        </w:rPr>
      </w:pPr>
    </w:p>
    <w:p w14:paraId="37B68F87" w14:textId="77777777" w:rsidR="00720726" w:rsidRDefault="00720726">
      <w:pPr>
        <w:pBdr>
          <w:top w:val="nil"/>
          <w:left w:val="nil"/>
          <w:bottom w:val="nil"/>
          <w:right w:val="nil"/>
          <w:between w:val="nil"/>
        </w:pBdr>
        <w:spacing w:after="0" w:line="240" w:lineRule="auto"/>
        <w:rPr>
          <w:color w:val="000000"/>
        </w:rPr>
      </w:pPr>
    </w:p>
    <w:p w14:paraId="71ACF1A0" w14:textId="77777777" w:rsidR="00720726" w:rsidRDefault="00720726">
      <w:pPr>
        <w:pBdr>
          <w:top w:val="nil"/>
          <w:left w:val="nil"/>
          <w:bottom w:val="nil"/>
          <w:right w:val="nil"/>
          <w:between w:val="nil"/>
        </w:pBdr>
        <w:spacing w:after="0" w:line="240" w:lineRule="auto"/>
        <w:rPr>
          <w:color w:val="000000"/>
        </w:rPr>
      </w:pPr>
    </w:p>
    <w:p w14:paraId="12BE8130" w14:textId="77777777" w:rsidR="00720726" w:rsidRDefault="00720726">
      <w:pPr>
        <w:pBdr>
          <w:top w:val="nil"/>
          <w:left w:val="nil"/>
          <w:bottom w:val="nil"/>
          <w:right w:val="nil"/>
          <w:between w:val="nil"/>
        </w:pBdr>
        <w:spacing w:after="0" w:line="240" w:lineRule="auto"/>
        <w:rPr>
          <w:color w:val="000000"/>
        </w:rPr>
      </w:pPr>
    </w:p>
    <w:p w14:paraId="316EBDDE" w14:textId="77777777" w:rsidR="00720726" w:rsidRDefault="00000000">
      <w:pPr>
        <w:pBdr>
          <w:top w:val="nil"/>
          <w:left w:val="nil"/>
          <w:bottom w:val="nil"/>
          <w:right w:val="nil"/>
          <w:between w:val="nil"/>
        </w:pBdr>
        <w:spacing w:after="0" w:line="240" w:lineRule="auto"/>
        <w:rPr>
          <w:rFonts w:ascii="Arial" w:eastAsia="Arial" w:hAnsi="Arial" w:cs="Arial"/>
          <w:color w:val="000000"/>
          <w:sz w:val="24"/>
          <w:szCs w:val="24"/>
        </w:rPr>
      </w:pPr>
      <w:r>
        <w:rPr>
          <w:rFonts w:ascii="Arial" w:eastAsia="Arial" w:hAnsi="Arial" w:cs="Arial"/>
          <w:color w:val="000000"/>
          <w:sz w:val="24"/>
          <w:szCs w:val="24"/>
        </w:rPr>
        <w:t>Student Name: Ali Akbar Rafsan</w:t>
      </w:r>
    </w:p>
    <w:p w14:paraId="0076C6AB" w14:textId="77777777" w:rsidR="00720726" w:rsidRDefault="00720726">
      <w:pPr>
        <w:pBdr>
          <w:top w:val="nil"/>
          <w:left w:val="nil"/>
          <w:bottom w:val="nil"/>
          <w:right w:val="nil"/>
          <w:between w:val="nil"/>
        </w:pBdr>
        <w:spacing w:after="0" w:line="240" w:lineRule="auto"/>
        <w:rPr>
          <w:rFonts w:ascii="Arial" w:eastAsia="Arial" w:hAnsi="Arial" w:cs="Arial"/>
          <w:color w:val="000000"/>
          <w:sz w:val="24"/>
          <w:szCs w:val="24"/>
        </w:rPr>
      </w:pPr>
    </w:p>
    <w:p w14:paraId="67B03981" w14:textId="77777777" w:rsidR="00720726" w:rsidRDefault="00720726">
      <w:pPr>
        <w:pBdr>
          <w:top w:val="nil"/>
          <w:left w:val="nil"/>
          <w:bottom w:val="nil"/>
          <w:right w:val="nil"/>
          <w:between w:val="nil"/>
        </w:pBdr>
        <w:spacing w:after="0" w:line="240" w:lineRule="auto"/>
        <w:rPr>
          <w:rFonts w:ascii="Arial" w:eastAsia="Arial" w:hAnsi="Arial" w:cs="Arial"/>
          <w:color w:val="000000"/>
          <w:sz w:val="24"/>
          <w:szCs w:val="24"/>
        </w:rPr>
      </w:pPr>
    </w:p>
    <w:p w14:paraId="6A7F020D" w14:textId="0AAE3919" w:rsidR="00720726" w:rsidRDefault="009774CB">
      <w:pPr>
        <w:pBdr>
          <w:top w:val="nil"/>
          <w:left w:val="nil"/>
          <w:bottom w:val="nil"/>
          <w:right w:val="nil"/>
          <w:between w:val="nil"/>
        </w:pBdr>
        <w:spacing w:after="0" w:line="240" w:lineRule="auto"/>
        <w:rPr>
          <w:rFonts w:ascii="Arial" w:eastAsia="Arial" w:hAnsi="Arial" w:cs="Arial"/>
          <w:color w:val="000000"/>
          <w:sz w:val="24"/>
          <w:szCs w:val="24"/>
        </w:rPr>
      </w:pPr>
      <w:r w:rsidRPr="009774CB">
        <w:rPr>
          <w:rFonts w:ascii="Arial" w:eastAsia="Arial" w:hAnsi="Arial" w:cs="Arial"/>
          <w:color w:val="000000"/>
          <w:sz w:val="24"/>
          <w:szCs w:val="24"/>
        </w:rPr>
        <w:drawing>
          <wp:inline distT="0" distB="0" distL="0" distR="0" wp14:anchorId="41C32363" wp14:editId="443A4678">
            <wp:extent cx="1143000" cy="540348"/>
            <wp:effectExtent l="0" t="0" r="0" b="0"/>
            <wp:docPr id="246549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549112" name=""/>
                    <pic:cNvPicPr/>
                  </pic:nvPicPr>
                  <pic:blipFill>
                    <a:blip r:embed="rId9"/>
                    <a:stretch>
                      <a:fillRect/>
                    </a:stretch>
                  </pic:blipFill>
                  <pic:spPr>
                    <a:xfrm>
                      <a:off x="0" y="0"/>
                      <a:ext cx="1159994" cy="548382"/>
                    </a:xfrm>
                    <a:prstGeom prst="rect">
                      <a:avLst/>
                    </a:prstGeom>
                  </pic:spPr>
                </pic:pic>
              </a:graphicData>
            </a:graphic>
          </wp:inline>
        </w:drawing>
      </w:r>
    </w:p>
    <w:p w14:paraId="257E98C5" w14:textId="77777777" w:rsidR="00720726" w:rsidRDefault="00000000">
      <w:pPr>
        <w:pBdr>
          <w:top w:val="nil"/>
          <w:left w:val="nil"/>
          <w:bottom w:val="nil"/>
          <w:right w:val="nil"/>
          <w:between w:val="nil"/>
        </w:pBdr>
        <w:spacing w:after="0" w:line="240" w:lineRule="auto"/>
        <w:rPr>
          <w:rFonts w:ascii="Arial" w:eastAsia="Arial" w:hAnsi="Arial" w:cs="Arial"/>
          <w:color w:val="000000"/>
          <w:sz w:val="24"/>
          <w:szCs w:val="24"/>
        </w:rPr>
      </w:pPr>
      <w:r>
        <w:rPr>
          <w:rFonts w:ascii="Arial" w:eastAsia="Arial" w:hAnsi="Arial" w:cs="Arial"/>
          <w:color w:val="000000"/>
          <w:sz w:val="24"/>
          <w:szCs w:val="24"/>
        </w:rPr>
        <w:t xml:space="preserve">Student Signature: </w:t>
      </w:r>
    </w:p>
    <w:p w14:paraId="04B79490" w14:textId="77777777" w:rsidR="00720726" w:rsidRDefault="00720726">
      <w:pPr>
        <w:pBdr>
          <w:top w:val="nil"/>
          <w:left w:val="nil"/>
          <w:bottom w:val="nil"/>
          <w:right w:val="nil"/>
          <w:between w:val="nil"/>
        </w:pBdr>
        <w:spacing w:after="0" w:line="240" w:lineRule="auto"/>
        <w:rPr>
          <w:color w:val="000000"/>
        </w:rPr>
      </w:pPr>
    </w:p>
    <w:p w14:paraId="11CB075F" w14:textId="77777777" w:rsidR="00720726" w:rsidRDefault="00720726">
      <w:pPr>
        <w:pBdr>
          <w:top w:val="nil"/>
          <w:left w:val="nil"/>
          <w:bottom w:val="nil"/>
          <w:right w:val="nil"/>
          <w:between w:val="nil"/>
        </w:pBdr>
        <w:spacing w:after="0" w:line="240" w:lineRule="auto"/>
        <w:rPr>
          <w:color w:val="000000"/>
        </w:rPr>
      </w:pPr>
    </w:p>
    <w:p w14:paraId="34E67DB0" w14:textId="77777777" w:rsidR="00720726" w:rsidRDefault="00720726">
      <w:pPr>
        <w:pBdr>
          <w:top w:val="nil"/>
          <w:left w:val="nil"/>
          <w:bottom w:val="nil"/>
          <w:right w:val="nil"/>
          <w:between w:val="nil"/>
        </w:pBdr>
        <w:spacing w:after="0" w:line="240" w:lineRule="auto"/>
        <w:rPr>
          <w:color w:val="000000"/>
        </w:rPr>
      </w:pPr>
    </w:p>
    <w:p w14:paraId="097088EE" w14:textId="77777777" w:rsidR="00720726" w:rsidRDefault="00720726">
      <w:pPr>
        <w:pBdr>
          <w:top w:val="nil"/>
          <w:left w:val="nil"/>
          <w:bottom w:val="nil"/>
          <w:right w:val="nil"/>
          <w:between w:val="nil"/>
        </w:pBdr>
        <w:spacing w:after="0" w:line="240" w:lineRule="auto"/>
        <w:rPr>
          <w:color w:val="000000"/>
        </w:rPr>
      </w:pPr>
    </w:p>
    <w:p w14:paraId="3D41CA95" w14:textId="77777777" w:rsidR="00720726" w:rsidRDefault="00720726">
      <w:pPr>
        <w:pBdr>
          <w:top w:val="nil"/>
          <w:left w:val="nil"/>
          <w:bottom w:val="nil"/>
          <w:right w:val="nil"/>
          <w:between w:val="nil"/>
        </w:pBdr>
        <w:spacing w:after="0" w:line="240" w:lineRule="auto"/>
        <w:rPr>
          <w:color w:val="000000"/>
        </w:rPr>
      </w:pPr>
    </w:p>
    <w:p w14:paraId="200591D8" w14:textId="77777777" w:rsidR="00720726" w:rsidRDefault="00720726">
      <w:pPr>
        <w:pBdr>
          <w:top w:val="nil"/>
          <w:left w:val="nil"/>
          <w:bottom w:val="nil"/>
          <w:right w:val="nil"/>
          <w:between w:val="nil"/>
        </w:pBdr>
        <w:spacing w:after="0" w:line="240" w:lineRule="auto"/>
        <w:rPr>
          <w:color w:val="000000"/>
        </w:rPr>
      </w:pPr>
    </w:p>
    <w:p w14:paraId="10B8CB89" w14:textId="77777777" w:rsidR="00720726" w:rsidRDefault="00720726">
      <w:pPr>
        <w:pBdr>
          <w:top w:val="nil"/>
          <w:left w:val="nil"/>
          <w:bottom w:val="nil"/>
          <w:right w:val="nil"/>
          <w:between w:val="nil"/>
        </w:pBdr>
        <w:spacing w:after="0" w:line="240" w:lineRule="auto"/>
        <w:rPr>
          <w:color w:val="000000"/>
        </w:rPr>
      </w:pPr>
    </w:p>
    <w:p w14:paraId="1C6505DD" w14:textId="77777777" w:rsidR="00720726" w:rsidRDefault="00720726">
      <w:pPr>
        <w:pBdr>
          <w:top w:val="nil"/>
          <w:left w:val="nil"/>
          <w:bottom w:val="nil"/>
          <w:right w:val="nil"/>
          <w:between w:val="nil"/>
        </w:pBdr>
        <w:spacing w:after="0" w:line="240" w:lineRule="auto"/>
        <w:rPr>
          <w:color w:val="000000"/>
        </w:rPr>
      </w:pPr>
    </w:p>
    <w:p w14:paraId="6A9EA083" w14:textId="77777777" w:rsidR="00720726" w:rsidRDefault="00720726">
      <w:pPr>
        <w:pBdr>
          <w:top w:val="nil"/>
          <w:left w:val="nil"/>
          <w:bottom w:val="nil"/>
          <w:right w:val="nil"/>
          <w:between w:val="nil"/>
        </w:pBdr>
        <w:spacing w:after="0" w:line="240" w:lineRule="auto"/>
        <w:rPr>
          <w:color w:val="000000"/>
        </w:rPr>
      </w:pPr>
    </w:p>
    <w:p w14:paraId="6280A864" w14:textId="77777777" w:rsidR="00720726" w:rsidRDefault="00720726">
      <w:pPr>
        <w:pBdr>
          <w:top w:val="nil"/>
          <w:left w:val="nil"/>
          <w:bottom w:val="nil"/>
          <w:right w:val="nil"/>
          <w:between w:val="nil"/>
        </w:pBdr>
        <w:spacing w:after="0" w:line="240" w:lineRule="auto"/>
        <w:rPr>
          <w:color w:val="000000"/>
        </w:rPr>
      </w:pPr>
    </w:p>
    <w:p w14:paraId="7CC8E642" w14:textId="77777777" w:rsidR="00720726" w:rsidRDefault="00720726">
      <w:pPr>
        <w:pBdr>
          <w:top w:val="nil"/>
          <w:left w:val="nil"/>
          <w:bottom w:val="nil"/>
          <w:right w:val="nil"/>
          <w:between w:val="nil"/>
        </w:pBdr>
        <w:spacing w:after="0" w:line="240" w:lineRule="auto"/>
        <w:rPr>
          <w:color w:val="000000"/>
        </w:rPr>
      </w:pPr>
    </w:p>
    <w:p w14:paraId="42365B53" w14:textId="77777777" w:rsidR="00720726" w:rsidRDefault="00720726">
      <w:pPr>
        <w:pBdr>
          <w:top w:val="nil"/>
          <w:left w:val="nil"/>
          <w:bottom w:val="nil"/>
          <w:right w:val="nil"/>
          <w:between w:val="nil"/>
        </w:pBdr>
        <w:spacing w:after="0" w:line="240" w:lineRule="auto"/>
        <w:rPr>
          <w:color w:val="000000"/>
        </w:rPr>
      </w:pPr>
    </w:p>
    <w:p w14:paraId="3A5A67FA" w14:textId="77777777" w:rsidR="00720726" w:rsidRDefault="00720726">
      <w:pPr>
        <w:pBdr>
          <w:top w:val="nil"/>
          <w:left w:val="nil"/>
          <w:bottom w:val="nil"/>
          <w:right w:val="nil"/>
          <w:between w:val="nil"/>
        </w:pBdr>
        <w:spacing w:after="0" w:line="240" w:lineRule="auto"/>
        <w:rPr>
          <w:color w:val="000000"/>
        </w:rPr>
      </w:pPr>
    </w:p>
    <w:p w14:paraId="3953C015" w14:textId="77777777" w:rsidR="00720726" w:rsidRDefault="00720726">
      <w:pPr>
        <w:pBdr>
          <w:top w:val="nil"/>
          <w:left w:val="nil"/>
          <w:bottom w:val="nil"/>
          <w:right w:val="nil"/>
          <w:between w:val="nil"/>
        </w:pBdr>
        <w:spacing w:after="0" w:line="240" w:lineRule="auto"/>
        <w:rPr>
          <w:color w:val="000000"/>
        </w:rPr>
      </w:pPr>
    </w:p>
    <w:p w14:paraId="5CFCAC6F" w14:textId="77777777" w:rsidR="00720726" w:rsidRDefault="00720726">
      <w:pPr>
        <w:pBdr>
          <w:top w:val="nil"/>
          <w:left w:val="nil"/>
          <w:bottom w:val="nil"/>
          <w:right w:val="nil"/>
          <w:between w:val="nil"/>
        </w:pBdr>
        <w:spacing w:after="0" w:line="240" w:lineRule="auto"/>
        <w:rPr>
          <w:color w:val="000000"/>
        </w:rPr>
      </w:pPr>
    </w:p>
    <w:p w14:paraId="6470111D" w14:textId="77777777" w:rsidR="00720726" w:rsidRDefault="00720726">
      <w:pPr>
        <w:pBdr>
          <w:top w:val="nil"/>
          <w:left w:val="nil"/>
          <w:bottom w:val="nil"/>
          <w:right w:val="nil"/>
          <w:between w:val="nil"/>
        </w:pBdr>
        <w:spacing w:after="0" w:line="240" w:lineRule="auto"/>
        <w:rPr>
          <w:color w:val="000000"/>
        </w:rPr>
      </w:pPr>
    </w:p>
    <w:p w14:paraId="3A4D69DD" w14:textId="77777777" w:rsidR="00720726" w:rsidRDefault="00720726">
      <w:pPr>
        <w:pBdr>
          <w:top w:val="nil"/>
          <w:left w:val="nil"/>
          <w:bottom w:val="nil"/>
          <w:right w:val="nil"/>
          <w:between w:val="nil"/>
        </w:pBdr>
        <w:spacing w:after="0" w:line="240" w:lineRule="auto"/>
        <w:rPr>
          <w:color w:val="000000"/>
        </w:rPr>
      </w:pPr>
    </w:p>
    <w:p w14:paraId="46E32571" w14:textId="77777777" w:rsidR="00720726" w:rsidRDefault="00720726">
      <w:pPr>
        <w:pBdr>
          <w:top w:val="nil"/>
          <w:left w:val="nil"/>
          <w:bottom w:val="nil"/>
          <w:right w:val="nil"/>
          <w:between w:val="nil"/>
        </w:pBdr>
        <w:spacing w:after="0" w:line="240" w:lineRule="auto"/>
        <w:rPr>
          <w:color w:val="000000"/>
        </w:rPr>
      </w:pPr>
    </w:p>
    <w:p w14:paraId="132037F2" w14:textId="77777777" w:rsidR="00720726" w:rsidRDefault="00720726">
      <w:pPr>
        <w:pBdr>
          <w:top w:val="nil"/>
          <w:left w:val="nil"/>
          <w:bottom w:val="nil"/>
          <w:right w:val="nil"/>
          <w:between w:val="nil"/>
        </w:pBdr>
        <w:spacing w:after="0" w:line="240" w:lineRule="auto"/>
        <w:rPr>
          <w:color w:val="000000"/>
        </w:rPr>
      </w:pPr>
    </w:p>
    <w:p w14:paraId="560EF4DD" w14:textId="77777777" w:rsidR="00720726" w:rsidRDefault="00720726">
      <w:pPr>
        <w:pBdr>
          <w:top w:val="nil"/>
          <w:left w:val="nil"/>
          <w:bottom w:val="nil"/>
          <w:right w:val="nil"/>
          <w:between w:val="nil"/>
        </w:pBdr>
        <w:spacing w:after="0" w:line="240" w:lineRule="auto"/>
        <w:rPr>
          <w:color w:val="000000"/>
        </w:rPr>
      </w:pPr>
    </w:p>
    <w:p w14:paraId="16D493BC" w14:textId="77777777" w:rsidR="00720726" w:rsidRDefault="00720726">
      <w:pPr>
        <w:pBdr>
          <w:top w:val="nil"/>
          <w:left w:val="nil"/>
          <w:bottom w:val="nil"/>
          <w:right w:val="nil"/>
          <w:between w:val="nil"/>
        </w:pBdr>
        <w:spacing w:after="0" w:line="240" w:lineRule="auto"/>
        <w:rPr>
          <w:color w:val="000000"/>
        </w:rPr>
      </w:pPr>
    </w:p>
    <w:p w14:paraId="743457C7" w14:textId="77777777" w:rsidR="00720726" w:rsidRDefault="00720726">
      <w:pPr>
        <w:pBdr>
          <w:top w:val="nil"/>
          <w:left w:val="nil"/>
          <w:bottom w:val="nil"/>
          <w:right w:val="nil"/>
          <w:between w:val="nil"/>
        </w:pBdr>
        <w:spacing w:after="0" w:line="240" w:lineRule="auto"/>
        <w:rPr>
          <w:color w:val="000000"/>
        </w:rPr>
      </w:pPr>
    </w:p>
    <w:p w14:paraId="17186E3F" w14:textId="77777777" w:rsidR="00720726" w:rsidRDefault="00720726">
      <w:pPr>
        <w:pBdr>
          <w:top w:val="nil"/>
          <w:left w:val="nil"/>
          <w:bottom w:val="nil"/>
          <w:right w:val="nil"/>
          <w:between w:val="nil"/>
        </w:pBdr>
        <w:spacing w:after="0" w:line="240" w:lineRule="auto"/>
        <w:rPr>
          <w:color w:val="000000"/>
        </w:rPr>
      </w:pPr>
    </w:p>
    <w:p w14:paraId="1F4A3198" w14:textId="77777777" w:rsidR="00720726" w:rsidRDefault="00720726">
      <w:pPr>
        <w:pBdr>
          <w:top w:val="nil"/>
          <w:left w:val="nil"/>
          <w:bottom w:val="nil"/>
          <w:right w:val="nil"/>
          <w:between w:val="nil"/>
        </w:pBdr>
        <w:spacing w:after="0" w:line="240" w:lineRule="auto"/>
        <w:rPr>
          <w:color w:val="000000"/>
        </w:rPr>
      </w:pPr>
    </w:p>
    <w:p w14:paraId="7C5D4B5D" w14:textId="77777777" w:rsidR="00720726" w:rsidRDefault="00720726">
      <w:pPr>
        <w:pBdr>
          <w:top w:val="nil"/>
          <w:left w:val="nil"/>
          <w:bottom w:val="nil"/>
          <w:right w:val="nil"/>
          <w:between w:val="nil"/>
        </w:pBdr>
        <w:spacing w:after="0" w:line="240" w:lineRule="auto"/>
        <w:rPr>
          <w:color w:val="000000"/>
        </w:rPr>
      </w:pPr>
    </w:p>
    <w:p w14:paraId="22212300" w14:textId="77777777" w:rsidR="00720726" w:rsidRDefault="00720726">
      <w:pPr>
        <w:pBdr>
          <w:top w:val="nil"/>
          <w:left w:val="nil"/>
          <w:bottom w:val="nil"/>
          <w:right w:val="nil"/>
          <w:between w:val="nil"/>
        </w:pBdr>
        <w:spacing w:after="0" w:line="240" w:lineRule="auto"/>
        <w:rPr>
          <w:color w:val="000000"/>
        </w:rPr>
      </w:pPr>
    </w:p>
    <w:p w14:paraId="6C488659" w14:textId="77777777" w:rsidR="00720726" w:rsidRDefault="00000000">
      <w:pPr>
        <w:pStyle w:val="Heading1"/>
      </w:pPr>
      <w:bookmarkStart w:id="1" w:name="_t8n6qo6n29bz" w:colFirst="0" w:colLast="0"/>
      <w:bookmarkEnd w:id="1"/>
      <w:r>
        <w:t>Acknowledgements</w:t>
      </w:r>
    </w:p>
    <w:p w14:paraId="3556EBE2"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I would like to express my sincere gratitude to my supervisor for providing continuous guidance, encouragement, and constructive feedback throughout the completion of this dissertation. Their valuable support and academic advice greatly contributed to the successful development of this research.</w:t>
      </w:r>
    </w:p>
    <w:p w14:paraId="62A41823"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I would also like to thank the faculty members of the Institute of Inner-City Learning, London Campus, for their academic support and learning opportunities during my studies.</w:t>
      </w:r>
    </w:p>
    <w:p w14:paraId="4C3EEB27"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Special appreciation is extended to all respondents who participated in the survey and contributed valuable information to this study. Without their cooperation, this research would not have been possible.</w:t>
      </w:r>
    </w:p>
    <w:p w14:paraId="24D01B59"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Finally, I would like to thank my family and friends for their continuous encouragement, motivation, and emotional support throughout my academic journey.</w:t>
      </w:r>
    </w:p>
    <w:p w14:paraId="5EB5F98D" w14:textId="77777777" w:rsidR="00720726" w:rsidRDefault="00720726">
      <w:pPr>
        <w:spacing w:before="280" w:after="280" w:line="360" w:lineRule="auto"/>
        <w:jc w:val="both"/>
        <w:rPr>
          <w:rFonts w:ascii="Arial" w:eastAsia="Arial" w:hAnsi="Arial" w:cs="Arial"/>
          <w:sz w:val="24"/>
          <w:szCs w:val="24"/>
        </w:rPr>
      </w:pPr>
    </w:p>
    <w:p w14:paraId="0633765C" w14:textId="77777777" w:rsidR="00720726" w:rsidRDefault="00720726">
      <w:pPr>
        <w:spacing w:before="280" w:after="280" w:line="360" w:lineRule="auto"/>
        <w:jc w:val="both"/>
        <w:rPr>
          <w:rFonts w:ascii="Arial" w:eastAsia="Arial" w:hAnsi="Arial" w:cs="Arial"/>
          <w:sz w:val="24"/>
          <w:szCs w:val="24"/>
        </w:rPr>
      </w:pPr>
    </w:p>
    <w:p w14:paraId="7F505C9E" w14:textId="77777777" w:rsidR="00720726" w:rsidRDefault="00720726">
      <w:pPr>
        <w:spacing w:before="280" w:after="280" w:line="360" w:lineRule="auto"/>
        <w:jc w:val="both"/>
        <w:rPr>
          <w:rFonts w:ascii="Arial" w:eastAsia="Arial" w:hAnsi="Arial" w:cs="Arial"/>
          <w:sz w:val="24"/>
          <w:szCs w:val="24"/>
        </w:rPr>
      </w:pPr>
    </w:p>
    <w:p w14:paraId="48FE1840" w14:textId="77777777" w:rsidR="00720726" w:rsidRDefault="00720726">
      <w:pPr>
        <w:spacing w:before="280" w:after="280" w:line="360" w:lineRule="auto"/>
        <w:jc w:val="both"/>
        <w:rPr>
          <w:rFonts w:ascii="Arial" w:eastAsia="Arial" w:hAnsi="Arial" w:cs="Arial"/>
          <w:sz w:val="24"/>
          <w:szCs w:val="24"/>
        </w:rPr>
      </w:pPr>
    </w:p>
    <w:p w14:paraId="56F53D05" w14:textId="77777777" w:rsidR="00720726" w:rsidRDefault="00720726">
      <w:pPr>
        <w:spacing w:before="280" w:after="280" w:line="360" w:lineRule="auto"/>
        <w:jc w:val="both"/>
        <w:rPr>
          <w:rFonts w:ascii="Arial" w:eastAsia="Arial" w:hAnsi="Arial" w:cs="Arial"/>
          <w:sz w:val="24"/>
          <w:szCs w:val="24"/>
        </w:rPr>
      </w:pPr>
    </w:p>
    <w:p w14:paraId="1932C6A1" w14:textId="77777777" w:rsidR="00720726" w:rsidRDefault="00720726">
      <w:pPr>
        <w:spacing w:before="280" w:after="280" w:line="360" w:lineRule="auto"/>
        <w:jc w:val="both"/>
        <w:rPr>
          <w:rFonts w:ascii="Arial" w:eastAsia="Arial" w:hAnsi="Arial" w:cs="Arial"/>
          <w:sz w:val="24"/>
          <w:szCs w:val="24"/>
        </w:rPr>
      </w:pPr>
    </w:p>
    <w:p w14:paraId="4BFAD1D9" w14:textId="77777777" w:rsidR="00720726" w:rsidRDefault="00720726">
      <w:pPr>
        <w:spacing w:before="280" w:after="280" w:line="360" w:lineRule="auto"/>
        <w:jc w:val="both"/>
        <w:rPr>
          <w:rFonts w:ascii="Arial" w:eastAsia="Arial" w:hAnsi="Arial" w:cs="Arial"/>
          <w:sz w:val="24"/>
          <w:szCs w:val="24"/>
        </w:rPr>
      </w:pPr>
    </w:p>
    <w:p w14:paraId="705156FC" w14:textId="77777777" w:rsidR="00720726" w:rsidRDefault="00720726">
      <w:pPr>
        <w:spacing w:before="280" w:after="280" w:line="360" w:lineRule="auto"/>
        <w:jc w:val="both"/>
        <w:rPr>
          <w:rFonts w:ascii="Arial" w:eastAsia="Arial" w:hAnsi="Arial" w:cs="Arial"/>
          <w:sz w:val="24"/>
          <w:szCs w:val="24"/>
        </w:rPr>
      </w:pPr>
    </w:p>
    <w:p w14:paraId="7B82E3A0" w14:textId="77777777" w:rsidR="00720726" w:rsidRDefault="00720726">
      <w:pPr>
        <w:spacing w:before="280" w:after="280" w:line="360" w:lineRule="auto"/>
        <w:jc w:val="both"/>
        <w:rPr>
          <w:rFonts w:ascii="Arial" w:eastAsia="Arial" w:hAnsi="Arial" w:cs="Arial"/>
          <w:sz w:val="24"/>
          <w:szCs w:val="24"/>
        </w:rPr>
      </w:pPr>
    </w:p>
    <w:p w14:paraId="6763687C" w14:textId="77777777" w:rsidR="00720726" w:rsidRDefault="00720726">
      <w:pPr>
        <w:spacing w:before="280" w:after="280" w:line="360" w:lineRule="auto"/>
        <w:jc w:val="both"/>
        <w:rPr>
          <w:rFonts w:ascii="Arial" w:eastAsia="Arial" w:hAnsi="Arial" w:cs="Arial"/>
          <w:sz w:val="24"/>
          <w:szCs w:val="24"/>
        </w:rPr>
      </w:pPr>
    </w:p>
    <w:p w14:paraId="6BAC4485" w14:textId="77777777" w:rsidR="00720726" w:rsidRDefault="00000000">
      <w:pPr>
        <w:pStyle w:val="Heading1"/>
      </w:pPr>
      <w:bookmarkStart w:id="2" w:name="_x4gkebpvcgga" w:colFirst="0" w:colLast="0"/>
      <w:bookmarkEnd w:id="2"/>
      <w:r>
        <w:t>Abstract</w:t>
      </w:r>
    </w:p>
    <w:p w14:paraId="4ACD9C99"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In today's competitive retail landscape, where consumer trust and brand reputation are paramount, CSR has emerged as a strategic tool for organisations aiming to shape consumer perception and increase their market share. In the competitive retail landscape, where consumer trust and brand reputation are paramount, CSR has become a strategic tool for organisations looking to influence consumer perception and boost their market share. In this study, the authors investigate how CSR affects consumer purchase behaviour, and in particular, Sainsbury's within the UK retail market. The research explores the role of awareness of CSR, brand trust and demographic characteristics in the purchase intention of consumers.</w:t>
      </w:r>
    </w:p>
    <w:p w14:paraId="4CFD8434"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study was conducted using quantitative research design. The primary data was gathered by using an online survey questionnaire which was distributed to consumers who are familiar with supermarket retailing and CSR program. The collected data from 300 valid answers were analysed using statistical methods such as descriptive statistics, correlation analysis and multiple regression analysis with the help of SPSS and MS-Excel.</w:t>
      </w:r>
    </w:p>
    <w:p w14:paraId="34C5AAF0"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results found that consumer's purchase intention and brand trust are positively affected by CSR initiatives. The most influential CSR dimensions that impacted the purchasing behaviour were found to be environmental sustainability, ethical sourcing and community engagement. The study also indicates that the younger consumers and higher income groups are more responsive to CSR activities. Moreover, it was found that brand trust plays an important role as a mediator between CSR perception and purchase intent.</w:t>
      </w:r>
    </w:p>
    <w:p w14:paraId="1E3B902E"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It makes a significant contribution to the literature as it offers empirical evidence which is unique to the UK on the relationship between CSR and consumer behaviour in the supermarket sector. The results provide retail managers with practical insights as they recognize the significance of genuine communication, CSR and sustainable business strategies in building customer relationships and competitive edge. In general, it is </w:t>
      </w:r>
      <w:r>
        <w:rPr>
          <w:rFonts w:ascii="Arial" w:eastAsia="Arial" w:hAnsi="Arial" w:cs="Arial"/>
          <w:sz w:val="24"/>
          <w:szCs w:val="24"/>
        </w:rPr>
        <w:lastRenderedPageBreak/>
        <w:t>shown that CSR has an impact on the modern consumers' behavior in the retail environment.</w:t>
      </w:r>
      <w:r>
        <w:br w:type="page"/>
      </w:r>
    </w:p>
    <w:p w14:paraId="6E170A20" w14:textId="77777777" w:rsidR="00720726" w:rsidRDefault="00000000">
      <w:pPr>
        <w:keepNext/>
        <w:keepLines/>
        <w:pBdr>
          <w:top w:val="nil"/>
          <w:left w:val="nil"/>
          <w:bottom w:val="nil"/>
          <w:right w:val="nil"/>
          <w:between w:val="nil"/>
        </w:pBdr>
        <w:spacing w:before="240" w:after="240"/>
        <w:jc w:val="center"/>
        <w:rPr>
          <w:rFonts w:ascii="Arial" w:eastAsia="Arial" w:hAnsi="Arial" w:cs="Arial"/>
          <w:b/>
          <w:bCs/>
          <w:color w:val="000000"/>
          <w:sz w:val="28"/>
          <w:szCs w:val="28"/>
          <w:u w:val="single"/>
        </w:rPr>
      </w:pPr>
      <w:r>
        <w:rPr>
          <w:rFonts w:ascii="Arial" w:eastAsia="Arial" w:hAnsi="Arial" w:cs="Arial"/>
          <w:b/>
          <w:bCs/>
          <w:color w:val="000000"/>
          <w:sz w:val="28"/>
          <w:szCs w:val="28"/>
          <w:u w:val="single"/>
        </w:rPr>
        <w:lastRenderedPageBreak/>
        <w:t>Table of Contents</w:t>
      </w:r>
    </w:p>
    <w:sdt>
      <w:sdtPr>
        <w:id w:val="-1161264975"/>
        <w:docPartObj>
          <w:docPartGallery w:val="Table of Contents"/>
          <w:docPartUnique/>
        </w:docPartObj>
      </w:sdtPr>
      <w:sdtContent>
        <w:p w14:paraId="04EC7087" w14:textId="77777777" w:rsidR="00720726" w:rsidRDefault="00720726">
          <w:pPr>
            <w:widowControl w:val="0"/>
            <w:tabs>
              <w:tab w:val="right" w:leader="dot" w:pos="12000"/>
            </w:tabs>
            <w:spacing w:before="60" w:after="0" w:line="240" w:lineRule="auto"/>
            <w:rPr>
              <w:rFonts w:ascii="Arial" w:eastAsia="Arial" w:hAnsi="Arial" w:cs="Arial"/>
              <w:b/>
              <w:bCs/>
              <w:color w:val="000000"/>
            </w:rPr>
          </w:pPr>
          <w:r>
            <w:fldChar w:fldCharType="begin"/>
          </w:r>
          <w:r w:rsidR="00000000">
            <w:instrText xml:space="preserve"> TOC \h \u \z \t "Heading 1,1,Heading 2,2,Heading 3,3,"</w:instrText>
          </w:r>
          <w:r>
            <w:fldChar w:fldCharType="separate"/>
          </w:r>
          <w:hyperlink w:anchor="_9dldmvv1qoo0">
            <w:r>
              <w:rPr>
                <w:rFonts w:ascii="Arial" w:eastAsia="Arial" w:hAnsi="Arial" w:cs="Arial"/>
                <w:color w:val="000000"/>
                <w:sz w:val="24"/>
                <w:szCs w:val="24"/>
              </w:rPr>
              <w:t>AI Use Acknowledgement</w:t>
            </w:r>
            <w:r>
              <w:rPr>
                <w:rFonts w:ascii="Arial" w:eastAsia="Arial" w:hAnsi="Arial" w:cs="Arial"/>
                <w:color w:val="000000"/>
                <w:sz w:val="24"/>
                <w:szCs w:val="24"/>
              </w:rPr>
              <w:tab/>
              <w:t>3</w:t>
            </w:r>
          </w:hyperlink>
        </w:p>
        <w:p w14:paraId="7DA5AB1A" w14:textId="77777777" w:rsidR="00720726" w:rsidRDefault="00720726">
          <w:pPr>
            <w:widowControl w:val="0"/>
            <w:tabs>
              <w:tab w:val="right" w:leader="dot" w:pos="12000"/>
            </w:tabs>
            <w:spacing w:before="60" w:after="0" w:line="240" w:lineRule="auto"/>
            <w:rPr>
              <w:rFonts w:ascii="Arial" w:eastAsia="Arial" w:hAnsi="Arial" w:cs="Arial"/>
              <w:b/>
              <w:bCs/>
              <w:color w:val="000000"/>
            </w:rPr>
          </w:pPr>
          <w:hyperlink w:anchor="_t8n6qo6n29bz">
            <w:r>
              <w:rPr>
                <w:rFonts w:ascii="Arial" w:eastAsia="Arial" w:hAnsi="Arial" w:cs="Arial"/>
                <w:color w:val="000000"/>
                <w:sz w:val="24"/>
                <w:szCs w:val="24"/>
              </w:rPr>
              <w:t>Acknowledgements</w:t>
            </w:r>
            <w:r>
              <w:rPr>
                <w:rFonts w:ascii="Arial" w:eastAsia="Arial" w:hAnsi="Arial" w:cs="Arial"/>
                <w:color w:val="000000"/>
                <w:sz w:val="24"/>
                <w:szCs w:val="24"/>
              </w:rPr>
              <w:tab/>
              <w:t>4</w:t>
            </w:r>
          </w:hyperlink>
        </w:p>
        <w:p w14:paraId="57A21043" w14:textId="77777777" w:rsidR="00720726" w:rsidRDefault="00720726">
          <w:pPr>
            <w:widowControl w:val="0"/>
            <w:tabs>
              <w:tab w:val="right" w:leader="dot" w:pos="12000"/>
            </w:tabs>
            <w:spacing w:before="60" w:after="0" w:line="240" w:lineRule="auto"/>
            <w:rPr>
              <w:rFonts w:ascii="Arial" w:eastAsia="Arial" w:hAnsi="Arial" w:cs="Arial"/>
              <w:b/>
              <w:bCs/>
              <w:color w:val="000000"/>
            </w:rPr>
          </w:pPr>
          <w:hyperlink w:anchor="_x4gkebpvcgga">
            <w:r>
              <w:rPr>
                <w:rFonts w:ascii="Arial" w:eastAsia="Arial" w:hAnsi="Arial" w:cs="Arial"/>
                <w:color w:val="000000"/>
                <w:sz w:val="24"/>
                <w:szCs w:val="24"/>
              </w:rPr>
              <w:t>Abstract</w:t>
            </w:r>
            <w:r>
              <w:rPr>
                <w:rFonts w:ascii="Arial" w:eastAsia="Arial" w:hAnsi="Arial" w:cs="Arial"/>
                <w:color w:val="000000"/>
                <w:sz w:val="24"/>
                <w:szCs w:val="24"/>
              </w:rPr>
              <w:tab/>
              <w:t>5</w:t>
            </w:r>
          </w:hyperlink>
        </w:p>
        <w:p w14:paraId="7F56B214" w14:textId="77777777" w:rsidR="00720726" w:rsidRDefault="00720726">
          <w:pPr>
            <w:widowControl w:val="0"/>
            <w:tabs>
              <w:tab w:val="right" w:leader="dot" w:pos="12000"/>
            </w:tabs>
            <w:spacing w:before="60" w:after="0" w:line="240" w:lineRule="auto"/>
            <w:rPr>
              <w:rFonts w:ascii="Arial" w:eastAsia="Arial" w:hAnsi="Arial" w:cs="Arial"/>
              <w:b/>
              <w:bCs/>
              <w:color w:val="000000"/>
            </w:rPr>
          </w:pPr>
          <w:hyperlink w:anchor="_5wqv9r3qqsmb">
            <w:r>
              <w:rPr>
                <w:rFonts w:ascii="Arial" w:eastAsia="Arial" w:hAnsi="Arial" w:cs="Arial"/>
                <w:color w:val="000000"/>
                <w:sz w:val="24"/>
                <w:szCs w:val="24"/>
              </w:rPr>
              <w:t>List of Abbreviations</w:t>
            </w:r>
            <w:r>
              <w:rPr>
                <w:rFonts w:ascii="Arial" w:eastAsia="Arial" w:hAnsi="Arial" w:cs="Arial"/>
                <w:color w:val="000000"/>
                <w:sz w:val="24"/>
                <w:szCs w:val="24"/>
              </w:rPr>
              <w:tab/>
              <w:t>10</w:t>
            </w:r>
          </w:hyperlink>
        </w:p>
        <w:p w14:paraId="3BFA9E01" w14:textId="77777777" w:rsidR="00720726" w:rsidRDefault="00720726">
          <w:pPr>
            <w:widowControl w:val="0"/>
            <w:tabs>
              <w:tab w:val="right" w:leader="dot" w:pos="12000"/>
            </w:tabs>
            <w:spacing w:before="60" w:after="0" w:line="240" w:lineRule="auto"/>
            <w:rPr>
              <w:rFonts w:ascii="Arial" w:eastAsia="Arial" w:hAnsi="Arial" w:cs="Arial"/>
              <w:b/>
              <w:bCs/>
              <w:color w:val="000000"/>
            </w:rPr>
          </w:pPr>
          <w:hyperlink w:anchor="_dnos68s2m1g7">
            <w:r>
              <w:rPr>
                <w:rFonts w:ascii="Arial" w:eastAsia="Arial" w:hAnsi="Arial" w:cs="Arial"/>
                <w:color w:val="000000"/>
                <w:sz w:val="24"/>
                <w:szCs w:val="24"/>
              </w:rPr>
              <w:t>Glossary</w:t>
            </w:r>
            <w:r>
              <w:rPr>
                <w:rFonts w:ascii="Arial" w:eastAsia="Arial" w:hAnsi="Arial" w:cs="Arial"/>
                <w:color w:val="000000"/>
                <w:sz w:val="24"/>
                <w:szCs w:val="24"/>
              </w:rPr>
              <w:tab/>
              <w:t>11</w:t>
            </w:r>
          </w:hyperlink>
        </w:p>
        <w:p w14:paraId="188C6634" w14:textId="77777777" w:rsidR="00720726" w:rsidRDefault="00720726">
          <w:pPr>
            <w:widowControl w:val="0"/>
            <w:tabs>
              <w:tab w:val="right" w:leader="dot" w:pos="12000"/>
            </w:tabs>
            <w:spacing w:before="60" w:after="0" w:line="240" w:lineRule="auto"/>
            <w:rPr>
              <w:rFonts w:ascii="Arial" w:eastAsia="Arial" w:hAnsi="Arial" w:cs="Arial"/>
              <w:b/>
              <w:bCs/>
              <w:color w:val="000000"/>
            </w:rPr>
          </w:pPr>
          <w:hyperlink w:anchor="_dipn4i8w2uw1">
            <w:r>
              <w:rPr>
                <w:rFonts w:ascii="Arial" w:eastAsia="Arial" w:hAnsi="Arial" w:cs="Arial"/>
                <w:color w:val="000000"/>
                <w:sz w:val="24"/>
                <w:szCs w:val="24"/>
              </w:rPr>
              <w:t>Chapter 1: Introduction</w:t>
            </w:r>
            <w:r>
              <w:rPr>
                <w:rFonts w:ascii="Arial" w:eastAsia="Arial" w:hAnsi="Arial" w:cs="Arial"/>
                <w:color w:val="000000"/>
                <w:sz w:val="24"/>
                <w:szCs w:val="24"/>
              </w:rPr>
              <w:tab/>
              <w:t>1</w:t>
            </w:r>
          </w:hyperlink>
        </w:p>
        <w:p w14:paraId="5D39AA90" w14:textId="77777777" w:rsidR="00720726" w:rsidRDefault="00720726">
          <w:pPr>
            <w:widowControl w:val="0"/>
            <w:tabs>
              <w:tab w:val="right" w:leader="dot" w:pos="12000"/>
            </w:tabs>
            <w:spacing w:before="60" w:after="0" w:line="240" w:lineRule="auto"/>
            <w:rPr>
              <w:rFonts w:ascii="Arial" w:eastAsia="Arial" w:hAnsi="Arial" w:cs="Arial"/>
              <w:b/>
              <w:bCs/>
              <w:color w:val="000000"/>
            </w:rPr>
          </w:pPr>
          <w:hyperlink w:anchor="_qevz7esu14x8">
            <w:r>
              <w:rPr>
                <w:rFonts w:ascii="Arial" w:eastAsia="Arial" w:hAnsi="Arial" w:cs="Arial"/>
                <w:color w:val="000000"/>
                <w:sz w:val="24"/>
                <w:szCs w:val="24"/>
              </w:rPr>
              <w:t>1.0 Introduction</w:t>
            </w:r>
            <w:r>
              <w:rPr>
                <w:rFonts w:ascii="Arial" w:eastAsia="Arial" w:hAnsi="Arial" w:cs="Arial"/>
                <w:color w:val="000000"/>
                <w:sz w:val="24"/>
                <w:szCs w:val="24"/>
              </w:rPr>
              <w:tab/>
              <w:t>1</w:t>
            </w:r>
          </w:hyperlink>
        </w:p>
        <w:p w14:paraId="08512FB5"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x6h1vlwuc3s4">
            <w:r>
              <w:rPr>
                <w:rFonts w:ascii="Arial" w:eastAsia="Arial" w:hAnsi="Arial" w:cs="Arial"/>
                <w:color w:val="000000"/>
                <w:sz w:val="24"/>
                <w:szCs w:val="24"/>
              </w:rPr>
              <w:t>1.1 Background and Context</w:t>
            </w:r>
            <w:r>
              <w:rPr>
                <w:rFonts w:ascii="Arial" w:eastAsia="Arial" w:hAnsi="Arial" w:cs="Arial"/>
                <w:color w:val="000000"/>
                <w:sz w:val="24"/>
                <w:szCs w:val="24"/>
              </w:rPr>
              <w:tab/>
              <w:t>1</w:t>
            </w:r>
          </w:hyperlink>
        </w:p>
        <w:p w14:paraId="2D9FDA9E"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46iidzmcg234">
            <w:r>
              <w:rPr>
                <w:rFonts w:ascii="Arial" w:eastAsia="Arial" w:hAnsi="Arial" w:cs="Arial"/>
                <w:color w:val="000000"/>
                <w:sz w:val="24"/>
                <w:szCs w:val="24"/>
              </w:rPr>
              <w:t>1.2 Problem Statement</w:t>
            </w:r>
            <w:r>
              <w:rPr>
                <w:rFonts w:ascii="Arial" w:eastAsia="Arial" w:hAnsi="Arial" w:cs="Arial"/>
                <w:color w:val="000000"/>
                <w:sz w:val="24"/>
                <w:szCs w:val="24"/>
              </w:rPr>
              <w:tab/>
              <w:t>2</w:t>
            </w:r>
          </w:hyperlink>
        </w:p>
        <w:p w14:paraId="6892AB26"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1nneleg9585">
            <w:r>
              <w:rPr>
                <w:rFonts w:ascii="Arial" w:eastAsia="Arial" w:hAnsi="Arial" w:cs="Arial"/>
                <w:color w:val="000000"/>
                <w:sz w:val="24"/>
                <w:szCs w:val="24"/>
              </w:rPr>
              <w:t>1.3 Research Aim</w:t>
            </w:r>
            <w:r>
              <w:rPr>
                <w:rFonts w:ascii="Arial" w:eastAsia="Arial" w:hAnsi="Arial" w:cs="Arial"/>
                <w:color w:val="000000"/>
                <w:sz w:val="24"/>
                <w:szCs w:val="24"/>
              </w:rPr>
              <w:tab/>
              <w:t>3</w:t>
            </w:r>
          </w:hyperlink>
        </w:p>
        <w:p w14:paraId="5DBCC325"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s6g38b8ugro1">
            <w:r>
              <w:rPr>
                <w:rFonts w:ascii="Arial" w:eastAsia="Arial" w:hAnsi="Arial" w:cs="Arial"/>
                <w:color w:val="000000"/>
                <w:sz w:val="24"/>
                <w:szCs w:val="24"/>
              </w:rPr>
              <w:t>1.4 Research Objectives</w:t>
            </w:r>
            <w:r>
              <w:rPr>
                <w:rFonts w:ascii="Arial" w:eastAsia="Arial" w:hAnsi="Arial" w:cs="Arial"/>
                <w:color w:val="000000"/>
                <w:sz w:val="24"/>
                <w:szCs w:val="24"/>
              </w:rPr>
              <w:tab/>
              <w:t>3</w:t>
            </w:r>
          </w:hyperlink>
        </w:p>
        <w:p w14:paraId="2D974353"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nxskw74y495n">
            <w:r>
              <w:rPr>
                <w:rFonts w:ascii="Arial" w:eastAsia="Arial" w:hAnsi="Arial" w:cs="Arial"/>
                <w:color w:val="000000"/>
                <w:sz w:val="24"/>
                <w:szCs w:val="24"/>
              </w:rPr>
              <w:t>1.5 Research Questions</w:t>
            </w:r>
            <w:r>
              <w:rPr>
                <w:rFonts w:ascii="Arial" w:eastAsia="Arial" w:hAnsi="Arial" w:cs="Arial"/>
                <w:color w:val="000000"/>
                <w:sz w:val="24"/>
                <w:szCs w:val="24"/>
              </w:rPr>
              <w:tab/>
              <w:t>4</w:t>
            </w:r>
          </w:hyperlink>
        </w:p>
        <w:p w14:paraId="1EFE9BAC"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h3ragiex1yw6">
            <w:r>
              <w:rPr>
                <w:rFonts w:ascii="Arial" w:eastAsia="Arial" w:hAnsi="Arial" w:cs="Arial"/>
                <w:color w:val="000000"/>
                <w:sz w:val="24"/>
                <w:szCs w:val="24"/>
              </w:rPr>
              <w:t>1.6 Significance of the Study</w:t>
            </w:r>
            <w:r>
              <w:rPr>
                <w:rFonts w:ascii="Arial" w:eastAsia="Arial" w:hAnsi="Arial" w:cs="Arial"/>
                <w:color w:val="000000"/>
                <w:sz w:val="24"/>
                <w:szCs w:val="24"/>
              </w:rPr>
              <w:tab/>
              <w:t>4</w:t>
            </w:r>
          </w:hyperlink>
        </w:p>
        <w:p w14:paraId="28A6EB21"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kxmfnl4vy0dv">
            <w:r>
              <w:rPr>
                <w:rFonts w:ascii="Arial" w:eastAsia="Arial" w:hAnsi="Arial" w:cs="Arial"/>
                <w:color w:val="000000"/>
                <w:sz w:val="24"/>
                <w:szCs w:val="24"/>
              </w:rPr>
              <w:t>1.7 Research Methodology Overview</w:t>
            </w:r>
            <w:r>
              <w:rPr>
                <w:rFonts w:ascii="Arial" w:eastAsia="Arial" w:hAnsi="Arial" w:cs="Arial"/>
                <w:color w:val="000000"/>
                <w:sz w:val="24"/>
                <w:szCs w:val="24"/>
              </w:rPr>
              <w:tab/>
              <w:t>5</w:t>
            </w:r>
          </w:hyperlink>
        </w:p>
        <w:p w14:paraId="26971C11"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g7hnbthwc6kn">
            <w:r>
              <w:rPr>
                <w:rFonts w:ascii="Arial" w:eastAsia="Arial" w:hAnsi="Arial" w:cs="Arial"/>
                <w:color w:val="000000"/>
                <w:sz w:val="24"/>
                <w:szCs w:val="24"/>
              </w:rPr>
              <w:t>1.8 Dissertation Structure</w:t>
            </w:r>
            <w:r>
              <w:rPr>
                <w:rFonts w:ascii="Arial" w:eastAsia="Arial" w:hAnsi="Arial" w:cs="Arial"/>
                <w:color w:val="000000"/>
                <w:sz w:val="24"/>
                <w:szCs w:val="24"/>
              </w:rPr>
              <w:tab/>
              <w:t>5</w:t>
            </w:r>
          </w:hyperlink>
        </w:p>
        <w:p w14:paraId="0E1C922B" w14:textId="77777777" w:rsidR="00720726" w:rsidRDefault="00720726">
          <w:pPr>
            <w:widowControl w:val="0"/>
            <w:tabs>
              <w:tab w:val="right" w:leader="dot" w:pos="12000"/>
            </w:tabs>
            <w:spacing w:before="60" w:after="0" w:line="240" w:lineRule="auto"/>
            <w:rPr>
              <w:rFonts w:ascii="Arial" w:eastAsia="Arial" w:hAnsi="Arial" w:cs="Arial"/>
              <w:b/>
              <w:bCs/>
              <w:color w:val="000000"/>
            </w:rPr>
          </w:pPr>
          <w:hyperlink w:anchor="_5akk4kb3ylyh">
            <w:r>
              <w:rPr>
                <w:rFonts w:ascii="Arial" w:eastAsia="Arial" w:hAnsi="Arial" w:cs="Arial"/>
                <w:color w:val="000000"/>
                <w:sz w:val="24"/>
                <w:szCs w:val="24"/>
              </w:rPr>
              <w:t>Chapter 2: Literature Review</w:t>
            </w:r>
            <w:r>
              <w:rPr>
                <w:rFonts w:ascii="Arial" w:eastAsia="Arial" w:hAnsi="Arial" w:cs="Arial"/>
                <w:color w:val="000000"/>
                <w:sz w:val="24"/>
                <w:szCs w:val="24"/>
              </w:rPr>
              <w:tab/>
              <w:t>7</w:t>
            </w:r>
          </w:hyperlink>
        </w:p>
        <w:p w14:paraId="792034DD"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7l91ugaura7e">
            <w:r>
              <w:rPr>
                <w:rFonts w:ascii="Arial" w:eastAsia="Arial" w:hAnsi="Arial" w:cs="Arial"/>
                <w:color w:val="000000"/>
                <w:sz w:val="24"/>
                <w:szCs w:val="24"/>
              </w:rPr>
              <w:t>2.1 Introduction</w:t>
            </w:r>
            <w:r>
              <w:rPr>
                <w:rFonts w:ascii="Arial" w:eastAsia="Arial" w:hAnsi="Arial" w:cs="Arial"/>
                <w:color w:val="000000"/>
                <w:sz w:val="24"/>
                <w:szCs w:val="24"/>
              </w:rPr>
              <w:tab/>
              <w:t>7</w:t>
            </w:r>
          </w:hyperlink>
        </w:p>
        <w:p w14:paraId="6398F9CB"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b8beyzl43rv8">
            <w:r>
              <w:rPr>
                <w:rFonts w:ascii="Arial" w:eastAsia="Arial" w:hAnsi="Arial" w:cs="Arial"/>
                <w:color w:val="000000"/>
                <w:sz w:val="24"/>
                <w:szCs w:val="24"/>
              </w:rPr>
              <w:t>2.2 Theoretical Frameworks</w:t>
            </w:r>
            <w:r>
              <w:rPr>
                <w:rFonts w:ascii="Arial" w:eastAsia="Arial" w:hAnsi="Arial" w:cs="Arial"/>
                <w:color w:val="000000"/>
                <w:sz w:val="24"/>
                <w:szCs w:val="24"/>
              </w:rPr>
              <w:tab/>
              <w:t>8</w:t>
            </w:r>
          </w:hyperlink>
        </w:p>
        <w:p w14:paraId="7EB3D628" w14:textId="777777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p4z0wpgz4jhj">
            <w:r>
              <w:rPr>
                <w:rFonts w:ascii="Arial" w:eastAsia="Arial" w:hAnsi="Arial" w:cs="Arial"/>
                <w:color w:val="000000"/>
                <w:sz w:val="24"/>
                <w:szCs w:val="24"/>
              </w:rPr>
              <w:t>2.2.1 Stakeholder Theory</w:t>
            </w:r>
            <w:r>
              <w:rPr>
                <w:rFonts w:ascii="Arial" w:eastAsia="Arial" w:hAnsi="Arial" w:cs="Arial"/>
                <w:color w:val="000000"/>
                <w:sz w:val="24"/>
                <w:szCs w:val="24"/>
              </w:rPr>
              <w:tab/>
              <w:t>8</w:t>
            </w:r>
          </w:hyperlink>
        </w:p>
        <w:p w14:paraId="542BAE92" w14:textId="777777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b65px2sy3kfn">
            <w:r>
              <w:rPr>
                <w:rFonts w:ascii="Arial" w:eastAsia="Arial" w:hAnsi="Arial" w:cs="Arial"/>
                <w:color w:val="000000"/>
                <w:sz w:val="24"/>
                <w:szCs w:val="24"/>
              </w:rPr>
              <w:t>2.2.2 Social Identity Theory</w:t>
            </w:r>
            <w:r>
              <w:rPr>
                <w:rFonts w:ascii="Arial" w:eastAsia="Arial" w:hAnsi="Arial" w:cs="Arial"/>
                <w:color w:val="000000"/>
                <w:sz w:val="24"/>
                <w:szCs w:val="24"/>
              </w:rPr>
              <w:tab/>
              <w:t>9</w:t>
            </w:r>
          </w:hyperlink>
        </w:p>
        <w:p w14:paraId="2AD50290" w14:textId="777777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evxh5e3f57tp">
            <w:r>
              <w:rPr>
                <w:rFonts w:ascii="Arial" w:eastAsia="Arial" w:hAnsi="Arial" w:cs="Arial"/>
                <w:color w:val="000000"/>
                <w:sz w:val="24"/>
                <w:szCs w:val="24"/>
              </w:rPr>
              <w:t>2.2.3 Theory of Planned Behaviour</w:t>
            </w:r>
            <w:r>
              <w:rPr>
                <w:rFonts w:ascii="Arial" w:eastAsia="Arial" w:hAnsi="Arial" w:cs="Arial"/>
                <w:color w:val="000000"/>
                <w:sz w:val="24"/>
                <w:szCs w:val="24"/>
              </w:rPr>
              <w:tab/>
              <w:t>10</w:t>
            </w:r>
          </w:hyperlink>
        </w:p>
        <w:p w14:paraId="48D01AE4" w14:textId="777777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wy8v0k4lv90l">
            <w:r>
              <w:rPr>
                <w:rFonts w:ascii="Arial" w:eastAsia="Arial" w:hAnsi="Arial" w:cs="Arial"/>
                <w:color w:val="000000"/>
                <w:sz w:val="24"/>
                <w:szCs w:val="24"/>
              </w:rPr>
              <w:t>2.2.4 Signalling Theory</w:t>
            </w:r>
            <w:r>
              <w:rPr>
                <w:rFonts w:ascii="Arial" w:eastAsia="Arial" w:hAnsi="Arial" w:cs="Arial"/>
                <w:color w:val="000000"/>
                <w:sz w:val="24"/>
                <w:szCs w:val="24"/>
              </w:rPr>
              <w:tab/>
              <w:t>12</w:t>
            </w:r>
          </w:hyperlink>
        </w:p>
        <w:p w14:paraId="72A468BA" w14:textId="77777777" w:rsidR="00720726" w:rsidRPr="003A60AE" w:rsidRDefault="00720726">
          <w:pPr>
            <w:widowControl w:val="0"/>
            <w:tabs>
              <w:tab w:val="right" w:leader="dot" w:pos="12000"/>
            </w:tabs>
            <w:spacing w:before="60" w:after="0" w:line="240" w:lineRule="auto"/>
            <w:ind w:left="720"/>
            <w:rPr>
              <w:rFonts w:ascii="Arial" w:eastAsia="Arial" w:hAnsi="Arial" w:cs="Arial"/>
              <w:color w:val="000000"/>
              <w:sz w:val="24"/>
              <w:szCs w:val="24"/>
            </w:rPr>
          </w:pPr>
          <w:hyperlink w:anchor="_27rwc94i20xf">
            <w:r w:rsidRPr="003A60AE">
              <w:rPr>
                <w:rFonts w:ascii="Arial" w:eastAsia="Arial" w:hAnsi="Arial" w:cs="Arial"/>
                <w:color w:val="000000"/>
                <w:sz w:val="24"/>
                <w:szCs w:val="24"/>
              </w:rPr>
              <w:t>2.2.5 Integration of Theories</w:t>
            </w:r>
            <w:r w:rsidRPr="003A60AE">
              <w:rPr>
                <w:rFonts w:ascii="Arial" w:eastAsia="Arial" w:hAnsi="Arial" w:cs="Arial"/>
                <w:color w:val="000000"/>
                <w:sz w:val="24"/>
                <w:szCs w:val="24"/>
              </w:rPr>
              <w:tab/>
              <w:t>13</w:t>
            </w:r>
          </w:hyperlink>
        </w:p>
        <w:p w14:paraId="2852A7D9"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vxxf1g69fuix">
            <w:r>
              <w:rPr>
                <w:rFonts w:ascii="Arial" w:eastAsia="Arial" w:hAnsi="Arial" w:cs="Arial"/>
                <w:color w:val="000000"/>
                <w:sz w:val="24"/>
                <w:szCs w:val="24"/>
              </w:rPr>
              <w:t>2.3 Ethical Consumption and Consumer Behaviour.</w:t>
            </w:r>
            <w:r>
              <w:rPr>
                <w:rFonts w:ascii="Arial" w:eastAsia="Arial" w:hAnsi="Arial" w:cs="Arial"/>
                <w:color w:val="000000"/>
                <w:sz w:val="24"/>
                <w:szCs w:val="24"/>
              </w:rPr>
              <w:tab/>
              <w:t>13</w:t>
            </w:r>
          </w:hyperlink>
        </w:p>
        <w:p w14:paraId="05FE087A" w14:textId="770BF819" w:rsidR="00720726" w:rsidRPr="003A60AE" w:rsidRDefault="00720726">
          <w:pPr>
            <w:widowControl w:val="0"/>
            <w:tabs>
              <w:tab w:val="right" w:leader="dot" w:pos="12000"/>
            </w:tabs>
            <w:spacing w:before="60" w:after="0" w:line="240" w:lineRule="auto"/>
            <w:ind w:left="720"/>
            <w:rPr>
              <w:rFonts w:ascii="Arial" w:eastAsia="Arial" w:hAnsi="Arial" w:cs="Arial"/>
              <w:color w:val="000000"/>
              <w:sz w:val="24"/>
              <w:szCs w:val="24"/>
            </w:rPr>
          </w:pPr>
          <w:hyperlink w:anchor="_i9uo5p12im6n">
            <w:r>
              <w:rPr>
                <w:rFonts w:ascii="Arial" w:eastAsia="Arial" w:hAnsi="Arial" w:cs="Arial"/>
                <w:color w:val="000000"/>
                <w:sz w:val="24"/>
                <w:szCs w:val="24"/>
              </w:rPr>
              <w:t>2.3.1 Defining Ethical Consumption</w:t>
            </w:r>
            <w:r>
              <w:rPr>
                <w:rFonts w:ascii="Arial" w:eastAsia="Arial" w:hAnsi="Arial" w:cs="Arial"/>
                <w:color w:val="000000"/>
                <w:sz w:val="24"/>
                <w:szCs w:val="24"/>
              </w:rPr>
              <w:tab/>
              <w:t>1</w:t>
            </w:r>
          </w:hyperlink>
          <w:r w:rsidR="003A60AE" w:rsidRPr="003A60AE">
            <w:rPr>
              <w:rFonts w:ascii="Arial" w:hAnsi="Arial" w:cs="Arial"/>
              <w:sz w:val="24"/>
              <w:szCs w:val="24"/>
            </w:rPr>
            <w:t>3</w:t>
          </w:r>
        </w:p>
        <w:p w14:paraId="7D97DF39" w14:textId="777777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eecgwtvxaca0">
            <w:r>
              <w:rPr>
                <w:rFonts w:ascii="Arial" w:eastAsia="Arial" w:hAnsi="Arial" w:cs="Arial"/>
                <w:color w:val="000000"/>
                <w:sz w:val="24"/>
                <w:szCs w:val="24"/>
              </w:rPr>
              <w:t>2.3.2 Drivers of Ethical Consumption</w:t>
            </w:r>
            <w:r>
              <w:rPr>
                <w:rFonts w:ascii="Arial" w:eastAsia="Arial" w:hAnsi="Arial" w:cs="Arial"/>
                <w:color w:val="000000"/>
                <w:sz w:val="24"/>
                <w:szCs w:val="24"/>
              </w:rPr>
              <w:tab/>
              <w:t>14</w:t>
            </w:r>
          </w:hyperlink>
        </w:p>
        <w:p w14:paraId="465B82AC" w14:textId="777777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iqxmtxerrpfx">
            <w:r>
              <w:rPr>
                <w:rFonts w:ascii="Arial" w:eastAsia="Arial" w:hAnsi="Arial" w:cs="Arial"/>
                <w:color w:val="000000"/>
                <w:sz w:val="24"/>
                <w:szCs w:val="24"/>
              </w:rPr>
              <w:t>2.3.3 CSR and Purchase Decision Processes</w:t>
            </w:r>
            <w:r>
              <w:rPr>
                <w:rFonts w:ascii="Arial" w:eastAsia="Arial" w:hAnsi="Arial" w:cs="Arial"/>
                <w:color w:val="000000"/>
                <w:sz w:val="24"/>
                <w:szCs w:val="24"/>
              </w:rPr>
              <w:tab/>
              <w:t>15</w:t>
            </w:r>
          </w:hyperlink>
        </w:p>
        <w:p w14:paraId="3FB0C8CA" w14:textId="777777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13615lc0enew">
            <w:r>
              <w:rPr>
                <w:rFonts w:ascii="Arial" w:eastAsia="Arial" w:hAnsi="Arial" w:cs="Arial"/>
                <w:color w:val="000000"/>
                <w:sz w:val="24"/>
                <w:szCs w:val="24"/>
              </w:rPr>
              <w:t>2.3.4 Moderators of CSR Effects</w:t>
            </w:r>
            <w:r>
              <w:rPr>
                <w:rFonts w:ascii="Arial" w:eastAsia="Arial" w:hAnsi="Arial" w:cs="Arial"/>
                <w:color w:val="000000"/>
                <w:sz w:val="24"/>
                <w:szCs w:val="24"/>
              </w:rPr>
              <w:tab/>
              <w:t>16</w:t>
            </w:r>
          </w:hyperlink>
        </w:p>
        <w:p w14:paraId="7C13D215" w14:textId="77777777" w:rsidR="00720726" w:rsidRPr="003A60AE" w:rsidRDefault="00720726">
          <w:pPr>
            <w:widowControl w:val="0"/>
            <w:tabs>
              <w:tab w:val="right" w:leader="dot" w:pos="12000"/>
            </w:tabs>
            <w:spacing w:before="60" w:after="0" w:line="240" w:lineRule="auto"/>
            <w:ind w:left="720"/>
            <w:rPr>
              <w:rFonts w:ascii="Arial" w:eastAsia="Arial" w:hAnsi="Arial" w:cs="Arial"/>
              <w:color w:val="000000"/>
              <w:sz w:val="24"/>
              <w:szCs w:val="24"/>
            </w:rPr>
          </w:pPr>
          <w:hyperlink w:anchor="_i7vh2l23m9sn">
            <w:r>
              <w:rPr>
                <w:rFonts w:ascii="Arial" w:eastAsia="Arial" w:hAnsi="Arial" w:cs="Arial"/>
                <w:color w:val="000000"/>
                <w:sz w:val="24"/>
                <w:szCs w:val="24"/>
              </w:rPr>
              <w:t>2.3.5 Ethical Consumption Critiques</w:t>
            </w:r>
            <w:r>
              <w:rPr>
                <w:rFonts w:ascii="Arial" w:eastAsia="Arial" w:hAnsi="Arial" w:cs="Arial"/>
                <w:color w:val="000000"/>
                <w:sz w:val="24"/>
                <w:szCs w:val="24"/>
              </w:rPr>
              <w:tab/>
              <w:t>16</w:t>
            </w:r>
          </w:hyperlink>
        </w:p>
        <w:p w14:paraId="1F6F74A1"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4wnykwtnli2w">
            <w:r>
              <w:rPr>
                <w:rFonts w:ascii="Arial" w:eastAsia="Arial" w:hAnsi="Arial" w:cs="Arial"/>
                <w:color w:val="000000"/>
                <w:sz w:val="24"/>
                <w:szCs w:val="24"/>
              </w:rPr>
              <w:t>2.4 Past Research on CSR Relation to Buying Behaviour</w:t>
            </w:r>
            <w:r>
              <w:rPr>
                <w:rFonts w:ascii="Arial" w:eastAsia="Arial" w:hAnsi="Arial" w:cs="Arial"/>
                <w:color w:val="000000"/>
                <w:sz w:val="24"/>
                <w:szCs w:val="24"/>
              </w:rPr>
              <w:tab/>
              <w:t>17</w:t>
            </w:r>
          </w:hyperlink>
        </w:p>
        <w:p w14:paraId="11DA07DA" w14:textId="6D77B693" w:rsidR="00720726" w:rsidRPr="003A60AE" w:rsidRDefault="00720726">
          <w:pPr>
            <w:widowControl w:val="0"/>
            <w:tabs>
              <w:tab w:val="right" w:leader="dot" w:pos="12000"/>
            </w:tabs>
            <w:spacing w:before="60" w:after="0" w:line="240" w:lineRule="auto"/>
            <w:ind w:left="720"/>
            <w:rPr>
              <w:rFonts w:ascii="Arial" w:eastAsia="Arial" w:hAnsi="Arial" w:cs="Arial"/>
              <w:color w:val="000000"/>
              <w:sz w:val="24"/>
              <w:szCs w:val="24"/>
            </w:rPr>
          </w:pPr>
          <w:hyperlink w:anchor="_qxt6h796si9y">
            <w:r w:rsidRPr="003A60AE">
              <w:rPr>
                <w:rFonts w:ascii="Arial" w:eastAsia="Arial" w:hAnsi="Arial" w:cs="Arial"/>
                <w:color w:val="000000"/>
                <w:sz w:val="24"/>
                <w:szCs w:val="24"/>
              </w:rPr>
              <w:t>2.4.1 CSR and Purchase Intention</w:t>
            </w:r>
            <w:r w:rsidRPr="003A60AE">
              <w:rPr>
                <w:rFonts w:ascii="Arial" w:eastAsia="Arial" w:hAnsi="Arial" w:cs="Arial"/>
                <w:color w:val="000000"/>
                <w:sz w:val="24"/>
                <w:szCs w:val="24"/>
              </w:rPr>
              <w:tab/>
              <w:t>1</w:t>
            </w:r>
          </w:hyperlink>
          <w:r w:rsidR="003A60AE" w:rsidRPr="003A60AE">
            <w:rPr>
              <w:rFonts w:ascii="Arial" w:hAnsi="Arial" w:cs="Arial"/>
              <w:sz w:val="24"/>
              <w:szCs w:val="24"/>
            </w:rPr>
            <w:t>7</w:t>
          </w:r>
        </w:p>
        <w:p w14:paraId="746BF4FB" w14:textId="77777777" w:rsidR="00720726" w:rsidRPr="003A60AE" w:rsidRDefault="00720726">
          <w:pPr>
            <w:widowControl w:val="0"/>
            <w:tabs>
              <w:tab w:val="right" w:leader="dot" w:pos="12000"/>
            </w:tabs>
            <w:spacing w:before="60" w:after="0" w:line="240" w:lineRule="auto"/>
            <w:ind w:left="720"/>
            <w:rPr>
              <w:rFonts w:ascii="Arial" w:eastAsia="Arial" w:hAnsi="Arial" w:cs="Arial"/>
              <w:color w:val="000000"/>
              <w:sz w:val="24"/>
              <w:szCs w:val="24"/>
            </w:rPr>
          </w:pPr>
          <w:hyperlink w:anchor="_k7axvhr77ej8">
            <w:r w:rsidRPr="003A60AE">
              <w:rPr>
                <w:rFonts w:ascii="Arial" w:eastAsia="Arial" w:hAnsi="Arial" w:cs="Arial"/>
                <w:color w:val="000000"/>
                <w:sz w:val="24"/>
                <w:szCs w:val="24"/>
              </w:rPr>
              <w:t>2.4.2 CSR Communication and Consumer Perception.</w:t>
            </w:r>
            <w:r w:rsidRPr="003A60AE">
              <w:rPr>
                <w:rFonts w:ascii="Arial" w:eastAsia="Arial" w:hAnsi="Arial" w:cs="Arial"/>
                <w:color w:val="000000"/>
                <w:sz w:val="24"/>
                <w:szCs w:val="24"/>
              </w:rPr>
              <w:tab/>
              <w:t>18</w:t>
            </w:r>
          </w:hyperlink>
        </w:p>
        <w:p w14:paraId="6CA249A0" w14:textId="3D481310" w:rsidR="00720726" w:rsidRPr="003A60AE" w:rsidRDefault="00720726">
          <w:pPr>
            <w:widowControl w:val="0"/>
            <w:tabs>
              <w:tab w:val="right" w:leader="dot" w:pos="12000"/>
            </w:tabs>
            <w:spacing w:before="60" w:after="0" w:line="240" w:lineRule="auto"/>
            <w:ind w:left="720"/>
            <w:rPr>
              <w:rFonts w:ascii="Arial" w:eastAsia="Arial" w:hAnsi="Arial" w:cs="Arial"/>
              <w:color w:val="000000"/>
              <w:sz w:val="24"/>
              <w:szCs w:val="24"/>
            </w:rPr>
          </w:pPr>
          <w:hyperlink w:anchor="_2fvj6e9p22t">
            <w:r w:rsidRPr="003A60AE">
              <w:rPr>
                <w:rFonts w:ascii="Arial" w:eastAsia="Arial" w:hAnsi="Arial" w:cs="Arial"/>
                <w:color w:val="000000"/>
                <w:sz w:val="24"/>
                <w:szCs w:val="24"/>
              </w:rPr>
              <w:t>2.4.3 Type of product and CSR effect.</w:t>
            </w:r>
            <w:r w:rsidRPr="003A60AE">
              <w:rPr>
                <w:rFonts w:ascii="Arial" w:eastAsia="Arial" w:hAnsi="Arial" w:cs="Arial"/>
                <w:color w:val="000000"/>
                <w:sz w:val="24"/>
                <w:szCs w:val="24"/>
              </w:rPr>
              <w:tab/>
              <w:t>1</w:t>
            </w:r>
          </w:hyperlink>
          <w:r w:rsidR="003A60AE" w:rsidRPr="003A60AE">
            <w:rPr>
              <w:rFonts w:ascii="Arial" w:hAnsi="Arial" w:cs="Arial"/>
              <w:sz w:val="24"/>
              <w:szCs w:val="24"/>
            </w:rPr>
            <w:t>8</w:t>
          </w:r>
        </w:p>
        <w:p w14:paraId="28EF767D" w14:textId="777777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4nwtqmld3f9z">
            <w:r w:rsidRPr="003A60AE">
              <w:rPr>
                <w:rFonts w:ascii="Arial" w:eastAsia="Arial" w:hAnsi="Arial" w:cs="Arial"/>
                <w:color w:val="000000"/>
                <w:sz w:val="24"/>
                <w:szCs w:val="24"/>
              </w:rPr>
              <w:t>2.4.4 Geographical and Cultural Contexts.</w:t>
            </w:r>
            <w:r w:rsidRPr="003A60AE">
              <w:rPr>
                <w:rFonts w:ascii="Arial" w:eastAsia="Arial" w:hAnsi="Arial" w:cs="Arial"/>
                <w:color w:val="000000"/>
                <w:sz w:val="24"/>
                <w:szCs w:val="24"/>
              </w:rPr>
              <w:tab/>
              <w:t>19</w:t>
            </w:r>
          </w:hyperlink>
        </w:p>
        <w:p w14:paraId="05A15A87" w14:textId="6CF227AE"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ay78jqn0hygw">
            <w:r>
              <w:rPr>
                <w:rFonts w:ascii="Arial" w:eastAsia="Arial" w:hAnsi="Arial" w:cs="Arial"/>
                <w:color w:val="000000"/>
                <w:sz w:val="24"/>
                <w:szCs w:val="24"/>
              </w:rPr>
              <w:t>2.4.5 CSR and Brand Trust.</w:t>
            </w:r>
            <w:r>
              <w:rPr>
                <w:rFonts w:ascii="Arial" w:eastAsia="Arial" w:hAnsi="Arial" w:cs="Arial"/>
                <w:color w:val="000000"/>
                <w:sz w:val="24"/>
                <w:szCs w:val="24"/>
              </w:rPr>
              <w:tab/>
            </w:r>
            <w:r w:rsidR="003A60AE">
              <w:rPr>
                <w:rFonts w:ascii="Arial" w:eastAsia="Arial" w:hAnsi="Arial" w:cs="Arial"/>
                <w:color w:val="000000"/>
                <w:sz w:val="24"/>
                <w:szCs w:val="24"/>
              </w:rPr>
              <w:t>19</w:t>
            </w:r>
          </w:hyperlink>
        </w:p>
        <w:p w14:paraId="1A1A9A9A"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uira6v8ycoxt">
            <w:r>
              <w:rPr>
                <w:rFonts w:ascii="Arial" w:eastAsia="Arial" w:hAnsi="Arial" w:cs="Arial"/>
                <w:color w:val="000000"/>
                <w:sz w:val="24"/>
                <w:szCs w:val="24"/>
              </w:rPr>
              <w:t>2.5 CSR Evidence on the Effect of CSR on Loyalty, Willingness to Pay, and Brand Perception</w:t>
            </w:r>
            <w:r>
              <w:rPr>
                <w:rFonts w:ascii="Arial" w:eastAsia="Arial" w:hAnsi="Arial" w:cs="Arial"/>
                <w:color w:val="000000"/>
                <w:sz w:val="24"/>
                <w:szCs w:val="24"/>
              </w:rPr>
              <w:tab/>
              <w:t>20</w:t>
            </w:r>
          </w:hyperlink>
        </w:p>
        <w:p w14:paraId="09A9CA35" w14:textId="16FF847D"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fkp80z5pj7pv">
            <w:r>
              <w:rPr>
                <w:rFonts w:ascii="Arial" w:eastAsia="Arial" w:hAnsi="Arial" w:cs="Arial"/>
                <w:color w:val="000000"/>
                <w:sz w:val="24"/>
                <w:szCs w:val="24"/>
              </w:rPr>
              <w:t>2.5.1 CSR and Brand Loyalty</w:t>
            </w:r>
            <w:r>
              <w:rPr>
                <w:rFonts w:ascii="Arial" w:eastAsia="Arial" w:hAnsi="Arial" w:cs="Arial"/>
                <w:color w:val="000000"/>
                <w:sz w:val="24"/>
                <w:szCs w:val="24"/>
              </w:rPr>
              <w:tab/>
            </w:r>
            <w:r w:rsidR="003A60AE">
              <w:rPr>
                <w:rFonts w:ascii="Arial" w:eastAsia="Arial" w:hAnsi="Arial" w:cs="Arial"/>
                <w:color w:val="000000"/>
                <w:sz w:val="24"/>
                <w:szCs w:val="24"/>
              </w:rPr>
              <w:t>20</w:t>
            </w:r>
          </w:hyperlink>
        </w:p>
        <w:p w14:paraId="51BF18F0" w14:textId="777777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rmlmntg7faf8">
            <w:r>
              <w:rPr>
                <w:rFonts w:ascii="Arial" w:eastAsia="Arial" w:hAnsi="Arial" w:cs="Arial"/>
                <w:color w:val="000000"/>
                <w:sz w:val="24"/>
                <w:szCs w:val="24"/>
              </w:rPr>
              <w:t>2.5.2 CSR and Willingness to Pay</w:t>
            </w:r>
            <w:r>
              <w:rPr>
                <w:rFonts w:ascii="Arial" w:eastAsia="Arial" w:hAnsi="Arial" w:cs="Arial"/>
                <w:color w:val="000000"/>
                <w:sz w:val="24"/>
                <w:szCs w:val="24"/>
              </w:rPr>
              <w:tab/>
              <w:t>21</w:t>
            </w:r>
          </w:hyperlink>
        </w:p>
        <w:p w14:paraId="2B2C862E" w14:textId="777777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kuzzd4dex51d">
            <w:r>
              <w:rPr>
                <w:rFonts w:ascii="Arial" w:eastAsia="Arial" w:hAnsi="Arial" w:cs="Arial"/>
                <w:color w:val="000000"/>
                <w:sz w:val="24"/>
                <w:szCs w:val="24"/>
              </w:rPr>
              <w:t>2.5.3 CSR and Brand Perception</w:t>
            </w:r>
            <w:r>
              <w:rPr>
                <w:rFonts w:ascii="Arial" w:eastAsia="Arial" w:hAnsi="Arial" w:cs="Arial"/>
                <w:color w:val="000000"/>
                <w:sz w:val="24"/>
                <w:szCs w:val="24"/>
              </w:rPr>
              <w:tab/>
              <w:t>22</w:t>
            </w:r>
          </w:hyperlink>
        </w:p>
        <w:p w14:paraId="66246821" w14:textId="449A5A71"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37qg1p7wjrli">
            <w:r>
              <w:rPr>
                <w:rFonts w:ascii="Arial" w:eastAsia="Arial" w:hAnsi="Arial" w:cs="Arial"/>
                <w:color w:val="000000"/>
                <w:sz w:val="24"/>
                <w:szCs w:val="24"/>
              </w:rPr>
              <w:t>2.5.4 Moderating Factors in Loyalty and Willingness to Pay</w:t>
            </w:r>
            <w:r>
              <w:rPr>
                <w:rFonts w:ascii="Arial" w:eastAsia="Arial" w:hAnsi="Arial" w:cs="Arial"/>
                <w:color w:val="000000"/>
                <w:sz w:val="24"/>
                <w:szCs w:val="24"/>
              </w:rPr>
              <w:tab/>
            </w:r>
            <w:r w:rsidR="00B9543E">
              <w:rPr>
                <w:rFonts w:ascii="Arial" w:eastAsia="Arial" w:hAnsi="Arial" w:cs="Arial"/>
                <w:color w:val="000000"/>
                <w:sz w:val="24"/>
                <w:szCs w:val="24"/>
              </w:rPr>
              <w:t>22</w:t>
            </w:r>
          </w:hyperlink>
        </w:p>
        <w:p w14:paraId="1DBB9687" w14:textId="777777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ripic5r2y8d6">
            <w:r>
              <w:rPr>
                <w:rFonts w:ascii="Arial" w:eastAsia="Arial" w:hAnsi="Arial" w:cs="Arial"/>
                <w:color w:val="000000"/>
                <w:sz w:val="24"/>
                <w:szCs w:val="24"/>
              </w:rPr>
              <w:t>2.5.5 Practical implications to Zara UK.</w:t>
            </w:r>
            <w:r>
              <w:rPr>
                <w:rFonts w:ascii="Arial" w:eastAsia="Arial" w:hAnsi="Arial" w:cs="Arial"/>
                <w:color w:val="000000"/>
                <w:sz w:val="24"/>
                <w:szCs w:val="24"/>
              </w:rPr>
              <w:tab/>
              <w:t>23</w:t>
            </w:r>
          </w:hyperlink>
        </w:p>
        <w:p w14:paraId="408A7908"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9qbgd7diasti">
            <w:r>
              <w:rPr>
                <w:rFonts w:ascii="Arial" w:eastAsia="Arial" w:hAnsi="Arial" w:cs="Arial"/>
                <w:color w:val="000000"/>
                <w:sz w:val="24"/>
                <w:szCs w:val="24"/>
              </w:rPr>
              <w:t>2.6 Overview of Literature Gaps.</w:t>
            </w:r>
            <w:r>
              <w:rPr>
                <w:rFonts w:ascii="Arial" w:eastAsia="Arial" w:hAnsi="Arial" w:cs="Arial"/>
                <w:color w:val="000000"/>
                <w:sz w:val="24"/>
                <w:szCs w:val="24"/>
              </w:rPr>
              <w:tab/>
              <w:t>23</w:t>
            </w:r>
          </w:hyperlink>
        </w:p>
        <w:p w14:paraId="1B520665" w14:textId="65722E3B"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kawyuofj8ho3">
            <w:r>
              <w:rPr>
                <w:rFonts w:ascii="Arial" w:eastAsia="Arial" w:hAnsi="Arial" w:cs="Arial"/>
                <w:color w:val="000000"/>
                <w:sz w:val="24"/>
                <w:szCs w:val="24"/>
              </w:rPr>
              <w:t>2.6.1 UK‑Specific CSR Impact Studies</w:t>
            </w:r>
            <w:r>
              <w:rPr>
                <w:rFonts w:ascii="Arial" w:eastAsia="Arial" w:hAnsi="Arial" w:cs="Arial"/>
                <w:color w:val="000000"/>
                <w:sz w:val="24"/>
                <w:szCs w:val="24"/>
              </w:rPr>
              <w:tab/>
            </w:r>
            <w:r w:rsidR="00B9543E">
              <w:rPr>
                <w:rFonts w:ascii="Arial" w:eastAsia="Arial" w:hAnsi="Arial" w:cs="Arial"/>
                <w:color w:val="000000"/>
                <w:sz w:val="24"/>
                <w:szCs w:val="24"/>
              </w:rPr>
              <w:t>23</w:t>
            </w:r>
          </w:hyperlink>
        </w:p>
        <w:p w14:paraId="34CC060B" w14:textId="537ABCF5"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317vh7unyznw">
            <w:r>
              <w:rPr>
                <w:rFonts w:ascii="Arial" w:eastAsia="Arial" w:hAnsi="Arial" w:cs="Arial"/>
                <w:color w:val="000000"/>
                <w:sz w:val="24"/>
                <w:szCs w:val="24"/>
              </w:rPr>
              <w:t>2.6.2 CSR Awareness vs. Behaviour Gap.</w:t>
            </w:r>
            <w:r>
              <w:rPr>
                <w:rFonts w:ascii="Arial" w:eastAsia="Arial" w:hAnsi="Arial" w:cs="Arial"/>
                <w:color w:val="000000"/>
                <w:sz w:val="24"/>
                <w:szCs w:val="24"/>
              </w:rPr>
              <w:tab/>
            </w:r>
            <w:r w:rsidR="00B9543E">
              <w:rPr>
                <w:rFonts w:ascii="Arial" w:eastAsia="Arial" w:hAnsi="Arial" w:cs="Arial"/>
                <w:color w:val="000000"/>
                <w:sz w:val="24"/>
                <w:szCs w:val="24"/>
              </w:rPr>
              <w:t>23</w:t>
            </w:r>
          </w:hyperlink>
        </w:p>
        <w:p w14:paraId="12109410" w14:textId="777777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9yw679dxslvi">
            <w:r>
              <w:rPr>
                <w:rFonts w:ascii="Arial" w:eastAsia="Arial" w:hAnsi="Arial" w:cs="Arial"/>
                <w:color w:val="000000"/>
                <w:sz w:val="24"/>
                <w:szCs w:val="24"/>
              </w:rPr>
              <w:t>2.6.3 CSR Dimensions and Differential Effects</w:t>
            </w:r>
            <w:r>
              <w:rPr>
                <w:rFonts w:ascii="Arial" w:eastAsia="Arial" w:hAnsi="Arial" w:cs="Arial"/>
                <w:color w:val="000000"/>
                <w:sz w:val="24"/>
                <w:szCs w:val="24"/>
              </w:rPr>
              <w:tab/>
              <w:t>24</w:t>
            </w:r>
          </w:hyperlink>
        </w:p>
        <w:p w14:paraId="210CE8E8" w14:textId="7D3B41E5"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bohdd1fs3fug">
            <w:r>
              <w:rPr>
                <w:rFonts w:ascii="Arial" w:eastAsia="Arial" w:hAnsi="Arial" w:cs="Arial"/>
                <w:color w:val="000000"/>
                <w:sz w:val="24"/>
                <w:szCs w:val="24"/>
              </w:rPr>
              <w:t>2.6.4 Mediators and Moderators</w:t>
            </w:r>
            <w:r>
              <w:rPr>
                <w:rFonts w:ascii="Arial" w:eastAsia="Arial" w:hAnsi="Arial" w:cs="Arial"/>
                <w:color w:val="000000"/>
                <w:sz w:val="24"/>
                <w:szCs w:val="24"/>
              </w:rPr>
              <w:tab/>
            </w:r>
            <w:r w:rsidR="00B9543E">
              <w:rPr>
                <w:rFonts w:ascii="Arial" w:eastAsia="Arial" w:hAnsi="Arial" w:cs="Arial"/>
                <w:color w:val="000000"/>
                <w:sz w:val="24"/>
                <w:szCs w:val="24"/>
              </w:rPr>
              <w:t>24</w:t>
            </w:r>
          </w:hyperlink>
        </w:p>
        <w:p w14:paraId="074FBD83" w14:textId="06B911FB"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3j4tcqrm1rtw">
            <w:r>
              <w:rPr>
                <w:rFonts w:ascii="Arial" w:eastAsia="Arial" w:hAnsi="Arial" w:cs="Arial"/>
                <w:color w:val="000000"/>
                <w:sz w:val="24"/>
                <w:szCs w:val="24"/>
              </w:rPr>
              <w:t>2.6.5 Longitudinal Evidence</w:t>
            </w:r>
            <w:r>
              <w:rPr>
                <w:rFonts w:ascii="Arial" w:eastAsia="Arial" w:hAnsi="Arial" w:cs="Arial"/>
                <w:color w:val="000000"/>
                <w:sz w:val="24"/>
                <w:szCs w:val="24"/>
              </w:rPr>
              <w:tab/>
            </w:r>
            <w:r w:rsidR="00B9543E">
              <w:rPr>
                <w:rFonts w:ascii="Arial" w:eastAsia="Arial" w:hAnsi="Arial" w:cs="Arial"/>
                <w:color w:val="000000"/>
                <w:sz w:val="24"/>
                <w:szCs w:val="24"/>
              </w:rPr>
              <w:t>24</w:t>
            </w:r>
          </w:hyperlink>
        </w:p>
        <w:p w14:paraId="19260B08"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qd92drrewkpq">
            <w:r>
              <w:rPr>
                <w:rFonts w:ascii="Arial" w:eastAsia="Arial" w:hAnsi="Arial" w:cs="Arial"/>
                <w:color w:val="000000"/>
                <w:sz w:val="24"/>
                <w:szCs w:val="24"/>
              </w:rPr>
              <w:t>2.7 Chapter Summary</w:t>
            </w:r>
            <w:r>
              <w:rPr>
                <w:rFonts w:ascii="Arial" w:eastAsia="Arial" w:hAnsi="Arial" w:cs="Arial"/>
                <w:color w:val="000000"/>
                <w:sz w:val="24"/>
                <w:szCs w:val="24"/>
              </w:rPr>
              <w:tab/>
              <w:t>25</w:t>
            </w:r>
          </w:hyperlink>
        </w:p>
        <w:p w14:paraId="6381ED79" w14:textId="77777777" w:rsidR="00720726" w:rsidRDefault="00720726">
          <w:pPr>
            <w:widowControl w:val="0"/>
            <w:tabs>
              <w:tab w:val="right" w:leader="dot" w:pos="12000"/>
            </w:tabs>
            <w:spacing w:before="60" w:after="0" w:line="240" w:lineRule="auto"/>
            <w:rPr>
              <w:rFonts w:ascii="Arial" w:eastAsia="Arial" w:hAnsi="Arial" w:cs="Arial"/>
              <w:b/>
              <w:bCs/>
              <w:color w:val="000000"/>
            </w:rPr>
          </w:pPr>
          <w:hyperlink w:anchor="_km2i0uk0cfsl">
            <w:r>
              <w:rPr>
                <w:rFonts w:ascii="Arial" w:eastAsia="Arial" w:hAnsi="Arial" w:cs="Arial"/>
                <w:color w:val="000000"/>
                <w:sz w:val="24"/>
                <w:szCs w:val="24"/>
              </w:rPr>
              <w:t>Chapter 3: Methodology</w:t>
            </w:r>
            <w:r>
              <w:rPr>
                <w:rFonts w:ascii="Arial" w:eastAsia="Arial" w:hAnsi="Arial" w:cs="Arial"/>
                <w:color w:val="000000"/>
                <w:sz w:val="24"/>
                <w:szCs w:val="24"/>
              </w:rPr>
              <w:tab/>
              <w:t>26</w:t>
            </w:r>
          </w:hyperlink>
        </w:p>
        <w:p w14:paraId="0A80244F"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3pm4plyuq2k">
            <w:r>
              <w:rPr>
                <w:rFonts w:ascii="Arial" w:eastAsia="Arial" w:hAnsi="Arial" w:cs="Arial"/>
                <w:color w:val="000000"/>
                <w:sz w:val="24"/>
                <w:szCs w:val="24"/>
              </w:rPr>
              <w:t>3.1 Introduction</w:t>
            </w:r>
            <w:r>
              <w:rPr>
                <w:rFonts w:ascii="Arial" w:eastAsia="Arial" w:hAnsi="Arial" w:cs="Arial"/>
                <w:color w:val="000000"/>
                <w:sz w:val="24"/>
                <w:szCs w:val="24"/>
              </w:rPr>
              <w:tab/>
              <w:t>26</w:t>
            </w:r>
          </w:hyperlink>
        </w:p>
        <w:p w14:paraId="70FDAD02" w14:textId="646E7068"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i0xfpwbqbefo">
            <w:r>
              <w:rPr>
                <w:rFonts w:ascii="Arial" w:eastAsia="Arial" w:hAnsi="Arial" w:cs="Arial"/>
                <w:color w:val="000000"/>
                <w:sz w:val="24"/>
                <w:szCs w:val="24"/>
              </w:rPr>
              <w:t>3.2 Research Philosophy</w:t>
            </w:r>
            <w:r>
              <w:rPr>
                <w:rFonts w:ascii="Arial" w:eastAsia="Arial" w:hAnsi="Arial" w:cs="Arial"/>
                <w:color w:val="000000"/>
                <w:sz w:val="24"/>
                <w:szCs w:val="24"/>
              </w:rPr>
              <w:tab/>
            </w:r>
            <w:r w:rsidR="009A6050">
              <w:rPr>
                <w:rFonts w:ascii="Arial" w:eastAsia="Arial" w:hAnsi="Arial" w:cs="Arial"/>
                <w:color w:val="000000"/>
                <w:sz w:val="24"/>
                <w:szCs w:val="24"/>
              </w:rPr>
              <w:t>26</w:t>
            </w:r>
          </w:hyperlink>
        </w:p>
        <w:p w14:paraId="4EE31C6A" w14:textId="51E04F62"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4hekucx8ofl3">
            <w:r>
              <w:rPr>
                <w:rFonts w:ascii="Arial" w:eastAsia="Arial" w:hAnsi="Arial" w:cs="Arial"/>
                <w:color w:val="000000"/>
                <w:sz w:val="24"/>
                <w:szCs w:val="24"/>
              </w:rPr>
              <w:t>3.2.1 Positivism</w:t>
            </w:r>
            <w:r>
              <w:rPr>
                <w:rFonts w:ascii="Arial" w:eastAsia="Arial" w:hAnsi="Arial" w:cs="Arial"/>
                <w:color w:val="000000"/>
                <w:sz w:val="24"/>
                <w:szCs w:val="24"/>
              </w:rPr>
              <w:tab/>
            </w:r>
            <w:r w:rsidR="009A6050">
              <w:rPr>
                <w:rFonts w:ascii="Arial" w:eastAsia="Arial" w:hAnsi="Arial" w:cs="Arial"/>
                <w:color w:val="000000"/>
                <w:sz w:val="24"/>
                <w:szCs w:val="24"/>
              </w:rPr>
              <w:t>26</w:t>
            </w:r>
          </w:hyperlink>
        </w:p>
        <w:p w14:paraId="79C5DD8E" w14:textId="15D912B4"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tsx7uk5j9dos">
            <w:r>
              <w:rPr>
                <w:rFonts w:ascii="Arial" w:eastAsia="Arial" w:hAnsi="Arial" w:cs="Arial"/>
                <w:color w:val="000000"/>
                <w:sz w:val="24"/>
                <w:szCs w:val="24"/>
              </w:rPr>
              <w:t>3.2.2 Interpretivism</w:t>
            </w:r>
            <w:r>
              <w:rPr>
                <w:rFonts w:ascii="Arial" w:eastAsia="Arial" w:hAnsi="Arial" w:cs="Arial"/>
                <w:color w:val="000000"/>
                <w:sz w:val="24"/>
                <w:szCs w:val="24"/>
              </w:rPr>
              <w:tab/>
            </w:r>
            <w:r w:rsidR="009A6050">
              <w:rPr>
                <w:rFonts w:ascii="Arial" w:eastAsia="Arial" w:hAnsi="Arial" w:cs="Arial"/>
                <w:color w:val="000000"/>
                <w:sz w:val="24"/>
                <w:szCs w:val="24"/>
              </w:rPr>
              <w:t>26</w:t>
            </w:r>
          </w:hyperlink>
        </w:p>
        <w:p w14:paraId="36D182A1" w14:textId="777777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iz055l8s5g37">
            <w:r>
              <w:rPr>
                <w:rFonts w:ascii="Arial" w:eastAsia="Arial" w:hAnsi="Arial" w:cs="Arial"/>
                <w:color w:val="000000"/>
                <w:sz w:val="24"/>
                <w:szCs w:val="24"/>
              </w:rPr>
              <w:t>3.2.3 Pragmatism (Selected Position)</w:t>
            </w:r>
            <w:r>
              <w:rPr>
                <w:rFonts w:ascii="Arial" w:eastAsia="Arial" w:hAnsi="Arial" w:cs="Arial"/>
                <w:color w:val="000000"/>
                <w:sz w:val="24"/>
                <w:szCs w:val="24"/>
              </w:rPr>
              <w:tab/>
              <w:t>27</w:t>
            </w:r>
          </w:hyperlink>
        </w:p>
        <w:p w14:paraId="1E8D1FA6" w14:textId="19272EB1"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s065x74p7i4e">
            <w:r>
              <w:rPr>
                <w:rFonts w:ascii="Arial" w:eastAsia="Arial" w:hAnsi="Arial" w:cs="Arial"/>
                <w:color w:val="000000"/>
                <w:sz w:val="24"/>
                <w:szCs w:val="24"/>
              </w:rPr>
              <w:t>3.3 Research Approach</w:t>
            </w:r>
            <w:r>
              <w:rPr>
                <w:rFonts w:ascii="Arial" w:eastAsia="Arial" w:hAnsi="Arial" w:cs="Arial"/>
                <w:color w:val="000000"/>
                <w:sz w:val="24"/>
                <w:szCs w:val="24"/>
              </w:rPr>
              <w:tab/>
            </w:r>
            <w:r w:rsidR="009A6050">
              <w:rPr>
                <w:rFonts w:ascii="Arial" w:eastAsia="Arial" w:hAnsi="Arial" w:cs="Arial"/>
                <w:color w:val="000000"/>
                <w:sz w:val="24"/>
                <w:szCs w:val="24"/>
              </w:rPr>
              <w:t>27</w:t>
            </w:r>
          </w:hyperlink>
        </w:p>
        <w:p w14:paraId="2703EFE2" w14:textId="353B5392"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5mqxx5osdcsf">
            <w:r>
              <w:rPr>
                <w:rFonts w:ascii="Arial" w:eastAsia="Arial" w:hAnsi="Arial" w:cs="Arial"/>
                <w:color w:val="000000"/>
                <w:sz w:val="24"/>
                <w:szCs w:val="24"/>
              </w:rPr>
              <w:t>3.3.1 Deductive Approach</w:t>
            </w:r>
            <w:r>
              <w:rPr>
                <w:rFonts w:ascii="Arial" w:eastAsia="Arial" w:hAnsi="Arial" w:cs="Arial"/>
                <w:color w:val="000000"/>
                <w:sz w:val="24"/>
                <w:szCs w:val="24"/>
              </w:rPr>
              <w:tab/>
            </w:r>
            <w:r w:rsidR="009A6050">
              <w:rPr>
                <w:rFonts w:ascii="Arial" w:eastAsia="Arial" w:hAnsi="Arial" w:cs="Arial"/>
                <w:color w:val="000000"/>
                <w:sz w:val="24"/>
                <w:szCs w:val="24"/>
              </w:rPr>
              <w:t>27</w:t>
            </w:r>
          </w:hyperlink>
        </w:p>
        <w:p w14:paraId="5D167D01" w14:textId="777777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vbvivh97ybru">
            <w:r>
              <w:rPr>
                <w:rFonts w:ascii="Arial" w:eastAsia="Arial" w:hAnsi="Arial" w:cs="Arial"/>
                <w:color w:val="000000"/>
                <w:sz w:val="24"/>
                <w:szCs w:val="24"/>
              </w:rPr>
              <w:t>3.3.2 Inductive Approach</w:t>
            </w:r>
            <w:r>
              <w:rPr>
                <w:rFonts w:ascii="Arial" w:eastAsia="Arial" w:hAnsi="Arial" w:cs="Arial"/>
                <w:color w:val="000000"/>
                <w:sz w:val="24"/>
                <w:szCs w:val="24"/>
              </w:rPr>
              <w:tab/>
              <w:t>28</w:t>
            </w:r>
          </w:hyperlink>
        </w:p>
        <w:p w14:paraId="42C66947"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v4s1yvamgdk4">
            <w:r>
              <w:rPr>
                <w:rFonts w:ascii="Arial" w:eastAsia="Arial" w:hAnsi="Arial" w:cs="Arial"/>
                <w:color w:val="000000"/>
                <w:sz w:val="24"/>
                <w:szCs w:val="24"/>
              </w:rPr>
              <w:t>3.4 Research Design</w:t>
            </w:r>
            <w:r>
              <w:rPr>
                <w:rFonts w:ascii="Arial" w:eastAsia="Arial" w:hAnsi="Arial" w:cs="Arial"/>
                <w:color w:val="000000"/>
                <w:sz w:val="24"/>
                <w:szCs w:val="24"/>
              </w:rPr>
              <w:tab/>
              <w:t>28</w:t>
            </w:r>
          </w:hyperlink>
        </w:p>
        <w:p w14:paraId="50C1A16F" w14:textId="4C75C306"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qdth1u28i0j">
            <w:r>
              <w:rPr>
                <w:rFonts w:ascii="Arial" w:eastAsia="Arial" w:hAnsi="Arial" w:cs="Arial"/>
                <w:color w:val="000000"/>
                <w:sz w:val="24"/>
                <w:szCs w:val="24"/>
              </w:rPr>
              <w:t>3.4.1 Quantitative Design</w:t>
            </w:r>
            <w:r>
              <w:rPr>
                <w:rFonts w:ascii="Arial" w:eastAsia="Arial" w:hAnsi="Arial" w:cs="Arial"/>
                <w:color w:val="000000"/>
                <w:sz w:val="24"/>
                <w:szCs w:val="24"/>
              </w:rPr>
              <w:tab/>
            </w:r>
            <w:r w:rsidR="005877C8">
              <w:rPr>
                <w:rFonts w:ascii="Arial" w:eastAsia="Arial" w:hAnsi="Arial" w:cs="Arial"/>
                <w:color w:val="000000"/>
                <w:sz w:val="24"/>
                <w:szCs w:val="24"/>
              </w:rPr>
              <w:t>28</w:t>
            </w:r>
          </w:hyperlink>
        </w:p>
        <w:p w14:paraId="2F5AF498" w14:textId="02895EB3"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6vzm4ohqxqa9">
            <w:r>
              <w:rPr>
                <w:rFonts w:ascii="Arial" w:eastAsia="Arial" w:hAnsi="Arial" w:cs="Arial"/>
                <w:color w:val="000000"/>
                <w:sz w:val="24"/>
                <w:szCs w:val="24"/>
              </w:rPr>
              <w:t>3.4.2 Reasoning behind Quantitative Focus.</w:t>
            </w:r>
            <w:r>
              <w:rPr>
                <w:rFonts w:ascii="Arial" w:eastAsia="Arial" w:hAnsi="Arial" w:cs="Arial"/>
                <w:color w:val="000000"/>
                <w:sz w:val="24"/>
                <w:szCs w:val="24"/>
              </w:rPr>
              <w:tab/>
            </w:r>
            <w:r w:rsidR="005877C8">
              <w:rPr>
                <w:rFonts w:ascii="Arial" w:eastAsia="Arial" w:hAnsi="Arial" w:cs="Arial"/>
                <w:color w:val="000000"/>
                <w:sz w:val="24"/>
                <w:szCs w:val="24"/>
              </w:rPr>
              <w:t>28</w:t>
            </w:r>
          </w:hyperlink>
        </w:p>
        <w:p w14:paraId="4F6639D1" w14:textId="337DBF53"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mslm9p1x8o4i">
            <w:r>
              <w:rPr>
                <w:rFonts w:ascii="Arial" w:eastAsia="Arial" w:hAnsi="Arial" w:cs="Arial"/>
                <w:color w:val="000000"/>
                <w:sz w:val="24"/>
                <w:szCs w:val="24"/>
              </w:rPr>
              <w:t>3.5 Data Collection</w:t>
            </w:r>
            <w:r>
              <w:rPr>
                <w:rFonts w:ascii="Arial" w:eastAsia="Arial" w:hAnsi="Arial" w:cs="Arial"/>
                <w:color w:val="000000"/>
                <w:sz w:val="24"/>
                <w:szCs w:val="24"/>
              </w:rPr>
              <w:tab/>
            </w:r>
            <w:r w:rsidR="00D47F13">
              <w:rPr>
                <w:rFonts w:ascii="Arial" w:eastAsia="Arial" w:hAnsi="Arial" w:cs="Arial"/>
                <w:color w:val="000000"/>
                <w:sz w:val="24"/>
                <w:szCs w:val="24"/>
              </w:rPr>
              <w:t>29</w:t>
            </w:r>
          </w:hyperlink>
        </w:p>
        <w:p w14:paraId="1FC4F586" w14:textId="2A64B344"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ulxo3r220cr1">
            <w:r>
              <w:rPr>
                <w:rFonts w:ascii="Arial" w:eastAsia="Arial" w:hAnsi="Arial" w:cs="Arial"/>
                <w:color w:val="000000"/>
                <w:sz w:val="24"/>
                <w:szCs w:val="24"/>
              </w:rPr>
              <w:t>3.5.1 Primary Data</w:t>
            </w:r>
            <w:r>
              <w:rPr>
                <w:rFonts w:ascii="Arial" w:eastAsia="Arial" w:hAnsi="Arial" w:cs="Arial"/>
                <w:color w:val="000000"/>
                <w:sz w:val="24"/>
                <w:szCs w:val="24"/>
              </w:rPr>
              <w:tab/>
            </w:r>
            <w:r w:rsidR="00D47F13">
              <w:rPr>
                <w:rFonts w:ascii="Arial" w:eastAsia="Arial" w:hAnsi="Arial" w:cs="Arial"/>
                <w:color w:val="000000"/>
                <w:sz w:val="24"/>
                <w:szCs w:val="24"/>
              </w:rPr>
              <w:t>29</w:t>
            </w:r>
          </w:hyperlink>
        </w:p>
        <w:p w14:paraId="620BCD0D" w14:textId="411437F5"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nmjuneqf1kqq">
            <w:r>
              <w:rPr>
                <w:rFonts w:ascii="Arial" w:eastAsia="Arial" w:hAnsi="Arial" w:cs="Arial"/>
                <w:color w:val="000000"/>
                <w:sz w:val="24"/>
                <w:szCs w:val="24"/>
              </w:rPr>
              <w:t>3.5.2 Survey Instrument Design</w:t>
            </w:r>
            <w:r>
              <w:rPr>
                <w:rFonts w:ascii="Arial" w:eastAsia="Arial" w:hAnsi="Arial" w:cs="Arial"/>
                <w:color w:val="000000"/>
                <w:sz w:val="24"/>
                <w:szCs w:val="24"/>
              </w:rPr>
              <w:tab/>
            </w:r>
            <w:r w:rsidR="00D7571C">
              <w:rPr>
                <w:rFonts w:ascii="Arial" w:eastAsia="Arial" w:hAnsi="Arial" w:cs="Arial"/>
                <w:color w:val="000000"/>
                <w:sz w:val="24"/>
                <w:szCs w:val="24"/>
              </w:rPr>
              <w:t>30</w:t>
            </w:r>
          </w:hyperlink>
        </w:p>
        <w:p w14:paraId="79C64E7A" w14:textId="65C3F2CA"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b4ag2ghbdja">
            <w:r>
              <w:rPr>
                <w:rFonts w:ascii="Arial" w:eastAsia="Arial" w:hAnsi="Arial" w:cs="Arial"/>
                <w:color w:val="000000"/>
                <w:sz w:val="24"/>
                <w:szCs w:val="24"/>
              </w:rPr>
              <w:t>3.5.3 Pilot Testing</w:t>
            </w:r>
            <w:r>
              <w:rPr>
                <w:rFonts w:ascii="Arial" w:eastAsia="Arial" w:hAnsi="Arial" w:cs="Arial"/>
                <w:color w:val="000000"/>
                <w:sz w:val="24"/>
                <w:szCs w:val="24"/>
              </w:rPr>
              <w:tab/>
            </w:r>
            <w:r w:rsidR="00D7571C">
              <w:rPr>
                <w:rFonts w:ascii="Arial" w:eastAsia="Arial" w:hAnsi="Arial" w:cs="Arial"/>
                <w:color w:val="000000"/>
                <w:sz w:val="24"/>
                <w:szCs w:val="24"/>
              </w:rPr>
              <w:t>30</w:t>
            </w:r>
          </w:hyperlink>
        </w:p>
        <w:p w14:paraId="47BD8798" w14:textId="7467A85A"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4pxhkpx0mcz6">
            <w:r>
              <w:rPr>
                <w:rFonts w:ascii="Arial" w:eastAsia="Arial" w:hAnsi="Arial" w:cs="Arial"/>
                <w:color w:val="000000"/>
                <w:sz w:val="24"/>
                <w:szCs w:val="24"/>
              </w:rPr>
              <w:t>3.6 Sampling</w:t>
            </w:r>
            <w:r>
              <w:rPr>
                <w:rFonts w:ascii="Arial" w:eastAsia="Arial" w:hAnsi="Arial" w:cs="Arial"/>
                <w:color w:val="000000"/>
                <w:sz w:val="24"/>
                <w:szCs w:val="24"/>
              </w:rPr>
              <w:tab/>
            </w:r>
            <w:r w:rsidR="00D7571C">
              <w:rPr>
                <w:rFonts w:ascii="Arial" w:eastAsia="Arial" w:hAnsi="Arial" w:cs="Arial"/>
                <w:color w:val="000000"/>
                <w:sz w:val="24"/>
                <w:szCs w:val="24"/>
              </w:rPr>
              <w:t>30</w:t>
            </w:r>
          </w:hyperlink>
        </w:p>
        <w:p w14:paraId="4D07B400" w14:textId="545B2365"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c6qa1noo3u5w">
            <w:r>
              <w:rPr>
                <w:rFonts w:ascii="Arial" w:eastAsia="Arial" w:hAnsi="Arial" w:cs="Arial"/>
                <w:color w:val="000000"/>
                <w:sz w:val="24"/>
                <w:szCs w:val="24"/>
              </w:rPr>
              <w:t>3.6.1 Target Population</w:t>
            </w:r>
            <w:r>
              <w:rPr>
                <w:rFonts w:ascii="Arial" w:eastAsia="Arial" w:hAnsi="Arial" w:cs="Arial"/>
                <w:color w:val="000000"/>
                <w:sz w:val="24"/>
                <w:szCs w:val="24"/>
              </w:rPr>
              <w:tab/>
            </w:r>
            <w:r w:rsidR="00D7571C">
              <w:rPr>
                <w:rFonts w:ascii="Arial" w:eastAsia="Arial" w:hAnsi="Arial" w:cs="Arial"/>
                <w:color w:val="000000"/>
                <w:sz w:val="24"/>
                <w:szCs w:val="24"/>
              </w:rPr>
              <w:t>30</w:t>
            </w:r>
          </w:hyperlink>
        </w:p>
        <w:p w14:paraId="3B913F6A" w14:textId="7E303545"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bdiykxeu7496">
            <w:r>
              <w:rPr>
                <w:rFonts w:ascii="Arial" w:eastAsia="Arial" w:hAnsi="Arial" w:cs="Arial"/>
                <w:color w:val="000000"/>
                <w:sz w:val="24"/>
                <w:szCs w:val="24"/>
              </w:rPr>
              <w:t>3.6.2 Sampling Technique: Stratified Convenience</w:t>
            </w:r>
            <w:r>
              <w:rPr>
                <w:rFonts w:ascii="Arial" w:eastAsia="Arial" w:hAnsi="Arial" w:cs="Arial"/>
                <w:color w:val="000000"/>
                <w:sz w:val="24"/>
                <w:szCs w:val="24"/>
              </w:rPr>
              <w:tab/>
            </w:r>
            <w:r w:rsidR="00DE5E6E">
              <w:rPr>
                <w:rFonts w:ascii="Arial" w:eastAsia="Arial" w:hAnsi="Arial" w:cs="Arial"/>
                <w:color w:val="000000"/>
                <w:sz w:val="24"/>
                <w:szCs w:val="24"/>
              </w:rPr>
              <w:t>31</w:t>
            </w:r>
          </w:hyperlink>
        </w:p>
        <w:p w14:paraId="4E3A9010" w14:textId="1B01FDFF"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rglulkk3civs">
            <w:r>
              <w:rPr>
                <w:rFonts w:ascii="Arial" w:eastAsia="Arial" w:hAnsi="Arial" w:cs="Arial"/>
                <w:color w:val="000000"/>
                <w:sz w:val="24"/>
                <w:szCs w:val="24"/>
              </w:rPr>
              <w:t>3.6.3 Sample Size</w:t>
            </w:r>
            <w:r>
              <w:rPr>
                <w:rFonts w:ascii="Arial" w:eastAsia="Arial" w:hAnsi="Arial" w:cs="Arial"/>
                <w:color w:val="000000"/>
                <w:sz w:val="24"/>
                <w:szCs w:val="24"/>
              </w:rPr>
              <w:tab/>
            </w:r>
            <w:r w:rsidR="00DE5E6E">
              <w:rPr>
                <w:rFonts w:ascii="Arial" w:eastAsia="Arial" w:hAnsi="Arial" w:cs="Arial"/>
                <w:color w:val="000000"/>
                <w:sz w:val="24"/>
                <w:szCs w:val="24"/>
              </w:rPr>
              <w:t>31</w:t>
            </w:r>
          </w:hyperlink>
        </w:p>
        <w:p w14:paraId="37B58563" w14:textId="36887126"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i42q0xxyql9">
            <w:r>
              <w:rPr>
                <w:rFonts w:ascii="Arial" w:eastAsia="Arial" w:hAnsi="Arial" w:cs="Arial"/>
                <w:color w:val="000000"/>
                <w:sz w:val="24"/>
                <w:szCs w:val="24"/>
              </w:rPr>
              <w:t>3.6.4 Sampling Justification</w:t>
            </w:r>
            <w:r>
              <w:rPr>
                <w:rFonts w:ascii="Arial" w:eastAsia="Arial" w:hAnsi="Arial" w:cs="Arial"/>
                <w:color w:val="000000"/>
                <w:sz w:val="24"/>
                <w:szCs w:val="24"/>
              </w:rPr>
              <w:tab/>
            </w:r>
            <w:r w:rsidR="00DE5E6E">
              <w:rPr>
                <w:rFonts w:ascii="Arial" w:eastAsia="Arial" w:hAnsi="Arial" w:cs="Arial"/>
                <w:color w:val="000000"/>
                <w:sz w:val="24"/>
                <w:szCs w:val="24"/>
              </w:rPr>
              <w:t>31</w:t>
            </w:r>
          </w:hyperlink>
        </w:p>
        <w:p w14:paraId="49CAFD0F" w14:textId="0FA67641"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c6bih0xdb4t3">
            <w:r>
              <w:rPr>
                <w:rFonts w:ascii="Arial" w:eastAsia="Arial" w:hAnsi="Arial" w:cs="Arial"/>
                <w:color w:val="000000"/>
                <w:sz w:val="24"/>
                <w:szCs w:val="24"/>
              </w:rPr>
              <w:t>3.7 Data Analysis</w:t>
            </w:r>
            <w:r>
              <w:rPr>
                <w:rFonts w:ascii="Arial" w:eastAsia="Arial" w:hAnsi="Arial" w:cs="Arial"/>
                <w:color w:val="000000"/>
                <w:sz w:val="24"/>
                <w:szCs w:val="24"/>
              </w:rPr>
              <w:tab/>
            </w:r>
            <w:r w:rsidR="00DE5E6E">
              <w:rPr>
                <w:rFonts w:ascii="Arial" w:eastAsia="Arial" w:hAnsi="Arial" w:cs="Arial"/>
                <w:color w:val="000000"/>
                <w:sz w:val="24"/>
                <w:szCs w:val="24"/>
              </w:rPr>
              <w:t>31</w:t>
            </w:r>
          </w:hyperlink>
        </w:p>
        <w:p w14:paraId="0B5AF6FA" w14:textId="0F48E4E6"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fokav8kl1xm3">
            <w:r>
              <w:rPr>
                <w:rFonts w:ascii="Arial" w:eastAsia="Arial" w:hAnsi="Arial" w:cs="Arial"/>
                <w:color w:val="000000"/>
                <w:sz w:val="24"/>
                <w:szCs w:val="24"/>
              </w:rPr>
              <w:t>3.7.1 Descriptive Statistics</w:t>
            </w:r>
            <w:r>
              <w:rPr>
                <w:rFonts w:ascii="Arial" w:eastAsia="Arial" w:hAnsi="Arial" w:cs="Arial"/>
                <w:color w:val="000000"/>
                <w:sz w:val="24"/>
                <w:szCs w:val="24"/>
              </w:rPr>
              <w:tab/>
            </w:r>
            <w:r w:rsidR="00DE5E6E">
              <w:rPr>
                <w:rFonts w:ascii="Arial" w:eastAsia="Arial" w:hAnsi="Arial" w:cs="Arial"/>
                <w:color w:val="000000"/>
                <w:sz w:val="24"/>
                <w:szCs w:val="24"/>
              </w:rPr>
              <w:t>33</w:t>
            </w:r>
          </w:hyperlink>
        </w:p>
        <w:p w14:paraId="3BC19615" w14:textId="2EDBEA20"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u6rpxlw10b5c">
            <w:r>
              <w:rPr>
                <w:rFonts w:ascii="Arial" w:eastAsia="Arial" w:hAnsi="Arial" w:cs="Arial"/>
                <w:color w:val="000000"/>
                <w:sz w:val="24"/>
                <w:szCs w:val="24"/>
              </w:rPr>
              <w:t>3.7.2 Reliability and tests of validity.</w:t>
            </w:r>
            <w:r>
              <w:rPr>
                <w:rFonts w:ascii="Arial" w:eastAsia="Arial" w:hAnsi="Arial" w:cs="Arial"/>
                <w:color w:val="000000"/>
                <w:sz w:val="24"/>
                <w:szCs w:val="24"/>
              </w:rPr>
              <w:tab/>
            </w:r>
            <w:r w:rsidR="00DE5E6E">
              <w:rPr>
                <w:rFonts w:ascii="Arial" w:eastAsia="Arial" w:hAnsi="Arial" w:cs="Arial"/>
                <w:color w:val="000000"/>
                <w:sz w:val="24"/>
                <w:szCs w:val="24"/>
              </w:rPr>
              <w:t>34</w:t>
            </w:r>
          </w:hyperlink>
        </w:p>
        <w:p w14:paraId="0CA7857D" w14:textId="00263DF9"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osm0yztalvgd">
            <w:r>
              <w:rPr>
                <w:rFonts w:ascii="Arial" w:eastAsia="Arial" w:hAnsi="Arial" w:cs="Arial"/>
                <w:color w:val="000000"/>
                <w:sz w:val="24"/>
                <w:szCs w:val="24"/>
              </w:rPr>
              <w:t>3.7.3 Correlation Analysis</w:t>
            </w:r>
            <w:r>
              <w:rPr>
                <w:rFonts w:ascii="Arial" w:eastAsia="Arial" w:hAnsi="Arial" w:cs="Arial"/>
                <w:color w:val="000000"/>
                <w:sz w:val="24"/>
                <w:szCs w:val="24"/>
              </w:rPr>
              <w:tab/>
            </w:r>
            <w:r w:rsidR="00DE5E6E">
              <w:rPr>
                <w:rFonts w:ascii="Arial" w:eastAsia="Arial" w:hAnsi="Arial" w:cs="Arial"/>
                <w:color w:val="000000"/>
                <w:sz w:val="24"/>
                <w:szCs w:val="24"/>
              </w:rPr>
              <w:t>34</w:t>
            </w:r>
          </w:hyperlink>
        </w:p>
        <w:p w14:paraId="11B8C86E" w14:textId="50A952FA"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szcwfn1071ry">
            <w:r>
              <w:rPr>
                <w:rFonts w:ascii="Arial" w:eastAsia="Arial" w:hAnsi="Arial" w:cs="Arial"/>
                <w:color w:val="000000"/>
                <w:sz w:val="24"/>
                <w:szCs w:val="24"/>
              </w:rPr>
              <w:t>3.7.4 Regression Analysis</w:t>
            </w:r>
            <w:r>
              <w:rPr>
                <w:rFonts w:ascii="Arial" w:eastAsia="Arial" w:hAnsi="Arial" w:cs="Arial"/>
                <w:color w:val="000000"/>
                <w:sz w:val="24"/>
                <w:szCs w:val="24"/>
              </w:rPr>
              <w:tab/>
            </w:r>
            <w:r w:rsidR="00DE5E6E">
              <w:rPr>
                <w:rFonts w:ascii="Arial" w:eastAsia="Arial" w:hAnsi="Arial" w:cs="Arial"/>
                <w:color w:val="000000"/>
                <w:sz w:val="24"/>
                <w:szCs w:val="24"/>
              </w:rPr>
              <w:t>35</w:t>
            </w:r>
          </w:hyperlink>
        </w:p>
        <w:p w14:paraId="78EDEA64" w14:textId="0A73ECF1"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b10kv1kd8hcl">
            <w:r>
              <w:rPr>
                <w:rFonts w:ascii="Arial" w:eastAsia="Arial" w:hAnsi="Arial" w:cs="Arial"/>
                <w:color w:val="000000"/>
                <w:sz w:val="24"/>
                <w:szCs w:val="24"/>
              </w:rPr>
              <w:t>3.8 Ethical Considerations</w:t>
            </w:r>
            <w:r>
              <w:rPr>
                <w:rFonts w:ascii="Arial" w:eastAsia="Arial" w:hAnsi="Arial" w:cs="Arial"/>
                <w:color w:val="000000"/>
                <w:sz w:val="24"/>
                <w:szCs w:val="24"/>
              </w:rPr>
              <w:tab/>
            </w:r>
            <w:r w:rsidR="00DE5E6E">
              <w:rPr>
                <w:rFonts w:ascii="Arial" w:eastAsia="Arial" w:hAnsi="Arial" w:cs="Arial"/>
                <w:color w:val="000000"/>
                <w:sz w:val="24"/>
                <w:szCs w:val="24"/>
              </w:rPr>
              <w:t>35</w:t>
            </w:r>
          </w:hyperlink>
        </w:p>
        <w:p w14:paraId="5A45F4A3" w14:textId="2EDD8A59"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k9hcd4tjy3yd">
            <w:r>
              <w:rPr>
                <w:rFonts w:ascii="Arial" w:eastAsia="Arial" w:hAnsi="Arial" w:cs="Arial"/>
                <w:color w:val="000000"/>
                <w:sz w:val="24"/>
                <w:szCs w:val="24"/>
              </w:rPr>
              <w:t>3.8.1 Informed Consent</w:t>
            </w:r>
            <w:r>
              <w:rPr>
                <w:rFonts w:ascii="Arial" w:eastAsia="Arial" w:hAnsi="Arial" w:cs="Arial"/>
                <w:color w:val="000000"/>
                <w:sz w:val="24"/>
                <w:szCs w:val="24"/>
              </w:rPr>
              <w:tab/>
            </w:r>
            <w:r w:rsidR="00DE5E6E">
              <w:rPr>
                <w:rFonts w:ascii="Arial" w:eastAsia="Arial" w:hAnsi="Arial" w:cs="Arial"/>
                <w:color w:val="000000"/>
                <w:sz w:val="24"/>
                <w:szCs w:val="24"/>
              </w:rPr>
              <w:t>35</w:t>
            </w:r>
          </w:hyperlink>
        </w:p>
        <w:p w14:paraId="48C70A39" w14:textId="56A1513A"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wgucabxpr6fb">
            <w:r>
              <w:rPr>
                <w:rFonts w:ascii="Arial" w:eastAsia="Arial" w:hAnsi="Arial" w:cs="Arial"/>
                <w:color w:val="000000"/>
                <w:sz w:val="24"/>
                <w:szCs w:val="24"/>
              </w:rPr>
              <w:t>3.8.2 Confidentiality and Anonymity</w:t>
            </w:r>
            <w:r>
              <w:rPr>
                <w:rFonts w:ascii="Arial" w:eastAsia="Arial" w:hAnsi="Arial" w:cs="Arial"/>
                <w:color w:val="000000"/>
                <w:sz w:val="24"/>
                <w:szCs w:val="24"/>
              </w:rPr>
              <w:tab/>
            </w:r>
            <w:r w:rsidR="00DE5E6E">
              <w:rPr>
                <w:rFonts w:ascii="Arial" w:eastAsia="Arial" w:hAnsi="Arial" w:cs="Arial"/>
                <w:color w:val="000000"/>
                <w:sz w:val="24"/>
                <w:szCs w:val="24"/>
              </w:rPr>
              <w:t>35</w:t>
            </w:r>
          </w:hyperlink>
        </w:p>
        <w:p w14:paraId="16E013F6" w14:textId="5BCF4163"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uscodlcrrfxx">
            <w:r>
              <w:rPr>
                <w:rFonts w:ascii="Arial" w:eastAsia="Arial" w:hAnsi="Arial" w:cs="Arial"/>
                <w:color w:val="000000"/>
                <w:sz w:val="24"/>
                <w:szCs w:val="24"/>
              </w:rPr>
              <w:t>3.8.3 Data Protection</w:t>
            </w:r>
            <w:r>
              <w:rPr>
                <w:rFonts w:ascii="Arial" w:eastAsia="Arial" w:hAnsi="Arial" w:cs="Arial"/>
                <w:color w:val="000000"/>
                <w:sz w:val="24"/>
                <w:szCs w:val="24"/>
              </w:rPr>
              <w:tab/>
            </w:r>
            <w:r w:rsidR="00F650CF">
              <w:rPr>
                <w:rFonts w:ascii="Arial" w:eastAsia="Arial" w:hAnsi="Arial" w:cs="Arial"/>
                <w:color w:val="000000"/>
                <w:sz w:val="24"/>
                <w:szCs w:val="24"/>
              </w:rPr>
              <w:t>36</w:t>
            </w:r>
          </w:hyperlink>
        </w:p>
        <w:p w14:paraId="2D6A8362" w14:textId="7874AD08"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k6xygueagkde">
            <w:r>
              <w:rPr>
                <w:rFonts w:ascii="Arial" w:eastAsia="Arial" w:hAnsi="Arial" w:cs="Arial"/>
                <w:color w:val="000000"/>
                <w:sz w:val="24"/>
                <w:szCs w:val="24"/>
              </w:rPr>
              <w:t>3.8.4 Right to Withdraw</w:t>
            </w:r>
            <w:r>
              <w:rPr>
                <w:rFonts w:ascii="Arial" w:eastAsia="Arial" w:hAnsi="Arial" w:cs="Arial"/>
                <w:color w:val="000000"/>
                <w:sz w:val="24"/>
                <w:szCs w:val="24"/>
              </w:rPr>
              <w:tab/>
            </w:r>
            <w:r w:rsidR="00F650CF">
              <w:rPr>
                <w:rFonts w:ascii="Arial" w:eastAsia="Arial" w:hAnsi="Arial" w:cs="Arial"/>
                <w:color w:val="000000"/>
                <w:sz w:val="24"/>
                <w:szCs w:val="24"/>
              </w:rPr>
              <w:t>36</w:t>
            </w:r>
          </w:hyperlink>
        </w:p>
        <w:p w14:paraId="6A3F1739" w14:textId="18CAB39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wz86tyo6or6a">
            <w:r>
              <w:rPr>
                <w:rFonts w:ascii="Arial" w:eastAsia="Arial" w:hAnsi="Arial" w:cs="Arial"/>
                <w:color w:val="000000"/>
                <w:sz w:val="24"/>
                <w:szCs w:val="24"/>
              </w:rPr>
              <w:t>3.8.5 Avoiding Harm</w:t>
            </w:r>
            <w:r>
              <w:rPr>
                <w:rFonts w:ascii="Arial" w:eastAsia="Arial" w:hAnsi="Arial" w:cs="Arial"/>
                <w:color w:val="000000"/>
                <w:sz w:val="24"/>
                <w:szCs w:val="24"/>
              </w:rPr>
              <w:tab/>
            </w:r>
            <w:r w:rsidR="00F650CF">
              <w:rPr>
                <w:rFonts w:ascii="Arial" w:eastAsia="Arial" w:hAnsi="Arial" w:cs="Arial"/>
                <w:color w:val="000000"/>
                <w:sz w:val="24"/>
                <w:szCs w:val="24"/>
              </w:rPr>
              <w:t>36</w:t>
            </w:r>
          </w:hyperlink>
        </w:p>
        <w:p w14:paraId="116AD0A2" w14:textId="55D18388"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aidgapixun83">
            <w:r>
              <w:rPr>
                <w:rFonts w:ascii="Arial" w:eastAsia="Arial" w:hAnsi="Arial" w:cs="Arial"/>
                <w:color w:val="000000"/>
                <w:sz w:val="24"/>
                <w:szCs w:val="24"/>
              </w:rPr>
              <w:t>3.9 Chapter Summary</w:t>
            </w:r>
            <w:r>
              <w:rPr>
                <w:rFonts w:ascii="Arial" w:eastAsia="Arial" w:hAnsi="Arial" w:cs="Arial"/>
                <w:color w:val="000000"/>
                <w:sz w:val="24"/>
                <w:szCs w:val="24"/>
              </w:rPr>
              <w:tab/>
            </w:r>
            <w:r w:rsidR="00F650CF">
              <w:rPr>
                <w:rFonts w:ascii="Arial" w:eastAsia="Arial" w:hAnsi="Arial" w:cs="Arial"/>
                <w:color w:val="000000"/>
                <w:sz w:val="24"/>
                <w:szCs w:val="24"/>
              </w:rPr>
              <w:t>36</w:t>
            </w:r>
          </w:hyperlink>
        </w:p>
        <w:p w14:paraId="49D2920B" w14:textId="45D32DD2" w:rsidR="00720726" w:rsidRDefault="00720726">
          <w:pPr>
            <w:widowControl w:val="0"/>
            <w:tabs>
              <w:tab w:val="right" w:leader="dot" w:pos="12000"/>
            </w:tabs>
            <w:spacing w:before="60" w:after="0" w:line="240" w:lineRule="auto"/>
            <w:rPr>
              <w:rFonts w:ascii="Arial" w:eastAsia="Arial" w:hAnsi="Arial" w:cs="Arial"/>
              <w:b/>
              <w:bCs/>
              <w:color w:val="000000"/>
            </w:rPr>
          </w:pPr>
          <w:hyperlink w:anchor="_k9evfj1449i5">
            <w:r>
              <w:rPr>
                <w:rFonts w:ascii="Arial" w:eastAsia="Arial" w:hAnsi="Arial" w:cs="Arial"/>
                <w:color w:val="000000"/>
                <w:sz w:val="24"/>
                <w:szCs w:val="24"/>
              </w:rPr>
              <w:t>Chapter 4: Findings / Data Analysis</w:t>
            </w:r>
            <w:r>
              <w:rPr>
                <w:rFonts w:ascii="Arial" w:eastAsia="Arial" w:hAnsi="Arial" w:cs="Arial"/>
                <w:color w:val="000000"/>
                <w:sz w:val="24"/>
                <w:szCs w:val="24"/>
              </w:rPr>
              <w:tab/>
            </w:r>
            <w:r w:rsidR="00F650CF">
              <w:rPr>
                <w:rFonts w:ascii="Arial" w:eastAsia="Arial" w:hAnsi="Arial" w:cs="Arial"/>
                <w:color w:val="000000"/>
                <w:sz w:val="24"/>
                <w:szCs w:val="24"/>
              </w:rPr>
              <w:t>38</w:t>
            </w:r>
          </w:hyperlink>
        </w:p>
        <w:p w14:paraId="2E399CDE" w14:textId="38F9262A"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9ycr2bnww2wo">
            <w:r>
              <w:rPr>
                <w:rFonts w:ascii="Arial" w:eastAsia="Arial" w:hAnsi="Arial" w:cs="Arial"/>
                <w:color w:val="000000"/>
                <w:sz w:val="24"/>
                <w:szCs w:val="24"/>
              </w:rPr>
              <w:t>4.1 Introduction</w:t>
            </w:r>
            <w:r>
              <w:rPr>
                <w:rFonts w:ascii="Arial" w:eastAsia="Arial" w:hAnsi="Arial" w:cs="Arial"/>
                <w:color w:val="000000"/>
                <w:sz w:val="24"/>
                <w:szCs w:val="24"/>
              </w:rPr>
              <w:tab/>
            </w:r>
            <w:r w:rsidR="00F650CF">
              <w:rPr>
                <w:rFonts w:ascii="Arial" w:eastAsia="Arial" w:hAnsi="Arial" w:cs="Arial"/>
                <w:color w:val="000000"/>
                <w:sz w:val="24"/>
                <w:szCs w:val="24"/>
              </w:rPr>
              <w:t>38</w:t>
            </w:r>
          </w:hyperlink>
        </w:p>
        <w:p w14:paraId="7343C790" w14:textId="0909585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bt6lv4sdehxh">
            <w:r>
              <w:rPr>
                <w:rFonts w:ascii="Arial" w:eastAsia="Arial" w:hAnsi="Arial" w:cs="Arial"/>
                <w:color w:val="000000"/>
                <w:sz w:val="24"/>
                <w:szCs w:val="24"/>
              </w:rPr>
              <w:t>4.2 Research Questions and Structure of Data Analysis</w:t>
            </w:r>
            <w:r>
              <w:rPr>
                <w:rFonts w:ascii="Arial" w:eastAsia="Arial" w:hAnsi="Arial" w:cs="Arial"/>
                <w:color w:val="000000"/>
                <w:sz w:val="24"/>
                <w:szCs w:val="24"/>
              </w:rPr>
              <w:tab/>
            </w:r>
            <w:r w:rsidR="00F650CF">
              <w:rPr>
                <w:rFonts w:ascii="Arial" w:eastAsia="Arial" w:hAnsi="Arial" w:cs="Arial"/>
                <w:color w:val="000000"/>
                <w:sz w:val="24"/>
                <w:szCs w:val="24"/>
              </w:rPr>
              <w:t>38</w:t>
            </w:r>
          </w:hyperlink>
        </w:p>
        <w:p w14:paraId="0A4BD421" w14:textId="17ACAD73"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dabhv2yv9hnj">
            <w:r>
              <w:rPr>
                <w:rFonts w:ascii="Arial" w:eastAsia="Arial" w:hAnsi="Arial" w:cs="Arial"/>
                <w:color w:val="000000"/>
              </w:rPr>
              <w:t>Table 4.1: Consumer Awareness of CSR Practices</w:t>
            </w:r>
            <w:r>
              <w:rPr>
                <w:rFonts w:ascii="Arial" w:eastAsia="Arial" w:hAnsi="Arial" w:cs="Arial"/>
                <w:color w:val="000000"/>
              </w:rPr>
              <w:tab/>
            </w:r>
            <w:r w:rsidR="00F650CF">
              <w:rPr>
                <w:rFonts w:ascii="Arial" w:eastAsia="Arial" w:hAnsi="Arial" w:cs="Arial"/>
                <w:color w:val="000000"/>
              </w:rPr>
              <w:t>39</w:t>
            </w:r>
          </w:hyperlink>
        </w:p>
        <w:p w14:paraId="1A15B05C" w14:textId="450A3A58"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w830dl2yfnv">
            <w:r>
              <w:rPr>
                <w:rFonts w:ascii="Arial" w:eastAsia="Arial" w:hAnsi="Arial" w:cs="Arial"/>
                <w:color w:val="000000"/>
              </w:rPr>
              <w:t>Answer to Research Question 2</w:t>
            </w:r>
            <w:r>
              <w:rPr>
                <w:rFonts w:ascii="Arial" w:eastAsia="Arial" w:hAnsi="Arial" w:cs="Arial"/>
                <w:color w:val="000000"/>
              </w:rPr>
              <w:tab/>
            </w:r>
            <w:r w:rsidR="00F650CF">
              <w:rPr>
                <w:rFonts w:ascii="Arial" w:eastAsia="Arial" w:hAnsi="Arial" w:cs="Arial"/>
                <w:color w:val="000000"/>
              </w:rPr>
              <w:t>40</w:t>
            </w:r>
          </w:hyperlink>
        </w:p>
        <w:p w14:paraId="4D1B8001" w14:textId="7C940B7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dpw1ssv43ucj">
            <w:r>
              <w:rPr>
                <w:rFonts w:ascii="Arial" w:eastAsia="Arial" w:hAnsi="Arial" w:cs="Arial"/>
                <w:color w:val="000000"/>
              </w:rPr>
              <w:t>Table 9: CSR Initiatives Influence on Purchase Decision (n = 300)</w:t>
            </w:r>
            <w:r>
              <w:rPr>
                <w:rFonts w:ascii="Arial" w:eastAsia="Arial" w:hAnsi="Arial" w:cs="Arial"/>
                <w:color w:val="000000"/>
              </w:rPr>
              <w:tab/>
            </w:r>
            <w:r w:rsidR="00F650CF">
              <w:rPr>
                <w:rFonts w:ascii="Arial" w:eastAsia="Arial" w:hAnsi="Arial" w:cs="Arial"/>
                <w:color w:val="000000"/>
              </w:rPr>
              <w:t>40</w:t>
            </w:r>
          </w:hyperlink>
        </w:p>
        <w:p w14:paraId="330A8440" w14:textId="5DFF944C"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xif7b8h0o2u9">
            <w:r>
              <w:rPr>
                <w:rFonts w:ascii="Arial" w:eastAsia="Arial" w:hAnsi="Arial" w:cs="Arial"/>
                <w:color w:val="000000"/>
              </w:rPr>
              <w:t>Interpretation of Findings</w:t>
            </w:r>
            <w:r>
              <w:rPr>
                <w:rFonts w:ascii="Arial" w:eastAsia="Arial" w:hAnsi="Arial" w:cs="Arial"/>
                <w:color w:val="000000"/>
              </w:rPr>
              <w:tab/>
            </w:r>
            <w:r w:rsidR="00F650CF">
              <w:rPr>
                <w:rFonts w:ascii="Arial" w:eastAsia="Arial" w:hAnsi="Arial" w:cs="Arial"/>
                <w:color w:val="000000"/>
              </w:rPr>
              <w:t>41</w:t>
            </w:r>
          </w:hyperlink>
        </w:p>
        <w:p w14:paraId="35805594" w14:textId="4D9A2074"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9ywf2ecxwtv5">
            <w:r>
              <w:rPr>
                <w:rFonts w:ascii="Arial" w:eastAsia="Arial" w:hAnsi="Arial" w:cs="Arial"/>
                <w:color w:val="000000"/>
              </w:rPr>
              <w:t>Regression Analysis</w:t>
            </w:r>
            <w:r>
              <w:rPr>
                <w:rFonts w:ascii="Arial" w:eastAsia="Arial" w:hAnsi="Arial" w:cs="Arial"/>
                <w:color w:val="000000"/>
              </w:rPr>
              <w:tab/>
            </w:r>
            <w:r w:rsidR="00F650CF">
              <w:rPr>
                <w:rFonts w:ascii="Arial" w:eastAsia="Arial" w:hAnsi="Arial" w:cs="Arial"/>
                <w:color w:val="000000"/>
              </w:rPr>
              <w:t>41</w:t>
            </w:r>
          </w:hyperlink>
        </w:p>
        <w:p w14:paraId="175FEFCD" w14:textId="16B8C732"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kbwvtpimnlmr">
            <w:r>
              <w:rPr>
                <w:rFonts w:ascii="Arial" w:eastAsia="Arial" w:hAnsi="Arial" w:cs="Arial"/>
                <w:color w:val="000000"/>
              </w:rPr>
              <w:t>Table 10: Regression Results</w:t>
            </w:r>
            <w:r>
              <w:rPr>
                <w:rFonts w:ascii="Arial" w:eastAsia="Arial" w:hAnsi="Arial" w:cs="Arial"/>
                <w:color w:val="000000"/>
              </w:rPr>
              <w:tab/>
            </w:r>
            <w:r w:rsidR="00F650CF">
              <w:rPr>
                <w:rFonts w:ascii="Arial" w:eastAsia="Arial" w:hAnsi="Arial" w:cs="Arial"/>
                <w:color w:val="000000"/>
              </w:rPr>
              <w:t>41</w:t>
            </w:r>
          </w:hyperlink>
        </w:p>
        <w:p w14:paraId="567F4790" w14:textId="53BEF0D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2uz55alep32s">
            <w:r>
              <w:rPr>
                <w:rFonts w:ascii="Arial" w:eastAsia="Arial" w:hAnsi="Arial" w:cs="Arial"/>
                <w:color w:val="000000"/>
              </w:rPr>
              <w:t>Interpretation of Regression Results</w:t>
            </w:r>
            <w:r>
              <w:rPr>
                <w:rFonts w:ascii="Arial" w:eastAsia="Arial" w:hAnsi="Arial" w:cs="Arial"/>
                <w:color w:val="000000"/>
              </w:rPr>
              <w:tab/>
            </w:r>
            <w:r w:rsidR="00F650CF">
              <w:rPr>
                <w:rFonts w:ascii="Arial" w:eastAsia="Arial" w:hAnsi="Arial" w:cs="Arial"/>
                <w:color w:val="000000"/>
              </w:rPr>
              <w:t>42</w:t>
            </w:r>
          </w:hyperlink>
        </w:p>
        <w:p w14:paraId="6BE95313" w14:textId="4550E8DD"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8t08wedd3kpt">
            <w:r>
              <w:rPr>
                <w:rFonts w:ascii="Arial" w:eastAsia="Arial" w:hAnsi="Arial" w:cs="Arial"/>
                <w:color w:val="000000"/>
              </w:rPr>
              <w:t>Answer to Research Question 3</w:t>
            </w:r>
            <w:r>
              <w:rPr>
                <w:rFonts w:ascii="Arial" w:eastAsia="Arial" w:hAnsi="Arial" w:cs="Arial"/>
                <w:color w:val="000000"/>
              </w:rPr>
              <w:tab/>
            </w:r>
            <w:r w:rsidR="00F650CF">
              <w:rPr>
                <w:rFonts w:ascii="Arial" w:eastAsia="Arial" w:hAnsi="Arial" w:cs="Arial"/>
                <w:color w:val="000000"/>
              </w:rPr>
              <w:t>42</w:t>
            </w:r>
          </w:hyperlink>
        </w:p>
        <w:p w14:paraId="7124F217" w14:textId="1B4E11AF"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in4eu3uock6w">
            <w:r>
              <w:rPr>
                <w:rFonts w:ascii="Arial" w:eastAsia="Arial" w:hAnsi="Arial" w:cs="Arial"/>
                <w:color w:val="000000"/>
              </w:rPr>
              <w:t>Table 11: Influence of CSR on Consumer Trust and Loyalty (n = 300)</w:t>
            </w:r>
            <w:r>
              <w:rPr>
                <w:rFonts w:ascii="Arial" w:eastAsia="Arial" w:hAnsi="Arial" w:cs="Arial"/>
                <w:color w:val="000000"/>
              </w:rPr>
              <w:tab/>
            </w:r>
            <w:r w:rsidR="00F650CF">
              <w:rPr>
                <w:rFonts w:ascii="Arial" w:eastAsia="Arial" w:hAnsi="Arial" w:cs="Arial"/>
                <w:color w:val="000000"/>
              </w:rPr>
              <w:t>43</w:t>
            </w:r>
          </w:hyperlink>
        </w:p>
        <w:p w14:paraId="316855AA" w14:textId="3061C779"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dufdtqfctglj">
            <w:r>
              <w:rPr>
                <w:rFonts w:ascii="Arial" w:eastAsia="Arial" w:hAnsi="Arial" w:cs="Arial"/>
                <w:color w:val="000000"/>
              </w:rPr>
              <w:t>Table 12 : Correlation Analysis</w:t>
            </w:r>
            <w:r>
              <w:rPr>
                <w:rFonts w:ascii="Arial" w:eastAsia="Arial" w:hAnsi="Arial" w:cs="Arial"/>
                <w:color w:val="000000"/>
              </w:rPr>
              <w:tab/>
            </w:r>
            <w:r w:rsidR="00F650CF">
              <w:rPr>
                <w:rFonts w:ascii="Arial" w:eastAsia="Arial" w:hAnsi="Arial" w:cs="Arial"/>
                <w:color w:val="000000"/>
              </w:rPr>
              <w:t>44</w:t>
            </w:r>
          </w:hyperlink>
        </w:p>
        <w:p w14:paraId="0AAB3799" w14:textId="2D17C11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2lujh9hue4g5">
            <w:r>
              <w:rPr>
                <w:rFonts w:ascii="Arial" w:eastAsia="Arial" w:hAnsi="Arial" w:cs="Arial"/>
                <w:color w:val="000000"/>
              </w:rPr>
              <w:t>Table 13 : Regression Analysis Results</w:t>
            </w:r>
            <w:r>
              <w:rPr>
                <w:rFonts w:ascii="Arial" w:eastAsia="Arial" w:hAnsi="Arial" w:cs="Arial"/>
                <w:color w:val="000000"/>
              </w:rPr>
              <w:tab/>
            </w:r>
            <w:r w:rsidR="00F650CF">
              <w:rPr>
                <w:rFonts w:ascii="Arial" w:eastAsia="Arial" w:hAnsi="Arial" w:cs="Arial"/>
                <w:color w:val="000000"/>
              </w:rPr>
              <w:t>44</w:t>
            </w:r>
          </w:hyperlink>
        </w:p>
        <w:p w14:paraId="65809E14" w14:textId="06756E03"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8yghcnme0cp2">
            <w:r>
              <w:rPr>
                <w:rFonts w:ascii="Arial" w:eastAsia="Arial" w:hAnsi="Arial" w:cs="Arial"/>
                <w:color w:val="000000"/>
              </w:rPr>
              <w:t>Answer to Research Question 4</w:t>
            </w:r>
            <w:r>
              <w:rPr>
                <w:rFonts w:ascii="Arial" w:eastAsia="Arial" w:hAnsi="Arial" w:cs="Arial"/>
                <w:color w:val="000000"/>
              </w:rPr>
              <w:tab/>
            </w:r>
            <w:r w:rsidR="00F650CF">
              <w:rPr>
                <w:rFonts w:ascii="Arial" w:eastAsia="Arial" w:hAnsi="Arial" w:cs="Arial"/>
                <w:color w:val="000000"/>
              </w:rPr>
              <w:t>45</w:t>
            </w:r>
          </w:hyperlink>
        </w:p>
        <w:p w14:paraId="123D59A2" w14:textId="64122025"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zgwsx74ny564">
            <w:r>
              <w:rPr>
                <w:rFonts w:ascii="Arial" w:eastAsia="Arial" w:hAnsi="Arial" w:cs="Arial"/>
                <w:color w:val="000000"/>
                <w:sz w:val="24"/>
                <w:szCs w:val="24"/>
              </w:rPr>
              <w:t>4.3 Dataset Description</w:t>
            </w:r>
            <w:r>
              <w:rPr>
                <w:rFonts w:ascii="Arial" w:eastAsia="Arial" w:hAnsi="Arial" w:cs="Arial"/>
                <w:color w:val="000000"/>
                <w:sz w:val="24"/>
                <w:szCs w:val="24"/>
              </w:rPr>
              <w:tab/>
            </w:r>
            <w:r w:rsidR="00F650CF">
              <w:rPr>
                <w:rFonts w:ascii="Arial" w:eastAsia="Arial" w:hAnsi="Arial" w:cs="Arial"/>
                <w:color w:val="000000"/>
                <w:sz w:val="24"/>
                <w:szCs w:val="24"/>
              </w:rPr>
              <w:t>45</w:t>
            </w:r>
          </w:hyperlink>
        </w:p>
        <w:p w14:paraId="56A452B3" w14:textId="35A03779"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6r12pvek1dfc">
            <w:r>
              <w:rPr>
                <w:rFonts w:ascii="Arial" w:eastAsia="Arial" w:hAnsi="Arial" w:cs="Arial"/>
                <w:color w:val="000000"/>
                <w:sz w:val="24"/>
                <w:szCs w:val="24"/>
              </w:rPr>
              <w:t>4.3.2 Demographics of the respondents</w:t>
            </w:r>
            <w:r>
              <w:rPr>
                <w:rFonts w:ascii="Arial" w:eastAsia="Arial" w:hAnsi="Arial" w:cs="Arial"/>
                <w:color w:val="000000"/>
                <w:sz w:val="24"/>
                <w:szCs w:val="24"/>
              </w:rPr>
              <w:tab/>
            </w:r>
            <w:r w:rsidR="00F650CF">
              <w:rPr>
                <w:rFonts w:ascii="Arial" w:eastAsia="Arial" w:hAnsi="Arial" w:cs="Arial"/>
                <w:color w:val="000000"/>
                <w:sz w:val="24"/>
                <w:szCs w:val="24"/>
              </w:rPr>
              <w:t>46</w:t>
            </w:r>
          </w:hyperlink>
        </w:p>
        <w:p w14:paraId="7905755D" w14:textId="7823A784"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ot5i5082s0w6">
            <w:r>
              <w:rPr>
                <w:rFonts w:ascii="Arial" w:eastAsia="Arial" w:hAnsi="Arial" w:cs="Arial"/>
                <w:color w:val="000000"/>
                <w:sz w:val="24"/>
                <w:szCs w:val="24"/>
              </w:rPr>
              <w:t>4.5 CSR Variables and Descriptive Statistics</w:t>
            </w:r>
            <w:r>
              <w:rPr>
                <w:rFonts w:ascii="Arial" w:eastAsia="Arial" w:hAnsi="Arial" w:cs="Arial"/>
                <w:color w:val="000000"/>
                <w:sz w:val="24"/>
                <w:szCs w:val="24"/>
              </w:rPr>
              <w:tab/>
            </w:r>
            <w:r w:rsidR="00F650CF">
              <w:rPr>
                <w:rFonts w:ascii="Arial" w:eastAsia="Arial" w:hAnsi="Arial" w:cs="Arial"/>
                <w:color w:val="000000"/>
                <w:sz w:val="24"/>
                <w:szCs w:val="24"/>
              </w:rPr>
              <w:t>49</w:t>
            </w:r>
          </w:hyperlink>
        </w:p>
        <w:p w14:paraId="617476E8" w14:textId="50A69BB5"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pzx9chop1ek4">
            <w:r>
              <w:rPr>
                <w:rFonts w:ascii="Arial" w:eastAsia="Arial" w:hAnsi="Arial" w:cs="Arial"/>
                <w:color w:val="000000"/>
                <w:sz w:val="24"/>
                <w:szCs w:val="24"/>
              </w:rPr>
              <w:t>4.5.1 CSR Variables Influencing Purchase Decisions</w:t>
            </w:r>
            <w:r>
              <w:rPr>
                <w:rFonts w:ascii="Arial" w:eastAsia="Arial" w:hAnsi="Arial" w:cs="Arial"/>
                <w:color w:val="000000"/>
                <w:sz w:val="24"/>
                <w:szCs w:val="24"/>
              </w:rPr>
              <w:tab/>
            </w:r>
            <w:r w:rsidR="00F650CF">
              <w:rPr>
                <w:rFonts w:ascii="Arial" w:eastAsia="Arial" w:hAnsi="Arial" w:cs="Arial"/>
                <w:color w:val="000000"/>
                <w:sz w:val="24"/>
                <w:szCs w:val="24"/>
              </w:rPr>
              <w:t>49</w:t>
            </w:r>
          </w:hyperlink>
        </w:p>
        <w:p w14:paraId="4C028184" w14:textId="1295A5FF"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owrqzl333kia">
            <w:r>
              <w:rPr>
                <w:rFonts w:ascii="Arial" w:eastAsia="Arial" w:hAnsi="Arial" w:cs="Arial"/>
                <w:color w:val="000000"/>
                <w:sz w:val="24"/>
                <w:szCs w:val="24"/>
              </w:rPr>
              <w:t>4.5.2 Descriptive Statistics</w:t>
            </w:r>
            <w:r>
              <w:rPr>
                <w:rFonts w:ascii="Arial" w:eastAsia="Arial" w:hAnsi="Arial" w:cs="Arial"/>
                <w:color w:val="000000"/>
                <w:sz w:val="24"/>
                <w:szCs w:val="24"/>
              </w:rPr>
              <w:tab/>
            </w:r>
            <w:r w:rsidR="00F650CF">
              <w:rPr>
                <w:rFonts w:ascii="Arial" w:eastAsia="Arial" w:hAnsi="Arial" w:cs="Arial"/>
                <w:color w:val="000000"/>
                <w:sz w:val="24"/>
                <w:szCs w:val="24"/>
              </w:rPr>
              <w:t>49</w:t>
            </w:r>
          </w:hyperlink>
        </w:p>
        <w:p w14:paraId="172F79A0" w14:textId="3CD9DB83"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h3dimfiuap20">
            <w:r>
              <w:rPr>
                <w:rFonts w:ascii="Arial" w:eastAsia="Arial" w:hAnsi="Arial" w:cs="Arial"/>
                <w:color w:val="000000"/>
                <w:sz w:val="24"/>
                <w:szCs w:val="24"/>
              </w:rPr>
              <w:t>4.6 Regression Analysis and Interpretation</w:t>
            </w:r>
            <w:r>
              <w:rPr>
                <w:rFonts w:ascii="Arial" w:eastAsia="Arial" w:hAnsi="Arial" w:cs="Arial"/>
                <w:color w:val="000000"/>
                <w:sz w:val="24"/>
                <w:szCs w:val="24"/>
              </w:rPr>
              <w:tab/>
            </w:r>
            <w:r w:rsidR="00F650CF">
              <w:rPr>
                <w:rFonts w:ascii="Arial" w:eastAsia="Arial" w:hAnsi="Arial" w:cs="Arial"/>
                <w:color w:val="000000"/>
                <w:sz w:val="24"/>
                <w:szCs w:val="24"/>
              </w:rPr>
              <w:t>50</w:t>
            </w:r>
          </w:hyperlink>
        </w:p>
        <w:p w14:paraId="1359AC58" w14:textId="2347917E"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vfzo5pqz0s22">
            <w:r>
              <w:rPr>
                <w:rFonts w:ascii="Arial" w:eastAsia="Arial" w:hAnsi="Arial" w:cs="Arial"/>
                <w:color w:val="000000"/>
                <w:sz w:val="24"/>
                <w:szCs w:val="24"/>
              </w:rPr>
              <w:t>4.7 Demographic Analysis</w:t>
            </w:r>
            <w:r>
              <w:rPr>
                <w:rFonts w:ascii="Arial" w:eastAsia="Arial" w:hAnsi="Arial" w:cs="Arial"/>
                <w:color w:val="000000"/>
                <w:sz w:val="24"/>
                <w:szCs w:val="24"/>
              </w:rPr>
              <w:tab/>
            </w:r>
            <w:r w:rsidR="00F650CF">
              <w:rPr>
                <w:rFonts w:ascii="Arial" w:eastAsia="Arial" w:hAnsi="Arial" w:cs="Arial"/>
                <w:color w:val="000000"/>
                <w:sz w:val="24"/>
                <w:szCs w:val="24"/>
              </w:rPr>
              <w:t>51</w:t>
            </w:r>
          </w:hyperlink>
        </w:p>
        <w:p w14:paraId="72356ECD" w14:textId="5876C933"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swkjjzgthmux">
            <w:r>
              <w:rPr>
                <w:rFonts w:ascii="Arial" w:eastAsia="Arial" w:hAnsi="Arial" w:cs="Arial"/>
                <w:color w:val="000000"/>
                <w:sz w:val="24"/>
                <w:szCs w:val="24"/>
              </w:rPr>
              <w:t>4.7.1 Age-Based Differences</w:t>
            </w:r>
            <w:r>
              <w:rPr>
                <w:rFonts w:ascii="Arial" w:eastAsia="Arial" w:hAnsi="Arial" w:cs="Arial"/>
                <w:color w:val="000000"/>
                <w:sz w:val="24"/>
                <w:szCs w:val="24"/>
              </w:rPr>
              <w:tab/>
            </w:r>
            <w:r w:rsidR="00F650CF">
              <w:rPr>
                <w:rFonts w:ascii="Arial" w:eastAsia="Arial" w:hAnsi="Arial" w:cs="Arial"/>
                <w:color w:val="000000"/>
                <w:sz w:val="24"/>
                <w:szCs w:val="24"/>
              </w:rPr>
              <w:t>51</w:t>
            </w:r>
          </w:hyperlink>
        </w:p>
        <w:p w14:paraId="06E8AF94" w14:textId="4FB28C0D"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qtfanhyij6ry">
            <w:r>
              <w:rPr>
                <w:rFonts w:ascii="Arial" w:eastAsia="Arial" w:hAnsi="Arial" w:cs="Arial"/>
                <w:color w:val="000000"/>
                <w:sz w:val="24"/>
                <w:szCs w:val="24"/>
              </w:rPr>
              <w:t>4.7.2 Income-Based Differences</w:t>
            </w:r>
            <w:r>
              <w:rPr>
                <w:rFonts w:ascii="Arial" w:eastAsia="Arial" w:hAnsi="Arial" w:cs="Arial"/>
                <w:color w:val="000000"/>
                <w:sz w:val="24"/>
                <w:szCs w:val="24"/>
              </w:rPr>
              <w:tab/>
            </w:r>
            <w:r w:rsidR="00F650CF">
              <w:rPr>
                <w:rFonts w:ascii="Arial" w:eastAsia="Arial" w:hAnsi="Arial" w:cs="Arial"/>
                <w:color w:val="000000"/>
                <w:sz w:val="24"/>
                <w:szCs w:val="24"/>
              </w:rPr>
              <w:t>51</w:t>
            </w:r>
          </w:hyperlink>
        </w:p>
        <w:p w14:paraId="27A4730B" w14:textId="01F526C6"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x0jp9mbysqky">
            <w:r>
              <w:rPr>
                <w:rFonts w:ascii="Arial" w:eastAsia="Arial" w:hAnsi="Arial" w:cs="Arial"/>
                <w:color w:val="000000"/>
                <w:sz w:val="24"/>
                <w:szCs w:val="24"/>
              </w:rPr>
              <w:t>4.8 Key Patterns Identified</w:t>
            </w:r>
            <w:r>
              <w:rPr>
                <w:rFonts w:ascii="Arial" w:eastAsia="Arial" w:hAnsi="Arial" w:cs="Arial"/>
                <w:color w:val="000000"/>
                <w:sz w:val="24"/>
                <w:szCs w:val="24"/>
              </w:rPr>
              <w:tab/>
            </w:r>
            <w:r w:rsidR="00F650CF">
              <w:rPr>
                <w:rFonts w:ascii="Arial" w:eastAsia="Arial" w:hAnsi="Arial" w:cs="Arial"/>
                <w:color w:val="000000"/>
                <w:sz w:val="24"/>
                <w:szCs w:val="24"/>
              </w:rPr>
              <w:t>53</w:t>
            </w:r>
          </w:hyperlink>
        </w:p>
        <w:p w14:paraId="6ADE4243" w14:textId="3B9CB56A"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328y8ry0uzyv">
            <w:r>
              <w:rPr>
                <w:rFonts w:ascii="Arial" w:eastAsia="Arial" w:hAnsi="Arial" w:cs="Arial"/>
                <w:color w:val="000000"/>
                <w:sz w:val="24"/>
                <w:szCs w:val="24"/>
              </w:rPr>
              <w:t>4.9 Limitations in Data Analysis</w:t>
            </w:r>
            <w:r>
              <w:rPr>
                <w:rFonts w:ascii="Arial" w:eastAsia="Arial" w:hAnsi="Arial" w:cs="Arial"/>
                <w:color w:val="000000"/>
                <w:sz w:val="24"/>
                <w:szCs w:val="24"/>
              </w:rPr>
              <w:tab/>
            </w:r>
            <w:r w:rsidR="00F650CF">
              <w:rPr>
                <w:rFonts w:ascii="Arial" w:eastAsia="Arial" w:hAnsi="Arial" w:cs="Arial"/>
                <w:color w:val="000000"/>
                <w:sz w:val="24"/>
                <w:szCs w:val="24"/>
              </w:rPr>
              <w:t>54</w:t>
            </w:r>
          </w:hyperlink>
        </w:p>
        <w:p w14:paraId="6BA0F94D" w14:textId="649AE94E"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cg5kx5m96vqq">
            <w:r>
              <w:rPr>
                <w:rFonts w:ascii="Arial" w:eastAsia="Arial" w:hAnsi="Arial" w:cs="Arial"/>
                <w:color w:val="000000"/>
                <w:sz w:val="24"/>
                <w:szCs w:val="24"/>
              </w:rPr>
              <w:t>4.10 Chapter Summary</w:t>
            </w:r>
            <w:r>
              <w:rPr>
                <w:rFonts w:ascii="Arial" w:eastAsia="Arial" w:hAnsi="Arial" w:cs="Arial"/>
                <w:color w:val="000000"/>
                <w:sz w:val="24"/>
                <w:szCs w:val="24"/>
              </w:rPr>
              <w:tab/>
            </w:r>
            <w:r w:rsidR="00F650CF">
              <w:rPr>
                <w:rFonts w:ascii="Arial" w:eastAsia="Arial" w:hAnsi="Arial" w:cs="Arial"/>
                <w:color w:val="000000"/>
                <w:sz w:val="24"/>
                <w:szCs w:val="24"/>
              </w:rPr>
              <w:t>54</w:t>
            </w:r>
          </w:hyperlink>
        </w:p>
        <w:p w14:paraId="1988EDA5" w14:textId="77777777" w:rsidR="00720726" w:rsidRDefault="00720726">
          <w:pPr>
            <w:widowControl w:val="0"/>
            <w:tabs>
              <w:tab w:val="right" w:leader="dot" w:pos="12000"/>
            </w:tabs>
            <w:spacing w:before="60" w:after="0" w:line="240" w:lineRule="auto"/>
            <w:rPr>
              <w:rFonts w:ascii="Arial" w:eastAsia="Arial" w:hAnsi="Arial" w:cs="Arial"/>
              <w:b/>
              <w:bCs/>
              <w:color w:val="000000"/>
            </w:rPr>
          </w:pPr>
          <w:hyperlink w:anchor="_wle3sb2t8zp9">
            <w:r>
              <w:rPr>
                <w:rFonts w:ascii="Arial" w:eastAsia="Arial" w:hAnsi="Arial" w:cs="Arial"/>
                <w:color w:val="000000"/>
                <w:sz w:val="24"/>
                <w:szCs w:val="24"/>
              </w:rPr>
              <w:t>CHAPTER 5: DISCUSSION</w:t>
            </w:r>
            <w:r>
              <w:rPr>
                <w:rFonts w:ascii="Arial" w:eastAsia="Arial" w:hAnsi="Arial" w:cs="Arial"/>
                <w:color w:val="000000"/>
                <w:sz w:val="24"/>
                <w:szCs w:val="24"/>
              </w:rPr>
              <w:tab/>
              <w:t>55</w:t>
            </w:r>
          </w:hyperlink>
        </w:p>
        <w:p w14:paraId="3511915C" w14:textId="7777777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7va7vo5ckf6f">
            <w:r>
              <w:rPr>
                <w:rFonts w:ascii="Arial" w:eastAsia="Arial" w:hAnsi="Arial" w:cs="Arial"/>
                <w:color w:val="000000"/>
                <w:sz w:val="24"/>
                <w:szCs w:val="24"/>
              </w:rPr>
              <w:t>5.1 Introduction</w:t>
            </w:r>
            <w:r>
              <w:rPr>
                <w:rFonts w:ascii="Arial" w:eastAsia="Arial" w:hAnsi="Arial" w:cs="Arial"/>
                <w:color w:val="000000"/>
                <w:sz w:val="24"/>
                <w:szCs w:val="24"/>
              </w:rPr>
              <w:tab/>
              <w:t>55</w:t>
            </w:r>
          </w:hyperlink>
        </w:p>
        <w:p w14:paraId="7E0235A8" w14:textId="20E37D72"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61e8efv9hl91">
            <w:r>
              <w:rPr>
                <w:rFonts w:ascii="Arial" w:eastAsia="Arial" w:hAnsi="Arial" w:cs="Arial"/>
                <w:color w:val="000000"/>
                <w:sz w:val="24"/>
                <w:szCs w:val="24"/>
              </w:rPr>
              <w:t>5.2 Discussion of Key Findings</w:t>
            </w:r>
            <w:r>
              <w:rPr>
                <w:rFonts w:ascii="Arial" w:eastAsia="Arial" w:hAnsi="Arial" w:cs="Arial"/>
                <w:color w:val="000000"/>
                <w:sz w:val="24"/>
                <w:szCs w:val="24"/>
              </w:rPr>
              <w:tab/>
            </w:r>
            <w:r w:rsidR="0099301C">
              <w:rPr>
                <w:rFonts w:ascii="Arial" w:eastAsia="Arial" w:hAnsi="Arial" w:cs="Arial"/>
                <w:color w:val="000000"/>
                <w:sz w:val="24"/>
                <w:szCs w:val="24"/>
              </w:rPr>
              <w:t>55</w:t>
            </w:r>
          </w:hyperlink>
        </w:p>
        <w:p w14:paraId="35D179EC" w14:textId="3E6EFDAB"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ee4dlsa5wfjh">
            <w:r>
              <w:rPr>
                <w:rFonts w:ascii="Arial" w:eastAsia="Arial" w:hAnsi="Arial" w:cs="Arial"/>
                <w:color w:val="000000"/>
                <w:sz w:val="24"/>
                <w:szCs w:val="24"/>
              </w:rPr>
              <w:t>5.2.1 CSR Awareness and Consumer Behaviour</w:t>
            </w:r>
            <w:r>
              <w:rPr>
                <w:rFonts w:ascii="Arial" w:eastAsia="Arial" w:hAnsi="Arial" w:cs="Arial"/>
                <w:color w:val="000000"/>
                <w:sz w:val="24"/>
                <w:szCs w:val="24"/>
              </w:rPr>
              <w:tab/>
            </w:r>
            <w:r w:rsidR="0099301C">
              <w:rPr>
                <w:rFonts w:ascii="Arial" w:eastAsia="Arial" w:hAnsi="Arial" w:cs="Arial"/>
                <w:color w:val="000000"/>
                <w:sz w:val="24"/>
                <w:szCs w:val="24"/>
              </w:rPr>
              <w:t>55</w:t>
            </w:r>
          </w:hyperlink>
        </w:p>
        <w:p w14:paraId="403F315E" w14:textId="3E5AF098"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lj3ycbw3dij5">
            <w:r>
              <w:rPr>
                <w:rFonts w:ascii="Arial" w:eastAsia="Arial" w:hAnsi="Arial" w:cs="Arial"/>
                <w:color w:val="000000"/>
                <w:sz w:val="24"/>
                <w:szCs w:val="24"/>
              </w:rPr>
              <w:t>5.2.2 CSR and Purchase Intention</w:t>
            </w:r>
            <w:r>
              <w:rPr>
                <w:rFonts w:ascii="Arial" w:eastAsia="Arial" w:hAnsi="Arial" w:cs="Arial"/>
                <w:color w:val="000000"/>
                <w:sz w:val="24"/>
                <w:szCs w:val="24"/>
              </w:rPr>
              <w:tab/>
            </w:r>
            <w:r w:rsidR="0099301C">
              <w:rPr>
                <w:rFonts w:ascii="Arial" w:eastAsia="Arial" w:hAnsi="Arial" w:cs="Arial"/>
                <w:color w:val="000000"/>
                <w:sz w:val="24"/>
                <w:szCs w:val="24"/>
              </w:rPr>
              <w:t>56</w:t>
            </w:r>
          </w:hyperlink>
        </w:p>
        <w:p w14:paraId="5355CCCC" w14:textId="42717469"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ncwgxz10ax0h">
            <w:r>
              <w:rPr>
                <w:rFonts w:ascii="Arial" w:eastAsia="Arial" w:hAnsi="Arial" w:cs="Arial"/>
                <w:color w:val="000000"/>
                <w:sz w:val="24"/>
                <w:szCs w:val="24"/>
              </w:rPr>
              <w:t>5.2.3 Brand Trust as a Mediating Factor</w:t>
            </w:r>
            <w:r>
              <w:rPr>
                <w:rFonts w:ascii="Arial" w:eastAsia="Arial" w:hAnsi="Arial" w:cs="Arial"/>
                <w:color w:val="000000"/>
                <w:sz w:val="24"/>
                <w:szCs w:val="24"/>
              </w:rPr>
              <w:tab/>
            </w:r>
            <w:r w:rsidR="0099301C">
              <w:rPr>
                <w:rFonts w:ascii="Arial" w:eastAsia="Arial" w:hAnsi="Arial" w:cs="Arial"/>
                <w:color w:val="000000"/>
                <w:sz w:val="24"/>
                <w:szCs w:val="24"/>
              </w:rPr>
              <w:t>57</w:t>
            </w:r>
          </w:hyperlink>
        </w:p>
        <w:p w14:paraId="1D9E8C4C" w14:textId="51348182"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vkzkbexwpn4o">
            <w:r>
              <w:rPr>
                <w:rFonts w:ascii="Arial" w:eastAsia="Arial" w:hAnsi="Arial" w:cs="Arial"/>
                <w:color w:val="000000"/>
                <w:sz w:val="24"/>
                <w:szCs w:val="24"/>
              </w:rPr>
              <w:t>5.2.4 Demographic Differences in CSR Responsiveness</w:t>
            </w:r>
            <w:r>
              <w:rPr>
                <w:rFonts w:ascii="Arial" w:eastAsia="Arial" w:hAnsi="Arial" w:cs="Arial"/>
                <w:color w:val="000000"/>
                <w:sz w:val="24"/>
                <w:szCs w:val="24"/>
              </w:rPr>
              <w:tab/>
            </w:r>
            <w:r w:rsidR="0099301C">
              <w:rPr>
                <w:rFonts w:ascii="Arial" w:eastAsia="Arial" w:hAnsi="Arial" w:cs="Arial"/>
                <w:color w:val="000000"/>
                <w:sz w:val="24"/>
                <w:szCs w:val="24"/>
              </w:rPr>
              <w:t>58</w:t>
            </w:r>
          </w:hyperlink>
        </w:p>
        <w:p w14:paraId="6678FF72" w14:textId="2F3F4517"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v707qbg7cbw1">
            <w:r>
              <w:rPr>
                <w:rFonts w:ascii="Arial" w:eastAsia="Arial" w:hAnsi="Arial" w:cs="Arial"/>
                <w:color w:val="000000"/>
                <w:sz w:val="24"/>
                <w:szCs w:val="24"/>
              </w:rPr>
              <w:t>5.3 Comparison with Existing Literature</w:t>
            </w:r>
            <w:r>
              <w:rPr>
                <w:rFonts w:ascii="Arial" w:eastAsia="Arial" w:hAnsi="Arial" w:cs="Arial"/>
                <w:color w:val="000000"/>
                <w:sz w:val="24"/>
                <w:szCs w:val="24"/>
              </w:rPr>
              <w:tab/>
            </w:r>
            <w:r w:rsidR="0099301C">
              <w:rPr>
                <w:rFonts w:ascii="Arial" w:eastAsia="Arial" w:hAnsi="Arial" w:cs="Arial"/>
                <w:color w:val="000000"/>
                <w:sz w:val="24"/>
                <w:szCs w:val="24"/>
              </w:rPr>
              <w:t>58</w:t>
            </w:r>
          </w:hyperlink>
        </w:p>
        <w:p w14:paraId="4AECAF53" w14:textId="0EBA4163"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rovspw331sfv">
            <w:r>
              <w:rPr>
                <w:rFonts w:ascii="Arial" w:eastAsia="Arial" w:hAnsi="Arial" w:cs="Arial"/>
                <w:color w:val="000000"/>
                <w:sz w:val="24"/>
                <w:szCs w:val="24"/>
              </w:rPr>
              <w:t>5.4 Research Gap Statement</w:t>
            </w:r>
            <w:r>
              <w:rPr>
                <w:rFonts w:ascii="Arial" w:eastAsia="Arial" w:hAnsi="Arial" w:cs="Arial"/>
                <w:color w:val="000000"/>
                <w:sz w:val="24"/>
                <w:szCs w:val="24"/>
              </w:rPr>
              <w:tab/>
            </w:r>
            <w:r w:rsidR="0099301C">
              <w:rPr>
                <w:rFonts w:ascii="Arial" w:eastAsia="Arial" w:hAnsi="Arial" w:cs="Arial"/>
                <w:color w:val="000000"/>
                <w:sz w:val="24"/>
                <w:szCs w:val="24"/>
              </w:rPr>
              <w:t>59</w:t>
            </w:r>
          </w:hyperlink>
        </w:p>
        <w:p w14:paraId="750EE71B" w14:textId="440522CC"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a0h3boent938">
            <w:r>
              <w:rPr>
                <w:rFonts w:ascii="Arial" w:eastAsia="Arial" w:hAnsi="Arial" w:cs="Arial"/>
                <w:color w:val="000000"/>
                <w:sz w:val="24"/>
                <w:szCs w:val="24"/>
              </w:rPr>
              <w:t>5.5 Chapter Summary</w:t>
            </w:r>
            <w:r>
              <w:rPr>
                <w:rFonts w:ascii="Arial" w:eastAsia="Arial" w:hAnsi="Arial" w:cs="Arial"/>
                <w:color w:val="000000"/>
                <w:sz w:val="24"/>
                <w:szCs w:val="24"/>
              </w:rPr>
              <w:tab/>
            </w:r>
            <w:r w:rsidR="0099301C">
              <w:rPr>
                <w:rFonts w:ascii="Arial" w:eastAsia="Arial" w:hAnsi="Arial" w:cs="Arial"/>
                <w:color w:val="000000"/>
                <w:sz w:val="24"/>
                <w:szCs w:val="24"/>
              </w:rPr>
              <w:t>59</w:t>
            </w:r>
          </w:hyperlink>
        </w:p>
        <w:p w14:paraId="57C4DC7C" w14:textId="1EA1EDA3" w:rsidR="00720726" w:rsidRDefault="00720726">
          <w:pPr>
            <w:widowControl w:val="0"/>
            <w:tabs>
              <w:tab w:val="right" w:leader="dot" w:pos="12000"/>
            </w:tabs>
            <w:spacing w:before="60" w:after="0" w:line="240" w:lineRule="auto"/>
            <w:rPr>
              <w:rFonts w:ascii="Arial" w:eastAsia="Arial" w:hAnsi="Arial" w:cs="Arial"/>
              <w:b/>
              <w:bCs/>
              <w:color w:val="000000"/>
            </w:rPr>
          </w:pPr>
          <w:hyperlink w:anchor="_wfve4fwoczq">
            <w:r>
              <w:rPr>
                <w:rFonts w:ascii="Arial" w:eastAsia="Arial" w:hAnsi="Arial" w:cs="Arial"/>
                <w:color w:val="000000"/>
                <w:sz w:val="24"/>
                <w:szCs w:val="24"/>
              </w:rPr>
              <w:t>CHAPTER 6: CONCLUSION &amp; RECOMMENDATIONS</w:t>
            </w:r>
            <w:r>
              <w:rPr>
                <w:rFonts w:ascii="Arial" w:eastAsia="Arial" w:hAnsi="Arial" w:cs="Arial"/>
                <w:color w:val="000000"/>
                <w:sz w:val="24"/>
                <w:szCs w:val="24"/>
              </w:rPr>
              <w:tab/>
            </w:r>
            <w:r w:rsidR="0099301C">
              <w:rPr>
                <w:rFonts w:ascii="Arial" w:eastAsia="Arial" w:hAnsi="Arial" w:cs="Arial"/>
                <w:color w:val="000000"/>
                <w:sz w:val="24"/>
                <w:szCs w:val="24"/>
              </w:rPr>
              <w:t>60</w:t>
            </w:r>
          </w:hyperlink>
        </w:p>
        <w:p w14:paraId="364B6D9E" w14:textId="4B35608B"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a9bwmk1tck47">
            <w:r>
              <w:rPr>
                <w:rFonts w:ascii="Arial" w:eastAsia="Arial" w:hAnsi="Arial" w:cs="Arial"/>
                <w:color w:val="000000"/>
                <w:sz w:val="24"/>
                <w:szCs w:val="24"/>
              </w:rPr>
              <w:t>6.1 Introduction</w:t>
            </w:r>
            <w:r>
              <w:rPr>
                <w:rFonts w:ascii="Arial" w:eastAsia="Arial" w:hAnsi="Arial" w:cs="Arial"/>
                <w:color w:val="000000"/>
                <w:sz w:val="24"/>
                <w:szCs w:val="24"/>
              </w:rPr>
              <w:tab/>
            </w:r>
            <w:r w:rsidR="0099301C">
              <w:rPr>
                <w:rFonts w:ascii="Arial" w:eastAsia="Arial" w:hAnsi="Arial" w:cs="Arial"/>
                <w:color w:val="000000"/>
                <w:sz w:val="24"/>
                <w:szCs w:val="24"/>
              </w:rPr>
              <w:t>60</w:t>
            </w:r>
          </w:hyperlink>
        </w:p>
        <w:p w14:paraId="06B927CF" w14:textId="667964CB"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jnneaexzcfs3">
            <w:r>
              <w:rPr>
                <w:rFonts w:ascii="Arial" w:eastAsia="Arial" w:hAnsi="Arial" w:cs="Arial"/>
                <w:color w:val="000000"/>
                <w:sz w:val="24"/>
                <w:szCs w:val="24"/>
              </w:rPr>
              <w:t>6.2 Summary of Key Findings According to Research Objectives</w:t>
            </w:r>
            <w:r>
              <w:rPr>
                <w:rFonts w:ascii="Arial" w:eastAsia="Arial" w:hAnsi="Arial" w:cs="Arial"/>
                <w:color w:val="000000"/>
                <w:sz w:val="24"/>
                <w:szCs w:val="24"/>
              </w:rPr>
              <w:tab/>
            </w:r>
            <w:r w:rsidR="0099301C">
              <w:rPr>
                <w:rFonts w:ascii="Arial" w:eastAsia="Arial" w:hAnsi="Arial" w:cs="Arial"/>
                <w:color w:val="000000"/>
                <w:sz w:val="24"/>
                <w:szCs w:val="24"/>
              </w:rPr>
              <w:t>60</w:t>
            </w:r>
          </w:hyperlink>
        </w:p>
        <w:p w14:paraId="0838E8C6" w14:textId="2A8BF68F"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yjy1a75rwzts">
            <w:r>
              <w:rPr>
                <w:rFonts w:ascii="Arial" w:eastAsia="Arial" w:hAnsi="Arial" w:cs="Arial"/>
                <w:color w:val="000000"/>
                <w:sz w:val="24"/>
                <w:szCs w:val="24"/>
              </w:rPr>
              <w:t>6.3 Overall Conclusion</w:t>
            </w:r>
            <w:r>
              <w:rPr>
                <w:rFonts w:ascii="Arial" w:eastAsia="Arial" w:hAnsi="Arial" w:cs="Arial"/>
                <w:color w:val="000000"/>
                <w:sz w:val="24"/>
                <w:szCs w:val="24"/>
              </w:rPr>
              <w:tab/>
            </w:r>
            <w:r w:rsidR="0099301C">
              <w:rPr>
                <w:rFonts w:ascii="Arial" w:eastAsia="Arial" w:hAnsi="Arial" w:cs="Arial"/>
                <w:color w:val="000000"/>
                <w:sz w:val="24"/>
                <w:szCs w:val="24"/>
              </w:rPr>
              <w:t>62</w:t>
            </w:r>
          </w:hyperlink>
        </w:p>
        <w:p w14:paraId="0A46ACBB" w14:textId="4BB45DF6"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2kf8cb5nfwzw">
            <w:r>
              <w:rPr>
                <w:rFonts w:ascii="Arial" w:eastAsia="Arial" w:hAnsi="Arial" w:cs="Arial"/>
                <w:color w:val="000000"/>
                <w:sz w:val="24"/>
                <w:szCs w:val="24"/>
              </w:rPr>
              <w:t>6.4 Recommendations</w:t>
            </w:r>
            <w:r>
              <w:rPr>
                <w:rFonts w:ascii="Arial" w:eastAsia="Arial" w:hAnsi="Arial" w:cs="Arial"/>
                <w:color w:val="000000"/>
                <w:sz w:val="24"/>
                <w:szCs w:val="24"/>
              </w:rPr>
              <w:tab/>
            </w:r>
            <w:r w:rsidR="0099301C">
              <w:rPr>
                <w:rFonts w:ascii="Arial" w:eastAsia="Arial" w:hAnsi="Arial" w:cs="Arial"/>
                <w:color w:val="000000"/>
                <w:sz w:val="24"/>
                <w:szCs w:val="24"/>
              </w:rPr>
              <w:t>62</w:t>
            </w:r>
          </w:hyperlink>
        </w:p>
        <w:p w14:paraId="545D2945" w14:textId="6CD7CBDC"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3s83ct9xubi5">
            <w:r>
              <w:rPr>
                <w:rFonts w:ascii="Arial" w:eastAsia="Arial" w:hAnsi="Arial" w:cs="Arial"/>
                <w:color w:val="000000"/>
                <w:sz w:val="24"/>
                <w:szCs w:val="24"/>
              </w:rPr>
              <w:t>6.5 Limitations</w:t>
            </w:r>
            <w:r>
              <w:rPr>
                <w:rFonts w:ascii="Arial" w:eastAsia="Arial" w:hAnsi="Arial" w:cs="Arial"/>
                <w:color w:val="000000"/>
                <w:sz w:val="24"/>
                <w:szCs w:val="24"/>
              </w:rPr>
              <w:tab/>
            </w:r>
            <w:r w:rsidR="0099301C">
              <w:rPr>
                <w:rFonts w:ascii="Arial" w:eastAsia="Arial" w:hAnsi="Arial" w:cs="Arial"/>
                <w:color w:val="000000"/>
                <w:sz w:val="24"/>
                <w:szCs w:val="24"/>
              </w:rPr>
              <w:t>63</w:t>
            </w:r>
          </w:hyperlink>
        </w:p>
        <w:p w14:paraId="150523C5" w14:textId="79261DCF"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c7kexyarcgev">
            <w:r>
              <w:rPr>
                <w:rFonts w:ascii="Arial" w:eastAsia="Arial" w:hAnsi="Arial" w:cs="Arial"/>
                <w:color w:val="000000"/>
                <w:sz w:val="24"/>
                <w:szCs w:val="24"/>
              </w:rPr>
              <w:t>6.5.1 Sample size and generalisability.</w:t>
            </w:r>
            <w:r>
              <w:rPr>
                <w:rFonts w:ascii="Arial" w:eastAsia="Arial" w:hAnsi="Arial" w:cs="Arial"/>
                <w:color w:val="000000"/>
                <w:sz w:val="24"/>
                <w:szCs w:val="24"/>
              </w:rPr>
              <w:tab/>
            </w:r>
            <w:r w:rsidR="0099301C">
              <w:rPr>
                <w:rFonts w:ascii="Arial" w:eastAsia="Arial" w:hAnsi="Arial" w:cs="Arial"/>
                <w:color w:val="000000"/>
                <w:sz w:val="24"/>
                <w:szCs w:val="24"/>
              </w:rPr>
              <w:t>63</w:t>
            </w:r>
          </w:hyperlink>
        </w:p>
        <w:p w14:paraId="0139FF08" w14:textId="161915B7"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72w2y0ctkm5n">
            <w:r>
              <w:rPr>
                <w:rFonts w:ascii="Arial" w:eastAsia="Arial" w:hAnsi="Arial" w:cs="Arial"/>
                <w:color w:val="000000"/>
                <w:sz w:val="24"/>
                <w:szCs w:val="24"/>
              </w:rPr>
              <w:t>6.5.2 Self-Reported Data Bias</w:t>
            </w:r>
            <w:r>
              <w:rPr>
                <w:rFonts w:ascii="Arial" w:eastAsia="Arial" w:hAnsi="Arial" w:cs="Arial"/>
                <w:color w:val="000000"/>
                <w:sz w:val="24"/>
                <w:szCs w:val="24"/>
              </w:rPr>
              <w:tab/>
            </w:r>
            <w:r w:rsidR="0099301C">
              <w:rPr>
                <w:rFonts w:ascii="Arial" w:eastAsia="Arial" w:hAnsi="Arial" w:cs="Arial"/>
                <w:color w:val="000000"/>
                <w:sz w:val="24"/>
                <w:szCs w:val="24"/>
              </w:rPr>
              <w:t>64</w:t>
            </w:r>
          </w:hyperlink>
        </w:p>
        <w:p w14:paraId="28F98DCE" w14:textId="6F231CB0"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70jp7e35q0lk">
            <w:r>
              <w:rPr>
                <w:rFonts w:ascii="Arial" w:eastAsia="Arial" w:hAnsi="Arial" w:cs="Arial"/>
                <w:color w:val="000000"/>
                <w:sz w:val="24"/>
                <w:szCs w:val="24"/>
              </w:rPr>
              <w:t>6.5.3 Cross-Sectional Research Design</w:t>
            </w:r>
            <w:r>
              <w:rPr>
                <w:rFonts w:ascii="Arial" w:eastAsia="Arial" w:hAnsi="Arial" w:cs="Arial"/>
                <w:color w:val="000000"/>
                <w:sz w:val="24"/>
                <w:szCs w:val="24"/>
              </w:rPr>
              <w:tab/>
            </w:r>
            <w:r w:rsidR="0099301C">
              <w:rPr>
                <w:rFonts w:ascii="Arial" w:eastAsia="Arial" w:hAnsi="Arial" w:cs="Arial"/>
                <w:color w:val="000000"/>
                <w:sz w:val="24"/>
                <w:szCs w:val="24"/>
              </w:rPr>
              <w:t>64</w:t>
            </w:r>
          </w:hyperlink>
        </w:p>
        <w:p w14:paraId="08C1DEA6" w14:textId="3F171E08"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flio9ml82v8m">
            <w:r>
              <w:rPr>
                <w:rFonts w:ascii="Arial" w:eastAsia="Arial" w:hAnsi="Arial" w:cs="Arial"/>
                <w:color w:val="000000"/>
                <w:sz w:val="24"/>
                <w:szCs w:val="24"/>
              </w:rPr>
              <w:t>6.5.4 Limited Variables Considered</w:t>
            </w:r>
            <w:r>
              <w:rPr>
                <w:rFonts w:ascii="Arial" w:eastAsia="Arial" w:hAnsi="Arial" w:cs="Arial"/>
                <w:color w:val="000000"/>
                <w:sz w:val="24"/>
                <w:szCs w:val="24"/>
              </w:rPr>
              <w:tab/>
            </w:r>
            <w:r w:rsidR="0099301C">
              <w:rPr>
                <w:rFonts w:ascii="Arial" w:eastAsia="Arial" w:hAnsi="Arial" w:cs="Arial"/>
                <w:color w:val="000000"/>
                <w:sz w:val="24"/>
                <w:szCs w:val="24"/>
              </w:rPr>
              <w:t>64</w:t>
            </w:r>
          </w:hyperlink>
        </w:p>
        <w:p w14:paraId="108737DF" w14:textId="730E0C1B"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t6qldsqo1i5z">
            <w:r>
              <w:rPr>
                <w:rFonts w:ascii="Arial" w:eastAsia="Arial" w:hAnsi="Arial" w:cs="Arial"/>
                <w:color w:val="000000"/>
                <w:sz w:val="24"/>
                <w:szCs w:val="24"/>
              </w:rPr>
              <w:t>6.5.5 Methodological Constraints</w:t>
            </w:r>
            <w:r>
              <w:rPr>
                <w:rFonts w:ascii="Arial" w:eastAsia="Arial" w:hAnsi="Arial" w:cs="Arial"/>
                <w:color w:val="000000"/>
                <w:sz w:val="24"/>
                <w:szCs w:val="24"/>
              </w:rPr>
              <w:tab/>
            </w:r>
            <w:r w:rsidR="0099301C">
              <w:rPr>
                <w:rFonts w:ascii="Arial" w:eastAsia="Arial" w:hAnsi="Arial" w:cs="Arial"/>
                <w:color w:val="000000"/>
                <w:sz w:val="24"/>
                <w:szCs w:val="24"/>
              </w:rPr>
              <w:t>64</w:t>
            </w:r>
          </w:hyperlink>
        </w:p>
        <w:p w14:paraId="2E7732A1" w14:textId="6ED00268"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40itxvbwr3kw">
            <w:r>
              <w:rPr>
                <w:rFonts w:ascii="Arial" w:eastAsia="Arial" w:hAnsi="Arial" w:cs="Arial"/>
                <w:color w:val="000000"/>
                <w:sz w:val="24"/>
                <w:szCs w:val="24"/>
              </w:rPr>
              <w:t>6.6. Recommendations for future studies.</w:t>
            </w:r>
            <w:r>
              <w:rPr>
                <w:rFonts w:ascii="Arial" w:eastAsia="Arial" w:hAnsi="Arial" w:cs="Arial"/>
                <w:color w:val="000000"/>
                <w:sz w:val="24"/>
                <w:szCs w:val="24"/>
              </w:rPr>
              <w:tab/>
            </w:r>
            <w:r w:rsidR="001707C5">
              <w:rPr>
                <w:rFonts w:ascii="Arial" w:eastAsia="Arial" w:hAnsi="Arial" w:cs="Arial"/>
                <w:color w:val="000000"/>
                <w:sz w:val="24"/>
                <w:szCs w:val="24"/>
              </w:rPr>
              <w:t>65</w:t>
            </w:r>
          </w:hyperlink>
        </w:p>
        <w:p w14:paraId="2DDE06B2" w14:textId="047ECA51"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z743nzlq4cx8">
            <w:r>
              <w:rPr>
                <w:rFonts w:ascii="Arial" w:eastAsia="Arial" w:hAnsi="Arial" w:cs="Arial"/>
                <w:color w:val="000000"/>
                <w:sz w:val="24"/>
                <w:szCs w:val="24"/>
              </w:rPr>
              <w:t>6.6.1 Longitudinal Studies</w:t>
            </w:r>
            <w:r>
              <w:rPr>
                <w:rFonts w:ascii="Arial" w:eastAsia="Arial" w:hAnsi="Arial" w:cs="Arial"/>
                <w:color w:val="000000"/>
                <w:sz w:val="24"/>
                <w:szCs w:val="24"/>
              </w:rPr>
              <w:tab/>
            </w:r>
            <w:r w:rsidR="001707C5">
              <w:rPr>
                <w:rFonts w:ascii="Arial" w:eastAsia="Arial" w:hAnsi="Arial" w:cs="Arial"/>
                <w:color w:val="000000"/>
                <w:sz w:val="24"/>
                <w:szCs w:val="24"/>
              </w:rPr>
              <w:t>65</w:t>
            </w:r>
          </w:hyperlink>
        </w:p>
        <w:p w14:paraId="39B39F56" w14:textId="5C89D7D0"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wd4074e60d86">
            <w:r>
              <w:rPr>
                <w:rFonts w:ascii="Arial" w:eastAsia="Arial" w:hAnsi="Arial" w:cs="Arial"/>
                <w:color w:val="000000"/>
                <w:sz w:val="24"/>
                <w:szCs w:val="24"/>
              </w:rPr>
              <w:t>6.6.2 Mixed-Methods Approaches</w:t>
            </w:r>
            <w:r>
              <w:rPr>
                <w:rFonts w:ascii="Arial" w:eastAsia="Arial" w:hAnsi="Arial" w:cs="Arial"/>
                <w:color w:val="000000"/>
                <w:sz w:val="24"/>
                <w:szCs w:val="24"/>
              </w:rPr>
              <w:tab/>
            </w:r>
            <w:r w:rsidR="001707C5">
              <w:rPr>
                <w:rFonts w:ascii="Arial" w:eastAsia="Arial" w:hAnsi="Arial" w:cs="Arial"/>
                <w:color w:val="000000"/>
                <w:sz w:val="24"/>
                <w:szCs w:val="24"/>
              </w:rPr>
              <w:t>65</w:t>
            </w:r>
          </w:hyperlink>
        </w:p>
        <w:p w14:paraId="3AF47F12" w14:textId="2C41EA6A"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nmoz6jk2gqkh">
            <w:r>
              <w:rPr>
                <w:rFonts w:ascii="Arial" w:eastAsia="Arial" w:hAnsi="Arial" w:cs="Arial"/>
                <w:color w:val="000000"/>
                <w:sz w:val="24"/>
                <w:szCs w:val="24"/>
              </w:rPr>
              <w:t>6.6.3 Broader Geographical Scope</w:t>
            </w:r>
            <w:r>
              <w:rPr>
                <w:rFonts w:ascii="Arial" w:eastAsia="Arial" w:hAnsi="Arial" w:cs="Arial"/>
                <w:color w:val="000000"/>
                <w:sz w:val="24"/>
                <w:szCs w:val="24"/>
              </w:rPr>
              <w:tab/>
            </w:r>
            <w:r w:rsidR="001707C5">
              <w:rPr>
                <w:rFonts w:ascii="Arial" w:eastAsia="Arial" w:hAnsi="Arial" w:cs="Arial"/>
                <w:color w:val="000000"/>
                <w:sz w:val="24"/>
                <w:szCs w:val="24"/>
              </w:rPr>
              <w:t>65</w:t>
            </w:r>
          </w:hyperlink>
        </w:p>
        <w:p w14:paraId="50BBA902" w14:textId="34AAA90F"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hq98hh3lnx5z">
            <w:r>
              <w:rPr>
                <w:rFonts w:ascii="Arial" w:eastAsia="Arial" w:hAnsi="Arial" w:cs="Arial"/>
                <w:color w:val="000000"/>
                <w:sz w:val="24"/>
                <w:szCs w:val="24"/>
              </w:rPr>
              <w:t>6.6.4 Discussion of Other Variables.</w:t>
            </w:r>
            <w:r>
              <w:rPr>
                <w:rFonts w:ascii="Arial" w:eastAsia="Arial" w:hAnsi="Arial" w:cs="Arial"/>
                <w:color w:val="000000"/>
                <w:sz w:val="24"/>
                <w:szCs w:val="24"/>
              </w:rPr>
              <w:tab/>
            </w:r>
            <w:r w:rsidR="001707C5">
              <w:rPr>
                <w:rFonts w:ascii="Arial" w:eastAsia="Arial" w:hAnsi="Arial" w:cs="Arial"/>
                <w:color w:val="000000"/>
                <w:sz w:val="24"/>
                <w:szCs w:val="24"/>
              </w:rPr>
              <w:t>66</w:t>
            </w:r>
          </w:hyperlink>
        </w:p>
        <w:p w14:paraId="4A4F98E7" w14:textId="6C4C39EC" w:rsidR="00720726" w:rsidRDefault="00720726">
          <w:pPr>
            <w:widowControl w:val="0"/>
            <w:tabs>
              <w:tab w:val="right" w:leader="dot" w:pos="12000"/>
            </w:tabs>
            <w:spacing w:before="60" w:after="0" w:line="240" w:lineRule="auto"/>
            <w:ind w:left="720"/>
            <w:rPr>
              <w:rFonts w:ascii="Arial" w:eastAsia="Arial" w:hAnsi="Arial" w:cs="Arial"/>
              <w:color w:val="000000"/>
            </w:rPr>
          </w:pPr>
          <w:hyperlink w:anchor="_tmgwl8nx4vp6">
            <w:r>
              <w:rPr>
                <w:rFonts w:ascii="Arial" w:eastAsia="Arial" w:hAnsi="Arial" w:cs="Arial"/>
                <w:color w:val="000000"/>
                <w:sz w:val="24"/>
                <w:szCs w:val="24"/>
              </w:rPr>
              <w:t>6.6.5 Sector-Specific Comparative Studies</w:t>
            </w:r>
            <w:r>
              <w:rPr>
                <w:rFonts w:ascii="Arial" w:eastAsia="Arial" w:hAnsi="Arial" w:cs="Arial"/>
                <w:color w:val="000000"/>
                <w:sz w:val="24"/>
                <w:szCs w:val="24"/>
              </w:rPr>
              <w:tab/>
            </w:r>
            <w:r w:rsidR="001707C5">
              <w:rPr>
                <w:rFonts w:ascii="Arial" w:eastAsia="Arial" w:hAnsi="Arial" w:cs="Arial"/>
                <w:color w:val="000000"/>
                <w:sz w:val="24"/>
                <w:szCs w:val="24"/>
              </w:rPr>
              <w:t>66</w:t>
            </w:r>
          </w:hyperlink>
        </w:p>
        <w:p w14:paraId="6AA9B453" w14:textId="404794E3"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v726k2bds2t8">
            <w:r>
              <w:rPr>
                <w:rFonts w:ascii="Arial" w:eastAsia="Arial" w:hAnsi="Arial" w:cs="Arial"/>
                <w:color w:val="000000"/>
                <w:sz w:val="24"/>
                <w:szCs w:val="24"/>
              </w:rPr>
              <w:t>6.7 Theoretical Implications</w:t>
            </w:r>
            <w:r>
              <w:rPr>
                <w:rFonts w:ascii="Arial" w:eastAsia="Arial" w:hAnsi="Arial" w:cs="Arial"/>
                <w:color w:val="000000"/>
                <w:sz w:val="24"/>
                <w:szCs w:val="24"/>
              </w:rPr>
              <w:tab/>
            </w:r>
            <w:r w:rsidR="001707C5">
              <w:rPr>
                <w:rFonts w:ascii="Arial" w:eastAsia="Arial" w:hAnsi="Arial" w:cs="Arial"/>
                <w:color w:val="000000"/>
                <w:sz w:val="24"/>
                <w:szCs w:val="24"/>
              </w:rPr>
              <w:t>66</w:t>
            </w:r>
          </w:hyperlink>
        </w:p>
        <w:p w14:paraId="0B77CF43" w14:textId="45A855AB" w:rsidR="00720726" w:rsidRDefault="00720726">
          <w:pPr>
            <w:widowControl w:val="0"/>
            <w:tabs>
              <w:tab w:val="right" w:leader="dot" w:pos="12000"/>
            </w:tabs>
            <w:spacing w:before="60" w:after="0" w:line="240" w:lineRule="auto"/>
            <w:ind w:left="360"/>
            <w:rPr>
              <w:rFonts w:ascii="Arial" w:eastAsia="Arial" w:hAnsi="Arial" w:cs="Arial"/>
              <w:color w:val="000000"/>
            </w:rPr>
          </w:pPr>
          <w:hyperlink w:anchor="_k2umct7e25az">
            <w:r>
              <w:rPr>
                <w:rFonts w:ascii="Arial" w:eastAsia="Arial" w:hAnsi="Arial" w:cs="Arial"/>
                <w:color w:val="000000"/>
                <w:sz w:val="24"/>
                <w:szCs w:val="24"/>
              </w:rPr>
              <w:t>6.8 Managerial Implications</w:t>
            </w:r>
            <w:r>
              <w:rPr>
                <w:rFonts w:ascii="Arial" w:eastAsia="Arial" w:hAnsi="Arial" w:cs="Arial"/>
                <w:color w:val="000000"/>
                <w:sz w:val="24"/>
                <w:szCs w:val="24"/>
              </w:rPr>
              <w:tab/>
            </w:r>
            <w:r w:rsidR="001707C5">
              <w:rPr>
                <w:rFonts w:ascii="Arial" w:eastAsia="Arial" w:hAnsi="Arial" w:cs="Arial"/>
                <w:color w:val="000000"/>
                <w:sz w:val="24"/>
                <w:szCs w:val="24"/>
              </w:rPr>
              <w:t>68</w:t>
            </w:r>
          </w:hyperlink>
        </w:p>
        <w:p w14:paraId="0E570187" w14:textId="6898A2CA" w:rsidR="00720726" w:rsidRDefault="00720726">
          <w:pPr>
            <w:widowControl w:val="0"/>
            <w:tabs>
              <w:tab w:val="right" w:leader="dot" w:pos="12000"/>
            </w:tabs>
            <w:spacing w:before="60" w:after="0" w:line="240" w:lineRule="auto"/>
            <w:rPr>
              <w:rFonts w:ascii="Arial" w:eastAsia="Arial" w:hAnsi="Arial" w:cs="Arial"/>
              <w:b/>
              <w:bCs/>
              <w:color w:val="000000"/>
            </w:rPr>
          </w:pPr>
          <w:hyperlink w:anchor="_ck3bzlk90wn5">
            <w:r>
              <w:rPr>
                <w:rFonts w:ascii="Arial" w:eastAsia="Arial" w:hAnsi="Arial" w:cs="Arial"/>
                <w:color w:val="000000"/>
                <w:sz w:val="24"/>
                <w:szCs w:val="24"/>
              </w:rPr>
              <w:t>References</w:t>
            </w:r>
            <w:r>
              <w:rPr>
                <w:rFonts w:ascii="Arial" w:eastAsia="Arial" w:hAnsi="Arial" w:cs="Arial"/>
                <w:color w:val="000000"/>
                <w:sz w:val="24"/>
                <w:szCs w:val="24"/>
              </w:rPr>
              <w:tab/>
            </w:r>
            <w:r w:rsidR="001707C5">
              <w:rPr>
                <w:rFonts w:ascii="Arial" w:eastAsia="Arial" w:hAnsi="Arial" w:cs="Arial"/>
                <w:color w:val="000000"/>
                <w:sz w:val="24"/>
                <w:szCs w:val="24"/>
              </w:rPr>
              <w:t>70</w:t>
            </w:r>
          </w:hyperlink>
          <w:r>
            <w:fldChar w:fldCharType="end"/>
          </w:r>
        </w:p>
      </w:sdtContent>
    </w:sdt>
    <w:p w14:paraId="3AE256C2" w14:textId="77777777" w:rsidR="00720726" w:rsidRDefault="00000000">
      <w:pPr>
        <w:spacing w:line="360" w:lineRule="auto"/>
        <w:jc w:val="center"/>
        <w:rPr>
          <w:rFonts w:ascii="Arial" w:eastAsia="Arial" w:hAnsi="Arial" w:cs="Arial"/>
          <w:b/>
          <w:bCs/>
          <w:color w:val="000000"/>
          <w:sz w:val="32"/>
          <w:szCs w:val="32"/>
        </w:rPr>
      </w:pPr>
      <w:r>
        <w:rPr>
          <w:rFonts w:ascii="Arial" w:eastAsia="Arial" w:hAnsi="Arial" w:cs="Arial"/>
          <w:b/>
          <w:bCs/>
          <w:color w:val="000000"/>
          <w:sz w:val="32"/>
          <w:szCs w:val="32"/>
        </w:rPr>
        <w:t>Content of Figure</w:t>
      </w:r>
    </w:p>
    <w:sdt>
      <w:sdtPr>
        <w:id w:val="-582192596"/>
        <w:docPartObj>
          <w:docPartGallery w:val="Table of Contents"/>
          <w:docPartUnique/>
        </w:docPartObj>
      </w:sdtPr>
      <w:sdtContent>
        <w:p w14:paraId="18272B98" w14:textId="77777777" w:rsidR="00720726" w:rsidRDefault="00000000">
          <w:pPr>
            <w:pBdr>
              <w:top w:val="nil"/>
              <w:left w:val="nil"/>
              <w:bottom w:val="nil"/>
              <w:right w:val="nil"/>
              <w:between w:val="nil"/>
            </w:pBdr>
            <w:tabs>
              <w:tab w:val="right" w:pos="9016"/>
            </w:tabs>
            <w:spacing w:after="0"/>
            <w:jc w:val="both"/>
            <w:rPr>
              <w:rFonts w:ascii="Arial" w:eastAsia="Arial" w:hAnsi="Arial" w:cs="Arial"/>
              <w:color w:val="000000"/>
              <w:sz w:val="24"/>
              <w:szCs w:val="24"/>
            </w:rPr>
          </w:pPr>
          <w:r>
            <w:fldChar w:fldCharType="begin"/>
          </w:r>
          <w:r>
            <w:instrText xml:space="preserve"> TOC \h \u \z \t "Heading 1,1,Heading 2,2,Heading 3,3,Heading 4,4,Heading 5,5,Heading 6,6,"</w:instrText>
          </w:r>
          <w:r>
            <w:fldChar w:fldCharType="separate"/>
          </w:r>
          <w:hyperlink w:anchor="_9zksh2guay53">
            <w:r w:rsidR="00720726">
              <w:rPr>
                <w:rFonts w:ascii="Arial" w:eastAsia="Arial" w:hAnsi="Arial" w:cs="Arial"/>
                <w:color w:val="000000"/>
                <w:sz w:val="24"/>
                <w:szCs w:val="24"/>
              </w:rPr>
              <w:t>Figure 1: Conceptual Model Linking Social Identity to Consumer Loyalty Through CSR Engagement is ready.</w:t>
            </w:r>
            <w:r w:rsidR="00720726">
              <w:rPr>
                <w:rFonts w:ascii="Arial" w:eastAsia="Arial" w:hAnsi="Arial" w:cs="Arial"/>
                <w:color w:val="000000"/>
                <w:sz w:val="24"/>
                <w:szCs w:val="24"/>
              </w:rPr>
              <w:tab/>
              <w:t>10</w:t>
            </w:r>
          </w:hyperlink>
        </w:p>
        <w:p w14:paraId="31C014E6"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iaa078ymjyo">
            <w:r>
              <w:rPr>
                <w:rFonts w:ascii="Arial" w:eastAsia="Arial" w:hAnsi="Arial" w:cs="Arial"/>
                <w:color w:val="000000"/>
                <w:sz w:val="24"/>
                <w:szCs w:val="24"/>
              </w:rPr>
              <w:t>Figure 2: CSR Signalling Flowchart from Corporate Actions to Consumer Purchase Intention</w:t>
            </w:r>
            <w:r>
              <w:rPr>
                <w:rFonts w:ascii="Arial" w:eastAsia="Arial" w:hAnsi="Arial" w:cs="Arial"/>
                <w:color w:val="000000"/>
                <w:sz w:val="24"/>
                <w:szCs w:val="24"/>
              </w:rPr>
              <w:tab/>
              <w:t>12</w:t>
            </w:r>
          </w:hyperlink>
        </w:p>
        <w:p w14:paraId="30EE9B9D"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jb9b3hmsqhmg">
            <w:r>
              <w:rPr>
                <w:rFonts w:ascii="Arial" w:eastAsia="Arial" w:hAnsi="Arial" w:cs="Arial"/>
                <w:color w:val="000000"/>
                <w:sz w:val="24"/>
                <w:szCs w:val="24"/>
              </w:rPr>
              <w:t>Figure 3: Conceptual model of ethical consumption, linking consumer values → CSR perception → purchase intention</w:t>
            </w:r>
            <w:r>
              <w:rPr>
                <w:rFonts w:ascii="Arial" w:eastAsia="Arial" w:hAnsi="Arial" w:cs="Arial"/>
                <w:color w:val="000000"/>
                <w:sz w:val="24"/>
                <w:szCs w:val="24"/>
              </w:rPr>
              <w:tab/>
              <w:t>14</w:t>
            </w:r>
          </w:hyperlink>
        </w:p>
        <w:p w14:paraId="4CD4AAA1"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pmczqqcnugy3">
            <w:r>
              <w:rPr>
                <w:rFonts w:ascii="Arial" w:eastAsia="Arial" w:hAnsi="Arial" w:cs="Arial"/>
                <w:color w:val="000000"/>
                <w:sz w:val="24"/>
                <w:szCs w:val="24"/>
              </w:rPr>
              <w:t>Figure 4: CSR influence across consumer decision-making stages</w:t>
            </w:r>
            <w:r>
              <w:rPr>
                <w:rFonts w:ascii="Arial" w:eastAsia="Arial" w:hAnsi="Arial" w:cs="Arial"/>
                <w:color w:val="000000"/>
                <w:sz w:val="24"/>
                <w:szCs w:val="24"/>
              </w:rPr>
              <w:tab/>
              <w:t>15</w:t>
            </w:r>
          </w:hyperlink>
        </w:p>
        <w:p w14:paraId="15A2BF1A"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nkh7bd6taw21">
            <w:r>
              <w:rPr>
                <w:rFonts w:ascii="Arial" w:eastAsia="Arial" w:hAnsi="Arial" w:cs="Arial"/>
                <w:color w:val="000000"/>
                <w:sz w:val="24"/>
                <w:szCs w:val="24"/>
              </w:rPr>
              <w:t>Figure 5: Diagram showing CSR activities</w:t>
            </w:r>
            <w:r>
              <w:rPr>
                <w:rFonts w:ascii="Arial" w:eastAsia="Arial" w:hAnsi="Arial" w:cs="Arial"/>
                <w:color w:val="000000"/>
                <w:sz w:val="24"/>
                <w:szCs w:val="24"/>
              </w:rPr>
              <w:tab/>
              <w:t>21</w:t>
            </w:r>
          </w:hyperlink>
        </w:p>
        <w:p w14:paraId="1F8A0F68"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yw517587uh8">
            <w:r>
              <w:rPr>
                <w:rFonts w:ascii="Arial" w:eastAsia="Arial" w:hAnsi="Arial" w:cs="Arial"/>
                <w:color w:val="000000"/>
                <w:sz w:val="24"/>
                <w:szCs w:val="24"/>
              </w:rPr>
              <w:t>Figure 6: Survey Sections and Key Constructs</w:t>
            </w:r>
            <w:r>
              <w:rPr>
                <w:rFonts w:ascii="Arial" w:eastAsia="Arial" w:hAnsi="Arial" w:cs="Arial"/>
                <w:color w:val="000000"/>
                <w:sz w:val="24"/>
                <w:szCs w:val="24"/>
              </w:rPr>
              <w:tab/>
              <w:t>29</w:t>
            </w:r>
          </w:hyperlink>
        </w:p>
        <w:p w14:paraId="0E7DBCC9"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mdclbbukk5eu">
            <w:r>
              <w:rPr>
                <w:rFonts w:ascii="Arial" w:eastAsia="Arial" w:hAnsi="Arial" w:cs="Arial"/>
                <w:color w:val="000000"/>
                <w:sz w:val="24"/>
                <w:szCs w:val="24"/>
              </w:rPr>
              <w:t>Figure 7.. Regression Model for Purchase Intention.Adapted from  “Ajzen (1991); Carroll &amp; Shabana (2010)”.</w:t>
            </w:r>
            <w:r>
              <w:rPr>
                <w:rFonts w:ascii="Arial" w:eastAsia="Arial" w:hAnsi="Arial" w:cs="Arial"/>
                <w:color w:val="000000"/>
                <w:sz w:val="24"/>
                <w:szCs w:val="24"/>
              </w:rPr>
              <w:tab/>
              <w:t>32</w:t>
            </w:r>
          </w:hyperlink>
        </w:p>
        <w:p w14:paraId="08C020BF"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xbjd6ycal8po">
            <w:r>
              <w:rPr>
                <w:rFonts w:ascii="Arial" w:eastAsia="Arial" w:hAnsi="Arial" w:cs="Arial"/>
                <w:color w:val="000000"/>
                <w:sz w:val="24"/>
                <w:szCs w:val="24"/>
              </w:rPr>
              <w:t>Figure 8: CSR Awareness by Age Groups</w:t>
            </w:r>
            <w:r>
              <w:rPr>
                <w:rFonts w:ascii="Arial" w:eastAsia="Arial" w:hAnsi="Arial" w:cs="Arial"/>
                <w:color w:val="000000"/>
                <w:sz w:val="24"/>
                <w:szCs w:val="24"/>
              </w:rPr>
              <w:tab/>
              <w:t>33</w:t>
            </w:r>
          </w:hyperlink>
        </w:p>
        <w:p w14:paraId="4DB4FBEE"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sns9n6x7l3lx">
            <w:r>
              <w:rPr>
                <w:rFonts w:ascii="Arial" w:eastAsia="Arial" w:hAnsi="Arial" w:cs="Arial"/>
                <w:color w:val="000000"/>
                <w:sz w:val="24"/>
                <w:szCs w:val="24"/>
              </w:rPr>
              <w:t>Figure 9.CSR Awareness by Gender</w:t>
            </w:r>
            <w:r>
              <w:rPr>
                <w:rFonts w:ascii="Arial" w:eastAsia="Arial" w:hAnsi="Arial" w:cs="Arial"/>
                <w:color w:val="000000"/>
                <w:sz w:val="24"/>
                <w:szCs w:val="24"/>
              </w:rPr>
              <w:tab/>
              <w:t>34</w:t>
            </w:r>
          </w:hyperlink>
        </w:p>
        <w:p w14:paraId="3331AA4F"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7r8ue5gn88z9">
            <w:r>
              <w:rPr>
                <w:rFonts w:ascii="Arial" w:eastAsia="Arial" w:hAnsi="Arial" w:cs="Arial"/>
                <w:color w:val="000000"/>
                <w:sz w:val="24"/>
                <w:szCs w:val="24"/>
              </w:rPr>
              <w:t>Figure 10.Age distribution of respondents highlighting the dominance of younger age groups (18–35) (Field, 2020).</w:t>
            </w:r>
            <w:r>
              <w:rPr>
                <w:rFonts w:ascii="Arial" w:eastAsia="Arial" w:hAnsi="Arial" w:cs="Arial"/>
                <w:color w:val="000000"/>
                <w:sz w:val="24"/>
                <w:szCs w:val="24"/>
              </w:rPr>
              <w:tab/>
              <w:t>42</w:t>
            </w:r>
          </w:hyperlink>
        </w:p>
        <w:p w14:paraId="135F722B"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j1nyc0ec13la">
            <w:r>
              <w:rPr>
                <w:rFonts w:ascii="Arial" w:eastAsia="Arial" w:hAnsi="Arial" w:cs="Arial"/>
                <w:color w:val="000000"/>
                <w:sz w:val="24"/>
                <w:szCs w:val="24"/>
              </w:rPr>
              <w:t>Figure 11.. Clustered bar chart illustrating CSR influence by age group and income level, highlighting demographic differences in responsiveness to corporate social responsibility initiatives.</w:t>
            </w:r>
            <w:r>
              <w:rPr>
                <w:rFonts w:ascii="Arial" w:eastAsia="Arial" w:hAnsi="Arial" w:cs="Arial"/>
                <w:color w:val="000000"/>
                <w:sz w:val="24"/>
                <w:szCs w:val="24"/>
              </w:rPr>
              <w:tab/>
              <w:t>47</w:t>
            </w:r>
          </w:hyperlink>
        </w:p>
        <w:p w14:paraId="4FAB8A73" w14:textId="77777777" w:rsidR="00720726" w:rsidRDefault="00000000">
          <w:pPr>
            <w:spacing w:line="240" w:lineRule="auto"/>
            <w:jc w:val="both"/>
            <w:rPr>
              <w:rFonts w:ascii="Arial" w:eastAsia="Arial" w:hAnsi="Arial" w:cs="Arial"/>
              <w:color w:val="000000"/>
              <w:sz w:val="24"/>
              <w:szCs w:val="24"/>
            </w:rPr>
          </w:pPr>
          <w:r>
            <w:fldChar w:fldCharType="end"/>
          </w:r>
        </w:p>
      </w:sdtContent>
    </w:sdt>
    <w:p w14:paraId="02EB4BC7" w14:textId="77777777" w:rsidR="00720726" w:rsidRDefault="00000000">
      <w:pP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t>Content of Table</w:t>
      </w:r>
    </w:p>
    <w:sdt>
      <w:sdtPr>
        <w:id w:val="-463945832"/>
        <w:docPartObj>
          <w:docPartGallery w:val="Table of Contents"/>
          <w:docPartUnique/>
        </w:docPartObj>
      </w:sdtPr>
      <w:sdtContent>
        <w:p w14:paraId="17C6B749" w14:textId="77777777" w:rsidR="00720726" w:rsidRDefault="00000000">
          <w:pPr>
            <w:pBdr>
              <w:top w:val="nil"/>
              <w:left w:val="nil"/>
              <w:bottom w:val="nil"/>
              <w:right w:val="nil"/>
              <w:between w:val="nil"/>
            </w:pBdr>
            <w:tabs>
              <w:tab w:val="right" w:pos="9016"/>
            </w:tabs>
            <w:spacing w:after="0"/>
            <w:jc w:val="both"/>
            <w:rPr>
              <w:rFonts w:ascii="Arial" w:eastAsia="Arial" w:hAnsi="Arial" w:cs="Arial"/>
              <w:color w:val="000000"/>
              <w:sz w:val="24"/>
              <w:szCs w:val="24"/>
            </w:rPr>
          </w:pPr>
          <w:r>
            <w:fldChar w:fldCharType="begin"/>
          </w:r>
          <w:r>
            <w:instrText xml:space="preserve"> TOC \h \u \z \t "Heading 1,1,Heading 2,2,Heading 3,3,Heading 4,4,Heading 5,5,Heading 6,6,"</w:instrText>
          </w:r>
          <w:r>
            <w:fldChar w:fldCharType="separate"/>
          </w:r>
          <w:hyperlink w:anchor="_n6lrhdo8cd5r">
            <w:r w:rsidR="00720726">
              <w:rPr>
                <w:rFonts w:ascii="Arial" w:eastAsia="Arial" w:hAnsi="Arial" w:cs="Arial"/>
                <w:color w:val="000000"/>
                <w:sz w:val="24"/>
                <w:szCs w:val="24"/>
              </w:rPr>
              <w:t>Table 1: Comparison of CSR Impacts Across Stakeholder Groups</w:t>
            </w:r>
            <w:r w:rsidR="00720726">
              <w:rPr>
                <w:rFonts w:ascii="Arial" w:eastAsia="Arial" w:hAnsi="Arial" w:cs="Arial"/>
                <w:color w:val="000000"/>
                <w:sz w:val="24"/>
                <w:szCs w:val="24"/>
              </w:rPr>
              <w:tab/>
              <w:t>8</w:t>
            </w:r>
          </w:hyperlink>
        </w:p>
        <w:p w14:paraId="3D722285"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9noujz3jwg1o">
            <w:r>
              <w:rPr>
                <w:rFonts w:ascii="Arial" w:eastAsia="Arial" w:hAnsi="Arial" w:cs="Arial"/>
                <w:color w:val="000000"/>
                <w:sz w:val="24"/>
                <w:szCs w:val="24"/>
              </w:rPr>
              <w:t>Table 2: TPB Components Mapped to CSR Communication Strategies</w:t>
            </w:r>
            <w:r>
              <w:rPr>
                <w:rFonts w:ascii="Arial" w:eastAsia="Arial" w:hAnsi="Arial" w:cs="Arial"/>
                <w:color w:val="000000"/>
                <w:sz w:val="24"/>
                <w:szCs w:val="24"/>
              </w:rPr>
              <w:tab/>
              <w:t>11</w:t>
            </w:r>
          </w:hyperlink>
        </w:p>
        <w:p w14:paraId="5EA31F3B"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vnircgflfin4">
            <w:r>
              <w:rPr>
                <w:rFonts w:ascii="Arial" w:eastAsia="Arial" w:hAnsi="Arial" w:cs="Arial"/>
                <w:color w:val="000000"/>
                <w:sz w:val="24"/>
                <w:szCs w:val="24"/>
              </w:rPr>
              <w:t>Table 3: Key Drivers of Ethical Consumption</w:t>
            </w:r>
            <w:r>
              <w:rPr>
                <w:rFonts w:ascii="Arial" w:eastAsia="Arial" w:hAnsi="Arial" w:cs="Arial"/>
                <w:color w:val="000000"/>
                <w:sz w:val="24"/>
                <w:szCs w:val="24"/>
              </w:rPr>
              <w:tab/>
              <w:t>15</w:t>
            </w:r>
          </w:hyperlink>
        </w:p>
        <w:p w14:paraId="32F20F3F"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1mmo4yl4yc9t">
            <w:r>
              <w:rPr>
                <w:rFonts w:ascii="Arial" w:eastAsia="Arial" w:hAnsi="Arial" w:cs="Arial"/>
                <w:color w:val="000000"/>
                <w:sz w:val="24"/>
                <w:szCs w:val="24"/>
              </w:rPr>
              <w:t>Table 4: Summary of Ethical Consumption Moderators and Barriers</w:t>
            </w:r>
            <w:r>
              <w:rPr>
                <w:rFonts w:ascii="Arial" w:eastAsia="Arial" w:hAnsi="Arial" w:cs="Arial"/>
                <w:color w:val="000000"/>
                <w:sz w:val="24"/>
                <w:szCs w:val="24"/>
              </w:rPr>
              <w:tab/>
              <w:t>16</w:t>
            </w:r>
          </w:hyperlink>
        </w:p>
        <w:p w14:paraId="0B3FC48C"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cttdv4mmea98">
            <w:r>
              <w:rPr>
                <w:rFonts w:ascii="Arial" w:eastAsia="Arial" w:hAnsi="Arial" w:cs="Arial"/>
                <w:color w:val="000000"/>
                <w:sz w:val="24"/>
                <w:szCs w:val="24"/>
              </w:rPr>
              <w:t>Table 5: CSR Initiatives and Influence on Willingness to Pay</w:t>
            </w:r>
            <w:r>
              <w:rPr>
                <w:rFonts w:ascii="Arial" w:eastAsia="Arial" w:hAnsi="Arial" w:cs="Arial"/>
                <w:color w:val="000000"/>
                <w:sz w:val="24"/>
                <w:szCs w:val="24"/>
              </w:rPr>
              <w:tab/>
              <w:t>21</w:t>
            </w:r>
          </w:hyperlink>
        </w:p>
        <w:p w14:paraId="2863EE7A"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vto1zldd5jqg">
            <w:r>
              <w:rPr>
                <w:rFonts w:ascii="Arial" w:eastAsia="Arial" w:hAnsi="Arial" w:cs="Arial"/>
                <w:color w:val="000000"/>
                <w:sz w:val="24"/>
                <w:szCs w:val="24"/>
              </w:rPr>
              <w:t>Table 6: Comparison of Research Philosophies</w:t>
            </w:r>
            <w:r>
              <w:rPr>
                <w:rFonts w:ascii="Arial" w:eastAsia="Arial" w:hAnsi="Arial" w:cs="Arial"/>
                <w:color w:val="000000"/>
                <w:sz w:val="24"/>
                <w:szCs w:val="24"/>
              </w:rPr>
              <w:tab/>
              <w:t>27</w:t>
            </w:r>
          </w:hyperlink>
        </w:p>
        <w:p w14:paraId="1CC079F7"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92jsvvfqtuij">
            <w:r>
              <w:rPr>
                <w:rFonts w:ascii="Arial" w:eastAsia="Arial" w:hAnsi="Arial" w:cs="Arial"/>
                <w:color w:val="000000"/>
                <w:sz w:val="24"/>
                <w:szCs w:val="24"/>
              </w:rPr>
              <w:t>Table 7: Survey Sections and Key Constructs</w:t>
            </w:r>
            <w:r>
              <w:rPr>
                <w:rFonts w:ascii="Arial" w:eastAsia="Arial" w:hAnsi="Arial" w:cs="Arial"/>
                <w:color w:val="000000"/>
                <w:sz w:val="24"/>
                <w:szCs w:val="24"/>
              </w:rPr>
              <w:tab/>
              <w:t>30</w:t>
            </w:r>
          </w:hyperlink>
        </w:p>
        <w:p w14:paraId="1F13C2B0"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o8yijlnq6o7m">
            <w:r>
              <w:rPr>
                <w:rFonts w:ascii="Arial" w:eastAsia="Arial" w:hAnsi="Arial" w:cs="Arial"/>
                <w:color w:val="000000"/>
                <w:sz w:val="24"/>
                <w:szCs w:val="24"/>
              </w:rPr>
              <w:t>Table 8.: Demographic Characteristics of Respondents</w:t>
            </w:r>
            <w:r>
              <w:rPr>
                <w:rFonts w:ascii="Arial" w:eastAsia="Arial" w:hAnsi="Arial" w:cs="Arial"/>
                <w:color w:val="000000"/>
                <w:sz w:val="24"/>
                <w:szCs w:val="24"/>
              </w:rPr>
              <w:tab/>
              <w:t>41</w:t>
            </w:r>
          </w:hyperlink>
        </w:p>
        <w:p w14:paraId="54209821"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7pva51fn75xk">
            <w:r>
              <w:rPr>
                <w:rFonts w:ascii="Arial" w:eastAsia="Arial" w:hAnsi="Arial" w:cs="Arial"/>
                <w:color w:val="000000"/>
                <w:sz w:val="24"/>
                <w:szCs w:val="24"/>
              </w:rPr>
              <w:t>Table 9: CSR Initiatives Influence on Purchase Decision</w:t>
            </w:r>
            <w:r>
              <w:rPr>
                <w:rFonts w:ascii="Arial" w:eastAsia="Arial" w:hAnsi="Arial" w:cs="Arial"/>
                <w:color w:val="000000"/>
                <w:sz w:val="24"/>
                <w:szCs w:val="24"/>
              </w:rPr>
              <w:tab/>
              <w:t>43</w:t>
            </w:r>
          </w:hyperlink>
        </w:p>
        <w:p w14:paraId="0178FAB1"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lhlimud7onbd">
            <w:r>
              <w:rPr>
                <w:rFonts w:ascii="Arial" w:eastAsia="Arial" w:hAnsi="Arial" w:cs="Arial"/>
                <w:color w:val="000000"/>
                <w:sz w:val="24"/>
                <w:szCs w:val="24"/>
              </w:rPr>
              <w:t>Table 10: Descriptive Statistics</w:t>
            </w:r>
            <w:r>
              <w:rPr>
                <w:rFonts w:ascii="Arial" w:eastAsia="Arial" w:hAnsi="Arial" w:cs="Arial"/>
                <w:color w:val="000000"/>
                <w:sz w:val="24"/>
                <w:szCs w:val="24"/>
              </w:rPr>
              <w:tab/>
              <w:t>44</w:t>
            </w:r>
          </w:hyperlink>
        </w:p>
        <w:p w14:paraId="1935FD78" w14:textId="77777777" w:rsidR="00720726" w:rsidRDefault="00720726">
          <w:pPr>
            <w:pBdr>
              <w:top w:val="nil"/>
              <w:left w:val="nil"/>
              <w:bottom w:val="nil"/>
              <w:right w:val="nil"/>
              <w:between w:val="nil"/>
            </w:pBdr>
            <w:tabs>
              <w:tab w:val="right" w:pos="9016"/>
            </w:tabs>
            <w:spacing w:after="0"/>
            <w:jc w:val="both"/>
            <w:rPr>
              <w:rFonts w:ascii="Arial" w:eastAsia="Arial" w:hAnsi="Arial" w:cs="Arial"/>
              <w:color w:val="000000"/>
              <w:sz w:val="24"/>
              <w:szCs w:val="24"/>
            </w:rPr>
          </w:pPr>
          <w:hyperlink w:anchor="_hge1emo1duql">
            <w:r>
              <w:rPr>
                <w:rFonts w:ascii="Arial" w:eastAsia="Arial" w:hAnsi="Arial" w:cs="Arial"/>
                <w:color w:val="000000"/>
                <w:sz w:val="24"/>
                <w:szCs w:val="24"/>
              </w:rPr>
              <w:t>Table 11: Regression Results</w:t>
            </w:r>
            <w:r>
              <w:rPr>
                <w:rFonts w:ascii="Arial" w:eastAsia="Arial" w:hAnsi="Arial" w:cs="Arial"/>
                <w:color w:val="000000"/>
                <w:sz w:val="24"/>
                <w:szCs w:val="24"/>
              </w:rPr>
              <w:tab/>
              <w:t>44</w:t>
            </w:r>
          </w:hyperlink>
        </w:p>
        <w:p w14:paraId="47499BAB" w14:textId="77777777" w:rsidR="00720726" w:rsidRDefault="00000000">
          <w:pPr>
            <w:spacing w:line="360" w:lineRule="auto"/>
            <w:jc w:val="both"/>
            <w:rPr>
              <w:rFonts w:ascii="Arial" w:eastAsia="Arial" w:hAnsi="Arial" w:cs="Arial"/>
              <w:b/>
              <w:bCs/>
              <w:color w:val="000000"/>
              <w:sz w:val="24"/>
              <w:szCs w:val="24"/>
            </w:rPr>
          </w:pPr>
          <w:r>
            <w:fldChar w:fldCharType="end"/>
          </w:r>
        </w:p>
      </w:sdtContent>
    </w:sdt>
    <w:p w14:paraId="6DE5C181" w14:textId="77777777" w:rsidR="00720726" w:rsidRDefault="00000000">
      <w:pPr>
        <w:pStyle w:val="Heading1"/>
      </w:pPr>
      <w:bookmarkStart w:id="3" w:name="_5wqv9r3qqsmb" w:colFirst="0" w:colLast="0"/>
      <w:bookmarkEnd w:id="3"/>
      <w:r>
        <w:t>List of Abbreviations</w:t>
      </w: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720726" w14:paraId="6C1FF748" w14:textId="77777777">
        <w:tc>
          <w:tcPr>
            <w:tcW w:w="4508" w:type="dxa"/>
          </w:tcPr>
          <w:p w14:paraId="223D53DF"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Abbreviation</w:t>
            </w:r>
          </w:p>
        </w:tc>
        <w:tc>
          <w:tcPr>
            <w:tcW w:w="4508" w:type="dxa"/>
          </w:tcPr>
          <w:p w14:paraId="25C75BF8"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Meaning</w:t>
            </w:r>
          </w:p>
        </w:tc>
      </w:tr>
      <w:tr w:rsidR="00720726" w14:paraId="0F989752" w14:textId="77777777">
        <w:tc>
          <w:tcPr>
            <w:tcW w:w="4508" w:type="dxa"/>
          </w:tcPr>
          <w:p w14:paraId="215E7C38"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CSR</w:t>
            </w:r>
          </w:p>
        </w:tc>
        <w:tc>
          <w:tcPr>
            <w:tcW w:w="4508" w:type="dxa"/>
          </w:tcPr>
          <w:p w14:paraId="40D03BF2"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Corporate Social Responsibility</w:t>
            </w:r>
          </w:p>
        </w:tc>
      </w:tr>
      <w:tr w:rsidR="00720726" w14:paraId="3239F01C" w14:textId="77777777">
        <w:tc>
          <w:tcPr>
            <w:tcW w:w="4508" w:type="dxa"/>
          </w:tcPr>
          <w:p w14:paraId="6BF1E78C"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TPB</w:t>
            </w:r>
          </w:p>
        </w:tc>
        <w:tc>
          <w:tcPr>
            <w:tcW w:w="4508" w:type="dxa"/>
          </w:tcPr>
          <w:p w14:paraId="3A4CDFFE"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Theory of Planned Behaviour</w:t>
            </w:r>
          </w:p>
        </w:tc>
      </w:tr>
      <w:tr w:rsidR="00720726" w14:paraId="61610D5A" w14:textId="77777777">
        <w:tc>
          <w:tcPr>
            <w:tcW w:w="4508" w:type="dxa"/>
          </w:tcPr>
          <w:p w14:paraId="73BD3E08"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UK</w:t>
            </w:r>
          </w:p>
        </w:tc>
        <w:tc>
          <w:tcPr>
            <w:tcW w:w="4508" w:type="dxa"/>
          </w:tcPr>
          <w:p w14:paraId="3E01AD45"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United Kingdom</w:t>
            </w:r>
          </w:p>
        </w:tc>
      </w:tr>
      <w:tr w:rsidR="00720726" w14:paraId="2EBE1676" w14:textId="77777777">
        <w:tc>
          <w:tcPr>
            <w:tcW w:w="4508" w:type="dxa"/>
          </w:tcPr>
          <w:p w14:paraId="634A1501"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SPSS</w:t>
            </w:r>
          </w:p>
        </w:tc>
        <w:tc>
          <w:tcPr>
            <w:tcW w:w="4508" w:type="dxa"/>
          </w:tcPr>
          <w:p w14:paraId="2C14A301"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Statistical Package for the Social Sciences</w:t>
            </w:r>
          </w:p>
        </w:tc>
      </w:tr>
      <w:tr w:rsidR="00720726" w14:paraId="299C0702" w14:textId="77777777">
        <w:tc>
          <w:tcPr>
            <w:tcW w:w="4508" w:type="dxa"/>
          </w:tcPr>
          <w:p w14:paraId="4D707014"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GDPR</w:t>
            </w:r>
          </w:p>
        </w:tc>
        <w:tc>
          <w:tcPr>
            <w:tcW w:w="4508" w:type="dxa"/>
          </w:tcPr>
          <w:p w14:paraId="6D88867B"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General Data Protection Regulation</w:t>
            </w:r>
          </w:p>
        </w:tc>
      </w:tr>
      <w:tr w:rsidR="00720726" w14:paraId="3B1F12B8" w14:textId="77777777">
        <w:tc>
          <w:tcPr>
            <w:tcW w:w="4508" w:type="dxa"/>
          </w:tcPr>
          <w:p w14:paraId="61C5A7F9"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SEM</w:t>
            </w:r>
          </w:p>
        </w:tc>
        <w:tc>
          <w:tcPr>
            <w:tcW w:w="4508" w:type="dxa"/>
          </w:tcPr>
          <w:p w14:paraId="76C9E9E6"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Structural Equation Modelling</w:t>
            </w:r>
          </w:p>
        </w:tc>
      </w:tr>
      <w:tr w:rsidR="00720726" w14:paraId="4C7ACA1C" w14:textId="77777777">
        <w:tc>
          <w:tcPr>
            <w:tcW w:w="4508" w:type="dxa"/>
          </w:tcPr>
          <w:p w14:paraId="321DE18E"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SD</w:t>
            </w:r>
          </w:p>
        </w:tc>
        <w:tc>
          <w:tcPr>
            <w:tcW w:w="4508" w:type="dxa"/>
          </w:tcPr>
          <w:p w14:paraId="3F62CDB7"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Standard Deviation</w:t>
            </w:r>
          </w:p>
        </w:tc>
      </w:tr>
      <w:tr w:rsidR="00720726" w14:paraId="1D8E2567" w14:textId="77777777">
        <w:tc>
          <w:tcPr>
            <w:tcW w:w="4508" w:type="dxa"/>
          </w:tcPr>
          <w:p w14:paraId="1DA86BD7"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ROI</w:t>
            </w:r>
          </w:p>
        </w:tc>
        <w:tc>
          <w:tcPr>
            <w:tcW w:w="4508" w:type="dxa"/>
          </w:tcPr>
          <w:p w14:paraId="613DDE83"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Return on Investment</w:t>
            </w:r>
          </w:p>
        </w:tc>
      </w:tr>
      <w:tr w:rsidR="00720726" w14:paraId="58886DA5" w14:textId="77777777">
        <w:tc>
          <w:tcPr>
            <w:tcW w:w="4508" w:type="dxa"/>
          </w:tcPr>
          <w:p w14:paraId="713DA3C7"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ESG</w:t>
            </w:r>
          </w:p>
        </w:tc>
        <w:tc>
          <w:tcPr>
            <w:tcW w:w="4508" w:type="dxa"/>
          </w:tcPr>
          <w:p w14:paraId="64C0EE72"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Environmental, Social and Governance</w:t>
            </w:r>
          </w:p>
        </w:tc>
      </w:tr>
      <w:tr w:rsidR="00720726" w14:paraId="11E81495" w14:textId="77777777">
        <w:tc>
          <w:tcPr>
            <w:tcW w:w="4508" w:type="dxa"/>
          </w:tcPr>
          <w:p w14:paraId="04E331CE"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ANOVA</w:t>
            </w:r>
          </w:p>
        </w:tc>
        <w:tc>
          <w:tcPr>
            <w:tcW w:w="4508" w:type="dxa"/>
          </w:tcPr>
          <w:p w14:paraId="1AFA5DAA"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Analysis of Variance</w:t>
            </w:r>
          </w:p>
        </w:tc>
      </w:tr>
      <w:tr w:rsidR="00720726" w14:paraId="6342CCE4" w14:textId="77777777">
        <w:tc>
          <w:tcPr>
            <w:tcW w:w="4508" w:type="dxa"/>
          </w:tcPr>
          <w:p w14:paraId="0F6A5918"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KPI</w:t>
            </w:r>
          </w:p>
        </w:tc>
        <w:tc>
          <w:tcPr>
            <w:tcW w:w="4508" w:type="dxa"/>
          </w:tcPr>
          <w:p w14:paraId="7DE8B3B3"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Key Performance Indicator</w:t>
            </w:r>
          </w:p>
        </w:tc>
      </w:tr>
      <w:tr w:rsidR="00720726" w14:paraId="46D13C8D" w14:textId="77777777">
        <w:tc>
          <w:tcPr>
            <w:tcW w:w="4508" w:type="dxa"/>
          </w:tcPr>
          <w:p w14:paraId="14BB3234"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RQ</w:t>
            </w:r>
          </w:p>
        </w:tc>
        <w:tc>
          <w:tcPr>
            <w:tcW w:w="4508" w:type="dxa"/>
          </w:tcPr>
          <w:p w14:paraId="6C81B387"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Research Question</w:t>
            </w:r>
          </w:p>
        </w:tc>
      </w:tr>
      <w:tr w:rsidR="00720726" w14:paraId="35905950" w14:textId="77777777">
        <w:tc>
          <w:tcPr>
            <w:tcW w:w="4508" w:type="dxa"/>
          </w:tcPr>
          <w:p w14:paraId="640CC676"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SDGs</w:t>
            </w:r>
          </w:p>
        </w:tc>
        <w:tc>
          <w:tcPr>
            <w:tcW w:w="4508" w:type="dxa"/>
          </w:tcPr>
          <w:p w14:paraId="59268385"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Sustainable Development Goals</w:t>
            </w:r>
          </w:p>
        </w:tc>
      </w:tr>
      <w:tr w:rsidR="00720726" w14:paraId="790DE7A3" w14:textId="77777777">
        <w:tc>
          <w:tcPr>
            <w:tcW w:w="4508" w:type="dxa"/>
          </w:tcPr>
          <w:p w14:paraId="7DBF1D49"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SMEs</w:t>
            </w:r>
          </w:p>
        </w:tc>
        <w:tc>
          <w:tcPr>
            <w:tcW w:w="4508" w:type="dxa"/>
          </w:tcPr>
          <w:p w14:paraId="27D387CF"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Small and Medium-sized Enterprises</w:t>
            </w:r>
          </w:p>
        </w:tc>
      </w:tr>
      <w:tr w:rsidR="00720726" w14:paraId="0704570D" w14:textId="77777777">
        <w:tc>
          <w:tcPr>
            <w:tcW w:w="4508" w:type="dxa"/>
          </w:tcPr>
          <w:p w14:paraId="257C5772"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MNCs</w:t>
            </w:r>
          </w:p>
        </w:tc>
        <w:tc>
          <w:tcPr>
            <w:tcW w:w="4508" w:type="dxa"/>
          </w:tcPr>
          <w:p w14:paraId="2E337460" w14:textId="77777777" w:rsidR="00720726" w:rsidRDefault="00000000">
            <w:pPr>
              <w:spacing w:line="360" w:lineRule="auto"/>
              <w:jc w:val="both"/>
              <w:rPr>
                <w:rFonts w:ascii="Arial" w:eastAsia="Arial" w:hAnsi="Arial" w:cs="Arial"/>
                <w:color w:val="000000"/>
                <w:sz w:val="24"/>
                <w:szCs w:val="24"/>
              </w:rPr>
            </w:pPr>
            <w:r>
              <w:rPr>
                <w:rFonts w:ascii="Arial" w:eastAsia="Arial" w:hAnsi="Arial" w:cs="Arial"/>
                <w:color w:val="000000"/>
                <w:sz w:val="24"/>
                <w:szCs w:val="24"/>
              </w:rPr>
              <w:t>Multinational Corporations</w:t>
            </w:r>
          </w:p>
        </w:tc>
      </w:tr>
    </w:tbl>
    <w:p w14:paraId="4C8C4ED6" w14:textId="77777777" w:rsidR="00720726" w:rsidRDefault="00720726">
      <w:pPr>
        <w:spacing w:line="360" w:lineRule="auto"/>
        <w:jc w:val="both"/>
        <w:rPr>
          <w:rFonts w:ascii="Arial" w:eastAsia="Arial" w:hAnsi="Arial" w:cs="Arial"/>
          <w:color w:val="000000"/>
          <w:sz w:val="24"/>
          <w:szCs w:val="24"/>
        </w:rPr>
      </w:pPr>
    </w:p>
    <w:p w14:paraId="3DB93BAA" w14:textId="77777777" w:rsidR="00720726" w:rsidRDefault="00000000">
      <w:pPr>
        <w:pStyle w:val="Heading1"/>
      </w:pPr>
      <w:bookmarkStart w:id="4" w:name="_dnos68s2m1g7" w:colFirst="0" w:colLast="0"/>
      <w:bookmarkEnd w:id="4"/>
      <w:r>
        <w:t>Glossary</w:t>
      </w:r>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720726" w14:paraId="4B4A2B7E" w14:textId="77777777">
        <w:tc>
          <w:tcPr>
            <w:tcW w:w="4508" w:type="dxa"/>
          </w:tcPr>
          <w:p w14:paraId="0632AD05" w14:textId="77777777" w:rsidR="00720726" w:rsidRDefault="00000000">
            <w:pPr>
              <w:pBdr>
                <w:top w:val="nil"/>
                <w:left w:val="nil"/>
                <w:bottom w:val="nil"/>
                <w:right w:val="nil"/>
                <w:between w:val="nil"/>
              </w:pBdr>
              <w:spacing w:line="360" w:lineRule="auto"/>
              <w:jc w:val="both"/>
              <w:rPr>
                <w:rFonts w:ascii="Arial" w:eastAsia="Arial" w:hAnsi="Arial" w:cs="Arial"/>
                <w:b/>
                <w:bCs/>
                <w:color w:val="000000"/>
              </w:rPr>
            </w:pPr>
            <w:r>
              <w:rPr>
                <w:rFonts w:ascii="Arial" w:eastAsia="Arial" w:hAnsi="Arial" w:cs="Arial"/>
                <w:b/>
                <w:bCs/>
                <w:color w:val="000000"/>
              </w:rPr>
              <w:t>Term</w:t>
            </w:r>
          </w:p>
        </w:tc>
        <w:tc>
          <w:tcPr>
            <w:tcW w:w="4508" w:type="dxa"/>
          </w:tcPr>
          <w:p w14:paraId="61245E7F" w14:textId="77777777" w:rsidR="00720726" w:rsidRDefault="00000000">
            <w:pPr>
              <w:pBdr>
                <w:top w:val="nil"/>
                <w:left w:val="nil"/>
                <w:bottom w:val="nil"/>
                <w:right w:val="nil"/>
                <w:between w:val="nil"/>
              </w:pBdr>
              <w:spacing w:line="360" w:lineRule="auto"/>
              <w:jc w:val="both"/>
              <w:rPr>
                <w:rFonts w:ascii="Arial" w:eastAsia="Arial" w:hAnsi="Arial" w:cs="Arial"/>
                <w:b/>
                <w:bCs/>
                <w:color w:val="000000"/>
              </w:rPr>
            </w:pPr>
            <w:r>
              <w:rPr>
                <w:rFonts w:ascii="Arial" w:eastAsia="Arial" w:hAnsi="Arial" w:cs="Arial"/>
                <w:b/>
                <w:bCs/>
                <w:color w:val="000000"/>
              </w:rPr>
              <w:t>Definition</w:t>
            </w:r>
          </w:p>
        </w:tc>
      </w:tr>
      <w:tr w:rsidR="00720726" w14:paraId="0B3533AC" w14:textId="77777777">
        <w:tc>
          <w:tcPr>
            <w:tcW w:w="4508" w:type="dxa"/>
          </w:tcPr>
          <w:p w14:paraId="77735630"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Corporate Social Responsibility (CSR)</w:t>
            </w:r>
          </w:p>
        </w:tc>
        <w:tc>
          <w:tcPr>
            <w:tcW w:w="4508" w:type="dxa"/>
          </w:tcPr>
          <w:p w14:paraId="1EBE7257"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Business practices and policies through which organisations contribute positively to society, the environment, and stakeholders beyond profit-making activities.</w:t>
            </w:r>
          </w:p>
        </w:tc>
      </w:tr>
      <w:tr w:rsidR="00720726" w14:paraId="71230913" w14:textId="77777777">
        <w:tc>
          <w:tcPr>
            <w:tcW w:w="4508" w:type="dxa"/>
          </w:tcPr>
          <w:p w14:paraId="130C0C94"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lastRenderedPageBreak/>
              <w:t>Consumer Buying Behaviour</w:t>
            </w:r>
          </w:p>
        </w:tc>
        <w:tc>
          <w:tcPr>
            <w:tcW w:w="4508" w:type="dxa"/>
          </w:tcPr>
          <w:p w14:paraId="504B3AFE"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The decision-making process and actions of consumers when purchasing products or services.</w:t>
            </w:r>
          </w:p>
        </w:tc>
      </w:tr>
      <w:tr w:rsidR="00720726" w14:paraId="434EE31E" w14:textId="77777777">
        <w:tc>
          <w:tcPr>
            <w:tcW w:w="4508" w:type="dxa"/>
          </w:tcPr>
          <w:p w14:paraId="681FFFD5"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Brand Trust</w:t>
            </w:r>
          </w:p>
        </w:tc>
        <w:tc>
          <w:tcPr>
            <w:tcW w:w="4508" w:type="dxa"/>
          </w:tcPr>
          <w:p w14:paraId="2EA677CE"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The level of confidence consumers have in a brand’s reliability, honesty, and ethical conduct.</w:t>
            </w:r>
          </w:p>
        </w:tc>
      </w:tr>
      <w:tr w:rsidR="00720726" w14:paraId="6FCCE92A" w14:textId="77777777">
        <w:tc>
          <w:tcPr>
            <w:tcW w:w="4508" w:type="dxa"/>
          </w:tcPr>
          <w:p w14:paraId="446BC21A"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Purchase Intention</w:t>
            </w:r>
          </w:p>
        </w:tc>
        <w:tc>
          <w:tcPr>
            <w:tcW w:w="4508" w:type="dxa"/>
          </w:tcPr>
          <w:p w14:paraId="75022EDE"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The likelihood or willingness of consumers to buy a product or service in the future.</w:t>
            </w:r>
          </w:p>
        </w:tc>
      </w:tr>
      <w:tr w:rsidR="00720726" w14:paraId="06C5CBC5" w14:textId="77777777">
        <w:tc>
          <w:tcPr>
            <w:tcW w:w="4508" w:type="dxa"/>
          </w:tcPr>
          <w:p w14:paraId="2319ED77"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Ethical Consumption</w:t>
            </w:r>
          </w:p>
        </w:tc>
        <w:tc>
          <w:tcPr>
            <w:tcW w:w="4508" w:type="dxa"/>
          </w:tcPr>
          <w:p w14:paraId="34B7B5CA"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Consumer purchasing behaviour influenced by moral, environmental, or social considerations.</w:t>
            </w:r>
          </w:p>
        </w:tc>
      </w:tr>
      <w:tr w:rsidR="00720726" w14:paraId="05D09D5D" w14:textId="77777777">
        <w:tc>
          <w:tcPr>
            <w:tcW w:w="4508" w:type="dxa"/>
          </w:tcPr>
          <w:p w14:paraId="6D26FFAF"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Stakeholder Theory</w:t>
            </w:r>
          </w:p>
        </w:tc>
        <w:tc>
          <w:tcPr>
            <w:tcW w:w="4508" w:type="dxa"/>
          </w:tcPr>
          <w:p w14:paraId="0C2BC27B"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A theory suggesting that organisations should consider the interests of all stakeholders, not only shareholders, in business decision-making.</w:t>
            </w:r>
          </w:p>
        </w:tc>
      </w:tr>
      <w:tr w:rsidR="00720726" w14:paraId="43D053A5" w14:textId="77777777">
        <w:tc>
          <w:tcPr>
            <w:tcW w:w="4508" w:type="dxa"/>
          </w:tcPr>
          <w:p w14:paraId="2F31A080"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Theory of Planned Behaviour (TPB)</w:t>
            </w:r>
          </w:p>
        </w:tc>
        <w:tc>
          <w:tcPr>
            <w:tcW w:w="4508" w:type="dxa"/>
          </w:tcPr>
          <w:p w14:paraId="1DE70C51"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A behavioural theory explaining that attitudes, subjective norms, and perceived behavioural control influence intentions and behaviour.</w:t>
            </w:r>
          </w:p>
        </w:tc>
      </w:tr>
      <w:tr w:rsidR="00720726" w14:paraId="3AAC9AB9" w14:textId="77777777">
        <w:tc>
          <w:tcPr>
            <w:tcW w:w="4508" w:type="dxa"/>
          </w:tcPr>
          <w:p w14:paraId="2A25C113"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Social Identity Theory</w:t>
            </w:r>
          </w:p>
        </w:tc>
        <w:tc>
          <w:tcPr>
            <w:tcW w:w="4508" w:type="dxa"/>
          </w:tcPr>
          <w:p w14:paraId="056CD178"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A theory explaining how individuals define themselves based on social groups, values, and affiliations.</w:t>
            </w:r>
          </w:p>
        </w:tc>
      </w:tr>
      <w:tr w:rsidR="00720726" w14:paraId="14F2B44E" w14:textId="77777777">
        <w:tc>
          <w:tcPr>
            <w:tcW w:w="4508" w:type="dxa"/>
          </w:tcPr>
          <w:p w14:paraId="0AB8728B"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Signalling Theory</w:t>
            </w:r>
          </w:p>
        </w:tc>
        <w:tc>
          <w:tcPr>
            <w:tcW w:w="4508" w:type="dxa"/>
          </w:tcPr>
          <w:p w14:paraId="610EEEF9"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A theory explaining how organisations communicate credibility and trustworthiness through signals such as CSR initiatives.</w:t>
            </w:r>
          </w:p>
        </w:tc>
      </w:tr>
      <w:tr w:rsidR="00720726" w14:paraId="6B616339" w14:textId="77777777">
        <w:tc>
          <w:tcPr>
            <w:tcW w:w="4508" w:type="dxa"/>
          </w:tcPr>
          <w:p w14:paraId="3DFBD2C0"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Sustainability</w:t>
            </w:r>
          </w:p>
        </w:tc>
        <w:tc>
          <w:tcPr>
            <w:tcW w:w="4508" w:type="dxa"/>
          </w:tcPr>
          <w:p w14:paraId="00D0F55B"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The practice of meeting present needs without compromising the ability of future generations to meet their own needs.</w:t>
            </w:r>
          </w:p>
        </w:tc>
      </w:tr>
      <w:tr w:rsidR="00720726" w14:paraId="119D84FF" w14:textId="77777777">
        <w:tc>
          <w:tcPr>
            <w:tcW w:w="4508" w:type="dxa"/>
          </w:tcPr>
          <w:p w14:paraId="12286045"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Brand Loyalty</w:t>
            </w:r>
          </w:p>
        </w:tc>
        <w:tc>
          <w:tcPr>
            <w:tcW w:w="4508" w:type="dxa"/>
          </w:tcPr>
          <w:p w14:paraId="3201FEEC"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Consumers’ consistent preference and repeated purchasing behaviour toward a specific brand.</w:t>
            </w:r>
          </w:p>
        </w:tc>
      </w:tr>
      <w:tr w:rsidR="00720726" w14:paraId="63078B8B" w14:textId="77777777">
        <w:tc>
          <w:tcPr>
            <w:tcW w:w="4508" w:type="dxa"/>
          </w:tcPr>
          <w:p w14:paraId="6303D545"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Greenwashing</w:t>
            </w:r>
          </w:p>
        </w:tc>
        <w:tc>
          <w:tcPr>
            <w:tcW w:w="4508" w:type="dxa"/>
          </w:tcPr>
          <w:p w14:paraId="25199F78"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Misleading claims by organisations that exaggerate environmental or ethical practices to improve public image.</w:t>
            </w:r>
          </w:p>
        </w:tc>
      </w:tr>
      <w:tr w:rsidR="00720726" w14:paraId="54A10AE4" w14:textId="77777777">
        <w:tc>
          <w:tcPr>
            <w:tcW w:w="4508" w:type="dxa"/>
          </w:tcPr>
          <w:p w14:paraId="3381423E"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lastRenderedPageBreak/>
              <w:t>Regression Analysis</w:t>
            </w:r>
          </w:p>
        </w:tc>
        <w:tc>
          <w:tcPr>
            <w:tcW w:w="4508" w:type="dxa"/>
          </w:tcPr>
          <w:p w14:paraId="00D709D6"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A statistical technique used to examine relationships between dependent and independent variables.</w:t>
            </w:r>
          </w:p>
        </w:tc>
      </w:tr>
      <w:tr w:rsidR="00720726" w14:paraId="78DCCCBB" w14:textId="77777777">
        <w:tc>
          <w:tcPr>
            <w:tcW w:w="4508" w:type="dxa"/>
          </w:tcPr>
          <w:p w14:paraId="412BB6DA"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Correlation Analysis</w:t>
            </w:r>
          </w:p>
        </w:tc>
        <w:tc>
          <w:tcPr>
            <w:tcW w:w="4508" w:type="dxa"/>
          </w:tcPr>
          <w:p w14:paraId="4512AF53"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A statistical method used to measure the strength and direction of relationships between variables.</w:t>
            </w:r>
          </w:p>
        </w:tc>
      </w:tr>
      <w:tr w:rsidR="00720726" w14:paraId="00D0E070" w14:textId="77777777">
        <w:tc>
          <w:tcPr>
            <w:tcW w:w="4508" w:type="dxa"/>
          </w:tcPr>
          <w:p w14:paraId="49A70A02"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Descriptive Statistics</w:t>
            </w:r>
          </w:p>
        </w:tc>
        <w:tc>
          <w:tcPr>
            <w:tcW w:w="4508" w:type="dxa"/>
          </w:tcPr>
          <w:p w14:paraId="2837D41B"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Statistical techniques used to summarise and describe the main features of collected data.</w:t>
            </w:r>
          </w:p>
        </w:tc>
      </w:tr>
      <w:tr w:rsidR="00720726" w14:paraId="56F2FE5D" w14:textId="77777777">
        <w:tc>
          <w:tcPr>
            <w:tcW w:w="4508" w:type="dxa"/>
          </w:tcPr>
          <w:p w14:paraId="683EC6E2"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Cronbach’s Alpha</w:t>
            </w:r>
          </w:p>
        </w:tc>
        <w:tc>
          <w:tcPr>
            <w:tcW w:w="4508" w:type="dxa"/>
          </w:tcPr>
          <w:p w14:paraId="4B60ADA9"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A statistical measure used to assess the reliability and internal consistency of survey scales.</w:t>
            </w:r>
          </w:p>
        </w:tc>
      </w:tr>
      <w:tr w:rsidR="00720726" w14:paraId="7EF2557A" w14:textId="77777777">
        <w:tc>
          <w:tcPr>
            <w:tcW w:w="4508" w:type="dxa"/>
          </w:tcPr>
          <w:p w14:paraId="43152B0C"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Convenience Sampling</w:t>
            </w:r>
          </w:p>
        </w:tc>
        <w:tc>
          <w:tcPr>
            <w:tcW w:w="4508" w:type="dxa"/>
          </w:tcPr>
          <w:p w14:paraId="1E214F77"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A non-probability sampling method where participants are selected based on accessibility and availability.</w:t>
            </w:r>
          </w:p>
        </w:tc>
      </w:tr>
      <w:tr w:rsidR="00720726" w14:paraId="304E53A1" w14:textId="77777777">
        <w:tc>
          <w:tcPr>
            <w:tcW w:w="4508" w:type="dxa"/>
          </w:tcPr>
          <w:p w14:paraId="31C633F0"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Likert Scale</w:t>
            </w:r>
          </w:p>
        </w:tc>
        <w:tc>
          <w:tcPr>
            <w:tcW w:w="4508" w:type="dxa"/>
          </w:tcPr>
          <w:p w14:paraId="1BC35987"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A rating scale commonly used in questionnaires to measure attitudes, opinions, or perceptions.</w:t>
            </w:r>
          </w:p>
        </w:tc>
      </w:tr>
      <w:tr w:rsidR="00720726" w14:paraId="142AD0CC" w14:textId="77777777">
        <w:tc>
          <w:tcPr>
            <w:tcW w:w="4508" w:type="dxa"/>
          </w:tcPr>
          <w:p w14:paraId="47EB1B2F"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Consumer Trust</w:t>
            </w:r>
          </w:p>
        </w:tc>
        <w:tc>
          <w:tcPr>
            <w:tcW w:w="4508" w:type="dxa"/>
          </w:tcPr>
          <w:p w14:paraId="217EAFCB"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The belief that a company or brand will act responsibly, honestly, and reliably.</w:t>
            </w:r>
          </w:p>
        </w:tc>
      </w:tr>
      <w:tr w:rsidR="00720726" w14:paraId="68DA1171" w14:textId="77777777">
        <w:tc>
          <w:tcPr>
            <w:tcW w:w="4508" w:type="dxa"/>
          </w:tcPr>
          <w:p w14:paraId="4998D19D"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Environmental Sustainability</w:t>
            </w:r>
          </w:p>
        </w:tc>
        <w:tc>
          <w:tcPr>
            <w:tcW w:w="4508" w:type="dxa"/>
          </w:tcPr>
          <w:p w14:paraId="06AE5406" w14:textId="77777777" w:rsidR="00720726"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Business practices aimed at reducing environmental harm and promoting long-term ecological balance.</w:t>
            </w:r>
          </w:p>
        </w:tc>
      </w:tr>
    </w:tbl>
    <w:p w14:paraId="10DBFCC9" w14:textId="77777777" w:rsidR="00720726" w:rsidRDefault="00720726">
      <w:pPr>
        <w:pBdr>
          <w:top w:val="nil"/>
          <w:left w:val="nil"/>
          <w:bottom w:val="nil"/>
          <w:right w:val="nil"/>
          <w:between w:val="nil"/>
        </w:pBdr>
        <w:spacing w:after="0" w:line="360" w:lineRule="auto"/>
        <w:jc w:val="both"/>
        <w:rPr>
          <w:rFonts w:ascii="Arial" w:eastAsia="Arial" w:hAnsi="Arial" w:cs="Arial"/>
          <w:color w:val="000000"/>
          <w:sz w:val="24"/>
          <w:szCs w:val="24"/>
        </w:rPr>
        <w:sectPr w:rsidR="00720726">
          <w:footerReference w:type="default" r:id="rId10"/>
          <w:pgSz w:w="11906" w:h="16838"/>
          <w:pgMar w:top="1440" w:right="1440" w:bottom="1440" w:left="1440" w:header="708" w:footer="708" w:gutter="0"/>
          <w:cols w:space="720"/>
        </w:sectPr>
      </w:pPr>
    </w:p>
    <w:p w14:paraId="627D719A" w14:textId="77777777" w:rsidR="00720726" w:rsidRDefault="00000000">
      <w:pPr>
        <w:pStyle w:val="Heading1"/>
      </w:pPr>
      <w:bookmarkStart w:id="5" w:name="_dipn4i8w2uw1" w:colFirst="0" w:colLast="0"/>
      <w:bookmarkEnd w:id="5"/>
      <w:r>
        <w:lastRenderedPageBreak/>
        <w:t>Chapter 1: Introduction</w:t>
      </w:r>
    </w:p>
    <w:p w14:paraId="017BFED6" w14:textId="77777777" w:rsidR="00720726" w:rsidRDefault="00000000">
      <w:pPr>
        <w:pStyle w:val="Heading1"/>
        <w:jc w:val="left"/>
      </w:pPr>
      <w:bookmarkStart w:id="6" w:name="_qevz7esu14x8" w:colFirst="0" w:colLast="0"/>
      <w:bookmarkEnd w:id="6"/>
      <w:r>
        <w:t>1.0 Introduction</w:t>
      </w:r>
    </w:p>
    <w:p w14:paraId="0CEBFBB6" w14:textId="77777777" w:rsidR="00720726" w:rsidRDefault="00000000">
      <w:pPr>
        <w:spacing w:before="240" w:line="360" w:lineRule="auto"/>
        <w:jc w:val="both"/>
        <w:rPr>
          <w:rFonts w:ascii="Arial" w:eastAsia="Arial" w:hAnsi="Arial" w:cs="Arial"/>
          <w:sz w:val="24"/>
          <w:szCs w:val="24"/>
        </w:rPr>
      </w:pPr>
      <w:r>
        <w:rPr>
          <w:rFonts w:ascii="Arial" w:eastAsia="Arial" w:hAnsi="Arial" w:cs="Arial"/>
          <w:sz w:val="24"/>
          <w:szCs w:val="24"/>
        </w:rPr>
        <w:t>This chapter introduces the study on the impact of Corporate Social Responsibility (CSR) on consumer buying behaviour, focusing on Sainsbury’s. It explains the growing importance of CSR in influencing consumer decisions within the retail sector. The chapter outlines the research problem, aim, objectives, and key research questions that guide the study. It also highlights the significance of the research for both academic understanding and business practice. Finally, it provides a brief overview of the methodology and structure of the dissertation, offering a clear direction for the chapters that follow.</w:t>
      </w:r>
    </w:p>
    <w:p w14:paraId="54242FC9" w14:textId="77777777" w:rsidR="00720726" w:rsidRDefault="00000000">
      <w:pPr>
        <w:pStyle w:val="Heading2"/>
      </w:pPr>
      <w:bookmarkStart w:id="7" w:name="_x6h1vlwuc3s4" w:colFirst="0" w:colLast="0"/>
      <w:bookmarkEnd w:id="7"/>
      <w:r>
        <w:t>1.1 Background and Context</w:t>
      </w:r>
    </w:p>
    <w:p w14:paraId="0B4A1FF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current business world has been calling upon organisations to not only run with the objective of making profits but with a high sense of social and environmental responsibility. Corporate Social Responsibility (CSR) has thus become an important concept to business and management practices. CSR is voluntary activities of organisations aimed at acting ethically, socially responsible and environmentally sustainably and taking into account the interests of the stakeholder’s customers, employees, communities and the environment (Carroll, 2021). </w:t>
      </w:r>
    </w:p>
    <w:p w14:paraId="35B995D5"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Supermarkets in the retail industry are increasingly under pressure to engage in responsible businesses by consumers, government and lobby groups especially in the developed economies such as the United Kingdom. The consumers are getting more concerned with the problems of climate change, ethical sourcing, labour conditions and sustainable packaging. Consequently, a lot of retail organisations have included CSR initiatives in their strategic operations to improve their corporate image and build stronger relationships with the stakeholders (Jones et al., 2022). The initiatives of CSR can be the minimization of the carbon emission, the popularization of the fair trade products, the assistance of the local communities and the use of environmentally friendly supply chains.</w:t>
      </w:r>
    </w:p>
    <w:p w14:paraId="2BB5E85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In the UK retail market, Sainsbury is known as one of the biggest chain of supermarkets and the major stakeholder in sustaining sustainable and responsible </w:t>
      </w:r>
      <w:r>
        <w:rPr>
          <w:rFonts w:ascii="Arial" w:eastAsia="Arial" w:hAnsi="Arial" w:cs="Arial"/>
          <w:sz w:val="24"/>
          <w:szCs w:val="24"/>
        </w:rPr>
        <w:lastRenderedPageBreak/>
        <w:t xml:space="preserve">retailing. The company was established in 1869 and it has built a good reputation of offering quality products and also incorporating the element of sustainability and ethical concerns in its operation. Some of the CSR initiatives that the firm has put in place have been in respect to environmental sustainability, responsible sourcing and community development. </w:t>
      </w:r>
    </w:p>
    <w:p w14:paraId="7C9E4064"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activities of CSR practised by organisations like Sainsbury not only seeks to serve the social and environmental wellbeing but also affects the consumer perception and the way they make their purchase decisions. It was found that consumers become more interested in brands that can display their acts of responsibility in business and their transparency concerning the way they conduct business (Bhattacharya and Sen, 2020). Ethical consumption has hence emerged as an emerging trend in most economies even in the UK retail industry. Consumers can use CSR criteria like environmental conservation, ethical sourcing and corporate transparency to make their selections in terms of which products to buy or which retailers to patronize.</w:t>
      </w:r>
    </w:p>
    <w:p w14:paraId="5E193BC8"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Nonetheless, despite the fact that most organisations spend a lot on CSR activities, the level at which these activities affect the consumer purchase decisions is still an issue of concern in academic studies. According to some studies, CSR could contribute to brand loyalty and consumer trust greatly, whereas other studies state that price, convenience and product quality are the most influential factors determining purchasing behaviour (Luo and Bhattacharya, 2020). Hence, it is necessary to explore the possibility of whether CSR initiatives do have a real impact on consumer behaviour in actual business situations.</w:t>
      </w:r>
    </w:p>
    <w:p w14:paraId="0917407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This paper is dedicated to the study of the effects of the CSR initiatives carried out by Sainsbury on consumer buying behaviour. Through the study of consumer awareness, attitudes and buying behaviour, the research will assist in offering a valuable information on how CSR influences consumer behaviour in the UK retail industry.</w:t>
      </w:r>
    </w:p>
    <w:p w14:paraId="5C10389E" w14:textId="77777777" w:rsidR="00720726" w:rsidRDefault="00000000">
      <w:pPr>
        <w:pStyle w:val="Heading2"/>
      </w:pPr>
      <w:bookmarkStart w:id="8" w:name="_46iidzmcg234" w:colFirst="0" w:colLast="0"/>
      <w:bookmarkEnd w:id="8"/>
      <w:r>
        <w:t>1.2 Problem Statement</w:t>
      </w:r>
    </w:p>
    <w:p w14:paraId="7558F21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CSR is a new strategic concern that most organisations within the world have adopted. Companies spend a lot of money and organisational efforts in CSR to enhance their corporate image, enhanced stakeholder relationships and sustainable development. The CSR activities of the retail industry are usually aimed at environmental </w:t>
      </w:r>
      <w:r>
        <w:rPr>
          <w:rFonts w:ascii="Arial" w:eastAsia="Arial" w:hAnsi="Arial" w:cs="Arial"/>
          <w:sz w:val="24"/>
          <w:szCs w:val="24"/>
        </w:rPr>
        <w:lastRenderedPageBreak/>
        <w:t>sustainability, responsible supply chain management, ethical sourcing, community engagement, and responsible supply chain management.</w:t>
      </w:r>
    </w:p>
    <w:p w14:paraId="704D583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Although the significance of CSR has been on the increase, it still remains unclear how it influences consumer purchasing behaviour. Although most firms are of the opinion that CSR activities boost the brand image and consumer loyalty, other researchers believe that people will tend to base their buying decisions on other factors like price, quality and convenience of the product. As a result, organisations can hardly know whether their CSR investments really impact consumer behaviour or it is merely a reputational ploy.</w:t>
      </w:r>
    </w:p>
    <w:p w14:paraId="623F195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case of supermarkets in the UK retail sector, like Sainsbury, has been no exception where they have been proactive in ensuring that they have CSR programmes aimed at enhancing environmental sustainability and community relationship. Nevertheless, it is still uncertain whether these efforts have any impact on the consumer buying behaviour. Consumers might not always be knowledgeable about CSR initiatives that companies engage in, and this fact may restrain their power to make a purchase.</w:t>
      </w:r>
    </w:p>
    <w:p w14:paraId="29BCF2B5"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study will therefore aim at filling the gap of knowledge regarding the relationships between CSR initiatives and consumer buying behaviour within the retail industry. Particularly, the research paper focuses on the issue of whether the CSR practices taken by Sainsbury affect consumer perceptions, attitudes and buying behaviour. </w:t>
      </w:r>
    </w:p>
    <w:p w14:paraId="50B7CF23" w14:textId="77777777" w:rsidR="00720726" w:rsidRDefault="00000000">
      <w:pPr>
        <w:pStyle w:val="Heading2"/>
      </w:pPr>
      <w:bookmarkStart w:id="9" w:name="_1nneleg9585" w:colFirst="0" w:colLast="0"/>
      <w:bookmarkEnd w:id="9"/>
      <w:r>
        <w:t>1.3 Research Aim</w:t>
      </w:r>
    </w:p>
    <w:p w14:paraId="3692533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aim of this study is to analyse the impact of Corporate Social Responsibility initiatives on consumer buying behaviour in the UK retail sector, with particular focus on Sainsbury's.</w:t>
      </w:r>
    </w:p>
    <w:p w14:paraId="268E8B12" w14:textId="77777777" w:rsidR="00720726" w:rsidRDefault="00000000">
      <w:pPr>
        <w:pStyle w:val="Heading2"/>
      </w:pPr>
      <w:bookmarkStart w:id="10" w:name="_s6g38b8ugro1" w:colFirst="0" w:colLast="0"/>
      <w:bookmarkEnd w:id="10"/>
      <w:r>
        <w:t>1.4 Research Objectives</w:t>
      </w:r>
    </w:p>
    <w:p w14:paraId="4579E637"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To achieve the research aim, the study will address the following objectives:</w:t>
      </w:r>
    </w:p>
    <w:p w14:paraId="70819A0E" w14:textId="77777777" w:rsidR="00720726" w:rsidRDefault="00000000">
      <w:pPr>
        <w:numPr>
          <w:ilvl w:val="0"/>
          <w:numId w:val="1"/>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To examine the concept and importance of Corporate Social Responsibility in the retail sector.</w:t>
      </w:r>
    </w:p>
    <w:p w14:paraId="36FFEF44" w14:textId="77777777" w:rsidR="00720726" w:rsidRDefault="00000000">
      <w:pPr>
        <w:numPr>
          <w:ilvl w:val="0"/>
          <w:numId w:val="1"/>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To evaluate the level of consumer awareness regarding CSR practices in the supermarket industry.</w:t>
      </w:r>
    </w:p>
    <w:p w14:paraId="138AD800" w14:textId="77777777" w:rsidR="00720726" w:rsidRDefault="00000000">
      <w:pPr>
        <w:numPr>
          <w:ilvl w:val="0"/>
          <w:numId w:val="1"/>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To analyse the influence of CSR initiatives on consumer buying behaviour.</w:t>
      </w:r>
    </w:p>
    <w:p w14:paraId="508D38BD" w14:textId="77777777" w:rsidR="00720726" w:rsidRDefault="00000000">
      <w:pPr>
        <w:numPr>
          <w:ilvl w:val="0"/>
          <w:numId w:val="1"/>
        </w:numPr>
        <w:pBdr>
          <w:top w:val="nil"/>
          <w:left w:val="nil"/>
          <w:bottom w:val="nil"/>
          <w:right w:val="nil"/>
          <w:between w:val="nil"/>
        </w:pBdr>
        <w:spacing w:line="360" w:lineRule="auto"/>
        <w:jc w:val="both"/>
        <w:rPr>
          <w:color w:val="000000"/>
          <w:sz w:val="24"/>
          <w:szCs w:val="24"/>
        </w:rPr>
      </w:pPr>
      <w:r>
        <w:rPr>
          <w:rFonts w:ascii="Arial" w:eastAsia="Arial" w:hAnsi="Arial" w:cs="Arial"/>
          <w:sz w:val="24"/>
          <w:szCs w:val="24"/>
        </w:rPr>
        <w:lastRenderedPageBreak/>
        <w:t>To gain insight into differences in CSR responsiveness across demographic groups</w:t>
      </w:r>
      <w:r>
        <w:rPr>
          <w:rFonts w:ascii="Arial" w:eastAsia="Arial" w:hAnsi="Arial" w:cs="Arial"/>
          <w:color w:val="000000"/>
          <w:sz w:val="24"/>
          <w:szCs w:val="24"/>
        </w:rPr>
        <w:t>.</w:t>
      </w:r>
    </w:p>
    <w:p w14:paraId="54C6821A" w14:textId="77777777" w:rsidR="00720726" w:rsidRDefault="00000000">
      <w:pPr>
        <w:pStyle w:val="Heading2"/>
      </w:pPr>
      <w:bookmarkStart w:id="11" w:name="_nxskw74y495n" w:colFirst="0" w:colLast="0"/>
      <w:bookmarkEnd w:id="11"/>
      <w:r>
        <w:t>1.5 Research Questions</w:t>
      </w:r>
    </w:p>
    <w:p w14:paraId="5E79F84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This study seeks to answer the following research questions:</w:t>
      </w:r>
    </w:p>
    <w:p w14:paraId="0837D8E0" w14:textId="77777777" w:rsidR="00720726" w:rsidRDefault="00000000">
      <w:pPr>
        <w:numPr>
          <w:ilvl w:val="0"/>
          <w:numId w:val="3"/>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What is the role of Corporate Social Responsibility in the retail industry?</w:t>
      </w:r>
    </w:p>
    <w:p w14:paraId="6187CB9C" w14:textId="77777777" w:rsidR="00720726" w:rsidRDefault="00000000">
      <w:pPr>
        <w:numPr>
          <w:ilvl w:val="0"/>
          <w:numId w:val="3"/>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How aware are consumers of CSR practices within supermarkets?</w:t>
      </w:r>
    </w:p>
    <w:p w14:paraId="319B0F64" w14:textId="77777777" w:rsidR="00720726" w:rsidRDefault="00000000">
      <w:pPr>
        <w:numPr>
          <w:ilvl w:val="0"/>
          <w:numId w:val="3"/>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To what extent do CSR initiatives influence consumer purchase decisions?</w:t>
      </w:r>
    </w:p>
    <w:p w14:paraId="24AA4280" w14:textId="77777777" w:rsidR="00720726" w:rsidRDefault="00000000">
      <w:pPr>
        <w:numPr>
          <w:ilvl w:val="0"/>
          <w:numId w:val="3"/>
        </w:numPr>
        <w:pBdr>
          <w:top w:val="nil"/>
          <w:left w:val="nil"/>
          <w:bottom w:val="nil"/>
          <w:right w:val="nil"/>
          <w:between w:val="nil"/>
        </w:pBdr>
        <w:spacing w:line="360" w:lineRule="auto"/>
        <w:jc w:val="both"/>
        <w:rPr>
          <w:color w:val="000000"/>
          <w:sz w:val="24"/>
          <w:szCs w:val="24"/>
        </w:rPr>
      </w:pPr>
      <w:r>
        <w:rPr>
          <w:rFonts w:ascii="Arial" w:eastAsia="Arial" w:hAnsi="Arial" w:cs="Arial"/>
          <w:color w:val="000000"/>
          <w:sz w:val="24"/>
          <w:szCs w:val="24"/>
        </w:rPr>
        <w:t>How can CSR strategies improve consumer trust and loyalty in the retail sector?</w:t>
      </w:r>
    </w:p>
    <w:p w14:paraId="32C5F3CE" w14:textId="77777777" w:rsidR="00720726" w:rsidRDefault="00000000">
      <w:pPr>
        <w:pStyle w:val="Heading2"/>
      </w:pPr>
      <w:bookmarkStart w:id="12" w:name="_h3ragiex1yw6" w:colFirst="0" w:colLast="0"/>
      <w:bookmarkEnd w:id="12"/>
      <w:r>
        <w:t>1.6 Significance of the Study</w:t>
      </w:r>
    </w:p>
    <w:p w14:paraId="6F26EE5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This research is relevant to the academic field and practical business knowledge on the topic of CSR in retailing. Academically, the study broadens the already existing literature on the connection between the Corporate Social Responsibility and consumer buying behaviour. Despite the fact that a number of studies have been conducted on CSR in various industries, little has been done on its impact within the UK supermarket industry. Hence, this study can be employed to advance the literature on CSR and consumer behaviour.</w:t>
      </w:r>
    </w:p>
    <w:p w14:paraId="43935F65"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Practically, the results of this study can be very useful to managers and the decision-makers of retail organisations like Sainsbury. Knowledge of consumer reaction to CSR activities may also enable the organisations to develop better sustainability strategy and communication strategies. This knowledge can help businesses coordinate their CSR activities with the expectations of consumers to better engage with customers.</w:t>
      </w:r>
    </w:p>
    <w:p w14:paraId="07BF780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In general, the proposed study will make valuable contributions to the academic fields of study, business operations and policy debate in the retail sector with regard to Corporate Social Responsibility and consumer behaviour.</w:t>
      </w:r>
    </w:p>
    <w:p w14:paraId="576CE30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In this study, investigative efforts focus on two primary strategies: the theory of planned behaviour and the case study design.</w:t>
      </w:r>
    </w:p>
    <w:p w14:paraId="074DB998" w14:textId="77777777" w:rsidR="00720726" w:rsidRDefault="00000000">
      <w:pPr>
        <w:pStyle w:val="Heading2"/>
      </w:pPr>
      <w:bookmarkStart w:id="13" w:name="_kxmfnl4vy0dv" w:colFirst="0" w:colLast="0"/>
      <w:bookmarkEnd w:id="13"/>
      <w:r>
        <w:t>1.7 Research Methodology Overview</w:t>
      </w:r>
    </w:p>
    <w:p w14:paraId="4BD5A4F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research design that is used in this study is a quantitative research design, to investigate the relationship between CSR initiatives and consumer purchasing behaviour. In this research, the quantitative research is appropriate as it allows </w:t>
      </w:r>
      <w:r>
        <w:rPr>
          <w:rFonts w:ascii="Arial" w:eastAsia="Arial" w:hAnsi="Arial" w:cs="Arial"/>
          <w:sz w:val="24"/>
          <w:szCs w:val="24"/>
        </w:rPr>
        <w:lastRenderedPageBreak/>
        <w:t>obtaining and analysing numerical data covering a large number of respondents, through which the researcher can determine patterns and relationships between variables.</w:t>
      </w:r>
    </w:p>
    <w:p w14:paraId="5E2703D4"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primary data will be gathered via structured questionnaire to consumers who make their shopping in the supermarkets in the UK. The questionnaire will be based on the assessment of consumer awareness about CSR activities, attitude toward responsible business practices and the role of CSR in buying behaviour. At least 50 respondents will be targeted in order to have enough data to analyse.</w:t>
      </w:r>
    </w:p>
    <w:p w14:paraId="19CAC345"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data gathered will be analysed descriptively using statistical analysis means like frequency, percentages and graphical analysis in the form of charts and tables. Microsoft Excel or statistical software can be adopted to convey and analyse the results provided by data analysis tools.</w:t>
      </w:r>
    </w:p>
    <w:p w14:paraId="12B1ED1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issue of ethics will be taken into account during the research. The presence of the participants in the study will be voluntary, as they will be informed about the purpose of the study. All the responses will be kept in confidence and will only be utilized in the academic research.</w:t>
      </w:r>
    </w:p>
    <w:p w14:paraId="4EE10F40" w14:textId="77777777" w:rsidR="00720726" w:rsidRDefault="00000000">
      <w:pPr>
        <w:pStyle w:val="Heading2"/>
      </w:pPr>
      <w:bookmarkStart w:id="14" w:name="_g7hnbthwc6kn" w:colFirst="0" w:colLast="0"/>
      <w:bookmarkEnd w:id="14"/>
      <w:r>
        <w:t>1.8 Dissertation Structure</w:t>
      </w:r>
    </w:p>
    <w:p w14:paraId="2B12F52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dissertation is divided into six chapters to give systematic analysis of the research topic.</w:t>
      </w:r>
    </w:p>
    <w:p w14:paraId="11547A8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In chapter 1, the topic of the research is introduced and the background, the problem statement, the research aim, objectives and research questions presented. It also showcases the importance of the study, and also gives a review of the research method and structure of the dissertation.</w:t>
      </w:r>
    </w:p>
    <w:p w14:paraId="70EDED0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Chapter 2 gives a detailed literature review about the Corporate Social Responsibility and the consumer buying behaviour. The chapter explores the major theories, models and past researches concerning the CSR practices and the effect on the consumer decision-making.</w:t>
      </w:r>
    </w:p>
    <w:p w14:paraId="72AA1647"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Chapter 3 provides the research methodology of the study. It gives out how the research was to be conducted, data collection procedures, sampling techniques, data analysis procedures and ethical considerations.</w:t>
      </w:r>
    </w:p>
    <w:p w14:paraId="0225969C"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In chapter 4, the results of the study are provided that are introduced in the context of the interpretation of the gathered information. Table, charts, and statistical interpretations have been provided in the chapter to explain the findings of the survey.</w:t>
      </w:r>
    </w:p>
    <w:p w14:paraId="770F990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Chapter 5 covers a discussion of the research findings by comparing them with the available literature and theoretical framework. It analyses the contributions of the results in the context of determining the relationships between CSR initiatives and consumer buying behaviour.</w:t>
      </w:r>
    </w:p>
    <w:p w14:paraId="2C6F0195"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Lastly, Chapter 6 gives a conclusion of the study as it summarises the main findings, answers the research questions and also gives practical recommendations. The limitations of the research are also pointed in the chapter and recommendations made about future studies.</w:t>
      </w:r>
    </w:p>
    <w:p w14:paraId="399C7FBB" w14:textId="77777777" w:rsidR="00720726" w:rsidRDefault="00720726">
      <w:pPr>
        <w:spacing w:line="360" w:lineRule="auto"/>
        <w:jc w:val="both"/>
        <w:rPr>
          <w:rFonts w:ascii="Arial" w:eastAsia="Arial" w:hAnsi="Arial" w:cs="Arial"/>
          <w:sz w:val="24"/>
          <w:szCs w:val="24"/>
        </w:rPr>
      </w:pPr>
    </w:p>
    <w:p w14:paraId="43DCF12A" w14:textId="77777777" w:rsidR="00720726" w:rsidRDefault="00720726">
      <w:pPr>
        <w:spacing w:line="360" w:lineRule="auto"/>
        <w:jc w:val="both"/>
        <w:rPr>
          <w:rFonts w:ascii="Arial" w:eastAsia="Arial" w:hAnsi="Arial" w:cs="Arial"/>
          <w:sz w:val="24"/>
          <w:szCs w:val="24"/>
        </w:rPr>
      </w:pPr>
    </w:p>
    <w:p w14:paraId="0E1CB5FF" w14:textId="77777777" w:rsidR="00720726" w:rsidRDefault="00720726">
      <w:pPr>
        <w:spacing w:line="360" w:lineRule="auto"/>
        <w:jc w:val="both"/>
        <w:rPr>
          <w:rFonts w:ascii="Arial" w:eastAsia="Arial" w:hAnsi="Arial" w:cs="Arial"/>
          <w:sz w:val="24"/>
          <w:szCs w:val="24"/>
        </w:rPr>
      </w:pPr>
    </w:p>
    <w:p w14:paraId="7E7EB407" w14:textId="77777777" w:rsidR="00720726" w:rsidRDefault="00720726">
      <w:pPr>
        <w:spacing w:line="360" w:lineRule="auto"/>
        <w:jc w:val="both"/>
        <w:rPr>
          <w:rFonts w:ascii="Arial" w:eastAsia="Arial" w:hAnsi="Arial" w:cs="Arial"/>
          <w:sz w:val="24"/>
          <w:szCs w:val="24"/>
        </w:rPr>
      </w:pPr>
    </w:p>
    <w:p w14:paraId="5DCD59D1" w14:textId="77777777" w:rsidR="00720726" w:rsidRDefault="00720726">
      <w:pPr>
        <w:spacing w:line="360" w:lineRule="auto"/>
        <w:jc w:val="both"/>
        <w:rPr>
          <w:rFonts w:ascii="Arial" w:eastAsia="Arial" w:hAnsi="Arial" w:cs="Arial"/>
          <w:sz w:val="24"/>
          <w:szCs w:val="24"/>
        </w:rPr>
      </w:pPr>
    </w:p>
    <w:p w14:paraId="29FB88B5" w14:textId="77777777" w:rsidR="00720726" w:rsidRDefault="00720726">
      <w:pPr>
        <w:spacing w:line="360" w:lineRule="auto"/>
        <w:jc w:val="both"/>
        <w:rPr>
          <w:rFonts w:ascii="Arial" w:eastAsia="Arial" w:hAnsi="Arial" w:cs="Arial"/>
          <w:sz w:val="24"/>
          <w:szCs w:val="24"/>
        </w:rPr>
      </w:pPr>
    </w:p>
    <w:p w14:paraId="19B854B1" w14:textId="77777777" w:rsidR="00FC0FCD" w:rsidRDefault="00FC0FCD">
      <w:pPr>
        <w:spacing w:line="360" w:lineRule="auto"/>
        <w:jc w:val="both"/>
        <w:rPr>
          <w:rFonts w:ascii="Arial" w:eastAsia="Arial" w:hAnsi="Arial" w:cs="Arial"/>
          <w:sz w:val="24"/>
          <w:szCs w:val="24"/>
        </w:rPr>
      </w:pPr>
    </w:p>
    <w:p w14:paraId="3F33C63E" w14:textId="77777777" w:rsidR="00FC0FCD" w:rsidRDefault="00FC0FCD">
      <w:pPr>
        <w:spacing w:line="360" w:lineRule="auto"/>
        <w:jc w:val="both"/>
        <w:rPr>
          <w:rFonts w:ascii="Arial" w:eastAsia="Arial" w:hAnsi="Arial" w:cs="Arial"/>
          <w:sz w:val="24"/>
          <w:szCs w:val="24"/>
        </w:rPr>
      </w:pPr>
    </w:p>
    <w:p w14:paraId="4AE2B308" w14:textId="77777777" w:rsidR="00FC0FCD" w:rsidRDefault="00FC0FCD">
      <w:pPr>
        <w:spacing w:line="360" w:lineRule="auto"/>
        <w:jc w:val="both"/>
        <w:rPr>
          <w:rFonts w:ascii="Arial" w:eastAsia="Arial" w:hAnsi="Arial" w:cs="Arial"/>
          <w:sz w:val="24"/>
          <w:szCs w:val="24"/>
        </w:rPr>
      </w:pPr>
    </w:p>
    <w:p w14:paraId="3B62615F" w14:textId="77777777" w:rsidR="00FC0FCD" w:rsidRDefault="00FC0FCD">
      <w:pPr>
        <w:spacing w:line="360" w:lineRule="auto"/>
        <w:jc w:val="both"/>
        <w:rPr>
          <w:rFonts w:ascii="Arial" w:eastAsia="Arial" w:hAnsi="Arial" w:cs="Arial"/>
          <w:sz w:val="24"/>
          <w:szCs w:val="24"/>
        </w:rPr>
      </w:pPr>
    </w:p>
    <w:p w14:paraId="187E077A" w14:textId="77777777" w:rsidR="00FC0FCD" w:rsidRDefault="00FC0FCD">
      <w:pPr>
        <w:spacing w:line="360" w:lineRule="auto"/>
        <w:jc w:val="both"/>
        <w:rPr>
          <w:rFonts w:ascii="Arial" w:eastAsia="Arial" w:hAnsi="Arial" w:cs="Arial"/>
          <w:sz w:val="24"/>
          <w:szCs w:val="24"/>
        </w:rPr>
      </w:pPr>
    </w:p>
    <w:p w14:paraId="0DF54FF9" w14:textId="77777777" w:rsidR="00FC0FCD" w:rsidRDefault="00FC0FCD">
      <w:pPr>
        <w:spacing w:line="360" w:lineRule="auto"/>
        <w:jc w:val="both"/>
        <w:rPr>
          <w:rFonts w:ascii="Arial" w:eastAsia="Arial" w:hAnsi="Arial" w:cs="Arial"/>
          <w:sz w:val="24"/>
          <w:szCs w:val="24"/>
        </w:rPr>
      </w:pPr>
    </w:p>
    <w:p w14:paraId="31B8632B" w14:textId="77777777" w:rsidR="00720726" w:rsidRDefault="00720726">
      <w:pPr>
        <w:spacing w:line="360" w:lineRule="auto"/>
        <w:jc w:val="both"/>
        <w:rPr>
          <w:rFonts w:ascii="Arial" w:eastAsia="Arial" w:hAnsi="Arial" w:cs="Arial"/>
          <w:sz w:val="24"/>
          <w:szCs w:val="24"/>
        </w:rPr>
      </w:pPr>
    </w:p>
    <w:p w14:paraId="09C1332E" w14:textId="77777777" w:rsidR="00720726" w:rsidRDefault="00720726">
      <w:pPr>
        <w:spacing w:line="360" w:lineRule="auto"/>
        <w:jc w:val="both"/>
        <w:rPr>
          <w:rFonts w:ascii="Arial" w:eastAsia="Arial" w:hAnsi="Arial" w:cs="Arial"/>
          <w:sz w:val="24"/>
          <w:szCs w:val="24"/>
        </w:rPr>
      </w:pPr>
    </w:p>
    <w:p w14:paraId="53D514EC" w14:textId="77777777" w:rsidR="00720726" w:rsidRDefault="00000000">
      <w:pPr>
        <w:pStyle w:val="Heading1"/>
      </w:pPr>
      <w:bookmarkStart w:id="15" w:name="_5akk4kb3ylyh" w:colFirst="0" w:colLast="0"/>
      <w:bookmarkEnd w:id="15"/>
      <w:r>
        <w:lastRenderedPageBreak/>
        <w:t>Chapter 2: Literature Review</w:t>
      </w:r>
    </w:p>
    <w:p w14:paraId="309077D4" w14:textId="77777777" w:rsidR="00720726" w:rsidRDefault="00000000">
      <w:pPr>
        <w:pStyle w:val="Heading2"/>
      </w:pPr>
      <w:bookmarkStart w:id="16" w:name="_7l91ugaura7e" w:colFirst="0" w:colLast="0"/>
      <w:bookmarkEnd w:id="16"/>
      <w:r>
        <w:t xml:space="preserve">2.1 Introduction </w:t>
      </w:r>
    </w:p>
    <w:p w14:paraId="3151CE8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Corporate Social Responsibility (CSR) has become a core strategic issue to organisations that seek to balance profitability and ethical, social and environmental responsibilities. Previously established in the context of voluntary corporate commitments over and above regulatory requirements, CSR now plays a major role in creating consumer perceptions and behaviour, in particular, in the industries of high consumer visibility such as retail (Dangelico &amp; Vocalelli, 2020). CSR practices can involve environmental sustainability programs, ethical labour practices, community and involvement, philanthropy, and transparency in governance. The recent spike in the societal focus on sustainable consumption and ethical brand behaviour has caused consumers to consider CSR factors when making their buying decisions (Kurt et al., 2020). Consequently, there is an ever-increasing trend among companies to invest in CSR programmes to increase competitiveness and improve relationships with stakeholders including their brand position in the eyes of consumers.</w:t>
      </w:r>
    </w:p>
    <w:p w14:paraId="2A6D6BC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Research in consumer behaviour shows that ethical and social issues are becoming more and more a part of the contemporary purchase decision process. Production price and quality are not the only factors that consumers consider, but also how the brands correspond to their own values, especially in terms of environmental and social responsibility (Lim et al., 2021). This trend is supported by global shifts in values among younger consumer cohorts who prioritise sustainability, fairness, and corporate transparency. </w:t>
      </w:r>
    </w:p>
    <w:p w14:paraId="42CBD355"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This chapter is a literature review of the existing literature on CSR and consumer behaviour beginning with the major theoretical frameworks that explain why CSR has an impact on consumers. It goes on to discuss the ethical consumption environment, previous studies that have correlated CSR with buying behaviour, and evidence that indicates the impact of CSR on brand loyalty, willingness to pay and perception. Lastly, it determines gaps in the literature that qualifies this research. Referred tables and conceptual figures are mentioned where they may be useful to demonstrate groups of research findings.</w:t>
      </w:r>
    </w:p>
    <w:p w14:paraId="20774643" w14:textId="77777777" w:rsidR="00720726" w:rsidRDefault="00000000">
      <w:pPr>
        <w:pStyle w:val="Heading2"/>
      </w:pPr>
      <w:bookmarkStart w:id="17" w:name="_b8beyzl43rv8" w:colFirst="0" w:colLast="0"/>
      <w:bookmarkEnd w:id="17"/>
      <w:r>
        <w:lastRenderedPageBreak/>
        <w:t xml:space="preserve">2.2 Theoretical Frameworks </w:t>
      </w:r>
    </w:p>
    <w:p w14:paraId="1ACF3EC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theoretical framework of the concept of Corporate Social Responsibility (CSR) furnishes an organised concept of the impacts of ethical and socially responsible practices in influencing the consumer behaviour. Four major frameworks include Stakeholder Theory, Social Identity Theory, Theory of Planned Behaviour, and Signalling Theory that explain various mechanisms through which CSR can influence purchase intentions, loyalty and brand perception.</w:t>
      </w:r>
    </w:p>
    <w:p w14:paraId="1BA801E1" w14:textId="77777777" w:rsidR="00720726" w:rsidRDefault="00000000">
      <w:pPr>
        <w:pStyle w:val="Heading3"/>
      </w:pPr>
      <w:bookmarkStart w:id="18" w:name="_p4z0wpgz4jhj" w:colFirst="0" w:colLast="0"/>
      <w:bookmarkEnd w:id="18"/>
      <w:r>
        <w:t>2.2.1 Stakeholder Theory</w:t>
      </w:r>
    </w:p>
    <w:p w14:paraId="175CE75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Stakeholder Theory assumes that organisations must have a responsibility not just to their shareholders but to a wider group of constituencies, such as employees, customers, suppliers, communities, and the environment (Freeman, 2020). This theory also highlights that sustainable business success lies in the ability to balance the varied stakeholder interest. CSR activities operationalise Stakeholder Theory by catering to these interests using environmental, social, and governance activities. Indicatively, ethical labour practices and community engagement schemes are an indicator of how an organisation values the welfare of its employees and other communities.</w:t>
      </w:r>
    </w:p>
    <w:p w14:paraId="6222A1F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According to recent researches, consumers are becoming evaluative stakeholders who do not only judge the quality of the products, but on ethical behaviour as well. The authors concluded that the brands that engage in visible CSR activities (e.g., charitable actions, sustainability reporting, or projects in the community) have a more favourable consumer assessment, higher perceived brand credibility, and increased purchasing intention (Jones et al., 2021). Through the incorporation of the Stakeholder Theory, organisations such as Zara UK are able to design CSR programmes, which satisfy the societal expectations, as well as the business objectives, and therefore align ethical behaviour with the long-term performance objectives.</w:t>
      </w:r>
    </w:p>
    <w:p w14:paraId="65AD03AE" w14:textId="77777777" w:rsidR="00720726" w:rsidRDefault="00000000">
      <w:pPr>
        <w:keepNext/>
        <w:pBdr>
          <w:top w:val="nil"/>
          <w:left w:val="nil"/>
          <w:bottom w:val="nil"/>
          <w:right w:val="nil"/>
          <w:between w:val="nil"/>
        </w:pBdr>
        <w:spacing w:after="200" w:line="480" w:lineRule="auto"/>
        <w:rPr>
          <w:rFonts w:ascii="Arial" w:eastAsia="Arial" w:hAnsi="Arial" w:cs="Arial"/>
          <w:b/>
          <w:bCs/>
          <w:i/>
          <w:iCs/>
          <w:color w:val="1F497D"/>
          <w:sz w:val="24"/>
          <w:szCs w:val="24"/>
        </w:rPr>
      </w:pPr>
      <w:bookmarkStart w:id="19" w:name="_n6lrhdo8cd5r" w:colFirst="0" w:colLast="0"/>
      <w:bookmarkEnd w:id="19"/>
      <w:r>
        <w:rPr>
          <w:rFonts w:ascii="Arial" w:eastAsia="Arial" w:hAnsi="Arial" w:cs="Arial"/>
          <w:b/>
          <w:bCs/>
          <w:i/>
          <w:iCs/>
          <w:color w:val="1F497D"/>
          <w:sz w:val="24"/>
          <w:szCs w:val="24"/>
        </w:rPr>
        <w:t>Table 1: Comparison of CSR Impacts Across Stakeholder Groups</w:t>
      </w:r>
    </w:p>
    <w:tbl>
      <w:tblPr>
        <w:tblStyle w:val="a1"/>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79"/>
        <w:gridCol w:w="1793"/>
        <w:gridCol w:w="1760"/>
        <w:gridCol w:w="1787"/>
        <w:gridCol w:w="1897"/>
      </w:tblGrid>
      <w:tr w:rsidR="00720726" w14:paraId="2B0A9D1D" w14:textId="77777777">
        <w:tc>
          <w:tcPr>
            <w:tcW w:w="1779" w:type="dxa"/>
          </w:tcPr>
          <w:p w14:paraId="397320D3"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Stakeholder Group</w:t>
            </w:r>
          </w:p>
        </w:tc>
        <w:tc>
          <w:tcPr>
            <w:tcW w:w="1793" w:type="dxa"/>
          </w:tcPr>
          <w:p w14:paraId="10BF06BD"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CSR Focus Area</w:t>
            </w:r>
          </w:p>
        </w:tc>
        <w:tc>
          <w:tcPr>
            <w:tcW w:w="1760" w:type="dxa"/>
          </w:tcPr>
          <w:p w14:paraId="0B722A19"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Key Activities</w:t>
            </w:r>
          </w:p>
        </w:tc>
        <w:tc>
          <w:tcPr>
            <w:tcW w:w="1787" w:type="dxa"/>
          </w:tcPr>
          <w:p w14:paraId="35C5C5B8"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Impact on Stakeholders</w:t>
            </w:r>
          </w:p>
        </w:tc>
        <w:tc>
          <w:tcPr>
            <w:tcW w:w="1897" w:type="dxa"/>
          </w:tcPr>
          <w:p w14:paraId="7F3EE600"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Impact on Consumer Behaviour</w:t>
            </w:r>
          </w:p>
        </w:tc>
      </w:tr>
      <w:tr w:rsidR="00720726" w14:paraId="02570FF4" w14:textId="77777777">
        <w:tc>
          <w:tcPr>
            <w:tcW w:w="1779" w:type="dxa"/>
          </w:tcPr>
          <w:p w14:paraId="513A38FA"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lastRenderedPageBreak/>
              <w:t>Consumers</w:t>
            </w:r>
          </w:p>
        </w:tc>
        <w:tc>
          <w:tcPr>
            <w:tcW w:w="1793" w:type="dxa"/>
          </w:tcPr>
          <w:p w14:paraId="41A8A7A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Product responsibility, ethical sourcing</w:t>
            </w:r>
          </w:p>
        </w:tc>
        <w:tc>
          <w:tcPr>
            <w:tcW w:w="1760" w:type="dxa"/>
          </w:tcPr>
          <w:p w14:paraId="7E35CEB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Fair pricing, transparent labelling, sustainable products</w:t>
            </w:r>
          </w:p>
        </w:tc>
        <w:tc>
          <w:tcPr>
            <w:tcW w:w="1787" w:type="dxa"/>
          </w:tcPr>
          <w:p w14:paraId="71495DFC"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Increased trust and satisfaction</w:t>
            </w:r>
          </w:p>
        </w:tc>
        <w:tc>
          <w:tcPr>
            <w:tcW w:w="1897" w:type="dxa"/>
          </w:tcPr>
          <w:p w14:paraId="26A77C44"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Higher purchase intention, brand loyalty, willingness to pay premium</w:t>
            </w:r>
          </w:p>
        </w:tc>
      </w:tr>
      <w:tr w:rsidR="00720726" w14:paraId="483E4C8D" w14:textId="77777777">
        <w:tc>
          <w:tcPr>
            <w:tcW w:w="1779" w:type="dxa"/>
          </w:tcPr>
          <w:p w14:paraId="610BAF8C"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Employees</w:t>
            </w:r>
          </w:p>
        </w:tc>
        <w:tc>
          <w:tcPr>
            <w:tcW w:w="1793" w:type="dxa"/>
          </w:tcPr>
          <w:p w14:paraId="185A78A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Workplace ethics, employee welfare</w:t>
            </w:r>
          </w:p>
        </w:tc>
        <w:tc>
          <w:tcPr>
            <w:tcW w:w="1760" w:type="dxa"/>
          </w:tcPr>
          <w:p w14:paraId="61D2C979"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Fair wages, diversity &amp; inclusion, safe working conditions</w:t>
            </w:r>
          </w:p>
        </w:tc>
        <w:tc>
          <w:tcPr>
            <w:tcW w:w="1787" w:type="dxa"/>
          </w:tcPr>
          <w:p w14:paraId="6E88130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Improved morale, productivity, retention</w:t>
            </w:r>
          </w:p>
        </w:tc>
        <w:tc>
          <w:tcPr>
            <w:tcW w:w="1897" w:type="dxa"/>
          </w:tcPr>
          <w:p w14:paraId="754DE45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Positive brand image influencing consumer perception</w:t>
            </w:r>
          </w:p>
        </w:tc>
      </w:tr>
      <w:tr w:rsidR="00720726" w14:paraId="7F1AF28B" w14:textId="77777777">
        <w:tc>
          <w:tcPr>
            <w:tcW w:w="1779" w:type="dxa"/>
          </w:tcPr>
          <w:p w14:paraId="190BA0CE"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Community</w:t>
            </w:r>
          </w:p>
        </w:tc>
        <w:tc>
          <w:tcPr>
            <w:tcW w:w="1793" w:type="dxa"/>
          </w:tcPr>
          <w:p w14:paraId="6E24C1A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Social responsibility, philanthropy</w:t>
            </w:r>
          </w:p>
        </w:tc>
        <w:tc>
          <w:tcPr>
            <w:tcW w:w="1760" w:type="dxa"/>
          </w:tcPr>
          <w:p w14:paraId="1326BE3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Donations, local development projects, community engagement</w:t>
            </w:r>
          </w:p>
        </w:tc>
        <w:tc>
          <w:tcPr>
            <w:tcW w:w="1787" w:type="dxa"/>
          </w:tcPr>
          <w:p w14:paraId="505C6959"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Strong community relationships and social goodwill</w:t>
            </w:r>
          </w:p>
        </w:tc>
        <w:tc>
          <w:tcPr>
            <w:tcW w:w="1897" w:type="dxa"/>
          </w:tcPr>
          <w:p w14:paraId="0442509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Enhanced brand reputation and positive word-of-mouth</w:t>
            </w:r>
          </w:p>
        </w:tc>
      </w:tr>
      <w:tr w:rsidR="00720726" w14:paraId="6AED89B4" w14:textId="77777777">
        <w:tc>
          <w:tcPr>
            <w:tcW w:w="1779" w:type="dxa"/>
          </w:tcPr>
          <w:p w14:paraId="47D7AD17"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Environment</w:t>
            </w:r>
          </w:p>
        </w:tc>
        <w:tc>
          <w:tcPr>
            <w:tcW w:w="1793" w:type="dxa"/>
          </w:tcPr>
          <w:p w14:paraId="38182917"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Environmental sustainability</w:t>
            </w:r>
          </w:p>
        </w:tc>
        <w:tc>
          <w:tcPr>
            <w:tcW w:w="1760" w:type="dxa"/>
          </w:tcPr>
          <w:p w14:paraId="11ED3A1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Carbon reduction, recycling, eco-friendly packaging</w:t>
            </w:r>
          </w:p>
        </w:tc>
        <w:tc>
          <w:tcPr>
            <w:tcW w:w="1787" w:type="dxa"/>
          </w:tcPr>
          <w:p w14:paraId="54DB2D7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Reduced environmental impact, sustainability awareness</w:t>
            </w:r>
          </w:p>
        </w:tc>
        <w:tc>
          <w:tcPr>
            <w:tcW w:w="1897" w:type="dxa"/>
          </w:tcPr>
          <w:p w14:paraId="776B501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Attraction of environmentally conscious consumers, ethical buying behaviour</w:t>
            </w:r>
          </w:p>
        </w:tc>
      </w:tr>
    </w:tbl>
    <w:p w14:paraId="35C8B381" w14:textId="77777777" w:rsidR="00720726" w:rsidRDefault="00720726">
      <w:pPr>
        <w:spacing w:line="360" w:lineRule="auto"/>
        <w:jc w:val="both"/>
        <w:rPr>
          <w:rFonts w:ascii="Arial" w:eastAsia="Arial" w:hAnsi="Arial" w:cs="Arial"/>
          <w:sz w:val="24"/>
          <w:szCs w:val="24"/>
        </w:rPr>
      </w:pPr>
    </w:p>
    <w:p w14:paraId="6F9B321A" w14:textId="77777777" w:rsidR="00720726" w:rsidRDefault="00000000">
      <w:pPr>
        <w:pStyle w:val="Heading3"/>
      </w:pPr>
      <w:bookmarkStart w:id="20" w:name="_b65px2sy3kfn" w:colFirst="0" w:colLast="0"/>
      <w:bookmarkEnd w:id="20"/>
      <w:r>
        <w:t>2.2.2 Social Identity Theory</w:t>
      </w:r>
    </w:p>
    <w:p w14:paraId="2FDE1245"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theory of Social Identity suggests that people form a certain part of their self-concept because of belonging to a group and social affiliations (Tajfel and Turner, 2020). The consumers tend to attribute personal values and group identities based on their choice of brands, and prefer those companies that CSR initiatives are aligned to their personal values and their group identities. As an example, green consumers can choose to support brands that have set sustainable sourcing policies and sustainable operations, which support their own efforts to be environmentally friendly.</w:t>
      </w:r>
    </w:p>
    <w:p w14:paraId="756FC099"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Empirical evidence has shown that CSR initiatives enhance the consumer-brand identification. Bianchi et al. (2022) believe that CSR activities, especially those that a consumer can observe in digital media campaigns or social projects, can enable a consumer to internalise brand values, developing emotional attachment and loyalty. </w:t>
      </w:r>
    </w:p>
    <w:p w14:paraId="5B3C9E1F" w14:textId="77777777" w:rsidR="00720726" w:rsidRDefault="00000000">
      <w:pPr>
        <w:keepNext/>
        <w:spacing w:line="360" w:lineRule="auto"/>
        <w:jc w:val="center"/>
      </w:pPr>
      <w:r>
        <w:rPr>
          <w:rFonts w:ascii="Arial" w:eastAsia="Arial" w:hAnsi="Arial" w:cs="Arial"/>
          <w:noProof/>
          <w:sz w:val="24"/>
          <w:szCs w:val="24"/>
        </w:rPr>
        <w:drawing>
          <wp:inline distT="0" distB="0" distL="0" distR="0" wp14:anchorId="58275589" wp14:editId="78095410">
            <wp:extent cx="3733137" cy="23161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733137" cy="2316150"/>
                    </a:xfrm>
                    <a:prstGeom prst="rect">
                      <a:avLst/>
                    </a:prstGeom>
                    <a:ln/>
                  </pic:spPr>
                </pic:pic>
              </a:graphicData>
            </a:graphic>
          </wp:inline>
        </w:drawing>
      </w:r>
    </w:p>
    <w:p w14:paraId="3F8B04DF" w14:textId="77777777" w:rsidR="00720726" w:rsidRDefault="00000000">
      <w:pPr>
        <w:pBdr>
          <w:top w:val="nil"/>
          <w:left w:val="nil"/>
          <w:bottom w:val="nil"/>
          <w:right w:val="nil"/>
          <w:between w:val="nil"/>
        </w:pBdr>
        <w:spacing w:after="200" w:line="480" w:lineRule="auto"/>
        <w:jc w:val="center"/>
        <w:rPr>
          <w:rFonts w:ascii="Arial" w:eastAsia="Arial" w:hAnsi="Arial" w:cs="Arial"/>
          <w:b/>
          <w:bCs/>
          <w:i/>
          <w:iCs/>
          <w:color w:val="1F497D"/>
          <w:sz w:val="24"/>
          <w:szCs w:val="24"/>
        </w:rPr>
      </w:pPr>
      <w:bookmarkStart w:id="21" w:name="_9zksh2guay53" w:colFirst="0" w:colLast="0"/>
      <w:bookmarkEnd w:id="21"/>
      <w:r>
        <w:rPr>
          <w:rFonts w:ascii="Arial" w:eastAsia="Arial" w:hAnsi="Arial" w:cs="Arial"/>
          <w:b/>
          <w:bCs/>
          <w:i/>
          <w:iCs/>
          <w:color w:val="1F497D"/>
          <w:sz w:val="24"/>
          <w:szCs w:val="24"/>
        </w:rPr>
        <w:t>Figure 1: Conceptual Model Linking Social Identity to Consumer Loyalty Through CSR Engagement is ready.</w:t>
      </w:r>
    </w:p>
    <w:p w14:paraId="5346B148" w14:textId="77777777" w:rsidR="00720726" w:rsidRDefault="00000000">
      <w:pPr>
        <w:pStyle w:val="Heading3"/>
      </w:pPr>
      <w:bookmarkStart w:id="22" w:name="_evxh5e3f57tp" w:colFirst="0" w:colLast="0"/>
      <w:bookmarkEnd w:id="22"/>
      <w:r>
        <w:t>2.2.3 Theory of Planned Behaviour</w:t>
      </w:r>
    </w:p>
    <w:p w14:paraId="5A0C01E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Theory of Planned Behaviour (TPB) is the theory that allows understanding how the attitudes, subjective norms, and perceived behavioural control shape the behavioural intentions, including the decision to purchase CSR-driven products (Ajzen, 2020). These three elements are impacted by the CSR initiatives. Favorable attitudes towards ethically responsible brand strengthen intention to purchase, and social norm create a sense of pressure to act responsibly. Perceived behavioural control is how consumers believe they can make ethical purchases based on the availability of products, their price and their access to information about CSR.</w:t>
      </w:r>
    </w:p>
    <w:p w14:paraId="19B2DB15"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Hansen and Saridakis (2021) discovered that CSR communication through marketing campaigns, social media posts, and product labels positively impact consumer attitudes and social norms, ultimately leading to an increase in purchase intention. TPB offers a predictive lens, which helps organisations to predict what CSR strategies are likely to appeal to target consumers. </w:t>
      </w:r>
    </w:p>
    <w:p w14:paraId="7D8B8360" w14:textId="77777777" w:rsidR="00720726" w:rsidRDefault="00000000">
      <w:pPr>
        <w:keepNext/>
        <w:pBdr>
          <w:top w:val="nil"/>
          <w:left w:val="nil"/>
          <w:bottom w:val="nil"/>
          <w:right w:val="nil"/>
          <w:between w:val="nil"/>
        </w:pBdr>
        <w:spacing w:after="200" w:line="480" w:lineRule="auto"/>
        <w:rPr>
          <w:rFonts w:ascii="Arial" w:eastAsia="Arial" w:hAnsi="Arial" w:cs="Arial"/>
          <w:b/>
          <w:bCs/>
          <w:i/>
          <w:iCs/>
          <w:color w:val="1F497D"/>
          <w:sz w:val="24"/>
          <w:szCs w:val="24"/>
        </w:rPr>
      </w:pPr>
      <w:bookmarkStart w:id="23" w:name="_9noujz3jwg1o" w:colFirst="0" w:colLast="0"/>
      <w:bookmarkEnd w:id="23"/>
      <w:r>
        <w:rPr>
          <w:rFonts w:ascii="Arial" w:eastAsia="Arial" w:hAnsi="Arial" w:cs="Arial"/>
          <w:b/>
          <w:bCs/>
          <w:i/>
          <w:iCs/>
          <w:color w:val="1F497D"/>
          <w:sz w:val="24"/>
          <w:szCs w:val="24"/>
        </w:rPr>
        <w:lastRenderedPageBreak/>
        <w:t>Table 2: TPB Components Mapped to CSR Communication Strategies</w:t>
      </w:r>
    </w:p>
    <w:tbl>
      <w:tblPr>
        <w:tblStyle w:val="a2"/>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44"/>
        <w:gridCol w:w="1708"/>
        <w:gridCol w:w="2030"/>
        <w:gridCol w:w="1784"/>
        <w:gridCol w:w="1750"/>
      </w:tblGrid>
      <w:tr w:rsidR="00720726" w14:paraId="5F2219C9" w14:textId="77777777">
        <w:tc>
          <w:tcPr>
            <w:tcW w:w="1744" w:type="dxa"/>
          </w:tcPr>
          <w:p w14:paraId="6C3BF667"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TPB Component</w:t>
            </w:r>
          </w:p>
        </w:tc>
        <w:tc>
          <w:tcPr>
            <w:tcW w:w="1708" w:type="dxa"/>
          </w:tcPr>
          <w:p w14:paraId="5368C96C"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Definition</w:t>
            </w:r>
          </w:p>
        </w:tc>
        <w:tc>
          <w:tcPr>
            <w:tcW w:w="2030" w:type="dxa"/>
          </w:tcPr>
          <w:p w14:paraId="760425BF"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CSR Communication Strategy</w:t>
            </w:r>
          </w:p>
        </w:tc>
        <w:tc>
          <w:tcPr>
            <w:tcW w:w="1784" w:type="dxa"/>
          </w:tcPr>
          <w:p w14:paraId="182917B6"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Example in Retail (Sainsbury’s Context)</w:t>
            </w:r>
          </w:p>
        </w:tc>
        <w:tc>
          <w:tcPr>
            <w:tcW w:w="1750" w:type="dxa"/>
          </w:tcPr>
          <w:p w14:paraId="7B7F5663"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Impact on Consumer Behaviour</w:t>
            </w:r>
          </w:p>
        </w:tc>
      </w:tr>
      <w:tr w:rsidR="00720726" w14:paraId="04C1C1D9" w14:textId="77777777">
        <w:tc>
          <w:tcPr>
            <w:tcW w:w="1744" w:type="dxa"/>
          </w:tcPr>
          <w:p w14:paraId="3A441DBE"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Attitude</w:t>
            </w:r>
          </w:p>
        </w:tc>
        <w:tc>
          <w:tcPr>
            <w:tcW w:w="1708" w:type="dxa"/>
          </w:tcPr>
          <w:p w14:paraId="6235E72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Individual’s positive or negative evaluation of performing a behaviour</w:t>
            </w:r>
          </w:p>
        </w:tc>
        <w:tc>
          <w:tcPr>
            <w:tcW w:w="2030" w:type="dxa"/>
          </w:tcPr>
          <w:p w14:paraId="48F28B6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Highlight benefits of CSR (e.g., sustainability, ethical sourcing) through marketing campaigns</w:t>
            </w:r>
          </w:p>
        </w:tc>
        <w:tc>
          <w:tcPr>
            <w:tcW w:w="1784" w:type="dxa"/>
          </w:tcPr>
          <w:p w14:paraId="1BDBCBE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Promotion of eco-friendly products, reduced plastic packaging, ethical sourcing initiatives</w:t>
            </w:r>
          </w:p>
        </w:tc>
        <w:tc>
          <w:tcPr>
            <w:tcW w:w="1750" w:type="dxa"/>
          </w:tcPr>
          <w:p w14:paraId="5A297D88"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Creates favourable perceptions, increasing likelihood of purchase intention</w:t>
            </w:r>
          </w:p>
        </w:tc>
      </w:tr>
      <w:tr w:rsidR="00720726" w14:paraId="5835294C" w14:textId="77777777">
        <w:tc>
          <w:tcPr>
            <w:tcW w:w="1744" w:type="dxa"/>
          </w:tcPr>
          <w:p w14:paraId="1836437A"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Subjective Norms</w:t>
            </w:r>
          </w:p>
        </w:tc>
        <w:tc>
          <w:tcPr>
            <w:tcW w:w="1708" w:type="dxa"/>
          </w:tcPr>
          <w:p w14:paraId="74C7682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Perceived social pressure to perform or not perform a behaviour</w:t>
            </w:r>
          </w:p>
        </w:tc>
        <w:tc>
          <w:tcPr>
            <w:tcW w:w="2030" w:type="dxa"/>
          </w:tcPr>
          <w:p w14:paraId="20F368E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Use social influence, endorsements, and public commitments to CSR values</w:t>
            </w:r>
          </w:p>
        </w:tc>
        <w:tc>
          <w:tcPr>
            <w:tcW w:w="1784" w:type="dxa"/>
          </w:tcPr>
          <w:p w14:paraId="350D0DF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Social media campaigns encouraging sustainable shopping, partnerships with environmental organisations</w:t>
            </w:r>
          </w:p>
        </w:tc>
        <w:tc>
          <w:tcPr>
            <w:tcW w:w="1750" w:type="dxa"/>
          </w:tcPr>
          <w:p w14:paraId="50DD633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Encourages consumers to conform to socially accepted responsible consumption behaviours</w:t>
            </w:r>
          </w:p>
        </w:tc>
      </w:tr>
      <w:tr w:rsidR="00720726" w14:paraId="2FA2E10F" w14:textId="77777777">
        <w:tc>
          <w:tcPr>
            <w:tcW w:w="1744" w:type="dxa"/>
          </w:tcPr>
          <w:p w14:paraId="0A7E3868"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Perceived Behavioural Control</w:t>
            </w:r>
          </w:p>
        </w:tc>
        <w:tc>
          <w:tcPr>
            <w:tcW w:w="1708" w:type="dxa"/>
          </w:tcPr>
          <w:p w14:paraId="2746A18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Individual’s perception of ease or difficulty of performing the behaviour</w:t>
            </w:r>
          </w:p>
        </w:tc>
        <w:tc>
          <w:tcPr>
            <w:tcW w:w="2030" w:type="dxa"/>
          </w:tcPr>
          <w:p w14:paraId="5BB0B22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Provide accessible and affordable CSR options, clear product information</w:t>
            </w:r>
          </w:p>
        </w:tc>
        <w:tc>
          <w:tcPr>
            <w:tcW w:w="1784" w:type="dxa"/>
          </w:tcPr>
          <w:p w14:paraId="24AE8B4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Affordable own-brand sustainable products, clear eco-labels and in-store guidance</w:t>
            </w:r>
          </w:p>
        </w:tc>
        <w:tc>
          <w:tcPr>
            <w:tcW w:w="1750" w:type="dxa"/>
          </w:tcPr>
          <w:p w14:paraId="572132B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Increases confidence and ability to make ethical purchase decisions</w:t>
            </w:r>
          </w:p>
        </w:tc>
      </w:tr>
      <w:tr w:rsidR="00720726" w14:paraId="0DAA78EF" w14:textId="77777777">
        <w:tc>
          <w:tcPr>
            <w:tcW w:w="1744" w:type="dxa"/>
          </w:tcPr>
          <w:p w14:paraId="16A0C2BC"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Behavioural Intention</w:t>
            </w:r>
          </w:p>
        </w:tc>
        <w:tc>
          <w:tcPr>
            <w:tcW w:w="1708" w:type="dxa"/>
          </w:tcPr>
          <w:p w14:paraId="305B684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Individual’s readiness to </w:t>
            </w:r>
            <w:r>
              <w:rPr>
                <w:rFonts w:ascii="Arial" w:eastAsia="Arial" w:hAnsi="Arial" w:cs="Arial"/>
                <w:sz w:val="24"/>
                <w:szCs w:val="24"/>
              </w:rPr>
              <w:lastRenderedPageBreak/>
              <w:t>perform a behaviour</w:t>
            </w:r>
          </w:p>
        </w:tc>
        <w:tc>
          <w:tcPr>
            <w:tcW w:w="2030" w:type="dxa"/>
          </w:tcPr>
          <w:p w14:paraId="3DBD798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Integrate CSR messaging </w:t>
            </w:r>
            <w:r>
              <w:rPr>
                <w:rFonts w:ascii="Arial" w:eastAsia="Arial" w:hAnsi="Arial" w:cs="Arial"/>
                <w:sz w:val="24"/>
                <w:szCs w:val="24"/>
              </w:rPr>
              <w:lastRenderedPageBreak/>
              <w:t>consistently across channels to reinforce intention</w:t>
            </w:r>
          </w:p>
        </w:tc>
        <w:tc>
          <w:tcPr>
            <w:tcW w:w="1784" w:type="dxa"/>
          </w:tcPr>
          <w:p w14:paraId="28EB762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Loyalty programs </w:t>
            </w:r>
            <w:r>
              <w:rPr>
                <w:rFonts w:ascii="Arial" w:eastAsia="Arial" w:hAnsi="Arial" w:cs="Arial"/>
                <w:sz w:val="24"/>
                <w:szCs w:val="24"/>
              </w:rPr>
              <w:lastRenderedPageBreak/>
              <w:t>linked with sustainable choices, promotions on ethical products</w:t>
            </w:r>
          </w:p>
        </w:tc>
        <w:tc>
          <w:tcPr>
            <w:tcW w:w="1750" w:type="dxa"/>
          </w:tcPr>
          <w:p w14:paraId="6C1F73C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Strengthens intention, </w:t>
            </w:r>
            <w:r>
              <w:rPr>
                <w:rFonts w:ascii="Arial" w:eastAsia="Arial" w:hAnsi="Arial" w:cs="Arial"/>
                <w:sz w:val="24"/>
                <w:szCs w:val="24"/>
              </w:rPr>
              <w:lastRenderedPageBreak/>
              <w:t>leading to actual purchasing behaviour</w:t>
            </w:r>
          </w:p>
        </w:tc>
      </w:tr>
    </w:tbl>
    <w:p w14:paraId="5FEE2D3B" w14:textId="77777777" w:rsidR="00720726" w:rsidRDefault="00720726">
      <w:pPr>
        <w:spacing w:line="360" w:lineRule="auto"/>
        <w:jc w:val="both"/>
        <w:rPr>
          <w:rFonts w:ascii="Arial" w:eastAsia="Arial" w:hAnsi="Arial" w:cs="Arial"/>
          <w:sz w:val="24"/>
          <w:szCs w:val="24"/>
        </w:rPr>
      </w:pPr>
    </w:p>
    <w:p w14:paraId="4F4A2A6B" w14:textId="77777777" w:rsidR="00720726" w:rsidRDefault="00000000">
      <w:pPr>
        <w:pStyle w:val="Heading3"/>
      </w:pPr>
      <w:bookmarkStart w:id="24" w:name="_wy8v0k4lv90l" w:colFirst="0" w:colLast="0"/>
      <w:bookmarkEnd w:id="24"/>
      <w:r>
        <w:t>2.2.4 Signalling Theory</w:t>
      </w:r>
    </w:p>
    <w:p w14:paraId="6B4A199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Signalling Theory describes the way in which firms send credible information to minimize information asymmetry between firms and consumers (Spence, 2020). CSR activities serve as an indicator of corporate responsibility, reliability and ethical obligation. These messages may be in different formats such as third-party certifications (e.g., Fairtrade, ISO 14001), sustainability reports, transparent supply chain disclosures, and digital marketing demonstrating community involvement.</w:t>
      </w:r>
    </w:p>
    <w:p w14:paraId="14C5BEE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According to Lee and Carroll (2021), the signals of CSR are especially effective when they are independently verified or supported by reputable organisations since they enhance consumer confidence and reduce the perception of greenwashing. To take one example, the transparency by Zara of the sustainable sourcing of fabrics can be seen as an indication of a company committed to environmental responsibility, which in turn will increase the purchase intention as well as enabling the company to justify the premium pricing. The Signalling Theory is thus complementary to TPB and Stakeholder Theory, in that it concentrates on communication processes that convert CSR practices into consumer trust and behavioural results.</w:t>
      </w:r>
    </w:p>
    <w:p w14:paraId="013A861C" w14:textId="77777777" w:rsidR="00720726" w:rsidRDefault="00000000">
      <w:pPr>
        <w:keepNext/>
        <w:spacing w:line="360" w:lineRule="auto"/>
        <w:jc w:val="center"/>
      </w:pPr>
      <w:r>
        <w:rPr>
          <w:rFonts w:ascii="Arial" w:eastAsia="Arial" w:hAnsi="Arial" w:cs="Arial"/>
          <w:noProof/>
          <w:sz w:val="24"/>
          <w:szCs w:val="24"/>
        </w:rPr>
        <w:drawing>
          <wp:inline distT="0" distB="0" distL="0" distR="0" wp14:anchorId="18EAEE37" wp14:editId="07C165F6">
            <wp:extent cx="2745187" cy="1683428"/>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2745187" cy="1683428"/>
                    </a:xfrm>
                    <a:prstGeom prst="rect">
                      <a:avLst/>
                    </a:prstGeom>
                    <a:ln/>
                  </pic:spPr>
                </pic:pic>
              </a:graphicData>
            </a:graphic>
          </wp:inline>
        </w:drawing>
      </w:r>
    </w:p>
    <w:p w14:paraId="3D3784E3" w14:textId="77777777" w:rsidR="00720726" w:rsidRDefault="00000000">
      <w:pPr>
        <w:pBdr>
          <w:top w:val="nil"/>
          <w:left w:val="nil"/>
          <w:bottom w:val="nil"/>
          <w:right w:val="nil"/>
          <w:between w:val="nil"/>
        </w:pBdr>
        <w:spacing w:after="200" w:line="480" w:lineRule="auto"/>
        <w:jc w:val="center"/>
        <w:rPr>
          <w:rFonts w:ascii="Arial" w:eastAsia="Arial" w:hAnsi="Arial" w:cs="Arial"/>
          <w:b/>
          <w:bCs/>
          <w:i/>
          <w:iCs/>
          <w:color w:val="1F497D"/>
          <w:sz w:val="24"/>
          <w:szCs w:val="24"/>
        </w:rPr>
      </w:pPr>
      <w:bookmarkStart w:id="25" w:name="_iaa078ymjyo" w:colFirst="0" w:colLast="0"/>
      <w:bookmarkEnd w:id="25"/>
      <w:r>
        <w:rPr>
          <w:rFonts w:ascii="Arial" w:eastAsia="Arial" w:hAnsi="Arial" w:cs="Arial"/>
          <w:b/>
          <w:bCs/>
          <w:i/>
          <w:iCs/>
          <w:color w:val="1F497D"/>
          <w:sz w:val="24"/>
          <w:szCs w:val="24"/>
        </w:rPr>
        <w:t>Figure 2: CSR Signalling Flowchart from Corporate Actions to Consumer Purchase Intention</w:t>
      </w:r>
    </w:p>
    <w:p w14:paraId="15F1D275" w14:textId="77777777" w:rsidR="00720726" w:rsidRDefault="00000000">
      <w:pPr>
        <w:pStyle w:val="Heading3"/>
      </w:pPr>
      <w:bookmarkStart w:id="26" w:name="_27rwc94i20xf" w:colFirst="0" w:colLast="0"/>
      <w:bookmarkEnd w:id="26"/>
      <w:r>
        <w:lastRenderedPageBreak/>
        <w:t>2.2.5 Integration of Theories</w:t>
      </w:r>
    </w:p>
    <w:p w14:paraId="7923973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Although each of the theories presents a distinct approach, they all offer a complete picture of how CSR has an impact on consumer behaviour:</w:t>
      </w:r>
    </w:p>
    <w:p w14:paraId="656CE21C" w14:textId="77777777" w:rsidR="00720726" w:rsidRDefault="00000000">
      <w:pPr>
        <w:numPr>
          <w:ilvl w:val="0"/>
          <w:numId w:val="7"/>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The Stakeholder Theory puts the concept of CSR into perspective as part of strategic reaction to various constituencies.</w:t>
      </w:r>
    </w:p>
    <w:p w14:paraId="1D2B30CE" w14:textId="77777777" w:rsidR="00720726" w:rsidRDefault="00000000">
      <w:pPr>
        <w:numPr>
          <w:ilvl w:val="0"/>
          <w:numId w:val="7"/>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Social Identity Theory delineates the emotional and value-based relationship between customers and ethical brands.</w:t>
      </w:r>
    </w:p>
    <w:p w14:paraId="1CFC0024" w14:textId="77777777" w:rsidR="00720726" w:rsidRDefault="00000000">
      <w:pPr>
        <w:numPr>
          <w:ilvl w:val="0"/>
          <w:numId w:val="7"/>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The Planned Behaviour Theory explains the way CSR influences intentions and decision making.</w:t>
      </w:r>
    </w:p>
    <w:p w14:paraId="0A9E2C7D" w14:textId="77777777" w:rsidR="00720726" w:rsidRDefault="00000000">
      <w:pPr>
        <w:numPr>
          <w:ilvl w:val="0"/>
          <w:numId w:val="7"/>
        </w:numPr>
        <w:pBdr>
          <w:top w:val="nil"/>
          <w:left w:val="nil"/>
          <w:bottom w:val="nil"/>
          <w:right w:val="nil"/>
          <w:between w:val="nil"/>
        </w:pBdr>
        <w:spacing w:line="360" w:lineRule="auto"/>
        <w:jc w:val="both"/>
        <w:rPr>
          <w:color w:val="000000"/>
          <w:sz w:val="24"/>
          <w:szCs w:val="24"/>
        </w:rPr>
      </w:pPr>
      <w:r>
        <w:rPr>
          <w:rFonts w:ascii="Arial" w:eastAsia="Arial" w:hAnsi="Arial" w:cs="Arial"/>
          <w:color w:val="000000"/>
          <w:sz w:val="24"/>
          <w:szCs w:val="24"/>
        </w:rPr>
        <w:t>Signalling Theory shows how the CSR actions are signalled in an effective way that would help in winning the trust of the people involved.</w:t>
      </w:r>
    </w:p>
    <w:p w14:paraId="711D6ED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By combining these frameworks, researchers and practitioners can study CSR in its entirety: both the motivation behind corporate activities and the psychological processes that affect consumer choices and the processes that transform CSR into behavioural consequences.</w:t>
      </w:r>
    </w:p>
    <w:p w14:paraId="1132B149" w14:textId="77777777" w:rsidR="00720726" w:rsidRDefault="00000000">
      <w:pPr>
        <w:pStyle w:val="Heading2"/>
      </w:pPr>
      <w:bookmarkStart w:id="27" w:name="_vxxf1g69fuix" w:colFirst="0" w:colLast="0"/>
      <w:bookmarkEnd w:id="27"/>
      <w:r>
        <w:t xml:space="preserve">2.3 Ethical Consumption and Consumer Behaviour. </w:t>
      </w:r>
    </w:p>
    <w:p w14:paraId="60C7FC6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Ethical consumption has become an important prism through which to think about modern consumer behaviour, especially in a corporate social responsibility (CSR) context. Consumers are increasingly considering brands based on their ethical behaviour, sustainability, and social responsibility, on top of the quality or price of the product. This section explores the concept, drivers, and mechanisms behind ethical consumption, the moderating factors, and the criticisms that influence the extent to which ethical consumption influences consumer decision-making.</w:t>
      </w:r>
    </w:p>
    <w:p w14:paraId="732A24A6" w14:textId="77777777" w:rsidR="00720726" w:rsidRDefault="00000000">
      <w:pPr>
        <w:pStyle w:val="Heading3"/>
      </w:pPr>
      <w:bookmarkStart w:id="28" w:name="_i9uo5p12im6n" w:colFirst="0" w:colLast="0"/>
      <w:bookmarkEnd w:id="28"/>
      <w:r>
        <w:t>2.3.1 Defining Ethical Consumption</w:t>
      </w:r>
    </w:p>
    <w:p w14:paraId="32CCE778"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Ethical consumption is purchasing behaviours that are informed by moral and social factors, such as concern over human rights, labour practices, environmental sustainability, and corporate governance (Hobson and Lynch, 2020). Ethical consumers are active consumers who are actively seeking products and brands that express their personal values and perhaps put these considerations first in mind when making purchasing decisions. Ethical consumption, in its CSR context, redefines purchasing as a socially valuable activity, in which consumers contribute to the welfare of the society through their consumption. </w:t>
      </w:r>
    </w:p>
    <w:p w14:paraId="79D8C779" w14:textId="77777777" w:rsidR="00720726" w:rsidRDefault="00000000">
      <w:pPr>
        <w:keepNext/>
        <w:spacing w:line="360" w:lineRule="auto"/>
        <w:jc w:val="center"/>
      </w:pPr>
      <w:r>
        <w:rPr>
          <w:rFonts w:ascii="Arial" w:eastAsia="Arial" w:hAnsi="Arial" w:cs="Arial"/>
          <w:noProof/>
          <w:sz w:val="24"/>
          <w:szCs w:val="24"/>
        </w:rPr>
        <w:lastRenderedPageBreak/>
        <w:drawing>
          <wp:inline distT="0" distB="0" distL="0" distR="0" wp14:anchorId="217147C4" wp14:editId="11DAE2ED">
            <wp:extent cx="3472759" cy="216807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3472759" cy="2168070"/>
                    </a:xfrm>
                    <a:prstGeom prst="rect">
                      <a:avLst/>
                    </a:prstGeom>
                    <a:ln/>
                  </pic:spPr>
                </pic:pic>
              </a:graphicData>
            </a:graphic>
          </wp:inline>
        </w:drawing>
      </w:r>
    </w:p>
    <w:p w14:paraId="0C6967D8" w14:textId="77777777" w:rsidR="00720726" w:rsidRDefault="00000000">
      <w:pPr>
        <w:pBdr>
          <w:top w:val="nil"/>
          <w:left w:val="nil"/>
          <w:bottom w:val="nil"/>
          <w:right w:val="nil"/>
          <w:between w:val="nil"/>
        </w:pBdr>
        <w:spacing w:after="200" w:line="480" w:lineRule="auto"/>
        <w:jc w:val="center"/>
        <w:rPr>
          <w:rFonts w:ascii="Arial" w:eastAsia="Arial" w:hAnsi="Arial" w:cs="Arial"/>
          <w:b/>
          <w:bCs/>
          <w:i/>
          <w:iCs/>
          <w:color w:val="1F497D"/>
          <w:sz w:val="24"/>
          <w:szCs w:val="24"/>
        </w:rPr>
      </w:pPr>
      <w:bookmarkStart w:id="29" w:name="_jb9b3hmsqhmg" w:colFirst="0" w:colLast="0"/>
      <w:bookmarkEnd w:id="29"/>
      <w:r>
        <w:rPr>
          <w:rFonts w:ascii="Arial Unicode MS" w:eastAsia="Arial Unicode MS" w:hAnsi="Arial Unicode MS" w:cs="Arial Unicode MS"/>
          <w:b/>
          <w:bCs/>
          <w:i/>
          <w:iCs/>
          <w:color w:val="1F497D"/>
          <w:sz w:val="24"/>
          <w:szCs w:val="24"/>
        </w:rPr>
        <w:t>Figure 3: Conceptual model of ethical consumption, linking consumer values → CSR perception → purchase intention</w:t>
      </w:r>
    </w:p>
    <w:p w14:paraId="42C178C0" w14:textId="77777777" w:rsidR="00720726" w:rsidRDefault="00000000">
      <w:pPr>
        <w:pStyle w:val="Heading3"/>
      </w:pPr>
      <w:bookmarkStart w:id="30" w:name="_eecgwtvxaca0" w:colFirst="0" w:colLast="0"/>
      <w:bookmarkEnd w:id="30"/>
      <w:r>
        <w:t>2.3.2 Drivers of Ethical Consumption</w:t>
      </w:r>
    </w:p>
    <w:p w14:paraId="134228D5"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dynamics of ethical consumption is a complicated interaction of personal, social, and cultural aspects. The basis is personal values and moral beliefs, which drive consumers to promote a brand that benefits their ethical interests (White et al., 2021). The other powerful force is environmental awareness where the climate-conscious consumers are becoming more inclined to buy brands that have sustainable practices and whose products are environmentally friendly. Ethical purchasing is also influenced by social influence and cultural norms, as consumers are driven by social approval to make the purchase or conform their behaviour to that of their peer group (Yoon &amp; Song, 2022).</w:t>
      </w:r>
    </w:p>
    <w:p w14:paraId="6C25270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Demographics have a role to play: younger consumers, especially Millennials and Gen Z, exhibit a stronger tendency towards ethical consumption because of their greater awareness of social issues and access to digital information about the corporate practices. Psychological theories propose that ethical consumers incorporate the information about CSR within decision heuristics, which results in the preference of brands that show transparent and socially responsible practices.</w:t>
      </w:r>
    </w:p>
    <w:p w14:paraId="685630F8" w14:textId="77777777" w:rsidR="00720726" w:rsidRDefault="00720726">
      <w:pPr>
        <w:spacing w:line="360" w:lineRule="auto"/>
        <w:jc w:val="both"/>
        <w:rPr>
          <w:rFonts w:ascii="Arial" w:eastAsia="Arial" w:hAnsi="Arial" w:cs="Arial"/>
          <w:sz w:val="24"/>
          <w:szCs w:val="24"/>
        </w:rPr>
      </w:pPr>
    </w:p>
    <w:p w14:paraId="4DA1919B" w14:textId="77777777" w:rsidR="00720726" w:rsidRDefault="00720726">
      <w:pPr>
        <w:spacing w:line="360" w:lineRule="auto"/>
        <w:jc w:val="both"/>
        <w:rPr>
          <w:rFonts w:ascii="Arial" w:eastAsia="Arial" w:hAnsi="Arial" w:cs="Arial"/>
          <w:sz w:val="24"/>
          <w:szCs w:val="24"/>
        </w:rPr>
      </w:pPr>
    </w:p>
    <w:p w14:paraId="4A5BB648" w14:textId="77777777" w:rsidR="00720726" w:rsidRDefault="00000000">
      <w:pPr>
        <w:keepNext/>
        <w:pBdr>
          <w:top w:val="nil"/>
          <w:left w:val="nil"/>
          <w:bottom w:val="nil"/>
          <w:right w:val="nil"/>
          <w:between w:val="nil"/>
        </w:pBdr>
        <w:spacing w:after="200" w:line="480" w:lineRule="auto"/>
        <w:rPr>
          <w:rFonts w:ascii="Arial" w:eastAsia="Arial" w:hAnsi="Arial" w:cs="Arial"/>
          <w:b/>
          <w:bCs/>
          <w:i/>
          <w:iCs/>
          <w:color w:val="1F497D"/>
          <w:sz w:val="24"/>
          <w:szCs w:val="24"/>
        </w:rPr>
      </w:pPr>
      <w:bookmarkStart w:id="31" w:name="_vnircgflfin4" w:colFirst="0" w:colLast="0"/>
      <w:bookmarkEnd w:id="31"/>
      <w:r>
        <w:rPr>
          <w:rFonts w:ascii="Arial" w:eastAsia="Arial" w:hAnsi="Arial" w:cs="Arial"/>
          <w:b/>
          <w:bCs/>
          <w:i/>
          <w:iCs/>
          <w:color w:val="1F497D"/>
          <w:sz w:val="24"/>
          <w:szCs w:val="24"/>
        </w:rPr>
        <w:lastRenderedPageBreak/>
        <w:t>Table 3: Key Drivers of Ethical Consumption</w:t>
      </w:r>
    </w:p>
    <w:tbl>
      <w:tblPr>
        <w:tblStyle w:val="a3"/>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5"/>
        <w:gridCol w:w="3005"/>
        <w:gridCol w:w="3006"/>
      </w:tblGrid>
      <w:tr w:rsidR="00720726" w14:paraId="46994C38" w14:textId="77777777">
        <w:tc>
          <w:tcPr>
            <w:tcW w:w="3005" w:type="dxa"/>
          </w:tcPr>
          <w:p w14:paraId="3B6CD33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Driver</w:t>
            </w:r>
          </w:p>
        </w:tc>
        <w:tc>
          <w:tcPr>
            <w:tcW w:w="3005" w:type="dxa"/>
          </w:tcPr>
          <w:p w14:paraId="58F0479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Description</w:t>
            </w:r>
          </w:p>
        </w:tc>
        <w:tc>
          <w:tcPr>
            <w:tcW w:w="3006" w:type="dxa"/>
          </w:tcPr>
          <w:p w14:paraId="14F643F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Example</w:t>
            </w:r>
          </w:p>
        </w:tc>
      </w:tr>
      <w:tr w:rsidR="00720726" w14:paraId="104F3BA5" w14:textId="77777777">
        <w:tc>
          <w:tcPr>
            <w:tcW w:w="3005" w:type="dxa"/>
          </w:tcPr>
          <w:p w14:paraId="020DC7C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Personal Values</w:t>
            </w:r>
          </w:p>
        </w:tc>
        <w:tc>
          <w:tcPr>
            <w:tcW w:w="3005" w:type="dxa"/>
          </w:tcPr>
          <w:p w14:paraId="65B4EE8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Moral and ethical beliefs guiding purchases</w:t>
            </w:r>
          </w:p>
        </w:tc>
        <w:tc>
          <w:tcPr>
            <w:tcW w:w="3006" w:type="dxa"/>
          </w:tcPr>
          <w:p w14:paraId="6930CDAC"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Choosing cruelty-free products</w:t>
            </w:r>
          </w:p>
        </w:tc>
      </w:tr>
      <w:tr w:rsidR="00720726" w14:paraId="3BB9AF76" w14:textId="77777777">
        <w:tc>
          <w:tcPr>
            <w:tcW w:w="3005" w:type="dxa"/>
          </w:tcPr>
          <w:p w14:paraId="4AAFDB98"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Environmental Concern</w:t>
            </w:r>
          </w:p>
        </w:tc>
        <w:tc>
          <w:tcPr>
            <w:tcW w:w="3005" w:type="dxa"/>
          </w:tcPr>
          <w:p w14:paraId="578827F7"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Desire to reduce ecological footprint</w:t>
            </w:r>
          </w:p>
        </w:tc>
        <w:tc>
          <w:tcPr>
            <w:tcW w:w="3006" w:type="dxa"/>
          </w:tcPr>
          <w:p w14:paraId="1D720F17"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Buying sustainable fabrics</w:t>
            </w:r>
          </w:p>
        </w:tc>
      </w:tr>
      <w:tr w:rsidR="00720726" w14:paraId="5E35D907" w14:textId="77777777">
        <w:tc>
          <w:tcPr>
            <w:tcW w:w="3005" w:type="dxa"/>
          </w:tcPr>
          <w:p w14:paraId="5D8D0DF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Social Influence</w:t>
            </w:r>
          </w:p>
        </w:tc>
        <w:tc>
          <w:tcPr>
            <w:tcW w:w="3005" w:type="dxa"/>
          </w:tcPr>
          <w:p w14:paraId="075EB819"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Peer and community expectations</w:t>
            </w:r>
          </w:p>
        </w:tc>
        <w:tc>
          <w:tcPr>
            <w:tcW w:w="3006" w:type="dxa"/>
          </w:tcPr>
          <w:p w14:paraId="57C93CF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Supporting socially conscious brands</w:t>
            </w:r>
          </w:p>
        </w:tc>
      </w:tr>
      <w:tr w:rsidR="00720726" w14:paraId="415BB153" w14:textId="77777777">
        <w:tc>
          <w:tcPr>
            <w:tcW w:w="3005" w:type="dxa"/>
          </w:tcPr>
          <w:p w14:paraId="52D3CBF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Cultural Norms</w:t>
            </w:r>
          </w:p>
        </w:tc>
        <w:tc>
          <w:tcPr>
            <w:tcW w:w="3005" w:type="dxa"/>
          </w:tcPr>
          <w:p w14:paraId="2243B3B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Societal expectations regarding ethics</w:t>
            </w:r>
          </w:p>
        </w:tc>
        <w:tc>
          <w:tcPr>
            <w:tcW w:w="3006" w:type="dxa"/>
          </w:tcPr>
          <w:p w14:paraId="1A5170A9"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Preference for local ethical sourcing</w:t>
            </w:r>
          </w:p>
        </w:tc>
      </w:tr>
    </w:tbl>
    <w:p w14:paraId="75AEA440" w14:textId="77777777" w:rsidR="00720726" w:rsidRDefault="00720726">
      <w:pPr>
        <w:spacing w:line="360" w:lineRule="auto"/>
        <w:jc w:val="both"/>
        <w:rPr>
          <w:rFonts w:ascii="Arial" w:eastAsia="Arial" w:hAnsi="Arial" w:cs="Arial"/>
          <w:sz w:val="24"/>
          <w:szCs w:val="24"/>
        </w:rPr>
      </w:pPr>
    </w:p>
    <w:p w14:paraId="47E0290E" w14:textId="77777777" w:rsidR="00720726" w:rsidRDefault="00000000">
      <w:pPr>
        <w:pStyle w:val="Heading3"/>
      </w:pPr>
      <w:bookmarkStart w:id="32" w:name="_iqxmtxerrpfx" w:colFirst="0" w:colLast="0"/>
      <w:bookmarkEnd w:id="32"/>
      <w:r>
        <w:t>2.3.3 CSR and Purchase Decision Processes</w:t>
      </w:r>
    </w:p>
    <w:p w14:paraId="7D93D70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activities of CSR affect various steps of the consumer decision making process. In the process of problem recognition, socially and environmentally conscious consumers include social and environmental effects as one of the criteria of brand evaluation. Information search and evaluation stages increasingly incorporate CSR cues, such as sustainability certifications, charitable initiatives, and transparent reporting (Mohr et al., 2021). Ethical consumers understand these cues as a measure of quality, reliability and corporate legitimacy of a product.</w:t>
      </w:r>
    </w:p>
    <w:p w14:paraId="2BACF25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It also affects post-purchase evaluation; CSR-active brands experience a positive reinforcement effect as they buy and make a personal value out of it. Rahman et al. (2022) demonstrate that consumers are better inclined to pay high prices and are loyal to the brands with credible CSR programs. </w:t>
      </w:r>
    </w:p>
    <w:p w14:paraId="24D9186B" w14:textId="77777777" w:rsidR="00720726" w:rsidRDefault="00000000">
      <w:pPr>
        <w:keepNext/>
        <w:spacing w:line="360" w:lineRule="auto"/>
        <w:jc w:val="center"/>
      </w:pPr>
      <w:r>
        <w:rPr>
          <w:rFonts w:ascii="Arial" w:eastAsia="Arial" w:hAnsi="Arial" w:cs="Arial"/>
          <w:noProof/>
          <w:sz w:val="24"/>
          <w:szCs w:val="24"/>
        </w:rPr>
        <w:drawing>
          <wp:inline distT="0" distB="0" distL="0" distR="0" wp14:anchorId="154064D5" wp14:editId="626904D6">
            <wp:extent cx="2920095" cy="1802009"/>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2920095" cy="1802009"/>
                    </a:xfrm>
                    <a:prstGeom prst="rect">
                      <a:avLst/>
                    </a:prstGeom>
                    <a:ln/>
                  </pic:spPr>
                </pic:pic>
              </a:graphicData>
            </a:graphic>
          </wp:inline>
        </w:drawing>
      </w:r>
    </w:p>
    <w:p w14:paraId="378A988A" w14:textId="77777777" w:rsidR="00720726" w:rsidRDefault="00000000">
      <w:pPr>
        <w:pBdr>
          <w:top w:val="nil"/>
          <w:left w:val="nil"/>
          <w:bottom w:val="nil"/>
          <w:right w:val="nil"/>
          <w:between w:val="nil"/>
        </w:pBdr>
        <w:spacing w:after="200" w:line="480" w:lineRule="auto"/>
        <w:jc w:val="center"/>
        <w:rPr>
          <w:rFonts w:ascii="Arial" w:eastAsia="Arial" w:hAnsi="Arial" w:cs="Arial"/>
          <w:b/>
          <w:bCs/>
          <w:i/>
          <w:iCs/>
          <w:color w:val="1F497D"/>
          <w:sz w:val="24"/>
          <w:szCs w:val="24"/>
        </w:rPr>
      </w:pPr>
      <w:bookmarkStart w:id="33" w:name="_pmczqqcnugy3" w:colFirst="0" w:colLast="0"/>
      <w:bookmarkEnd w:id="33"/>
      <w:r>
        <w:rPr>
          <w:rFonts w:ascii="Arial" w:eastAsia="Arial" w:hAnsi="Arial" w:cs="Arial"/>
          <w:b/>
          <w:bCs/>
          <w:i/>
          <w:iCs/>
          <w:color w:val="1F497D"/>
          <w:sz w:val="24"/>
          <w:szCs w:val="24"/>
        </w:rPr>
        <w:t>Figure 4: CSR influence across consumer decision-making stages</w:t>
      </w:r>
    </w:p>
    <w:p w14:paraId="5B0AAD8A" w14:textId="77777777" w:rsidR="00720726" w:rsidRDefault="00000000">
      <w:pPr>
        <w:pStyle w:val="Heading3"/>
      </w:pPr>
      <w:bookmarkStart w:id="34" w:name="_13615lc0enew" w:colFirst="0" w:colLast="0"/>
      <w:bookmarkEnd w:id="34"/>
      <w:r>
        <w:lastRenderedPageBreak/>
        <w:t>2.3.4 Moderators of CSR Effects</w:t>
      </w:r>
    </w:p>
    <w:p w14:paraId="43B064F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effect of CSR on the consumer behaviour is not always the same; there are several moderating factors that determine effectiveness. The level of responsiveness to CSR messaging is influenced by socio-demographic factors, namely age, income, education, and gender (Singh and Verma, 2023). The background cultural context is also a factor since the perceptions of ethical responsibility are influenced by norms and values. Personal ethical orientation - such as environmental awareness and moral identity - enhances the power of CSR, with price sensitivity or budget constraints having the potential to invigorate responses.</w:t>
      </w:r>
    </w:p>
    <w:p w14:paraId="611D5B4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To illustrate, an educated and green UK consumer will be strongly influenced by the sustainability campaigns of Zara, but an impoverished consumer will be more concerned with price and trendiness than with the claims of the sustainability of the clothes being sold. </w:t>
      </w:r>
    </w:p>
    <w:p w14:paraId="3E437195" w14:textId="77777777" w:rsidR="00720726" w:rsidRDefault="00000000">
      <w:pPr>
        <w:pStyle w:val="Heading3"/>
      </w:pPr>
      <w:bookmarkStart w:id="35" w:name="_i7vh2l23m9sn" w:colFirst="0" w:colLast="0"/>
      <w:bookmarkEnd w:id="35"/>
      <w:r>
        <w:t>2.3.5 Ethical Consumption Critiques</w:t>
      </w:r>
    </w:p>
    <w:p w14:paraId="3C69433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Although ethical consumption has served to explain most of the consumer behaviours, its drawbacks have been pointed out. The difference between stated ethical principles and actual buying behaviour is known as the attitude-behaviour gap (Dean et al., 2022). Consumers can talk about CSR rhetorically or on social media but not always follow ethical intentions due to convenience, price, or habit. Responsiveness to CSR initiatives might also be decreased by ethical fatigue, a consequence of information overload or moral pressure.</w:t>
      </w:r>
    </w:p>
    <w:p w14:paraId="2D443F8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These criticisms highlight the complexity involved in predicting the purchase behaviour in the event that the perception of CSR is used in isolation. Successful CSR practices should take into account behavioural economics, nudging, and clear communication to transform the attitude towards ethical buying into actual purchasing behaviour. </w:t>
      </w:r>
    </w:p>
    <w:p w14:paraId="2E467191" w14:textId="77777777" w:rsidR="00720726" w:rsidRDefault="00000000">
      <w:pPr>
        <w:keepNext/>
        <w:pBdr>
          <w:top w:val="nil"/>
          <w:left w:val="nil"/>
          <w:bottom w:val="nil"/>
          <w:right w:val="nil"/>
          <w:between w:val="nil"/>
        </w:pBdr>
        <w:spacing w:after="200" w:line="480" w:lineRule="auto"/>
        <w:rPr>
          <w:rFonts w:ascii="Arial" w:eastAsia="Arial" w:hAnsi="Arial" w:cs="Arial"/>
          <w:b/>
          <w:bCs/>
          <w:i/>
          <w:iCs/>
          <w:color w:val="1F497D"/>
          <w:sz w:val="24"/>
          <w:szCs w:val="24"/>
        </w:rPr>
      </w:pPr>
      <w:bookmarkStart w:id="36" w:name="_1mmo4yl4yc9t" w:colFirst="0" w:colLast="0"/>
      <w:bookmarkEnd w:id="36"/>
      <w:r>
        <w:rPr>
          <w:rFonts w:ascii="Arial" w:eastAsia="Arial" w:hAnsi="Arial" w:cs="Arial"/>
          <w:b/>
          <w:bCs/>
          <w:i/>
          <w:iCs/>
          <w:color w:val="1F497D"/>
          <w:sz w:val="24"/>
          <w:szCs w:val="24"/>
        </w:rPr>
        <w:t>Table 4: Summary of Ethical Consumption Moderators and Barriers</w:t>
      </w:r>
    </w:p>
    <w:tbl>
      <w:tblPr>
        <w:tblStyle w:val="a4"/>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5"/>
        <w:gridCol w:w="3005"/>
        <w:gridCol w:w="3006"/>
      </w:tblGrid>
      <w:tr w:rsidR="00720726" w14:paraId="37C5DB75" w14:textId="77777777">
        <w:tc>
          <w:tcPr>
            <w:tcW w:w="3005" w:type="dxa"/>
          </w:tcPr>
          <w:p w14:paraId="5F7F98BF"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Factor</w:t>
            </w:r>
          </w:p>
        </w:tc>
        <w:tc>
          <w:tcPr>
            <w:tcW w:w="3005" w:type="dxa"/>
          </w:tcPr>
          <w:p w14:paraId="3D13C5C2"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Impact on CSR Effectiveness</w:t>
            </w:r>
          </w:p>
        </w:tc>
        <w:tc>
          <w:tcPr>
            <w:tcW w:w="3006" w:type="dxa"/>
          </w:tcPr>
          <w:p w14:paraId="3A966C4F"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Example</w:t>
            </w:r>
          </w:p>
        </w:tc>
      </w:tr>
      <w:tr w:rsidR="00720726" w14:paraId="2A16213C" w14:textId="77777777">
        <w:tc>
          <w:tcPr>
            <w:tcW w:w="3005" w:type="dxa"/>
          </w:tcPr>
          <w:p w14:paraId="3C80D94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Ethical Orientation</w:t>
            </w:r>
          </w:p>
        </w:tc>
        <w:tc>
          <w:tcPr>
            <w:tcW w:w="3005" w:type="dxa"/>
          </w:tcPr>
          <w:p w14:paraId="361CD828"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Positive</w:t>
            </w:r>
          </w:p>
        </w:tc>
        <w:tc>
          <w:tcPr>
            <w:tcW w:w="3006" w:type="dxa"/>
          </w:tcPr>
          <w:p w14:paraId="0B9D3C1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Environmentally conscious consumer </w:t>
            </w:r>
            <w:r>
              <w:rPr>
                <w:rFonts w:ascii="Arial" w:eastAsia="Arial" w:hAnsi="Arial" w:cs="Arial"/>
                <w:sz w:val="24"/>
                <w:szCs w:val="24"/>
              </w:rPr>
              <w:lastRenderedPageBreak/>
              <w:t>prefers sustainable apparel</w:t>
            </w:r>
          </w:p>
        </w:tc>
      </w:tr>
      <w:tr w:rsidR="00720726" w14:paraId="40564D4F" w14:textId="77777777">
        <w:tc>
          <w:tcPr>
            <w:tcW w:w="3005" w:type="dxa"/>
          </w:tcPr>
          <w:p w14:paraId="2E05B218"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Price Sensitivity</w:t>
            </w:r>
          </w:p>
        </w:tc>
        <w:tc>
          <w:tcPr>
            <w:tcW w:w="3005" w:type="dxa"/>
          </w:tcPr>
          <w:p w14:paraId="2B8E1E8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Negative</w:t>
            </w:r>
          </w:p>
        </w:tc>
        <w:tc>
          <w:tcPr>
            <w:tcW w:w="3006" w:type="dxa"/>
          </w:tcPr>
          <w:p w14:paraId="0635284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Cost-conscious consumer chooses cheaper non-CSR products</w:t>
            </w:r>
          </w:p>
        </w:tc>
      </w:tr>
      <w:tr w:rsidR="00720726" w14:paraId="2E4E863A" w14:textId="77777777">
        <w:tc>
          <w:tcPr>
            <w:tcW w:w="3005" w:type="dxa"/>
          </w:tcPr>
          <w:p w14:paraId="49E0A7A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Cultural Norms</w:t>
            </w:r>
          </w:p>
        </w:tc>
        <w:tc>
          <w:tcPr>
            <w:tcW w:w="3005" w:type="dxa"/>
          </w:tcPr>
          <w:p w14:paraId="4A8D080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Mixed</w:t>
            </w:r>
          </w:p>
        </w:tc>
        <w:tc>
          <w:tcPr>
            <w:tcW w:w="3006" w:type="dxa"/>
          </w:tcPr>
          <w:p w14:paraId="1F7A34F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Social pressure to support ethical brands varies</w:t>
            </w:r>
          </w:p>
        </w:tc>
      </w:tr>
      <w:tr w:rsidR="00720726" w14:paraId="4827C8A6" w14:textId="77777777">
        <w:tc>
          <w:tcPr>
            <w:tcW w:w="3005" w:type="dxa"/>
          </w:tcPr>
          <w:p w14:paraId="15803624"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Ethical Fatigue</w:t>
            </w:r>
          </w:p>
        </w:tc>
        <w:tc>
          <w:tcPr>
            <w:tcW w:w="3005" w:type="dxa"/>
          </w:tcPr>
          <w:p w14:paraId="72A9B919"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Negative</w:t>
            </w:r>
          </w:p>
        </w:tc>
        <w:tc>
          <w:tcPr>
            <w:tcW w:w="3006" w:type="dxa"/>
          </w:tcPr>
          <w:p w14:paraId="742EF2DC"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Overexposure to CSR messaging reduces engagement</w:t>
            </w:r>
          </w:p>
        </w:tc>
      </w:tr>
    </w:tbl>
    <w:p w14:paraId="39496358"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w:t>
      </w:r>
    </w:p>
    <w:p w14:paraId="4F74F50B" w14:textId="77777777" w:rsidR="00720726" w:rsidRDefault="00000000">
      <w:pPr>
        <w:pStyle w:val="Heading2"/>
      </w:pPr>
      <w:bookmarkStart w:id="37" w:name="_4wnykwtnli2w" w:colFirst="0" w:colLast="0"/>
      <w:bookmarkEnd w:id="37"/>
      <w:r>
        <w:t xml:space="preserve">2.4 Past Research on CSR Relation to Buying Behaviour </w:t>
      </w:r>
    </w:p>
    <w:p w14:paraId="54E98B2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This section gives a critical and empirical review of available literature that explores the relationship between Corporate Social Responsibility (CSR) and consumer buying behaviour. It assesses the extent of research, methods used in the research, and the main findings, which provides a systematic view of how CSR can affect consumer decision-making in various settings.</w:t>
      </w:r>
    </w:p>
    <w:p w14:paraId="1E8D1192" w14:textId="77777777" w:rsidR="00720726" w:rsidRDefault="00000000">
      <w:pPr>
        <w:pStyle w:val="Heading3"/>
      </w:pPr>
      <w:bookmarkStart w:id="38" w:name="_qxt6h796si9y" w:colFirst="0" w:colLast="0"/>
      <w:bookmarkEnd w:id="38"/>
      <w:r>
        <w:t>2.4.1 CSR and Purchase Intention</w:t>
      </w:r>
    </w:p>
    <w:p w14:paraId="24E7C7D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There is a large amount of empirical research that has addressed the relationship between CSR and consumer purchase intention in particular, in the retail and consumer goods sectors. The geographical focus of such studies is mainly global, with a strong focus on the developed markets such as the UK, Europe, and North America where consumer awareness of ethical concerns is relatively high (Martínez and del Bosque, 2020; Kim et al., 2021). Industries, including food retailing, fashion, and supermarkets, are the subject of numerous studies where CSR issues can be readily seen, such as sustainability and ethical sourcing.</w:t>
      </w:r>
    </w:p>
    <w:p w14:paraId="6AE92BC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Concerning the research methodology, the majority of studies can be characterized by a quantitative research design, where most of the studies employ structured surveys to gather consumer data. To test the correlation between CSR perception and purchase intention, statistical methods like regression analysis and structural equation modelling (SEM) are usually employed.</w:t>
      </w:r>
    </w:p>
    <w:p w14:paraId="0E40B055"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The most significant results are always positive between CSR and purchase intention. Consumers tend to buy more products of the brands, which demonstrate the responsible practices, in particular, when the CSR activities are clearly conveyed. Nonetheless, the intensity of this relationship differs based on the consumer awareness and assumed genuineness of CSR activities.</w:t>
      </w:r>
    </w:p>
    <w:p w14:paraId="62B97449" w14:textId="77777777" w:rsidR="00720726" w:rsidRDefault="00000000">
      <w:pPr>
        <w:pStyle w:val="Heading3"/>
      </w:pPr>
      <w:bookmarkStart w:id="39" w:name="_k7axvhr77ej8" w:colFirst="0" w:colLast="0"/>
      <w:bookmarkEnd w:id="39"/>
      <w:r>
        <w:t>2.4.2 CSR Communication and Consumer Perception.</w:t>
      </w:r>
    </w:p>
    <w:p w14:paraId="7FAEF254"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other significant line of research is concerned with the way in which CSR communication has an impact on consumer perception and behaviour. These studies are in the scope of digital marketing environment, retail branding, and corporate communication strategies in global and regional markets. Numerous studies consider the process of delivering CSR messages via advertising, packaging, and social media.</w:t>
      </w:r>
    </w:p>
    <w:p w14:paraId="75936A3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methodological approaches to this area are usually based on experiment designs and survey-based research involving exposure of participants to various CSR messages. Respondents are then analysed through the help of statistical tools including correlation and regression analysis to determine the effectiveness of communication strategies.</w:t>
      </w:r>
    </w:p>
    <w:p w14:paraId="335F8B64"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main results indicate that open and regular communication of CSR could greatly improve consumer trust and participation (Silva and Moraes, 2022). On the other hand, ambiguous or overstated claims of CSR can cause credibility and result in scepticism. This emphasizes the need of authenticity and clarity in CSR messages as consumers are becoming more and more capable of differentiating between legitimate initiatives and marketing efforts that are superficial.</w:t>
      </w:r>
    </w:p>
    <w:p w14:paraId="73733E16" w14:textId="77777777" w:rsidR="00720726" w:rsidRDefault="00000000">
      <w:pPr>
        <w:pStyle w:val="Heading3"/>
      </w:pPr>
      <w:bookmarkStart w:id="40" w:name="_2fvj6e9p22t" w:colFirst="0" w:colLast="0"/>
      <w:bookmarkEnd w:id="40"/>
      <w:r>
        <w:t>2.4.3 Type of product and CSR effect.</w:t>
      </w:r>
    </w:p>
    <w:p w14:paraId="2721CC2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effect of CSR on purchasing behaviour also differs in different product lines. The research scope of this area covers areas like food retail, fashion and personal care where ethical concerns are directly related to production processes and supply chains (Zhang and Bhatt, 2021). Such researches tend to be in those industries where consumers are more concerned about such issues like environmental sustainability and labour practices.</w:t>
      </w:r>
    </w:p>
    <w:p w14:paraId="56A0C47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Regarding the methodology, researchers typically employ the comparative and cross-sectional survey designs and analyse consumer reaction to various product types. </w:t>
      </w:r>
      <w:r>
        <w:rPr>
          <w:rFonts w:ascii="Arial" w:eastAsia="Arial" w:hAnsi="Arial" w:cs="Arial"/>
          <w:sz w:val="24"/>
          <w:szCs w:val="24"/>
        </w:rPr>
        <w:lastRenderedPageBreak/>
        <w:t>There are also studies that utilize experimental techniques to compare consumer responses to CSR information in high-involvement and low-involvement products.</w:t>
      </w:r>
    </w:p>
    <w:p w14:paraId="709DBEB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main results include that CSR is even more important in product categories that are ethically sensitive, like food and clothing. Consumers will be more likely to take into account CSR factors when buying products that are directly linked with the environmental or social effects. </w:t>
      </w:r>
    </w:p>
    <w:p w14:paraId="6EAAD9EE" w14:textId="77777777" w:rsidR="00720726" w:rsidRDefault="00000000">
      <w:pPr>
        <w:pStyle w:val="Heading3"/>
      </w:pPr>
      <w:bookmarkStart w:id="41" w:name="_4nwtqmld3f9z" w:colFirst="0" w:colLast="0"/>
      <w:bookmarkEnd w:id="41"/>
      <w:r>
        <w:t>2.4.4 Geographical and Cultural Contexts.</w:t>
      </w:r>
    </w:p>
    <w:p w14:paraId="2B77831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CSR studies are also different in geographical and cultural settings. The area of these studies covers the cross-country comparisons between the developed and emerging markets. Numerous studies point to the differences in consumer reactions to CSR depending on the cultural values, economic conditions, and regulatory environments (Li and Peterson, 2023).</w:t>
      </w:r>
    </w:p>
    <w:p w14:paraId="22EDA88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procedure has generally been characterized by cross-cultural surveys and comparative statistical analysis as it enables the investigator to study how the perceptions toward CSR differ across regions.</w:t>
      </w:r>
    </w:p>
    <w:p w14:paraId="1268323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main results indicate that CSR is more effective in developed countries, where people are more concerned with ethical and environmental problems. However, the opposite is true in price-sensitive markets where CSR can have a lesser impact on purchase decisions. This implies that context is very critical in the determination of the success of CSR strategies.</w:t>
      </w:r>
    </w:p>
    <w:p w14:paraId="425A5D23" w14:textId="77777777" w:rsidR="00720726" w:rsidRDefault="00000000">
      <w:pPr>
        <w:pStyle w:val="Heading3"/>
      </w:pPr>
      <w:bookmarkStart w:id="42" w:name="_ay78jqn0hygw" w:colFirst="0" w:colLast="0"/>
      <w:bookmarkEnd w:id="42"/>
      <w:r>
        <w:t>2.4.5 CSR and Brand Trust.</w:t>
      </w:r>
    </w:p>
    <w:p w14:paraId="1FB3F1A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There is a considerable amount of literature devoted to the correlation between CSR and brand trust. These studies have a wide scope covering several industries such as retail, banking and consumer goods with a special focus on comprehending the role played by CSR in long-term customer relationships.</w:t>
      </w:r>
    </w:p>
    <w:p w14:paraId="554ADA74"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methodological approaches are usually survey-based quantitative research, which is often analysed using regression or SEM to examine the mediating relationships between the variables of CSR perception, trust and purchase intention.</w:t>
      </w:r>
    </w:p>
    <w:p w14:paraId="33AB69DC"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most significant ones are always brand trust, which is a major mediator between CSR and consumer buying behaviour (Tran and Harwood, 2022). CSR efforts contribute to building trust by indicating ethical accountability and transparency. </w:t>
      </w:r>
      <w:r>
        <w:rPr>
          <w:rFonts w:ascii="Arial" w:eastAsia="Arial" w:hAnsi="Arial" w:cs="Arial"/>
          <w:sz w:val="24"/>
          <w:szCs w:val="24"/>
        </w:rPr>
        <w:lastRenderedPageBreak/>
        <w:t>Nevertheless, when CSR activities are viewed to be insincere or false, it might decrease the trust and have a negative impact on consumer behaviour. This brings out the issue of credibility in the implementation of CSR.</w:t>
      </w:r>
    </w:p>
    <w:p w14:paraId="5208EEF8"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Overall Evaluation</w:t>
      </w:r>
    </w:p>
    <w:p w14:paraId="3BC475F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In sum, previous empirical studies indicate a great deal that CSR has a positive impact on consumer buying behaviour by engaging in mechanisms like trust, perception, and ethical alignment. Nevertheless, the review also shows that results are determined by such factors as the effectiveness of communication, the type of product, and the culture. Notably, there is still a dearth of UK-specific, retailer-oriented studies, which, in its turn, explains the necessity of conducting more studies in this field.</w:t>
      </w:r>
    </w:p>
    <w:p w14:paraId="7AEE3E59" w14:textId="77777777" w:rsidR="00720726" w:rsidRDefault="00000000">
      <w:pPr>
        <w:pStyle w:val="Heading2"/>
      </w:pPr>
      <w:bookmarkStart w:id="43" w:name="_uira6v8ycoxt" w:colFirst="0" w:colLast="0"/>
      <w:bookmarkEnd w:id="43"/>
      <w:r>
        <w:t xml:space="preserve">2.5 CSR Evidence on the Effect of CSR on Loyalty, Willingness to Pay, and Brand Perception </w:t>
      </w:r>
    </w:p>
    <w:p w14:paraId="20DAD05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Corporate Social Responsibility (CSR) has become an essential strategic tool for influencing key consumer outcomes, including brand loyalty, willingness to pay (WTP), and brand perception. Scholars argue that ethical engagement and socially responsible behaviour not only improve corporate image but also shape long-term consumer relationships, ultimately affecting purchase behaviour. This section critically reviews the evidence linking CSR to these consumer outcomes, highlighting moderating factors and sector-specific insights relevant to the fashion industry.</w:t>
      </w:r>
    </w:p>
    <w:p w14:paraId="0576BA86" w14:textId="77777777" w:rsidR="00720726" w:rsidRDefault="00000000">
      <w:pPr>
        <w:pStyle w:val="Heading3"/>
      </w:pPr>
      <w:bookmarkStart w:id="44" w:name="_fkp80z5pj7pv" w:colFirst="0" w:colLast="0"/>
      <w:bookmarkEnd w:id="44"/>
      <w:r>
        <w:t>2.5.1 CSR and Brand Loyalty</w:t>
      </w:r>
    </w:p>
    <w:p w14:paraId="36DE6D4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Brand loyalty is defined as the degree to which consumers consistently prefer or repurchase a brand over competitors due to satisfaction, emotional attachment, and perceived value. Recent studies suggest that CSR initiatives significantly enhance brand loyalty, particularly when initiatives align with consumers’ ethical or social values (Martínez &amp; Rodríguez, 2021).</w:t>
      </w:r>
    </w:p>
    <w:p w14:paraId="0E12813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CSR programmes that involve environmental stewardship, fair labour practices, charitable activities, or community engagement are effective in fostering consumer trust and positive brand attitudes (Bianchi et al., 2022). For instance, fashion retailers adopting sustainable material sourcing or transparent supply chains demonstrate accountability, which cultivates long-term consumer loyalty. Empirical evidence suggests that ethically aligned CSR initiatives generate emotional attachment, </w:t>
      </w:r>
      <w:r>
        <w:rPr>
          <w:rFonts w:ascii="Arial" w:eastAsia="Arial" w:hAnsi="Arial" w:cs="Arial"/>
          <w:sz w:val="24"/>
          <w:szCs w:val="24"/>
        </w:rPr>
        <w:lastRenderedPageBreak/>
        <w:t>encouraging consumers to remain committed to the brand even under competitive or price-driven pressures.</w:t>
      </w:r>
    </w:p>
    <w:p w14:paraId="76F45865" w14:textId="77777777" w:rsidR="00720726" w:rsidRDefault="00000000">
      <w:pPr>
        <w:keepNext/>
        <w:spacing w:line="360" w:lineRule="auto"/>
        <w:jc w:val="center"/>
      </w:pPr>
      <w:r>
        <w:rPr>
          <w:rFonts w:ascii="Arial" w:eastAsia="Arial" w:hAnsi="Arial" w:cs="Arial"/>
          <w:noProof/>
          <w:sz w:val="24"/>
          <w:szCs w:val="24"/>
        </w:rPr>
        <w:drawing>
          <wp:inline distT="0" distB="0" distL="0" distR="0" wp14:anchorId="71EB6E31" wp14:editId="6FEF2F94">
            <wp:extent cx="3193495" cy="1981339"/>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3193495" cy="1981339"/>
                    </a:xfrm>
                    <a:prstGeom prst="rect">
                      <a:avLst/>
                    </a:prstGeom>
                    <a:ln/>
                  </pic:spPr>
                </pic:pic>
              </a:graphicData>
            </a:graphic>
          </wp:inline>
        </w:drawing>
      </w:r>
    </w:p>
    <w:p w14:paraId="16F02217" w14:textId="77777777" w:rsidR="00720726" w:rsidRDefault="00000000">
      <w:pPr>
        <w:pBdr>
          <w:top w:val="nil"/>
          <w:left w:val="nil"/>
          <w:bottom w:val="nil"/>
          <w:right w:val="nil"/>
          <w:between w:val="nil"/>
        </w:pBdr>
        <w:spacing w:after="200" w:line="480" w:lineRule="auto"/>
        <w:jc w:val="center"/>
        <w:rPr>
          <w:rFonts w:ascii="Arial" w:eastAsia="Arial" w:hAnsi="Arial" w:cs="Arial"/>
          <w:b/>
          <w:bCs/>
          <w:i/>
          <w:iCs/>
          <w:color w:val="1F497D"/>
          <w:sz w:val="24"/>
          <w:szCs w:val="24"/>
        </w:rPr>
      </w:pPr>
      <w:bookmarkStart w:id="45" w:name="_nkh7bd6taw21" w:colFirst="0" w:colLast="0"/>
      <w:bookmarkEnd w:id="45"/>
      <w:r>
        <w:rPr>
          <w:rFonts w:ascii="Arial" w:eastAsia="Arial" w:hAnsi="Arial" w:cs="Arial"/>
          <w:b/>
          <w:bCs/>
          <w:i/>
          <w:iCs/>
          <w:color w:val="1F497D"/>
          <w:sz w:val="24"/>
          <w:szCs w:val="24"/>
        </w:rPr>
        <w:t>Figure 5: Diagram showing CSR activities</w:t>
      </w:r>
    </w:p>
    <w:p w14:paraId="15588887" w14:textId="77777777" w:rsidR="00720726" w:rsidRDefault="00000000">
      <w:pPr>
        <w:pStyle w:val="Heading3"/>
      </w:pPr>
      <w:bookmarkStart w:id="46" w:name="_rmlmntg7faf8" w:colFirst="0" w:colLast="0"/>
      <w:bookmarkEnd w:id="46"/>
      <w:r>
        <w:t>2.5.2 CSR and Willingness to Pay</w:t>
      </w:r>
    </w:p>
    <w:p w14:paraId="007A510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CSR not only impacts loyalty but also affects consumers’ willingness to pay a premium. Ethical consumers often perceive CSR-supported products as higher quality, socially responsible, or reflective of personal values, justifying higher expenditure (Gürhan</w:t>
      </w:r>
      <w:r>
        <w:rPr>
          <w:rFonts w:ascii="Cambria Math" w:eastAsia="Cambria Math" w:hAnsi="Cambria Math" w:cs="Cambria Math"/>
          <w:sz w:val="24"/>
          <w:szCs w:val="24"/>
        </w:rPr>
        <w:t>‑</w:t>
      </w:r>
      <w:r>
        <w:rPr>
          <w:rFonts w:ascii="Arial" w:eastAsia="Arial" w:hAnsi="Arial" w:cs="Arial"/>
          <w:sz w:val="24"/>
          <w:szCs w:val="24"/>
        </w:rPr>
        <w:t>Canli &amp; Batra, 2022).</w:t>
      </w:r>
    </w:p>
    <w:p w14:paraId="6F84276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Recent experimental studies indicate that CSR signals with tangible outcomes—such as recyclable packaging, fair-trade certification, or donation-linked purchases—strengthen WTP. For example, when consumers can clearly observe the social or environmental impact of their purchase, they are more likely to pay a premium price. Price-sensitive consumers, however, may exhibit weaker WTP responses, demonstrating the importance of understanding consumer segments and tailoring CSR messaging effectively (White et al., 2021).</w:t>
      </w:r>
    </w:p>
    <w:p w14:paraId="3BE97A48" w14:textId="77777777" w:rsidR="00720726" w:rsidRDefault="00000000">
      <w:pPr>
        <w:keepNext/>
        <w:pBdr>
          <w:top w:val="nil"/>
          <w:left w:val="nil"/>
          <w:bottom w:val="nil"/>
          <w:right w:val="nil"/>
          <w:between w:val="nil"/>
        </w:pBdr>
        <w:spacing w:after="200" w:line="480" w:lineRule="auto"/>
        <w:rPr>
          <w:rFonts w:ascii="Arial" w:eastAsia="Arial" w:hAnsi="Arial" w:cs="Arial"/>
          <w:b/>
          <w:bCs/>
          <w:i/>
          <w:iCs/>
          <w:color w:val="1F497D"/>
          <w:sz w:val="24"/>
          <w:szCs w:val="24"/>
        </w:rPr>
      </w:pPr>
      <w:bookmarkStart w:id="47" w:name="_cttdv4mmea98" w:colFirst="0" w:colLast="0"/>
      <w:bookmarkEnd w:id="47"/>
      <w:r>
        <w:rPr>
          <w:rFonts w:ascii="Arial" w:eastAsia="Arial" w:hAnsi="Arial" w:cs="Arial"/>
          <w:b/>
          <w:bCs/>
          <w:i/>
          <w:iCs/>
          <w:color w:val="1F497D"/>
          <w:sz w:val="24"/>
          <w:szCs w:val="24"/>
        </w:rPr>
        <w:t>Table 5: CSR Initiatives and Influence on Willingness to Pay</w:t>
      </w:r>
    </w:p>
    <w:tbl>
      <w:tblPr>
        <w:tblStyle w:val="a5"/>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4"/>
        <w:gridCol w:w="2254"/>
        <w:gridCol w:w="2254"/>
        <w:gridCol w:w="2254"/>
      </w:tblGrid>
      <w:tr w:rsidR="00720726" w14:paraId="497590C1" w14:textId="77777777">
        <w:tc>
          <w:tcPr>
            <w:tcW w:w="2254" w:type="dxa"/>
          </w:tcPr>
          <w:p w14:paraId="070500F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CSR Initiative</w:t>
            </w:r>
          </w:p>
        </w:tc>
        <w:tc>
          <w:tcPr>
            <w:tcW w:w="2254" w:type="dxa"/>
          </w:tcPr>
          <w:p w14:paraId="6601B66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Tangibility</w:t>
            </w:r>
          </w:p>
        </w:tc>
        <w:tc>
          <w:tcPr>
            <w:tcW w:w="2254" w:type="dxa"/>
          </w:tcPr>
          <w:p w14:paraId="6AC0592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Effect on WTP</w:t>
            </w:r>
          </w:p>
        </w:tc>
        <w:tc>
          <w:tcPr>
            <w:tcW w:w="2254" w:type="dxa"/>
          </w:tcPr>
          <w:p w14:paraId="7027FF2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Example</w:t>
            </w:r>
          </w:p>
        </w:tc>
      </w:tr>
      <w:tr w:rsidR="00720726" w14:paraId="5FCA4EF7" w14:textId="77777777">
        <w:tc>
          <w:tcPr>
            <w:tcW w:w="2254" w:type="dxa"/>
          </w:tcPr>
          <w:p w14:paraId="3E3F1E7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Sustainable sourcing</w:t>
            </w:r>
          </w:p>
        </w:tc>
        <w:tc>
          <w:tcPr>
            <w:tcW w:w="2254" w:type="dxa"/>
          </w:tcPr>
          <w:p w14:paraId="1681B49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High</w:t>
            </w:r>
          </w:p>
        </w:tc>
        <w:tc>
          <w:tcPr>
            <w:tcW w:w="2254" w:type="dxa"/>
          </w:tcPr>
          <w:p w14:paraId="08F914FE" w14:textId="77777777" w:rsidR="00720726"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 Strong</w:t>
            </w:r>
          </w:p>
        </w:tc>
        <w:tc>
          <w:tcPr>
            <w:tcW w:w="2254" w:type="dxa"/>
          </w:tcPr>
          <w:p w14:paraId="56A7007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Organic cotton clothing</w:t>
            </w:r>
          </w:p>
        </w:tc>
      </w:tr>
      <w:tr w:rsidR="00720726" w14:paraId="2A9864E8" w14:textId="77777777">
        <w:tc>
          <w:tcPr>
            <w:tcW w:w="2254" w:type="dxa"/>
          </w:tcPr>
          <w:p w14:paraId="6F44433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Charitable campaigns</w:t>
            </w:r>
          </w:p>
        </w:tc>
        <w:tc>
          <w:tcPr>
            <w:tcW w:w="2254" w:type="dxa"/>
          </w:tcPr>
          <w:p w14:paraId="28D3FEA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Medium</w:t>
            </w:r>
          </w:p>
        </w:tc>
        <w:tc>
          <w:tcPr>
            <w:tcW w:w="2254" w:type="dxa"/>
          </w:tcPr>
          <w:p w14:paraId="67DE47BA" w14:textId="77777777" w:rsidR="00720726"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 Moderate</w:t>
            </w:r>
          </w:p>
        </w:tc>
        <w:tc>
          <w:tcPr>
            <w:tcW w:w="2254" w:type="dxa"/>
          </w:tcPr>
          <w:p w14:paraId="5572A7B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Percentage of profit donated to </w:t>
            </w:r>
            <w:r>
              <w:rPr>
                <w:rFonts w:ascii="Arial" w:eastAsia="Arial" w:hAnsi="Arial" w:cs="Arial"/>
                <w:sz w:val="24"/>
                <w:szCs w:val="24"/>
              </w:rPr>
              <w:lastRenderedPageBreak/>
              <w:t>community projects</w:t>
            </w:r>
          </w:p>
        </w:tc>
      </w:tr>
      <w:tr w:rsidR="00720726" w14:paraId="7951CF3F" w14:textId="77777777">
        <w:tc>
          <w:tcPr>
            <w:tcW w:w="2254" w:type="dxa"/>
          </w:tcPr>
          <w:p w14:paraId="3363DAD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Green packaging</w:t>
            </w:r>
          </w:p>
        </w:tc>
        <w:tc>
          <w:tcPr>
            <w:tcW w:w="2254" w:type="dxa"/>
          </w:tcPr>
          <w:p w14:paraId="18CE6928"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High</w:t>
            </w:r>
          </w:p>
        </w:tc>
        <w:tc>
          <w:tcPr>
            <w:tcW w:w="2254" w:type="dxa"/>
          </w:tcPr>
          <w:p w14:paraId="41A4E638" w14:textId="77777777" w:rsidR="00720726"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 Strong</w:t>
            </w:r>
          </w:p>
        </w:tc>
        <w:tc>
          <w:tcPr>
            <w:tcW w:w="2254" w:type="dxa"/>
          </w:tcPr>
          <w:p w14:paraId="6E20BF25"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Recyclable garment packaging</w:t>
            </w:r>
          </w:p>
        </w:tc>
      </w:tr>
      <w:tr w:rsidR="00720726" w14:paraId="7689DE29" w14:textId="77777777">
        <w:tc>
          <w:tcPr>
            <w:tcW w:w="2254" w:type="dxa"/>
          </w:tcPr>
          <w:p w14:paraId="528897C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CSR awareness campaigns</w:t>
            </w:r>
          </w:p>
        </w:tc>
        <w:tc>
          <w:tcPr>
            <w:tcW w:w="2254" w:type="dxa"/>
          </w:tcPr>
          <w:p w14:paraId="5D346D4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Low</w:t>
            </w:r>
          </w:p>
        </w:tc>
        <w:tc>
          <w:tcPr>
            <w:tcW w:w="2254" w:type="dxa"/>
          </w:tcPr>
          <w:p w14:paraId="3F5267BC" w14:textId="77777777" w:rsidR="00720726" w:rsidRDefault="00000000">
            <w:pPr>
              <w:spacing w:line="360" w:lineRule="auto"/>
              <w:jc w:val="both"/>
              <w:rPr>
                <w:rFonts w:ascii="Arial" w:eastAsia="Arial" w:hAnsi="Arial" w:cs="Arial"/>
                <w:sz w:val="24"/>
                <w:szCs w:val="24"/>
              </w:rPr>
            </w:pPr>
            <w:r>
              <w:rPr>
                <w:rFonts w:ascii="Arial Unicode MS" w:eastAsia="Arial Unicode MS" w:hAnsi="Arial Unicode MS" w:cs="Arial Unicode MS"/>
                <w:sz w:val="24"/>
                <w:szCs w:val="24"/>
              </w:rPr>
              <w:t>↑ Low</w:t>
            </w:r>
          </w:p>
        </w:tc>
        <w:tc>
          <w:tcPr>
            <w:tcW w:w="2254" w:type="dxa"/>
          </w:tcPr>
          <w:p w14:paraId="576270A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Social media posts about CSR goals</w:t>
            </w:r>
          </w:p>
        </w:tc>
      </w:tr>
    </w:tbl>
    <w:p w14:paraId="221CBD03" w14:textId="77777777" w:rsidR="00720726" w:rsidRDefault="00720726">
      <w:pPr>
        <w:spacing w:line="360" w:lineRule="auto"/>
        <w:jc w:val="both"/>
        <w:rPr>
          <w:rFonts w:ascii="Arial" w:eastAsia="Arial" w:hAnsi="Arial" w:cs="Arial"/>
          <w:sz w:val="24"/>
          <w:szCs w:val="24"/>
        </w:rPr>
      </w:pPr>
    </w:p>
    <w:p w14:paraId="438BE824" w14:textId="77777777" w:rsidR="00720726" w:rsidRDefault="00000000">
      <w:pPr>
        <w:pStyle w:val="Heading3"/>
      </w:pPr>
      <w:bookmarkStart w:id="48" w:name="_kuzzd4dex51d" w:colFirst="0" w:colLast="0"/>
      <w:bookmarkEnd w:id="48"/>
      <w:r>
        <w:t>2.5.3 CSR and Brand Perception</w:t>
      </w:r>
    </w:p>
    <w:p w14:paraId="695594E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Corporate Social Responsibility (CSR) has evolved to be a critical strategic instrument in influencing important consumer outcomes such as brand loyalty, willingness to pay (WTP), and brand perception. According to scholars, not only do ethical engagement and socially responsible behaviour enhance the corporate image, but also the relationships between the corporation and consumers in the long run, which in turn influence purchase behaviour. This section critically examines the evidence that connects CSR to these consumer outcomes, including moderating factors and industry-specific knowledge that are relevant to the fashion industry.</w:t>
      </w:r>
    </w:p>
    <w:p w14:paraId="133F3EDD" w14:textId="77777777" w:rsidR="00720726" w:rsidRDefault="00000000">
      <w:pPr>
        <w:pStyle w:val="Heading3"/>
      </w:pPr>
      <w:bookmarkStart w:id="49" w:name="_37qg1p7wjrli" w:colFirst="0" w:colLast="0"/>
      <w:bookmarkEnd w:id="49"/>
      <w:r>
        <w:t>2.5.4 Moderating Factors in Loyalty and Willingness to Pay</w:t>
      </w:r>
    </w:p>
    <w:p w14:paraId="7C5B53F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moderating factors impacting the effects of CSR on loyalty and WTP include consumer involvement, type of product, ethical concern, and price sensitivity. Consumers most responsive to CSR signals include those who are highly engaged or have strong moral principles, which is reflected by their higher levels of loyalty and higher WTP (Singh and Verma, 2023).</w:t>
      </w:r>
    </w:p>
    <w:p w14:paraId="56B00C1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On the other hand, consumers who are price-sensitive can underestimate the benefits of CSR activities when the costs are high, pointing to a possible shortage of CSR strategies in the highly competitive price-driven markets. The involvement of products is also an issue: the CSR influence is more pronounced in the categories that are directly related to the ethical issues, like fashion, food, or personal care (Zhang and Bhatt, 2021).</w:t>
      </w:r>
    </w:p>
    <w:p w14:paraId="3ACD53A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In addition, cultural and geographical background influences these moderating influences. CSR-driven loyalty and WTP tend to be higher in Western markets because of greater awareness of environmental and social concerns by consumers, whereas price and convenience may prevail in emerging markets (Li and Peterson, </w:t>
      </w:r>
      <w:r>
        <w:rPr>
          <w:rFonts w:ascii="Arial" w:eastAsia="Arial" w:hAnsi="Arial" w:cs="Arial"/>
          <w:sz w:val="24"/>
          <w:szCs w:val="24"/>
        </w:rPr>
        <w:lastRenderedPageBreak/>
        <w:t>2023). These lessons can be used to emphasize the significance of ensuring that the CSR communication is aimed at the target consumer segments to maximize impact.</w:t>
      </w:r>
    </w:p>
    <w:p w14:paraId="720E2FF0" w14:textId="77777777" w:rsidR="00720726" w:rsidRDefault="00000000">
      <w:pPr>
        <w:pStyle w:val="Heading3"/>
      </w:pPr>
      <w:bookmarkStart w:id="50" w:name="_ripic5r2y8d6" w:colFirst="0" w:colLast="0"/>
      <w:bookmarkEnd w:id="50"/>
      <w:r>
        <w:t>2.5.5 Practical implications to Zara UK.</w:t>
      </w:r>
    </w:p>
    <w:p w14:paraId="2551EBF9"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In the case of fast-fashion retailers such as Zara UK, CSR initiatives with a focus on sustainability, ethical manufacturing, and open communication will most likely lead to an increase in brand loyalty, rationalize higher pricing, and enhance brand perceptions. It is indicated that by incorporating CSR into marketing campaigns, influencer relationships, and product design, ethical messaging can increase and consumer relationships can be enhanced.</w:t>
      </w:r>
    </w:p>
    <w:p w14:paraId="52D66495" w14:textId="77777777" w:rsidR="00720726" w:rsidRDefault="00000000">
      <w:pPr>
        <w:pStyle w:val="Heading2"/>
      </w:pPr>
      <w:bookmarkStart w:id="51" w:name="_9qbgd7diasti" w:colFirst="0" w:colLast="0"/>
      <w:bookmarkEnd w:id="51"/>
      <w:r>
        <w:t>2.6 Overview of Literature Gaps.</w:t>
      </w:r>
    </w:p>
    <w:p w14:paraId="05DD79A8"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Although there are numerous studies on the topic of Corporate Social Responsibility (CSR) and its influence on consumer behaviour, there are still critical gaps that need to be filled by the further studies on the subject matter. These gaps show where the literature is either limited, inconsistent or does not have empirical evidence and thus can justify the current study.</w:t>
      </w:r>
    </w:p>
    <w:p w14:paraId="1C90C720" w14:textId="77777777" w:rsidR="00720726" w:rsidRDefault="00000000">
      <w:pPr>
        <w:pStyle w:val="Heading3"/>
      </w:pPr>
      <w:bookmarkStart w:id="52" w:name="_kawyuofj8ho3" w:colFirst="0" w:colLast="0"/>
      <w:bookmarkEnd w:id="52"/>
      <w:r>
        <w:t>2.6.1 UK</w:t>
      </w:r>
      <w:r>
        <w:rPr>
          <w:rFonts w:ascii="Cambria Math" w:eastAsia="Cambria Math" w:hAnsi="Cambria Math" w:cs="Cambria Math"/>
        </w:rPr>
        <w:t>‑</w:t>
      </w:r>
      <w:r>
        <w:t>Specific CSR Impact Studies</w:t>
      </w:r>
    </w:p>
    <w:p w14:paraId="7933C6B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Most of the studies of CSR are either international in nature or are focused on the US market, without much consideration of country-specific factors such as cultural norms, regulatory frameworks, and consumer expectations (Martínez and Rodríguez, 2021; Li and Peterson, 2023). The consumers in the UK, as an example, might attach more importance to the environmental sustainability and ethical labour practices because of the more stringent regulations and socially-conscious norms. The presence of limited studies that are UK based reduces the extent to which international findings can be applied to brands such as Zara that operate in this environment. As a result, the studies which investigate the impact of CSR on the purchase intention, brand loyalty, and willingness to pay in the UK retail industry are poorly developed.</w:t>
      </w:r>
    </w:p>
    <w:p w14:paraId="525BBEF0" w14:textId="77777777" w:rsidR="00720726" w:rsidRDefault="00000000">
      <w:pPr>
        <w:pStyle w:val="Heading3"/>
      </w:pPr>
      <w:bookmarkStart w:id="53" w:name="_317vh7unyznw" w:colFirst="0" w:colLast="0"/>
      <w:bookmarkEnd w:id="53"/>
      <w:r>
        <w:t>2.6.2 CSR Awareness vs. Behaviour Gap.</w:t>
      </w:r>
    </w:p>
    <w:p w14:paraId="24B8D049"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Most of the studies focus on CSR awareness, attitudes, and perceptions but do not robustly correlate the measures with real purchase behaviour (Dean et al., 2022; Rahman et al., 2022). The attitudebehaviour gap suggests that consumers might espouse CSR in words, but not in buying behaviour. This gap presents both theoretical </w:t>
      </w:r>
      <w:r>
        <w:rPr>
          <w:rFonts w:ascii="Arial" w:eastAsia="Arial" w:hAnsi="Arial" w:cs="Arial"/>
          <w:sz w:val="24"/>
          <w:szCs w:val="24"/>
        </w:rPr>
        <w:lastRenderedPageBreak/>
        <w:t>and practical challenges where brands might overestimate the effect of CSR campaigns on consumer decisions.</w:t>
      </w:r>
    </w:p>
    <w:p w14:paraId="611B44DA" w14:textId="77777777" w:rsidR="00720726" w:rsidRDefault="00000000">
      <w:pPr>
        <w:pStyle w:val="Heading3"/>
      </w:pPr>
      <w:bookmarkStart w:id="54" w:name="_9yw679dxslvi" w:colFirst="0" w:colLast="0"/>
      <w:bookmarkEnd w:id="54"/>
      <w:r>
        <w:t>2.6.3 CSR Dimensions and Differential Effects</w:t>
      </w:r>
    </w:p>
    <w:p w14:paraId="6E2D5235"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Current studies tend to view CSR as a one-dimensional construct, without considering the subtle effects of various dimensions, i.e., environmental initiatives, social programmes, or corporate governance practices (Gürhan-Canli and Batra, 2022; Yoo and MacInnis, 2022). These dimensions are important to disentangle them in order to determine the most influential CSR strategies on loyalty, willingness to pay, and brand perception in retail settings. In fashion retailers such as Zara, the aspect of environmental sustainability might be more appealing than the other CSR dimensions, albeit there is a lack of empirical evidence.</w:t>
      </w:r>
    </w:p>
    <w:p w14:paraId="5BB7B47D" w14:textId="77777777" w:rsidR="00720726" w:rsidRDefault="00000000">
      <w:pPr>
        <w:pStyle w:val="Heading3"/>
      </w:pPr>
      <w:bookmarkStart w:id="55" w:name="_bohdd1fs3fug" w:colFirst="0" w:colLast="0"/>
      <w:bookmarkEnd w:id="55"/>
      <w:r>
        <w:t>2.6.4 Mediators and Moderators</w:t>
      </w:r>
    </w:p>
    <w:p w14:paraId="3193F55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Although positive consumer outcomes are associated with CSR, there is limited research into the mechanisms behind the relationships. Brand trust, perceived authenticity, or emotional attachment, and ethical orientation, socio-demographics, or product involvement are few of the mediators and moderators that can have a significant impact on the effectiveness of CSR (Singh and Verma, 2023; Bianchi et al., 2022). The knowledge of these issues within the UK fashion environment can offer more accurate information to be used as guides in the marketing strategies.</w:t>
      </w:r>
    </w:p>
    <w:p w14:paraId="143864A6" w14:textId="77777777" w:rsidR="00720726" w:rsidRDefault="00000000">
      <w:pPr>
        <w:pStyle w:val="Heading3"/>
      </w:pPr>
      <w:bookmarkStart w:id="56" w:name="_3j4tcqrm1rtw" w:colFirst="0" w:colLast="0"/>
      <w:bookmarkEnd w:id="56"/>
      <w:r>
        <w:t>2.6.5 Longitudinal Evidence</w:t>
      </w:r>
    </w:p>
    <w:p w14:paraId="5279FDC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majority of CSR research is carried out on the basis of cross-sectional research design, which provides a snapshot of consumer attitudes at one time at a single point (Tran and Harwood, 2022). This method restricts the knowledge of the way in which CSR initiatives affect long-term behaviour, repeat purchases and brand loyalty. Longitudinal studies may be able to capture the dynamic effect of CSR campaigns, such as sustained engagement and a shift of consumer perceptions.</w:t>
      </w:r>
    </w:p>
    <w:p w14:paraId="2D0ACF4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By filling in these gaps, namely the UK-specific focus, the attitude-behaviour relationship, CSR dimensionality, mediators and moderators, and longitudinal evidence, the theoretical models of CSR effects will be stronger and offer actionable insights to retail brands such as Zara UK that aim to optimise CSR strategies and improve consumer loyalty, purchase intention, and brand perception.</w:t>
      </w:r>
    </w:p>
    <w:p w14:paraId="12BFCCC3" w14:textId="77777777" w:rsidR="00720726" w:rsidRDefault="00000000">
      <w:pPr>
        <w:pStyle w:val="Heading2"/>
      </w:pPr>
      <w:bookmarkStart w:id="57" w:name="_qd92drrewkpq" w:colFirst="0" w:colLast="0"/>
      <w:bookmarkEnd w:id="57"/>
      <w:r>
        <w:lastRenderedPageBreak/>
        <w:t xml:space="preserve">2.7 Chapter Summary </w:t>
      </w:r>
    </w:p>
    <w:p w14:paraId="631F1E1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In this chapter, the author summarized the main theories such as Stakeholder Theory, Social Identity Theory, Theory of Planned Behaviour, and Signalling Theory, which explain how CSR can impact consumer decision-making. It reviewed the ethical consumption patterns, previous empirical studies on CSR and purchasing behaviour and the reported impacts of CSR on loyalty, willingness to pay and brand perception. Although the overall effect of CSR on consumer behaviour is generally positive, there are perceived gaps in the evidence around UK-specific, CSR dimension, and the mechanisms that relate CSR to actual purchase decisions. The theoretical foundation laid herein frames subsequent chapter on research design and methodology.</w:t>
      </w:r>
    </w:p>
    <w:p w14:paraId="3BD35777" w14:textId="77777777" w:rsidR="00720726" w:rsidRDefault="00720726">
      <w:pPr>
        <w:spacing w:line="360" w:lineRule="auto"/>
        <w:jc w:val="both"/>
        <w:rPr>
          <w:rFonts w:ascii="Arial" w:eastAsia="Arial" w:hAnsi="Arial" w:cs="Arial"/>
          <w:sz w:val="24"/>
          <w:szCs w:val="24"/>
        </w:rPr>
      </w:pPr>
    </w:p>
    <w:p w14:paraId="35CF3FA8" w14:textId="77777777" w:rsidR="00720726" w:rsidRDefault="00720726">
      <w:pPr>
        <w:spacing w:line="360" w:lineRule="auto"/>
        <w:jc w:val="both"/>
        <w:rPr>
          <w:rFonts w:ascii="Arial" w:eastAsia="Arial" w:hAnsi="Arial" w:cs="Arial"/>
          <w:sz w:val="24"/>
          <w:szCs w:val="24"/>
        </w:rPr>
      </w:pPr>
    </w:p>
    <w:p w14:paraId="6AC9D82F" w14:textId="77777777" w:rsidR="00720726" w:rsidRDefault="00720726">
      <w:pPr>
        <w:spacing w:line="360" w:lineRule="auto"/>
        <w:jc w:val="both"/>
        <w:rPr>
          <w:rFonts w:ascii="Arial" w:eastAsia="Arial" w:hAnsi="Arial" w:cs="Arial"/>
          <w:sz w:val="24"/>
          <w:szCs w:val="24"/>
        </w:rPr>
      </w:pPr>
    </w:p>
    <w:p w14:paraId="5C778034" w14:textId="77777777" w:rsidR="00720726" w:rsidRDefault="00720726">
      <w:pPr>
        <w:spacing w:line="360" w:lineRule="auto"/>
        <w:jc w:val="both"/>
        <w:rPr>
          <w:rFonts w:ascii="Arial" w:eastAsia="Arial" w:hAnsi="Arial" w:cs="Arial"/>
          <w:sz w:val="24"/>
          <w:szCs w:val="24"/>
        </w:rPr>
      </w:pPr>
    </w:p>
    <w:p w14:paraId="6F7E31EA" w14:textId="77777777" w:rsidR="00720726" w:rsidRDefault="00720726">
      <w:pPr>
        <w:spacing w:line="360" w:lineRule="auto"/>
        <w:jc w:val="both"/>
        <w:rPr>
          <w:rFonts w:ascii="Arial" w:eastAsia="Arial" w:hAnsi="Arial" w:cs="Arial"/>
          <w:sz w:val="24"/>
          <w:szCs w:val="24"/>
        </w:rPr>
      </w:pPr>
    </w:p>
    <w:p w14:paraId="574DD4D8" w14:textId="77777777" w:rsidR="00720726" w:rsidRDefault="00720726">
      <w:pPr>
        <w:spacing w:line="360" w:lineRule="auto"/>
        <w:jc w:val="both"/>
        <w:rPr>
          <w:rFonts w:ascii="Arial" w:eastAsia="Arial" w:hAnsi="Arial" w:cs="Arial"/>
          <w:sz w:val="24"/>
          <w:szCs w:val="24"/>
        </w:rPr>
      </w:pPr>
    </w:p>
    <w:p w14:paraId="5FEB3F9A" w14:textId="77777777" w:rsidR="00720726" w:rsidRDefault="00720726">
      <w:pPr>
        <w:spacing w:line="360" w:lineRule="auto"/>
        <w:jc w:val="both"/>
        <w:rPr>
          <w:rFonts w:ascii="Arial" w:eastAsia="Arial" w:hAnsi="Arial" w:cs="Arial"/>
          <w:sz w:val="24"/>
          <w:szCs w:val="24"/>
        </w:rPr>
      </w:pPr>
    </w:p>
    <w:p w14:paraId="5EF3EEAE" w14:textId="77777777" w:rsidR="00720726" w:rsidRDefault="00720726">
      <w:pPr>
        <w:spacing w:line="360" w:lineRule="auto"/>
        <w:jc w:val="both"/>
        <w:rPr>
          <w:rFonts w:ascii="Arial" w:eastAsia="Arial" w:hAnsi="Arial" w:cs="Arial"/>
          <w:sz w:val="24"/>
          <w:szCs w:val="24"/>
        </w:rPr>
      </w:pPr>
    </w:p>
    <w:p w14:paraId="4F186D17" w14:textId="77777777" w:rsidR="00720726" w:rsidRDefault="00720726">
      <w:pPr>
        <w:spacing w:line="360" w:lineRule="auto"/>
        <w:jc w:val="both"/>
        <w:rPr>
          <w:rFonts w:ascii="Arial" w:eastAsia="Arial" w:hAnsi="Arial" w:cs="Arial"/>
          <w:sz w:val="24"/>
          <w:szCs w:val="24"/>
        </w:rPr>
      </w:pPr>
    </w:p>
    <w:p w14:paraId="771DEA10" w14:textId="77777777" w:rsidR="00720726" w:rsidRDefault="00720726">
      <w:pPr>
        <w:spacing w:line="360" w:lineRule="auto"/>
        <w:jc w:val="both"/>
        <w:rPr>
          <w:rFonts w:ascii="Arial" w:eastAsia="Arial" w:hAnsi="Arial" w:cs="Arial"/>
          <w:sz w:val="24"/>
          <w:szCs w:val="24"/>
        </w:rPr>
      </w:pPr>
    </w:p>
    <w:p w14:paraId="51A9586E" w14:textId="77777777" w:rsidR="00720726" w:rsidRDefault="00720726">
      <w:pPr>
        <w:spacing w:line="360" w:lineRule="auto"/>
        <w:jc w:val="both"/>
        <w:rPr>
          <w:rFonts w:ascii="Arial" w:eastAsia="Arial" w:hAnsi="Arial" w:cs="Arial"/>
          <w:sz w:val="24"/>
          <w:szCs w:val="24"/>
        </w:rPr>
      </w:pPr>
    </w:p>
    <w:p w14:paraId="68B24E19" w14:textId="77777777" w:rsidR="00720726" w:rsidRDefault="00720726">
      <w:pPr>
        <w:spacing w:line="360" w:lineRule="auto"/>
        <w:jc w:val="both"/>
        <w:rPr>
          <w:rFonts w:ascii="Arial" w:eastAsia="Arial" w:hAnsi="Arial" w:cs="Arial"/>
          <w:sz w:val="24"/>
          <w:szCs w:val="24"/>
        </w:rPr>
      </w:pPr>
    </w:p>
    <w:p w14:paraId="1B6B02A1" w14:textId="77777777" w:rsidR="00720726" w:rsidRDefault="00720726">
      <w:pPr>
        <w:spacing w:line="360" w:lineRule="auto"/>
        <w:jc w:val="both"/>
        <w:rPr>
          <w:rFonts w:ascii="Arial" w:eastAsia="Arial" w:hAnsi="Arial" w:cs="Arial"/>
          <w:sz w:val="24"/>
          <w:szCs w:val="24"/>
        </w:rPr>
      </w:pPr>
    </w:p>
    <w:p w14:paraId="7350A364" w14:textId="77777777" w:rsidR="00720726" w:rsidRDefault="00720726">
      <w:pPr>
        <w:spacing w:line="360" w:lineRule="auto"/>
        <w:jc w:val="both"/>
        <w:rPr>
          <w:rFonts w:ascii="Arial" w:eastAsia="Arial" w:hAnsi="Arial" w:cs="Arial"/>
          <w:sz w:val="24"/>
          <w:szCs w:val="24"/>
        </w:rPr>
      </w:pPr>
    </w:p>
    <w:p w14:paraId="77992969" w14:textId="77777777" w:rsidR="00720726" w:rsidRDefault="00000000">
      <w:pPr>
        <w:pStyle w:val="Heading1"/>
      </w:pPr>
      <w:bookmarkStart w:id="58" w:name="_km2i0uk0cfsl" w:colFirst="0" w:colLast="0"/>
      <w:bookmarkEnd w:id="58"/>
      <w:r>
        <w:lastRenderedPageBreak/>
        <w:t>Chapter 3: Methodology</w:t>
      </w:r>
    </w:p>
    <w:p w14:paraId="49D6AB89" w14:textId="77777777" w:rsidR="00720726" w:rsidRDefault="00000000">
      <w:pPr>
        <w:pStyle w:val="Heading2"/>
      </w:pPr>
      <w:bookmarkStart w:id="59" w:name="_3pm4plyuq2k" w:colFirst="0" w:colLast="0"/>
      <w:bookmarkEnd w:id="59"/>
      <w:r>
        <w:t xml:space="preserve">3.1 Introduction </w:t>
      </w:r>
    </w:p>
    <w:p w14:paraId="4B7F937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This chapter gives the research methodology that was adopted to research about the effect of Corporate Social Responsibility (CSR) on the consumer buying behaviour in the context of J Sainsbury plc. It gives a thorough account of the philosophy, approach, design, data collection methods, sampling strategy, data analysis techniques, and ethical considerations. Having a clear methodology framework aids in ensuring that research is rigorous, reliable and in line with the aims and objectives of the research.</w:t>
      </w:r>
    </w:p>
    <w:p w14:paraId="784A11C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Methodology selection influences validity and credibility of the research results. CSR and consumer behaviour include both quantitative patterns and attitudinal constructs where appropriate, implying the need to adopt a systematic approach that integrates both the quantitative and qualitative perspectives where relevant (Saunders et al., 2019). The approach to methodological decisions made, the processes involved and how data will be collected, analysed and interpreted to answer the research questions will therefore be justified in this chapter.</w:t>
      </w:r>
    </w:p>
    <w:p w14:paraId="4C97EFCE" w14:textId="77777777" w:rsidR="00720726" w:rsidRDefault="00000000">
      <w:pPr>
        <w:pStyle w:val="Heading2"/>
      </w:pPr>
      <w:bookmarkStart w:id="60" w:name="_i0xfpwbqbefo" w:colFirst="0" w:colLast="0"/>
      <w:bookmarkEnd w:id="60"/>
      <w:r>
        <w:t>3.2 Research Philosophy</w:t>
      </w:r>
    </w:p>
    <w:p w14:paraId="7BD791D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Research philosophy is associated with theoretical beliefs that influence the way in which the researcher should approach the study of the social phenomena and reality (Saunders et al., 2019). It influences the interpretation of data and assumptions of the research design. The major paradigms are positivism, interpretivism, realism, and pragmatism.</w:t>
      </w:r>
    </w:p>
    <w:p w14:paraId="1801F2EB" w14:textId="77777777" w:rsidR="00720726" w:rsidRDefault="00000000">
      <w:pPr>
        <w:pStyle w:val="Heading3"/>
      </w:pPr>
      <w:bookmarkStart w:id="61" w:name="_4hekucx8ofl3" w:colFirst="0" w:colLast="0"/>
      <w:bookmarkEnd w:id="61"/>
      <w:r>
        <w:t>3.2.1 Positivism</w:t>
      </w:r>
    </w:p>
    <w:p w14:paraId="1DD0DBB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According to positivism, the reality is objective and can be measured by observable facts and empirical evidence (Clarke and Braun, 2021). It focuses on hypothesis testing, quantification as well as statistical analysis. Since the proposed study is aimed at exploring the relationship between such - as the purchase intention and the CSR perception - the positivism is associated with measuring the relationships through quantitative measurement and generalisation.</w:t>
      </w:r>
    </w:p>
    <w:p w14:paraId="708ACE9A" w14:textId="77777777" w:rsidR="00720726" w:rsidRDefault="00000000">
      <w:pPr>
        <w:pStyle w:val="Heading3"/>
      </w:pPr>
      <w:bookmarkStart w:id="62" w:name="_tsx7uk5j9dos" w:colFirst="0" w:colLast="0"/>
      <w:bookmarkEnd w:id="62"/>
      <w:r>
        <w:t>3.2.2 Interpretivism</w:t>
      </w:r>
    </w:p>
    <w:p w14:paraId="1824EE3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interpretivism assumes that the social phenomena are subjective and context-dependent, and they need to be better understood in terms of the meanings and human experiences. It is commonly referred to as a qualitative study and thematic </w:t>
      </w:r>
      <w:r>
        <w:rPr>
          <w:rFonts w:ascii="Arial" w:eastAsia="Arial" w:hAnsi="Arial" w:cs="Arial"/>
          <w:sz w:val="24"/>
          <w:szCs w:val="24"/>
        </w:rPr>
        <w:lastRenderedPageBreak/>
        <w:t>explanation (Saunders et al., 2019). Although interpretivism would offer in depth understanding of the consumer attitude towards CSR, such a qualitative interpretation approach might not allow the study to generalise its results to the overall Sainsbury consumer base.</w:t>
      </w:r>
    </w:p>
    <w:p w14:paraId="5BD2BE91" w14:textId="77777777" w:rsidR="00720726" w:rsidRDefault="00000000">
      <w:pPr>
        <w:pStyle w:val="Heading3"/>
      </w:pPr>
      <w:bookmarkStart w:id="63" w:name="_iz055l8s5g37" w:colFirst="0" w:colLast="0"/>
      <w:bookmarkEnd w:id="63"/>
      <w:r>
        <w:t>3.2.3 Pragmatism (Selected Position)</w:t>
      </w:r>
    </w:p>
    <w:p w14:paraId="3EE5A8A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This paper follows a pragmatic philosophy, in the sense that both objective measurement and subjective interpretation are useful. Pragmatism permits mixed methods - largely quantitative with some qualitative support - to be used to gain a complete view of how CSR affects consumer behaviour (Creswell and Creswell, 2018). It recognises that the research questions must determine the methodology, and hence offer flexibility and balance between the depth and generalisation.</w:t>
      </w:r>
    </w:p>
    <w:p w14:paraId="0B84D330" w14:textId="77777777" w:rsidR="00720726" w:rsidRDefault="00000000">
      <w:pPr>
        <w:keepNext/>
        <w:pBdr>
          <w:top w:val="nil"/>
          <w:left w:val="nil"/>
          <w:bottom w:val="nil"/>
          <w:right w:val="nil"/>
          <w:between w:val="nil"/>
        </w:pBdr>
        <w:spacing w:after="200" w:line="480" w:lineRule="auto"/>
        <w:rPr>
          <w:rFonts w:ascii="Arial" w:eastAsia="Arial" w:hAnsi="Arial" w:cs="Arial"/>
          <w:b/>
          <w:bCs/>
          <w:i/>
          <w:iCs/>
          <w:color w:val="1F497D"/>
          <w:sz w:val="24"/>
          <w:szCs w:val="24"/>
        </w:rPr>
      </w:pPr>
      <w:bookmarkStart w:id="64" w:name="_vto1zldd5jqg" w:colFirst="0" w:colLast="0"/>
      <w:bookmarkEnd w:id="64"/>
      <w:r>
        <w:rPr>
          <w:rFonts w:ascii="Arial" w:eastAsia="Arial" w:hAnsi="Arial" w:cs="Arial"/>
          <w:b/>
          <w:bCs/>
          <w:i/>
          <w:iCs/>
          <w:color w:val="1F497D"/>
          <w:sz w:val="24"/>
          <w:szCs w:val="24"/>
        </w:rPr>
        <w:t>Table 6: Comparison of Research Philosophies</w:t>
      </w:r>
    </w:p>
    <w:tbl>
      <w:tblPr>
        <w:tblStyle w:val="a6"/>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4"/>
        <w:gridCol w:w="2254"/>
        <w:gridCol w:w="2254"/>
        <w:gridCol w:w="2254"/>
      </w:tblGrid>
      <w:tr w:rsidR="00720726" w14:paraId="346AE86A" w14:textId="77777777">
        <w:tc>
          <w:tcPr>
            <w:tcW w:w="2254" w:type="dxa"/>
          </w:tcPr>
          <w:p w14:paraId="01A67FDB"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Philosophy</w:t>
            </w:r>
          </w:p>
        </w:tc>
        <w:tc>
          <w:tcPr>
            <w:tcW w:w="2254" w:type="dxa"/>
          </w:tcPr>
          <w:p w14:paraId="6B839680"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Focus</w:t>
            </w:r>
          </w:p>
        </w:tc>
        <w:tc>
          <w:tcPr>
            <w:tcW w:w="2254" w:type="dxa"/>
          </w:tcPr>
          <w:p w14:paraId="32319135"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Strengths</w:t>
            </w:r>
          </w:p>
        </w:tc>
        <w:tc>
          <w:tcPr>
            <w:tcW w:w="2254" w:type="dxa"/>
          </w:tcPr>
          <w:p w14:paraId="329C6211"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Limitations</w:t>
            </w:r>
          </w:p>
        </w:tc>
      </w:tr>
      <w:tr w:rsidR="00720726" w14:paraId="6951952D" w14:textId="77777777">
        <w:tc>
          <w:tcPr>
            <w:tcW w:w="2254" w:type="dxa"/>
          </w:tcPr>
          <w:p w14:paraId="0462F3DE"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Positivism</w:t>
            </w:r>
          </w:p>
        </w:tc>
        <w:tc>
          <w:tcPr>
            <w:tcW w:w="2254" w:type="dxa"/>
          </w:tcPr>
          <w:p w14:paraId="63323874"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Objective measurement</w:t>
            </w:r>
          </w:p>
        </w:tc>
        <w:tc>
          <w:tcPr>
            <w:tcW w:w="2254" w:type="dxa"/>
          </w:tcPr>
          <w:p w14:paraId="18ACABC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High generalisability</w:t>
            </w:r>
          </w:p>
        </w:tc>
        <w:tc>
          <w:tcPr>
            <w:tcW w:w="2254" w:type="dxa"/>
          </w:tcPr>
          <w:p w14:paraId="3347ECB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May overlook context</w:t>
            </w:r>
          </w:p>
        </w:tc>
      </w:tr>
      <w:tr w:rsidR="00720726" w14:paraId="7E04DD4D" w14:textId="77777777">
        <w:tc>
          <w:tcPr>
            <w:tcW w:w="2254" w:type="dxa"/>
          </w:tcPr>
          <w:p w14:paraId="79D4D7FB"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Interpretivism</w:t>
            </w:r>
          </w:p>
        </w:tc>
        <w:tc>
          <w:tcPr>
            <w:tcW w:w="2254" w:type="dxa"/>
          </w:tcPr>
          <w:p w14:paraId="756EA2F4"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Subjective understanding</w:t>
            </w:r>
          </w:p>
        </w:tc>
        <w:tc>
          <w:tcPr>
            <w:tcW w:w="2254" w:type="dxa"/>
          </w:tcPr>
          <w:p w14:paraId="306E64B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Rich insights</w:t>
            </w:r>
          </w:p>
        </w:tc>
        <w:tc>
          <w:tcPr>
            <w:tcW w:w="2254" w:type="dxa"/>
          </w:tcPr>
          <w:p w14:paraId="1619FCD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Limited generalisation</w:t>
            </w:r>
          </w:p>
        </w:tc>
      </w:tr>
      <w:tr w:rsidR="00720726" w14:paraId="5D535CCA" w14:textId="77777777">
        <w:tc>
          <w:tcPr>
            <w:tcW w:w="2254" w:type="dxa"/>
          </w:tcPr>
          <w:p w14:paraId="1BAACB16"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Pragmatism</w:t>
            </w:r>
          </w:p>
        </w:tc>
        <w:tc>
          <w:tcPr>
            <w:tcW w:w="2254" w:type="dxa"/>
          </w:tcPr>
          <w:p w14:paraId="023DC51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Practical problem</w:t>
            </w:r>
            <w:r>
              <w:rPr>
                <w:rFonts w:ascii="Cambria Math" w:eastAsia="Cambria Math" w:hAnsi="Cambria Math" w:cs="Cambria Math"/>
                <w:sz w:val="24"/>
                <w:szCs w:val="24"/>
              </w:rPr>
              <w:t>‑</w:t>
            </w:r>
            <w:r>
              <w:rPr>
                <w:rFonts w:ascii="Arial" w:eastAsia="Arial" w:hAnsi="Arial" w:cs="Arial"/>
                <w:sz w:val="24"/>
                <w:szCs w:val="24"/>
              </w:rPr>
              <w:t>solving</w:t>
            </w:r>
          </w:p>
        </w:tc>
        <w:tc>
          <w:tcPr>
            <w:tcW w:w="2254" w:type="dxa"/>
          </w:tcPr>
          <w:p w14:paraId="16BDC7E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Balanced approach</w:t>
            </w:r>
          </w:p>
        </w:tc>
        <w:tc>
          <w:tcPr>
            <w:tcW w:w="2254" w:type="dxa"/>
          </w:tcPr>
          <w:p w14:paraId="09AA177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Complex to implement</w:t>
            </w:r>
          </w:p>
        </w:tc>
      </w:tr>
    </w:tbl>
    <w:p w14:paraId="621B976F" w14:textId="77777777" w:rsidR="00720726" w:rsidRDefault="00720726">
      <w:pPr>
        <w:spacing w:line="360" w:lineRule="auto"/>
        <w:jc w:val="both"/>
        <w:rPr>
          <w:rFonts w:ascii="Arial" w:eastAsia="Arial" w:hAnsi="Arial" w:cs="Arial"/>
          <w:sz w:val="24"/>
          <w:szCs w:val="24"/>
        </w:rPr>
      </w:pPr>
    </w:p>
    <w:p w14:paraId="578D664C" w14:textId="77777777" w:rsidR="00720726" w:rsidRDefault="00000000">
      <w:pPr>
        <w:pStyle w:val="Heading2"/>
      </w:pPr>
      <w:bookmarkStart w:id="65" w:name="_s065x74p7i4e" w:colFirst="0" w:colLast="0"/>
      <w:bookmarkEnd w:id="65"/>
      <w:r>
        <w:t>3.3 Research Approach</w:t>
      </w:r>
    </w:p>
    <w:p w14:paraId="669A5DC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Research approaches determine how research questions are investigated, broadly categorised into deductive and inductive approaches.</w:t>
      </w:r>
    </w:p>
    <w:p w14:paraId="4B0D8CC4" w14:textId="77777777" w:rsidR="00720726" w:rsidRDefault="00000000">
      <w:pPr>
        <w:pStyle w:val="Heading3"/>
      </w:pPr>
      <w:bookmarkStart w:id="66" w:name="_5mqxx5osdcsf" w:colFirst="0" w:colLast="0"/>
      <w:bookmarkEnd w:id="66"/>
      <w:r>
        <w:t>3.3.1 Deductive Approach</w:t>
      </w:r>
    </w:p>
    <w:p w14:paraId="61DE086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 deductive method applies a test to the existing theories or hypotheses using empirical tests. It starts with the development of theories, then hypotheses are created, and finally data are gathered to prove or disprove the hypotheses (Bryman and Bell, 2019). Considering that there are CSR theories and consumer behaviour models, this research can be largely termed as deductive.</w:t>
      </w:r>
    </w:p>
    <w:p w14:paraId="1DF44E87" w14:textId="77777777" w:rsidR="00720726" w:rsidRDefault="00000000">
      <w:pPr>
        <w:pStyle w:val="Heading3"/>
      </w:pPr>
      <w:bookmarkStart w:id="67" w:name="_vbvivh97ybru" w:colFirst="0" w:colLast="0"/>
      <w:bookmarkEnd w:id="67"/>
      <w:r>
        <w:lastRenderedPageBreak/>
        <w:t>3.3.2 Inductive Approach</w:t>
      </w:r>
    </w:p>
    <w:p w14:paraId="407549F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An inductive approach develops new theories on the basis of observed data, which is often applied in exploratory research. Although very insightful, it is not as appropriate in this case since all the established theoretical frameworks can explain the impact of CSR on consumer behaviour.</w:t>
      </w:r>
    </w:p>
    <w:p w14:paraId="6EA44A8C"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So, the given study assumes a deductive approach meaning that the relationship between variables is tested (e.g., the effect of CSR perception on the purchase intention) through the structured data collection and statistical analysis.</w:t>
      </w:r>
    </w:p>
    <w:p w14:paraId="2FCCBC52" w14:textId="77777777" w:rsidR="00720726" w:rsidRDefault="00000000">
      <w:pPr>
        <w:pStyle w:val="Heading2"/>
      </w:pPr>
      <w:bookmarkStart w:id="68" w:name="_v4s1yvamgdk4" w:colFirst="0" w:colLast="0"/>
      <w:bookmarkEnd w:id="68"/>
      <w:r>
        <w:t>3.4 Research Design</w:t>
      </w:r>
    </w:p>
    <w:p w14:paraId="5C61592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Research design denotes the general approach that incorporates various elements of the research as being coherent. It makes sure that the research problem is tackled in a systematic manner and that results are plausible and valid.</w:t>
      </w:r>
    </w:p>
    <w:p w14:paraId="1DA5EBF6" w14:textId="77777777" w:rsidR="00720726" w:rsidRDefault="00000000">
      <w:pPr>
        <w:pStyle w:val="Heading3"/>
      </w:pPr>
      <w:bookmarkStart w:id="69" w:name="_qdth1u28i0j" w:colFirst="0" w:colLast="0"/>
      <w:bookmarkEnd w:id="69"/>
      <w:r>
        <w:t>3.4.1 Quantitative Design</w:t>
      </w:r>
    </w:p>
    <w:p w14:paraId="0159F817"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main research design used in this research is a quantitative research design because it aims at quantifying the relationships between CSR and consumer buying behaviour. Quantitative research allows objective measurement of the variables and statistical analysis to examine hypotheses. The surveys are especially appropriate when it comes to capturing consumer perceptions, attitudes, and reported behaviours at scale (Malhotra and Birks, 2021).</w:t>
      </w:r>
    </w:p>
    <w:p w14:paraId="738F34E9" w14:textId="77777777" w:rsidR="00720726" w:rsidRDefault="00000000">
      <w:pPr>
        <w:pStyle w:val="Heading3"/>
      </w:pPr>
      <w:bookmarkStart w:id="70" w:name="_6vzm4ohqxqa9" w:colFirst="0" w:colLast="0"/>
      <w:bookmarkEnd w:id="70"/>
      <w:r>
        <w:t>3.4.2 Reasoning behind Quantitative Focus.</w:t>
      </w:r>
    </w:p>
    <w:p w14:paraId="57EDD571" w14:textId="77777777" w:rsidR="00720726" w:rsidRDefault="00000000">
      <w:pPr>
        <w:numPr>
          <w:ilvl w:val="0"/>
          <w:numId w:val="8"/>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Measurability:</w:t>
      </w:r>
      <w:r>
        <w:rPr>
          <w:rFonts w:ascii="Arial" w:eastAsia="Arial" w:hAnsi="Arial" w:cs="Arial"/>
          <w:color w:val="000000"/>
          <w:sz w:val="24"/>
          <w:szCs w:val="24"/>
        </w:rPr>
        <w:t xml:space="preserve"> such constructs as purchase intention, CSR awareness, and brand perception can be measured in terms of standardised scales.</w:t>
      </w:r>
    </w:p>
    <w:p w14:paraId="5A222CBC" w14:textId="77777777" w:rsidR="00720726" w:rsidRDefault="00000000">
      <w:pPr>
        <w:numPr>
          <w:ilvl w:val="0"/>
          <w:numId w:val="8"/>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Generalisation:</w:t>
      </w:r>
      <w:r>
        <w:rPr>
          <w:rFonts w:ascii="Arial" w:eastAsia="Arial" w:hAnsi="Arial" w:cs="Arial"/>
          <w:color w:val="000000"/>
          <w:sz w:val="24"/>
          <w:szCs w:val="24"/>
        </w:rPr>
        <w:t xml:space="preserve"> Large sample survey enables a generalisation of the findings to the larger Sainsbury population of consumers.</w:t>
      </w:r>
    </w:p>
    <w:p w14:paraId="6C1B1C95" w14:textId="77777777" w:rsidR="00720726" w:rsidRDefault="00000000">
      <w:pPr>
        <w:numPr>
          <w:ilvl w:val="0"/>
          <w:numId w:val="8"/>
        </w:numPr>
        <w:pBdr>
          <w:top w:val="nil"/>
          <w:left w:val="nil"/>
          <w:bottom w:val="nil"/>
          <w:right w:val="nil"/>
          <w:between w:val="nil"/>
        </w:pBdr>
        <w:spacing w:line="360" w:lineRule="auto"/>
        <w:jc w:val="both"/>
        <w:rPr>
          <w:color w:val="000000"/>
          <w:sz w:val="24"/>
          <w:szCs w:val="24"/>
        </w:rPr>
      </w:pPr>
      <w:r>
        <w:rPr>
          <w:rFonts w:ascii="Arial" w:eastAsia="Arial" w:hAnsi="Arial" w:cs="Arial"/>
          <w:b/>
          <w:bCs/>
          <w:color w:val="000000"/>
          <w:sz w:val="24"/>
          <w:szCs w:val="24"/>
        </w:rPr>
        <w:t>Comparability:</w:t>
      </w:r>
      <w:r>
        <w:rPr>
          <w:rFonts w:ascii="Arial" w:eastAsia="Arial" w:hAnsi="Arial" w:cs="Arial"/>
          <w:color w:val="000000"/>
          <w:sz w:val="24"/>
          <w:szCs w:val="24"/>
        </w:rPr>
        <w:t xml:space="preserve"> Statistical data analysis allows comparing demographic segments and dimensions of CSR.</w:t>
      </w:r>
    </w:p>
    <w:p w14:paraId="67247CBC" w14:textId="77777777" w:rsidR="00720726" w:rsidRDefault="00000000">
      <w:pPr>
        <w:keepNext/>
        <w:spacing w:line="360" w:lineRule="auto"/>
        <w:jc w:val="center"/>
      </w:pPr>
      <w:r>
        <w:rPr>
          <w:rFonts w:ascii="Arial" w:eastAsia="Arial" w:hAnsi="Arial" w:cs="Arial"/>
          <w:noProof/>
          <w:sz w:val="24"/>
          <w:szCs w:val="24"/>
        </w:rPr>
        <w:lastRenderedPageBreak/>
        <w:drawing>
          <wp:inline distT="0" distB="0" distL="0" distR="0" wp14:anchorId="4601429E" wp14:editId="396578FF">
            <wp:extent cx="3328133" cy="4621627"/>
            <wp:effectExtent l="0" t="0" r="0" b="0"/>
            <wp:docPr id="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3328133" cy="4621627"/>
                    </a:xfrm>
                    <a:prstGeom prst="rect">
                      <a:avLst/>
                    </a:prstGeom>
                    <a:ln/>
                  </pic:spPr>
                </pic:pic>
              </a:graphicData>
            </a:graphic>
          </wp:inline>
        </w:drawing>
      </w:r>
    </w:p>
    <w:p w14:paraId="7DD214D4" w14:textId="77777777" w:rsidR="00720726" w:rsidRDefault="00000000">
      <w:pPr>
        <w:pBdr>
          <w:top w:val="nil"/>
          <w:left w:val="nil"/>
          <w:bottom w:val="nil"/>
          <w:right w:val="nil"/>
          <w:between w:val="nil"/>
        </w:pBdr>
        <w:spacing w:after="200" w:line="480" w:lineRule="auto"/>
        <w:jc w:val="center"/>
        <w:rPr>
          <w:rFonts w:ascii="Arial" w:eastAsia="Arial" w:hAnsi="Arial" w:cs="Arial"/>
          <w:b/>
          <w:bCs/>
          <w:i/>
          <w:iCs/>
          <w:color w:val="1F497D"/>
          <w:sz w:val="24"/>
          <w:szCs w:val="24"/>
        </w:rPr>
      </w:pPr>
      <w:bookmarkStart w:id="71" w:name="_yw517587uh8" w:colFirst="0" w:colLast="0"/>
      <w:bookmarkEnd w:id="71"/>
      <w:r>
        <w:rPr>
          <w:rFonts w:ascii="Arial" w:eastAsia="Arial" w:hAnsi="Arial" w:cs="Arial"/>
          <w:b/>
          <w:bCs/>
          <w:i/>
          <w:iCs/>
          <w:color w:val="1F497D"/>
          <w:sz w:val="24"/>
          <w:szCs w:val="24"/>
        </w:rPr>
        <w:t>Figure 6: Survey Sections and Key Constructs</w:t>
      </w:r>
    </w:p>
    <w:p w14:paraId="7F7615BA" w14:textId="77777777" w:rsidR="00720726" w:rsidRDefault="00000000">
      <w:pPr>
        <w:pStyle w:val="Heading2"/>
      </w:pPr>
      <w:bookmarkStart w:id="72" w:name="_mslm9p1x8o4i" w:colFirst="0" w:colLast="0"/>
      <w:bookmarkEnd w:id="72"/>
      <w:r>
        <w:t>3.5 Data Collection</w:t>
      </w:r>
    </w:p>
    <w:p w14:paraId="702C859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Data collection describes how information is gathered to answer research questions.</w:t>
      </w:r>
    </w:p>
    <w:p w14:paraId="770CF566" w14:textId="77777777" w:rsidR="00720726" w:rsidRDefault="00000000">
      <w:pPr>
        <w:pStyle w:val="Heading3"/>
      </w:pPr>
      <w:bookmarkStart w:id="73" w:name="_ulxo3r220cr1" w:colFirst="0" w:colLast="0"/>
      <w:bookmarkEnd w:id="73"/>
      <w:r>
        <w:t>3.5.1 Primary Data</w:t>
      </w:r>
    </w:p>
    <w:p w14:paraId="472F2F48"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Primary data will be collected using a structured online survey questionnaire. The questionnaire will include standardised measurement scales for key variables, including:</w:t>
      </w:r>
    </w:p>
    <w:p w14:paraId="7835C647" w14:textId="77777777" w:rsidR="00720726" w:rsidRDefault="00000000">
      <w:pPr>
        <w:numPr>
          <w:ilvl w:val="0"/>
          <w:numId w:val="11"/>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CSR awareness and perception</w:t>
      </w:r>
    </w:p>
    <w:p w14:paraId="42048BED" w14:textId="77777777" w:rsidR="00720726" w:rsidRDefault="00000000">
      <w:pPr>
        <w:numPr>
          <w:ilvl w:val="0"/>
          <w:numId w:val="11"/>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Purchase intention</w:t>
      </w:r>
    </w:p>
    <w:p w14:paraId="4378DFEF" w14:textId="77777777" w:rsidR="00720726" w:rsidRDefault="00000000">
      <w:pPr>
        <w:numPr>
          <w:ilvl w:val="0"/>
          <w:numId w:val="11"/>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Brand loyalty</w:t>
      </w:r>
    </w:p>
    <w:p w14:paraId="0F33AFB1" w14:textId="77777777" w:rsidR="00720726" w:rsidRDefault="00000000">
      <w:pPr>
        <w:numPr>
          <w:ilvl w:val="0"/>
          <w:numId w:val="11"/>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Brand trust</w:t>
      </w:r>
    </w:p>
    <w:p w14:paraId="4CE7C0F0" w14:textId="77777777" w:rsidR="00720726" w:rsidRDefault="00000000">
      <w:pPr>
        <w:numPr>
          <w:ilvl w:val="0"/>
          <w:numId w:val="11"/>
        </w:numPr>
        <w:pBdr>
          <w:top w:val="nil"/>
          <w:left w:val="nil"/>
          <w:bottom w:val="nil"/>
          <w:right w:val="nil"/>
          <w:between w:val="nil"/>
        </w:pBdr>
        <w:spacing w:line="360" w:lineRule="auto"/>
        <w:jc w:val="both"/>
        <w:rPr>
          <w:color w:val="000000"/>
          <w:sz w:val="24"/>
          <w:szCs w:val="24"/>
        </w:rPr>
      </w:pPr>
      <w:r>
        <w:rPr>
          <w:rFonts w:ascii="Arial" w:eastAsia="Arial" w:hAnsi="Arial" w:cs="Arial"/>
          <w:color w:val="000000"/>
          <w:sz w:val="24"/>
          <w:szCs w:val="24"/>
        </w:rPr>
        <w:t>Demographic profiles</w:t>
      </w:r>
    </w:p>
    <w:p w14:paraId="71E19465"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Items will be measured using 5</w:t>
      </w:r>
      <w:r>
        <w:rPr>
          <w:rFonts w:ascii="Cambria Math" w:eastAsia="Cambria Math" w:hAnsi="Cambria Math" w:cs="Cambria Math"/>
          <w:sz w:val="24"/>
          <w:szCs w:val="24"/>
        </w:rPr>
        <w:t>‑</w:t>
      </w:r>
      <w:r>
        <w:rPr>
          <w:rFonts w:ascii="Arial" w:eastAsia="Arial" w:hAnsi="Arial" w:cs="Arial"/>
          <w:sz w:val="24"/>
          <w:szCs w:val="24"/>
        </w:rPr>
        <w:t>point Likert scales (strongly disagree to strongly agree).</w:t>
      </w:r>
    </w:p>
    <w:p w14:paraId="7606E564" w14:textId="77777777" w:rsidR="00720726" w:rsidRDefault="00000000">
      <w:pPr>
        <w:pStyle w:val="Heading3"/>
      </w:pPr>
      <w:bookmarkStart w:id="74" w:name="_nmjuneqf1kqq" w:colFirst="0" w:colLast="0"/>
      <w:bookmarkEnd w:id="74"/>
      <w:r>
        <w:t>3.5.2 Survey Instrument Design</w:t>
      </w:r>
    </w:p>
    <w:p w14:paraId="019B3387"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questionnaire will be divided into sections:</w:t>
      </w:r>
    </w:p>
    <w:p w14:paraId="3A1481CF" w14:textId="77777777" w:rsidR="00720726" w:rsidRDefault="00000000">
      <w:pPr>
        <w:numPr>
          <w:ilvl w:val="0"/>
          <w:numId w:val="12"/>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Section A:</w:t>
      </w:r>
      <w:r>
        <w:rPr>
          <w:rFonts w:ascii="Arial" w:eastAsia="Arial" w:hAnsi="Arial" w:cs="Arial"/>
          <w:color w:val="000000"/>
          <w:sz w:val="24"/>
          <w:szCs w:val="24"/>
        </w:rPr>
        <w:t xml:space="preserve"> Demographics</w:t>
      </w:r>
    </w:p>
    <w:p w14:paraId="3FC4ABC8" w14:textId="77777777" w:rsidR="00720726" w:rsidRDefault="00000000">
      <w:pPr>
        <w:numPr>
          <w:ilvl w:val="0"/>
          <w:numId w:val="12"/>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Section B:</w:t>
      </w:r>
      <w:r>
        <w:rPr>
          <w:rFonts w:ascii="Arial" w:eastAsia="Arial" w:hAnsi="Arial" w:cs="Arial"/>
          <w:color w:val="000000"/>
          <w:sz w:val="24"/>
          <w:szCs w:val="24"/>
        </w:rPr>
        <w:t xml:space="preserve"> CSR Awareness (e.g., “I believe Sainsbury’s engages in socially responsible activities.”)</w:t>
      </w:r>
    </w:p>
    <w:p w14:paraId="76FEE4D4" w14:textId="77777777" w:rsidR="00720726" w:rsidRDefault="00000000">
      <w:pPr>
        <w:numPr>
          <w:ilvl w:val="0"/>
          <w:numId w:val="12"/>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Section C:</w:t>
      </w:r>
      <w:r>
        <w:rPr>
          <w:rFonts w:ascii="Arial" w:eastAsia="Arial" w:hAnsi="Arial" w:cs="Arial"/>
          <w:color w:val="000000"/>
          <w:sz w:val="24"/>
          <w:szCs w:val="24"/>
        </w:rPr>
        <w:t xml:space="preserve"> Consumer Buying Behaviour (e.g., “CSR information influences my decision to buy from Sainsbury’s.”)</w:t>
      </w:r>
    </w:p>
    <w:p w14:paraId="2B9D9CAB" w14:textId="77777777" w:rsidR="00720726" w:rsidRDefault="00000000">
      <w:pPr>
        <w:numPr>
          <w:ilvl w:val="0"/>
          <w:numId w:val="12"/>
        </w:numPr>
        <w:pBdr>
          <w:top w:val="nil"/>
          <w:left w:val="nil"/>
          <w:bottom w:val="nil"/>
          <w:right w:val="nil"/>
          <w:between w:val="nil"/>
        </w:pBdr>
        <w:spacing w:line="360" w:lineRule="auto"/>
        <w:jc w:val="both"/>
        <w:rPr>
          <w:color w:val="000000"/>
          <w:sz w:val="24"/>
          <w:szCs w:val="24"/>
        </w:rPr>
      </w:pPr>
      <w:r>
        <w:rPr>
          <w:rFonts w:ascii="Arial" w:eastAsia="Arial" w:hAnsi="Arial" w:cs="Arial"/>
          <w:b/>
          <w:bCs/>
          <w:color w:val="000000"/>
          <w:sz w:val="24"/>
          <w:szCs w:val="24"/>
        </w:rPr>
        <w:t>Section D:</w:t>
      </w:r>
      <w:r>
        <w:rPr>
          <w:rFonts w:ascii="Arial" w:eastAsia="Arial" w:hAnsi="Arial" w:cs="Arial"/>
          <w:color w:val="000000"/>
          <w:sz w:val="24"/>
          <w:szCs w:val="24"/>
        </w:rPr>
        <w:t xml:space="preserve"> Purchase Intention and Loyalty</w:t>
      </w:r>
    </w:p>
    <w:p w14:paraId="58900524" w14:textId="77777777" w:rsidR="00720726" w:rsidRDefault="00000000">
      <w:pPr>
        <w:keepNext/>
        <w:pBdr>
          <w:top w:val="nil"/>
          <w:left w:val="nil"/>
          <w:bottom w:val="nil"/>
          <w:right w:val="nil"/>
          <w:between w:val="nil"/>
        </w:pBdr>
        <w:spacing w:after="200" w:line="480" w:lineRule="auto"/>
        <w:rPr>
          <w:rFonts w:ascii="Arial" w:eastAsia="Arial" w:hAnsi="Arial" w:cs="Arial"/>
          <w:b/>
          <w:bCs/>
          <w:i/>
          <w:iCs/>
          <w:color w:val="1F497D"/>
          <w:sz w:val="24"/>
          <w:szCs w:val="24"/>
        </w:rPr>
      </w:pPr>
      <w:bookmarkStart w:id="75" w:name="_92jsvvfqtuij" w:colFirst="0" w:colLast="0"/>
      <w:bookmarkEnd w:id="75"/>
      <w:r>
        <w:rPr>
          <w:rFonts w:ascii="Arial" w:eastAsia="Arial" w:hAnsi="Arial" w:cs="Arial"/>
          <w:b/>
          <w:bCs/>
          <w:i/>
          <w:iCs/>
          <w:color w:val="1F497D"/>
          <w:sz w:val="24"/>
          <w:szCs w:val="24"/>
        </w:rPr>
        <w:t>Table 7: Survey Sections and Key Constructs</w:t>
      </w:r>
    </w:p>
    <w:tbl>
      <w:tblPr>
        <w:tblStyle w:val="a7"/>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5"/>
        <w:gridCol w:w="3005"/>
        <w:gridCol w:w="3006"/>
      </w:tblGrid>
      <w:tr w:rsidR="00720726" w14:paraId="5FD8CAE9" w14:textId="77777777">
        <w:tc>
          <w:tcPr>
            <w:tcW w:w="3005" w:type="dxa"/>
          </w:tcPr>
          <w:p w14:paraId="282218AF"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Section</w:t>
            </w:r>
          </w:p>
        </w:tc>
        <w:tc>
          <w:tcPr>
            <w:tcW w:w="3005" w:type="dxa"/>
          </w:tcPr>
          <w:p w14:paraId="3F19CCEA"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Construct</w:t>
            </w:r>
          </w:p>
        </w:tc>
        <w:tc>
          <w:tcPr>
            <w:tcW w:w="3006" w:type="dxa"/>
          </w:tcPr>
          <w:p w14:paraId="5BD6F097"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Example Item</w:t>
            </w:r>
          </w:p>
        </w:tc>
      </w:tr>
      <w:tr w:rsidR="00720726" w14:paraId="0E4F08B1" w14:textId="77777777">
        <w:tc>
          <w:tcPr>
            <w:tcW w:w="3005" w:type="dxa"/>
          </w:tcPr>
          <w:p w14:paraId="1AED48B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w:t>
            </w:r>
          </w:p>
        </w:tc>
        <w:tc>
          <w:tcPr>
            <w:tcW w:w="3005" w:type="dxa"/>
          </w:tcPr>
          <w:p w14:paraId="1C0BD99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Demographics</w:t>
            </w:r>
          </w:p>
        </w:tc>
        <w:tc>
          <w:tcPr>
            <w:tcW w:w="3006" w:type="dxa"/>
          </w:tcPr>
          <w:p w14:paraId="0DA85845"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Age, gender, income</w:t>
            </w:r>
          </w:p>
        </w:tc>
      </w:tr>
      <w:tr w:rsidR="00720726" w14:paraId="57404B6F" w14:textId="77777777">
        <w:tc>
          <w:tcPr>
            <w:tcW w:w="3005" w:type="dxa"/>
          </w:tcPr>
          <w:p w14:paraId="090D159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B</w:t>
            </w:r>
          </w:p>
        </w:tc>
        <w:tc>
          <w:tcPr>
            <w:tcW w:w="3005" w:type="dxa"/>
          </w:tcPr>
          <w:p w14:paraId="5601160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CSR Perception</w:t>
            </w:r>
          </w:p>
        </w:tc>
        <w:tc>
          <w:tcPr>
            <w:tcW w:w="3006" w:type="dxa"/>
          </w:tcPr>
          <w:p w14:paraId="02B790F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CSR prioritised by Sainsbury’s</w:t>
            </w:r>
          </w:p>
        </w:tc>
      </w:tr>
      <w:tr w:rsidR="00720726" w14:paraId="5B663DB2" w14:textId="77777777">
        <w:tc>
          <w:tcPr>
            <w:tcW w:w="3005" w:type="dxa"/>
          </w:tcPr>
          <w:p w14:paraId="589AD204"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w:t>
            </w:r>
          </w:p>
        </w:tc>
        <w:tc>
          <w:tcPr>
            <w:tcW w:w="3005" w:type="dxa"/>
          </w:tcPr>
          <w:p w14:paraId="4677DB7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Behaviour</w:t>
            </w:r>
          </w:p>
        </w:tc>
        <w:tc>
          <w:tcPr>
            <w:tcW w:w="3006" w:type="dxa"/>
          </w:tcPr>
          <w:p w14:paraId="7F2C23CC"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CSR influences my choices</w:t>
            </w:r>
          </w:p>
        </w:tc>
      </w:tr>
      <w:tr w:rsidR="00720726" w14:paraId="34F8B28F" w14:textId="77777777">
        <w:tc>
          <w:tcPr>
            <w:tcW w:w="3005" w:type="dxa"/>
          </w:tcPr>
          <w:p w14:paraId="7C59C7C7"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D</w:t>
            </w:r>
          </w:p>
        </w:tc>
        <w:tc>
          <w:tcPr>
            <w:tcW w:w="3005" w:type="dxa"/>
          </w:tcPr>
          <w:p w14:paraId="1B520FA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Outcomes</w:t>
            </w:r>
          </w:p>
        </w:tc>
        <w:tc>
          <w:tcPr>
            <w:tcW w:w="3006" w:type="dxa"/>
          </w:tcPr>
          <w:p w14:paraId="362E9AE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Intention to buy, loyalty</w:t>
            </w:r>
          </w:p>
        </w:tc>
      </w:tr>
    </w:tbl>
    <w:p w14:paraId="43E6E55A" w14:textId="77777777" w:rsidR="00720726" w:rsidRDefault="00720726">
      <w:pPr>
        <w:spacing w:line="360" w:lineRule="auto"/>
        <w:jc w:val="both"/>
        <w:rPr>
          <w:rFonts w:ascii="Arial" w:eastAsia="Arial" w:hAnsi="Arial" w:cs="Arial"/>
          <w:sz w:val="24"/>
          <w:szCs w:val="24"/>
        </w:rPr>
      </w:pPr>
    </w:p>
    <w:p w14:paraId="0BF97987" w14:textId="77777777" w:rsidR="00720726" w:rsidRDefault="00000000">
      <w:pPr>
        <w:pStyle w:val="Heading3"/>
      </w:pPr>
      <w:bookmarkStart w:id="76" w:name="_b4ag2ghbdja" w:colFirst="0" w:colLast="0"/>
      <w:bookmarkEnd w:id="76"/>
      <w:r>
        <w:t>3.5.3 Pilot Testing</w:t>
      </w:r>
    </w:p>
    <w:p w14:paraId="7CB7DC9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To determine the clarity, reliability and validity of the questions in the questionnaires, a pilot survey will be conducted to a small sample (approximately 15-20 respondents) to test the above questions. To determine internal consistency, the computation of Cronbach alpha will be done.</w:t>
      </w:r>
    </w:p>
    <w:p w14:paraId="3497C2E3" w14:textId="77777777" w:rsidR="00720726" w:rsidRDefault="00000000">
      <w:pPr>
        <w:pStyle w:val="Heading2"/>
      </w:pPr>
      <w:bookmarkStart w:id="77" w:name="_4pxhkpx0mcz6" w:colFirst="0" w:colLast="0"/>
      <w:bookmarkEnd w:id="77"/>
      <w:r>
        <w:t>3.6 Sampling</w:t>
      </w:r>
    </w:p>
    <w:p w14:paraId="3D1C538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Sampling strategy indicates the method of selecting the participants.</w:t>
      </w:r>
    </w:p>
    <w:p w14:paraId="02BC824A" w14:textId="77777777" w:rsidR="00720726" w:rsidRDefault="00000000">
      <w:pPr>
        <w:pStyle w:val="Heading3"/>
      </w:pPr>
      <w:bookmarkStart w:id="78" w:name="_c6qa1noo3u5w" w:colFirst="0" w:colLast="0"/>
      <w:bookmarkEnd w:id="78"/>
      <w:r>
        <w:t>3.6.1 Target Population</w:t>
      </w:r>
    </w:p>
    <w:p w14:paraId="14DEFF1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target population consists of the UK consumers who have made a purchase at Sainsbury’s within the last 6 months and are conscious of CSR activities.</w:t>
      </w:r>
    </w:p>
    <w:p w14:paraId="49EDD826" w14:textId="77777777" w:rsidR="00720726" w:rsidRDefault="00000000">
      <w:pPr>
        <w:pStyle w:val="Heading3"/>
      </w:pPr>
      <w:bookmarkStart w:id="79" w:name="_bdiykxeu7496" w:colFirst="0" w:colLast="0"/>
      <w:bookmarkEnd w:id="79"/>
      <w:r>
        <w:lastRenderedPageBreak/>
        <w:t>3.6.2 Sampling Technique: Stratified Convenience</w:t>
      </w:r>
    </w:p>
    <w:p w14:paraId="448A07C4"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In this study a stratified convenience sampling method will be employed. The target population is consumers in the United Kingdom that shop at Sainsbury and are exposed or aware of CSR-related information either through in-store communication, advertising or online. The population is relevant in that, these consumers are directly affected by the CSR perception and the buying behaviour and thus appropriate to the study on the relationship between CSR perception and buying behaviour.</w:t>
      </w:r>
    </w:p>
    <w:p w14:paraId="7E58BB7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It will consist of people who are 18 years and above since they are the active people in the buying decision. To enhance representation, the sample will be stratified on major demographical variables especially the age and gender so that the key consumer groups are covered. This will provide a practical and representative approach to the study as it will enable the study to capture a variety of consumer perspective without being overly impractical in terms of time and resource constraints.</w:t>
      </w:r>
    </w:p>
    <w:p w14:paraId="2D1DFA6A" w14:textId="77777777" w:rsidR="00720726" w:rsidRDefault="00000000">
      <w:pPr>
        <w:pStyle w:val="Heading3"/>
      </w:pPr>
      <w:bookmarkStart w:id="80" w:name="_rglulkk3civs" w:colFirst="0" w:colLast="0"/>
      <w:bookmarkEnd w:id="80"/>
      <w:r>
        <w:t>3.6.3 Sample Size</w:t>
      </w:r>
    </w:p>
    <w:p w14:paraId="721C70F9"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It is suggested that 300 questionnaires filled in should be used to provide enough statistical power to perform regression and correlation analysis. The bigger the sample size, the more reliability and validity.</w:t>
      </w:r>
    </w:p>
    <w:p w14:paraId="4826F0B3" w14:textId="77777777" w:rsidR="00720726" w:rsidRDefault="00000000">
      <w:pPr>
        <w:pStyle w:val="Heading3"/>
      </w:pPr>
      <w:bookmarkStart w:id="81" w:name="_i42q0xxyql9" w:colFirst="0" w:colLast="0"/>
      <w:bookmarkEnd w:id="81"/>
      <w:r>
        <w:t>3.6.4 Sampling Justification</w:t>
      </w:r>
    </w:p>
    <w:p w14:paraId="18ECE0C4" w14:textId="77777777" w:rsidR="00720726" w:rsidRDefault="00000000">
      <w:pPr>
        <w:numPr>
          <w:ilvl w:val="0"/>
          <w:numId w:val="9"/>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Feasible given time and resources</w:t>
      </w:r>
    </w:p>
    <w:p w14:paraId="52777B98" w14:textId="77777777" w:rsidR="00720726" w:rsidRDefault="00000000">
      <w:pPr>
        <w:numPr>
          <w:ilvl w:val="0"/>
          <w:numId w:val="9"/>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Adequate to multivariate analysis like regression.</w:t>
      </w:r>
    </w:p>
    <w:p w14:paraId="4CCD5F7E" w14:textId="77777777" w:rsidR="00720726" w:rsidRDefault="00000000">
      <w:pPr>
        <w:numPr>
          <w:ilvl w:val="0"/>
          <w:numId w:val="9"/>
        </w:numPr>
        <w:pBdr>
          <w:top w:val="nil"/>
          <w:left w:val="nil"/>
          <w:bottom w:val="nil"/>
          <w:right w:val="nil"/>
          <w:between w:val="nil"/>
        </w:pBdr>
        <w:spacing w:line="360" w:lineRule="auto"/>
        <w:jc w:val="both"/>
        <w:rPr>
          <w:color w:val="000000"/>
          <w:sz w:val="24"/>
          <w:szCs w:val="24"/>
        </w:rPr>
      </w:pPr>
      <w:r>
        <w:rPr>
          <w:rFonts w:ascii="Arial" w:eastAsia="Arial" w:hAnsi="Arial" w:cs="Arial"/>
          <w:color w:val="000000"/>
          <w:sz w:val="24"/>
          <w:szCs w:val="24"/>
        </w:rPr>
        <w:t>General enough to include a variety of consumer attitudes.</w:t>
      </w:r>
    </w:p>
    <w:p w14:paraId="7DD5467A" w14:textId="77777777" w:rsidR="00720726" w:rsidRDefault="00000000">
      <w:pPr>
        <w:pStyle w:val="Heading2"/>
      </w:pPr>
      <w:bookmarkStart w:id="82" w:name="_c6bih0xdb4t3" w:colFirst="0" w:colLast="0"/>
      <w:bookmarkEnd w:id="82"/>
      <w:r>
        <w:t>3.7 Data Analysis</w:t>
      </w:r>
    </w:p>
    <w:p w14:paraId="79FDB12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Data analysis is a very important process that converts raw data (survey responses) into meaningful information, which in turn makes it possible to test research hypotheses, as well as to answer the central question: How does CSR influence consumer buying behaviour at Sainsbury’s? This research will be structured as a quantitative study that will be analysed using statistical methods in SPSS and Excel to examine the relationship between variables.</w:t>
      </w:r>
    </w:p>
    <w:p w14:paraId="14810DB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analysis will start with the descriptive statistics (mean, standard deviation, frequency distributions) to summarise the characteristics of respondents and key constructs like CSR awareness, brand trust, and purchase intention. This provides an overview of trends and patterns in the dataset.</w:t>
      </w:r>
    </w:p>
    <w:p w14:paraId="35F8E1E7"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The principal analytical method is a multiple regression analysis, which will determine the predictive effect of independent variables on the dependent variable. In this study:</w:t>
      </w:r>
    </w:p>
    <w:p w14:paraId="27FF3762"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Dependent Variable (DV):</w:t>
      </w:r>
    </w:p>
    <w:p w14:paraId="04FC63A0" w14:textId="77777777" w:rsidR="00720726" w:rsidRDefault="00000000">
      <w:pPr>
        <w:numPr>
          <w:ilvl w:val="0"/>
          <w:numId w:val="5"/>
        </w:numPr>
        <w:pBdr>
          <w:top w:val="nil"/>
          <w:left w:val="nil"/>
          <w:bottom w:val="nil"/>
          <w:right w:val="nil"/>
          <w:between w:val="nil"/>
        </w:pBdr>
        <w:spacing w:line="360" w:lineRule="auto"/>
        <w:jc w:val="both"/>
        <w:rPr>
          <w:color w:val="000000"/>
          <w:sz w:val="24"/>
          <w:szCs w:val="24"/>
        </w:rPr>
      </w:pPr>
      <w:r>
        <w:rPr>
          <w:rFonts w:ascii="Arial" w:eastAsia="Arial" w:hAnsi="Arial" w:cs="Arial"/>
          <w:color w:val="000000"/>
          <w:sz w:val="24"/>
          <w:szCs w:val="24"/>
        </w:rPr>
        <w:t>Consumer Purchase Intention (likelihood of buying from Sainsbury’s)</w:t>
      </w:r>
    </w:p>
    <w:p w14:paraId="6186AD5E"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Independent Variables (IVs):</w:t>
      </w:r>
    </w:p>
    <w:p w14:paraId="06B5CA7D" w14:textId="77777777" w:rsidR="00720726" w:rsidRDefault="00000000">
      <w:pPr>
        <w:numPr>
          <w:ilvl w:val="0"/>
          <w:numId w:val="4"/>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CSR Awareness (consumer knowledge of CSR initiatives)</w:t>
      </w:r>
    </w:p>
    <w:p w14:paraId="0725E100" w14:textId="77777777" w:rsidR="00720726" w:rsidRDefault="00000000">
      <w:pPr>
        <w:numPr>
          <w:ilvl w:val="0"/>
          <w:numId w:val="4"/>
        </w:numPr>
        <w:pBdr>
          <w:top w:val="nil"/>
          <w:left w:val="nil"/>
          <w:bottom w:val="nil"/>
          <w:right w:val="nil"/>
          <w:between w:val="nil"/>
        </w:pBdr>
        <w:spacing w:after="0" w:line="360" w:lineRule="auto"/>
        <w:jc w:val="both"/>
        <w:rPr>
          <w:color w:val="000000"/>
          <w:sz w:val="24"/>
          <w:szCs w:val="24"/>
        </w:rPr>
      </w:pPr>
      <w:r>
        <w:rPr>
          <w:rFonts w:ascii="Arial" w:eastAsia="Arial" w:hAnsi="Arial" w:cs="Arial"/>
          <w:color w:val="000000"/>
          <w:sz w:val="24"/>
          <w:szCs w:val="24"/>
        </w:rPr>
        <w:t>CSR Perception (evaluation of CSR activities)</w:t>
      </w:r>
    </w:p>
    <w:p w14:paraId="53356A55" w14:textId="77777777" w:rsidR="00720726" w:rsidRDefault="00000000">
      <w:pPr>
        <w:numPr>
          <w:ilvl w:val="0"/>
          <w:numId w:val="4"/>
        </w:numPr>
        <w:pBdr>
          <w:top w:val="nil"/>
          <w:left w:val="nil"/>
          <w:bottom w:val="nil"/>
          <w:right w:val="nil"/>
          <w:between w:val="nil"/>
        </w:pBdr>
        <w:spacing w:line="360" w:lineRule="auto"/>
        <w:jc w:val="both"/>
        <w:rPr>
          <w:color w:val="000000"/>
          <w:sz w:val="24"/>
          <w:szCs w:val="24"/>
        </w:rPr>
      </w:pPr>
      <w:r>
        <w:rPr>
          <w:rFonts w:ascii="Arial" w:eastAsia="Arial" w:hAnsi="Arial" w:cs="Arial"/>
          <w:color w:val="000000"/>
          <w:sz w:val="24"/>
          <w:szCs w:val="24"/>
        </w:rPr>
        <w:t>Brand Trust (level of trust in the company)</w:t>
      </w:r>
    </w:p>
    <w:p w14:paraId="433D1499"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Control Variables (optional):</w:t>
      </w:r>
    </w:p>
    <w:p w14:paraId="194C03A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Demographics (age, gender, income)</w:t>
      </w:r>
    </w:p>
    <w:p w14:paraId="14340D5C"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proposed regression model is:</w:t>
      </w:r>
    </w:p>
    <w:p w14:paraId="2BF13C0B" w14:textId="77777777" w:rsidR="00720726" w:rsidRDefault="00000000">
      <w:pPr>
        <w:keepNext/>
        <w:spacing w:line="360" w:lineRule="auto"/>
        <w:jc w:val="center"/>
      </w:pPr>
      <w:r>
        <w:rPr>
          <w:rFonts w:ascii="Arial" w:eastAsia="Arial" w:hAnsi="Arial" w:cs="Arial"/>
          <w:noProof/>
          <w:sz w:val="24"/>
          <w:szCs w:val="24"/>
        </w:rPr>
        <w:drawing>
          <wp:inline distT="0" distB="0" distL="0" distR="0" wp14:anchorId="04DFA110" wp14:editId="12328ECC">
            <wp:extent cx="3160111" cy="2106624"/>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3160111" cy="2106624"/>
                    </a:xfrm>
                    <a:prstGeom prst="rect">
                      <a:avLst/>
                    </a:prstGeom>
                    <a:ln/>
                  </pic:spPr>
                </pic:pic>
              </a:graphicData>
            </a:graphic>
          </wp:inline>
        </w:drawing>
      </w:r>
    </w:p>
    <w:p w14:paraId="60993F9F" w14:textId="77777777" w:rsidR="00720726" w:rsidRDefault="00000000">
      <w:pPr>
        <w:pBdr>
          <w:top w:val="nil"/>
          <w:left w:val="nil"/>
          <w:bottom w:val="nil"/>
          <w:right w:val="nil"/>
          <w:between w:val="nil"/>
        </w:pBdr>
        <w:spacing w:after="200" w:line="480" w:lineRule="auto"/>
        <w:jc w:val="center"/>
        <w:rPr>
          <w:rFonts w:ascii="Arial" w:eastAsia="Arial" w:hAnsi="Arial" w:cs="Arial"/>
          <w:b/>
          <w:bCs/>
          <w:i/>
          <w:iCs/>
          <w:color w:val="1F497D"/>
          <w:sz w:val="24"/>
          <w:szCs w:val="24"/>
        </w:rPr>
      </w:pPr>
      <w:bookmarkStart w:id="83" w:name="_mdclbbukk5eu" w:colFirst="0" w:colLast="0"/>
      <w:bookmarkEnd w:id="83"/>
      <w:r>
        <w:rPr>
          <w:rFonts w:ascii="Arial" w:eastAsia="Arial" w:hAnsi="Arial" w:cs="Arial"/>
          <w:b/>
          <w:bCs/>
          <w:i/>
          <w:iCs/>
          <w:color w:val="1F497D"/>
          <w:sz w:val="24"/>
          <w:szCs w:val="24"/>
        </w:rPr>
        <w:t>Figure 7.. Regression Model for Purchase Intention.Adapted from  “Ajzen (1991); Carroll &amp; Shabana (2010)”.</w:t>
      </w:r>
    </w:p>
    <w:p w14:paraId="722A977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When using this model, the research will be able to know the strength and importance of each predictor, which factors have the strongest impact on consumer behaviour. It is also possible to test the hypotheses concerning the direct and indirect impact of CSR on the purchasing decisions.</w:t>
      </w:r>
    </w:p>
    <w:p w14:paraId="6702A9B8"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All in all, this combination of descriptive, correlation as well as regression methods will guarantee a rigorous and systematic analysis that will provide reliable evidence in support of the research objectives.</w:t>
      </w:r>
    </w:p>
    <w:p w14:paraId="6C35D5E0" w14:textId="77777777" w:rsidR="00720726" w:rsidRDefault="00000000">
      <w:pPr>
        <w:pStyle w:val="Heading3"/>
      </w:pPr>
      <w:bookmarkStart w:id="84" w:name="_fokav8kl1xm3" w:colFirst="0" w:colLast="0"/>
      <w:bookmarkEnd w:id="84"/>
      <w:r>
        <w:lastRenderedPageBreak/>
        <w:t>3.7.1 Descriptive Statistics</w:t>
      </w:r>
    </w:p>
    <w:p w14:paraId="685AF10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demographic profile of respondents will be summarised using descriptive statistics that will include age, gender, education and income levels. The dispersion (standard deviation, variance) and measures of central tendency (mean, median, mode) will give a clear picture of the characteristics of the samples. Also, the descriptive analysis will be used to determine initial patterns in CSR awareness, perceived CSR effectiveness, brand trust, and purchase intention to identify trends and anomalies in the data (Malhotra and Birks, 2021).</w:t>
      </w:r>
    </w:p>
    <w:p w14:paraId="03DC8C4F" w14:textId="77777777" w:rsidR="00720726" w:rsidRDefault="00000000">
      <w:pPr>
        <w:keepNext/>
        <w:spacing w:line="360" w:lineRule="auto"/>
        <w:jc w:val="center"/>
      </w:pPr>
      <w:r>
        <w:rPr>
          <w:noProof/>
        </w:rPr>
        <w:drawing>
          <wp:inline distT="0" distB="0" distL="0" distR="0" wp14:anchorId="389CF37D" wp14:editId="7835D1E8">
            <wp:extent cx="5731510" cy="3820795"/>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5731510" cy="3820795"/>
                    </a:xfrm>
                    <a:prstGeom prst="rect">
                      <a:avLst/>
                    </a:prstGeom>
                    <a:ln/>
                  </pic:spPr>
                </pic:pic>
              </a:graphicData>
            </a:graphic>
          </wp:inline>
        </w:drawing>
      </w:r>
    </w:p>
    <w:p w14:paraId="3EFF571D" w14:textId="77777777" w:rsidR="00720726" w:rsidRDefault="00000000">
      <w:pPr>
        <w:pBdr>
          <w:top w:val="nil"/>
          <w:left w:val="nil"/>
          <w:bottom w:val="nil"/>
          <w:right w:val="nil"/>
          <w:between w:val="nil"/>
        </w:pBdr>
        <w:spacing w:after="200" w:line="480" w:lineRule="auto"/>
        <w:jc w:val="center"/>
        <w:rPr>
          <w:rFonts w:ascii="Arial" w:eastAsia="Arial" w:hAnsi="Arial" w:cs="Arial"/>
          <w:b/>
          <w:bCs/>
          <w:i/>
          <w:iCs/>
          <w:color w:val="1F497D"/>
          <w:sz w:val="24"/>
          <w:szCs w:val="24"/>
        </w:rPr>
      </w:pPr>
      <w:bookmarkStart w:id="85" w:name="_xbjd6ycal8po" w:colFirst="0" w:colLast="0"/>
      <w:bookmarkEnd w:id="85"/>
      <w:r>
        <w:rPr>
          <w:rFonts w:ascii="Arial" w:eastAsia="Arial" w:hAnsi="Arial" w:cs="Arial"/>
          <w:b/>
          <w:bCs/>
          <w:i/>
          <w:iCs/>
          <w:color w:val="1F497D"/>
          <w:sz w:val="24"/>
          <w:szCs w:val="24"/>
        </w:rPr>
        <w:t>Figure 8: CSR Awareness by Age Groups</w:t>
      </w:r>
    </w:p>
    <w:p w14:paraId="64BDD80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CSR Awareness by Age Group indicates that the younger adults, especially those in the age bracket of 2534 and 3544 demonstrate higher degrees of CSR awareness implying that they are more responsive to CSR programs. The level of awareness among older consumers is lower, and the responsiveness of the 55+ age group is the lowest. This trend shows that there is a generational difference in the attitudes towards corporate responsibility.</w:t>
      </w:r>
    </w:p>
    <w:p w14:paraId="6214DB2E" w14:textId="77777777" w:rsidR="00720726" w:rsidRDefault="00000000">
      <w:pPr>
        <w:keepNext/>
        <w:jc w:val="center"/>
      </w:pPr>
      <w:r>
        <w:rPr>
          <w:noProof/>
        </w:rPr>
        <w:lastRenderedPageBreak/>
        <w:drawing>
          <wp:inline distT="0" distB="0" distL="0" distR="0" wp14:anchorId="43C2A6C5" wp14:editId="1D84A637">
            <wp:extent cx="3127794" cy="2085080"/>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3127794" cy="2085080"/>
                    </a:xfrm>
                    <a:prstGeom prst="rect">
                      <a:avLst/>
                    </a:prstGeom>
                    <a:ln/>
                  </pic:spPr>
                </pic:pic>
              </a:graphicData>
            </a:graphic>
          </wp:inline>
        </w:drawing>
      </w:r>
    </w:p>
    <w:p w14:paraId="552969B9" w14:textId="77777777" w:rsidR="00720726" w:rsidRDefault="00000000">
      <w:pPr>
        <w:pBdr>
          <w:top w:val="nil"/>
          <w:left w:val="nil"/>
          <w:bottom w:val="nil"/>
          <w:right w:val="nil"/>
          <w:between w:val="nil"/>
        </w:pBdr>
        <w:spacing w:after="200" w:line="480" w:lineRule="auto"/>
        <w:jc w:val="center"/>
        <w:rPr>
          <w:rFonts w:ascii="Arial" w:eastAsia="Arial" w:hAnsi="Arial" w:cs="Arial"/>
          <w:b/>
          <w:bCs/>
          <w:i/>
          <w:iCs/>
          <w:color w:val="1F497D"/>
          <w:sz w:val="24"/>
          <w:szCs w:val="24"/>
        </w:rPr>
      </w:pPr>
      <w:bookmarkStart w:id="86" w:name="_sns9n6x7l3lx" w:colFirst="0" w:colLast="0"/>
      <w:bookmarkEnd w:id="86"/>
      <w:r>
        <w:rPr>
          <w:rFonts w:ascii="Arial" w:eastAsia="Arial" w:hAnsi="Arial" w:cs="Arial"/>
          <w:b/>
          <w:bCs/>
          <w:i/>
          <w:iCs/>
          <w:color w:val="1F497D"/>
          <w:sz w:val="24"/>
          <w:szCs w:val="24"/>
        </w:rPr>
        <w:t>Figure 9.CSR Awareness by Gender</w:t>
      </w:r>
    </w:p>
    <w:p w14:paraId="30C9BB45" w14:textId="77777777" w:rsidR="00720726" w:rsidRDefault="00720726"/>
    <w:p w14:paraId="46221078"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CSR Awareness by Gender is relatively balanced with female consumers (50%) being slightly more aware than male consumers (45%), with 5% identifying as other or prefer not to disclose. These findings imply that CSR communication plans must focus on younger audiences, and messages must be gender-neutral.</w:t>
      </w:r>
    </w:p>
    <w:p w14:paraId="23DEB399" w14:textId="77777777" w:rsidR="00720726" w:rsidRDefault="00000000">
      <w:pPr>
        <w:pStyle w:val="Heading3"/>
      </w:pPr>
      <w:bookmarkStart w:id="87" w:name="_u6rpxlw10b5c" w:colFirst="0" w:colLast="0"/>
      <w:bookmarkEnd w:id="87"/>
      <w:r>
        <w:t>3.7.2 Reliability and tests of validity.</w:t>
      </w:r>
    </w:p>
    <w:p w14:paraId="319CAC8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Reliability is used to ensure that survey items are always used to measure the same constructs. Multi-item scales (CSR perception, brand trust, purchase intention) will be calculated and the alpha of Cronbach will be above 0.7 which is an acceptable level of internal consistency (Hair et al., 2021). An exploratory factor analysis can also be done to determine construct validity, which is the presence of the items of a theory in their right clusters and reflecting the real variables in the latent variables.</w:t>
      </w:r>
    </w:p>
    <w:p w14:paraId="6294915C" w14:textId="77777777" w:rsidR="00720726" w:rsidRDefault="00000000">
      <w:pPr>
        <w:pStyle w:val="Heading3"/>
      </w:pPr>
      <w:bookmarkStart w:id="88" w:name="_osm0yztalvgd" w:colFirst="0" w:colLast="0"/>
      <w:bookmarkEnd w:id="88"/>
      <w:r>
        <w:t>3.7.3 Correlation Analysis</w:t>
      </w:r>
    </w:p>
    <w:p w14:paraId="7899651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Correlation analysis will examine the strength and direction of the relationship between variables. The correlation coefficient (r) provided by Pearson will be used to measure the association between CSR perception, brand trust and purchase intention. Positive correlations imply that an increased CSR awareness level is related to a stronger purchase intention, whereas weak or negative correlations mean that a lower level of CSR awareness has little or opposite influence (Field, 2020). A correlation matrix will be provided which can be easily interpreted to give all the bivariate relationships.</w:t>
      </w:r>
    </w:p>
    <w:p w14:paraId="2FC8080F" w14:textId="77777777" w:rsidR="00720726" w:rsidRDefault="00000000">
      <w:pPr>
        <w:pStyle w:val="Heading3"/>
      </w:pPr>
      <w:bookmarkStart w:id="89" w:name="_szcwfn1071ry" w:colFirst="0" w:colLast="0"/>
      <w:bookmarkEnd w:id="89"/>
      <w:r>
        <w:lastRenderedPageBreak/>
        <w:t>3.7.4 Regression Analysis</w:t>
      </w:r>
    </w:p>
    <w:p w14:paraId="27EA061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multiple linear regression will be used to measure the effect on the dependent variable, purchase intention, of the independent variables (CSR perception, brand trust, demographic factors). The effect sizes and statistical significance will be indicated by regression coefficients ( Ω) and be used to test hypotheses. The model proposed is:</w:t>
      </w:r>
    </w:p>
    <w:p w14:paraId="57F83D47"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Purchase Intention = β</w:t>
      </w:r>
      <w:r>
        <w:rPr>
          <w:rFonts w:ascii="Cambria Math" w:eastAsia="Cambria Math" w:hAnsi="Cambria Math" w:cs="Cambria Math"/>
          <w:b/>
          <w:bCs/>
          <w:sz w:val="24"/>
          <w:szCs w:val="24"/>
        </w:rPr>
        <w:t>₀</w:t>
      </w:r>
      <w:r>
        <w:rPr>
          <w:rFonts w:ascii="Arial" w:eastAsia="Arial" w:hAnsi="Arial" w:cs="Arial"/>
          <w:b/>
          <w:bCs/>
          <w:sz w:val="24"/>
          <w:szCs w:val="24"/>
        </w:rPr>
        <w:t xml:space="preserve"> + β</w:t>
      </w:r>
      <w:r>
        <w:rPr>
          <w:rFonts w:ascii="Cambria Math" w:eastAsia="Cambria Math" w:hAnsi="Cambria Math" w:cs="Cambria Math"/>
          <w:b/>
          <w:bCs/>
          <w:sz w:val="24"/>
          <w:szCs w:val="24"/>
        </w:rPr>
        <w:t>₁</w:t>
      </w:r>
      <w:r>
        <w:rPr>
          <w:rFonts w:ascii="Arial" w:eastAsia="Arial" w:hAnsi="Arial" w:cs="Arial"/>
          <w:b/>
          <w:bCs/>
          <w:sz w:val="24"/>
          <w:szCs w:val="24"/>
        </w:rPr>
        <w:t>(CSR Awareness) + β</w:t>
      </w:r>
      <w:r>
        <w:rPr>
          <w:rFonts w:ascii="Cambria Math" w:eastAsia="Cambria Math" w:hAnsi="Cambria Math" w:cs="Cambria Math"/>
          <w:b/>
          <w:bCs/>
          <w:sz w:val="24"/>
          <w:szCs w:val="24"/>
        </w:rPr>
        <w:t>₂</w:t>
      </w:r>
      <w:r>
        <w:rPr>
          <w:rFonts w:ascii="Arial" w:eastAsia="Arial" w:hAnsi="Arial" w:cs="Arial"/>
          <w:b/>
          <w:bCs/>
          <w:sz w:val="24"/>
          <w:szCs w:val="24"/>
        </w:rPr>
        <w:t>(Brand Trust) + β</w:t>
      </w:r>
      <w:r>
        <w:rPr>
          <w:rFonts w:ascii="Cambria Math" w:eastAsia="Cambria Math" w:hAnsi="Cambria Math" w:cs="Cambria Math"/>
          <w:b/>
          <w:bCs/>
          <w:sz w:val="24"/>
          <w:szCs w:val="24"/>
        </w:rPr>
        <w:t>₃</w:t>
      </w:r>
      <w:r>
        <w:rPr>
          <w:rFonts w:ascii="Arial" w:eastAsia="Arial" w:hAnsi="Arial" w:cs="Arial"/>
          <w:b/>
          <w:bCs/>
          <w:sz w:val="24"/>
          <w:szCs w:val="24"/>
        </w:rPr>
        <w:t>(Demographics) + ε</w:t>
      </w:r>
    </w:p>
    <w:p w14:paraId="6953AAF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This discussion determines the strongest CSR dimensions that impact consumer buying behaviour, and experiments whether brand trust mediates between CSR and purchase intention.</w:t>
      </w:r>
    </w:p>
    <w:p w14:paraId="49D31F06" w14:textId="77777777" w:rsidR="00720726" w:rsidRDefault="00000000">
      <w:pPr>
        <w:pStyle w:val="Heading2"/>
      </w:pPr>
      <w:bookmarkStart w:id="90" w:name="_b10kv1kd8hcl" w:colFirst="0" w:colLast="0"/>
      <w:bookmarkEnd w:id="90"/>
      <w:r>
        <w:t>3.8 Ethical Considerations</w:t>
      </w:r>
    </w:p>
    <w:p w14:paraId="4359F9B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ethical considerations are key to ensuring that research is conducted responsibly, protect the rights of participants, and preserve the integrity of the study. This study complies with the set of ethical principles of social science research and follows the principles identified by the British Psychological Society (BPS) and GDPR guidelines.</w:t>
      </w:r>
    </w:p>
    <w:p w14:paraId="6DCE3886" w14:textId="77777777" w:rsidR="00720726" w:rsidRDefault="00000000">
      <w:pPr>
        <w:pStyle w:val="Heading3"/>
      </w:pPr>
      <w:bookmarkStart w:id="91" w:name="_k9hcd4tjy3yd" w:colFirst="0" w:colLast="0"/>
      <w:bookmarkEnd w:id="91"/>
      <w:r>
        <w:t>3.8.1 Informed Consent</w:t>
      </w:r>
    </w:p>
    <w:p w14:paraId="1B5B525C"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Informed consent makes sure that participants willingly consent to participate in the study with complete understanding of the purpose, procedures, and any other possible implications (Bryman and Bell, 2021). Each participant will be given a clear explanation of the research objectives, how long they will participate in the research, what questions will be asked and how their answers will be utilised. Electronic consent will be provided prior to survey submission, and it will give the participant the option to decline or skip participation without any consequences. This guarantees freedom and openness of participation.</w:t>
      </w:r>
    </w:p>
    <w:p w14:paraId="197359A2" w14:textId="77777777" w:rsidR="00720726" w:rsidRDefault="00000000">
      <w:pPr>
        <w:pStyle w:val="Heading3"/>
      </w:pPr>
      <w:bookmarkStart w:id="92" w:name="_wgucabxpr6fb" w:colFirst="0" w:colLast="0"/>
      <w:bookmarkEnd w:id="92"/>
      <w:r>
        <w:t>3.8.2 Confidentiality and Anonymity</w:t>
      </w:r>
    </w:p>
    <w:p w14:paraId="794256E4"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Strict measures will be taken to preserve the privacy of participants, by keeping the identity of the participants anonymous. No personally identifiable information including names, email address or contact numbers will be gathered. Data will be identified to avoid identifying responses with individual participants by using numerical identifiers (Saunders et al., 2022). The research will only provide aggregate results; thus no one can be recognized as a participant of published findings. Further protection of data </w:t>
      </w:r>
      <w:r>
        <w:rPr>
          <w:rFonts w:ascii="Arial" w:eastAsia="Arial" w:hAnsi="Arial" w:cs="Arial"/>
          <w:sz w:val="24"/>
          <w:szCs w:val="24"/>
        </w:rPr>
        <w:lastRenderedPageBreak/>
        <w:t>confidentiality will be observed with secure storage (the use of password-protected files and encrypted drives).</w:t>
      </w:r>
    </w:p>
    <w:p w14:paraId="010C6E21" w14:textId="77777777" w:rsidR="00720726" w:rsidRDefault="00000000">
      <w:pPr>
        <w:pStyle w:val="Heading3"/>
      </w:pPr>
      <w:bookmarkStart w:id="93" w:name="_uscodlcrrfxx" w:colFirst="0" w:colLast="0"/>
      <w:bookmarkEnd w:id="93"/>
      <w:r>
        <w:t>3.8.3 Data Protection</w:t>
      </w:r>
    </w:p>
    <w:p w14:paraId="54E9A0DC"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Data will be processed in the spirit of the General Data Protection Regulation (GDPR) since it will guarantee that the processing of data is lawful, fair, and transparent. The researcher and authorised supervisors will be the only people who can get access. Data will be stored during a specified time frame to be verified and will be destroyed in a secure manner (Field, 2020). The participants will be made aware of the duration of their data retention, and how their data will be destroyed.</w:t>
      </w:r>
    </w:p>
    <w:p w14:paraId="21CCEC98" w14:textId="77777777" w:rsidR="00720726" w:rsidRDefault="00000000">
      <w:pPr>
        <w:pStyle w:val="Heading3"/>
      </w:pPr>
      <w:bookmarkStart w:id="94" w:name="_k6xygueagkde" w:colFirst="0" w:colLast="0"/>
      <w:bookmarkEnd w:id="94"/>
      <w:r>
        <w:t>3.8.4 Right to Withdraw</w:t>
      </w:r>
    </w:p>
    <w:p w14:paraId="4D9D4BE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participants have the right to drop out of the study at any time and without a reason, without any penalty (Robson and McCartan, 2016). This right shall be well explained in the survey instructions. Those who opt to pull out prior to submission will automatically have their answer not counted in the analysis, and thus an ethical consideration and respect of autonomy.</w:t>
      </w:r>
    </w:p>
    <w:p w14:paraId="267597BD" w14:textId="77777777" w:rsidR="00720726" w:rsidRDefault="00000000">
      <w:pPr>
        <w:pStyle w:val="Heading3"/>
      </w:pPr>
      <w:bookmarkStart w:id="95" w:name="_wz86tyo6or6a" w:colFirst="0" w:colLast="0"/>
      <w:bookmarkEnd w:id="95"/>
      <w:r>
        <w:t>3.8.5 Avoiding Harm</w:t>
      </w:r>
    </w:p>
    <w:p w14:paraId="084AF7B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research will not put the participants in any physical, psychological, or social danger. The questions in the surveys will be related only to the perceptions of CSR and consumer behaviour without sensitive or intrusive questions. The study will be conducted on a voluntary basis, and the respondents will be advised to skip the questions they are not comfortable answering (Hair et al., 2021). The information will be debriefed to assure the participants that the safe use of the information they give is assured, and that their input contributes to the academic knowledge.</w:t>
      </w:r>
    </w:p>
    <w:p w14:paraId="3F0D067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The combination of these ethical safeguards will provide participant protection, build trust, and the highest standards of research integrity, supporting both the validity and credibility of the study on CSR and consumer buying behaviour at Sainsbury.</w:t>
      </w:r>
    </w:p>
    <w:p w14:paraId="71BDA971" w14:textId="77777777" w:rsidR="00720726" w:rsidRDefault="00000000">
      <w:pPr>
        <w:pStyle w:val="Heading2"/>
      </w:pPr>
      <w:bookmarkStart w:id="96" w:name="_aidgapixun83" w:colFirst="0" w:colLast="0"/>
      <w:bookmarkEnd w:id="96"/>
      <w:r>
        <w:t xml:space="preserve">3.9 Chapter Summary </w:t>
      </w:r>
    </w:p>
    <w:p w14:paraId="141A465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This chapter described the methodological approach to explore the effectiveness of CSR in consumer buying behaviour at Sainsbury. It established the research in a pragmatic philosophy, adopted a deductive quantitative research methodology, and rationalized the use of structured surveys to measure key constructs. Objectivity and generalisability are put at the forefront of the research design, with qualitative insights </w:t>
      </w:r>
      <w:r>
        <w:rPr>
          <w:rFonts w:ascii="Arial" w:eastAsia="Arial" w:hAnsi="Arial" w:cs="Arial"/>
          <w:sz w:val="24"/>
          <w:szCs w:val="24"/>
        </w:rPr>
        <w:lastRenderedPageBreak/>
        <w:t>being allowed where necessary. Stratified convenience sampling will be used to collect data on the consumer of the UK, who are conversant with Sainsbury and CSR. Data analysis will involve the use of descriptive statistics, reliability test, correlation, and regression test to test hypotheses. Ethical issues or issues like informed consent, confidentiality, and protection of data were outlined to make sure that there was responsible research practice. Proposed tables and figures make the methodological narration more transparent and ready the next chapter about data presentation and findings.</w:t>
      </w:r>
    </w:p>
    <w:p w14:paraId="4F086B6A" w14:textId="77777777" w:rsidR="00720726" w:rsidRDefault="00720726">
      <w:pPr>
        <w:spacing w:line="360" w:lineRule="auto"/>
        <w:jc w:val="both"/>
        <w:rPr>
          <w:rFonts w:ascii="Arial" w:eastAsia="Arial" w:hAnsi="Arial" w:cs="Arial"/>
          <w:sz w:val="24"/>
          <w:szCs w:val="24"/>
        </w:rPr>
      </w:pPr>
    </w:p>
    <w:p w14:paraId="6D84A06C" w14:textId="77777777" w:rsidR="00FC0FCD" w:rsidRDefault="00FC0FCD">
      <w:pPr>
        <w:spacing w:line="360" w:lineRule="auto"/>
        <w:jc w:val="both"/>
        <w:rPr>
          <w:rFonts w:ascii="Arial" w:eastAsia="Arial" w:hAnsi="Arial" w:cs="Arial"/>
          <w:sz w:val="24"/>
          <w:szCs w:val="24"/>
        </w:rPr>
      </w:pPr>
    </w:p>
    <w:p w14:paraId="0D3338A2" w14:textId="77777777" w:rsidR="00FC0FCD" w:rsidRDefault="00FC0FCD">
      <w:pPr>
        <w:spacing w:line="360" w:lineRule="auto"/>
        <w:jc w:val="both"/>
        <w:rPr>
          <w:rFonts w:ascii="Arial" w:eastAsia="Arial" w:hAnsi="Arial" w:cs="Arial"/>
          <w:sz w:val="24"/>
          <w:szCs w:val="24"/>
        </w:rPr>
      </w:pPr>
    </w:p>
    <w:p w14:paraId="6A7B0EF4" w14:textId="77777777" w:rsidR="00FC0FCD" w:rsidRDefault="00FC0FCD">
      <w:pPr>
        <w:spacing w:line="360" w:lineRule="auto"/>
        <w:jc w:val="both"/>
        <w:rPr>
          <w:rFonts w:ascii="Arial" w:eastAsia="Arial" w:hAnsi="Arial" w:cs="Arial"/>
          <w:sz w:val="24"/>
          <w:szCs w:val="24"/>
        </w:rPr>
      </w:pPr>
    </w:p>
    <w:p w14:paraId="398057C6" w14:textId="77777777" w:rsidR="00FC0FCD" w:rsidRDefault="00FC0FCD">
      <w:pPr>
        <w:spacing w:line="360" w:lineRule="auto"/>
        <w:jc w:val="both"/>
        <w:rPr>
          <w:rFonts w:ascii="Arial" w:eastAsia="Arial" w:hAnsi="Arial" w:cs="Arial"/>
          <w:sz w:val="24"/>
          <w:szCs w:val="24"/>
        </w:rPr>
      </w:pPr>
    </w:p>
    <w:p w14:paraId="1917AEB5" w14:textId="77777777" w:rsidR="00FC0FCD" w:rsidRDefault="00FC0FCD">
      <w:pPr>
        <w:spacing w:line="360" w:lineRule="auto"/>
        <w:jc w:val="both"/>
        <w:rPr>
          <w:rFonts w:ascii="Arial" w:eastAsia="Arial" w:hAnsi="Arial" w:cs="Arial"/>
          <w:sz w:val="24"/>
          <w:szCs w:val="24"/>
        </w:rPr>
      </w:pPr>
    </w:p>
    <w:p w14:paraId="625774D4" w14:textId="77777777" w:rsidR="00FC0FCD" w:rsidRDefault="00FC0FCD">
      <w:pPr>
        <w:spacing w:line="360" w:lineRule="auto"/>
        <w:jc w:val="both"/>
        <w:rPr>
          <w:rFonts w:ascii="Arial" w:eastAsia="Arial" w:hAnsi="Arial" w:cs="Arial"/>
          <w:sz w:val="24"/>
          <w:szCs w:val="24"/>
        </w:rPr>
      </w:pPr>
    </w:p>
    <w:p w14:paraId="70723735" w14:textId="77777777" w:rsidR="00FC0FCD" w:rsidRDefault="00FC0FCD">
      <w:pPr>
        <w:spacing w:line="360" w:lineRule="auto"/>
        <w:jc w:val="both"/>
        <w:rPr>
          <w:rFonts w:ascii="Arial" w:eastAsia="Arial" w:hAnsi="Arial" w:cs="Arial"/>
          <w:sz w:val="24"/>
          <w:szCs w:val="24"/>
        </w:rPr>
      </w:pPr>
    </w:p>
    <w:p w14:paraId="2F5E3D91" w14:textId="77777777" w:rsidR="00FC0FCD" w:rsidRDefault="00FC0FCD">
      <w:pPr>
        <w:spacing w:line="360" w:lineRule="auto"/>
        <w:jc w:val="both"/>
        <w:rPr>
          <w:rFonts w:ascii="Arial" w:eastAsia="Arial" w:hAnsi="Arial" w:cs="Arial"/>
          <w:sz w:val="24"/>
          <w:szCs w:val="24"/>
        </w:rPr>
      </w:pPr>
    </w:p>
    <w:p w14:paraId="5EAF6E22" w14:textId="77777777" w:rsidR="00FC0FCD" w:rsidRDefault="00FC0FCD">
      <w:pPr>
        <w:spacing w:line="360" w:lineRule="auto"/>
        <w:jc w:val="both"/>
        <w:rPr>
          <w:rFonts w:ascii="Arial" w:eastAsia="Arial" w:hAnsi="Arial" w:cs="Arial"/>
          <w:sz w:val="24"/>
          <w:szCs w:val="24"/>
        </w:rPr>
      </w:pPr>
    </w:p>
    <w:p w14:paraId="0BA02D23" w14:textId="77777777" w:rsidR="00FC0FCD" w:rsidRDefault="00FC0FCD">
      <w:pPr>
        <w:spacing w:line="360" w:lineRule="auto"/>
        <w:jc w:val="both"/>
        <w:rPr>
          <w:rFonts w:ascii="Arial" w:eastAsia="Arial" w:hAnsi="Arial" w:cs="Arial"/>
          <w:sz w:val="24"/>
          <w:szCs w:val="24"/>
        </w:rPr>
      </w:pPr>
    </w:p>
    <w:p w14:paraId="0E5F158A" w14:textId="77777777" w:rsidR="00FC0FCD" w:rsidRDefault="00FC0FCD">
      <w:pPr>
        <w:spacing w:line="360" w:lineRule="auto"/>
        <w:jc w:val="both"/>
        <w:rPr>
          <w:rFonts w:ascii="Arial" w:eastAsia="Arial" w:hAnsi="Arial" w:cs="Arial"/>
          <w:sz w:val="24"/>
          <w:szCs w:val="24"/>
        </w:rPr>
      </w:pPr>
    </w:p>
    <w:p w14:paraId="0FE45715" w14:textId="77777777" w:rsidR="00FC0FCD" w:rsidRDefault="00FC0FCD">
      <w:pPr>
        <w:spacing w:line="360" w:lineRule="auto"/>
        <w:jc w:val="both"/>
        <w:rPr>
          <w:rFonts w:ascii="Arial" w:eastAsia="Arial" w:hAnsi="Arial" w:cs="Arial"/>
          <w:sz w:val="24"/>
          <w:szCs w:val="24"/>
        </w:rPr>
      </w:pPr>
    </w:p>
    <w:p w14:paraId="410207B0" w14:textId="77777777" w:rsidR="00FC0FCD" w:rsidRDefault="00FC0FCD">
      <w:pPr>
        <w:spacing w:line="360" w:lineRule="auto"/>
        <w:jc w:val="both"/>
        <w:rPr>
          <w:rFonts w:ascii="Arial" w:eastAsia="Arial" w:hAnsi="Arial" w:cs="Arial"/>
          <w:sz w:val="24"/>
          <w:szCs w:val="24"/>
        </w:rPr>
      </w:pPr>
    </w:p>
    <w:p w14:paraId="0E778E66" w14:textId="77777777" w:rsidR="00FC0FCD" w:rsidRDefault="00FC0FCD">
      <w:pPr>
        <w:spacing w:line="360" w:lineRule="auto"/>
        <w:jc w:val="both"/>
        <w:rPr>
          <w:rFonts w:ascii="Arial" w:eastAsia="Arial" w:hAnsi="Arial" w:cs="Arial"/>
          <w:sz w:val="24"/>
          <w:szCs w:val="24"/>
        </w:rPr>
      </w:pPr>
    </w:p>
    <w:p w14:paraId="110DA11F" w14:textId="77777777" w:rsidR="00720726" w:rsidRDefault="00000000">
      <w:pPr>
        <w:pStyle w:val="Heading1"/>
      </w:pPr>
      <w:bookmarkStart w:id="97" w:name="_k9evfj1449i5" w:colFirst="0" w:colLast="0"/>
      <w:bookmarkEnd w:id="97"/>
      <w:r>
        <w:lastRenderedPageBreak/>
        <w:t>Chapter 4: Findings / Data Analysis</w:t>
      </w:r>
    </w:p>
    <w:p w14:paraId="52EACD0C" w14:textId="77777777" w:rsidR="00720726" w:rsidRDefault="00000000">
      <w:pPr>
        <w:pStyle w:val="Heading2"/>
      </w:pPr>
      <w:bookmarkStart w:id="98" w:name="_9ycr2bnww2wo" w:colFirst="0" w:colLast="0"/>
      <w:bookmarkEnd w:id="98"/>
      <w:r>
        <w:t>4.1 Introduction</w:t>
      </w:r>
    </w:p>
    <w:p w14:paraId="14C91456"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purpose of this chapter is to report the findings of the primary data collected on the influence of Corporate Social Responsibility (CSR) on purchase behaviour, with a case study of Sainsbury's. This chapter aims to convert the raw data into information through analysis, but not interpretation (which will be covered in Chapter 5). The approach to analysis is guided by the research objectives, which relate to the association between CSR awareness, brand trust and buying intention. The quantitative data obtained from survey are analysed with statistical tools such as descriptive statistics, correlation and regression analysis.</w:t>
      </w:r>
    </w:p>
    <w:p w14:paraId="011DEBF5" w14:textId="77777777" w:rsidR="00720726" w:rsidRDefault="00000000">
      <w:pPr>
        <w:pStyle w:val="Heading2"/>
      </w:pPr>
      <w:bookmarkStart w:id="99" w:name="_bt6lv4sdehxh" w:colFirst="0" w:colLast="0"/>
      <w:bookmarkEnd w:id="99"/>
      <w:r>
        <w:t>4.2 Research Questions and Structure of Data Analysis</w:t>
      </w:r>
    </w:p>
    <w:p w14:paraId="73F1B8C5"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analysis of the data in this chapter is presented in a logical sequence based on the research questions so the results are directly related to the aims and purpose of the research. An analysis that is organized around research questions makes it easier to see what you find in the research, helps ensure that your research is aligned with the problem you are trying to answer, and helps your research answer the central research question. An analysis organized around research questions makes it easier to see what you find in the research, helps ensure that the research is aligned with the problem you are seeking to answer, and helps your research answer the central research question (Saunders et al., 2023). Both descriptive and inferential statistical techniques are used to analyse the data collected from respondents in relation to Sainsbury’s.</w:t>
      </w:r>
    </w:p>
    <w:p w14:paraId="1B4A4233"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Research Question 1: What is the role of Corporate Social Responsibility in the retail sector?</w:t>
      </w:r>
    </w:p>
    <w:p w14:paraId="0ADA5B73"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This research question was answered through the analysis of respondents' perceptions of various CSR initiatives, including environmental sustainability, ethical sourcing, employee welfare, and community engagement. The descriptive findings revealed that the majority of respondents rated environmental sustainability and ethical sourcing as having a high or very high influence on their purchasing decisions. Furthermore, the mean score for CSR perception (M = 3.98, SD = 0.72) indicated that </w:t>
      </w:r>
      <w:r>
        <w:rPr>
          <w:rFonts w:ascii="Arial" w:eastAsia="Arial" w:hAnsi="Arial" w:cs="Arial"/>
          <w:sz w:val="24"/>
          <w:szCs w:val="24"/>
        </w:rPr>
        <w:lastRenderedPageBreak/>
        <w:t>consumers generally view CSR as an important factor when evaluating retail organisations.</w:t>
      </w:r>
    </w:p>
    <w:p w14:paraId="75F2F1BD"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findings suggest that CSR plays a significant role in the retail sector by influencing consumer attitudes, strengthening brand reputation, and supporting purchase decisions. Respondents perceived CSR initiatives as indicators of organisational responsibility and trustworthiness, which increased their willingness to support socially responsible retailers. Therefore, the analysis demonstrates that CSR has become an important strategic tool within the retail industry, contributing to customer attraction, trust building, and competitive advantage. This finding is consistent with previous studies that highlight the growing importance of CSR in shaping consumer behaviour and organisational performance (Kim et al., 2021; Martínez and Rodríguez, 2021).</w:t>
      </w:r>
    </w:p>
    <w:p w14:paraId="0430CAE3"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Research Question 2: How aware are consumers of CSR practices within supermarkets?</w:t>
      </w:r>
    </w:p>
    <w:p w14:paraId="5EE4173E" w14:textId="77777777" w:rsidR="00720726" w:rsidRDefault="00000000">
      <w:pPr>
        <w:pStyle w:val="Heading3"/>
        <w:keepNext w:val="0"/>
        <w:keepLines w:val="0"/>
        <w:spacing w:before="280" w:line="360" w:lineRule="auto"/>
        <w:jc w:val="both"/>
        <w:rPr>
          <w:sz w:val="26"/>
          <w:szCs w:val="26"/>
        </w:rPr>
      </w:pPr>
      <w:bookmarkStart w:id="100" w:name="_dabhv2yv9hnj" w:colFirst="0" w:colLast="0"/>
      <w:bookmarkEnd w:id="100"/>
      <w:r>
        <w:rPr>
          <w:sz w:val="26"/>
          <w:szCs w:val="26"/>
        </w:rPr>
        <w:t>Table 4.1: Consumer Awareness of CSR Practices</w:t>
      </w:r>
    </w:p>
    <w:tbl>
      <w:tblPr>
        <w:tblStyle w:val="a8"/>
        <w:tblW w:w="46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40"/>
        <w:gridCol w:w="1325"/>
        <w:gridCol w:w="1355"/>
      </w:tblGrid>
      <w:tr w:rsidR="00720726" w14:paraId="3F020A0A" w14:textId="77777777">
        <w:trPr>
          <w:trHeight w:val="500"/>
        </w:trPr>
        <w:tc>
          <w:tcPr>
            <w:tcW w:w="1940" w:type="dxa"/>
            <w:tcBorders>
              <w:top w:val="nil"/>
              <w:left w:val="nil"/>
              <w:bottom w:val="nil"/>
              <w:right w:val="nil"/>
            </w:tcBorders>
            <w:tcMar>
              <w:top w:w="100" w:type="dxa"/>
              <w:left w:w="100" w:type="dxa"/>
              <w:bottom w:w="100" w:type="dxa"/>
              <w:right w:w="100" w:type="dxa"/>
            </w:tcMar>
          </w:tcPr>
          <w:p w14:paraId="6F5C88E0" w14:textId="77777777" w:rsidR="00720726" w:rsidRDefault="00000000">
            <w:pPr>
              <w:spacing w:before="240" w:after="240" w:line="360" w:lineRule="auto"/>
              <w:jc w:val="center"/>
              <w:rPr>
                <w:rFonts w:ascii="Arial" w:eastAsia="Arial" w:hAnsi="Arial" w:cs="Arial"/>
                <w:b/>
                <w:bCs/>
                <w:sz w:val="24"/>
                <w:szCs w:val="24"/>
              </w:rPr>
            </w:pPr>
            <w:r>
              <w:rPr>
                <w:rFonts w:ascii="Arial" w:eastAsia="Arial" w:hAnsi="Arial" w:cs="Arial"/>
                <w:b/>
                <w:bCs/>
                <w:sz w:val="24"/>
                <w:szCs w:val="24"/>
              </w:rPr>
              <w:t>Awareness Level</w:t>
            </w:r>
          </w:p>
        </w:tc>
        <w:tc>
          <w:tcPr>
            <w:tcW w:w="1325" w:type="dxa"/>
            <w:tcBorders>
              <w:top w:val="nil"/>
              <w:left w:val="nil"/>
              <w:bottom w:val="nil"/>
              <w:right w:val="nil"/>
            </w:tcBorders>
            <w:tcMar>
              <w:top w:w="100" w:type="dxa"/>
              <w:left w:w="100" w:type="dxa"/>
              <w:bottom w:w="100" w:type="dxa"/>
              <w:right w:w="100" w:type="dxa"/>
            </w:tcMar>
          </w:tcPr>
          <w:p w14:paraId="4BFBF408" w14:textId="77777777" w:rsidR="00720726" w:rsidRDefault="00000000">
            <w:pPr>
              <w:spacing w:before="240" w:after="240" w:line="360" w:lineRule="auto"/>
              <w:jc w:val="center"/>
              <w:rPr>
                <w:rFonts w:ascii="Arial" w:eastAsia="Arial" w:hAnsi="Arial" w:cs="Arial"/>
                <w:b/>
                <w:bCs/>
                <w:sz w:val="24"/>
                <w:szCs w:val="24"/>
              </w:rPr>
            </w:pPr>
            <w:r>
              <w:rPr>
                <w:rFonts w:ascii="Arial" w:eastAsia="Arial" w:hAnsi="Arial" w:cs="Arial"/>
                <w:b/>
                <w:bCs/>
                <w:sz w:val="24"/>
                <w:szCs w:val="24"/>
              </w:rPr>
              <w:t>Frequency</w:t>
            </w:r>
          </w:p>
        </w:tc>
        <w:tc>
          <w:tcPr>
            <w:tcW w:w="1355" w:type="dxa"/>
            <w:tcBorders>
              <w:top w:val="nil"/>
              <w:left w:val="nil"/>
              <w:bottom w:val="nil"/>
              <w:right w:val="nil"/>
            </w:tcBorders>
            <w:tcMar>
              <w:top w:w="100" w:type="dxa"/>
              <w:left w:w="100" w:type="dxa"/>
              <w:bottom w:w="100" w:type="dxa"/>
              <w:right w:w="100" w:type="dxa"/>
            </w:tcMar>
          </w:tcPr>
          <w:p w14:paraId="1BCDBE16" w14:textId="77777777" w:rsidR="00720726" w:rsidRDefault="00000000">
            <w:pPr>
              <w:spacing w:before="240" w:after="240" w:line="360" w:lineRule="auto"/>
              <w:jc w:val="center"/>
              <w:rPr>
                <w:rFonts w:ascii="Arial" w:eastAsia="Arial" w:hAnsi="Arial" w:cs="Arial"/>
                <w:b/>
                <w:bCs/>
                <w:sz w:val="24"/>
                <w:szCs w:val="24"/>
              </w:rPr>
            </w:pPr>
            <w:r>
              <w:rPr>
                <w:rFonts w:ascii="Arial" w:eastAsia="Arial" w:hAnsi="Arial" w:cs="Arial"/>
                <w:b/>
                <w:bCs/>
                <w:sz w:val="24"/>
                <w:szCs w:val="24"/>
              </w:rPr>
              <w:t>Percentage</w:t>
            </w:r>
          </w:p>
        </w:tc>
      </w:tr>
      <w:tr w:rsidR="00720726" w14:paraId="20815F41" w14:textId="77777777">
        <w:trPr>
          <w:trHeight w:val="500"/>
        </w:trPr>
        <w:tc>
          <w:tcPr>
            <w:tcW w:w="1940" w:type="dxa"/>
            <w:tcBorders>
              <w:top w:val="nil"/>
              <w:left w:val="nil"/>
              <w:bottom w:val="nil"/>
              <w:right w:val="nil"/>
            </w:tcBorders>
            <w:tcMar>
              <w:top w:w="100" w:type="dxa"/>
              <w:left w:w="100" w:type="dxa"/>
              <w:bottom w:w="100" w:type="dxa"/>
              <w:right w:w="100" w:type="dxa"/>
            </w:tcMar>
          </w:tcPr>
          <w:p w14:paraId="4C47F660"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High</w:t>
            </w:r>
          </w:p>
        </w:tc>
        <w:tc>
          <w:tcPr>
            <w:tcW w:w="1325" w:type="dxa"/>
            <w:tcBorders>
              <w:top w:val="nil"/>
              <w:left w:val="nil"/>
              <w:bottom w:val="nil"/>
              <w:right w:val="nil"/>
            </w:tcBorders>
            <w:tcMar>
              <w:top w:w="100" w:type="dxa"/>
              <w:left w:w="100" w:type="dxa"/>
              <w:bottom w:w="100" w:type="dxa"/>
              <w:right w:w="100" w:type="dxa"/>
            </w:tcMar>
          </w:tcPr>
          <w:p w14:paraId="7FC3AB6B"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126</w:t>
            </w:r>
          </w:p>
        </w:tc>
        <w:tc>
          <w:tcPr>
            <w:tcW w:w="1355" w:type="dxa"/>
            <w:tcBorders>
              <w:top w:val="nil"/>
              <w:left w:val="nil"/>
              <w:bottom w:val="nil"/>
              <w:right w:val="nil"/>
            </w:tcBorders>
            <w:tcMar>
              <w:top w:w="100" w:type="dxa"/>
              <w:left w:w="100" w:type="dxa"/>
              <w:bottom w:w="100" w:type="dxa"/>
              <w:right w:w="100" w:type="dxa"/>
            </w:tcMar>
          </w:tcPr>
          <w:p w14:paraId="10943351"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42%</w:t>
            </w:r>
          </w:p>
        </w:tc>
      </w:tr>
      <w:tr w:rsidR="00720726" w14:paraId="06690DEF" w14:textId="77777777">
        <w:trPr>
          <w:trHeight w:val="500"/>
        </w:trPr>
        <w:tc>
          <w:tcPr>
            <w:tcW w:w="1940" w:type="dxa"/>
            <w:tcBorders>
              <w:top w:val="nil"/>
              <w:left w:val="nil"/>
              <w:bottom w:val="nil"/>
              <w:right w:val="nil"/>
            </w:tcBorders>
            <w:tcMar>
              <w:top w:w="100" w:type="dxa"/>
              <w:left w:w="100" w:type="dxa"/>
              <w:bottom w:w="100" w:type="dxa"/>
              <w:right w:w="100" w:type="dxa"/>
            </w:tcMar>
          </w:tcPr>
          <w:p w14:paraId="1E2FF644"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Moderate</w:t>
            </w:r>
          </w:p>
        </w:tc>
        <w:tc>
          <w:tcPr>
            <w:tcW w:w="1325" w:type="dxa"/>
            <w:tcBorders>
              <w:top w:val="nil"/>
              <w:left w:val="nil"/>
              <w:bottom w:val="nil"/>
              <w:right w:val="nil"/>
            </w:tcBorders>
            <w:tcMar>
              <w:top w:w="100" w:type="dxa"/>
              <w:left w:w="100" w:type="dxa"/>
              <w:bottom w:w="100" w:type="dxa"/>
              <w:right w:w="100" w:type="dxa"/>
            </w:tcMar>
          </w:tcPr>
          <w:p w14:paraId="31074447"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114</w:t>
            </w:r>
          </w:p>
        </w:tc>
        <w:tc>
          <w:tcPr>
            <w:tcW w:w="1355" w:type="dxa"/>
            <w:tcBorders>
              <w:top w:val="nil"/>
              <w:left w:val="nil"/>
              <w:bottom w:val="nil"/>
              <w:right w:val="nil"/>
            </w:tcBorders>
            <w:tcMar>
              <w:top w:w="100" w:type="dxa"/>
              <w:left w:w="100" w:type="dxa"/>
              <w:bottom w:w="100" w:type="dxa"/>
              <w:right w:w="100" w:type="dxa"/>
            </w:tcMar>
          </w:tcPr>
          <w:p w14:paraId="7ED32CC2"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38%</w:t>
            </w:r>
          </w:p>
        </w:tc>
      </w:tr>
      <w:tr w:rsidR="00720726" w14:paraId="5EC53357" w14:textId="77777777">
        <w:trPr>
          <w:trHeight w:val="500"/>
        </w:trPr>
        <w:tc>
          <w:tcPr>
            <w:tcW w:w="1940" w:type="dxa"/>
            <w:tcBorders>
              <w:top w:val="nil"/>
              <w:left w:val="nil"/>
              <w:bottom w:val="nil"/>
              <w:right w:val="nil"/>
            </w:tcBorders>
            <w:tcMar>
              <w:top w:w="100" w:type="dxa"/>
              <w:left w:w="100" w:type="dxa"/>
              <w:bottom w:w="100" w:type="dxa"/>
              <w:right w:w="100" w:type="dxa"/>
            </w:tcMar>
          </w:tcPr>
          <w:p w14:paraId="07483C41"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Low</w:t>
            </w:r>
          </w:p>
        </w:tc>
        <w:tc>
          <w:tcPr>
            <w:tcW w:w="1325" w:type="dxa"/>
            <w:tcBorders>
              <w:top w:val="nil"/>
              <w:left w:val="nil"/>
              <w:bottom w:val="nil"/>
              <w:right w:val="nil"/>
            </w:tcBorders>
            <w:tcMar>
              <w:top w:w="100" w:type="dxa"/>
              <w:left w:w="100" w:type="dxa"/>
              <w:bottom w:w="100" w:type="dxa"/>
              <w:right w:w="100" w:type="dxa"/>
            </w:tcMar>
          </w:tcPr>
          <w:p w14:paraId="793C4674"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60</w:t>
            </w:r>
          </w:p>
        </w:tc>
        <w:tc>
          <w:tcPr>
            <w:tcW w:w="1355" w:type="dxa"/>
            <w:tcBorders>
              <w:top w:val="nil"/>
              <w:left w:val="nil"/>
              <w:bottom w:val="nil"/>
              <w:right w:val="nil"/>
            </w:tcBorders>
            <w:tcMar>
              <w:top w:w="100" w:type="dxa"/>
              <w:left w:w="100" w:type="dxa"/>
              <w:bottom w:w="100" w:type="dxa"/>
              <w:right w:w="100" w:type="dxa"/>
            </w:tcMar>
          </w:tcPr>
          <w:p w14:paraId="1867BCDD"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20%</w:t>
            </w:r>
          </w:p>
        </w:tc>
      </w:tr>
      <w:tr w:rsidR="00720726" w14:paraId="250D5A2B" w14:textId="77777777">
        <w:trPr>
          <w:trHeight w:val="500"/>
        </w:trPr>
        <w:tc>
          <w:tcPr>
            <w:tcW w:w="1940" w:type="dxa"/>
            <w:tcBorders>
              <w:top w:val="nil"/>
              <w:left w:val="nil"/>
              <w:bottom w:val="nil"/>
              <w:right w:val="nil"/>
            </w:tcBorders>
            <w:tcMar>
              <w:top w:w="100" w:type="dxa"/>
              <w:left w:w="100" w:type="dxa"/>
              <w:bottom w:w="100" w:type="dxa"/>
              <w:right w:w="100" w:type="dxa"/>
            </w:tcMar>
          </w:tcPr>
          <w:p w14:paraId="4E4F6E44"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Total</w:t>
            </w:r>
          </w:p>
        </w:tc>
        <w:tc>
          <w:tcPr>
            <w:tcW w:w="1325" w:type="dxa"/>
            <w:tcBorders>
              <w:top w:val="nil"/>
              <w:left w:val="nil"/>
              <w:bottom w:val="nil"/>
              <w:right w:val="nil"/>
            </w:tcBorders>
            <w:tcMar>
              <w:top w:w="100" w:type="dxa"/>
              <w:left w:w="100" w:type="dxa"/>
              <w:bottom w:w="100" w:type="dxa"/>
              <w:right w:w="100" w:type="dxa"/>
            </w:tcMar>
          </w:tcPr>
          <w:p w14:paraId="5846027D"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300</w:t>
            </w:r>
          </w:p>
        </w:tc>
        <w:tc>
          <w:tcPr>
            <w:tcW w:w="1355" w:type="dxa"/>
            <w:tcBorders>
              <w:top w:val="nil"/>
              <w:left w:val="nil"/>
              <w:bottom w:val="nil"/>
              <w:right w:val="nil"/>
            </w:tcBorders>
            <w:tcMar>
              <w:top w:w="100" w:type="dxa"/>
              <w:left w:w="100" w:type="dxa"/>
              <w:bottom w:w="100" w:type="dxa"/>
              <w:right w:w="100" w:type="dxa"/>
            </w:tcMar>
          </w:tcPr>
          <w:p w14:paraId="10DA62CF"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100%</w:t>
            </w:r>
          </w:p>
        </w:tc>
      </w:tr>
    </w:tbl>
    <w:p w14:paraId="0C48FB97"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This research question was answered by analysing respondents’ levels of awareness of CSR initiatives undertaken by supermarkets. The findings presented in Table 4.X show that 42% of respondents reported a high level of awareness of CSR activities, </w:t>
      </w:r>
      <w:r>
        <w:rPr>
          <w:rFonts w:ascii="Arial" w:eastAsia="Arial" w:hAnsi="Arial" w:cs="Arial"/>
          <w:sz w:val="24"/>
          <w:szCs w:val="24"/>
        </w:rPr>
        <w:lastRenderedPageBreak/>
        <w:t>38% reported a moderate level of awareness, and 20% reported a low level of awareness. Therefore, a total of 80% of respondents demonstrated either moderate or high awareness of CSR practices.</w:t>
      </w:r>
    </w:p>
    <w:p w14:paraId="66E88CC5"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results indicate that most consumers are familiar with CSR initiatives such as environmental sustainability programmes, ethical sourcing, community support activities, and employee welfare policies. This suggests that supermarkets have been relatively successful in communicating their CSR activities to consumers. The high level of awareness may be attributed to increased publicity surrounding sustainability issues, corporate reporting, and CSR-related marketing communications.</w:t>
      </w:r>
    </w:p>
    <w:p w14:paraId="026D5543" w14:textId="77777777" w:rsidR="00720726" w:rsidRDefault="00000000">
      <w:pPr>
        <w:pStyle w:val="Heading3"/>
        <w:keepNext w:val="0"/>
        <w:keepLines w:val="0"/>
        <w:spacing w:before="280" w:line="360" w:lineRule="auto"/>
        <w:jc w:val="both"/>
        <w:rPr>
          <w:sz w:val="26"/>
          <w:szCs w:val="26"/>
        </w:rPr>
      </w:pPr>
      <w:bookmarkStart w:id="101" w:name="_w830dl2yfnv" w:colFirst="0" w:colLast="0"/>
      <w:bookmarkEnd w:id="101"/>
      <w:r>
        <w:rPr>
          <w:sz w:val="26"/>
          <w:szCs w:val="26"/>
        </w:rPr>
        <w:t>Answer to Research Question 2</w:t>
      </w:r>
    </w:p>
    <w:p w14:paraId="376C89D6"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Based on the findings, consumers demonstrate a generally high level of awareness of CSR practices within supermarkets. The fact that four out of five respondents reported moderate or high awareness indicates that CSR initiatives are visible and recognised by consumers. Therefore, the research question is answered by concluding that consumer awareness of supermarket CSR practices is relatively strong within the sample investigated.</w:t>
      </w:r>
    </w:p>
    <w:p w14:paraId="59F0ADCF"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Research Question 3: To what extent do CSR initiatives influence consumer purchase decisions?</w:t>
      </w:r>
    </w:p>
    <w:p w14:paraId="0148D198"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This research question was answered by analysing respondents' ratings of different CSR initiatives and examining the statistical relationship between CSR perception and purchase intention.</w:t>
      </w:r>
    </w:p>
    <w:p w14:paraId="619D5D34" w14:textId="77777777" w:rsidR="00720726" w:rsidRDefault="00000000">
      <w:pPr>
        <w:pStyle w:val="Heading3"/>
        <w:keepNext w:val="0"/>
        <w:keepLines w:val="0"/>
        <w:spacing w:before="280" w:line="360" w:lineRule="auto"/>
        <w:jc w:val="both"/>
        <w:rPr>
          <w:sz w:val="26"/>
          <w:szCs w:val="26"/>
        </w:rPr>
      </w:pPr>
      <w:bookmarkStart w:id="102" w:name="_dpw1ssv43ucj" w:colFirst="0" w:colLast="0"/>
      <w:bookmarkEnd w:id="102"/>
      <w:r>
        <w:rPr>
          <w:sz w:val="26"/>
          <w:szCs w:val="26"/>
        </w:rPr>
        <w:t>Table 9: CSR Initiatives Influence on Purchase Decision (n = 300)</w:t>
      </w:r>
    </w:p>
    <w:tbl>
      <w:tblPr>
        <w:tblStyle w:val="a9"/>
        <w:tblW w:w="84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035"/>
        <w:gridCol w:w="1280"/>
        <w:gridCol w:w="740"/>
        <w:gridCol w:w="1235"/>
        <w:gridCol w:w="815"/>
        <w:gridCol w:w="1355"/>
      </w:tblGrid>
      <w:tr w:rsidR="00720726" w14:paraId="0FA99712" w14:textId="77777777">
        <w:trPr>
          <w:trHeight w:val="500"/>
        </w:trPr>
        <w:tc>
          <w:tcPr>
            <w:tcW w:w="3035" w:type="dxa"/>
            <w:tcBorders>
              <w:top w:val="nil"/>
              <w:left w:val="nil"/>
              <w:bottom w:val="nil"/>
              <w:right w:val="nil"/>
            </w:tcBorders>
            <w:tcMar>
              <w:top w:w="100" w:type="dxa"/>
              <w:left w:w="100" w:type="dxa"/>
              <w:bottom w:w="100" w:type="dxa"/>
              <w:right w:w="100" w:type="dxa"/>
            </w:tcMar>
          </w:tcPr>
          <w:p w14:paraId="6D0D7B71" w14:textId="77777777" w:rsidR="00720726" w:rsidRDefault="00000000">
            <w:pPr>
              <w:spacing w:before="240" w:after="240" w:line="360" w:lineRule="auto"/>
              <w:jc w:val="center"/>
              <w:rPr>
                <w:rFonts w:ascii="Arial" w:eastAsia="Arial" w:hAnsi="Arial" w:cs="Arial"/>
                <w:sz w:val="24"/>
                <w:szCs w:val="24"/>
              </w:rPr>
            </w:pPr>
            <w:r>
              <w:rPr>
                <w:rFonts w:ascii="Arial" w:eastAsia="Arial" w:hAnsi="Arial" w:cs="Arial"/>
                <w:b/>
                <w:bCs/>
                <w:sz w:val="24"/>
                <w:szCs w:val="24"/>
              </w:rPr>
              <w:t>CSR Variables</w:t>
            </w:r>
          </w:p>
        </w:tc>
        <w:tc>
          <w:tcPr>
            <w:tcW w:w="1280" w:type="dxa"/>
            <w:tcBorders>
              <w:top w:val="nil"/>
              <w:left w:val="nil"/>
              <w:bottom w:val="nil"/>
              <w:right w:val="nil"/>
            </w:tcBorders>
            <w:tcMar>
              <w:top w:w="100" w:type="dxa"/>
              <w:left w:w="100" w:type="dxa"/>
              <w:bottom w:w="100" w:type="dxa"/>
              <w:right w:w="100" w:type="dxa"/>
            </w:tcMar>
          </w:tcPr>
          <w:p w14:paraId="39458467" w14:textId="77777777" w:rsidR="00720726" w:rsidRDefault="00000000">
            <w:pPr>
              <w:spacing w:before="240" w:after="240" w:line="360" w:lineRule="auto"/>
              <w:jc w:val="center"/>
              <w:rPr>
                <w:rFonts w:ascii="Arial" w:eastAsia="Arial" w:hAnsi="Arial" w:cs="Arial"/>
                <w:sz w:val="24"/>
                <w:szCs w:val="24"/>
              </w:rPr>
            </w:pPr>
            <w:r>
              <w:rPr>
                <w:rFonts w:ascii="Arial" w:eastAsia="Arial" w:hAnsi="Arial" w:cs="Arial"/>
                <w:b/>
                <w:bCs/>
                <w:sz w:val="24"/>
                <w:szCs w:val="24"/>
              </w:rPr>
              <w:t>Very High</w:t>
            </w:r>
          </w:p>
        </w:tc>
        <w:tc>
          <w:tcPr>
            <w:tcW w:w="740" w:type="dxa"/>
            <w:tcBorders>
              <w:top w:val="nil"/>
              <w:left w:val="nil"/>
              <w:bottom w:val="nil"/>
              <w:right w:val="nil"/>
            </w:tcBorders>
            <w:tcMar>
              <w:top w:w="100" w:type="dxa"/>
              <w:left w:w="100" w:type="dxa"/>
              <w:bottom w:w="100" w:type="dxa"/>
              <w:right w:w="100" w:type="dxa"/>
            </w:tcMar>
          </w:tcPr>
          <w:p w14:paraId="3AF5420E" w14:textId="77777777" w:rsidR="00720726" w:rsidRDefault="00000000">
            <w:pPr>
              <w:spacing w:before="240" w:after="240" w:line="360" w:lineRule="auto"/>
              <w:jc w:val="center"/>
              <w:rPr>
                <w:rFonts w:ascii="Arial" w:eastAsia="Arial" w:hAnsi="Arial" w:cs="Arial"/>
                <w:sz w:val="24"/>
                <w:szCs w:val="24"/>
              </w:rPr>
            </w:pPr>
            <w:r>
              <w:rPr>
                <w:rFonts w:ascii="Arial" w:eastAsia="Arial" w:hAnsi="Arial" w:cs="Arial"/>
                <w:b/>
                <w:bCs/>
                <w:sz w:val="24"/>
                <w:szCs w:val="24"/>
              </w:rPr>
              <w:t>High</w:t>
            </w:r>
          </w:p>
        </w:tc>
        <w:tc>
          <w:tcPr>
            <w:tcW w:w="1235" w:type="dxa"/>
            <w:tcBorders>
              <w:top w:val="nil"/>
              <w:left w:val="nil"/>
              <w:bottom w:val="nil"/>
              <w:right w:val="nil"/>
            </w:tcBorders>
            <w:tcMar>
              <w:top w:w="100" w:type="dxa"/>
              <w:left w:w="100" w:type="dxa"/>
              <w:bottom w:w="100" w:type="dxa"/>
              <w:right w:w="100" w:type="dxa"/>
            </w:tcMar>
          </w:tcPr>
          <w:p w14:paraId="6DF3D65E" w14:textId="77777777" w:rsidR="00720726" w:rsidRDefault="00000000">
            <w:pPr>
              <w:spacing w:before="240" w:after="240" w:line="360" w:lineRule="auto"/>
              <w:jc w:val="center"/>
              <w:rPr>
                <w:rFonts w:ascii="Arial" w:eastAsia="Arial" w:hAnsi="Arial" w:cs="Arial"/>
                <w:sz w:val="24"/>
                <w:szCs w:val="24"/>
              </w:rPr>
            </w:pPr>
            <w:r>
              <w:rPr>
                <w:rFonts w:ascii="Arial" w:eastAsia="Arial" w:hAnsi="Arial" w:cs="Arial"/>
                <w:b/>
                <w:bCs/>
                <w:sz w:val="24"/>
                <w:szCs w:val="24"/>
              </w:rPr>
              <w:t>Moderate</w:t>
            </w:r>
          </w:p>
        </w:tc>
        <w:tc>
          <w:tcPr>
            <w:tcW w:w="815" w:type="dxa"/>
            <w:tcBorders>
              <w:top w:val="nil"/>
              <w:left w:val="nil"/>
              <w:bottom w:val="nil"/>
              <w:right w:val="nil"/>
            </w:tcBorders>
            <w:tcMar>
              <w:top w:w="100" w:type="dxa"/>
              <w:left w:w="100" w:type="dxa"/>
              <w:bottom w:w="100" w:type="dxa"/>
              <w:right w:w="100" w:type="dxa"/>
            </w:tcMar>
          </w:tcPr>
          <w:p w14:paraId="3E73D8B2" w14:textId="77777777" w:rsidR="00720726" w:rsidRDefault="00000000">
            <w:pPr>
              <w:spacing w:before="240" w:after="240" w:line="360" w:lineRule="auto"/>
              <w:jc w:val="center"/>
              <w:rPr>
                <w:rFonts w:ascii="Arial" w:eastAsia="Arial" w:hAnsi="Arial" w:cs="Arial"/>
                <w:sz w:val="24"/>
                <w:szCs w:val="24"/>
              </w:rPr>
            </w:pPr>
            <w:r>
              <w:rPr>
                <w:rFonts w:ascii="Arial" w:eastAsia="Arial" w:hAnsi="Arial" w:cs="Arial"/>
                <w:b/>
                <w:bCs/>
                <w:sz w:val="24"/>
                <w:szCs w:val="24"/>
              </w:rPr>
              <w:t>Weak</w:t>
            </w:r>
          </w:p>
        </w:tc>
        <w:tc>
          <w:tcPr>
            <w:tcW w:w="1355" w:type="dxa"/>
            <w:tcBorders>
              <w:top w:val="nil"/>
              <w:left w:val="nil"/>
              <w:bottom w:val="nil"/>
              <w:right w:val="nil"/>
            </w:tcBorders>
            <w:tcMar>
              <w:top w:w="100" w:type="dxa"/>
              <w:left w:w="100" w:type="dxa"/>
              <w:bottom w:w="100" w:type="dxa"/>
              <w:right w:w="100" w:type="dxa"/>
            </w:tcMar>
          </w:tcPr>
          <w:p w14:paraId="7D4D0AF0" w14:textId="77777777" w:rsidR="00720726" w:rsidRDefault="00000000">
            <w:pPr>
              <w:spacing w:before="240" w:after="240" w:line="360" w:lineRule="auto"/>
              <w:jc w:val="center"/>
              <w:rPr>
                <w:rFonts w:ascii="Arial" w:eastAsia="Arial" w:hAnsi="Arial" w:cs="Arial"/>
                <w:sz w:val="24"/>
                <w:szCs w:val="24"/>
              </w:rPr>
            </w:pPr>
            <w:r>
              <w:rPr>
                <w:rFonts w:ascii="Arial" w:eastAsia="Arial" w:hAnsi="Arial" w:cs="Arial"/>
                <w:b/>
                <w:bCs/>
                <w:sz w:val="24"/>
                <w:szCs w:val="24"/>
              </w:rPr>
              <w:t>Very Weak</w:t>
            </w:r>
          </w:p>
        </w:tc>
      </w:tr>
      <w:tr w:rsidR="00720726" w14:paraId="258B5CBC" w14:textId="77777777">
        <w:trPr>
          <w:trHeight w:val="500"/>
        </w:trPr>
        <w:tc>
          <w:tcPr>
            <w:tcW w:w="3035" w:type="dxa"/>
            <w:tcBorders>
              <w:top w:val="nil"/>
              <w:left w:val="nil"/>
              <w:bottom w:val="nil"/>
              <w:right w:val="nil"/>
            </w:tcBorders>
            <w:tcMar>
              <w:top w:w="100" w:type="dxa"/>
              <w:left w:w="100" w:type="dxa"/>
              <w:bottom w:w="100" w:type="dxa"/>
              <w:right w:w="100" w:type="dxa"/>
            </w:tcMar>
          </w:tcPr>
          <w:p w14:paraId="78154702"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Environmental Sustainability</w:t>
            </w:r>
          </w:p>
        </w:tc>
        <w:tc>
          <w:tcPr>
            <w:tcW w:w="1280" w:type="dxa"/>
            <w:tcBorders>
              <w:top w:val="nil"/>
              <w:left w:val="nil"/>
              <w:bottom w:val="nil"/>
              <w:right w:val="nil"/>
            </w:tcBorders>
            <w:tcMar>
              <w:top w:w="100" w:type="dxa"/>
              <w:left w:w="100" w:type="dxa"/>
              <w:bottom w:w="100" w:type="dxa"/>
              <w:right w:w="100" w:type="dxa"/>
            </w:tcMar>
          </w:tcPr>
          <w:p w14:paraId="6351FDC7"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120</w:t>
            </w:r>
          </w:p>
        </w:tc>
        <w:tc>
          <w:tcPr>
            <w:tcW w:w="740" w:type="dxa"/>
            <w:tcBorders>
              <w:top w:val="nil"/>
              <w:left w:val="nil"/>
              <w:bottom w:val="nil"/>
              <w:right w:val="nil"/>
            </w:tcBorders>
            <w:tcMar>
              <w:top w:w="100" w:type="dxa"/>
              <w:left w:w="100" w:type="dxa"/>
              <w:bottom w:w="100" w:type="dxa"/>
              <w:right w:w="100" w:type="dxa"/>
            </w:tcMar>
          </w:tcPr>
          <w:p w14:paraId="5B81A46A"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96</w:t>
            </w:r>
          </w:p>
        </w:tc>
        <w:tc>
          <w:tcPr>
            <w:tcW w:w="1235" w:type="dxa"/>
            <w:tcBorders>
              <w:top w:val="nil"/>
              <w:left w:val="nil"/>
              <w:bottom w:val="nil"/>
              <w:right w:val="nil"/>
            </w:tcBorders>
            <w:tcMar>
              <w:top w:w="100" w:type="dxa"/>
              <w:left w:w="100" w:type="dxa"/>
              <w:bottom w:w="100" w:type="dxa"/>
              <w:right w:w="100" w:type="dxa"/>
            </w:tcMar>
          </w:tcPr>
          <w:p w14:paraId="178D70A5"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54</w:t>
            </w:r>
          </w:p>
        </w:tc>
        <w:tc>
          <w:tcPr>
            <w:tcW w:w="815" w:type="dxa"/>
            <w:tcBorders>
              <w:top w:val="nil"/>
              <w:left w:val="nil"/>
              <w:bottom w:val="nil"/>
              <w:right w:val="nil"/>
            </w:tcBorders>
            <w:tcMar>
              <w:top w:w="100" w:type="dxa"/>
              <w:left w:w="100" w:type="dxa"/>
              <w:bottom w:w="100" w:type="dxa"/>
              <w:right w:w="100" w:type="dxa"/>
            </w:tcMar>
          </w:tcPr>
          <w:p w14:paraId="28272044"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18</w:t>
            </w:r>
          </w:p>
        </w:tc>
        <w:tc>
          <w:tcPr>
            <w:tcW w:w="1355" w:type="dxa"/>
            <w:tcBorders>
              <w:top w:val="nil"/>
              <w:left w:val="nil"/>
              <w:bottom w:val="nil"/>
              <w:right w:val="nil"/>
            </w:tcBorders>
            <w:tcMar>
              <w:top w:w="100" w:type="dxa"/>
              <w:left w:w="100" w:type="dxa"/>
              <w:bottom w:w="100" w:type="dxa"/>
              <w:right w:w="100" w:type="dxa"/>
            </w:tcMar>
          </w:tcPr>
          <w:p w14:paraId="000D9EA2"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12</w:t>
            </w:r>
          </w:p>
        </w:tc>
      </w:tr>
      <w:tr w:rsidR="00720726" w14:paraId="7B7CFC53" w14:textId="77777777">
        <w:trPr>
          <w:trHeight w:val="500"/>
        </w:trPr>
        <w:tc>
          <w:tcPr>
            <w:tcW w:w="3035" w:type="dxa"/>
            <w:tcBorders>
              <w:top w:val="nil"/>
              <w:left w:val="nil"/>
              <w:bottom w:val="nil"/>
              <w:right w:val="nil"/>
            </w:tcBorders>
            <w:tcMar>
              <w:top w:w="100" w:type="dxa"/>
              <w:left w:w="100" w:type="dxa"/>
              <w:bottom w:w="100" w:type="dxa"/>
              <w:right w:w="100" w:type="dxa"/>
            </w:tcMar>
          </w:tcPr>
          <w:p w14:paraId="6E714E65"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lastRenderedPageBreak/>
              <w:t>Ethical Sourcing</w:t>
            </w:r>
          </w:p>
        </w:tc>
        <w:tc>
          <w:tcPr>
            <w:tcW w:w="1280" w:type="dxa"/>
            <w:tcBorders>
              <w:top w:val="nil"/>
              <w:left w:val="nil"/>
              <w:bottom w:val="nil"/>
              <w:right w:val="nil"/>
            </w:tcBorders>
            <w:tcMar>
              <w:top w:w="100" w:type="dxa"/>
              <w:left w:w="100" w:type="dxa"/>
              <w:bottom w:w="100" w:type="dxa"/>
              <w:right w:w="100" w:type="dxa"/>
            </w:tcMar>
          </w:tcPr>
          <w:p w14:paraId="0BD965B7"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108</w:t>
            </w:r>
          </w:p>
        </w:tc>
        <w:tc>
          <w:tcPr>
            <w:tcW w:w="740" w:type="dxa"/>
            <w:tcBorders>
              <w:top w:val="nil"/>
              <w:left w:val="nil"/>
              <w:bottom w:val="nil"/>
              <w:right w:val="nil"/>
            </w:tcBorders>
            <w:tcMar>
              <w:top w:w="100" w:type="dxa"/>
              <w:left w:w="100" w:type="dxa"/>
              <w:bottom w:w="100" w:type="dxa"/>
              <w:right w:w="100" w:type="dxa"/>
            </w:tcMar>
          </w:tcPr>
          <w:p w14:paraId="2E1FDC0C"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102</w:t>
            </w:r>
          </w:p>
        </w:tc>
        <w:tc>
          <w:tcPr>
            <w:tcW w:w="1235" w:type="dxa"/>
            <w:tcBorders>
              <w:top w:val="nil"/>
              <w:left w:val="nil"/>
              <w:bottom w:val="nil"/>
              <w:right w:val="nil"/>
            </w:tcBorders>
            <w:tcMar>
              <w:top w:w="100" w:type="dxa"/>
              <w:left w:w="100" w:type="dxa"/>
              <w:bottom w:w="100" w:type="dxa"/>
              <w:right w:w="100" w:type="dxa"/>
            </w:tcMar>
          </w:tcPr>
          <w:p w14:paraId="1749858A"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60</w:t>
            </w:r>
          </w:p>
        </w:tc>
        <w:tc>
          <w:tcPr>
            <w:tcW w:w="815" w:type="dxa"/>
            <w:tcBorders>
              <w:top w:val="nil"/>
              <w:left w:val="nil"/>
              <w:bottom w:val="nil"/>
              <w:right w:val="nil"/>
            </w:tcBorders>
            <w:tcMar>
              <w:top w:w="100" w:type="dxa"/>
              <w:left w:w="100" w:type="dxa"/>
              <w:bottom w:w="100" w:type="dxa"/>
              <w:right w:w="100" w:type="dxa"/>
            </w:tcMar>
          </w:tcPr>
          <w:p w14:paraId="7A94B60D"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18</w:t>
            </w:r>
          </w:p>
        </w:tc>
        <w:tc>
          <w:tcPr>
            <w:tcW w:w="1355" w:type="dxa"/>
            <w:tcBorders>
              <w:top w:val="nil"/>
              <w:left w:val="nil"/>
              <w:bottom w:val="nil"/>
              <w:right w:val="nil"/>
            </w:tcBorders>
            <w:tcMar>
              <w:top w:w="100" w:type="dxa"/>
              <w:left w:w="100" w:type="dxa"/>
              <w:bottom w:w="100" w:type="dxa"/>
              <w:right w:w="100" w:type="dxa"/>
            </w:tcMar>
          </w:tcPr>
          <w:p w14:paraId="36191665"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12</w:t>
            </w:r>
          </w:p>
        </w:tc>
      </w:tr>
      <w:tr w:rsidR="00720726" w14:paraId="395E0EF0" w14:textId="77777777">
        <w:trPr>
          <w:trHeight w:val="500"/>
        </w:trPr>
        <w:tc>
          <w:tcPr>
            <w:tcW w:w="3035" w:type="dxa"/>
            <w:tcBorders>
              <w:top w:val="nil"/>
              <w:left w:val="nil"/>
              <w:bottom w:val="nil"/>
              <w:right w:val="nil"/>
            </w:tcBorders>
            <w:tcMar>
              <w:top w:w="100" w:type="dxa"/>
              <w:left w:w="100" w:type="dxa"/>
              <w:bottom w:w="100" w:type="dxa"/>
              <w:right w:w="100" w:type="dxa"/>
            </w:tcMar>
          </w:tcPr>
          <w:p w14:paraId="04E901FA"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Community Support</w:t>
            </w:r>
          </w:p>
        </w:tc>
        <w:tc>
          <w:tcPr>
            <w:tcW w:w="1280" w:type="dxa"/>
            <w:tcBorders>
              <w:top w:val="nil"/>
              <w:left w:val="nil"/>
              <w:bottom w:val="nil"/>
              <w:right w:val="nil"/>
            </w:tcBorders>
            <w:tcMar>
              <w:top w:w="100" w:type="dxa"/>
              <w:left w:w="100" w:type="dxa"/>
              <w:bottom w:w="100" w:type="dxa"/>
              <w:right w:w="100" w:type="dxa"/>
            </w:tcMar>
          </w:tcPr>
          <w:p w14:paraId="79FD972D"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84</w:t>
            </w:r>
          </w:p>
        </w:tc>
        <w:tc>
          <w:tcPr>
            <w:tcW w:w="740" w:type="dxa"/>
            <w:tcBorders>
              <w:top w:val="nil"/>
              <w:left w:val="nil"/>
              <w:bottom w:val="nil"/>
              <w:right w:val="nil"/>
            </w:tcBorders>
            <w:tcMar>
              <w:top w:w="100" w:type="dxa"/>
              <w:left w:w="100" w:type="dxa"/>
              <w:bottom w:w="100" w:type="dxa"/>
              <w:right w:w="100" w:type="dxa"/>
            </w:tcMar>
          </w:tcPr>
          <w:p w14:paraId="109DA4DE"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108</w:t>
            </w:r>
          </w:p>
        </w:tc>
        <w:tc>
          <w:tcPr>
            <w:tcW w:w="1235" w:type="dxa"/>
            <w:tcBorders>
              <w:top w:val="nil"/>
              <w:left w:val="nil"/>
              <w:bottom w:val="nil"/>
              <w:right w:val="nil"/>
            </w:tcBorders>
            <w:tcMar>
              <w:top w:w="100" w:type="dxa"/>
              <w:left w:w="100" w:type="dxa"/>
              <w:bottom w:w="100" w:type="dxa"/>
              <w:right w:w="100" w:type="dxa"/>
            </w:tcMar>
          </w:tcPr>
          <w:p w14:paraId="0ACA9485"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72</w:t>
            </w:r>
          </w:p>
        </w:tc>
        <w:tc>
          <w:tcPr>
            <w:tcW w:w="815" w:type="dxa"/>
            <w:tcBorders>
              <w:top w:val="nil"/>
              <w:left w:val="nil"/>
              <w:bottom w:val="nil"/>
              <w:right w:val="nil"/>
            </w:tcBorders>
            <w:tcMar>
              <w:top w:w="100" w:type="dxa"/>
              <w:left w:w="100" w:type="dxa"/>
              <w:bottom w:w="100" w:type="dxa"/>
              <w:right w:w="100" w:type="dxa"/>
            </w:tcMar>
          </w:tcPr>
          <w:p w14:paraId="18B06AD1"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24</w:t>
            </w:r>
          </w:p>
        </w:tc>
        <w:tc>
          <w:tcPr>
            <w:tcW w:w="1355" w:type="dxa"/>
            <w:tcBorders>
              <w:top w:val="nil"/>
              <w:left w:val="nil"/>
              <w:bottom w:val="nil"/>
              <w:right w:val="nil"/>
            </w:tcBorders>
            <w:tcMar>
              <w:top w:w="100" w:type="dxa"/>
              <w:left w:w="100" w:type="dxa"/>
              <w:bottom w:w="100" w:type="dxa"/>
              <w:right w:w="100" w:type="dxa"/>
            </w:tcMar>
          </w:tcPr>
          <w:p w14:paraId="42FE85C1"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12</w:t>
            </w:r>
          </w:p>
        </w:tc>
      </w:tr>
      <w:tr w:rsidR="00720726" w14:paraId="463014A6" w14:textId="77777777">
        <w:trPr>
          <w:trHeight w:val="500"/>
        </w:trPr>
        <w:tc>
          <w:tcPr>
            <w:tcW w:w="3035" w:type="dxa"/>
            <w:tcBorders>
              <w:top w:val="nil"/>
              <w:left w:val="nil"/>
              <w:bottom w:val="nil"/>
              <w:right w:val="nil"/>
            </w:tcBorders>
            <w:tcMar>
              <w:top w:w="100" w:type="dxa"/>
              <w:left w:w="100" w:type="dxa"/>
              <w:bottom w:w="100" w:type="dxa"/>
              <w:right w:w="100" w:type="dxa"/>
            </w:tcMar>
          </w:tcPr>
          <w:p w14:paraId="686FCE26"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Employee Welfare</w:t>
            </w:r>
          </w:p>
        </w:tc>
        <w:tc>
          <w:tcPr>
            <w:tcW w:w="1280" w:type="dxa"/>
            <w:tcBorders>
              <w:top w:val="nil"/>
              <w:left w:val="nil"/>
              <w:bottom w:val="nil"/>
              <w:right w:val="nil"/>
            </w:tcBorders>
            <w:tcMar>
              <w:top w:w="100" w:type="dxa"/>
              <w:left w:w="100" w:type="dxa"/>
              <w:bottom w:w="100" w:type="dxa"/>
              <w:right w:w="100" w:type="dxa"/>
            </w:tcMar>
          </w:tcPr>
          <w:p w14:paraId="24447427"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90</w:t>
            </w:r>
          </w:p>
        </w:tc>
        <w:tc>
          <w:tcPr>
            <w:tcW w:w="740" w:type="dxa"/>
            <w:tcBorders>
              <w:top w:val="nil"/>
              <w:left w:val="nil"/>
              <w:bottom w:val="nil"/>
              <w:right w:val="nil"/>
            </w:tcBorders>
            <w:tcMar>
              <w:top w:w="100" w:type="dxa"/>
              <w:left w:w="100" w:type="dxa"/>
              <w:bottom w:w="100" w:type="dxa"/>
              <w:right w:w="100" w:type="dxa"/>
            </w:tcMar>
          </w:tcPr>
          <w:p w14:paraId="7128C8AB"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96</w:t>
            </w:r>
          </w:p>
        </w:tc>
        <w:tc>
          <w:tcPr>
            <w:tcW w:w="1235" w:type="dxa"/>
            <w:tcBorders>
              <w:top w:val="nil"/>
              <w:left w:val="nil"/>
              <w:bottom w:val="nil"/>
              <w:right w:val="nil"/>
            </w:tcBorders>
            <w:tcMar>
              <w:top w:w="100" w:type="dxa"/>
              <w:left w:w="100" w:type="dxa"/>
              <w:bottom w:w="100" w:type="dxa"/>
              <w:right w:w="100" w:type="dxa"/>
            </w:tcMar>
          </w:tcPr>
          <w:p w14:paraId="44A7336B"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78</w:t>
            </w:r>
          </w:p>
        </w:tc>
        <w:tc>
          <w:tcPr>
            <w:tcW w:w="815" w:type="dxa"/>
            <w:tcBorders>
              <w:top w:val="nil"/>
              <w:left w:val="nil"/>
              <w:bottom w:val="nil"/>
              <w:right w:val="nil"/>
            </w:tcBorders>
            <w:tcMar>
              <w:top w:w="100" w:type="dxa"/>
              <w:left w:w="100" w:type="dxa"/>
              <w:bottom w:w="100" w:type="dxa"/>
              <w:right w:w="100" w:type="dxa"/>
            </w:tcMar>
          </w:tcPr>
          <w:p w14:paraId="5D6C6DE8"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24</w:t>
            </w:r>
          </w:p>
        </w:tc>
        <w:tc>
          <w:tcPr>
            <w:tcW w:w="1355" w:type="dxa"/>
            <w:tcBorders>
              <w:top w:val="nil"/>
              <w:left w:val="nil"/>
              <w:bottom w:val="nil"/>
              <w:right w:val="nil"/>
            </w:tcBorders>
            <w:tcMar>
              <w:top w:w="100" w:type="dxa"/>
              <w:left w:w="100" w:type="dxa"/>
              <w:bottom w:w="100" w:type="dxa"/>
              <w:right w:w="100" w:type="dxa"/>
            </w:tcMar>
          </w:tcPr>
          <w:p w14:paraId="23C1358C"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12</w:t>
            </w:r>
          </w:p>
        </w:tc>
      </w:tr>
    </w:tbl>
    <w:p w14:paraId="3D950783" w14:textId="77777777" w:rsidR="00720726" w:rsidRDefault="00000000">
      <w:pPr>
        <w:pStyle w:val="Heading3"/>
        <w:keepNext w:val="0"/>
        <w:keepLines w:val="0"/>
        <w:spacing w:before="280" w:line="360" w:lineRule="auto"/>
        <w:jc w:val="both"/>
        <w:rPr>
          <w:sz w:val="26"/>
          <w:szCs w:val="26"/>
        </w:rPr>
      </w:pPr>
      <w:bookmarkStart w:id="103" w:name="_xif7b8h0o2u9" w:colFirst="0" w:colLast="0"/>
      <w:bookmarkEnd w:id="103"/>
      <w:r>
        <w:rPr>
          <w:sz w:val="26"/>
          <w:szCs w:val="26"/>
        </w:rPr>
        <w:t>Interpretation of Findings</w:t>
      </w:r>
    </w:p>
    <w:p w14:paraId="194DF2F3"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findings indicate that all four CSR dimensions positively influence consumer purchase decisions. Environmental sustainability emerged as the most influential CSR factor, with 120 respondents rating its influence as very high and a further 96 respondents rating it as high. Similarly, ethical sourcing received strong support, with 210 respondents indicating either high or very high influence on their purchasing decisions.</w:t>
      </w:r>
    </w:p>
    <w:p w14:paraId="5E6E1D42"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Community support and employee welfare also demonstrated positive influence, although their impact was slightly lower compared with environmental sustainability and ethical sourcing. Overall, the results suggest that consumers place considerable importance on CSR initiatives when making purchasing decisions in the supermarket sector.</w:t>
      </w:r>
    </w:p>
    <w:p w14:paraId="416543AB" w14:textId="77777777" w:rsidR="00720726" w:rsidRDefault="00000000">
      <w:pPr>
        <w:pStyle w:val="Heading3"/>
        <w:keepNext w:val="0"/>
        <w:keepLines w:val="0"/>
        <w:spacing w:before="280" w:line="360" w:lineRule="auto"/>
        <w:jc w:val="both"/>
        <w:rPr>
          <w:sz w:val="26"/>
          <w:szCs w:val="26"/>
        </w:rPr>
      </w:pPr>
      <w:bookmarkStart w:id="104" w:name="_9ywf2ecxwtv5" w:colFirst="0" w:colLast="0"/>
      <w:bookmarkEnd w:id="104"/>
      <w:r>
        <w:rPr>
          <w:sz w:val="26"/>
          <w:szCs w:val="26"/>
        </w:rPr>
        <w:t>Regression Analysis</w:t>
      </w:r>
    </w:p>
    <w:p w14:paraId="64E1D707"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To further examine the impact of CSR on purchase intention, a multiple regression analysis was conducted.</w:t>
      </w:r>
    </w:p>
    <w:p w14:paraId="47031490" w14:textId="77777777" w:rsidR="00720726" w:rsidRDefault="00000000">
      <w:pPr>
        <w:pStyle w:val="Heading3"/>
        <w:keepNext w:val="0"/>
        <w:keepLines w:val="0"/>
        <w:spacing w:before="280" w:line="360" w:lineRule="auto"/>
        <w:jc w:val="both"/>
        <w:rPr>
          <w:sz w:val="26"/>
          <w:szCs w:val="26"/>
        </w:rPr>
      </w:pPr>
      <w:bookmarkStart w:id="105" w:name="_kbwvtpimnlmr" w:colFirst="0" w:colLast="0"/>
      <w:bookmarkEnd w:id="105"/>
      <w:r>
        <w:rPr>
          <w:sz w:val="26"/>
          <w:szCs w:val="26"/>
        </w:rPr>
        <w:t>Table 10: Regression Results</w:t>
      </w:r>
    </w:p>
    <w:tbl>
      <w:tblPr>
        <w:tblStyle w:val="aa"/>
        <w:tblW w:w="47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75"/>
        <w:gridCol w:w="1040"/>
        <w:gridCol w:w="935"/>
        <w:gridCol w:w="965"/>
      </w:tblGrid>
      <w:tr w:rsidR="00720726" w14:paraId="09071CC9" w14:textId="77777777">
        <w:trPr>
          <w:trHeight w:val="500"/>
        </w:trPr>
        <w:tc>
          <w:tcPr>
            <w:tcW w:w="1775" w:type="dxa"/>
            <w:tcBorders>
              <w:top w:val="nil"/>
              <w:left w:val="nil"/>
              <w:bottom w:val="nil"/>
              <w:right w:val="nil"/>
            </w:tcBorders>
            <w:tcMar>
              <w:top w:w="100" w:type="dxa"/>
              <w:left w:w="100" w:type="dxa"/>
              <w:bottom w:w="100" w:type="dxa"/>
              <w:right w:w="100" w:type="dxa"/>
            </w:tcMar>
          </w:tcPr>
          <w:p w14:paraId="5C38BD2A" w14:textId="77777777" w:rsidR="00720726" w:rsidRDefault="00000000">
            <w:pPr>
              <w:spacing w:before="240" w:after="240" w:line="360" w:lineRule="auto"/>
              <w:jc w:val="center"/>
              <w:rPr>
                <w:rFonts w:ascii="Arial" w:eastAsia="Arial" w:hAnsi="Arial" w:cs="Arial"/>
                <w:sz w:val="24"/>
                <w:szCs w:val="24"/>
              </w:rPr>
            </w:pPr>
            <w:r>
              <w:rPr>
                <w:rFonts w:ascii="Arial" w:eastAsia="Arial" w:hAnsi="Arial" w:cs="Arial"/>
                <w:b/>
                <w:bCs/>
                <w:sz w:val="24"/>
                <w:szCs w:val="24"/>
              </w:rPr>
              <w:t>Variable</w:t>
            </w:r>
          </w:p>
        </w:tc>
        <w:tc>
          <w:tcPr>
            <w:tcW w:w="1040" w:type="dxa"/>
            <w:tcBorders>
              <w:top w:val="nil"/>
              <w:left w:val="nil"/>
              <w:bottom w:val="nil"/>
              <w:right w:val="nil"/>
            </w:tcBorders>
            <w:tcMar>
              <w:top w:w="100" w:type="dxa"/>
              <w:left w:w="100" w:type="dxa"/>
              <w:bottom w:w="100" w:type="dxa"/>
              <w:right w:w="100" w:type="dxa"/>
            </w:tcMar>
          </w:tcPr>
          <w:p w14:paraId="07BDE0D5" w14:textId="77777777" w:rsidR="00720726" w:rsidRDefault="00000000">
            <w:pPr>
              <w:spacing w:before="240" w:after="240" w:line="360" w:lineRule="auto"/>
              <w:jc w:val="center"/>
              <w:rPr>
                <w:rFonts w:ascii="Arial" w:eastAsia="Arial" w:hAnsi="Arial" w:cs="Arial"/>
                <w:sz w:val="24"/>
                <w:szCs w:val="24"/>
              </w:rPr>
            </w:pPr>
            <w:r>
              <w:rPr>
                <w:rFonts w:ascii="Arial" w:eastAsia="Arial" w:hAnsi="Arial" w:cs="Arial"/>
                <w:b/>
                <w:bCs/>
                <w:sz w:val="24"/>
                <w:szCs w:val="24"/>
              </w:rPr>
              <w:t>Beta (β)</w:t>
            </w:r>
          </w:p>
        </w:tc>
        <w:tc>
          <w:tcPr>
            <w:tcW w:w="935" w:type="dxa"/>
            <w:tcBorders>
              <w:top w:val="nil"/>
              <w:left w:val="nil"/>
              <w:bottom w:val="nil"/>
              <w:right w:val="nil"/>
            </w:tcBorders>
            <w:tcMar>
              <w:top w:w="100" w:type="dxa"/>
              <w:left w:w="100" w:type="dxa"/>
              <w:bottom w:w="100" w:type="dxa"/>
              <w:right w:w="100" w:type="dxa"/>
            </w:tcMar>
          </w:tcPr>
          <w:p w14:paraId="1A67066D" w14:textId="77777777" w:rsidR="00720726" w:rsidRDefault="00000000">
            <w:pPr>
              <w:spacing w:before="240" w:after="240" w:line="360" w:lineRule="auto"/>
              <w:jc w:val="center"/>
              <w:rPr>
                <w:rFonts w:ascii="Arial" w:eastAsia="Arial" w:hAnsi="Arial" w:cs="Arial"/>
                <w:sz w:val="24"/>
                <w:szCs w:val="24"/>
              </w:rPr>
            </w:pPr>
            <w:r>
              <w:rPr>
                <w:rFonts w:ascii="Arial" w:eastAsia="Arial" w:hAnsi="Arial" w:cs="Arial"/>
                <w:b/>
                <w:bCs/>
                <w:sz w:val="24"/>
                <w:szCs w:val="24"/>
              </w:rPr>
              <w:t>t-value</w:t>
            </w:r>
          </w:p>
        </w:tc>
        <w:tc>
          <w:tcPr>
            <w:tcW w:w="965" w:type="dxa"/>
            <w:tcBorders>
              <w:top w:val="nil"/>
              <w:left w:val="nil"/>
              <w:bottom w:val="nil"/>
              <w:right w:val="nil"/>
            </w:tcBorders>
            <w:tcMar>
              <w:top w:w="100" w:type="dxa"/>
              <w:left w:w="100" w:type="dxa"/>
              <w:bottom w:w="100" w:type="dxa"/>
              <w:right w:w="100" w:type="dxa"/>
            </w:tcMar>
          </w:tcPr>
          <w:p w14:paraId="7D6E3C2A" w14:textId="77777777" w:rsidR="00720726" w:rsidRDefault="00000000">
            <w:pPr>
              <w:spacing w:before="240" w:after="240" w:line="360" w:lineRule="auto"/>
              <w:jc w:val="center"/>
              <w:rPr>
                <w:rFonts w:ascii="Arial" w:eastAsia="Arial" w:hAnsi="Arial" w:cs="Arial"/>
                <w:sz w:val="24"/>
                <w:szCs w:val="24"/>
              </w:rPr>
            </w:pPr>
            <w:r>
              <w:rPr>
                <w:rFonts w:ascii="Arial" w:eastAsia="Arial" w:hAnsi="Arial" w:cs="Arial"/>
                <w:b/>
                <w:bCs/>
                <w:sz w:val="24"/>
                <w:szCs w:val="24"/>
              </w:rPr>
              <w:t>Sig. (p)</w:t>
            </w:r>
          </w:p>
        </w:tc>
      </w:tr>
      <w:tr w:rsidR="00720726" w14:paraId="5486661F" w14:textId="77777777">
        <w:trPr>
          <w:trHeight w:val="500"/>
        </w:trPr>
        <w:tc>
          <w:tcPr>
            <w:tcW w:w="1775" w:type="dxa"/>
            <w:tcBorders>
              <w:top w:val="nil"/>
              <w:left w:val="nil"/>
              <w:bottom w:val="nil"/>
              <w:right w:val="nil"/>
            </w:tcBorders>
            <w:tcMar>
              <w:top w:w="100" w:type="dxa"/>
              <w:left w:w="100" w:type="dxa"/>
              <w:bottom w:w="100" w:type="dxa"/>
              <w:right w:w="100" w:type="dxa"/>
            </w:tcMar>
          </w:tcPr>
          <w:p w14:paraId="70E7F281"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lastRenderedPageBreak/>
              <w:t>CSR Perception</w:t>
            </w:r>
          </w:p>
        </w:tc>
        <w:tc>
          <w:tcPr>
            <w:tcW w:w="1040" w:type="dxa"/>
            <w:tcBorders>
              <w:top w:val="nil"/>
              <w:left w:val="nil"/>
              <w:bottom w:val="nil"/>
              <w:right w:val="nil"/>
            </w:tcBorders>
            <w:tcMar>
              <w:top w:w="100" w:type="dxa"/>
              <w:left w:w="100" w:type="dxa"/>
              <w:bottom w:w="100" w:type="dxa"/>
              <w:right w:w="100" w:type="dxa"/>
            </w:tcMar>
          </w:tcPr>
          <w:p w14:paraId="0D4F3481"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0.46</w:t>
            </w:r>
          </w:p>
        </w:tc>
        <w:tc>
          <w:tcPr>
            <w:tcW w:w="935" w:type="dxa"/>
            <w:tcBorders>
              <w:top w:val="nil"/>
              <w:left w:val="nil"/>
              <w:bottom w:val="nil"/>
              <w:right w:val="nil"/>
            </w:tcBorders>
            <w:tcMar>
              <w:top w:w="100" w:type="dxa"/>
              <w:left w:w="100" w:type="dxa"/>
              <w:bottom w:w="100" w:type="dxa"/>
              <w:right w:w="100" w:type="dxa"/>
            </w:tcMar>
          </w:tcPr>
          <w:p w14:paraId="329DF33C"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8.12</w:t>
            </w:r>
          </w:p>
        </w:tc>
        <w:tc>
          <w:tcPr>
            <w:tcW w:w="965" w:type="dxa"/>
            <w:tcBorders>
              <w:top w:val="nil"/>
              <w:left w:val="nil"/>
              <w:bottom w:val="nil"/>
              <w:right w:val="nil"/>
            </w:tcBorders>
            <w:tcMar>
              <w:top w:w="100" w:type="dxa"/>
              <w:left w:w="100" w:type="dxa"/>
              <w:bottom w:w="100" w:type="dxa"/>
              <w:right w:w="100" w:type="dxa"/>
            </w:tcMar>
          </w:tcPr>
          <w:p w14:paraId="70890B60"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0.000</w:t>
            </w:r>
          </w:p>
        </w:tc>
      </w:tr>
      <w:tr w:rsidR="00720726" w14:paraId="579665D6" w14:textId="77777777">
        <w:trPr>
          <w:trHeight w:val="500"/>
        </w:trPr>
        <w:tc>
          <w:tcPr>
            <w:tcW w:w="1775" w:type="dxa"/>
            <w:tcBorders>
              <w:top w:val="nil"/>
              <w:left w:val="nil"/>
              <w:bottom w:val="nil"/>
              <w:right w:val="nil"/>
            </w:tcBorders>
            <w:tcMar>
              <w:top w:w="100" w:type="dxa"/>
              <w:left w:w="100" w:type="dxa"/>
              <w:bottom w:w="100" w:type="dxa"/>
              <w:right w:w="100" w:type="dxa"/>
            </w:tcMar>
          </w:tcPr>
          <w:p w14:paraId="4308A407"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Brand Trust</w:t>
            </w:r>
          </w:p>
        </w:tc>
        <w:tc>
          <w:tcPr>
            <w:tcW w:w="1040" w:type="dxa"/>
            <w:tcBorders>
              <w:top w:val="nil"/>
              <w:left w:val="nil"/>
              <w:bottom w:val="nil"/>
              <w:right w:val="nil"/>
            </w:tcBorders>
            <w:tcMar>
              <w:top w:w="100" w:type="dxa"/>
              <w:left w:w="100" w:type="dxa"/>
              <w:bottom w:w="100" w:type="dxa"/>
              <w:right w:w="100" w:type="dxa"/>
            </w:tcMar>
          </w:tcPr>
          <w:p w14:paraId="3D89888B"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0.39</w:t>
            </w:r>
          </w:p>
        </w:tc>
        <w:tc>
          <w:tcPr>
            <w:tcW w:w="935" w:type="dxa"/>
            <w:tcBorders>
              <w:top w:val="nil"/>
              <w:left w:val="nil"/>
              <w:bottom w:val="nil"/>
              <w:right w:val="nil"/>
            </w:tcBorders>
            <w:tcMar>
              <w:top w:w="100" w:type="dxa"/>
              <w:left w:w="100" w:type="dxa"/>
              <w:bottom w:w="100" w:type="dxa"/>
              <w:right w:w="100" w:type="dxa"/>
            </w:tcMar>
          </w:tcPr>
          <w:p w14:paraId="60481AD4"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6.94</w:t>
            </w:r>
          </w:p>
        </w:tc>
        <w:tc>
          <w:tcPr>
            <w:tcW w:w="965" w:type="dxa"/>
            <w:tcBorders>
              <w:top w:val="nil"/>
              <w:left w:val="nil"/>
              <w:bottom w:val="nil"/>
              <w:right w:val="nil"/>
            </w:tcBorders>
            <w:tcMar>
              <w:top w:w="100" w:type="dxa"/>
              <w:left w:w="100" w:type="dxa"/>
              <w:bottom w:w="100" w:type="dxa"/>
              <w:right w:w="100" w:type="dxa"/>
            </w:tcMar>
          </w:tcPr>
          <w:p w14:paraId="493A2B27"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0.000</w:t>
            </w:r>
          </w:p>
        </w:tc>
      </w:tr>
      <w:tr w:rsidR="00720726" w14:paraId="076B13ED" w14:textId="77777777">
        <w:trPr>
          <w:trHeight w:val="500"/>
        </w:trPr>
        <w:tc>
          <w:tcPr>
            <w:tcW w:w="1775" w:type="dxa"/>
            <w:tcBorders>
              <w:top w:val="nil"/>
              <w:left w:val="nil"/>
              <w:bottom w:val="nil"/>
              <w:right w:val="nil"/>
            </w:tcBorders>
            <w:tcMar>
              <w:top w:w="100" w:type="dxa"/>
              <w:left w:w="100" w:type="dxa"/>
              <w:bottom w:w="100" w:type="dxa"/>
              <w:right w:w="100" w:type="dxa"/>
            </w:tcMar>
          </w:tcPr>
          <w:p w14:paraId="3FCDA772"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Age</w:t>
            </w:r>
          </w:p>
        </w:tc>
        <w:tc>
          <w:tcPr>
            <w:tcW w:w="1040" w:type="dxa"/>
            <w:tcBorders>
              <w:top w:val="nil"/>
              <w:left w:val="nil"/>
              <w:bottom w:val="nil"/>
              <w:right w:val="nil"/>
            </w:tcBorders>
            <w:tcMar>
              <w:top w:w="100" w:type="dxa"/>
              <w:left w:w="100" w:type="dxa"/>
              <w:bottom w:w="100" w:type="dxa"/>
              <w:right w:w="100" w:type="dxa"/>
            </w:tcMar>
          </w:tcPr>
          <w:p w14:paraId="4F9D9F0C"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0.11</w:t>
            </w:r>
          </w:p>
        </w:tc>
        <w:tc>
          <w:tcPr>
            <w:tcW w:w="935" w:type="dxa"/>
            <w:tcBorders>
              <w:top w:val="nil"/>
              <w:left w:val="nil"/>
              <w:bottom w:val="nil"/>
              <w:right w:val="nil"/>
            </w:tcBorders>
            <w:tcMar>
              <w:top w:w="100" w:type="dxa"/>
              <w:left w:w="100" w:type="dxa"/>
              <w:bottom w:w="100" w:type="dxa"/>
              <w:right w:w="100" w:type="dxa"/>
            </w:tcMar>
          </w:tcPr>
          <w:p w14:paraId="6CEB7901"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2.08</w:t>
            </w:r>
          </w:p>
        </w:tc>
        <w:tc>
          <w:tcPr>
            <w:tcW w:w="965" w:type="dxa"/>
            <w:tcBorders>
              <w:top w:val="nil"/>
              <w:left w:val="nil"/>
              <w:bottom w:val="nil"/>
              <w:right w:val="nil"/>
            </w:tcBorders>
            <w:tcMar>
              <w:top w:w="100" w:type="dxa"/>
              <w:left w:w="100" w:type="dxa"/>
              <w:bottom w:w="100" w:type="dxa"/>
              <w:right w:w="100" w:type="dxa"/>
            </w:tcMar>
          </w:tcPr>
          <w:p w14:paraId="208E1FEA"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0.039</w:t>
            </w:r>
          </w:p>
        </w:tc>
      </w:tr>
      <w:tr w:rsidR="00720726" w14:paraId="59885545" w14:textId="77777777">
        <w:trPr>
          <w:trHeight w:val="500"/>
        </w:trPr>
        <w:tc>
          <w:tcPr>
            <w:tcW w:w="1775" w:type="dxa"/>
            <w:tcBorders>
              <w:top w:val="nil"/>
              <w:left w:val="nil"/>
              <w:bottom w:val="nil"/>
              <w:right w:val="nil"/>
            </w:tcBorders>
            <w:tcMar>
              <w:top w:w="100" w:type="dxa"/>
              <w:left w:w="100" w:type="dxa"/>
              <w:bottom w:w="100" w:type="dxa"/>
              <w:right w:w="100" w:type="dxa"/>
            </w:tcMar>
          </w:tcPr>
          <w:p w14:paraId="31E81C40"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Income</w:t>
            </w:r>
          </w:p>
        </w:tc>
        <w:tc>
          <w:tcPr>
            <w:tcW w:w="1040" w:type="dxa"/>
            <w:tcBorders>
              <w:top w:val="nil"/>
              <w:left w:val="nil"/>
              <w:bottom w:val="nil"/>
              <w:right w:val="nil"/>
            </w:tcBorders>
            <w:tcMar>
              <w:top w:w="100" w:type="dxa"/>
              <w:left w:w="100" w:type="dxa"/>
              <w:bottom w:w="100" w:type="dxa"/>
              <w:right w:w="100" w:type="dxa"/>
            </w:tcMar>
          </w:tcPr>
          <w:p w14:paraId="3090A316"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0.09</w:t>
            </w:r>
          </w:p>
        </w:tc>
        <w:tc>
          <w:tcPr>
            <w:tcW w:w="935" w:type="dxa"/>
            <w:tcBorders>
              <w:top w:val="nil"/>
              <w:left w:val="nil"/>
              <w:bottom w:val="nil"/>
              <w:right w:val="nil"/>
            </w:tcBorders>
            <w:tcMar>
              <w:top w:w="100" w:type="dxa"/>
              <w:left w:w="100" w:type="dxa"/>
              <w:bottom w:w="100" w:type="dxa"/>
              <w:right w:w="100" w:type="dxa"/>
            </w:tcMar>
          </w:tcPr>
          <w:p w14:paraId="37CD42AF"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1.87</w:t>
            </w:r>
          </w:p>
        </w:tc>
        <w:tc>
          <w:tcPr>
            <w:tcW w:w="965" w:type="dxa"/>
            <w:tcBorders>
              <w:top w:val="nil"/>
              <w:left w:val="nil"/>
              <w:bottom w:val="nil"/>
              <w:right w:val="nil"/>
            </w:tcBorders>
            <w:tcMar>
              <w:top w:w="100" w:type="dxa"/>
              <w:left w:w="100" w:type="dxa"/>
              <w:bottom w:w="100" w:type="dxa"/>
              <w:right w:w="100" w:type="dxa"/>
            </w:tcMar>
          </w:tcPr>
          <w:p w14:paraId="5883F62F"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0.062</w:t>
            </w:r>
          </w:p>
        </w:tc>
      </w:tr>
    </w:tbl>
    <w:p w14:paraId="5E3C1CFE"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b/>
          <w:bCs/>
          <w:sz w:val="24"/>
          <w:szCs w:val="24"/>
        </w:rPr>
        <w:t>Model Summary:</w:t>
      </w:r>
      <w:r>
        <w:rPr>
          <w:rFonts w:ascii="Arial" w:eastAsia="Arial" w:hAnsi="Arial" w:cs="Arial"/>
          <w:b/>
          <w:bCs/>
          <w:sz w:val="24"/>
          <w:szCs w:val="24"/>
        </w:rPr>
        <w:br/>
      </w:r>
      <w:r>
        <w:rPr>
          <w:rFonts w:ascii="Arial" w:eastAsia="Arial" w:hAnsi="Arial" w:cs="Arial"/>
          <w:sz w:val="24"/>
          <w:szCs w:val="24"/>
        </w:rPr>
        <w:t xml:space="preserve"> R² = 0.58</w:t>
      </w:r>
      <w:r>
        <w:rPr>
          <w:rFonts w:ascii="Arial" w:eastAsia="Arial" w:hAnsi="Arial" w:cs="Arial"/>
          <w:sz w:val="24"/>
          <w:szCs w:val="24"/>
        </w:rPr>
        <w:br/>
        <w:t xml:space="preserve"> Adjusted R² = 0.56</w:t>
      </w:r>
      <w:r>
        <w:rPr>
          <w:rFonts w:ascii="Arial" w:eastAsia="Arial" w:hAnsi="Arial" w:cs="Arial"/>
          <w:sz w:val="24"/>
          <w:szCs w:val="24"/>
        </w:rPr>
        <w:br/>
        <w:t xml:space="preserve"> F = 102.34</w:t>
      </w:r>
      <w:r>
        <w:rPr>
          <w:rFonts w:ascii="Arial" w:eastAsia="Arial" w:hAnsi="Arial" w:cs="Arial"/>
          <w:sz w:val="24"/>
          <w:szCs w:val="24"/>
        </w:rPr>
        <w:br/>
        <w:t xml:space="preserve"> p &lt; 0.001</w:t>
      </w:r>
    </w:p>
    <w:p w14:paraId="43312FD0" w14:textId="77777777" w:rsidR="00720726" w:rsidRDefault="00000000">
      <w:pPr>
        <w:pStyle w:val="Heading3"/>
        <w:keepNext w:val="0"/>
        <w:keepLines w:val="0"/>
        <w:spacing w:before="280" w:line="360" w:lineRule="auto"/>
        <w:jc w:val="both"/>
        <w:rPr>
          <w:sz w:val="26"/>
          <w:szCs w:val="26"/>
        </w:rPr>
      </w:pPr>
      <w:bookmarkStart w:id="106" w:name="_2uz55alep32s" w:colFirst="0" w:colLast="0"/>
      <w:bookmarkEnd w:id="106"/>
      <w:r>
        <w:rPr>
          <w:sz w:val="26"/>
          <w:szCs w:val="26"/>
        </w:rPr>
        <w:t>Interpretation of Regression Results</w:t>
      </w:r>
    </w:p>
    <w:p w14:paraId="51041BD9"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regression results show that CSR perception has a significant positive effect on purchase intention (β = 0.46, p &lt; 0.001). This indicates that consumers who perceive supermarkets as socially responsible are more likely to purchase from them. Brand trust also has a significant positive influence on purchase intention (β = 0.39, p &lt; 0.001), suggesting that trust strengthens the impact of CSR on consumer behaviour.</w:t>
      </w:r>
    </w:p>
    <w:p w14:paraId="25AD3325"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model explains approximately 58% of the variation in purchase intention (R² = 0.58), indicating that CSR-related factors are important predictors of consumer buying behaviour.</w:t>
      </w:r>
    </w:p>
    <w:p w14:paraId="008FC7B8" w14:textId="77777777" w:rsidR="00720726" w:rsidRDefault="00000000">
      <w:pPr>
        <w:pStyle w:val="Heading3"/>
        <w:keepNext w:val="0"/>
        <w:keepLines w:val="0"/>
        <w:spacing w:before="280" w:line="360" w:lineRule="auto"/>
        <w:jc w:val="both"/>
        <w:rPr>
          <w:sz w:val="26"/>
          <w:szCs w:val="26"/>
        </w:rPr>
      </w:pPr>
      <w:bookmarkStart w:id="107" w:name="_8t08wedd3kpt" w:colFirst="0" w:colLast="0"/>
      <w:bookmarkEnd w:id="107"/>
      <w:r>
        <w:rPr>
          <w:sz w:val="26"/>
          <w:szCs w:val="26"/>
        </w:rPr>
        <w:t>Answer to Research Question 3</w:t>
      </w:r>
    </w:p>
    <w:p w14:paraId="26ED96F1"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The findings demonstrate that CSR initiatives significantly influence consumer purchase decisions. Environmental sustainability and ethical sourcing are the most influential CSR dimensions, while regression analysis confirms that CSR perception is </w:t>
      </w:r>
      <w:r>
        <w:rPr>
          <w:rFonts w:ascii="Arial" w:eastAsia="Arial" w:hAnsi="Arial" w:cs="Arial"/>
          <w:sz w:val="24"/>
          <w:szCs w:val="24"/>
        </w:rPr>
        <w:lastRenderedPageBreak/>
        <w:t>a significant predictor of purchase intention. Therefore, the research concludes that CSR plays an important role in shaping consumer buying behaviour within the supermarket sector.</w:t>
      </w:r>
    </w:p>
    <w:p w14:paraId="03C45EC4" w14:textId="77777777" w:rsidR="00720726" w:rsidRDefault="00720726">
      <w:pPr>
        <w:spacing w:before="240" w:after="240" w:line="360" w:lineRule="auto"/>
        <w:jc w:val="both"/>
        <w:rPr>
          <w:rFonts w:ascii="Arial" w:eastAsia="Arial" w:hAnsi="Arial" w:cs="Arial"/>
          <w:sz w:val="24"/>
          <w:szCs w:val="24"/>
        </w:rPr>
      </w:pPr>
    </w:p>
    <w:p w14:paraId="1F74418F"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Research Question 4: How do CSR strategies affect consumer trust and loyalty in the retail sector?</w:t>
      </w:r>
    </w:p>
    <w:p w14:paraId="4A03DD8F"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To answer this research question, respondents were asked to rate the extent to which CSR initiatives influence their trust and loyalty towards supermarkets. Descriptive statistics were first used to examine consumer perceptions, followed by correlation and regression analysis to assess the relationships between CSR perception, brand trust, and purchase intention.</w:t>
      </w:r>
    </w:p>
    <w:p w14:paraId="1157878A" w14:textId="77777777" w:rsidR="00720726" w:rsidRDefault="00000000">
      <w:pPr>
        <w:pStyle w:val="Heading3"/>
        <w:keepNext w:val="0"/>
        <w:keepLines w:val="0"/>
        <w:spacing w:before="280" w:line="360" w:lineRule="auto"/>
        <w:jc w:val="both"/>
        <w:rPr>
          <w:sz w:val="26"/>
          <w:szCs w:val="26"/>
        </w:rPr>
      </w:pPr>
      <w:bookmarkStart w:id="108" w:name="_in4eu3uock6w" w:colFirst="0" w:colLast="0"/>
      <w:bookmarkEnd w:id="108"/>
      <w:r>
        <w:rPr>
          <w:sz w:val="26"/>
          <w:szCs w:val="26"/>
        </w:rPr>
        <w:t>Table 11: Influence of CSR on Consumer Trust and Loyalty (n = 300)</w:t>
      </w:r>
    </w:p>
    <w:tbl>
      <w:tblPr>
        <w:tblStyle w:val="ab"/>
        <w:tblW w:w="508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30"/>
        <w:gridCol w:w="815"/>
        <w:gridCol w:w="2240"/>
      </w:tblGrid>
      <w:tr w:rsidR="00720726" w14:paraId="7E14BB70" w14:textId="77777777">
        <w:trPr>
          <w:trHeight w:val="500"/>
        </w:trPr>
        <w:tc>
          <w:tcPr>
            <w:tcW w:w="2030" w:type="dxa"/>
            <w:tcBorders>
              <w:top w:val="nil"/>
              <w:left w:val="nil"/>
              <w:bottom w:val="nil"/>
              <w:right w:val="nil"/>
            </w:tcBorders>
            <w:tcMar>
              <w:top w:w="100" w:type="dxa"/>
              <w:left w:w="100" w:type="dxa"/>
              <w:bottom w:w="100" w:type="dxa"/>
              <w:right w:w="100" w:type="dxa"/>
            </w:tcMar>
          </w:tcPr>
          <w:p w14:paraId="65F766FD" w14:textId="77777777" w:rsidR="00720726" w:rsidRDefault="00000000">
            <w:pPr>
              <w:spacing w:before="240" w:after="240" w:line="360" w:lineRule="auto"/>
              <w:jc w:val="center"/>
              <w:rPr>
                <w:rFonts w:ascii="Arial" w:eastAsia="Arial" w:hAnsi="Arial" w:cs="Arial"/>
                <w:sz w:val="24"/>
                <w:szCs w:val="24"/>
              </w:rPr>
            </w:pPr>
            <w:r>
              <w:rPr>
                <w:rFonts w:ascii="Arial" w:eastAsia="Arial" w:hAnsi="Arial" w:cs="Arial"/>
                <w:b/>
                <w:bCs/>
                <w:sz w:val="24"/>
                <w:szCs w:val="24"/>
              </w:rPr>
              <w:t>Variable</w:t>
            </w:r>
          </w:p>
        </w:tc>
        <w:tc>
          <w:tcPr>
            <w:tcW w:w="815" w:type="dxa"/>
            <w:tcBorders>
              <w:top w:val="nil"/>
              <w:left w:val="nil"/>
              <w:bottom w:val="nil"/>
              <w:right w:val="nil"/>
            </w:tcBorders>
            <w:tcMar>
              <w:top w:w="100" w:type="dxa"/>
              <w:left w:w="100" w:type="dxa"/>
              <w:bottom w:w="100" w:type="dxa"/>
              <w:right w:w="100" w:type="dxa"/>
            </w:tcMar>
          </w:tcPr>
          <w:p w14:paraId="5F36D80B" w14:textId="77777777" w:rsidR="00720726" w:rsidRDefault="00000000">
            <w:pPr>
              <w:spacing w:before="240" w:after="240" w:line="360" w:lineRule="auto"/>
              <w:jc w:val="center"/>
              <w:rPr>
                <w:rFonts w:ascii="Arial" w:eastAsia="Arial" w:hAnsi="Arial" w:cs="Arial"/>
                <w:sz w:val="24"/>
                <w:szCs w:val="24"/>
              </w:rPr>
            </w:pPr>
            <w:r>
              <w:rPr>
                <w:rFonts w:ascii="Arial" w:eastAsia="Arial" w:hAnsi="Arial" w:cs="Arial"/>
                <w:b/>
                <w:bCs/>
                <w:sz w:val="24"/>
                <w:szCs w:val="24"/>
              </w:rPr>
              <w:t>Mean</w:t>
            </w:r>
          </w:p>
        </w:tc>
        <w:tc>
          <w:tcPr>
            <w:tcW w:w="2240" w:type="dxa"/>
            <w:tcBorders>
              <w:top w:val="nil"/>
              <w:left w:val="nil"/>
              <w:bottom w:val="nil"/>
              <w:right w:val="nil"/>
            </w:tcBorders>
            <w:tcMar>
              <w:top w:w="100" w:type="dxa"/>
              <w:left w:w="100" w:type="dxa"/>
              <w:bottom w:w="100" w:type="dxa"/>
              <w:right w:w="100" w:type="dxa"/>
            </w:tcMar>
          </w:tcPr>
          <w:p w14:paraId="560AF98F" w14:textId="77777777" w:rsidR="00720726" w:rsidRDefault="00000000">
            <w:pPr>
              <w:spacing w:before="240" w:after="240" w:line="360" w:lineRule="auto"/>
              <w:jc w:val="center"/>
              <w:rPr>
                <w:rFonts w:ascii="Arial" w:eastAsia="Arial" w:hAnsi="Arial" w:cs="Arial"/>
                <w:sz w:val="24"/>
                <w:szCs w:val="24"/>
              </w:rPr>
            </w:pPr>
            <w:r>
              <w:rPr>
                <w:rFonts w:ascii="Arial" w:eastAsia="Arial" w:hAnsi="Arial" w:cs="Arial"/>
                <w:b/>
                <w:bCs/>
                <w:sz w:val="24"/>
                <w:szCs w:val="24"/>
              </w:rPr>
              <w:t>Standard Deviation</w:t>
            </w:r>
          </w:p>
        </w:tc>
      </w:tr>
      <w:tr w:rsidR="00720726" w14:paraId="5E2B70D7" w14:textId="77777777">
        <w:trPr>
          <w:trHeight w:val="500"/>
        </w:trPr>
        <w:tc>
          <w:tcPr>
            <w:tcW w:w="2030" w:type="dxa"/>
            <w:tcBorders>
              <w:top w:val="nil"/>
              <w:left w:val="nil"/>
              <w:bottom w:val="nil"/>
              <w:right w:val="nil"/>
            </w:tcBorders>
            <w:tcMar>
              <w:top w:w="100" w:type="dxa"/>
              <w:left w:w="100" w:type="dxa"/>
              <w:bottom w:w="100" w:type="dxa"/>
              <w:right w:w="100" w:type="dxa"/>
            </w:tcMar>
          </w:tcPr>
          <w:p w14:paraId="7C67A561"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CSR Perception</w:t>
            </w:r>
          </w:p>
        </w:tc>
        <w:tc>
          <w:tcPr>
            <w:tcW w:w="815" w:type="dxa"/>
            <w:tcBorders>
              <w:top w:val="nil"/>
              <w:left w:val="nil"/>
              <w:bottom w:val="nil"/>
              <w:right w:val="nil"/>
            </w:tcBorders>
            <w:tcMar>
              <w:top w:w="100" w:type="dxa"/>
              <w:left w:w="100" w:type="dxa"/>
              <w:bottom w:w="100" w:type="dxa"/>
              <w:right w:w="100" w:type="dxa"/>
            </w:tcMar>
          </w:tcPr>
          <w:p w14:paraId="2F407772"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3.98</w:t>
            </w:r>
          </w:p>
        </w:tc>
        <w:tc>
          <w:tcPr>
            <w:tcW w:w="2240" w:type="dxa"/>
            <w:tcBorders>
              <w:top w:val="nil"/>
              <w:left w:val="nil"/>
              <w:bottom w:val="nil"/>
              <w:right w:val="nil"/>
            </w:tcBorders>
            <w:tcMar>
              <w:top w:w="100" w:type="dxa"/>
              <w:left w:w="100" w:type="dxa"/>
              <w:bottom w:w="100" w:type="dxa"/>
              <w:right w:w="100" w:type="dxa"/>
            </w:tcMar>
          </w:tcPr>
          <w:p w14:paraId="573317F8"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0.72</w:t>
            </w:r>
          </w:p>
        </w:tc>
      </w:tr>
      <w:tr w:rsidR="00720726" w14:paraId="62780A02" w14:textId="77777777">
        <w:trPr>
          <w:trHeight w:val="500"/>
        </w:trPr>
        <w:tc>
          <w:tcPr>
            <w:tcW w:w="2030" w:type="dxa"/>
            <w:tcBorders>
              <w:top w:val="nil"/>
              <w:left w:val="nil"/>
              <w:bottom w:val="nil"/>
              <w:right w:val="nil"/>
            </w:tcBorders>
            <w:tcMar>
              <w:top w:w="100" w:type="dxa"/>
              <w:left w:w="100" w:type="dxa"/>
              <w:bottom w:w="100" w:type="dxa"/>
              <w:right w:w="100" w:type="dxa"/>
            </w:tcMar>
          </w:tcPr>
          <w:p w14:paraId="4394C996"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Brand Trust</w:t>
            </w:r>
          </w:p>
        </w:tc>
        <w:tc>
          <w:tcPr>
            <w:tcW w:w="815" w:type="dxa"/>
            <w:tcBorders>
              <w:top w:val="nil"/>
              <w:left w:val="nil"/>
              <w:bottom w:val="nil"/>
              <w:right w:val="nil"/>
            </w:tcBorders>
            <w:tcMar>
              <w:top w:w="100" w:type="dxa"/>
              <w:left w:w="100" w:type="dxa"/>
              <w:bottom w:w="100" w:type="dxa"/>
              <w:right w:w="100" w:type="dxa"/>
            </w:tcMar>
          </w:tcPr>
          <w:p w14:paraId="3E066565"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4.05</w:t>
            </w:r>
          </w:p>
        </w:tc>
        <w:tc>
          <w:tcPr>
            <w:tcW w:w="2240" w:type="dxa"/>
            <w:tcBorders>
              <w:top w:val="nil"/>
              <w:left w:val="nil"/>
              <w:bottom w:val="nil"/>
              <w:right w:val="nil"/>
            </w:tcBorders>
            <w:tcMar>
              <w:top w:w="100" w:type="dxa"/>
              <w:left w:w="100" w:type="dxa"/>
              <w:bottom w:w="100" w:type="dxa"/>
              <w:right w:w="100" w:type="dxa"/>
            </w:tcMar>
          </w:tcPr>
          <w:p w14:paraId="166CAEBB"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0.68</w:t>
            </w:r>
          </w:p>
        </w:tc>
      </w:tr>
      <w:tr w:rsidR="00720726" w14:paraId="703CAA69" w14:textId="77777777">
        <w:trPr>
          <w:trHeight w:val="500"/>
        </w:trPr>
        <w:tc>
          <w:tcPr>
            <w:tcW w:w="2030" w:type="dxa"/>
            <w:tcBorders>
              <w:top w:val="nil"/>
              <w:left w:val="nil"/>
              <w:bottom w:val="nil"/>
              <w:right w:val="nil"/>
            </w:tcBorders>
            <w:tcMar>
              <w:top w:w="100" w:type="dxa"/>
              <w:left w:w="100" w:type="dxa"/>
              <w:bottom w:w="100" w:type="dxa"/>
              <w:right w:w="100" w:type="dxa"/>
            </w:tcMar>
          </w:tcPr>
          <w:p w14:paraId="3224D2E8"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Consumer Loyalty</w:t>
            </w:r>
          </w:p>
        </w:tc>
        <w:tc>
          <w:tcPr>
            <w:tcW w:w="815" w:type="dxa"/>
            <w:tcBorders>
              <w:top w:val="nil"/>
              <w:left w:val="nil"/>
              <w:bottom w:val="nil"/>
              <w:right w:val="nil"/>
            </w:tcBorders>
            <w:tcMar>
              <w:top w:w="100" w:type="dxa"/>
              <w:left w:w="100" w:type="dxa"/>
              <w:bottom w:w="100" w:type="dxa"/>
              <w:right w:w="100" w:type="dxa"/>
            </w:tcMar>
          </w:tcPr>
          <w:p w14:paraId="49BBE280"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3.94</w:t>
            </w:r>
          </w:p>
        </w:tc>
        <w:tc>
          <w:tcPr>
            <w:tcW w:w="2240" w:type="dxa"/>
            <w:tcBorders>
              <w:top w:val="nil"/>
              <w:left w:val="nil"/>
              <w:bottom w:val="nil"/>
              <w:right w:val="nil"/>
            </w:tcBorders>
            <w:tcMar>
              <w:top w:w="100" w:type="dxa"/>
              <w:left w:w="100" w:type="dxa"/>
              <w:bottom w:w="100" w:type="dxa"/>
              <w:right w:w="100" w:type="dxa"/>
            </w:tcMar>
          </w:tcPr>
          <w:p w14:paraId="47ED28A2"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0.71</w:t>
            </w:r>
          </w:p>
        </w:tc>
      </w:tr>
      <w:tr w:rsidR="00720726" w14:paraId="37130195" w14:textId="77777777">
        <w:trPr>
          <w:trHeight w:val="500"/>
        </w:trPr>
        <w:tc>
          <w:tcPr>
            <w:tcW w:w="2030" w:type="dxa"/>
            <w:tcBorders>
              <w:top w:val="nil"/>
              <w:left w:val="nil"/>
              <w:bottom w:val="nil"/>
              <w:right w:val="nil"/>
            </w:tcBorders>
            <w:tcMar>
              <w:top w:w="100" w:type="dxa"/>
              <w:left w:w="100" w:type="dxa"/>
              <w:bottom w:w="100" w:type="dxa"/>
              <w:right w:w="100" w:type="dxa"/>
            </w:tcMar>
          </w:tcPr>
          <w:p w14:paraId="62627CFF"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Purchase Intention</w:t>
            </w:r>
          </w:p>
        </w:tc>
        <w:tc>
          <w:tcPr>
            <w:tcW w:w="815" w:type="dxa"/>
            <w:tcBorders>
              <w:top w:val="nil"/>
              <w:left w:val="nil"/>
              <w:bottom w:val="nil"/>
              <w:right w:val="nil"/>
            </w:tcBorders>
            <w:tcMar>
              <w:top w:w="100" w:type="dxa"/>
              <w:left w:w="100" w:type="dxa"/>
              <w:bottom w:w="100" w:type="dxa"/>
              <w:right w:w="100" w:type="dxa"/>
            </w:tcMar>
          </w:tcPr>
          <w:p w14:paraId="77623067"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4.12</w:t>
            </w:r>
          </w:p>
        </w:tc>
        <w:tc>
          <w:tcPr>
            <w:tcW w:w="2240" w:type="dxa"/>
            <w:tcBorders>
              <w:top w:val="nil"/>
              <w:left w:val="nil"/>
              <w:bottom w:val="nil"/>
              <w:right w:val="nil"/>
            </w:tcBorders>
            <w:tcMar>
              <w:top w:w="100" w:type="dxa"/>
              <w:left w:w="100" w:type="dxa"/>
              <w:bottom w:w="100" w:type="dxa"/>
              <w:right w:w="100" w:type="dxa"/>
            </w:tcMar>
          </w:tcPr>
          <w:p w14:paraId="0CE7E398"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0.75</w:t>
            </w:r>
          </w:p>
        </w:tc>
      </w:tr>
    </w:tbl>
    <w:p w14:paraId="6F306FEB"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The findings indicate that respondents generally held positive perceptions regarding CSR initiatives and their impact on trust and loyalty. Brand trust recorded a high mean </w:t>
      </w:r>
      <w:r>
        <w:rPr>
          <w:rFonts w:ascii="Arial" w:eastAsia="Arial" w:hAnsi="Arial" w:cs="Arial"/>
          <w:sz w:val="24"/>
          <w:szCs w:val="24"/>
        </w:rPr>
        <w:lastRenderedPageBreak/>
        <w:t>score (M = 4.05), suggesting that consumers perceive socially responsible retailers as more trustworthy. Similarly, consumer loyalty achieved a mean score of 3.94, indicating that CSR initiatives contribute positively to long-term customer relationships.</w:t>
      </w:r>
    </w:p>
    <w:p w14:paraId="30426C74" w14:textId="77777777" w:rsidR="00720726" w:rsidRDefault="00000000">
      <w:pPr>
        <w:pStyle w:val="Heading3"/>
        <w:keepNext w:val="0"/>
        <w:keepLines w:val="0"/>
        <w:spacing w:before="280" w:line="360" w:lineRule="auto"/>
        <w:jc w:val="both"/>
        <w:rPr>
          <w:sz w:val="26"/>
          <w:szCs w:val="26"/>
        </w:rPr>
      </w:pPr>
      <w:bookmarkStart w:id="109" w:name="_dufdtqfctglj" w:colFirst="0" w:colLast="0"/>
      <w:bookmarkEnd w:id="109"/>
      <w:r>
        <w:rPr>
          <w:sz w:val="26"/>
          <w:szCs w:val="26"/>
        </w:rPr>
        <w:t>Table 12 : Correlation Analysis</w:t>
      </w:r>
    </w:p>
    <w:tbl>
      <w:tblPr>
        <w:tblStyle w:val="ac"/>
        <w:tblW w:w="720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30"/>
        <w:gridCol w:w="1775"/>
        <w:gridCol w:w="1370"/>
        <w:gridCol w:w="2030"/>
      </w:tblGrid>
      <w:tr w:rsidR="00720726" w14:paraId="41B2D9F2" w14:textId="77777777">
        <w:trPr>
          <w:trHeight w:val="500"/>
        </w:trPr>
        <w:tc>
          <w:tcPr>
            <w:tcW w:w="2030" w:type="dxa"/>
            <w:tcBorders>
              <w:top w:val="nil"/>
              <w:left w:val="nil"/>
              <w:bottom w:val="nil"/>
              <w:right w:val="nil"/>
            </w:tcBorders>
            <w:tcMar>
              <w:top w:w="100" w:type="dxa"/>
              <w:left w:w="100" w:type="dxa"/>
              <w:bottom w:w="100" w:type="dxa"/>
              <w:right w:w="100" w:type="dxa"/>
            </w:tcMar>
          </w:tcPr>
          <w:p w14:paraId="7F476F22"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Variables</w:t>
            </w:r>
          </w:p>
        </w:tc>
        <w:tc>
          <w:tcPr>
            <w:tcW w:w="1775" w:type="dxa"/>
            <w:tcBorders>
              <w:top w:val="nil"/>
              <w:left w:val="nil"/>
              <w:bottom w:val="nil"/>
              <w:right w:val="nil"/>
            </w:tcBorders>
            <w:tcMar>
              <w:top w:w="100" w:type="dxa"/>
              <w:left w:w="100" w:type="dxa"/>
              <w:bottom w:w="100" w:type="dxa"/>
              <w:right w:w="100" w:type="dxa"/>
            </w:tcMar>
          </w:tcPr>
          <w:p w14:paraId="727F791D"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CSR Perception</w:t>
            </w:r>
          </w:p>
        </w:tc>
        <w:tc>
          <w:tcPr>
            <w:tcW w:w="1370" w:type="dxa"/>
            <w:tcBorders>
              <w:top w:val="nil"/>
              <w:left w:val="nil"/>
              <w:bottom w:val="nil"/>
              <w:right w:val="nil"/>
            </w:tcBorders>
            <w:tcMar>
              <w:top w:w="100" w:type="dxa"/>
              <w:left w:w="100" w:type="dxa"/>
              <w:bottom w:w="100" w:type="dxa"/>
              <w:right w:w="100" w:type="dxa"/>
            </w:tcMar>
          </w:tcPr>
          <w:p w14:paraId="1F5640DA"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Brand Trust</w:t>
            </w:r>
          </w:p>
        </w:tc>
        <w:tc>
          <w:tcPr>
            <w:tcW w:w="2030" w:type="dxa"/>
            <w:tcBorders>
              <w:top w:val="nil"/>
              <w:left w:val="nil"/>
              <w:bottom w:val="nil"/>
              <w:right w:val="nil"/>
            </w:tcBorders>
            <w:tcMar>
              <w:top w:w="100" w:type="dxa"/>
              <w:left w:w="100" w:type="dxa"/>
              <w:bottom w:w="100" w:type="dxa"/>
              <w:right w:w="100" w:type="dxa"/>
            </w:tcMar>
          </w:tcPr>
          <w:p w14:paraId="4B02B3A7"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Consumer Loyalty</w:t>
            </w:r>
          </w:p>
        </w:tc>
      </w:tr>
      <w:tr w:rsidR="00720726" w14:paraId="3E0E7271" w14:textId="77777777">
        <w:trPr>
          <w:trHeight w:val="500"/>
        </w:trPr>
        <w:tc>
          <w:tcPr>
            <w:tcW w:w="2030" w:type="dxa"/>
            <w:tcBorders>
              <w:top w:val="nil"/>
              <w:left w:val="nil"/>
              <w:bottom w:val="nil"/>
              <w:right w:val="nil"/>
            </w:tcBorders>
            <w:tcMar>
              <w:top w:w="100" w:type="dxa"/>
              <w:left w:w="100" w:type="dxa"/>
              <w:bottom w:w="100" w:type="dxa"/>
              <w:right w:w="100" w:type="dxa"/>
            </w:tcMar>
          </w:tcPr>
          <w:p w14:paraId="055FEF4F"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CSR Perception</w:t>
            </w:r>
          </w:p>
        </w:tc>
        <w:tc>
          <w:tcPr>
            <w:tcW w:w="1775" w:type="dxa"/>
            <w:tcBorders>
              <w:top w:val="nil"/>
              <w:left w:val="nil"/>
              <w:bottom w:val="nil"/>
              <w:right w:val="nil"/>
            </w:tcBorders>
            <w:tcMar>
              <w:top w:w="100" w:type="dxa"/>
              <w:left w:w="100" w:type="dxa"/>
              <w:bottom w:w="100" w:type="dxa"/>
              <w:right w:w="100" w:type="dxa"/>
            </w:tcMar>
          </w:tcPr>
          <w:p w14:paraId="4C6C6DBC"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1.000</w:t>
            </w:r>
          </w:p>
        </w:tc>
        <w:tc>
          <w:tcPr>
            <w:tcW w:w="1370" w:type="dxa"/>
            <w:tcBorders>
              <w:top w:val="nil"/>
              <w:left w:val="nil"/>
              <w:bottom w:val="nil"/>
              <w:right w:val="nil"/>
            </w:tcBorders>
            <w:tcMar>
              <w:top w:w="100" w:type="dxa"/>
              <w:left w:w="100" w:type="dxa"/>
              <w:bottom w:w="100" w:type="dxa"/>
              <w:right w:w="100" w:type="dxa"/>
            </w:tcMar>
          </w:tcPr>
          <w:p w14:paraId="76BA9C6F"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0.68</w:t>
            </w:r>
          </w:p>
        </w:tc>
        <w:tc>
          <w:tcPr>
            <w:tcW w:w="2030" w:type="dxa"/>
            <w:tcBorders>
              <w:top w:val="nil"/>
              <w:left w:val="nil"/>
              <w:bottom w:val="nil"/>
              <w:right w:val="nil"/>
            </w:tcBorders>
            <w:tcMar>
              <w:top w:w="100" w:type="dxa"/>
              <w:left w:w="100" w:type="dxa"/>
              <w:bottom w:w="100" w:type="dxa"/>
              <w:right w:w="100" w:type="dxa"/>
            </w:tcMar>
          </w:tcPr>
          <w:p w14:paraId="7010580A"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0.65</w:t>
            </w:r>
          </w:p>
        </w:tc>
      </w:tr>
      <w:tr w:rsidR="00720726" w14:paraId="6414143A" w14:textId="77777777">
        <w:trPr>
          <w:trHeight w:val="500"/>
        </w:trPr>
        <w:tc>
          <w:tcPr>
            <w:tcW w:w="2030" w:type="dxa"/>
            <w:tcBorders>
              <w:top w:val="nil"/>
              <w:left w:val="nil"/>
              <w:bottom w:val="nil"/>
              <w:right w:val="nil"/>
            </w:tcBorders>
            <w:tcMar>
              <w:top w:w="100" w:type="dxa"/>
              <w:left w:w="100" w:type="dxa"/>
              <w:bottom w:w="100" w:type="dxa"/>
              <w:right w:w="100" w:type="dxa"/>
            </w:tcMar>
          </w:tcPr>
          <w:p w14:paraId="4B4927CD"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Brand Trust</w:t>
            </w:r>
          </w:p>
        </w:tc>
        <w:tc>
          <w:tcPr>
            <w:tcW w:w="1775" w:type="dxa"/>
            <w:tcBorders>
              <w:top w:val="nil"/>
              <w:left w:val="nil"/>
              <w:bottom w:val="nil"/>
              <w:right w:val="nil"/>
            </w:tcBorders>
            <w:tcMar>
              <w:top w:w="100" w:type="dxa"/>
              <w:left w:w="100" w:type="dxa"/>
              <w:bottom w:w="100" w:type="dxa"/>
              <w:right w:w="100" w:type="dxa"/>
            </w:tcMar>
          </w:tcPr>
          <w:p w14:paraId="5088B9A4"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0.68</w:t>
            </w:r>
          </w:p>
        </w:tc>
        <w:tc>
          <w:tcPr>
            <w:tcW w:w="1370" w:type="dxa"/>
            <w:tcBorders>
              <w:top w:val="nil"/>
              <w:left w:val="nil"/>
              <w:bottom w:val="nil"/>
              <w:right w:val="nil"/>
            </w:tcBorders>
            <w:tcMar>
              <w:top w:w="100" w:type="dxa"/>
              <w:left w:w="100" w:type="dxa"/>
              <w:bottom w:w="100" w:type="dxa"/>
              <w:right w:w="100" w:type="dxa"/>
            </w:tcMar>
          </w:tcPr>
          <w:p w14:paraId="28469E13"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1.000</w:t>
            </w:r>
          </w:p>
        </w:tc>
        <w:tc>
          <w:tcPr>
            <w:tcW w:w="2030" w:type="dxa"/>
            <w:tcBorders>
              <w:top w:val="nil"/>
              <w:left w:val="nil"/>
              <w:bottom w:val="nil"/>
              <w:right w:val="nil"/>
            </w:tcBorders>
            <w:tcMar>
              <w:top w:w="100" w:type="dxa"/>
              <w:left w:w="100" w:type="dxa"/>
              <w:bottom w:w="100" w:type="dxa"/>
              <w:right w:w="100" w:type="dxa"/>
            </w:tcMar>
          </w:tcPr>
          <w:p w14:paraId="382AFC0B"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0.73</w:t>
            </w:r>
          </w:p>
        </w:tc>
      </w:tr>
      <w:tr w:rsidR="00720726" w14:paraId="3916A168" w14:textId="77777777">
        <w:trPr>
          <w:trHeight w:val="500"/>
        </w:trPr>
        <w:tc>
          <w:tcPr>
            <w:tcW w:w="2030" w:type="dxa"/>
            <w:tcBorders>
              <w:top w:val="nil"/>
              <w:left w:val="nil"/>
              <w:bottom w:val="nil"/>
              <w:right w:val="nil"/>
            </w:tcBorders>
            <w:tcMar>
              <w:top w:w="100" w:type="dxa"/>
              <w:left w:w="100" w:type="dxa"/>
              <w:bottom w:w="100" w:type="dxa"/>
              <w:right w:w="100" w:type="dxa"/>
            </w:tcMar>
          </w:tcPr>
          <w:p w14:paraId="7158D3ED"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Consumer Loyalty</w:t>
            </w:r>
          </w:p>
        </w:tc>
        <w:tc>
          <w:tcPr>
            <w:tcW w:w="1775" w:type="dxa"/>
            <w:tcBorders>
              <w:top w:val="nil"/>
              <w:left w:val="nil"/>
              <w:bottom w:val="nil"/>
              <w:right w:val="nil"/>
            </w:tcBorders>
            <w:tcMar>
              <w:top w:w="100" w:type="dxa"/>
              <w:left w:w="100" w:type="dxa"/>
              <w:bottom w:w="100" w:type="dxa"/>
              <w:right w:w="100" w:type="dxa"/>
            </w:tcMar>
          </w:tcPr>
          <w:p w14:paraId="77C729A6"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0.65</w:t>
            </w:r>
          </w:p>
        </w:tc>
        <w:tc>
          <w:tcPr>
            <w:tcW w:w="1370" w:type="dxa"/>
            <w:tcBorders>
              <w:top w:val="nil"/>
              <w:left w:val="nil"/>
              <w:bottom w:val="nil"/>
              <w:right w:val="nil"/>
            </w:tcBorders>
            <w:tcMar>
              <w:top w:w="100" w:type="dxa"/>
              <w:left w:w="100" w:type="dxa"/>
              <w:bottom w:w="100" w:type="dxa"/>
              <w:right w:w="100" w:type="dxa"/>
            </w:tcMar>
          </w:tcPr>
          <w:p w14:paraId="2E95BD91"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0.73</w:t>
            </w:r>
          </w:p>
        </w:tc>
        <w:tc>
          <w:tcPr>
            <w:tcW w:w="2030" w:type="dxa"/>
            <w:tcBorders>
              <w:top w:val="nil"/>
              <w:left w:val="nil"/>
              <w:bottom w:val="nil"/>
              <w:right w:val="nil"/>
            </w:tcBorders>
            <w:tcMar>
              <w:top w:w="100" w:type="dxa"/>
              <w:left w:w="100" w:type="dxa"/>
              <w:bottom w:w="100" w:type="dxa"/>
              <w:right w:w="100" w:type="dxa"/>
            </w:tcMar>
          </w:tcPr>
          <w:p w14:paraId="41962BAF"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1.000</w:t>
            </w:r>
          </w:p>
        </w:tc>
      </w:tr>
    </w:tbl>
    <w:p w14:paraId="343ADB8A"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correlation analysis shows a strong positive relationship between CSR perception and brand trust (r = 0.68). A strong positive relationship was also found between brand trust and consumer loyalty (r = 0.73). These findings suggest that consumers who perceive supermarkets as socially responsible are more likely to trust the brand and remain loyal to it.</w:t>
      </w:r>
    </w:p>
    <w:p w14:paraId="5104FEEB" w14:textId="77777777" w:rsidR="00720726" w:rsidRDefault="00000000">
      <w:pPr>
        <w:pStyle w:val="Heading3"/>
        <w:keepNext w:val="0"/>
        <w:keepLines w:val="0"/>
        <w:spacing w:before="280" w:line="360" w:lineRule="auto"/>
        <w:jc w:val="both"/>
        <w:rPr>
          <w:sz w:val="26"/>
          <w:szCs w:val="26"/>
        </w:rPr>
      </w:pPr>
      <w:bookmarkStart w:id="110" w:name="_2lujh9hue4g5" w:colFirst="0" w:colLast="0"/>
      <w:bookmarkEnd w:id="110"/>
      <w:r>
        <w:rPr>
          <w:sz w:val="26"/>
          <w:szCs w:val="26"/>
        </w:rPr>
        <w:t>Table 13 : Regression Analysis Results</w:t>
      </w:r>
    </w:p>
    <w:tbl>
      <w:tblPr>
        <w:tblStyle w:val="ad"/>
        <w:tblW w:w="51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70"/>
        <w:gridCol w:w="1010"/>
        <w:gridCol w:w="890"/>
        <w:gridCol w:w="950"/>
      </w:tblGrid>
      <w:tr w:rsidR="00720726" w14:paraId="29F8106E" w14:textId="77777777">
        <w:trPr>
          <w:trHeight w:val="500"/>
        </w:trPr>
        <w:tc>
          <w:tcPr>
            <w:tcW w:w="2270" w:type="dxa"/>
            <w:tcBorders>
              <w:top w:val="nil"/>
              <w:left w:val="nil"/>
              <w:bottom w:val="nil"/>
              <w:right w:val="nil"/>
            </w:tcBorders>
            <w:tcMar>
              <w:top w:w="100" w:type="dxa"/>
              <w:left w:w="100" w:type="dxa"/>
              <w:bottom w:w="100" w:type="dxa"/>
              <w:right w:w="100" w:type="dxa"/>
            </w:tcMar>
          </w:tcPr>
          <w:p w14:paraId="47B469A4"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Independent Variable</w:t>
            </w:r>
          </w:p>
        </w:tc>
        <w:tc>
          <w:tcPr>
            <w:tcW w:w="1010" w:type="dxa"/>
            <w:tcBorders>
              <w:top w:val="nil"/>
              <w:left w:val="nil"/>
              <w:bottom w:val="nil"/>
              <w:right w:val="nil"/>
            </w:tcBorders>
            <w:tcMar>
              <w:top w:w="100" w:type="dxa"/>
              <w:left w:w="100" w:type="dxa"/>
              <w:bottom w:w="100" w:type="dxa"/>
              <w:right w:w="100" w:type="dxa"/>
            </w:tcMar>
          </w:tcPr>
          <w:p w14:paraId="6F45A479"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Beta (β)</w:t>
            </w:r>
          </w:p>
        </w:tc>
        <w:tc>
          <w:tcPr>
            <w:tcW w:w="890" w:type="dxa"/>
            <w:tcBorders>
              <w:top w:val="nil"/>
              <w:left w:val="nil"/>
              <w:bottom w:val="nil"/>
              <w:right w:val="nil"/>
            </w:tcBorders>
            <w:tcMar>
              <w:top w:w="100" w:type="dxa"/>
              <w:left w:w="100" w:type="dxa"/>
              <w:bottom w:w="100" w:type="dxa"/>
              <w:right w:w="100" w:type="dxa"/>
            </w:tcMar>
          </w:tcPr>
          <w:p w14:paraId="5DC3A560"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t-value</w:t>
            </w:r>
          </w:p>
        </w:tc>
        <w:tc>
          <w:tcPr>
            <w:tcW w:w="950" w:type="dxa"/>
            <w:tcBorders>
              <w:top w:val="nil"/>
              <w:left w:val="nil"/>
              <w:bottom w:val="nil"/>
              <w:right w:val="nil"/>
            </w:tcBorders>
            <w:tcMar>
              <w:top w:w="100" w:type="dxa"/>
              <w:left w:w="100" w:type="dxa"/>
              <w:bottom w:w="100" w:type="dxa"/>
              <w:right w:w="100" w:type="dxa"/>
            </w:tcMar>
          </w:tcPr>
          <w:p w14:paraId="35AC319C"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Sig. (p)</w:t>
            </w:r>
          </w:p>
        </w:tc>
      </w:tr>
      <w:tr w:rsidR="00720726" w14:paraId="63123726" w14:textId="77777777">
        <w:trPr>
          <w:trHeight w:val="500"/>
        </w:trPr>
        <w:tc>
          <w:tcPr>
            <w:tcW w:w="2270" w:type="dxa"/>
            <w:tcBorders>
              <w:top w:val="nil"/>
              <w:left w:val="nil"/>
              <w:bottom w:val="nil"/>
              <w:right w:val="nil"/>
            </w:tcBorders>
            <w:tcMar>
              <w:top w:w="100" w:type="dxa"/>
              <w:left w:w="100" w:type="dxa"/>
              <w:bottom w:w="100" w:type="dxa"/>
              <w:right w:w="100" w:type="dxa"/>
            </w:tcMar>
          </w:tcPr>
          <w:p w14:paraId="2C9B0EE0"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CSR Perception</w:t>
            </w:r>
          </w:p>
        </w:tc>
        <w:tc>
          <w:tcPr>
            <w:tcW w:w="1010" w:type="dxa"/>
            <w:tcBorders>
              <w:top w:val="nil"/>
              <w:left w:val="nil"/>
              <w:bottom w:val="nil"/>
              <w:right w:val="nil"/>
            </w:tcBorders>
            <w:tcMar>
              <w:top w:w="100" w:type="dxa"/>
              <w:left w:w="100" w:type="dxa"/>
              <w:bottom w:w="100" w:type="dxa"/>
              <w:right w:w="100" w:type="dxa"/>
            </w:tcMar>
          </w:tcPr>
          <w:p w14:paraId="539662B8"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0.42</w:t>
            </w:r>
          </w:p>
        </w:tc>
        <w:tc>
          <w:tcPr>
            <w:tcW w:w="890" w:type="dxa"/>
            <w:tcBorders>
              <w:top w:val="nil"/>
              <w:left w:val="nil"/>
              <w:bottom w:val="nil"/>
              <w:right w:val="nil"/>
            </w:tcBorders>
            <w:tcMar>
              <w:top w:w="100" w:type="dxa"/>
              <w:left w:w="100" w:type="dxa"/>
              <w:bottom w:w="100" w:type="dxa"/>
              <w:right w:w="100" w:type="dxa"/>
            </w:tcMar>
          </w:tcPr>
          <w:p w14:paraId="4B56014A"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7.84</w:t>
            </w:r>
          </w:p>
        </w:tc>
        <w:tc>
          <w:tcPr>
            <w:tcW w:w="950" w:type="dxa"/>
            <w:tcBorders>
              <w:top w:val="nil"/>
              <w:left w:val="nil"/>
              <w:bottom w:val="nil"/>
              <w:right w:val="nil"/>
            </w:tcBorders>
            <w:tcMar>
              <w:top w:w="100" w:type="dxa"/>
              <w:left w:w="100" w:type="dxa"/>
              <w:bottom w:w="100" w:type="dxa"/>
              <w:right w:w="100" w:type="dxa"/>
            </w:tcMar>
          </w:tcPr>
          <w:p w14:paraId="3D7C428F"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0.000</w:t>
            </w:r>
          </w:p>
        </w:tc>
      </w:tr>
      <w:tr w:rsidR="00720726" w14:paraId="562BD80A" w14:textId="77777777">
        <w:trPr>
          <w:trHeight w:val="500"/>
        </w:trPr>
        <w:tc>
          <w:tcPr>
            <w:tcW w:w="2270" w:type="dxa"/>
            <w:tcBorders>
              <w:top w:val="nil"/>
              <w:left w:val="nil"/>
              <w:bottom w:val="nil"/>
              <w:right w:val="nil"/>
            </w:tcBorders>
            <w:tcMar>
              <w:top w:w="100" w:type="dxa"/>
              <w:left w:w="100" w:type="dxa"/>
              <w:bottom w:w="100" w:type="dxa"/>
              <w:right w:w="100" w:type="dxa"/>
            </w:tcMar>
          </w:tcPr>
          <w:p w14:paraId="4CDA866B"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lastRenderedPageBreak/>
              <w:t>Brand Trust</w:t>
            </w:r>
          </w:p>
        </w:tc>
        <w:tc>
          <w:tcPr>
            <w:tcW w:w="1010" w:type="dxa"/>
            <w:tcBorders>
              <w:top w:val="nil"/>
              <w:left w:val="nil"/>
              <w:bottom w:val="nil"/>
              <w:right w:val="nil"/>
            </w:tcBorders>
            <w:tcMar>
              <w:top w:w="100" w:type="dxa"/>
              <w:left w:w="100" w:type="dxa"/>
              <w:bottom w:w="100" w:type="dxa"/>
              <w:right w:w="100" w:type="dxa"/>
            </w:tcMar>
          </w:tcPr>
          <w:p w14:paraId="76639A00"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0.47</w:t>
            </w:r>
          </w:p>
        </w:tc>
        <w:tc>
          <w:tcPr>
            <w:tcW w:w="890" w:type="dxa"/>
            <w:tcBorders>
              <w:top w:val="nil"/>
              <w:left w:val="nil"/>
              <w:bottom w:val="nil"/>
              <w:right w:val="nil"/>
            </w:tcBorders>
            <w:tcMar>
              <w:top w:w="100" w:type="dxa"/>
              <w:left w:w="100" w:type="dxa"/>
              <w:bottom w:w="100" w:type="dxa"/>
              <w:right w:w="100" w:type="dxa"/>
            </w:tcMar>
          </w:tcPr>
          <w:p w14:paraId="6617D7C0"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8.63</w:t>
            </w:r>
          </w:p>
        </w:tc>
        <w:tc>
          <w:tcPr>
            <w:tcW w:w="950" w:type="dxa"/>
            <w:tcBorders>
              <w:top w:val="nil"/>
              <w:left w:val="nil"/>
              <w:bottom w:val="nil"/>
              <w:right w:val="nil"/>
            </w:tcBorders>
            <w:tcMar>
              <w:top w:w="100" w:type="dxa"/>
              <w:left w:w="100" w:type="dxa"/>
              <w:bottom w:w="100" w:type="dxa"/>
              <w:right w:w="100" w:type="dxa"/>
            </w:tcMar>
          </w:tcPr>
          <w:p w14:paraId="3BBCD45D"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0.000</w:t>
            </w:r>
          </w:p>
        </w:tc>
      </w:tr>
    </w:tbl>
    <w:p w14:paraId="6B0BD2D1"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Model Summary: R² = 0.61, Adjusted R² = 0.59, p &lt; 0.001</w:t>
      </w:r>
    </w:p>
    <w:p w14:paraId="3FA39E4D"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regression results indicate that both CSR perception and brand trust significantly influence consumer loyalty and purchase intention. Brand trust emerged as the strongest predictor (β = 0.47, p &lt; 0.001), demonstrating that trust plays a crucial mediating role between CSR activities and consumer behavioural outcomes.</w:t>
      </w:r>
    </w:p>
    <w:p w14:paraId="02FCCBEA" w14:textId="77777777" w:rsidR="00720726" w:rsidRDefault="00000000">
      <w:pPr>
        <w:pStyle w:val="Heading3"/>
        <w:keepNext w:val="0"/>
        <w:keepLines w:val="0"/>
        <w:spacing w:before="280" w:line="360" w:lineRule="auto"/>
        <w:jc w:val="both"/>
        <w:rPr>
          <w:sz w:val="26"/>
          <w:szCs w:val="26"/>
        </w:rPr>
      </w:pPr>
      <w:bookmarkStart w:id="111" w:name="_8yghcnme0cp2" w:colFirst="0" w:colLast="0"/>
      <w:bookmarkEnd w:id="111"/>
      <w:r>
        <w:rPr>
          <w:sz w:val="26"/>
          <w:szCs w:val="26"/>
        </w:rPr>
        <w:t>Answer to Research Question 4</w:t>
      </w:r>
    </w:p>
    <w:p w14:paraId="37277E9D"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findings demonstrate that CSR strategies positively affect consumer trust and loyalty within the retail sector. Consumers are more likely to trust and remain loyal to retailers that actively engage in socially responsible practices. The strong correlations and significant regression coefficients confirm that CSR initiatives contribute to building trust, which subsequently strengthens customer loyalty and purchase intention. Therefore, CSR represents an important strategic tool for developing long-term consumer relationships within the retail industry.</w:t>
      </w:r>
    </w:p>
    <w:p w14:paraId="01312622" w14:textId="77777777" w:rsidR="00720726" w:rsidRDefault="00000000">
      <w:pPr>
        <w:spacing w:before="240" w:after="240" w:line="360" w:lineRule="auto"/>
        <w:jc w:val="both"/>
        <w:rPr>
          <w:rFonts w:ascii="Arial" w:eastAsia="Arial" w:hAnsi="Arial" w:cs="Arial"/>
          <w:b/>
          <w:bCs/>
          <w:sz w:val="24"/>
          <w:szCs w:val="24"/>
        </w:rPr>
      </w:pPr>
      <w:r>
        <w:rPr>
          <w:rFonts w:ascii="Arial" w:eastAsia="Arial" w:hAnsi="Arial" w:cs="Arial"/>
          <w:b/>
          <w:bCs/>
          <w:sz w:val="24"/>
          <w:szCs w:val="24"/>
        </w:rPr>
        <w:t>Demographic Analysis</w:t>
      </w:r>
    </w:p>
    <w:p w14:paraId="55908958"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Further demographic analysis is undertaken to assess the variations in CSR responsiveness among gender, age and income categories. Variations between demographic segments are identified by comparing data and presenting them graphically. This analysis will give us a better understanding of the influence of consumer characteristics on attitudes towards CSR and consumer behaviour (Sekaran &amp; Bougie, 2021).</w:t>
      </w:r>
    </w:p>
    <w:p w14:paraId="24F1C824"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analysis chapter is organized by each research question and descriptive statistics are used to address each research question and is consistent with methodology and theoretical framework.</w:t>
      </w:r>
    </w:p>
    <w:p w14:paraId="6A97E3D8" w14:textId="77777777" w:rsidR="00720726" w:rsidRDefault="00000000">
      <w:pPr>
        <w:pStyle w:val="Heading2"/>
      </w:pPr>
      <w:bookmarkStart w:id="112" w:name="_zgwsx74ny564" w:colFirst="0" w:colLast="0"/>
      <w:bookmarkEnd w:id="112"/>
      <w:r>
        <w:t>4.3 Dataset Description</w:t>
      </w:r>
    </w:p>
    <w:p w14:paraId="600CBC58"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In this section, we provide a comprehensive description of the data used for the present study, including sample size, response rate and respondent demographics. A </w:t>
      </w:r>
      <w:r>
        <w:rPr>
          <w:rFonts w:ascii="Arial" w:eastAsia="Arial" w:hAnsi="Arial" w:cs="Arial"/>
          <w:sz w:val="24"/>
          <w:szCs w:val="24"/>
        </w:rPr>
        <w:lastRenderedPageBreak/>
        <w:t>detailed description of the dataset is crucial for demonstrating the validity and reliability of the research results, as well as the representativeness of the sample (Hair et al., 2021). This study used data from an online survey of customers of Sainsbury's regarding their perception of Corporate Social Responsibility (CSR) and its impact on purchasing behaviour.</w:t>
      </w:r>
    </w:p>
    <w:p w14:paraId="63A264DE"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dataset is cross-sectional, with data collected at one point in time. This design is common in consumer research because it allows for analysis of patterns and associations among variables, such as perceptions of CSR, brand trust and purchase intent (Saunders et al., 2022). The dataset was pre-processed to clean the data by eliminating those with missing or inconsistent responses, ensuring data integrity. This is essential in quantitative research to avoid bias and improve data integrity (Field, 2020).</w:t>
      </w:r>
    </w:p>
    <w:p w14:paraId="68047DE0" w14:textId="77777777" w:rsidR="00720726" w:rsidRDefault="00000000">
      <w:pPr>
        <w:keepNext/>
        <w:keepLines/>
        <w:spacing w:before="160" w:after="80"/>
        <w:rPr>
          <w:rFonts w:ascii="Arial" w:eastAsia="Arial" w:hAnsi="Arial" w:cs="Arial"/>
          <w:b/>
          <w:bCs/>
          <w:color w:val="000000"/>
          <w:sz w:val="24"/>
          <w:szCs w:val="24"/>
        </w:rPr>
      </w:pPr>
      <w:bookmarkStart w:id="113" w:name="_i6wxs9bhh6kw" w:colFirst="0" w:colLast="0"/>
      <w:bookmarkEnd w:id="113"/>
      <w:r>
        <w:rPr>
          <w:rFonts w:ascii="Arial" w:eastAsia="Arial" w:hAnsi="Arial" w:cs="Arial"/>
          <w:b/>
          <w:bCs/>
          <w:color w:val="000000"/>
          <w:sz w:val="24"/>
          <w:szCs w:val="24"/>
        </w:rPr>
        <w:t>4.3.1 Sample Size and Response Rate</w:t>
      </w:r>
    </w:p>
    <w:p w14:paraId="0F5DE36E"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initial survey response was 312 responses, collected through an online survey tool via digital media. Following a review for completeness and consistency, 300 responses were analysed, giving a high usable response rate of 96%. This response rate is deemed satisfactory in survey studies and ensures the statistical validity of the results (Hair et al., 2021).</w:t>
      </w:r>
    </w:p>
    <w:p w14:paraId="1FEA9967"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The 300 respondents constitute a sufficient sample for performing complex statistical analyses like correlation and regression, as it surpasses the minimum recommended sample size for multivariate analysis (Pallant, 2020). Moreover, the larger sample size increases the representativeness of the sample and reduces sampling bias, hence increasing the reliability of the study (Bryman, 2021).</w:t>
      </w:r>
    </w:p>
    <w:p w14:paraId="060BBEDE" w14:textId="77777777" w:rsidR="00720726" w:rsidRDefault="00000000">
      <w:pPr>
        <w:pStyle w:val="Heading2"/>
      </w:pPr>
      <w:bookmarkStart w:id="114" w:name="_6r12pvek1dfc" w:colFirst="0" w:colLast="0"/>
      <w:bookmarkEnd w:id="114"/>
      <w:r>
        <w:t>4.3.2 Demographics of the respondents</w:t>
      </w:r>
    </w:p>
    <w:p w14:paraId="0BA5F1D7" w14:textId="77777777" w:rsidR="00720726"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Demographic profiling of respondents is important for understanding consumer behaviour patterns and exploring differences across segments (Kotler et al., 2022). In this study, the sample's demographic profile is provided in Table 10</w:t>
      </w:r>
    </w:p>
    <w:p w14:paraId="783B7881" w14:textId="77777777" w:rsidR="00720726" w:rsidRDefault="00000000">
      <w:pPr>
        <w:keepNext/>
        <w:pBdr>
          <w:top w:val="nil"/>
          <w:left w:val="nil"/>
          <w:bottom w:val="nil"/>
          <w:right w:val="nil"/>
          <w:between w:val="nil"/>
        </w:pBdr>
        <w:spacing w:after="200" w:line="480" w:lineRule="auto"/>
        <w:rPr>
          <w:rFonts w:ascii="Arial" w:eastAsia="Arial" w:hAnsi="Arial" w:cs="Arial"/>
          <w:b/>
          <w:bCs/>
          <w:i/>
          <w:iCs/>
          <w:color w:val="1F497D"/>
          <w:sz w:val="24"/>
          <w:szCs w:val="24"/>
        </w:rPr>
      </w:pPr>
      <w:bookmarkStart w:id="115" w:name="_o8yijlnq6o7m" w:colFirst="0" w:colLast="0"/>
      <w:bookmarkEnd w:id="115"/>
      <w:r>
        <w:rPr>
          <w:rFonts w:ascii="Arial" w:eastAsia="Arial" w:hAnsi="Arial" w:cs="Arial"/>
          <w:b/>
          <w:bCs/>
          <w:i/>
          <w:iCs/>
          <w:color w:val="1F497D"/>
          <w:sz w:val="24"/>
          <w:szCs w:val="24"/>
        </w:rPr>
        <w:t>Table 8.: Demographic Characteristics of Respondents</w:t>
      </w:r>
    </w:p>
    <w:tbl>
      <w:tblPr>
        <w:tblStyle w:val="ae"/>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4"/>
        <w:gridCol w:w="2254"/>
        <w:gridCol w:w="2254"/>
        <w:gridCol w:w="2254"/>
      </w:tblGrid>
      <w:tr w:rsidR="00720726" w14:paraId="5E24103E" w14:textId="77777777">
        <w:tc>
          <w:tcPr>
            <w:tcW w:w="2254" w:type="dxa"/>
          </w:tcPr>
          <w:p w14:paraId="1C8ADDEF"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Variable</w:t>
            </w:r>
          </w:p>
        </w:tc>
        <w:tc>
          <w:tcPr>
            <w:tcW w:w="2254" w:type="dxa"/>
          </w:tcPr>
          <w:p w14:paraId="1670D10D"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Category</w:t>
            </w:r>
          </w:p>
        </w:tc>
        <w:tc>
          <w:tcPr>
            <w:tcW w:w="2254" w:type="dxa"/>
          </w:tcPr>
          <w:p w14:paraId="01108E2F"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Frequency</w:t>
            </w:r>
          </w:p>
        </w:tc>
        <w:tc>
          <w:tcPr>
            <w:tcW w:w="2254" w:type="dxa"/>
          </w:tcPr>
          <w:p w14:paraId="732B45DC"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Percentage</w:t>
            </w:r>
          </w:p>
        </w:tc>
      </w:tr>
      <w:tr w:rsidR="00720726" w14:paraId="29E04A92" w14:textId="77777777">
        <w:tc>
          <w:tcPr>
            <w:tcW w:w="2254" w:type="dxa"/>
          </w:tcPr>
          <w:p w14:paraId="2890018D"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lastRenderedPageBreak/>
              <w:t>Gender</w:t>
            </w:r>
          </w:p>
        </w:tc>
        <w:tc>
          <w:tcPr>
            <w:tcW w:w="2254" w:type="dxa"/>
          </w:tcPr>
          <w:p w14:paraId="37984EB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Male</w:t>
            </w:r>
          </w:p>
        </w:tc>
        <w:tc>
          <w:tcPr>
            <w:tcW w:w="2254" w:type="dxa"/>
          </w:tcPr>
          <w:p w14:paraId="690FDFA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144</w:t>
            </w:r>
          </w:p>
        </w:tc>
        <w:tc>
          <w:tcPr>
            <w:tcW w:w="2254" w:type="dxa"/>
          </w:tcPr>
          <w:p w14:paraId="2103CD1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48%</w:t>
            </w:r>
          </w:p>
        </w:tc>
      </w:tr>
      <w:tr w:rsidR="00720726" w14:paraId="175B71C3" w14:textId="77777777">
        <w:tc>
          <w:tcPr>
            <w:tcW w:w="2254" w:type="dxa"/>
          </w:tcPr>
          <w:p w14:paraId="1C997AA3" w14:textId="77777777" w:rsidR="00720726" w:rsidRDefault="00720726">
            <w:pPr>
              <w:spacing w:line="360" w:lineRule="auto"/>
              <w:jc w:val="both"/>
              <w:rPr>
                <w:rFonts w:ascii="Arial" w:eastAsia="Arial" w:hAnsi="Arial" w:cs="Arial"/>
                <w:b/>
                <w:bCs/>
                <w:sz w:val="24"/>
                <w:szCs w:val="24"/>
              </w:rPr>
            </w:pPr>
          </w:p>
        </w:tc>
        <w:tc>
          <w:tcPr>
            <w:tcW w:w="2254" w:type="dxa"/>
          </w:tcPr>
          <w:p w14:paraId="4702908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Female</w:t>
            </w:r>
          </w:p>
        </w:tc>
        <w:tc>
          <w:tcPr>
            <w:tcW w:w="2254" w:type="dxa"/>
          </w:tcPr>
          <w:p w14:paraId="486ECE8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156</w:t>
            </w:r>
          </w:p>
        </w:tc>
        <w:tc>
          <w:tcPr>
            <w:tcW w:w="2254" w:type="dxa"/>
          </w:tcPr>
          <w:p w14:paraId="5DF4E754"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52%</w:t>
            </w:r>
          </w:p>
        </w:tc>
      </w:tr>
      <w:tr w:rsidR="00720726" w14:paraId="56508147" w14:textId="77777777">
        <w:tc>
          <w:tcPr>
            <w:tcW w:w="2254" w:type="dxa"/>
          </w:tcPr>
          <w:p w14:paraId="2A27FD10"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Age</w:t>
            </w:r>
          </w:p>
        </w:tc>
        <w:tc>
          <w:tcPr>
            <w:tcW w:w="2254" w:type="dxa"/>
          </w:tcPr>
          <w:p w14:paraId="5B2423A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18–25</w:t>
            </w:r>
          </w:p>
        </w:tc>
        <w:tc>
          <w:tcPr>
            <w:tcW w:w="2254" w:type="dxa"/>
          </w:tcPr>
          <w:p w14:paraId="1477C90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102</w:t>
            </w:r>
          </w:p>
        </w:tc>
        <w:tc>
          <w:tcPr>
            <w:tcW w:w="2254" w:type="dxa"/>
          </w:tcPr>
          <w:p w14:paraId="52670C5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34%</w:t>
            </w:r>
          </w:p>
        </w:tc>
      </w:tr>
      <w:tr w:rsidR="00720726" w14:paraId="3CD41913" w14:textId="77777777">
        <w:tc>
          <w:tcPr>
            <w:tcW w:w="2254" w:type="dxa"/>
          </w:tcPr>
          <w:p w14:paraId="697C5250" w14:textId="77777777" w:rsidR="00720726" w:rsidRDefault="00720726">
            <w:pPr>
              <w:spacing w:line="360" w:lineRule="auto"/>
              <w:jc w:val="both"/>
              <w:rPr>
                <w:rFonts w:ascii="Arial" w:eastAsia="Arial" w:hAnsi="Arial" w:cs="Arial"/>
                <w:b/>
                <w:bCs/>
                <w:sz w:val="24"/>
                <w:szCs w:val="24"/>
              </w:rPr>
            </w:pPr>
          </w:p>
        </w:tc>
        <w:tc>
          <w:tcPr>
            <w:tcW w:w="2254" w:type="dxa"/>
          </w:tcPr>
          <w:p w14:paraId="616EB8E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26–35</w:t>
            </w:r>
          </w:p>
        </w:tc>
        <w:tc>
          <w:tcPr>
            <w:tcW w:w="2254" w:type="dxa"/>
          </w:tcPr>
          <w:p w14:paraId="6FB76634"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120</w:t>
            </w:r>
          </w:p>
        </w:tc>
        <w:tc>
          <w:tcPr>
            <w:tcW w:w="2254" w:type="dxa"/>
          </w:tcPr>
          <w:p w14:paraId="69D8CA4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40%</w:t>
            </w:r>
          </w:p>
        </w:tc>
      </w:tr>
      <w:tr w:rsidR="00720726" w14:paraId="32355FEA" w14:textId="77777777">
        <w:tc>
          <w:tcPr>
            <w:tcW w:w="2254" w:type="dxa"/>
          </w:tcPr>
          <w:p w14:paraId="2FD2B23D" w14:textId="77777777" w:rsidR="00720726" w:rsidRDefault="00720726">
            <w:pPr>
              <w:spacing w:line="360" w:lineRule="auto"/>
              <w:jc w:val="both"/>
              <w:rPr>
                <w:rFonts w:ascii="Arial" w:eastAsia="Arial" w:hAnsi="Arial" w:cs="Arial"/>
                <w:b/>
                <w:bCs/>
                <w:sz w:val="24"/>
                <w:szCs w:val="24"/>
              </w:rPr>
            </w:pPr>
          </w:p>
        </w:tc>
        <w:tc>
          <w:tcPr>
            <w:tcW w:w="2254" w:type="dxa"/>
          </w:tcPr>
          <w:p w14:paraId="410C9AD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36–45</w:t>
            </w:r>
          </w:p>
        </w:tc>
        <w:tc>
          <w:tcPr>
            <w:tcW w:w="2254" w:type="dxa"/>
          </w:tcPr>
          <w:p w14:paraId="1B9BF07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54</w:t>
            </w:r>
          </w:p>
        </w:tc>
        <w:tc>
          <w:tcPr>
            <w:tcW w:w="2254" w:type="dxa"/>
          </w:tcPr>
          <w:p w14:paraId="4863A81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18%</w:t>
            </w:r>
          </w:p>
        </w:tc>
      </w:tr>
      <w:tr w:rsidR="00720726" w14:paraId="2CE27002" w14:textId="77777777">
        <w:tc>
          <w:tcPr>
            <w:tcW w:w="2254" w:type="dxa"/>
          </w:tcPr>
          <w:p w14:paraId="44AD65C1" w14:textId="77777777" w:rsidR="00720726" w:rsidRDefault="00720726">
            <w:pPr>
              <w:spacing w:line="360" w:lineRule="auto"/>
              <w:jc w:val="both"/>
              <w:rPr>
                <w:rFonts w:ascii="Arial" w:eastAsia="Arial" w:hAnsi="Arial" w:cs="Arial"/>
                <w:b/>
                <w:bCs/>
                <w:sz w:val="24"/>
                <w:szCs w:val="24"/>
              </w:rPr>
            </w:pPr>
          </w:p>
        </w:tc>
        <w:tc>
          <w:tcPr>
            <w:tcW w:w="2254" w:type="dxa"/>
          </w:tcPr>
          <w:p w14:paraId="4B257D79"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46+</w:t>
            </w:r>
          </w:p>
        </w:tc>
        <w:tc>
          <w:tcPr>
            <w:tcW w:w="2254" w:type="dxa"/>
          </w:tcPr>
          <w:p w14:paraId="784B550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24</w:t>
            </w:r>
          </w:p>
        </w:tc>
        <w:tc>
          <w:tcPr>
            <w:tcW w:w="2254" w:type="dxa"/>
          </w:tcPr>
          <w:p w14:paraId="7D0B12F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8%</w:t>
            </w:r>
          </w:p>
        </w:tc>
      </w:tr>
      <w:tr w:rsidR="00720726" w14:paraId="01FF63A9" w14:textId="77777777">
        <w:tc>
          <w:tcPr>
            <w:tcW w:w="2254" w:type="dxa"/>
          </w:tcPr>
          <w:p w14:paraId="05EFC915"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Income</w:t>
            </w:r>
          </w:p>
        </w:tc>
        <w:tc>
          <w:tcPr>
            <w:tcW w:w="2254" w:type="dxa"/>
          </w:tcPr>
          <w:p w14:paraId="5B01E1A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Low</w:t>
            </w:r>
          </w:p>
        </w:tc>
        <w:tc>
          <w:tcPr>
            <w:tcW w:w="2254" w:type="dxa"/>
          </w:tcPr>
          <w:p w14:paraId="72399D6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90</w:t>
            </w:r>
          </w:p>
        </w:tc>
        <w:tc>
          <w:tcPr>
            <w:tcW w:w="2254" w:type="dxa"/>
          </w:tcPr>
          <w:p w14:paraId="27584FF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30%</w:t>
            </w:r>
          </w:p>
        </w:tc>
      </w:tr>
      <w:tr w:rsidR="00720726" w14:paraId="71806855" w14:textId="77777777">
        <w:tc>
          <w:tcPr>
            <w:tcW w:w="2254" w:type="dxa"/>
          </w:tcPr>
          <w:p w14:paraId="3D9F0A16" w14:textId="77777777" w:rsidR="00720726" w:rsidRDefault="00720726">
            <w:pPr>
              <w:spacing w:line="360" w:lineRule="auto"/>
              <w:jc w:val="both"/>
              <w:rPr>
                <w:rFonts w:ascii="Arial" w:eastAsia="Arial" w:hAnsi="Arial" w:cs="Arial"/>
                <w:sz w:val="24"/>
                <w:szCs w:val="24"/>
              </w:rPr>
            </w:pPr>
          </w:p>
        </w:tc>
        <w:tc>
          <w:tcPr>
            <w:tcW w:w="2254" w:type="dxa"/>
          </w:tcPr>
          <w:p w14:paraId="1952B09C"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Medium</w:t>
            </w:r>
          </w:p>
        </w:tc>
        <w:tc>
          <w:tcPr>
            <w:tcW w:w="2254" w:type="dxa"/>
          </w:tcPr>
          <w:p w14:paraId="144E072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150</w:t>
            </w:r>
          </w:p>
        </w:tc>
        <w:tc>
          <w:tcPr>
            <w:tcW w:w="2254" w:type="dxa"/>
          </w:tcPr>
          <w:p w14:paraId="1074F24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50%</w:t>
            </w:r>
          </w:p>
        </w:tc>
      </w:tr>
      <w:tr w:rsidR="00720726" w14:paraId="7B114372" w14:textId="77777777">
        <w:tc>
          <w:tcPr>
            <w:tcW w:w="2254" w:type="dxa"/>
          </w:tcPr>
          <w:p w14:paraId="662F8873" w14:textId="77777777" w:rsidR="00720726" w:rsidRDefault="00720726">
            <w:pPr>
              <w:spacing w:line="360" w:lineRule="auto"/>
              <w:jc w:val="both"/>
              <w:rPr>
                <w:rFonts w:ascii="Arial" w:eastAsia="Arial" w:hAnsi="Arial" w:cs="Arial"/>
                <w:sz w:val="24"/>
                <w:szCs w:val="24"/>
              </w:rPr>
            </w:pPr>
          </w:p>
        </w:tc>
        <w:tc>
          <w:tcPr>
            <w:tcW w:w="2254" w:type="dxa"/>
          </w:tcPr>
          <w:p w14:paraId="4892A27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High</w:t>
            </w:r>
          </w:p>
        </w:tc>
        <w:tc>
          <w:tcPr>
            <w:tcW w:w="2254" w:type="dxa"/>
          </w:tcPr>
          <w:p w14:paraId="3C70287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60</w:t>
            </w:r>
          </w:p>
        </w:tc>
        <w:tc>
          <w:tcPr>
            <w:tcW w:w="2254" w:type="dxa"/>
          </w:tcPr>
          <w:p w14:paraId="35CC5623"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20%</w:t>
            </w:r>
          </w:p>
        </w:tc>
      </w:tr>
    </w:tbl>
    <w:p w14:paraId="6055583C"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There is a relatively equal balance between the number of female (52%) and male (48%) respondents. This ensures that the results are not skewed in favour of either gender, and represent an overall consumer view.</w:t>
      </w:r>
    </w:p>
    <w:p w14:paraId="4526DE52"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When it comes to age, most respondents are in the 18-35 age group (74%), suggesting a good representation of young consumers. This is significant, given that recent studies indicate that young consumers are more conscious of CSR issues and more likely to embrace ethical corporate practices (White et al., 2021). The relatively lower representation of respondents aged 46 and older (8%) suggests a lower level of involvement of older consumers, which may impact the results.</w:t>
      </w:r>
    </w:p>
    <w:p w14:paraId="7F2BD889" w14:textId="77777777" w:rsidR="00720726" w:rsidRDefault="00000000">
      <w:pPr>
        <w:spacing w:before="280" w:after="280" w:line="360" w:lineRule="auto"/>
        <w:jc w:val="both"/>
        <w:rPr>
          <w:rFonts w:ascii="Times New Roman" w:eastAsia="Times New Roman" w:hAnsi="Times New Roman" w:cs="Times New Roman"/>
          <w:sz w:val="24"/>
          <w:szCs w:val="24"/>
        </w:rPr>
      </w:pPr>
      <w:r>
        <w:rPr>
          <w:rFonts w:ascii="Arial" w:eastAsia="Arial" w:hAnsi="Arial" w:cs="Arial"/>
          <w:sz w:val="24"/>
          <w:szCs w:val="24"/>
        </w:rPr>
        <w:t xml:space="preserve">When it comes to income, 50% of the sample has medium income, 30% lower income and 20% higher income. </w:t>
      </w:r>
    </w:p>
    <w:p w14:paraId="501EFD6C" w14:textId="77777777" w:rsidR="00720726" w:rsidRDefault="00000000">
      <w:pPr>
        <w:keepNext/>
        <w:spacing w:before="280" w:after="280" w:line="240" w:lineRule="auto"/>
        <w:jc w:val="center"/>
      </w:pPr>
      <w:r>
        <w:rPr>
          <w:rFonts w:ascii="Times New Roman" w:eastAsia="Times New Roman" w:hAnsi="Times New Roman" w:cs="Times New Roman"/>
          <w:noProof/>
          <w:sz w:val="24"/>
          <w:szCs w:val="24"/>
        </w:rPr>
        <w:lastRenderedPageBreak/>
        <w:drawing>
          <wp:inline distT="0" distB="0" distL="0" distR="0" wp14:anchorId="04E94CDF" wp14:editId="0536C608">
            <wp:extent cx="3671559" cy="2447571"/>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3671559" cy="2447571"/>
                    </a:xfrm>
                    <a:prstGeom prst="rect">
                      <a:avLst/>
                    </a:prstGeom>
                    <a:ln/>
                  </pic:spPr>
                </pic:pic>
              </a:graphicData>
            </a:graphic>
          </wp:inline>
        </w:drawing>
      </w:r>
    </w:p>
    <w:p w14:paraId="4FED099A" w14:textId="77777777" w:rsidR="00720726" w:rsidRDefault="00000000">
      <w:pPr>
        <w:pBdr>
          <w:top w:val="nil"/>
          <w:left w:val="nil"/>
          <w:bottom w:val="nil"/>
          <w:right w:val="nil"/>
          <w:between w:val="nil"/>
        </w:pBdr>
        <w:spacing w:after="200" w:line="480" w:lineRule="auto"/>
        <w:jc w:val="center"/>
        <w:rPr>
          <w:rFonts w:ascii="Arial" w:eastAsia="Arial" w:hAnsi="Arial" w:cs="Arial"/>
          <w:b/>
          <w:bCs/>
          <w:i/>
          <w:iCs/>
          <w:color w:val="1F497D"/>
          <w:sz w:val="24"/>
          <w:szCs w:val="24"/>
        </w:rPr>
      </w:pPr>
      <w:bookmarkStart w:id="116" w:name="_7r8ue5gn88z9" w:colFirst="0" w:colLast="0"/>
      <w:bookmarkEnd w:id="116"/>
      <w:r>
        <w:rPr>
          <w:rFonts w:ascii="Arial" w:eastAsia="Arial" w:hAnsi="Arial" w:cs="Arial"/>
          <w:b/>
          <w:bCs/>
          <w:i/>
          <w:iCs/>
          <w:color w:val="1F497D"/>
          <w:sz w:val="24"/>
          <w:szCs w:val="24"/>
        </w:rPr>
        <w:t>Figure 10.Age distribution of respondents highlighting the dominance of younger age groups (18–35) (Field, 2020).</w:t>
      </w:r>
    </w:p>
    <w:p w14:paraId="53962BF7" w14:textId="77777777" w:rsidR="00720726" w:rsidRDefault="00000000">
      <w:pPr>
        <w:keepNext/>
        <w:keepLines/>
        <w:spacing w:before="160" w:after="80" w:line="360" w:lineRule="auto"/>
        <w:jc w:val="both"/>
        <w:rPr>
          <w:rFonts w:ascii="Arial" w:eastAsia="Arial" w:hAnsi="Arial" w:cs="Arial"/>
          <w:b/>
          <w:bCs/>
          <w:color w:val="000000"/>
          <w:sz w:val="24"/>
          <w:szCs w:val="24"/>
        </w:rPr>
      </w:pPr>
      <w:bookmarkStart w:id="117" w:name="_4yopfj21qbln" w:colFirst="0" w:colLast="0"/>
      <w:bookmarkEnd w:id="117"/>
      <w:r>
        <w:rPr>
          <w:rFonts w:ascii="Arial" w:eastAsia="Arial" w:hAnsi="Arial" w:cs="Arial"/>
          <w:b/>
          <w:bCs/>
          <w:color w:val="000000"/>
          <w:sz w:val="24"/>
          <w:szCs w:val="24"/>
        </w:rPr>
        <w:t>4.4 Analytical Approach</w:t>
      </w:r>
    </w:p>
    <w:p w14:paraId="43218676" w14:textId="77777777" w:rsidR="00720726"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This research uses a systematic quantitative analysis approach to investigate the link between Corporate Social Responsibility (CSR) and purchase intentions in the case of Sainsbury's. The data are analysed using statistical analysis software, namely SPSS and Microsoft Excel, which are well known for their ability to manage large data sets and conduct sophisticated statistical analyses (Hair et al., 2021).</w:t>
      </w:r>
    </w:p>
    <w:p w14:paraId="78302DA3" w14:textId="77777777" w:rsidR="00720726"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The initial phase of statistical analysis involves descriptive statistics, such as mean, median and standard deviation. These measures offer an initial snapshot of the data, summarising key measures such as perception of CSR, brand trust and purchase intention. This type of analysis assists in detecting broad patterns and trends and provides insights into how the respondents may behave (Field, 2020).</w:t>
      </w:r>
    </w:p>
    <w:p w14:paraId="6B53BF12" w14:textId="77777777" w:rsidR="00720726"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The next step is reliability testing, using Cronbach's Alpha, to determine the consistency of multi-item scales. A Cronbach’s Alpha score of 0.70 or higher is deemed satisfactory, suggesting the survey items are consistent in measuring the constructs (Pallant, 2020). Reliability must be established before conducting other statistical tests. Next, correlation analysis using Pearson's correlation coefficient (r) is used to assess the relationships between the variables. This allows researchers to determine if CSR awareness is positively related to brand trust and purchase intention, offering initial insights into the relationships between variables (Saunders et al., 2022).</w:t>
      </w:r>
    </w:p>
    <w:p w14:paraId="06D6154C" w14:textId="77777777" w:rsidR="00720726"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lastRenderedPageBreak/>
        <w:t>Lastly, the study uses multiple regression analysis to examine the predictive effect of independent variables (CSR perception and brand trust) on the dependent variable, purchase intention. The regression analysis helps to better understand causality and the impact of each variable on consumer behaviour (Bryman, 2021).</w:t>
      </w:r>
    </w:p>
    <w:p w14:paraId="5DFBAC8B" w14:textId="77777777" w:rsidR="00720726" w:rsidRDefault="00000000">
      <w:pPr>
        <w:spacing w:before="160" w:after="80" w:line="360" w:lineRule="auto"/>
        <w:jc w:val="both"/>
        <w:rPr>
          <w:rFonts w:ascii="Arial" w:eastAsia="Arial" w:hAnsi="Arial" w:cs="Arial"/>
          <w:sz w:val="24"/>
          <w:szCs w:val="24"/>
        </w:rPr>
      </w:pPr>
      <w:r>
        <w:rPr>
          <w:rFonts w:ascii="Arial" w:eastAsia="Arial" w:hAnsi="Arial" w:cs="Arial"/>
          <w:sz w:val="24"/>
          <w:szCs w:val="24"/>
        </w:rPr>
        <w:t>In summary, this analysis process provides a thorough, rigorous and objective analysis of the data, consistent with the research goals, and adds to the validity of the research findings.</w:t>
      </w:r>
    </w:p>
    <w:p w14:paraId="1B174995" w14:textId="77777777" w:rsidR="00720726" w:rsidRDefault="00000000">
      <w:pPr>
        <w:pStyle w:val="Heading2"/>
      </w:pPr>
      <w:bookmarkStart w:id="118" w:name="_ot5i5082s0w6" w:colFirst="0" w:colLast="0"/>
      <w:bookmarkEnd w:id="118"/>
      <w:r>
        <w:t>4.5 CSR Variables and Descriptive Statistics</w:t>
      </w:r>
    </w:p>
    <w:p w14:paraId="676EA0FC" w14:textId="77777777" w:rsidR="00720726" w:rsidRDefault="00000000">
      <w:pPr>
        <w:pStyle w:val="Heading3"/>
      </w:pPr>
      <w:bookmarkStart w:id="119" w:name="_pzx9chop1ek4" w:colFirst="0" w:colLast="0"/>
      <w:bookmarkEnd w:id="119"/>
      <w:r>
        <w:t>4.5.1 CSR Variables Influencing Purchase Decisions</w:t>
      </w:r>
    </w:p>
    <w:p w14:paraId="1A22C4CE"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Based on the CSR dimensions identified in Chapter 2 (e.g., environmental sustainability, ethical sourcing, community engagement, and employee welfare), respondents were asked to rate the extent to which each CSR initiative influences their purchase decisions at Sainsbury’s using a 5-point Likert scale (1 = Very Weak, 5 = Very High).</w:t>
      </w:r>
    </w:p>
    <w:p w14:paraId="42E4E3D5" w14:textId="77777777" w:rsidR="00720726" w:rsidRDefault="00000000">
      <w:pPr>
        <w:pStyle w:val="Heading3"/>
      </w:pPr>
      <w:bookmarkStart w:id="120" w:name="_owrqzl333kia" w:colFirst="0" w:colLast="0"/>
      <w:bookmarkEnd w:id="120"/>
      <w:r>
        <w:t>4.5.2 Descriptive Statistics</w:t>
      </w:r>
    </w:p>
    <w:p w14:paraId="620549C7"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Following the variable-level analysis, descriptive statistics were used to summarise the central tendency and variability of key constructs.</w:t>
      </w:r>
    </w:p>
    <w:p w14:paraId="7FEC4A9B" w14:textId="77777777" w:rsidR="00720726" w:rsidRDefault="00000000">
      <w:pPr>
        <w:keepNext/>
        <w:pBdr>
          <w:top w:val="nil"/>
          <w:left w:val="nil"/>
          <w:bottom w:val="nil"/>
          <w:right w:val="nil"/>
          <w:between w:val="nil"/>
        </w:pBdr>
        <w:spacing w:after="200" w:line="480" w:lineRule="auto"/>
        <w:rPr>
          <w:rFonts w:ascii="Arial" w:eastAsia="Arial" w:hAnsi="Arial" w:cs="Arial"/>
          <w:b/>
          <w:bCs/>
          <w:i/>
          <w:iCs/>
          <w:color w:val="1F497D"/>
          <w:sz w:val="24"/>
          <w:szCs w:val="24"/>
        </w:rPr>
      </w:pPr>
      <w:bookmarkStart w:id="121" w:name="_lhlimud7onbd" w:colFirst="0" w:colLast="0"/>
      <w:bookmarkEnd w:id="121"/>
      <w:r>
        <w:rPr>
          <w:rFonts w:ascii="Arial" w:eastAsia="Arial" w:hAnsi="Arial" w:cs="Arial"/>
          <w:b/>
          <w:bCs/>
          <w:i/>
          <w:iCs/>
          <w:color w:val="1F497D"/>
          <w:sz w:val="24"/>
          <w:szCs w:val="24"/>
        </w:rPr>
        <w:t>Table 10: Descriptive Statistics</w:t>
      </w:r>
    </w:p>
    <w:tbl>
      <w:tblPr>
        <w:tblStyle w:val="af"/>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5"/>
        <w:gridCol w:w="3005"/>
        <w:gridCol w:w="3006"/>
      </w:tblGrid>
      <w:tr w:rsidR="00720726" w14:paraId="2757F6D9" w14:textId="77777777">
        <w:tc>
          <w:tcPr>
            <w:tcW w:w="3005" w:type="dxa"/>
          </w:tcPr>
          <w:p w14:paraId="26F70B0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Variable</w:t>
            </w:r>
          </w:p>
        </w:tc>
        <w:tc>
          <w:tcPr>
            <w:tcW w:w="3005" w:type="dxa"/>
          </w:tcPr>
          <w:p w14:paraId="6E6FDD8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Mean</w:t>
            </w:r>
          </w:p>
        </w:tc>
        <w:tc>
          <w:tcPr>
            <w:tcW w:w="3006" w:type="dxa"/>
          </w:tcPr>
          <w:p w14:paraId="549305F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Std. Deviation</w:t>
            </w:r>
          </w:p>
        </w:tc>
      </w:tr>
      <w:tr w:rsidR="00720726" w14:paraId="3CAB9CFD" w14:textId="77777777">
        <w:tc>
          <w:tcPr>
            <w:tcW w:w="3005" w:type="dxa"/>
          </w:tcPr>
          <w:p w14:paraId="74A5A5D1"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CSR Perception</w:t>
            </w:r>
          </w:p>
        </w:tc>
        <w:tc>
          <w:tcPr>
            <w:tcW w:w="3005" w:type="dxa"/>
          </w:tcPr>
          <w:p w14:paraId="11D72B9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3.98</w:t>
            </w:r>
          </w:p>
        </w:tc>
        <w:tc>
          <w:tcPr>
            <w:tcW w:w="3006" w:type="dxa"/>
          </w:tcPr>
          <w:p w14:paraId="06B08359"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0.72</w:t>
            </w:r>
          </w:p>
        </w:tc>
      </w:tr>
      <w:tr w:rsidR="00720726" w14:paraId="4D7AF8E0" w14:textId="77777777">
        <w:tc>
          <w:tcPr>
            <w:tcW w:w="3005" w:type="dxa"/>
          </w:tcPr>
          <w:p w14:paraId="1EB25D78"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Brand Trust</w:t>
            </w:r>
          </w:p>
        </w:tc>
        <w:tc>
          <w:tcPr>
            <w:tcW w:w="3005" w:type="dxa"/>
          </w:tcPr>
          <w:p w14:paraId="3BB889FA"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4.05</w:t>
            </w:r>
          </w:p>
        </w:tc>
        <w:tc>
          <w:tcPr>
            <w:tcW w:w="3006" w:type="dxa"/>
          </w:tcPr>
          <w:p w14:paraId="31921D4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0.68</w:t>
            </w:r>
          </w:p>
        </w:tc>
      </w:tr>
      <w:tr w:rsidR="00720726" w14:paraId="041EDDEB" w14:textId="77777777">
        <w:tc>
          <w:tcPr>
            <w:tcW w:w="3005" w:type="dxa"/>
          </w:tcPr>
          <w:p w14:paraId="01AA846B"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Purchase Intention</w:t>
            </w:r>
          </w:p>
        </w:tc>
        <w:tc>
          <w:tcPr>
            <w:tcW w:w="3005" w:type="dxa"/>
          </w:tcPr>
          <w:p w14:paraId="05A6A496"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4.12</w:t>
            </w:r>
          </w:p>
        </w:tc>
        <w:tc>
          <w:tcPr>
            <w:tcW w:w="3006" w:type="dxa"/>
          </w:tcPr>
          <w:p w14:paraId="6504CC4F"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0.75</w:t>
            </w:r>
          </w:p>
        </w:tc>
      </w:tr>
    </w:tbl>
    <w:p w14:paraId="2F3421CA" w14:textId="77777777" w:rsidR="00720726" w:rsidRDefault="00000000">
      <w:pPr>
        <w:spacing w:before="280" w:after="280" w:line="360" w:lineRule="auto"/>
        <w:jc w:val="both"/>
        <w:rPr>
          <w:rFonts w:ascii="Arial" w:eastAsia="Arial" w:hAnsi="Arial" w:cs="Arial"/>
          <w:b/>
          <w:bCs/>
          <w:sz w:val="24"/>
          <w:szCs w:val="24"/>
        </w:rPr>
      </w:pPr>
      <w:r>
        <w:rPr>
          <w:rFonts w:ascii="Arial" w:eastAsia="Arial" w:hAnsi="Arial" w:cs="Arial"/>
          <w:b/>
          <w:bCs/>
          <w:sz w:val="24"/>
          <w:szCs w:val="24"/>
        </w:rPr>
        <w:t xml:space="preserve">Explanation: </w:t>
      </w:r>
      <w:r>
        <w:rPr>
          <w:rFonts w:ascii="Arial" w:eastAsia="Arial" w:hAnsi="Arial" w:cs="Arial"/>
          <w:sz w:val="24"/>
          <w:szCs w:val="24"/>
        </w:rPr>
        <w:t xml:space="preserve">The descriptive statistics indicate generally positive consumer evaluations of Sainsbury's CSR activities. The mean score for CSR Perception (M = 3.98) suggests that respondents positively assessed the retailer's environmental sustainability, ethical sourcing, community support, and employee welfare initiatives presented in Table 9. Brand Trust recorded a slightly higher mean score (M = 4.05), indicating that respondents generally considered Sainsbury's to be a trustworthy retailer. Purchase Intention achieved the highest mean score (M = 4.12), suggesting </w:t>
      </w:r>
      <w:r>
        <w:rPr>
          <w:rFonts w:ascii="Arial" w:eastAsia="Arial" w:hAnsi="Arial" w:cs="Arial"/>
          <w:sz w:val="24"/>
          <w:szCs w:val="24"/>
        </w:rPr>
        <w:lastRenderedPageBreak/>
        <w:t>a strong likelihood that consumers would purchase from a retailer perceived as socially responsible. The relatively low standard deviations indicate a reasonable level of agreement among respondents regarding these perceptions..</w:t>
      </w:r>
    </w:p>
    <w:p w14:paraId="7E011CAB" w14:textId="77777777" w:rsidR="00720726" w:rsidRDefault="00000000">
      <w:pPr>
        <w:pStyle w:val="Heading2"/>
      </w:pPr>
      <w:bookmarkStart w:id="122" w:name="_h3dimfiuap20" w:colFirst="0" w:colLast="0"/>
      <w:bookmarkEnd w:id="122"/>
      <w:r>
        <w:t>4.6 Regression Analysis and Interpretation</w:t>
      </w:r>
    </w:p>
    <w:p w14:paraId="0BB5C79B"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To examine the predictive relationship between CSR and consumer behaviour, a multiple regression analysis was conducted.</w:t>
      </w:r>
    </w:p>
    <w:p w14:paraId="57B745F8" w14:textId="77777777" w:rsidR="00720726" w:rsidRDefault="00000000">
      <w:pPr>
        <w:spacing w:before="280" w:after="280" w:line="360" w:lineRule="auto"/>
        <w:jc w:val="both"/>
        <w:rPr>
          <w:rFonts w:ascii="Arial" w:eastAsia="Arial" w:hAnsi="Arial" w:cs="Arial"/>
          <w:b/>
          <w:bCs/>
          <w:sz w:val="24"/>
          <w:szCs w:val="24"/>
        </w:rPr>
      </w:pPr>
      <w:r>
        <w:rPr>
          <w:rFonts w:ascii="Arial" w:eastAsia="Arial" w:hAnsi="Arial" w:cs="Arial"/>
          <w:b/>
          <w:bCs/>
          <w:sz w:val="24"/>
          <w:szCs w:val="24"/>
        </w:rPr>
        <w:t>Regression Model</w:t>
      </w:r>
    </w:p>
    <w:p w14:paraId="2D0431EE"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Purchase Intention = β</w:t>
      </w:r>
      <w:r>
        <w:rPr>
          <w:rFonts w:ascii="Cambria Math" w:eastAsia="Cambria Math" w:hAnsi="Cambria Math" w:cs="Cambria Math"/>
          <w:sz w:val="24"/>
          <w:szCs w:val="24"/>
        </w:rPr>
        <w:t>₀</w:t>
      </w:r>
      <w:r>
        <w:rPr>
          <w:rFonts w:ascii="Arial" w:eastAsia="Arial" w:hAnsi="Arial" w:cs="Arial"/>
          <w:sz w:val="24"/>
          <w:szCs w:val="24"/>
        </w:rPr>
        <w:t xml:space="preserve"> + β</w:t>
      </w:r>
      <w:r>
        <w:rPr>
          <w:rFonts w:ascii="Cambria Math" w:eastAsia="Cambria Math" w:hAnsi="Cambria Math" w:cs="Cambria Math"/>
          <w:sz w:val="24"/>
          <w:szCs w:val="24"/>
        </w:rPr>
        <w:t>₁</w:t>
      </w:r>
      <w:r>
        <w:rPr>
          <w:rFonts w:ascii="Arial" w:eastAsia="Arial" w:hAnsi="Arial" w:cs="Arial"/>
          <w:sz w:val="24"/>
          <w:szCs w:val="24"/>
        </w:rPr>
        <w:t>(CSR Perception) + β</w:t>
      </w:r>
      <w:r>
        <w:rPr>
          <w:rFonts w:ascii="Cambria Math" w:eastAsia="Cambria Math" w:hAnsi="Cambria Math" w:cs="Cambria Math"/>
          <w:sz w:val="24"/>
          <w:szCs w:val="24"/>
        </w:rPr>
        <w:t>₂</w:t>
      </w:r>
      <w:r>
        <w:rPr>
          <w:rFonts w:ascii="Arial" w:eastAsia="Arial" w:hAnsi="Arial" w:cs="Arial"/>
          <w:sz w:val="24"/>
          <w:szCs w:val="24"/>
        </w:rPr>
        <w:t>(Brand Trust) + ε</w:t>
      </w:r>
    </w:p>
    <w:p w14:paraId="14FC5473" w14:textId="77777777" w:rsidR="00720726" w:rsidRDefault="00000000">
      <w:pPr>
        <w:keepNext/>
        <w:pBdr>
          <w:top w:val="nil"/>
          <w:left w:val="nil"/>
          <w:bottom w:val="nil"/>
          <w:right w:val="nil"/>
          <w:between w:val="nil"/>
        </w:pBdr>
        <w:spacing w:after="200" w:line="480" w:lineRule="auto"/>
        <w:rPr>
          <w:rFonts w:ascii="Arial" w:eastAsia="Arial" w:hAnsi="Arial" w:cs="Arial"/>
          <w:b/>
          <w:bCs/>
          <w:i/>
          <w:iCs/>
          <w:color w:val="1F497D"/>
          <w:sz w:val="24"/>
          <w:szCs w:val="24"/>
        </w:rPr>
      </w:pPr>
      <w:bookmarkStart w:id="123" w:name="_hge1emo1duql" w:colFirst="0" w:colLast="0"/>
      <w:bookmarkEnd w:id="123"/>
      <w:r>
        <w:rPr>
          <w:rFonts w:ascii="Arial" w:eastAsia="Arial" w:hAnsi="Arial" w:cs="Arial"/>
          <w:b/>
          <w:bCs/>
          <w:i/>
          <w:iCs/>
          <w:color w:val="1F497D"/>
          <w:sz w:val="24"/>
          <w:szCs w:val="24"/>
        </w:rPr>
        <w:t>Table 11: Regression Results</w:t>
      </w:r>
    </w:p>
    <w:tbl>
      <w:tblPr>
        <w:tblStyle w:val="af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5"/>
        <w:gridCol w:w="3005"/>
        <w:gridCol w:w="3006"/>
      </w:tblGrid>
      <w:tr w:rsidR="00720726" w14:paraId="658BFF0F" w14:textId="77777777">
        <w:tc>
          <w:tcPr>
            <w:tcW w:w="3005" w:type="dxa"/>
          </w:tcPr>
          <w:p w14:paraId="2F408337"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Variable</w:t>
            </w:r>
          </w:p>
        </w:tc>
        <w:tc>
          <w:tcPr>
            <w:tcW w:w="3005" w:type="dxa"/>
          </w:tcPr>
          <w:p w14:paraId="58F69ABD"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Beta (β)</w:t>
            </w:r>
          </w:p>
        </w:tc>
        <w:tc>
          <w:tcPr>
            <w:tcW w:w="3006" w:type="dxa"/>
          </w:tcPr>
          <w:p w14:paraId="079B22A0" w14:textId="77777777" w:rsidR="00720726" w:rsidRDefault="00000000">
            <w:pPr>
              <w:spacing w:line="360" w:lineRule="auto"/>
              <w:jc w:val="both"/>
              <w:rPr>
                <w:rFonts w:ascii="Arial" w:eastAsia="Arial" w:hAnsi="Arial" w:cs="Arial"/>
                <w:b/>
                <w:bCs/>
                <w:sz w:val="24"/>
                <w:szCs w:val="24"/>
              </w:rPr>
            </w:pPr>
            <w:r>
              <w:rPr>
                <w:rFonts w:ascii="Arial" w:eastAsia="Arial" w:hAnsi="Arial" w:cs="Arial"/>
                <w:b/>
                <w:bCs/>
                <w:sz w:val="24"/>
                <w:szCs w:val="24"/>
              </w:rPr>
              <w:t>Sig. (p-value)</w:t>
            </w:r>
          </w:p>
        </w:tc>
      </w:tr>
      <w:tr w:rsidR="00720726" w14:paraId="1B55915D" w14:textId="77777777">
        <w:tc>
          <w:tcPr>
            <w:tcW w:w="3005" w:type="dxa"/>
          </w:tcPr>
          <w:p w14:paraId="46C4BF5C"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CSR Perception</w:t>
            </w:r>
          </w:p>
        </w:tc>
        <w:tc>
          <w:tcPr>
            <w:tcW w:w="3005" w:type="dxa"/>
          </w:tcPr>
          <w:p w14:paraId="04EE0F42"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0.42</w:t>
            </w:r>
          </w:p>
        </w:tc>
        <w:tc>
          <w:tcPr>
            <w:tcW w:w="3006" w:type="dxa"/>
          </w:tcPr>
          <w:p w14:paraId="3BCBFA7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0.000</w:t>
            </w:r>
          </w:p>
        </w:tc>
      </w:tr>
      <w:tr w:rsidR="00720726" w14:paraId="62B12752" w14:textId="77777777">
        <w:tc>
          <w:tcPr>
            <w:tcW w:w="3005" w:type="dxa"/>
          </w:tcPr>
          <w:p w14:paraId="3CB64B3E"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Brand Trust</w:t>
            </w:r>
          </w:p>
        </w:tc>
        <w:tc>
          <w:tcPr>
            <w:tcW w:w="3005" w:type="dxa"/>
          </w:tcPr>
          <w:p w14:paraId="387154A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0.51</w:t>
            </w:r>
          </w:p>
        </w:tc>
        <w:tc>
          <w:tcPr>
            <w:tcW w:w="3006" w:type="dxa"/>
          </w:tcPr>
          <w:p w14:paraId="6ECA51C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0.000</w:t>
            </w:r>
          </w:p>
        </w:tc>
      </w:tr>
      <w:tr w:rsidR="00720726" w14:paraId="525B7E42" w14:textId="77777777">
        <w:tc>
          <w:tcPr>
            <w:tcW w:w="3005" w:type="dxa"/>
          </w:tcPr>
          <w:p w14:paraId="413E6CC0"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R²</w:t>
            </w:r>
          </w:p>
        </w:tc>
        <w:tc>
          <w:tcPr>
            <w:tcW w:w="3005" w:type="dxa"/>
          </w:tcPr>
          <w:p w14:paraId="12DED42D" w14:textId="77777777" w:rsidR="00720726" w:rsidRDefault="00000000">
            <w:pPr>
              <w:spacing w:line="360" w:lineRule="auto"/>
              <w:jc w:val="both"/>
              <w:rPr>
                <w:rFonts w:ascii="Arial" w:eastAsia="Arial" w:hAnsi="Arial" w:cs="Arial"/>
                <w:sz w:val="24"/>
                <w:szCs w:val="24"/>
              </w:rPr>
            </w:pPr>
            <w:r>
              <w:rPr>
                <w:rFonts w:ascii="Arial" w:eastAsia="Arial" w:hAnsi="Arial" w:cs="Arial"/>
                <w:sz w:val="24"/>
                <w:szCs w:val="24"/>
              </w:rPr>
              <w:t>0.62</w:t>
            </w:r>
          </w:p>
        </w:tc>
        <w:tc>
          <w:tcPr>
            <w:tcW w:w="3006" w:type="dxa"/>
          </w:tcPr>
          <w:p w14:paraId="097E6E56" w14:textId="77777777" w:rsidR="00720726" w:rsidRDefault="00720726">
            <w:pPr>
              <w:spacing w:line="360" w:lineRule="auto"/>
              <w:jc w:val="both"/>
              <w:rPr>
                <w:rFonts w:ascii="Arial" w:eastAsia="Arial" w:hAnsi="Arial" w:cs="Arial"/>
                <w:sz w:val="24"/>
                <w:szCs w:val="24"/>
              </w:rPr>
            </w:pPr>
          </w:p>
        </w:tc>
      </w:tr>
    </w:tbl>
    <w:p w14:paraId="1B07797A" w14:textId="77777777" w:rsidR="00720726" w:rsidRDefault="00000000">
      <w:pPr>
        <w:spacing w:before="280" w:after="280" w:line="360" w:lineRule="auto"/>
        <w:jc w:val="both"/>
        <w:rPr>
          <w:rFonts w:ascii="Arial" w:eastAsia="Arial" w:hAnsi="Arial" w:cs="Arial"/>
          <w:b/>
          <w:bCs/>
          <w:sz w:val="24"/>
          <w:szCs w:val="24"/>
        </w:rPr>
      </w:pPr>
      <w:r>
        <w:rPr>
          <w:rFonts w:ascii="Arial" w:eastAsia="Arial" w:hAnsi="Arial" w:cs="Arial"/>
          <w:b/>
          <w:bCs/>
          <w:sz w:val="24"/>
          <w:szCs w:val="24"/>
        </w:rPr>
        <w:t>Interpretation</w:t>
      </w:r>
    </w:p>
    <w:p w14:paraId="08CC0C73"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regression results show that both CSR perception and brand trust have a statistically significant positive impact on purchase intention (p &lt; 0.05). Brand trust has a slightly stronger effect (β = 0.51) compared to CSR perception (β = 0.42), indicating that trust plays a crucial mediating role.</w:t>
      </w:r>
    </w:p>
    <w:p w14:paraId="17064410"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R² value of 0.62 suggests that 62% of the variation in purchase intention is explained by CSR perception and brand trust, indicating a strong model fit.</w:t>
      </w:r>
    </w:p>
    <w:p w14:paraId="666DDAB3"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These findings confirm that CSR initiatives influence consumer behaviour both directly and indirectly through trust, supporting the study’s research objectives and hypotheses.</w:t>
      </w:r>
    </w:p>
    <w:p w14:paraId="1F6BEA68" w14:textId="77777777" w:rsidR="00720726" w:rsidRDefault="00000000">
      <w:pPr>
        <w:pStyle w:val="Heading2"/>
      </w:pPr>
      <w:bookmarkStart w:id="124" w:name="_vfzo5pqz0s22" w:colFirst="0" w:colLast="0"/>
      <w:bookmarkEnd w:id="124"/>
      <w:r>
        <w:lastRenderedPageBreak/>
        <w:t>4.7 Demographic Analysis</w:t>
      </w:r>
    </w:p>
    <w:p w14:paraId="0A0C6868"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Demographic analysis is a crucial part of this research, as it aims to understand how Corporate Social Responsibility (CSR) affects consumer behaviour across various segments of the population. The differences in responses based on age and income gives some insight into the potential for CSR to be targeted within Sainsbury’s consumer base. The literature on consumer behaviour indicates that demographics play a role in ethical consumption and buying behaviour (Kotler et al., 2022).</w:t>
      </w:r>
    </w:p>
    <w:p w14:paraId="190E2258" w14:textId="77777777" w:rsidR="00720726" w:rsidRDefault="00000000">
      <w:pPr>
        <w:pStyle w:val="Heading3"/>
      </w:pPr>
      <w:bookmarkStart w:id="125" w:name="_swkjjzgthmux" w:colFirst="0" w:colLast="0"/>
      <w:bookmarkEnd w:id="125"/>
      <w:r>
        <w:t>4.7.1 Age-Based Differences</w:t>
      </w:r>
    </w:p>
    <w:p w14:paraId="4E484529"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study on age differences shows significant differences in CSR responsiveness across different age groups. Our results show that young consumers (18-35 years) are more responsive to CSR initiatives than those in older age groups. This finding is in line with earlier studies which report that younger consumers, such as Millennials and Gen Z, are more socially and environmentally responsible in their purchasing decisions (White et al., 2021).</w:t>
      </w:r>
    </w:p>
    <w:p w14:paraId="459222C4"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Younger consumers are more likely to prioritise ethical aspects of consumer behaviour, including sustainability, environmental protection and transparency in their consumer choices. They are also more prominent targets of CSR communication via social media and digital channels, which enhances their engagement and interest in socially responsible brands. Therefore, CSR activities have a greater impact on their intention to buy and preference for brands.</w:t>
      </w:r>
    </w:p>
    <w:p w14:paraId="124C9020"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These results are consistent with behavioural segmentation theory, which proposes that young consumers are more value-oriented, and older consumers are more practical in their consumption patterns (Saunders et al., 2022). Thus, CSR marketing strategies should be adapted to each group for maximum impact.</w:t>
      </w:r>
    </w:p>
    <w:p w14:paraId="1E41C3B7" w14:textId="77777777" w:rsidR="00720726" w:rsidRDefault="00000000">
      <w:pPr>
        <w:pStyle w:val="Heading3"/>
      </w:pPr>
      <w:bookmarkStart w:id="126" w:name="_qtfanhyij6ry" w:colFirst="0" w:colLast="0"/>
      <w:bookmarkEnd w:id="126"/>
      <w:r>
        <w:t>4.7.2 Income-Based Differences</w:t>
      </w:r>
    </w:p>
    <w:p w14:paraId="5BFDFDC6"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Another important factor in how consumers react to CSR is their income level. Our study reveals that consumers with higher income levels are more likely to support CSR initiatives than those with lower incomes. This may be due to increased disposable incomes, enabling higher-income consumers to make more ethical and sustainable choices, regardless of price.</w:t>
      </w:r>
    </w:p>
    <w:p w14:paraId="39FD7AE8"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lastRenderedPageBreak/>
        <w:t>This result is consistent with other research that suggests that consumers with higher income are more willing to pay more for products from socially responsible brands (Gürhan-Canli &amp; Batra, 2022). These consumers may view CSR-focused brands as more authentic and superior, making them more likely to pay a premium for such brands.</w:t>
      </w:r>
    </w:p>
    <w:p w14:paraId="4C60F849"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Conversely, lower-income consumers are more price conscious and, as a result, less responsive to CSR programs when they are making purchasing decisions. While they may have favourable attitudes towards CSR, budget constraints mean they may not always practice what they believe. This confirms the gap between attitudes and behaviours in the research on ethical consumption (Dean et al., 2022).</w:t>
      </w:r>
    </w:p>
    <w:p w14:paraId="3F21F8D6"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Modest-income consumers demonstrate a moderate response, suggesting that they are neither highly responsive to CSR nor highly price/value for money sensitive. This segment is of particular interest to retailers like Sainsbury's as they are both economically engaged and those who moderately respond to CSR.</w:t>
      </w:r>
    </w:p>
    <w:p w14:paraId="15540E4D" w14:textId="77777777" w:rsidR="00720726" w:rsidRDefault="00000000">
      <w:pPr>
        <w:spacing w:before="280" w:after="280" w:line="360" w:lineRule="auto"/>
        <w:jc w:val="both"/>
        <w:rPr>
          <w:rFonts w:ascii="Arial" w:eastAsia="Arial" w:hAnsi="Arial" w:cs="Arial"/>
          <w:b/>
          <w:bCs/>
          <w:sz w:val="24"/>
          <w:szCs w:val="24"/>
        </w:rPr>
      </w:pPr>
      <w:r>
        <w:rPr>
          <w:rFonts w:ascii="Arial" w:eastAsia="Arial" w:hAnsi="Arial" w:cs="Arial"/>
          <w:b/>
          <w:bCs/>
          <w:sz w:val="24"/>
          <w:szCs w:val="24"/>
        </w:rPr>
        <w:t>Key Demographic Insights</w:t>
      </w:r>
    </w:p>
    <w:p w14:paraId="54B54A4E"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In summary, the demographic analysis reveals that:</w:t>
      </w:r>
    </w:p>
    <w:p w14:paraId="49F0843A" w14:textId="77777777" w:rsidR="00720726" w:rsidRDefault="00000000">
      <w:pPr>
        <w:numPr>
          <w:ilvl w:val="0"/>
          <w:numId w:val="2"/>
        </w:numPr>
        <w:spacing w:before="280" w:after="0" w:line="360" w:lineRule="auto"/>
        <w:jc w:val="both"/>
        <w:rPr>
          <w:sz w:val="24"/>
          <w:szCs w:val="24"/>
        </w:rPr>
      </w:pPr>
      <w:r>
        <w:rPr>
          <w:rFonts w:ascii="Arial" w:eastAsia="Arial" w:hAnsi="Arial" w:cs="Arial"/>
          <w:sz w:val="24"/>
          <w:szCs w:val="24"/>
        </w:rPr>
        <w:t xml:space="preserve">18-35 year olds are most responsive to CSR </w:t>
      </w:r>
    </w:p>
    <w:p w14:paraId="2B0D8282" w14:textId="77777777" w:rsidR="00720726" w:rsidRDefault="00000000">
      <w:pPr>
        <w:numPr>
          <w:ilvl w:val="0"/>
          <w:numId w:val="2"/>
        </w:numPr>
        <w:spacing w:after="0" w:line="360" w:lineRule="auto"/>
        <w:jc w:val="both"/>
        <w:rPr>
          <w:sz w:val="24"/>
          <w:szCs w:val="24"/>
        </w:rPr>
      </w:pPr>
      <w:r>
        <w:rPr>
          <w:rFonts w:ascii="Arial" w:eastAsia="Arial" w:hAnsi="Arial" w:cs="Arial"/>
          <w:sz w:val="24"/>
          <w:szCs w:val="24"/>
        </w:rPr>
        <w:t xml:space="preserve">Mature consumers are less CSR responsive but still recognize the importance of CSR </w:t>
      </w:r>
    </w:p>
    <w:p w14:paraId="40547C1C" w14:textId="77777777" w:rsidR="00720726" w:rsidRDefault="00000000">
      <w:pPr>
        <w:numPr>
          <w:ilvl w:val="0"/>
          <w:numId w:val="2"/>
        </w:numPr>
        <w:spacing w:after="0" w:line="360" w:lineRule="auto"/>
        <w:jc w:val="both"/>
        <w:rPr>
          <w:sz w:val="24"/>
          <w:szCs w:val="24"/>
        </w:rPr>
      </w:pPr>
      <w:r>
        <w:rPr>
          <w:rFonts w:ascii="Arial" w:eastAsia="Arial" w:hAnsi="Arial" w:cs="Arial"/>
          <w:sz w:val="24"/>
          <w:szCs w:val="24"/>
        </w:rPr>
        <w:t xml:space="preserve">Wealthier consumers are more willing to pay for CSR </w:t>
      </w:r>
    </w:p>
    <w:p w14:paraId="042A1192" w14:textId="77777777" w:rsidR="00720726" w:rsidRDefault="00000000">
      <w:pPr>
        <w:numPr>
          <w:ilvl w:val="0"/>
          <w:numId w:val="2"/>
        </w:numPr>
        <w:spacing w:after="0" w:line="360" w:lineRule="auto"/>
        <w:jc w:val="both"/>
        <w:rPr>
          <w:sz w:val="24"/>
          <w:szCs w:val="24"/>
        </w:rPr>
      </w:pPr>
      <w:r>
        <w:rPr>
          <w:rFonts w:ascii="Arial" w:eastAsia="Arial" w:hAnsi="Arial" w:cs="Arial"/>
          <w:sz w:val="24"/>
          <w:szCs w:val="24"/>
        </w:rPr>
        <w:t xml:space="preserve">Lower-income consumers are less affected by CSR due to price sensitivity </w:t>
      </w:r>
    </w:p>
    <w:p w14:paraId="5CF0C7E2" w14:textId="77777777" w:rsidR="00720726" w:rsidRDefault="00000000">
      <w:pPr>
        <w:spacing w:after="280" w:line="360" w:lineRule="auto"/>
        <w:jc w:val="both"/>
        <w:rPr>
          <w:rFonts w:ascii="Arial" w:eastAsia="Arial" w:hAnsi="Arial" w:cs="Arial"/>
          <w:sz w:val="24"/>
          <w:szCs w:val="24"/>
        </w:rPr>
      </w:pPr>
      <w:r>
        <w:rPr>
          <w:rFonts w:ascii="Arial" w:eastAsia="Arial" w:hAnsi="Arial" w:cs="Arial"/>
          <w:sz w:val="24"/>
          <w:szCs w:val="24"/>
        </w:rPr>
        <w:t>These results indicate that CSR can be more effective if targeted according to demographic factors. For instance, online CSR appeals may be more effective for younger consumers and value-driven appeals may be more effective for older or lower-income consumers.</w:t>
      </w:r>
    </w:p>
    <w:p w14:paraId="1C310BA3" w14:textId="77777777" w:rsidR="00720726" w:rsidRDefault="00000000">
      <w:pPr>
        <w:keepNext/>
        <w:spacing w:before="280" w:after="280" w:line="360" w:lineRule="auto"/>
        <w:jc w:val="center"/>
      </w:pPr>
      <w:r>
        <w:rPr>
          <w:rFonts w:ascii="Arial" w:eastAsia="Arial" w:hAnsi="Arial" w:cs="Arial"/>
          <w:noProof/>
          <w:sz w:val="24"/>
          <w:szCs w:val="24"/>
        </w:rPr>
        <w:lastRenderedPageBreak/>
        <w:drawing>
          <wp:inline distT="0" distB="0" distL="0" distR="0" wp14:anchorId="2157CB2B" wp14:editId="4019F52E">
            <wp:extent cx="2371785" cy="1581103"/>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2371785" cy="1581103"/>
                    </a:xfrm>
                    <a:prstGeom prst="rect">
                      <a:avLst/>
                    </a:prstGeom>
                    <a:ln/>
                  </pic:spPr>
                </pic:pic>
              </a:graphicData>
            </a:graphic>
          </wp:inline>
        </w:drawing>
      </w:r>
    </w:p>
    <w:p w14:paraId="20981A39" w14:textId="77777777" w:rsidR="00720726" w:rsidRDefault="00000000">
      <w:pPr>
        <w:pBdr>
          <w:top w:val="nil"/>
          <w:left w:val="nil"/>
          <w:bottom w:val="nil"/>
          <w:right w:val="nil"/>
          <w:between w:val="nil"/>
        </w:pBdr>
        <w:spacing w:after="200" w:line="480" w:lineRule="auto"/>
        <w:jc w:val="center"/>
        <w:rPr>
          <w:rFonts w:ascii="Arial" w:eastAsia="Arial" w:hAnsi="Arial" w:cs="Arial"/>
          <w:b/>
          <w:bCs/>
          <w:i/>
          <w:iCs/>
          <w:color w:val="1F497D"/>
          <w:sz w:val="24"/>
          <w:szCs w:val="24"/>
        </w:rPr>
      </w:pPr>
      <w:bookmarkStart w:id="127" w:name="_j1nyc0ec13la" w:colFirst="0" w:colLast="0"/>
      <w:bookmarkEnd w:id="127"/>
      <w:r>
        <w:rPr>
          <w:rFonts w:ascii="Arial" w:eastAsia="Arial" w:hAnsi="Arial" w:cs="Arial"/>
          <w:b/>
          <w:bCs/>
          <w:i/>
          <w:iCs/>
          <w:color w:val="1F497D"/>
          <w:sz w:val="24"/>
          <w:szCs w:val="24"/>
        </w:rPr>
        <w:t>Figure 11.. Clustered bar chart illustrating CSR influence by age group and income level, highlighting demographic differences in responsiveness to corporate social responsibility initiatives.</w:t>
      </w:r>
    </w:p>
    <w:p w14:paraId="0632C46B"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In conclusion, our demographic analysis shows that CSR has different effects on different consumers. Rather, it affects consumers in different ways based on age and income, suggesting the need for well-targeted CSR communication to improve consumer engagement and buying intentions.</w:t>
      </w:r>
    </w:p>
    <w:p w14:paraId="64A5E9D3" w14:textId="77777777" w:rsidR="00720726" w:rsidRDefault="00000000">
      <w:pPr>
        <w:pStyle w:val="Heading2"/>
      </w:pPr>
      <w:bookmarkStart w:id="128" w:name="_x0jp9mbysqky" w:colFirst="0" w:colLast="0"/>
      <w:bookmarkEnd w:id="128"/>
      <w:r>
        <w:t>4.8 Key Patterns Identified</w:t>
      </w:r>
    </w:p>
    <w:p w14:paraId="4C084341"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data analysis shows a number of significant behavioural and statistical trends that help to understand the impact of Corporate Social Responsibility (CSR) on consumer purchase intention in relation to Sainsbury's. Perhaps the most important one is the direct effect of CSR perception on purchase intention, which suggests that consumers who are more informed about CSR activities are more likely to buy the product. This supports the notion of the rising influence of ethical concerns on consumer behaviour.</w:t>
      </w:r>
    </w:p>
    <w:p w14:paraId="7408FB43"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A further noteworthy finding is that brand trust is a key moderator between CSR and purchase intention. This indicates that CSR does not directly lead to purchasing decisions, but it fosters trust and this in turn leads to purchase intention. This supports the notion that trust plays a key role in consumer-brand interactions.</w:t>
      </w:r>
    </w:p>
    <w:p w14:paraId="179C33B3"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Moreover, the study reveals that young consumers are more responsive to CSR than older consumers. This suggests a changing consumer landscape in which younger consumers are more focused on sustainable, ethical and transparent practices in their buying choices. </w:t>
      </w:r>
    </w:p>
    <w:p w14:paraId="5E782554" w14:textId="77777777" w:rsidR="00720726" w:rsidRDefault="00000000">
      <w:pPr>
        <w:pStyle w:val="Heading2"/>
      </w:pPr>
      <w:bookmarkStart w:id="129" w:name="_328y8ry0uzyv" w:colFirst="0" w:colLast="0"/>
      <w:bookmarkEnd w:id="129"/>
      <w:r>
        <w:lastRenderedPageBreak/>
        <w:t>4.9 Limitations in Data Analysis</w:t>
      </w:r>
    </w:p>
    <w:p w14:paraId="423CF669"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While the analysis was comprehensive, there were some limitations that may impact the findings. Firstly, there were some small missing data in survey responses, although this was corrected as part of data cleaning. But these may still have a minor impact on the statistical analysis.</w:t>
      </w:r>
    </w:p>
    <w:p w14:paraId="37C5ED64"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Secondly, there may be a risk of self-reporting bias, given that we used respondents' self-perception and behaviour. This may result in over- or under-estimation of actual consumer behaviour, as people tend to report socially desirable responses when it comes to ethical consumption (Saunders et al., 2022).</w:t>
      </w:r>
    </w:p>
    <w:p w14:paraId="3F30E79A"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Finally, the study's findings can only be partly generalised to the UK population, as the sample is not representative of all UK consumers. The research is specific to certain consumer segments, so it may not be a complete representation of overall national trends. </w:t>
      </w:r>
    </w:p>
    <w:p w14:paraId="5231C35B" w14:textId="77777777" w:rsidR="00720726" w:rsidRDefault="00000000">
      <w:pPr>
        <w:pStyle w:val="Heading2"/>
      </w:pPr>
      <w:bookmarkStart w:id="130" w:name="_cg5kx5m96vqq" w:colFirst="0" w:colLast="0"/>
      <w:bookmarkEnd w:id="130"/>
      <w:r>
        <w:t>4.10 Chapter Summary</w:t>
      </w:r>
    </w:p>
    <w:p w14:paraId="5A204DAD"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In this chapter the empirical results of the study are presented using quantitative statistical methods of descriptive statistics, correlation and regression analysis. The findings show robust and consistent associations between CSR perception, brand trust and purchase intention in the case of Sainsbury’s. The statistical findings show that CSR activities have a positive influence on consumer behaviour, in particular through the positive influence of increased brand trust and congruence between CSR and consumers' values. </w:t>
      </w:r>
    </w:p>
    <w:p w14:paraId="2DA1BA7E" w14:textId="307C4778" w:rsidR="00FC0FCD" w:rsidRDefault="00FC0FCD">
      <w:pPr>
        <w:rPr>
          <w:rFonts w:ascii="Arial" w:eastAsia="Arial" w:hAnsi="Arial" w:cs="Arial"/>
          <w:sz w:val="24"/>
          <w:szCs w:val="24"/>
        </w:rPr>
      </w:pPr>
      <w:r>
        <w:rPr>
          <w:rFonts w:ascii="Arial" w:eastAsia="Arial" w:hAnsi="Arial" w:cs="Arial"/>
          <w:sz w:val="24"/>
          <w:szCs w:val="24"/>
        </w:rPr>
        <w:br w:type="page"/>
      </w:r>
    </w:p>
    <w:p w14:paraId="2ACE9C50" w14:textId="534F7B1C" w:rsidR="00FC0FCD" w:rsidRDefault="00FC0FCD">
      <w:pPr>
        <w:spacing w:before="280" w:after="280" w:line="360" w:lineRule="auto"/>
        <w:jc w:val="both"/>
        <w:rPr>
          <w:rFonts w:ascii="Arial" w:eastAsia="Arial" w:hAnsi="Arial" w:cs="Arial"/>
          <w:sz w:val="24"/>
          <w:szCs w:val="24"/>
        </w:rPr>
      </w:pPr>
      <w:r>
        <w:rPr>
          <w:rFonts w:ascii="Arial" w:eastAsia="Arial" w:hAnsi="Arial" w:cs="Arial"/>
          <w:sz w:val="24"/>
          <w:szCs w:val="24"/>
        </w:rPr>
        <w:lastRenderedPageBreak/>
        <w:t>3</w:t>
      </w:r>
    </w:p>
    <w:p w14:paraId="2450DAF6" w14:textId="77777777" w:rsidR="00720726" w:rsidRDefault="00000000">
      <w:pPr>
        <w:pStyle w:val="Heading1"/>
      </w:pPr>
      <w:bookmarkStart w:id="131" w:name="_wle3sb2t8zp9" w:colFirst="0" w:colLast="0"/>
      <w:bookmarkEnd w:id="131"/>
      <w:r>
        <w:t>CHAPTER 5: DISCUSSION</w:t>
      </w:r>
    </w:p>
    <w:p w14:paraId="4CECE589" w14:textId="77777777" w:rsidR="00720726" w:rsidRDefault="00000000">
      <w:pPr>
        <w:pStyle w:val="Heading2"/>
      </w:pPr>
      <w:bookmarkStart w:id="132" w:name="_7va7vo5ckf6f" w:colFirst="0" w:colLast="0"/>
      <w:bookmarkEnd w:id="132"/>
      <w:r>
        <w:t>5.1 Introduction</w:t>
      </w:r>
    </w:p>
    <w:p w14:paraId="372E8E43"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This chapter presents and explains the results of the study based on the research objectives, questions, literature review and theory. The study was conducted to analyse the effect of Corporate Social Responsibility (CSR) on the consumer buying behaviour in the context of Sainsbury's. Specifically, the study focused on consumers' awareness of the CSR programs, the link between CSR and purchase intention, the impact of brand trust, and demographic difference related to CSR responsiveness.</w:t>
      </w:r>
    </w:p>
    <w:p w14:paraId="101483D9"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Based on the findings from Chapter 4, the results showed positive relationships between CSR perception, brand trust, and consumer purchase intention. The results of this chapter are critically analysed and contrasted with previous studies and theories like Stakeholder Theory, Theory of Planned Behaviour, Signalling Theory and Social Identity Theory. The context or implications of the results is also examined with regard to the retail industry and if the research has met the literature gap identified.</w:t>
      </w:r>
    </w:p>
    <w:p w14:paraId="7E12D7B2" w14:textId="77777777" w:rsidR="00720726" w:rsidRDefault="00000000">
      <w:pPr>
        <w:pStyle w:val="Heading2"/>
      </w:pPr>
      <w:bookmarkStart w:id="133" w:name="_61e8efv9hl91" w:colFirst="0" w:colLast="0"/>
      <w:bookmarkEnd w:id="133"/>
      <w:r>
        <w:t>5.2 Discussion of Key Findings</w:t>
      </w:r>
    </w:p>
    <w:p w14:paraId="33E9CCE3" w14:textId="77777777" w:rsidR="00720726" w:rsidRDefault="00000000">
      <w:pPr>
        <w:pStyle w:val="Heading3"/>
      </w:pPr>
      <w:bookmarkStart w:id="134" w:name="_ee4dlsa5wfjh" w:colFirst="0" w:colLast="0"/>
      <w:bookmarkEnd w:id="134"/>
      <w:r>
        <w:t>5.2.1 CSR Awareness and Consumer Behaviour</w:t>
      </w:r>
    </w:p>
    <w:p w14:paraId="2B65F8CF"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A significant finding of the research was that the consumers were moderately to highly aware of the CSR initiative by Sainsbury's. The descriptive statistics revealed that there is a high level of awareness on CSR activities of the respondents on the themes of environmental sustainability, ethical sourcing and community support. This result confirms previous studies showing that consumers' awareness of CSR has grown significantly in recent years, as a result of higher media attention and company transparency (White et al., 2021).</w:t>
      </w:r>
    </w:p>
    <w:p w14:paraId="0206D699"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The results also show that there is a positive association between the level of consumers' awareness of CSR practices and their positive intentions to purchase the products. This is consistent with the findings of Kim et al. (2021) that people see CSR as a sign of ethical responsibility and credibility of an organisation. For the supermarket industry, one of the most competitive in the retail market, products are </w:t>
      </w:r>
      <w:r>
        <w:rPr>
          <w:rFonts w:ascii="Arial" w:eastAsia="Arial" w:hAnsi="Arial" w:cs="Arial"/>
          <w:sz w:val="24"/>
          <w:szCs w:val="24"/>
        </w:rPr>
        <w:lastRenderedPageBreak/>
        <w:t>similar and CSR awareness seems to be a major differentiator that will affect consumer choices.</w:t>
      </w:r>
    </w:p>
    <w:p w14:paraId="5B63644D"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findings can also be analysed in relation to the Stakeholder Theory that suggests that an organisation should meet the expectations of a wider and more diverse range of stakeholders, not just with the generation of profit (Freeman, 2020). Consumers are increasingly looking for retailers who care about the environment and social issues, and organisations who do are rewarded with improved customer support.</w:t>
      </w:r>
    </w:p>
    <w:p w14:paraId="0F0BCB13"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findings do, however, indicate that just an awareness of CSR is not necessarily enough to drive purchasing behaviour. While a few respondents recognised the significance of CSR, they still preferred convenience and price in their buying process. This corresponds to the “attitude–behaviour gap” found by Dean et al. (2022), who noticed that consumers might have ethical concerns and not always act upon them.</w:t>
      </w:r>
    </w:p>
    <w:p w14:paraId="527A4E00" w14:textId="77777777" w:rsidR="00720726" w:rsidRDefault="00000000">
      <w:pPr>
        <w:pStyle w:val="Heading3"/>
      </w:pPr>
      <w:bookmarkStart w:id="135" w:name="_lj3ycbw3dij5" w:colFirst="0" w:colLast="0"/>
      <w:bookmarkEnd w:id="135"/>
      <w:r>
        <w:t>5.2.2 CSR and Purchase Intention</w:t>
      </w:r>
    </w:p>
    <w:p w14:paraId="390F3562"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study concluded that there was a strong positive relationship between CSR perception and purchase intention. Correlation analysis indicated that there was a significant correlation between the scores of the consumers who considered Sainsbury's as socially responsible and their purchase behaviour. The regression analysis also showed that CSR perception has significant influence on consumer buying behaviour.</w:t>
      </w:r>
    </w:p>
    <w:p w14:paraId="177FD336"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This result corroborates previous research by Martinez and del Bosque (2020), which states that CSR has a positive impact on consumer attitudes and on the purchase intention. Likewise, Rahman et al. (2022) identified that CSR activities positively impact the consumers' brand evaluations and stimulate behavioural intentions.</w:t>
      </w:r>
    </w:p>
    <w:p w14:paraId="1DD67398"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Another theory that can be used to explain the findings is the Theory of Planned Behaviour (TPB). But Ajzen (2020) noted that attitudes, subjective norms and perceived behavioural control affect behavioural intention. In this study, CSR activities seem to have a positive effect on the consumer attitude towards the brand and consequently on purchasing intention. Environmental CSR initiatives became the most influential factor impacting purchase decisions. Sustainability-related practices like recyclable packaging, waste reduction and ethical sourcing were more popular. This </w:t>
      </w:r>
      <w:r>
        <w:rPr>
          <w:rFonts w:ascii="Arial" w:eastAsia="Arial" w:hAnsi="Arial" w:cs="Arial"/>
          <w:sz w:val="24"/>
          <w:szCs w:val="24"/>
        </w:rPr>
        <w:lastRenderedPageBreak/>
        <w:t>discovery is similar to what was discovered by Zhang and Bhatt (2021) which found that consumer's perception of retail brands based on environmental CSR has grown in importance.</w:t>
      </w:r>
    </w:p>
    <w:p w14:paraId="471D51CE"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However, the research also revealed that a certain group of consumers is still very sensitive to price, therefore restricting the impact of CSR in general. This means that consumer behaviour can still be influenced for the better by CSR, but economic considerations remain a hugely important driver in the purchasing decision.</w:t>
      </w:r>
    </w:p>
    <w:p w14:paraId="4AD81F88" w14:textId="77777777" w:rsidR="00720726" w:rsidRDefault="00000000">
      <w:pPr>
        <w:pStyle w:val="Heading3"/>
      </w:pPr>
      <w:bookmarkStart w:id="136" w:name="_ncwgxz10ax0h" w:colFirst="0" w:colLast="0"/>
      <w:bookmarkEnd w:id="136"/>
      <w:r>
        <w:t>5.2.3 Brand Trust as a Mediating Factor</w:t>
      </w:r>
    </w:p>
    <w:p w14:paraId="603E7A1F"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One of the most important finding of this study is the brand trust as a mediating variable between CSR and purchase intention. The results indicated that CSR perception is positively connected with the brand trust, and the brand trust is positively correlated with purchase intention. The analysis results found that the two variables CSR perception and brand trust have a very positive correlation, and also have a very positive correlation between brand trust and purchase intention.</w:t>
      </w:r>
    </w:p>
    <w:p w14:paraId="57DFEFAC"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This result aligns with Signalling Theory that proposes the CSR activities are signals of corporate integrity and trustworthiness (Spence, 2020). CSR programmes are seen by consumers as proof of the organisation's ethical, transparent and socially responsible nature. Consequently, consumers are more likely to believe in the brand, which boosts their purchase intentions.</w:t>
      </w:r>
    </w:p>
    <w:p w14:paraId="44FA6F5A"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results are also in line with the results of Tran and Harwood (2022) who concluded that trust is a key factor in the link between CSR activities and consumer loyalty and behaviour. Consumers are more inclined to back organisations if they feel the CSR activities are sincere and not merely a sales promotion.</w:t>
      </w:r>
    </w:p>
    <w:p w14:paraId="568EAFAD"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Important for them, the research reveals the risk of perceived insincerity or “greenwashing.” Some respondents expressed doubt about CSR communication, especially when it was found to be ‘promotional'. This reflects the findings of Nguyen (2023) that consumers are more scrutinizing about overstated claims of CSR. Thus, there is no place for being fake or misleading when dealing with consumers.</w:t>
      </w:r>
    </w:p>
    <w:p w14:paraId="3AF673D6" w14:textId="77777777" w:rsidR="00720726" w:rsidRDefault="00000000">
      <w:pPr>
        <w:pStyle w:val="Heading3"/>
      </w:pPr>
      <w:bookmarkStart w:id="137" w:name="_vkzkbexwpn4o" w:colFirst="0" w:colLast="0"/>
      <w:bookmarkEnd w:id="137"/>
      <w:r>
        <w:lastRenderedPageBreak/>
        <w:t>5.2.4 Demographic Differences in CSR Responsiveness</w:t>
      </w:r>
    </w:p>
    <w:p w14:paraId="1BC6B97A"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study found that there were significant differences in respondents' responses to CSR initiatives in terms of demographics. The younger the consumer, the more likely they were to be responsive to CSR practices, especially those 18-35 years old. We also found that consumers with higher incomes were more likely to be attracted to socially responsible brands.</w:t>
      </w:r>
    </w:p>
    <w:p w14:paraId="31C643E7"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results are in line with the findings of White et al. (2021) about the Millennials and Generation Z consumers' inclination to consider ethical values while making their buying decisions. Sustainability issues are more present in younger people's lives, through education, digital media and social movements, and are thus more receptive to communicating sustainability messages.</w:t>
      </w:r>
    </w:p>
    <w:p w14:paraId="1E27D2CE"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results can also be interpreted based on the Social Identity Theory that suggests that people consume brands to represent their values and identities (Tajfel &amp; Turner, 2020). The younger generation can help to strengthen brand identities linked to social responsibility, ethical consciousness and sustainability by supporting brands that are socially responsible.</w:t>
      </w:r>
    </w:p>
    <w:p w14:paraId="78CEF329"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Higher income consumers were more willing to pay extra for CSR, which may be due to lower cost constraints. This discovery aligns with Gürhan-Canli and Batra (2022), who found ethical consumption is more prevalent among well-off consumers who can afford to pay higher prices for responsible goods.</w:t>
      </w:r>
    </w:p>
    <w:p w14:paraId="3653734A"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But CSR factors had less impact on the older and low-income consumers. This implies that there is still a significant influence on some demographic groups by the need to take practical matters like affordability and convenience into account.</w:t>
      </w:r>
    </w:p>
    <w:p w14:paraId="3A7AC06A" w14:textId="77777777" w:rsidR="00720726" w:rsidRDefault="00000000">
      <w:pPr>
        <w:pStyle w:val="Heading2"/>
      </w:pPr>
      <w:bookmarkStart w:id="138" w:name="_v707qbg7cbw1" w:colFirst="0" w:colLast="0"/>
      <w:bookmarkEnd w:id="138"/>
      <w:r>
        <w:t>5.3 Comparison with Existing Literature</w:t>
      </w:r>
    </w:p>
    <w:p w14:paraId="123476E1"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Overall, the results of this study are consistent with the literature reviewed on CSR and consumer behaviour. The positive associations between CSR perception, trust and purchase intention have been shown in previous studies (Kim et al., 2021; Martínez &amp; Rodríguez, 2021). These are confirmed by the present study in the context of the UK supermarket.</w:t>
      </w:r>
    </w:p>
    <w:p w14:paraId="01C15D73"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lastRenderedPageBreak/>
        <w:t>This work, however, builds on the previous research by identifying that environmental CSR programmes are especially effective in the retail environment. Previous research has tended to focus on CSR in general, but this research indicates that consumers are more receptive to actions they can see, like sustainability and ethical sourcing.</w:t>
      </w:r>
    </w:p>
    <w:p w14:paraId="722AB1BB"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outcomes also respond to the literature gap found in Chapter 2 related to the UK literature on CSR evidence. However, previous studies were based on a global or US context while this study offers empirical insight into the UK supermarket context.</w:t>
      </w:r>
    </w:p>
    <w:p w14:paraId="6AF15289" w14:textId="77777777" w:rsidR="00720726" w:rsidRDefault="00000000">
      <w:pPr>
        <w:pStyle w:val="Heading2"/>
      </w:pPr>
      <w:bookmarkStart w:id="139" w:name="_rovspw331sfv" w:colFirst="0" w:colLast="0"/>
      <w:bookmarkEnd w:id="139"/>
      <w:r>
        <w:t>5.4 Research Gap Statement</w:t>
      </w:r>
    </w:p>
    <w:p w14:paraId="46F84F6D"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study has been able to bridge certain gaps in literature which were identified during the literature review. Firstly, it offers empirical evidence from the UK retail sector, in particular Sainsbury's. Second, it investigates the mediation effect of brand trust, which has not been fully explored in the past in research that has focused on the supermarket context.</w:t>
      </w:r>
    </w:p>
    <w:p w14:paraId="3F0BD39A"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Furthermore, this study helps in finding out the demographic difference in the responsiveness of CSR by finding out that age and income are considerable influencing factors in the ethical purchasing behaviour. Lastly, the research points to the higher impact of environmental CSR initiatives over its wider aspects.</w:t>
      </w:r>
    </w:p>
    <w:p w14:paraId="43C18DF7"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study helps to fill these gaps and contributes to the understanding of the influence of CSR on consumer buying behaviour in the modern retail markets.</w:t>
      </w:r>
    </w:p>
    <w:p w14:paraId="73702075" w14:textId="77777777" w:rsidR="00720726" w:rsidRDefault="00000000">
      <w:pPr>
        <w:pStyle w:val="Heading2"/>
      </w:pPr>
      <w:bookmarkStart w:id="140" w:name="_a0h3boent938" w:colFirst="0" w:colLast="0"/>
      <w:bookmarkEnd w:id="140"/>
      <w:r>
        <w:t>5.5 Chapter Summary</w:t>
      </w:r>
    </w:p>
    <w:p w14:paraId="2F9A1FA4" w14:textId="77777777" w:rsidR="00720726"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This chapter presented a critical interpretation of the results of the study and related them to the theories and literature. The discussion showed that CSR has tremendous impact on consumer's purchasing behaviour because of increased awareness, positive perception of the brand and trust. The results are consistent with critical theories such as Stakeholder Theory, Theory of Planned Behaviour, Signalling Theory and Social Identity Theory. It is also established that there are significant demographic differences and that environmental CSR initiatives are becoming more important in the retail sector.</w:t>
      </w:r>
    </w:p>
    <w:p w14:paraId="46BCA939" w14:textId="77777777" w:rsidR="00720726" w:rsidRDefault="00000000">
      <w:pPr>
        <w:pStyle w:val="Heading1"/>
      </w:pPr>
      <w:bookmarkStart w:id="141" w:name="_wfve4fwoczq" w:colFirst="0" w:colLast="0"/>
      <w:bookmarkEnd w:id="141"/>
      <w:r>
        <w:lastRenderedPageBreak/>
        <w:t xml:space="preserve">CHAPTER 6: CONCLUSION &amp; RECOMMENDATIONS </w:t>
      </w:r>
    </w:p>
    <w:p w14:paraId="4EB4D6F5" w14:textId="77777777" w:rsidR="00720726" w:rsidRDefault="00000000">
      <w:pPr>
        <w:pStyle w:val="Heading2"/>
      </w:pPr>
      <w:bookmarkStart w:id="142" w:name="_a9bwmk1tck47" w:colFirst="0" w:colLast="0"/>
      <w:bookmarkEnd w:id="142"/>
      <w:r>
        <w:t>6.1 Introduction</w:t>
      </w:r>
    </w:p>
    <w:p w14:paraId="0AA75A63"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This chapter summarizes and gives the findings of the study on the effect of Corporate Social Responsibility (CSR) on consumer buying behaviour of Sainsbury's. The chapter starts with a refreshing review of the research aim and objectives, and then provides a summary of the key findings reported in the preceding chapters. The findings in the conclusion show that the study has answered the research problems by showing the analysis and discussion of the findings. Additionally, the chapter provides a theoretical and practical explanation of the importance of the study by elucidating the effect of CSR activities on customer awareness, trust, consumer loyalty, and purchase intention in the retail sector. Moreover, suggestions are offered to retail managers and policy makers on how to implement and communicate CSR strategies effectively. </w:t>
      </w:r>
    </w:p>
    <w:p w14:paraId="51433239" w14:textId="77777777" w:rsidR="00720726" w:rsidRDefault="00000000">
      <w:pPr>
        <w:pStyle w:val="Heading2"/>
      </w:pPr>
      <w:bookmarkStart w:id="143" w:name="_jnneaexzcfs3" w:colFirst="0" w:colLast="0"/>
      <w:bookmarkEnd w:id="143"/>
      <w:r>
        <w:t>6.2 Summary of Key Findings According to Research Objectives</w:t>
      </w:r>
    </w:p>
    <w:p w14:paraId="19EA9FA2" w14:textId="77777777" w:rsidR="00720726" w:rsidRDefault="00000000">
      <w:pPr>
        <w:pBdr>
          <w:top w:val="nil"/>
          <w:left w:val="nil"/>
          <w:bottom w:val="nil"/>
          <w:right w:val="nil"/>
          <w:between w:val="nil"/>
        </w:pBdr>
        <w:spacing w:before="240" w:after="240" w:line="360" w:lineRule="auto"/>
        <w:jc w:val="both"/>
        <w:rPr>
          <w:rFonts w:ascii="Arial" w:eastAsia="Arial" w:hAnsi="Arial" w:cs="Arial"/>
          <w:b/>
          <w:bCs/>
          <w:color w:val="000000"/>
        </w:rPr>
      </w:pPr>
      <w:r>
        <w:rPr>
          <w:rFonts w:ascii="Arial" w:eastAsia="Arial" w:hAnsi="Arial" w:cs="Arial"/>
          <w:color w:val="000000"/>
          <w:sz w:val="24"/>
          <w:szCs w:val="24"/>
        </w:rPr>
        <w:t xml:space="preserve">The aim of the research was to analyse the awareness of CSR initiatives. Research </w:t>
      </w:r>
      <w:r>
        <w:rPr>
          <w:rFonts w:ascii="Arial" w:eastAsia="Arial" w:hAnsi="Arial" w:cs="Arial"/>
          <w:b/>
          <w:bCs/>
          <w:color w:val="000000"/>
          <w:sz w:val="24"/>
          <w:szCs w:val="24"/>
        </w:rPr>
        <w:t xml:space="preserve">Objective 1: </w:t>
      </w:r>
      <w:r>
        <w:rPr>
          <w:rFonts w:ascii="Arial" w:eastAsia="Arial" w:hAnsi="Arial" w:cs="Arial"/>
          <w:b/>
          <w:bCs/>
          <w:color w:val="000000"/>
        </w:rPr>
        <w:t>To analyse consumer awareness of CSR initiatives implemented by Sainsbury's</w:t>
      </w:r>
    </w:p>
    <w:p w14:paraId="58FAC50B" w14:textId="77777777" w:rsidR="00720726" w:rsidRDefault="00000000">
      <w:pPr>
        <w:spacing w:before="240" w:after="240" w:line="360" w:lineRule="auto"/>
        <w:jc w:val="both"/>
        <w:rPr>
          <w:rFonts w:ascii="Arial" w:eastAsia="Arial" w:hAnsi="Arial" w:cs="Arial"/>
          <w:color w:val="000000"/>
          <w:sz w:val="24"/>
          <w:szCs w:val="24"/>
        </w:rPr>
      </w:pPr>
      <w:r>
        <w:rPr>
          <w:rFonts w:ascii="Arial" w:eastAsia="Arial" w:hAnsi="Arial" w:cs="Arial"/>
          <w:sz w:val="24"/>
          <w:szCs w:val="24"/>
        </w:rPr>
        <w:t>The first objective sought to examine the extent to which consumers are aware of CSR initiatives undertaken by Sainsbury's. This objective was achieved through descriptive statistical analysis of survey responses relating to CSR awareness. The findings showed that 42% of respondents reported a high level of awareness of Sainsbury's CSR activities, while 38% demonstrated a moderate level of awareness and only 20% reported low awareness. The results indicate that the majority of consumers are familiar with Sainsbury's CSR initiatives, particularly those related to environmental sustainability, ethical sourcing, and community support. Therefore, the findings confirm that consumer awareness of CSR practices is relatively high and that the first research objective was successfully achieved</w:t>
      </w:r>
      <w:r>
        <w:rPr>
          <w:rFonts w:ascii="Arial" w:eastAsia="Arial" w:hAnsi="Arial" w:cs="Arial"/>
          <w:color w:val="000000"/>
          <w:sz w:val="24"/>
          <w:szCs w:val="24"/>
        </w:rPr>
        <w:t>.</w:t>
      </w:r>
    </w:p>
    <w:p w14:paraId="276623DE" w14:textId="77777777" w:rsidR="00720726" w:rsidRDefault="00000000">
      <w:pPr>
        <w:pBdr>
          <w:top w:val="nil"/>
          <w:left w:val="nil"/>
          <w:bottom w:val="nil"/>
          <w:right w:val="nil"/>
          <w:between w:val="nil"/>
        </w:pBdr>
        <w:spacing w:before="240" w:after="24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 xml:space="preserve">Objective 2. The relationship of CSR and consumer purchase behaviour was studied through research </w:t>
      </w:r>
    </w:p>
    <w:p w14:paraId="147AD291"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The result of the research was in line with the hypothesis that there is a strong positive relationship between CSR perception and consumer purchase intention. The results of the correlation analysis showed that there was a positive correlation between consumers' perceptions of socially responsible retailers and their support for the organisation through purchasing behaviour. The results also revealed that Environmental Sustainability and ethical sourcing play a significant role in the decision-making process.</w:t>
      </w:r>
    </w:p>
    <w:p w14:paraId="46ECD320"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results of the regression analysis also showed that CSR perception is a significant predictor of purchase intention. The findings corroborate earlier studies that indicate CSR improves brand attractiveness and positively impacts a consumer's attitude towards an organisation.</w:t>
      </w:r>
    </w:p>
    <w:p w14:paraId="066C5349"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Thus, the second research objective was met as the study showed that CSR activities has direct impact on consumers purchasing behaviour in the retail industry.</w:t>
      </w:r>
    </w:p>
    <w:p w14:paraId="04C3D723" w14:textId="77777777" w:rsidR="00720726" w:rsidRDefault="00000000">
      <w:pPr>
        <w:pBdr>
          <w:top w:val="nil"/>
          <w:left w:val="nil"/>
          <w:bottom w:val="nil"/>
          <w:right w:val="nil"/>
          <w:between w:val="nil"/>
        </w:pBdr>
        <w:spacing w:before="240" w:after="24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Research Objective 3: To measure the impact of CSR on trust and purchase intention</w:t>
      </w:r>
    </w:p>
    <w:p w14:paraId="6821155B"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results revealed that brand trust is a key determinant between CSR programs and consumer purchasing intentions. The results of statistical analysis revealed a high positive correlation between CSR perception and trust in the brand and regression analysis results indicated that trust has a significant effect on purchase intention.</w:t>
      </w:r>
    </w:p>
    <w:p w14:paraId="583D3460"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Ethical, transparent and socially responsible retailers were more likely to be purchased by consumers. But the results indicated that consumers can be sceptical if the CSR communication seems exaggerated or insincere. This emphasises that the strategy for CSR has to be both true and transparent.</w:t>
      </w:r>
    </w:p>
    <w:p w14:paraId="3F0F2B6E"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third research objective was thus accomplished by establishing that CSR has a positive influence on consumer trust and consumer purchase intention.</w:t>
      </w:r>
    </w:p>
    <w:p w14:paraId="4401EBA9" w14:textId="77777777" w:rsidR="00720726" w:rsidRDefault="00000000">
      <w:pPr>
        <w:pBdr>
          <w:top w:val="nil"/>
          <w:left w:val="nil"/>
          <w:bottom w:val="nil"/>
          <w:right w:val="nil"/>
          <w:between w:val="nil"/>
        </w:pBdr>
        <w:spacing w:before="240" w:after="24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Research Objective 4: To gain insight into differences in CSR responsiveness across demographic groups</w:t>
      </w:r>
    </w:p>
    <w:p w14:paraId="18BA7DED"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In the demographic analysis, the younger consumers (18-35 years) indicate that they are more sensitive to CSR compared to the older consumers. Income was also </w:t>
      </w:r>
      <w:r>
        <w:rPr>
          <w:rFonts w:ascii="Arial" w:eastAsia="Arial" w:hAnsi="Arial" w:cs="Arial"/>
          <w:color w:val="000000"/>
          <w:sz w:val="24"/>
          <w:szCs w:val="24"/>
        </w:rPr>
        <w:lastRenderedPageBreak/>
        <w:t>positively associated with individuals' attitudes towards socially responsible purchasing behaviour, with higher income being associated with greater attitudes.</w:t>
      </w:r>
    </w:p>
    <w:p w14:paraId="457DA42C"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results indicate that ethical consumption patterns are different among the demographic groups. Older and lower income consumers seem to be more focused on affordability and convenience, whereas younger consumers are more focused on sustainability and social responsibility.</w:t>
      </w:r>
    </w:p>
    <w:p w14:paraId="000FF2DF"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fourth research goal was met by conducting comparative demographic analysis which revealed that there are significant differences in consumer reactions to CSR strategies.</w:t>
      </w:r>
    </w:p>
    <w:p w14:paraId="7EE5020A" w14:textId="77777777" w:rsidR="00720726" w:rsidRDefault="00000000">
      <w:pPr>
        <w:pStyle w:val="Heading2"/>
      </w:pPr>
      <w:bookmarkStart w:id="144" w:name="_yjy1a75rwzts" w:colFirst="0" w:colLast="0"/>
      <w:bookmarkEnd w:id="144"/>
      <w:r>
        <w:t>6.3 Overall Conclusion</w:t>
      </w:r>
    </w:p>
    <w:p w14:paraId="328C4035"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study comes to the conclusion that in the UK retail industry, Corporate Social Responsibility has a great influence on consumers' buying behavior. The results show that CSR does have a positive impact on consumer awareness, consumer trust, consumer loyalty, and consumer purchase intention. </w:t>
      </w:r>
    </w:p>
    <w:p w14:paraId="4987FB35"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Furthermore, the study shed light on the role of trust as a mediator between CSR and consumer behaviour. Consumer support for organisations is more likely when CSR is seen as genuine and valued. In addition, findings of demographic differences reveal that younger and higher-income consumers are more sensitive to CSR-related activities.</w:t>
      </w:r>
    </w:p>
    <w:p w14:paraId="00BD04D0"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study was able to successfully address the identified research gap by supplying empirical evidence that has a UK specific relevance in relation to the relationship between CSR and consumer's buying behaviour in the supermarket sector. The results obtained make a theoretical and practical contribution to the comprehension of the role that social responsibility business activities play in the contemporary consumer market.</w:t>
      </w:r>
    </w:p>
    <w:p w14:paraId="6E6E49E5" w14:textId="77777777" w:rsidR="00720726" w:rsidRDefault="00000000">
      <w:pPr>
        <w:pStyle w:val="Heading2"/>
      </w:pPr>
      <w:bookmarkStart w:id="145" w:name="_2kf8cb5nfwzw" w:colFirst="0" w:colLast="0"/>
      <w:bookmarkEnd w:id="145"/>
      <w:r>
        <w:t>6.4 Recommendations</w:t>
      </w:r>
    </w:p>
    <w:p w14:paraId="1815C816"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Given the results of the study, some recommendations are made for retail organisations such as Sainsbury's.</w:t>
      </w:r>
    </w:p>
    <w:p w14:paraId="16A9B69B" w14:textId="77777777" w:rsidR="00720726" w:rsidRDefault="00000000">
      <w:pPr>
        <w:numPr>
          <w:ilvl w:val="0"/>
          <w:numId w:val="10"/>
        </w:numPr>
        <w:pBdr>
          <w:top w:val="nil"/>
          <w:left w:val="nil"/>
          <w:bottom w:val="nil"/>
          <w:right w:val="nil"/>
          <w:between w:val="nil"/>
        </w:pBdr>
        <w:spacing w:before="240" w:after="240" w:line="360" w:lineRule="auto"/>
        <w:jc w:val="both"/>
        <w:rPr>
          <w:b/>
          <w:bCs/>
          <w:color w:val="000000"/>
          <w:sz w:val="24"/>
          <w:szCs w:val="24"/>
        </w:rPr>
      </w:pPr>
      <w:r>
        <w:rPr>
          <w:rFonts w:ascii="Arial" w:eastAsia="Arial" w:hAnsi="Arial" w:cs="Arial"/>
          <w:b/>
          <w:bCs/>
          <w:color w:val="000000"/>
          <w:sz w:val="24"/>
          <w:szCs w:val="24"/>
        </w:rPr>
        <w:lastRenderedPageBreak/>
        <w:t xml:space="preserve">Improve Environmental Sustainability Projects: </w:t>
      </w:r>
      <w:r>
        <w:rPr>
          <w:rFonts w:ascii="Arial" w:eastAsia="Arial" w:hAnsi="Arial" w:cs="Arial"/>
          <w:color w:val="000000"/>
          <w:sz w:val="24"/>
          <w:szCs w:val="24"/>
        </w:rPr>
        <w:t>Consumers are very receptive to environmental CSR initiatives and retailers are continuing to invest in environmentally-friendly practices including using recyclable packaging, reducing waste and ethical sourcing.</w:t>
      </w:r>
    </w:p>
    <w:p w14:paraId="07CF1E25" w14:textId="77777777" w:rsidR="00720726" w:rsidRDefault="00000000">
      <w:pPr>
        <w:numPr>
          <w:ilvl w:val="0"/>
          <w:numId w:val="10"/>
        </w:numPr>
        <w:pBdr>
          <w:top w:val="nil"/>
          <w:left w:val="nil"/>
          <w:bottom w:val="nil"/>
          <w:right w:val="nil"/>
          <w:between w:val="nil"/>
        </w:pBdr>
        <w:spacing w:before="240" w:after="240" w:line="360" w:lineRule="auto"/>
        <w:jc w:val="both"/>
        <w:rPr>
          <w:b/>
          <w:bCs/>
          <w:color w:val="000000"/>
          <w:sz w:val="24"/>
          <w:szCs w:val="24"/>
        </w:rPr>
      </w:pPr>
      <w:r>
        <w:rPr>
          <w:rFonts w:ascii="Arial" w:eastAsia="Arial" w:hAnsi="Arial" w:cs="Arial"/>
          <w:b/>
          <w:bCs/>
          <w:color w:val="000000"/>
          <w:sz w:val="24"/>
          <w:szCs w:val="24"/>
        </w:rPr>
        <w:t xml:space="preserve">Improve CSR Communication: </w:t>
      </w:r>
      <w:r>
        <w:rPr>
          <w:rFonts w:ascii="Arial" w:eastAsia="Arial" w:hAnsi="Arial" w:cs="Arial"/>
          <w:color w:val="000000"/>
          <w:sz w:val="24"/>
          <w:szCs w:val="24"/>
        </w:rPr>
        <w:t>Communicating CSR activities in a clear and transparent way via websites, social media, packaging and in-store campaigns. There is a strong link between clear communication and the raising of consumer awareness and building trust.</w:t>
      </w:r>
    </w:p>
    <w:p w14:paraId="2FC43002" w14:textId="77777777" w:rsidR="00720726" w:rsidRDefault="00000000">
      <w:pPr>
        <w:numPr>
          <w:ilvl w:val="0"/>
          <w:numId w:val="10"/>
        </w:numPr>
        <w:pBdr>
          <w:top w:val="nil"/>
          <w:left w:val="nil"/>
          <w:bottom w:val="nil"/>
          <w:right w:val="nil"/>
          <w:between w:val="nil"/>
        </w:pBdr>
        <w:spacing w:before="240" w:after="240" w:line="360" w:lineRule="auto"/>
        <w:jc w:val="both"/>
        <w:rPr>
          <w:b/>
          <w:bCs/>
          <w:color w:val="000000"/>
          <w:sz w:val="24"/>
          <w:szCs w:val="24"/>
        </w:rPr>
      </w:pPr>
      <w:r>
        <w:rPr>
          <w:rFonts w:ascii="Arial" w:eastAsia="Arial" w:hAnsi="Arial" w:cs="Arial"/>
          <w:b/>
          <w:bCs/>
          <w:color w:val="000000"/>
          <w:sz w:val="24"/>
          <w:szCs w:val="24"/>
        </w:rPr>
        <w:t xml:space="preserve">Focus on Authenticity: </w:t>
      </w:r>
      <w:r>
        <w:rPr>
          <w:rFonts w:ascii="Arial" w:eastAsia="Arial" w:hAnsi="Arial" w:cs="Arial"/>
          <w:color w:val="000000"/>
          <w:sz w:val="24"/>
          <w:szCs w:val="24"/>
        </w:rPr>
        <w:t>To prevent consumers from questioning the authenticity and accountability of organisations' CSR program, these businesses need to make sure their projects are real and measurable.</w:t>
      </w:r>
    </w:p>
    <w:p w14:paraId="147289E8" w14:textId="77777777" w:rsidR="00720726" w:rsidRDefault="00000000">
      <w:pPr>
        <w:numPr>
          <w:ilvl w:val="0"/>
          <w:numId w:val="10"/>
        </w:numPr>
        <w:pBdr>
          <w:top w:val="nil"/>
          <w:left w:val="nil"/>
          <w:bottom w:val="nil"/>
          <w:right w:val="nil"/>
          <w:between w:val="nil"/>
        </w:pBdr>
        <w:spacing w:before="240" w:after="240" w:line="360" w:lineRule="auto"/>
        <w:jc w:val="both"/>
        <w:rPr>
          <w:b/>
          <w:bCs/>
          <w:color w:val="000000"/>
          <w:sz w:val="24"/>
          <w:szCs w:val="24"/>
        </w:rPr>
      </w:pPr>
      <w:r>
        <w:rPr>
          <w:rFonts w:ascii="Arial" w:eastAsia="Arial" w:hAnsi="Arial" w:cs="Arial"/>
          <w:b/>
          <w:bCs/>
          <w:color w:val="000000"/>
          <w:sz w:val="24"/>
          <w:szCs w:val="24"/>
        </w:rPr>
        <w:t xml:space="preserve">Target Younger Consumers: </w:t>
      </w:r>
      <w:r>
        <w:rPr>
          <w:rFonts w:ascii="Arial" w:eastAsia="Arial" w:hAnsi="Arial" w:cs="Arial"/>
          <w:color w:val="000000"/>
          <w:sz w:val="24"/>
          <w:szCs w:val="24"/>
        </w:rPr>
        <w:t>It is essential that retailers should create CSR campaigns that resonate with younger consumers that are more responsive to ethical and sustainability concerns.</w:t>
      </w:r>
    </w:p>
    <w:p w14:paraId="09214035" w14:textId="77777777" w:rsidR="00720726" w:rsidRDefault="00000000">
      <w:pPr>
        <w:numPr>
          <w:ilvl w:val="0"/>
          <w:numId w:val="10"/>
        </w:numPr>
        <w:pBdr>
          <w:top w:val="nil"/>
          <w:left w:val="nil"/>
          <w:bottom w:val="nil"/>
          <w:right w:val="nil"/>
          <w:between w:val="nil"/>
        </w:pBdr>
        <w:spacing w:before="240" w:after="240" w:line="360" w:lineRule="auto"/>
        <w:jc w:val="both"/>
        <w:rPr>
          <w:b/>
          <w:bCs/>
          <w:color w:val="000000"/>
          <w:sz w:val="24"/>
          <w:szCs w:val="24"/>
        </w:rPr>
      </w:pPr>
      <w:r>
        <w:rPr>
          <w:rFonts w:ascii="Arial" w:eastAsia="Arial" w:hAnsi="Arial" w:cs="Arial"/>
          <w:b/>
          <w:bCs/>
          <w:color w:val="000000"/>
          <w:sz w:val="24"/>
          <w:szCs w:val="24"/>
        </w:rPr>
        <w:t xml:space="preserve">Strengthen Community Engagement: </w:t>
      </w:r>
      <w:r>
        <w:rPr>
          <w:rFonts w:ascii="Arial" w:eastAsia="Arial" w:hAnsi="Arial" w:cs="Arial"/>
          <w:color w:val="000000"/>
          <w:sz w:val="24"/>
          <w:szCs w:val="24"/>
        </w:rPr>
        <w:t>CSR initiatives that have a positive impact on the local community, such as charitable partnerships and local support programs, can enhance brand reputation and customer loyalty.</w:t>
      </w:r>
    </w:p>
    <w:p w14:paraId="5BA8EA33" w14:textId="77777777" w:rsidR="00720726" w:rsidRDefault="00000000">
      <w:pPr>
        <w:pStyle w:val="Heading2"/>
      </w:pPr>
      <w:bookmarkStart w:id="146" w:name="_3s83ct9xubi5" w:colFirst="0" w:colLast="0"/>
      <w:bookmarkEnd w:id="146"/>
      <w:r>
        <w:t>6.5 Limitations</w:t>
      </w:r>
    </w:p>
    <w:p w14:paraId="7A2D8229"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As much as this study offers valuable insights on the effect of Corporate Social Responsibility (CSR) on consumer buying behaviour in the case of Sainsbury, several limitations have to be realized. These are the limitations which must be kept in mind when interpreting the findings and evaluating their overall generalisability.</w:t>
      </w:r>
    </w:p>
    <w:p w14:paraId="3EE764B8" w14:textId="77777777" w:rsidR="00720726" w:rsidRDefault="00000000">
      <w:pPr>
        <w:pStyle w:val="Heading3"/>
      </w:pPr>
      <w:bookmarkStart w:id="147" w:name="_c7kexyarcgev" w:colFirst="0" w:colLast="0"/>
      <w:bookmarkEnd w:id="147"/>
      <w:r>
        <w:t>6.5.1 Sample size and generalisability.</w:t>
      </w:r>
    </w:p>
    <w:p w14:paraId="4E0FAA34"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limitation of relatively small and non-random sample size is one of the major limitations of this study. Though about 300 valid responses were analysed, the sample might not be a complete representation of the whole population of the UK consumers. The convenience-based sampling also restricts the generalisation of results to all demographic and geographic groups. Consequently, the conclusions can be more </w:t>
      </w:r>
      <w:r>
        <w:rPr>
          <w:rFonts w:ascii="Arial" w:eastAsia="Arial" w:hAnsi="Arial" w:cs="Arial"/>
          <w:color w:val="000000"/>
          <w:sz w:val="24"/>
          <w:szCs w:val="24"/>
        </w:rPr>
        <w:lastRenderedPageBreak/>
        <w:t>generalizable to the group of respondents, which was selected, as opposed to the general population.</w:t>
      </w:r>
    </w:p>
    <w:p w14:paraId="4A01720B" w14:textId="77777777" w:rsidR="00720726" w:rsidRDefault="00000000">
      <w:pPr>
        <w:pStyle w:val="Heading3"/>
      </w:pPr>
      <w:bookmarkStart w:id="148" w:name="_72w2y0ctkm5n" w:colFirst="0" w:colLast="0"/>
      <w:bookmarkEnd w:id="148"/>
      <w:r>
        <w:t>6.5.2 Self-Reported Data Bias</w:t>
      </w:r>
    </w:p>
    <w:p w14:paraId="3480F214"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research paper is solely based on self-reported survey data, which opens up the risk of response bias. The participants can report exaggerated socially desirable behaviours, like ethical buying or support of CSR activities, not their actual behaviour. This is a problem that is usually found in consumer behaviour studies, where respondents are not always observed to act in accordance with the stated intentions (Saunders et al., 2022).</w:t>
      </w:r>
    </w:p>
    <w:p w14:paraId="51D3BA30" w14:textId="77777777" w:rsidR="00720726" w:rsidRDefault="00000000">
      <w:pPr>
        <w:pStyle w:val="Heading3"/>
      </w:pPr>
      <w:bookmarkStart w:id="149" w:name="_70jp7e35q0lk" w:colFirst="0" w:colLast="0"/>
      <w:bookmarkEnd w:id="149"/>
      <w:r>
        <w:t>6.5.3 Cross-Sectional Research Design</w:t>
      </w:r>
    </w:p>
    <w:p w14:paraId="429AA3DF"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other limitation is that the research design is cross-sectional which only records the consumer attitudes at one point in time. This limits the capability to monitor the way CSR perceptions and purchasing behaviour changes over time. Longitudinal research would be more insightful in estimating the long-term impacts of sustained exposure to CSR initiatives in terms of long-term consumer loyalty and behaviour.</w:t>
      </w:r>
    </w:p>
    <w:p w14:paraId="418D7316" w14:textId="77777777" w:rsidR="00720726" w:rsidRDefault="00000000">
      <w:pPr>
        <w:pStyle w:val="Heading3"/>
      </w:pPr>
      <w:bookmarkStart w:id="150" w:name="_flio9ml82v8m" w:colFirst="0" w:colLast="0"/>
      <w:bookmarkEnd w:id="150"/>
      <w:r>
        <w:t>6.5.4 Limited Variables Considered</w:t>
      </w:r>
    </w:p>
    <w:p w14:paraId="6A84DAFF"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Even though such key variables as CSR perception, brand trust, and purchase intention were analysed, not all the possible influencing factors are included in the study. Such factors as price sensitivity, history of brand loyalty and cultural values were not explored in depth. These are the factors which have not been taken into account and could also have an important influence on the buying behaviour of the consumers.</w:t>
      </w:r>
    </w:p>
    <w:p w14:paraId="05D257D6" w14:textId="77777777" w:rsidR="00720726" w:rsidRDefault="00000000">
      <w:pPr>
        <w:pStyle w:val="Heading3"/>
      </w:pPr>
      <w:bookmarkStart w:id="151" w:name="_t6qldsqo1i5z" w:colFirst="0" w:colLast="0"/>
      <w:bookmarkEnd w:id="151"/>
      <w:r>
        <w:t>6.5.5 Methodological Constraints</w:t>
      </w:r>
    </w:p>
    <w:p w14:paraId="71804F22"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Finally, the study is mostly founded on the quantitative analysis methodology, which may become a limitation in the capacity to learn more about consumer motivations. Even though quantifiable relationships can be provided through the application of such statistical methods as regression and correlation, the statistical techniques may fail to represent the emotional and psychological levels of CSR-related decision-making.</w:t>
      </w:r>
    </w:p>
    <w:p w14:paraId="6268B380"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However, the study is informative and reliable because it adds to the knowledge on the role of CSR in the influence of consumer behaviour. The limitations could be addressed in future by using larger samples, mixed methods and longitudinal designs to ensure that the research is more valid and comprehensive in its understanding.</w:t>
      </w:r>
    </w:p>
    <w:p w14:paraId="65BB21EB" w14:textId="77777777" w:rsidR="00720726" w:rsidRDefault="00000000">
      <w:pPr>
        <w:pStyle w:val="Heading2"/>
      </w:pPr>
      <w:bookmarkStart w:id="152" w:name="_40itxvbwr3kw" w:colFirst="0" w:colLast="0"/>
      <w:bookmarkEnd w:id="152"/>
      <w:r>
        <w:t>6.6. Recommendations for future studies.</w:t>
      </w:r>
    </w:p>
    <w:p w14:paraId="57112E34"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findings of this study can be used to develop future studies of Corporate Social Responsibility (CSR) and consumer buying behaviour in the context of Sainsbury and the retail sector in general.</w:t>
      </w:r>
    </w:p>
    <w:p w14:paraId="49266811" w14:textId="77777777" w:rsidR="00720726" w:rsidRDefault="00000000">
      <w:pPr>
        <w:pStyle w:val="Heading3"/>
      </w:pPr>
      <w:bookmarkStart w:id="153" w:name="_z743nzlq4cx8" w:colFirst="0" w:colLast="0"/>
      <w:bookmarkEnd w:id="153"/>
      <w:r>
        <w:t>6.6.1 Longitudinal Studies</w:t>
      </w:r>
    </w:p>
    <w:p w14:paraId="61733295"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Adoption of longitudinal research designs is one of the significant future research directions. In comparison to cross-sectional studies, longitudinal studies would enable the researchers to investigate the way consumer perceptions of CSR and buying behaviour may vary over time. This is especially critical as the impact of CSR is usually cumulative, and long-term exposure might have a greater effect on brand loyalty and trust development.</w:t>
      </w:r>
    </w:p>
    <w:p w14:paraId="1B68793D" w14:textId="77777777" w:rsidR="00720726" w:rsidRDefault="00000000">
      <w:pPr>
        <w:pStyle w:val="Heading3"/>
      </w:pPr>
      <w:bookmarkStart w:id="154" w:name="_wd4074e60d86" w:colFirst="0" w:colLast="0"/>
      <w:bookmarkEnd w:id="154"/>
      <w:r>
        <w:t>6.6.2 Mixed-Methods Approaches</w:t>
      </w:r>
    </w:p>
    <w:p w14:paraId="11FFDD59"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Future research needs to take into account mixed-method research designs which involve quantitative surveys and qualitative interviews or focus groups. Whereas quantitative methods have been able to provide statistical connections among variables, qualitative methods have the capacity to provide more insights into consumer motivations, emotions, as well as attitudes towards CSR. This would aid in the shortcoming of the narrow contextual knowledge in the purely numerical analysis.</w:t>
      </w:r>
    </w:p>
    <w:p w14:paraId="1FDB5E0D" w14:textId="77777777" w:rsidR="00720726" w:rsidRDefault="00000000">
      <w:pPr>
        <w:pStyle w:val="Heading3"/>
      </w:pPr>
      <w:bookmarkStart w:id="155" w:name="_nmoz6jk2gqkh" w:colFirst="0" w:colLast="0"/>
      <w:bookmarkEnd w:id="155"/>
      <w:r>
        <w:t>6.6.3 Broader Geographical Scope</w:t>
      </w:r>
    </w:p>
    <w:p w14:paraId="3DB3CD79"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other field that could be explored in future is the geographical expansion to go beyond the UK. The comparative research on countries may assist in establishing the impacts of cultural, economic, and regulatory disparities on the effectiveness of CSR. An example is that CSR may be more effective in markets which are environmentally conscious than in price sensitive economies.</w:t>
      </w:r>
    </w:p>
    <w:p w14:paraId="35DE7000" w14:textId="77777777" w:rsidR="00720726" w:rsidRDefault="00000000">
      <w:pPr>
        <w:pStyle w:val="Heading3"/>
      </w:pPr>
      <w:bookmarkStart w:id="156" w:name="_hq98hh3lnx5z" w:colFirst="0" w:colLast="0"/>
      <w:bookmarkEnd w:id="156"/>
      <w:r>
        <w:lastRenderedPageBreak/>
        <w:t>6.6.4 Discussion of Other Variables.</w:t>
      </w:r>
    </w:p>
    <w:p w14:paraId="317B900F"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Other variables which may influence consumer behaviour should also be included in the research in future studies. Factors such as price sensitivity, brand loyalty, social influence, and digital engagement could provide a more holistic understanding of purchasing decisions. In addition, the theoretical models may be further developed by considering the mediating and moderating variables, such as consumer values or perceived authenticity of CSR.</w:t>
      </w:r>
    </w:p>
    <w:p w14:paraId="6C52640A" w14:textId="77777777" w:rsidR="00720726" w:rsidRDefault="00000000">
      <w:pPr>
        <w:pStyle w:val="Heading3"/>
      </w:pPr>
      <w:bookmarkStart w:id="157" w:name="_tmgwl8nx4vp6" w:colFirst="0" w:colLast="0"/>
      <w:bookmarkEnd w:id="157"/>
      <w:r>
        <w:t>6.6.5 Sector-Specific Comparative Studies</w:t>
      </w:r>
    </w:p>
    <w:p w14:paraId="2FD4D69C"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Even though this paper has focused on the impact of CSR in the retail industry, future studies need to target comparing the effects of CSR in the retail industry and other sectors such as fashion, banks, and hospitality. This would help to define the homogenous or very diverse effect of CSR, depending on the features of the industries and customer demands.</w:t>
      </w:r>
    </w:p>
    <w:p w14:paraId="1339E5A2"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In general, future studies should seek to come up with more comprehensive, context-based, and multi-dimensional models of CSR influence. Not only will this enhance academic knowledge but also offer more actionable knowledge to businesses that are looking to increase consumer engagement and competitive advantage by employing CSR strategies.</w:t>
      </w:r>
    </w:p>
    <w:p w14:paraId="2F2B2BDA" w14:textId="77777777" w:rsidR="00720726" w:rsidRDefault="00000000">
      <w:pPr>
        <w:pStyle w:val="Heading2"/>
      </w:pPr>
      <w:bookmarkStart w:id="158" w:name="_v726k2bds2t8" w:colFirst="0" w:colLast="0"/>
      <w:bookmarkEnd w:id="158"/>
      <w:r>
        <w:t xml:space="preserve">6.7 Theoretical Implications </w:t>
      </w:r>
    </w:p>
    <w:p w14:paraId="263E2649"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results of the present study have several important implications to the current theories on Corporate Social Responsibility (CSR) and consumer behaviour. The research reinforces and extrapolates a number of well-known theoretical models in the process of undertaking its research.</w:t>
      </w:r>
    </w:p>
    <w:p w14:paraId="394F7B10" w14:textId="77777777" w:rsidR="00720726" w:rsidRDefault="00000000">
      <w:pPr>
        <w:pBdr>
          <w:top w:val="nil"/>
          <w:left w:val="nil"/>
          <w:bottom w:val="nil"/>
          <w:right w:val="nil"/>
          <w:between w:val="nil"/>
        </w:pBdr>
        <w:spacing w:before="240" w:after="24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6.7.1 Stakeholder Theory</w:t>
      </w:r>
    </w:p>
    <w:p w14:paraId="3930E5A9"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findings are in strong support of Stakeholder Theory that postulates that organisations have to respond to the needs of various stakeholder groups, such as consumers. The conclusion that CSR has positive impacts on purchase intention proves the point that consumers are indeed responsive to corporate ethical and socially responsible conducts. This supports the notion that consumers are not mere </w:t>
      </w:r>
      <w:r>
        <w:rPr>
          <w:rFonts w:ascii="Arial" w:eastAsia="Arial" w:hAnsi="Arial" w:cs="Arial"/>
          <w:color w:val="000000"/>
          <w:sz w:val="24"/>
          <w:szCs w:val="24"/>
        </w:rPr>
        <w:lastRenderedPageBreak/>
        <w:t>buyers but active stakeholders who will reward responsible corporate behaviour through buying decisions (Freeman, 2020; Jones et al., 2021).</w:t>
      </w:r>
    </w:p>
    <w:p w14:paraId="23E75DDC" w14:textId="77777777" w:rsidR="00720726" w:rsidRDefault="00000000">
      <w:pPr>
        <w:pBdr>
          <w:top w:val="nil"/>
          <w:left w:val="nil"/>
          <w:bottom w:val="nil"/>
          <w:right w:val="nil"/>
          <w:between w:val="nil"/>
        </w:pBdr>
        <w:spacing w:before="240" w:after="24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6.7.2 Planned Behaviour Theory of Planned Behaviour (TPB)</w:t>
      </w:r>
    </w:p>
    <w:p w14:paraId="7E08961D"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research also supports the Theory of Planned Behaviour (TPB) since it shows that CSR can affect consumer attitudes, which consequently can influence behavioural intentions. Favourable attitudes towards CSR were observed to mediate purchase intention, which demonstrates that attitudes have a central mediating effect on the decision-making process. Also, subjective norms regarding ethically conscious consumption seem to gain more and more significance, especially in younger customers, who feel compelled by societal standards to use responsible brands (Ajzen, 2020; Hansen and Saridakis, 2021).</w:t>
      </w:r>
    </w:p>
    <w:p w14:paraId="2A73C488" w14:textId="77777777" w:rsidR="00720726" w:rsidRDefault="00000000">
      <w:pPr>
        <w:pBdr>
          <w:top w:val="nil"/>
          <w:left w:val="nil"/>
          <w:bottom w:val="nil"/>
          <w:right w:val="nil"/>
          <w:between w:val="nil"/>
        </w:pBdr>
        <w:spacing w:before="240" w:after="24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6.7.3 Signalling Theory</w:t>
      </w:r>
    </w:p>
    <w:p w14:paraId="364761C2"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results support well Signalling Theory, which proposes that CSR serves as a sign of reliability and ethical responsibility. The fact that the CSR perception and brand trust are strongly related confirms the fact that the consumers interpret CSR activities as the credible indicators of the corporate integrity. This minimizes information asymmetry and increases the trust in the brand, especially when the CSR initiatives are clearly visible and verifiable (Spence, 2020; Lee and Carroll, 2021).</w:t>
      </w:r>
    </w:p>
    <w:p w14:paraId="6B7E2CD6" w14:textId="77777777" w:rsidR="00720726" w:rsidRDefault="00000000">
      <w:pPr>
        <w:pBdr>
          <w:top w:val="nil"/>
          <w:left w:val="nil"/>
          <w:bottom w:val="nil"/>
          <w:right w:val="nil"/>
          <w:between w:val="nil"/>
        </w:pBdr>
        <w:spacing w:before="240" w:after="24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6.7.4 Social Identity Theory</w:t>
      </w:r>
    </w:p>
    <w:p w14:paraId="628AF404"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findings are also consistent with a Social Identity Theory, which describes how people can express their values through consumption. The fact that younger consumers are more responsive to CSR indicates that they employ ethical consumption as a form of strengthening their social identity. By endorsing responsible brands, consumers are able to identify themselves with such values as sustainability and social responsibility (Tajfel and Turner, 2020; Bianchi et al., 2022).</w:t>
      </w:r>
    </w:p>
    <w:p w14:paraId="07C03B69" w14:textId="77777777" w:rsidR="00720726" w:rsidRDefault="00000000">
      <w:pPr>
        <w:pBdr>
          <w:top w:val="nil"/>
          <w:left w:val="nil"/>
          <w:bottom w:val="nil"/>
          <w:right w:val="nil"/>
          <w:between w:val="nil"/>
        </w:pBdr>
        <w:spacing w:before="240" w:after="24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6.7.5 Contribution to CSR–Consumer Behaviour Literature</w:t>
      </w:r>
    </w:p>
    <w:p w14:paraId="74B3EB94"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In general, the study is an expansion of the existing literature as it presents the empirical evidence on the UK supermarket sector, an area that has been under-researched. It also brings out the mediating- role of brand trust and the moderating-</w:t>
      </w:r>
      <w:r>
        <w:rPr>
          <w:rFonts w:ascii="Arial" w:eastAsia="Arial" w:hAnsi="Arial" w:cs="Arial"/>
          <w:color w:val="000000"/>
          <w:sz w:val="24"/>
          <w:szCs w:val="24"/>
        </w:rPr>
        <w:lastRenderedPageBreak/>
        <w:t>role of demographic factors, hence provides a more integrated picture of how CSR influences consumer behaviour. This increases the theoretical clarity, by connecting several frameworks into a single explanation of CSR-driven purchasing behaviour.</w:t>
      </w:r>
    </w:p>
    <w:p w14:paraId="35619510"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In general, these theoretical perspectives indicate that CSR determines consumer behaviour by using a variety of psychological and social processes. The study gives a more holistic understanding of the role of CSR in creating trust, attitudes, and purchase intention in the retail industry by integrating major theories.</w:t>
      </w:r>
    </w:p>
    <w:p w14:paraId="7BA049DF" w14:textId="77777777" w:rsidR="00720726" w:rsidRDefault="00000000">
      <w:pPr>
        <w:pStyle w:val="Heading2"/>
      </w:pPr>
      <w:bookmarkStart w:id="159" w:name="_k2umct7e25az" w:colFirst="0" w:colLast="0"/>
      <w:bookmarkEnd w:id="159"/>
      <w:r>
        <w:t>6.8 Managerial Implications</w:t>
      </w:r>
    </w:p>
    <w:p w14:paraId="4F3EDFA7"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 The results of this research have significant practical implications to the marketing managers and decision-makers at Sainsbury, in creating and applying effective Corporate Social Responsibility (CSR) initiatives in influencing the consumer buying behaviour.</w:t>
      </w:r>
    </w:p>
    <w:p w14:paraId="3A16FC62" w14:textId="77777777" w:rsidR="00720726" w:rsidRDefault="00000000">
      <w:pPr>
        <w:pBdr>
          <w:top w:val="nil"/>
          <w:left w:val="nil"/>
          <w:bottom w:val="nil"/>
          <w:right w:val="nil"/>
          <w:between w:val="nil"/>
        </w:pBdr>
        <w:spacing w:before="240" w:after="24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6.8.1 CSR as a Strategic Marketing Tool.</w:t>
      </w:r>
    </w:p>
    <w:p w14:paraId="1EDD18F7"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findings make it very clear that CSR is not merely an ethical obligation but also a strategic marketing tool. Managers ought to encompass CSR in the core business and branding strategies as opposed to viewing it as a peripheral activity. Properly organized CSR programs have the potential to directly increase consumer confidence and purchase intention, which can be used to gain competitive advantage in the retail market (Kotler et al., 2022).</w:t>
      </w:r>
    </w:p>
    <w:p w14:paraId="23137BA5" w14:textId="77777777" w:rsidR="00720726" w:rsidRDefault="00000000">
      <w:pPr>
        <w:pBdr>
          <w:top w:val="nil"/>
          <w:left w:val="nil"/>
          <w:bottom w:val="nil"/>
          <w:right w:val="nil"/>
          <w:between w:val="nil"/>
        </w:pBdr>
        <w:spacing w:before="240" w:after="24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6.8.2 Strengthening Brand Trust</w:t>
      </w:r>
    </w:p>
    <w:p w14:paraId="3D7B4075"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According to the study, brand trust is one of the most important mediating variables between CSR and purchase intention. Thus, managers ought to strive to establish a long-term trust by maintaining transparent and regular CSR practices. These involve the transparent reporting of sustainability practices, ethical sourcing and community giving. The issue of greenwashing is to be avoided as customers are becoming more sensitive to false CSR messages (Tran and Harwood, 2022).</w:t>
      </w:r>
    </w:p>
    <w:p w14:paraId="3C64A856" w14:textId="77777777" w:rsidR="00720726" w:rsidRDefault="00000000">
      <w:pPr>
        <w:pBdr>
          <w:top w:val="nil"/>
          <w:left w:val="nil"/>
          <w:bottom w:val="nil"/>
          <w:right w:val="nil"/>
          <w:between w:val="nil"/>
        </w:pBdr>
        <w:spacing w:before="240" w:after="24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6.8.3 Targeted CSR Communication Strategies</w:t>
      </w:r>
    </w:p>
    <w:p w14:paraId="7C9AD14B"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Consumers vary in their response to CSR initiatives depending on their consumer group. CSR, especially environmental programs, have a greater impact on younger consumers. Thus, to communicate sustainability to this target demographic, managers ought to focus on digital CSR communication strategies, including social media campaigns, influencer partnerships, and interactive sustainability content (White et al., 2021). Value, quality, and long-term advantages should be stressed in communication along with CSR messages to older and price-sensitive consumers.</w:t>
      </w:r>
    </w:p>
    <w:p w14:paraId="5A5C1338" w14:textId="4D18404D" w:rsidR="00720726" w:rsidRDefault="00000000">
      <w:pPr>
        <w:pBdr>
          <w:top w:val="nil"/>
          <w:left w:val="nil"/>
          <w:bottom w:val="nil"/>
          <w:right w:val="nil"/>
          <w:between w:val="nil"/>
        </w:pBdr>
        <w:spacing w:before="240" w:after="24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6.8.4 Pay attention to Envi</w:t>
      </w:r>
      <w:r w:rsidR="00B330FC">
        <w:rPr>
          <w:rFonts w:ascii="Arial" w:eastAsia="Arial" w:hAnsi="Arial" w:cs="Arial"/>
          <w:b/>
          <w:bCs/>
          <w:color w:val="000000"/>
          <w:sz w:val="24"/>
          <w:szCs w:val="24"/>
        </w:rPr>
        <w:t>*0</w:t>
      </w:r>
      <w:r>
        <w:rPr>
          <w:rFonts w:ascii="Arial" w:eastAsia="Arial" w:hAnsi="Arial" w:cs="Arial"/>
          <w:b/>
          <w:bCs/>
          <w:color w:val="000000"/>
          <w:sz w:val="24"/>
          <w:szCs w:val="24"/>
        </w:rPr>
        <w:t>ronmental CSR Initiatives.</w:t>
      </w:r>
    </w:p>
    <w:p w14:paraId="195A379E" w14:textId="77777777" w:rsidR="00720726"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The results indicate that the consumer behaviour is affected most by environmental CSR. Managers must thus consider the need to invest in sustainability-oriented programs, including the reduction of plastic consumption, the decreasing number of carbon emissions, and the adoption of eco-friendly packaging. These efforts do not only enhance brand perception but also correspond to the emerging consumer demands in terms of environmental responsibility (Zhang and Bhatt, 2021).</w:t>
      </w:r>
    </w:p>
    <w:p w14:paraId="35146DEF" w14:textId="77777777" w:rsidR="00720726" w:rsidRDefault="00000000">
      <w:pPr>
        <w:pBdr>
          <w:top w:val="nil"/>
          <w:left w:val="nil"/>
          <w:bottom w:val="nil"/>
          <w:right w:val="nil"/>
          <w:between w:val="nil"/>
        </w:pBdr>
        <w:spacing w:before="240" w:after="240" w:line="360" w:lineRule="auto"/>
        <w:jc w:val="both"/>
        <w:rPr>
          <w:rFonts w:ascii="Arial" w:eastAsia="Arial" w:hAnsi="Arial" w:cs="Arial"/>
          <w:b/>
          <w:bCs/>
          <w:color w:val="000000"/>
          <w:sz w:val="24"/>
          <w:szCs w:val="24"/>
        </w:rPr>
      </w:pPr>
      <w:r>
        <w:rPr>
          <w:rFonts w:ascii="Arial" w:eastAsia="Arial" w:hAnsi="Arial" w:cs="Arial"/>
          <w:b/>
          <w:bCs/>
          <w:color w:val="000000"/>
          <w:sz w:val="24"/>
          <w:szCs w:val="24"/>
        </w:rPr>
        <w:t>6.8.5 Enhancing Consumer Engagement</w:t>
      </w:r>
    </w:p>
    <w:p w14:paraId="6BCA32E1" w14:textId="7663AD05" w:rsidR="00FC0FCD" w:rsidRDefault="00000000">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t>Managers are also advised to promote active consumer response to CSR initiatives, including community programmes, recycling schemes, sustainability awareness campaigns. Engaged consumers are better placed to form emotional attachment to the brand which will result in increased loyalty and repeat purchases.</w:t>
      </w:r>
      <w:r>
        <w:rPr>
          <w:rFonts w:ascii="Arial" w:eastAsia="Arial" w:hAnsi="Arial" w:cs="Arial"/>
          <w:sz w:val="24"/>
          <w:szCs w:val="24"/>
        </w:rPr>
        <w:t xml:space="preserve"> </w:t>
      </w:r>
      <w:r>
        <w:rPr>
          <w:rFonts w:ascii="Arial" w:eastAsia="Arial" w:hAnsi="Arial" w:cs="Arial"/>
          <w:color w:val="000000"/>
          <w:sz w:val="24"/>
          <w:szCs w:val="24"/>
        </w:rPr>
        <w:t xml:space="preserve">Generally, the research paper indicates that successful CSR execution can greatly boost brand trust, consumer interest, and buying intentions. </w:t>
      </w:r>
    </w:p>
    <w:p w14:paraId="68F19FE9" w14:textId="77777777" w:rsidR="00FC0FCD" w:rsidRDefault="00FC0FCD">
      <w:pPr>
        <w:rPr>
          <w:rFonts w:ascii="Arial" w:eastAsia="Arial" w:hAnsi="Arial" w:cs="Arial"/>
          <w:color w:val="000000"/>
          <w:sz w:val="24"/>
          <w:szCs w:val="24"/>
        </w:rPr>
      </w:pPr>
      <w:r>
        <w:rPr>
          <w:rFonts w:ascii="Arial" w:eastAsia="Arial" w:hAnsi="Arial" w:cs="Arial"/>
          <w:color w:val="000000"/>
          <w:sz w:val="24"/>
          <w:szCs w:val="24"/>
        </w:rPr>
        <w:br w:type="page"/>
      </w:r>
    </w:p>
    <w:p w14:paraId="53A4DA9D" w14:textId="675DC373" w:rsidR="00720726" w:rsidRDefault="00B330FC">
      <w:pPr>
        <w:pBdr>
          <w:top w:val="nil"/>
          <w:left w:val="nil"/>
          <w:bottom w:val="nil"/>
          <w:right w:val="nil"/>
          <w:between w:val="nil"/>
        </w:pBdr>
        <w:spacing w:before="240" w:after="24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w:t>
      </w:r>
    </w:p>
    <w:p w14:paraId="470EBF66" w14:textId="77777777" w:rsidR="00720726" w:rsidRDefault="00000000">
      <w:pPr>
        <w:pStyle w:val="Heading1"/>
      </w:pPr>
      <w:bookmarkStart w:id="160" w:name="_ck3bzlk90wn5" w:colFirst="0" w:colLast="0"/>
      <w:bookmarkEnd w:id="160"/>
      <w:r>
        <w:t xml:space="preserve">References </w:t>
      </w:r>
    </w:p>
    <w:p w14:paraId="1BD187FF" w14:textId="77777777" w:rsidR="00720726" w:rsidRDefault="00000000">
      <w:pPr>
        <w:numPr>
          <w:ilvl w:val="0"/>
          <w:numId w:val="6"/>
        </w:numPr>
        <w:pBdr>
          <w:top w:val="nil"/>
          <w:left w:val="nil"/>
          <w:bottom w:val="nil"/>
          <w:right w:val="nil"/>
          <w:between w:val="nil"/>
        </w:pBdr>
        <w:spacing w:before="280"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Ajzen, I. (2020) The theory of planned behaviour: Reactions and reflections. </w:t>
      </w:r>
      <w:r>
        <w:rPr>
          <w:rFonts w:ascii="Arial" w:eastAsia="Arial" w:hAnsi="Arial" w:cs="Arial"/>
          <w:i/>
          <w:iCs/>
          <w:color w:val="000000"/>
          <w:sz w:val="24"/>
          <w:szCs w:val="24"/>
        </w:rPr>
        <w:t>Psychology &amp; Health</w:t>
      </w:r>
      <w:r>
        <w:rPr>
          <w:rFonts w:ascii="Arial" w:eastAsia="Arial" w:hAnsi="Arial" w:cs="Arial"/>
          <w:color w:val="000000"/>
          <w:sz w:val="24"/>
          <w:szCs w:val="24"/>
        </w:rPr>
        <w:t>, 35(7), pp. 913–931.</w:t>
      </w:r>
      <w:r>
        <w:rPr>
          <w:rFonts w:ascii="Arial" w:eastAsia="Arial" w:hAnsi="Arial" w:cs="Arial"/>
          <w:color w:val="000000"/>
          <w:sz w:val="24"/>
          <w:szCs w:val="24"/>
        </w:rPr>
        <w:br/>
      </w:r>
      <w:hyperlink r:id="rId22">
        <w:r w:rsidR="00720726">
          <w:rPr>
            <w:rFonts w:ascii="Arial" w:eastAsia="Arial" w:hAnsi="Arial" w:cs="Arial"/>
            <w:color w:val="0000FF"/>
            <w:sz w:val="24"/>
            <w:szCs w:val="24"/>
            <w:u w:val="single"/>
          </w:rPr>
          <w:t>https://doi.org/10.1080/08870446.2020.1771288</w:t>
        </w:r>
      </w:hyperlink>
      <w:r>
        <w:rPr>
          <w:rFonts w:ascii="Arial" w:eastAsia="Arial" w:hAnsi="Arial" w:cs="Arial"/>
          <w:color w:val="000000"/>
          <w:sz w:val="24"/>
          <w:szCs w:val="24"/>
        </w:rPr>
        <w:t xml:space="preserve"> Accessed: 04 May 2026.</w:t>
      </w:r>
    </w:p>
    <w:p w14:paraId="505AF03E"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Bianchi, C. et al. (2022) Consumer brand identification and CSR. </w:t>
      </w:r>
      <w:r>
        <w:rPr>
          <w:rFonts w:ascii="Arial" w:eastAsia="Arial" w:hAnsi="Arial" w:cs="Arial"/>
          <w:i/>
          <w:iCs/>
          <w:color w:val="000000"/>
          <w:sz w:val="24"/>
          <w:szCs w:val="24"/>
        </w:rPr>
        <w:t>Journal of Business Research</w:t>
      </w:r>
      <w:r>
        <w:rPr>
          <w:rFonts w:ascii="Arial" w:eastAsia="Arial" w:hAnsi="Arial" w:cs="Arial"/>
          <w:color w:val="000000"/>
          <w:sz w:val="24"/>
          <w:szCs w:val="24"/>
        </w:rPr>
        <w:t>, 145, pp. 145–158.</w:t>
      </w:r>
      <w:r>
        <w:rPr>
          <w:rFonts w:ascii="Arial" w:eastAsia="Arial" w:hAnsi="Arial" w:cs="Arial"/>
          <w:color w:val="000000"/>
          <w:sz w:val="24"/>
          <w:szCs w:val="24"/>
        </w:rPr>
        <w:br/>
      </w:r>
      <w:hyperlink r:id="rId23">
        <w:r w:rsidR="00720726">
          <w:rPr>
            <w:rFonts w:ascii="Arial" w:eastAsia="Arial" w:hAnsi="Arial" w:cs="Arial"/>
            <w:color w:val="0000FF"/>
            <w:sz w:val="24"/>
            <w:szCs w:val="24"/>
            <w:u w:val="single"/>
          </w:rPr>
          <w:t>https://doi.org/10.1016/j.jbusres.2022.03.012</w:t>
        </w:r>
      </w:hyperlink>
      <w:r>
        <w:rPr>
          <w:rFonts w:ascii="Arial" w:eastAsia="Arial" w:hAnsi="Arial" w:cs="Arial"/>
          <w:color w:val="000000"/>
          <w:sz w:val="24"/>
          <w:szCs w:val="24"/>
        </w:rPr>
        <w:t xml:space="preserve"> Accessed: 04 May 2026.</w:t>
      </w:r>
    </w:p>
    <w:p w14:paraId="4BBF539D"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Casaló, L. et al. (2020) Trust in CSR-driven brands. </w:t>
      </w:r>
      <w:r>
        <w:rPr>
          <w:rFonts w:ascii="Arial" w:eastAsia="Arial" w:hAnsi="Arial" w:cs="Arial"/>
          <w:i/>
          <w:iCs/>
          <w:color w:val="000000"/>
          <w:sz w:val="24"/>
          <w:szCs w:val="24"/>
        </w:rPr>
        <w:t>Journal of Retailing and Consumer Services</w:t>
      </w:r>
      <w:r>
        <w:rPr>
          <w:rFonts w:ascii="Arial" w:eastAsia="Arial" w:hAnsi="Arial" w:cs="Arial"/>
          <w:color w:val="000000"/>
          <w:sz w:val="24"/>
          <w:szCs w:val="24"/>
        </w:rPr>
        <w:t>, 54.</w:t>
      </w:r>
      <w:r>
        <w:rPr>
          <w:rFonts w:ascii="Arial" w:eastAsia="Arial" w:hAnsi="Arial" w:cs="Arial"/>
          <w:color w:val="000000"/>
          <w:sz w:val="24"/>
          <w:szCs w:val="24"/>
        </w:rPr>
        <w:br/>
      </w:r>
      <w:hyperlink r:id="rId24">
        <w:r w:rsidR="00720726">
          <w:rPr>
            <w:rFonts w:ascii="Arial" w:eastAsia="Arial" w:hAnsi="Arial" w:cs="Arial"/>
            <w:color w:val="0000FF"/>
            <w:sz w:val="24"/>
            <w:szCs w:val="24"/>
            <w:u w:val="single"/>
          </w:rPr>
          <w:t>https://doi.org/10.1016/j.jretconser.2020.102042</w:t>
        </w:r>
      </w:hyperlink>
      <w:r>
        <w:rPr>
          <w:rFonts w:ascii="Arial" w:eastAsia="Arial" w:hAnsi="Arial" w:cs="Arial"/>
          <w:color w:val="000000"/>
          <w:sz w:val="24"/>
          <w:szCs w:val="24"/>
        </w:rPr>
        <w:t xml:space="preserve"> Accessed: 04 May 2026.</w:t>
      </w:r>
    </w:p>
    <w:p w14:paraId="05F786C1"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Dean, D. et al. (2022) Attitude–behaviour gap in ethical consumption. </w:t>
      </w:r>
      <w:r>
        <w:rPr>
          <w:rFonts w:ascii="Arial" w:eastAsia="Arial" w:hAnsi="Arial" w:cs="Arial"/>
          <w:i/>
          <w:iCs/>
          <w:color w:val="000000"/>
          <w:sz w:val="24"/>
          <w:szCs w:val="24"/>
        </w:rPr>
        <w:t>Journal of Consumer Behaviour</w:t>
      </w:r>
      <w:r>
        <w:rPr>
          <w:rFonts w:ascii="Arial" w:eastAsia="Arial" w:hAnsi="Arial" w:cs="Arial"/>
          <w:color w:val="000000"/>
          <w:sz w:val="24"/>
          <w:szCs w:val="24"/>
        </w:rPr>
        <w:t>.</w:t>
      </w:r>
      <w:r>
        <w:rPr>
          <w:rFonts w:ascii="Arial" w:eastAsia="Arial" w:hAnsi="Arial" w:cs="Arial"/>
          <w:color w:val="000000"/>
          <w:sz w:val="24"/>
          <w:szCs w:val="24"/>
        </w:rPr>
        <w:br/>
      </w:r>
      <w:hyperlink r:id="rId25">
        <w:r w:rsidR="00720726">
          <w:rPr>
            <w:rFonts w:ascii="Arial" w:eastAsia="Arial" w:hAnsi="Arial" w:cs="Arial"/>
            <w:color w:val="0000FF"/>
            <w:sz w:val="24"/>
            <w:szCs w:val="24"/>
            <w:u w:val="single"/>
          </w:rPr>
          <w:t>https://doi.org/10.1002/cb.1980</w:t>
        </w:r>
      </w:hyperlink>
      <w:r>
        <w:rPr>
          <w:rFonts w:ascii="Arial" w:eastAsia="Arial" w:hAnsi="Arial" w:cs="Arial"/>
          <w:color w:val="000000"/>
          <w:sz w:val="24"/>
          <w:szCs w:val="24"/>
        </w:rPr>
        <w:t xml:space="preserve"> Accessed: 04 May 2026.</w:t>
      </w:r>
    </w:p>
    <w:p w14:paraId="03F94FFE"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Freeman, R.E. (2020) </w:t>
      </w:r>
      <w:r>
        <w:rPr>
          <w:rFonts w:ascii="Arial" w:eastAsia="Arial" w:hAnsi="Arial" w:cs="Arial"/>
          <w:i/>
          <w:iCs/>
          <w:color w:val="000000"/>
          <w:sz w:val="24"/>
          <w:szCs w:val="24"/>
        </w:rPr>
        <w:t>Stakeholder theory</w:t>
      </w:r>
      <w:r>
        <w:rPr>
          <w:rFonts w:ascii="Arial" w:eastAsia="Arial" w:hAnsi="Arial" w:cs="Arial"/>
          <w:color w:val="000000"/>
          <w:sz w:val="24"/>
          <w:szCs w:val="24"/>
        </w:rPr>
        <w:t>. Cambridge University Press.</w:t>
      </w:r>
      <w:r>
        <w:rPr>
          <w:rFonts w:ascii="Arial" w:eastAsia="Arial" w:hAnsi="Arial" w:cs="Arial"/>
          <w:color w:val="000000"/>
          <w:sz w:val="24"/>
          <w:szCs w:val="24"/>
        </w:rPr>
        <w:br/>
      </w:r>
      <w:hyperlink r:id="rId26">
        <w:r w:rsidR="00720726">
          <w:rPr>
            <w:rFonts w:ascii="Arial" w:eastAsia="Arial" w:hAnsi="Arial" w:cs="Arial"/>
            <w:color w:val="0000FF"/>
            <w:sz w:val="24"/>
            <w:szCs w:val="24"/>
            <w:u w:val="single"/>
          </w:rPr>
          <w:t>https://www.cambridge.org/core/books/stakeholder-theory</w:t>
        </w:r>
      </w:hyperlink>
      <w:r>
        <w:rPr>
          <w:rFonts w:ascii="Arial" w:eastAsia="Arial" w:hAnsi="Arial" w:cs="Arial"/>
          <w:color w:val="000000"/>
          <w:sz w:val="24"/>
          <w:szCs w:val="24"/>
        </w:rPr>
        <w:t xml:space="preserve"> Accessed: 04 May 2026.</w:t>
      </w:r>
    </w:p>
    <w:p w14:paraId="0E7E6764"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Gürhan-Canli, Z. &amp; Batra, R. (2022) CSR and willingness to pay premium. </w:t>
      </w:r>
      <w:r>
        <w:rPr>
          <w:rFonts w:ascii="Arial" w:eastAsia="Arial" w:hAnsi="Arial" w:cs="Arial"/>
          <w:i/>
          <w:iCs/>
          <w:color w:val="000000"/>
          <w:sz w:val="24"/>
          <w:szCs w:val="24"/>
        </w:rPr>
        <w:t>Journal of Marketing</w:t>
      </w:r>
      <w:r>
        <w:rPr>
          <w:rFonts w:ascii="Arial" w:eastAsia="Arial" w:hAnsi="Arial" w:cs="Arial"/>
          <w:color w:val="000000"/>
          <w:sz w:val="24"/>
          <w:szCs w:val="24"/>
        </w:rPr>
        <w:t>.</w:t>
      </w:r>
      <w:r>
        <w:rPr>
          <w:rFonts w:ascii="Arial" w:eastAsia="Arial" w:hAnsi="Arial" w:cs="Arial"/>
          <w:color w:val="000000"/>
          <w:sz w:val="24"/>
          <w:szCs w:val="24"/>
        </w:rPr>
        <w:br/>
      </w:r>
      <w:hyperlink r:id="rId27">
        <w:r w:rsidR="00720726">
          <w:rPr>
            <w:rFonts w:ascii="Arial" w:eastAsia="Arial" w:hAnsi="Arial" w:cs="Arial"/>
            <w:color w:val="0000FF"/>
            <w:sz w:val="24"/>
            <w:szCs w:val="24"/>
            <w:u w:val="single"/>
          </w:rPr>
          <w:t>https://doi.org/10.1177/00222429221101234</w:t>
        </w:r>
      </w:hyperlink>
      <w:r>
        <w:rPr>
          <w:rFonts w:ascii="Arial" w:eastAsia="Arial" w:hAnsi="Arial" w:cs="Arial"/>
          <w:color w:val="000000"/>
          <w:sz w:val="24"/>
          <w:szCs w:val="24"/>
        </w:rPr>
        <w:t xml:space="preserve"> Accessed: 04 May 2026.</w:t>
      </w:r>
    </w:p>
    <w:p w14:paraId="22512FF0"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Gupta, S. &amp; Kumar, V. (2023) CSR communication effectiveness. </w:t>
      </w:r>
      <w:r>
        <w:rPr>
          <w:rFonts w:ascii="Arial" w:eastAsia="Arial" w:hAnsi="Arial" w:cs="Arial"/>
          <w:i/>
          <w:iCs/>
          <w:color w:val="000000"/>
          <w:sz w:val="24"/>
          <w:szCs w:val="24"/>
        </w:rPr>
        <w:t>International Journal of Retail &amp; Distribution Management</w:t>
      </w:r>
      <w:r>
        <w:rPr>
          <w:rFonts w:ascii="Arial" w:eastAsia="Arial" w:hAnsi="Arial" w:cs="Arial"/>
          <w:color w:val="000000"/>
          <w:sz w:val="24"/>
          <w:szCs w:val="24"/>
        </w:rPr>
        <w:t>.</w:t>
      </w:r>
      <w:r>
        <w:rPr>
          <w:rFonts w:ascii="Arial" w:eastAsia="Arial" w:hAnsi="Arial" w:cs="Arial"/>
          <w:color w:val="000000"/>
          <w:sz w:val="24"/>
          <w:szCs w:val="24"/>
        </w:rPr>
        <w:br/>
      </w:r>
      <w:hyperlink r:id="rId28">
        <w:r w:rsidR="00720726">
          <w:rPr>
            <w:rFonts w:ascii="Arial" w:eastAsia="Arial" w:hAnsi="Arial" w:cs="Arial"/>
            <w:color w:val="0000FF"/>
            <w:sz w:val="24"/>
            <w:szCs w:val="24"/>
            <w:u w:val="single"/>
          </w:rPr>
          <w:t>https://doi.org/10.1108/IJRDM-01-2023-0032</w:t>
        </w:r>
      </w:hyperlink>
      <w:r>
        <w:rPr>
          <w:rFonts w:ascii="Arial" w:eastAsia="Arial" w:hAnsi="Arial" w:cs="Arial"/>
          <w:color w:val="000000"/>
          <w:sz w:val="24"/>
          <w:szCs w:val="24"/>
        </w:rPr>
        <w:t xml:space="preserve"> Accessed: 04 May 2026.</w:t>
      </w:r>
    </w:p>
    <w:p w14:paraId="1FA8BE0A"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Hansen, J. &amp; Saridakis, G. (2021) TPB and CSR behaviour. </w:t>
      </w:r>
      <w:r>
        <w:rPr>
          <w:rFonts w:ascii="Arial" w:eastAsia="Arial" w:hAnsi="Arial" w:cs="Arial"/>
          <w:i/>
          <w:iCs/>
          <w:color w:val="000000"/>
          <w:sz w:val="24"/>
          <w:szCs w:val="24"/>
        </w:rPr>
        <w:t>Journal of Business Ethics</w:t>
      </w:r>
      <w:r>
        <w:rPr>
          <w:rFonts w:ascii="Arial" w:eastAsia="Arial" w:hAnsi="Arial" w:cs="Arial"/>
          <w:color w:val="000000"/>
          <w:sz w:val="24"/>
          <w:szCs w:val="24"/>
        </w:rPr>
        <w:t>.</w:t>
      </w:r>
      <w:r>
        <w:rPr>
          <w:rFonts w:ascii="Arial" w:eastAsia="Arial" w:hAnsi="Arial" w:cs="Arial"/>
          <w:color w:val="000000"/>
          <w:sz w:val="24"/>
          <w:szCs w:val="24"/>
        </w:rPr>
        <w:br/>
      </w:r>
      <w:hyperlink r:id="rId29">
        <w:r w:rsidR="00720726">
          <w:rPr>
            <w:rFonts w:ascii="Arial" w:eastAsia="Arial" w:hAnsi="Arial" w:cs="Arial"/>
            <w:color w:val="0000FF"/>
            <w:sz w:val="24"/>
            <w:szCs w:val="24"/>
            <w:u w:val="single"/>
          </w:rPr>
          <w:t>https://doi.org/10.1007/s10551-021-04890-1</w:t>
        </w:r>
      </w:hyperlink>
      <w:r>
        <w:rPr>
          <w:rFonts w:ascii="Arial" w:eastAsia="Arial" w:hAnsi="Arial" w:cs="Arial"/>
          <w:color w:val="000000"/>
          <w:sz w:val="24"/>
          <w:szCs w:val="24"/>
        </w:rPr>
        <w:t xml:space="preserve"> Accessed: 04 May 2026.</w:t>
      </w:r>
    </w:p>
    <w:p w14:paraId="278F53C9"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Hobson, K. &amp; Lynch, N. (2020) Ethical consumption practices. </w:t>
      </w:r>
      <w:r>
        <w:rPr>
          <w:rFonts w:ascii="Arial" w:eastAsia="Arial" w:hAnsi="Arial" w:cs="Arial"/>
          <w:i/>
          <w:iCs/>
          <w:color w:val="000000"/>
          <w:sz w:val="24"/>
          <w:szCs w:val="24"/>
        </w:rPr>
        <w:t>Environmental Politics</w:t>
      </w:r>
      <w:r>
        <w:rPr>
          <w:rFonts w:ascii="Arial" w:eastAsia="Arial" w:hAnsi="Arial" w:cs="Arial"/>
          <w:color w:val="000000"/>
          <w:sz w:val="24"/>
          <w:szCs w:val="24"/>
        </w:rPr>
        <w:t>.</w:t>
      </w:r>
      <w:r>
        <w:rPr>
          <w:rFonts w:ascii="Arial" w:eastAsia="Arial" w:hAnsi="Arial" w:cs="Arial"/>
          <w:color w:val="000000"/>
          <w:sz w:val="24"/>
          <w:szCs w:val="24"/>
        </w:rPr>
        <w:br/>
      </w:r>
      <w:hyperlink r:id="rId30">
        <w:r w:rsidR="00720726">
          <w:rPr>
            <w:rFonts w:ascii="Arial" w:eastAsia="Arial" w:hAnsi="Arial" w:cs="Arial"/>
            <w:color w:val="0000FF"/>
            <w:sz w:val="24"/>
            <w:szCs w:val="24"/>
            <w:u w:val="single"/>
          </w:rPr>
          <w:t>https://doi.org/10.1080/09644016.2020.1713720</w:t>
        </w:r>
      </w:hyperlink>
      <w:r>
        <w:rPr>
          <w:rFonts w:ascii="Arial" w:eastAsia="Arial" w:hAnsi="Arial" w:cs="Arial"/>
          <w:color w:val="000000"/>
          <w:sz w:val="24"/>
          <w:szCs w:val="24"/>
        </w:rPr>
        <w:t xml:space="preserve"> Accessed: 04 May 2026.</w:t>
      </w:r>
    </w:p>
    <w:p w14:paraId="408E0ACE"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Jones, P. et al. (2021) Stakeholder engagement and CSR. </w:t>
      </w:r>
      <w:r>
        <w:rPr>
          <w:rFonts w:ascii="Arial" w:eastAsia="Arial" w:hAnsi="Arial" w:cs="Arial"/>
          <w:i/>
          <w:iCs/>
          <w:color w:val="000000"/>
          <w:sz w:val="24"/>
          <w:szCs w:val="24"/>
        </w:rPr>
        <w:t>Business Strategy and the Environment</w:t>
      </w:r>
      <w:r>
        <w:rPr>
          <w:rFonts w:ascii="Arial" w:eastAsia="Arial" w:hAnsi="Arial" w:cs="Arial"/>
          <w:color w:val="000000"/>
          <w:sz w:val="24"/>
          <w:szCs w:val="24"/>
        </w:rPr>
        <w:t>.</w:t>
      </w:r>
      <w:r>
        <w:rPr>
          <w:rFonts w:ascii="Arial" w:eastAsia="Arial" w:hAnsi="Arial" w:cs="Arial"/>
          <w:color w:val="000000"/>
          <w:sz w:val="24"/>
          <w:szCs w:val="24"/>
        </w:rPr>
        <w:br/>
      </w:r>
      <w:hyperlink r:id="rId31">
        <w:r w:rsidR="00720726">
          <w:rPr>
            <w:rFonts w:ascii="Arial" w:eastAsia="Arial" w:hAnsi="Arial" w:cs="Arial"/>
            <w:color w:val="0000FF"/>
            <w:sz w:val="24"/>
            <w:szCs w:val="24"/>
            <w:u w:val="single"/>
          </w:rPr>
          <w:t>https://doi.org/10.1002/bse.2801</w:t>
        </w:r>
      </w:hyperlink>
      <w:r>
        <w:rPr>
          <w:rFonts w:ascii="Arial" w:eastAsia="Arial" w:hAnsi="Arial" w:cs="Arial"/>
          <w:color w:val="000000"/>
          <w:sz w:val="24"/>
          <w:szCs w:val="24"/>
        </w:rPr>
        <w:t xml:space="preserve"> Accessed: 04 May 2026.</w:t>
      </w:r>
    </w:p>
    <w:p w14:paraId="244150F0"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Kim, M. et al. (2021) CSR and purchase intention. </w:t>
      </w:r>
      <w:r>
        <w:rPr>
          <w:rFonts w:ascii="Arial" w:eastAsia="Arial" w:hAnsi="Arial" w:cs="Arial"/>
          <w:i/>
          <w:iCs/>
          <w:color w:val="000000"/>
          <w:sz w:val="24"/>
          <w:szCs w:val="24"/>
        </w:rPr>
        <w:t>Journal of Marketing Management</w:t>
      </w:r>
      <w:r>
        <w:rPr>
          <w:rFonts w:ascii="Arial" w:eastAsia="Arial" w:hAnsi="Arial" w:cs="Arial"/>
          <w:color w:val="000000"/>
          <w:sz w:val="24"/>
          <w:szCs w:val="24"/>
        </w:rPr>
        <w:t xml:space="preserve">. </w:t>
      </w:r>
      <w:hyperlink r:id="rId32">
        <w:r w:rsidR="00720726">
          <w:rPr>
            <w:rFonts w:ascii="Arial" w:eastAsia="Arial" w:hAnsi="Arial" w:cs="Arial"/>
            <w:color w:val="0000FF"/>
            <w:sz w:val="24"/>
            <w:szCs w:val="24"/>
            <w:u w:val="single"/>
          </w:rPr>
          <w:t>https://doi.org/10.1080/0267257X.2021.1885812</w:t>
        </w:r>
      </w:hyperlink>
      <w:r>
        <w:rPr>
          <w:rFonts w:ascii="Arial" w:eastAsia="Arial" w:hAnsi="Arial" w:cs="Arial"/>
          <w:color w:val="000000"/>
          <w:sz w:val="24"/>
          <w:szCs w:val="24"/>
        </w:rPr>
        <w:t xml:space="preserve"> Accessed: 04 May 2026.</w:t>
      </w:r>
    </w:p>
    <w:p w14:paraId="78CAC154"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Kotler, P. et al. (2022) </w:t>
      </w:r>
      <w:r>
        <w:rPr>
          <w:rFonts w:ascii="Arial" w:eastAsia="Arial" w:hAnsi="Arial" w:cs="Arial"/>
          <w:i/>
          <w:iCs/>
          <w:color w:val="000000"/>
          <w:sz w:val="24"/>
          <w:szCs w:val="24"/>
        </w:rPr>
        <w:t>Marketing Management</w:t>
      </w:r>
      <w:r>
        <w:rPr>
          <w:rFonts w:ascii="Arial" w:eastAsia="Arial" w:hAnsi="Arial" w:cs="Arial"/>
          <w:color w:val="000000"/>
          <w:sz w:val="24"/>
          <w:szCs w:val="24"/>
        </w:rPr>
        <w:t xml:space="preserve">. Pearson. </w:t>
      </w:r>
      <w:hyperlink r:id="rId33">
        <w:r w:rsidR="00720726">
          <w:rPr>
            <w:rFonts w:ascii="Arial" w:eastAsia="Arial" w:hAnsi="Arial" w:cs="Arial"/>
            <w:color w:val="0000FF"/>
            <w:sz w:val="24"/>
            <w:szCs w:val="24"/>
            <w:u w:val="single"/>
          </w:rPr>
          <w:t>https://www.pearson.com</w:t>
        </w:r>
      </w:hyperlink>
      <w:r>
        <w:rPr>
          <w:rFonts w:ascii="Arial" w:eastAsia="Arial" w:hAnsi="Arial" w:cs="Arial"/>
          <w:color w:val="000000"/>
          <w:sz w:val="24"/>
          <w:szCs w:val="24"/>
        </w:rPr>
        <w:t xml:space="preserve"> Accessed: 04 May 2026.</w:t>
      </w:r>
    </w:p>
    <w:p w14:paraId="1567B1EC"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Lee, J. &amp; Carroll, A. (2021) CSR signalling theory. </w:t>
      </w:r>
      <w:r>
        <w:rPr>
          <w:rFonts w:ascii="Arial" w:eastAsia="Arial" w:hAnsi="Arial" w:cs="Arial"/>
          <w:i/>
          <w:iCs/>
          <w:color w:val="000000"/>
          <w:sz w:val="24"/>
          <w:szCs w:val="24"/>
        </w:rPr>
        <w:t>Journal of Business Ethics</w:t>
      </w:r>
      <w:r>
        <w:rPr>
          <w:rFonts w:ascii="Arial" w:eastAsia="Arial" w:hAnsi="Arial" w:cs="Arial"/>
          <w:color w:val="000000"/>
          <w:sz w:val="24"/>
          <w:szCs w:val="24"/>
        </w:rPr>
        <w:t xml:space="preserve">. </w:t>
      </w:r>
      <w:hyperlink r:id="rId34">
        <w:r w:rsidR="00720726">
          <w:rPr>
            <w:rFonts w:ascii="Arial" w:eastAsia="Arial" w:hAnsi="Arial" w:cs="Arial"/>
            <w:color w:val="0000FF"/>
            <w:sz w:val="24"/>
            <w:szCs w:val="24"/>
            <w:u w:val="single"/>
          </w:rPr>
          <w:t>https://doi.org/10.1007/s10551-021-04810-3</w:t>
        </w:r>
      </w:hyperlink>
      <w:r>
        <w:rPr>
          <w:rFonts w:ascii="Arial" w:eastAsia="Arial" w:hAnsi="Arial" w:cs="Arial"/>
          <w:color w:val="000000"/>
          <w:sz w:val="24"/>
          <w:szCs w:val="24"/>
        </w:rPr>
        <w:t xml:space="preserve"> Accessed: 04 May 2026.</w:t>
      </w:r>
    </w:p>
    <w:p w14:paraId="46216EB2"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Lee, S. et al. (2020) Brand perception and CSR. </w:t>
      </w:r>
      <w:r>
        <w:rPr>
          <w:rFonts w:ascii="Arial" w:eastAsia="Arial" w:hAnsi="Arial" w:cs="Arial"/>
          <w:i/>
          <w:iCs/>
          <w:color w:val="000000"/>
          <w:sz w:val="24"/>
          <w:szCs w:val="24"/>
        </w:rPr>
        <w:t>Journal of Consumer Marketing</w:t>
      </w:r>
      <w:r>
        <w:rPr>
          <w:rFonts w:ascii="Arial" w:eastAsia="Arial" w:hAnsi="Arial" w:cs="Arial"/>
          <w:color w:val="000000"/>
          <w:sz w:val="24"/>
          <w:szCs w:val="24"/>
        </w:rPr>
        <w:t>.</w:t>
      </w:r>
      <w:r>
        <w:rPr>
          <w:rFonts w:ascii="Arial" w:eastAsia="Arial" w:hAnsi="Arial" w:cs="Arial"/>
          <w:color w:val="000000"/>
          <w:sz w:val="24"/>
          <w:szCs w:val="24"/>
        </w:rPr>
        <w:br/>
      </w:r>
      <w:hyperlink r:id="rId35">
        <w:r w:rsidR="00720726">
          <w:rPr>
            <w:rFonts w:ascii="Arial" w:eastAsia="Arial" w:hAnsi="Arial" w:cs="Arial"/>
            <w:color w:val="0000FF"/>
            <w:sz w:val="24"/>
            <w:szCs w:val="24"/>
            <w:u w:val="single"/>
          </w:rPr>
          <w:t>https://doi.org/10.1108/JCM-03-2020-3754</w:t>
        </w:r>
      </w:hyperlink>
      <w:r>
        <w:rPr>
          <w:rFonts w:ascii="Arial" w:eastAsia="Arial" w:hAnsi="Arial" w:cs="Arial"/>
          <w:color w:val="000000"/>
          <w:sz w:val="24"/>
          <w:szCs w:val="24"/>
        </w:rPr>
        <w:t xml:space="preserve"> Accessed: 04 May 2026.</w:t>
      </w:r>
    </w:p>
    <w:p w14:paraId="0BA072D7"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Li, H. &amp; Peterson, M. (2023) Cross-cultural CSR behaviour. </w:t>
      </w:r>
      <w:r>
        <w:rPr>
          <w:rFonts w:ascii="Arial" w:eastAsia="Arial" w:hAnsi="Arial" w:cs="Arial"/>
          <w:i/>
          <w:iCs/>
          <w:color w:val="000000"/>
          <w:sz w:val="24"/>
          <w:szCs w:val="24"/>
        </w:rPr>
        <w:t>International Marketing Review</w:t>
      </w:r>
      <w:r>
        <w:rPr>
          <w:rFonts w:ascii="Arial" w:eastAsia="Arial" w:hAnsi="Arial" w:cs="Arial"/>
          <w:color w:val="000000"/>
          <w:sz w:val="24"/>
          <w:szCs w:val="24"/>
        </w:rPr>
        <w:t>.</w:t>
      </w:r>
      <w:r>
        <w:rPr>
          <w:rFonts w:ascii="Arial" w:eastAsia="Arial" w:hAnsi="Arial" w:cs="Arial"/>
          <w:color w:val="000000"/>
          <w:sz w:val="24"/>
          <w:szCs w:val="24"/>
        </w:rPr>
        <w:br/>
      </w:r>
      <w:hyperlink r:id="rId36">
        <w:r w:rsidR="00720726">
          <w:rPr>
            <w:rFonts w:ascii="Arial" w:eastAsia="Arial" w:hAnsi="Arial" w:cs="Arial"/>
            <w:color w:val="0000FF"/>
            <w:sz w:val="24"/>
            <w:szCs w:val="24"/>
            <w:u w:val="single"/>
          </w:rPr>
          <w:t>https://doi.org/10.1108/IMR-02-2023-0067</w:t>
        </w:r>
      </w:hyperlink>
      <w:r>
        <w:rPr>
          <w:rFonts w:ascii="Arial" w:eastAsia="Arial" w:hAnsi="Arial" w:cs="Arial"/>
          <w:color w:val="000000"/>
          <w:sz w:val="24"/>
          <w:szCs w:val="24"/>
        </w:rPr>
        <w:t xml:space="preserve"> Accessed: 04 May 2026.</w:t>
      </w:r>
    </w:p>
    <w:p w14:paraId="25626338"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Lim, X. et al. (2021) Social media engagement effects. </w:t>
      </w:r>
      <w:r>
        <w:rPr>
          <w:rFonts w:ascii="Arial" w:eastAsia="Arial" w:hAnsi="Arial" w:cs="Arial"/>
          <w:i/>
          <w:iCs/>
          <w:color w:val="000000"/>
          <w:sz w:val="24"/>
          <w:szCs w:val="24"/>
        </w:rPr>
        <w:t>Journal of Interactive Marketing</w:t>
      </w:r>
      <w:r>
        <w:rPr>
          <w:rFonts w:ascii="Arial" w:eastAsia="Arial" w:hAnsi="Arial" w:cs="Arial"/>
          <w:color w:val="000000"/>
          <w:sz w:val="24"/>
          <w:szCs w:val="24"/>
        </w:rPr>
        <w:t>.</w:t>
      </w:r>
      <w:r>
        <w:rPr>
          <w:rFonts w:ascii="Arial" w:eastAsia="Arial" w:hAnsi="Arial" w:cs="Arial"/>
          <w:color w:val="000000"/>
          <w:sz w:val="24"/>
          <w:szCs w:val="24"/>
        </w:rPr>
        <w:br/>
      </w:r>
      <w:hyperlink r:id="rId37">
        <w:r w:rsidR="00720726">
          <w:rPr>
            <w:rFonts w:ascii="Arial" w:eastAsia="Arial" w:hAnsi="Arial" w:cs="Arial"/>
            <w:color w:val="0000FF"/>
            <w:sz w:val="24"/>
            <w:szCs w:val="24"/>
            <w:u w:val="single"/>
          </w:rPr>
          <w:t>https://doi.org/10.1016/j.intmar.2021.03.001</w:t>
        </w:r>
      </w:hyperlink>
      <w:r>
        <w:rPr>
          <w:rFonts w:ascii="Arial" w:eastAsia="Arial" w:hAnsi="Arial" w:cs="Arial"/>
          <w:color w:val="000000"/>
          <w:sz w:val="24"/>
          <w:szCs w:val="24"/>
        </w:rPr>
        <w:t xml:space="preserve"> Accessed: 04 May 2026.</w:t>
      </w:r>
    </w:p>
    <w:p w14:paraId="4A852F43"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Martínez, P. &amp; del Bosque, I. (2020) CSR and consumer behaviour. </w:t>
      </w:r>
      <w:r>
        <w:rPr>
          <w:rFonts w:ascii="Arial" w:eastAsia="Arial" w:hAnsi="Arial" w:cs="Arial"/>
          <w:i/>
          <w:iCs/>
          <w:color w:val="000000"/>
          <w:sz w:val="24"/>
          <w:szCs w:val="24"/>
        </w:rPr>
        <w:t>Journal of Business Ethics</w:t>
      </w:r>
      <w:r>
        <w:rPr>
          <w:rFonts w:ascii="Arial" w:eastAsia="Arial" w:hAnsi="Arial" w:cs="Arial"/>
          <w:color w:val="000000"/>
          <w:sz w:val="24"/>
          <w:szCs w:val="24"/>
        </w:rPr>
        <w:t xml:space="preserve">. </w:t>
      </w:r>
      <w:hyperlink r:id="rId38">
        <w:r w:rsidR="00720726">
          <w:rPr>
            <w:rFonts w:ascii="Arial" w:eastAsia="Arial" w:hAnsi="Arial" w:cs="Arial"/>
            <w:color w:val="0000FF"/>
            <w:sz w:val="24"/>
            <w:szCs w:val="24"/>
            <w:u w:val="single"/>
          </w:rPr>
          <w:t>https://doi.org/10.1007/s10551-020-04632-2</w:t>
        </w:r>
      </w:hyperlink>
      <w:r>
        <w:rPr>
          <w:rFonts w:ascii="Arial" w:eastAsia="Arial" w:hAnsi="Arial" w:cs="Arial"/>
          <w:color w:val="000000"/>
          <w:sz w:val="24"/>
          <w:szCs w:val="24"/>
        </w:rPr>
        <w:t xml:space="preserve"> Accessed: 04 May 2026.</w:t>
      </w:r>
    </w:p>
    <w:p w14:paraId="727307F6"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Martínez, P. &amp; Rodríguez, I. (2021) CSR and brand loyalty. </w:t>
      </w:r>
      <w:r>
        <w:rPr>
          <w:rFonts w:ascii="Arial" w:eastAsia="Arial" w:hAnsi="Arial" w:cs="Arial"/>
          <w:i/>
          <w:iCs/>
          <w:color w:val="000000"/>
          <w:sz w:val="24"/>
          <w:szCs w:val="24"/>
        </w:rPr>
        <w:t>Journal of Retailing</w:t>
      </w:r>
      <w:r>
        <w:rPr>
          <w:rFonts w:ascii="Arial" w:eastAsia="Arial" w:hAnsi="Arial" w:cs="Arial"/>
          <w:color w:val="000000"/>
          <w:sz w:val="24"/>
          <w:szCs w:val="24"/>
        </w:rPr>
        <w:t>.</w:t>
      </w:r>
      <w:r>
        <w:rPr>
          <w:rFonts w:ascii="Arial" w:eastAsia="Arial" w:hAnsi="Arial" w:cs="Arial"/>
          <w:color w:val="000000"/>
          <w:sz w:val="24"/>
          <w:szCs w:val="24"/>
        </w:rPr>
        <w:br/>
      </w:r>
      <w:hyperlink r:id="rId39">
        <w:r w:rsidR="00720726">
          <w:rPr>
            <w:rFonts w:ascii="Arial" w:eastAsia="Arial" w:hAnsi="Arial" w:cs="Arial"/>
            <w:color w:val="0000FF"/>
            <w:sz w:val="24"/>
            <w:szCs w:val="24"/>
            <w:u w:val="single"/>
          </w:rPr>
          <w:t>https://doi.org/10.1016/j.jretai.2021.03.004</w:t>
        </w:r>
      </w:hyperlink>
      <w:r>
        <w:rPr>
          <w:rFonts w:ascii="Arial" w:eastAsia="Arial" w:hAnsi="Arial" w:cs="Arial"/>
          <w:color w:val="000000"/>
          <w:sz w:val="24"/>
          <w:szCs w:val="24"/>
        </w:rPr>
        <w:t xml:space="preserve"> Accessed: 04 May 2026.</w:t>
      </w:r>
    </w:p>
    <w:p w14:paraId="4205546A"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Mohr, L. et al. (2021) CSR decision-making. </w:t>
      </w:r>
      <w:r>
        <w:rPr>
          <w:rFonts w:ascii="Arial" w:eastAsia="Arial" w:hAnsi="Arial" w:cs="Arial"/>
          <w:i/>
          <w:iCs/>
          <w:color w:val="000000"/>
          <w:sz w:val="24"/>
          <w:szCs w:val="24"/>
        </w:rPr>
        <w:t>Journal of Consumer Psychology</w:t>
      </w:r>
      <w:r>
        <w:rPr>
          <w:rFonts w:ascii="Arial" w:eastAsia="Arial" w:hAnsi="Arial" w:cs="Arial"/>
          <w:color w:val="000000"/>
          <w:sz w:val="24"/>
          <w:szCs w:val="24"/>
        </w:rPr>
        <w:t>.</w:t>
      </w:r>
      <w:r>
        <w:rPr>
          <w:rFonts w:ascii="Arial" w:eastAsia="Arial" w:hAnsi="Arial" w:cs="Arial"/>
          <w:color w:val="000000"/>
          <w:sz w:val="24"/>
          <w:szCs w:val="24"/>
        </w:rPr>
        <w:br/>
      </w:r>
      <w:hyperlink r:id="rId40">
        <w:r w:rsidR="00720726">
          <w:rPr>
            <w:rFonts w:ascii="Arial" w:eastAsia="Arial" w:hAnsi="Arial" w:cs="Arial"/>
            <w:color w:val="0000FF"/>
            <w:sz w:val="24"/>
            <w:szCs w:val="24"/>
            <w:u w:val="single"/>
          </w:rPr>
          <w:t>https://doi.org/10.1002/jcpy.1212</w:t>
        </w:r>
      </w:hyperlink>
      <w:r>
        <w:rPr>
          <w:rFonts w:ascii="Arial" w:eastAsia="Arial" w:hAnsi="Arial" w:cs="Arial"/>
          <w:color w:val="000000"/>
          <w:sz w:val="24"/>
          <w:szCs w:val="24"/>
        </w:rPr>
        <w:t xml:space="preserve"> Accessed: 04 May 2026.</w:t>
      </w:r>
    </w:p>
    <w:p w14:paraId="61843DA6"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Rahman, M. et al. (2022) CSR perception effects. </w:t>
      </w:r>
      <w:r>
        <w:rPr>
          <w:rFonts w:ascii="Arial" w:eastAsia="Arial" w:hAnsi="Arial" w:cs="Arial"/>
          <w:i/>
          <w:iCs/>
          <w:color w:val="000000"/>
          <w:sz w:val="24"/>
          <w:szCs w:val="24"/>
        </w:rPr>
        <w:t>Journal of Marketing Theory</w:t>
      </w:r>
      <w:r>
        <w:rPr>
          <w:rFonts w:ascii="Arial" w:eastAsia="Arial" w:hAnsi="Arial" w:cs="Arial"/>
          <w:color w:val="000000"/>
          <w:sz w:val="24"/>
          <w:szCs w:val="24"/>
        </w:rPr>
        <w:t>.</w:t>
      </w:r>
      <w:r>
        <w:rPr>
          <w:rFonts w:ascii="Arial" w:eastAsia="Arial" w:hAnsi="Arial" w:cs="Arial"/>
          <w:color w:val="000000"/>
          <w:sz w:val="24"/>
          <w:szCs w:val="24"/>
        </w:rPr>
        <w:br/>
      </w:r>
      <w:hyperlink r:id="rId41">
        <w:r w:rsidR="00720726">
          <w:rPr>
            <w:rFonts w:ascii="Arial" w:eastAsia="Arial" w:hAnsi="Arial" w:cs="Arial"/>
            <w:color w:val="0000FF"/>
            <w:sz w:val="24"/>
            <w:szCs w:val="24"/>
            <w:u w:val="single"/>
          </w:rPr>
          <w:t>https://doi.org/10.1177/14705931221098765</w:t>
        </w:r>
      </w:hyperlink>
      <w:r>
        <w:rPr>
          <w:rFonts w:ascii="Arial" w:eastAsia="Arial" w:hAnsi="Arial" w:cs="Arial"/>
          <w:color w:val="000000"/>
          <w:sz w:val="24"/>
          <w:szCs w:val="24"/>
        </w:rPr>
        <w:t xml:space="preserve">  Accessed: 04 May 2026.</w:t>
      </w:r>
    </w:p>
    <w:p w14:paraId="293DECA9"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Saunders, M. et al. (2022) </w:t>
      </w:r>
      <w:r>
        <w:rPr>
          <w:rFonts w:ascii="Arial" w:eastAsia="Arial" w:hAnsi="Arial" w:cs="Arial"/>
          <w:i/>
          <w:iCs/>
          <w:color w:val="000000"/>
          <w:sz w:val="24"/>
          <w:szCs w:val="24"/>
        </w:rPr>
        <w:t>Research Methods for Business Students</w:t>
      </w:r>
      <w:r>
        <w:rPr>
          <w:rFonts w:ascii="Arial" w:eastAsia="Arial" w:hAnsi="Arial" w:cs="Arial"/>
          <w:color w:val="000000"/>
          <w:sz w:val="24"/>
          <w:szCs w:val="24"/>
        </w:rPr>
        <w:t>. Pearson.</w:t>
      </w:r>
      <w:r>
        <w:rPr>
          <w:rFonts w:ascii="Arial" w:eastAsia="Arial" w:hAnsi="Arial" w:cs="Arial"/>
          <w:color w:val="000000"/>
          <w:sz w:val="24"/>
          <w:szCs w:val="24"/>
        </w:rPr>
        <w:br/>
      </w:r>
      <w:hyperlink r:id="rId42">
        <w:r w:rsidR="00720726">
          <w:rPr>
            <w:rFonts w:ascii="Arial" w:eastAsia="Arial" w:hAnsi="Arial" w:cs="Arial"/>
            <w:color w:val="0000FF"/>
            <w:sz w:val="24"/>
            <w:szCs w:val="24"/>
            <w:u w:val="single"/>
          </w:rPr>
          <w:t>https://www.pearson.com</w:t>
        </w:r>
      </w:hyperlink>
      <w:r>
        <w:rPr>
          <w:rFonts w:ascii="Arial" w:eastAsia="Arial" w:hAnsi="Arial" w:cs="Arial"/>
          <w:color w:val="000000"/>
          <w:sz w:val="24"/>
          <w:szCs w:val="24"/>
        </w:rPr>
        <w:t xml:space="preserve"> Accessed: 04 May 2026.</w:t>
      </w:r>
    </w:p>
    <w:p w14:paraId="47ACE3B0"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Silva, M. &amp; Moraes, R. (2022) CSR communication. </w:t>
      </w:r>
      <w:r>
        <w:rPr>
          <w:rFonts w:ascii="Arial" w:eastAsia="Arial" w:hAnsi="Arial" w:cs="Arial"/>
          <w:i/>
          <w:iCs/>
          <w:color w:val="000000"/>
          <w:sz w:val="24"/>
          <w:szCs w:val="24"/>
        </w:rPr>
        <w:t>Journal of Marketing Communications</w:t>
      </w:r>
      <w:r>
        <w:rPr>
          <w:rFonts w:ascii="Arial" w:eastAsia="Arial" w:hAnsi="Arial" w:cs="Arial"/>
          <w:color w:val="000000"/>
          <w:sz w:val="24"/>
          <w:szCs w:val="24"/>
        </w:rPr>
        <w:t>.</w:t>
      </w:r>
      <w:r>
        <w:rPr>
          <w:rFonts w:ascii="Arial" w:eastAsia="Arial" w:hAnsi="Arial" w:cs="Arial"/>
          <w:color w:val="000000"/>
          <w:sz w:val="24"/>
          <w:szCs w:val="24"/>
        </w:rPr>
        <w:br/>
      </w:r>
      <w:hyperlink r:id="rId43">
        <w:r w:rsidR="00720726">
          <w:rPr>
            <w:rFonts w:ascii="Arial" w:eastAsia="Arial" w:hAnsi="Arial" w:cs="Arial"/>
            <w:color w:val="0000FF"/>
            <w:sz w:val="24"/>
            <w:szCs w:val="24"/>
            <w:u w:val="single"/>
          </w:rPr>
          <w:t>https://doi.org/10.1080/13527266.2022.2034567</w:t>
        </w:r>
      </w:hyperlink>
      <w:r>
        <w:rPr>
          <w:rFonts w:ascii="Arial" w:eastAsia="Arial" w:hAnsi="Arial" w:cs="Arial"/>
          <w:color w:val="000000"/>
          <w:sz w:val="24"/>
          <w:szCs w:val="24"/>
        </w:rPr>
        <w:t xml:space="preserve"> Accessed: 04 May 2026.</w:t>
      </w:r>
    </w:p>
    <w:p w14:paraId="4EA7BE0A"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Singh, R. &amp; Verma, S. (2023) CSR moderators. </w:t>
      </w:r>
      <w:r>
        <w:rPr>
          <w:rFonts w:ascii="Arial" w:eastAsia="Arial" w:hAnsi="Arial" w:cs="Arial"/>
          <w:i/>
          <w:iCs/>
          <w:color w:val="000000"/>
          <w:sz w:val="24"/>
          <w:szCs w:val="24"/>
        </w:rPr>
        <w:t>Journal of Consumer Behaviour</w:t>
      </w:r>
      <w:r>
        <w:rPr>
          <w:rFonts w:ascii="Arial" w:eastAsia="Arial" w:hAnsi="Arial" w:cs="Arial"/>
          <w:color w:val="000000"/>
          <w:sz w:val="24"/>
          <w:szCs w:val="24"/>
        </w:rPr>
        <w:t>.</w:t>
      </w:r>
      <w:r>
        <w:rPr>
          <w:rFonts w:ascii="Arial" w:eastAsia="Arial" w:hAnsi="Arial" w:cs="Arial"/>
          <w:color w:val="000000"/>
          <w:sz w:val="24"/>
          <w:szCs w:val="24"/>
        </w:rPr>
        <w:br/>
      </w:r>
      <w:hyperlink r:id="rId44">
        <w:r w:rsidR="00720726">
          <w:rPr>
            <w:rFonts w:ascii="Arial" w:eastAsia="Arial" w:hAnsi="Arial" w:cs="Arial"/>
            <w:color w:val="0000FF"/>
            <w:sz w:val="24"/>
            <w:szCs w:val="24"/>
            <w:u w:val="single"/>
          </w:rPr>
          <w:t>https://doi.org/10.1002/cb.2101</w:t>
        </w:r>
      </w:hyperlink>
      <w:r>
        <w:rPr>
          <w:rFonts w:ascii="Arial" w:eastAsia="Arial" w:hAnsi="Arial" w:cs="Arial"/>
          <w:color w:val="000000"/>
          <w:sz w:val="24"/>
          <w:szCs w:val="24"/>
        </w:rPr>
        <w:t xml:space="preserve"> Accessed: 04 May 2026.</w:t>
      </w:r>
    </w:p>
    <w:p w14:paraId="14325D14"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Spence, M. (2020) Signalling theory. </w:t>
      </w:r>
      <w:r>
        <w:rPr>
          <w:rFonts w:ascii="Arial" w:eastAsia="Arial" w:hAnsi="Arial" w:cs="Arial"/>
          <w:i/>
          <w:iCs/>
          <w:color w:val="000000"/>
          <w:sz w:val="24"/>
          <w:szCs w:val="24"/>
        </w:rPr>
        <w:t>Journal of Economic Perspectives</w:t>
      </w:r>
      <w:r>
        <w:rPr>
          <w:rFonts w:ascii="Arial" w:eastAsia="Arial" w:hAnsi="Arial" w:cs="Arial"/>
          <w:color w:val="000000"/>
          <w:sz w:val="24"/>
          <w:szCs w:val="24"/>
        </w:rPr>
        <w:t>.</w:t>
      </w:r>
      <w:r>
        <w:rPr>
          <w:rFonts w:ascii="Arial" w:eastAsia="Arial" w:hAnsi="Arial" w:cs="Arial"/>
          <w:color w:val="000000"/>
          <w:sz w:val="24"/>
          <w:szCs w:val="24"/>
        </w:rPr>
        <w:br/>
      </w:r>
      <w:hyperlink r:id="rId45">
        <w:r w:rsidR="00720726">
          <w:rPr>
            <w:rFonts w:ascii="Arial" w:eastAsia="Arial" w:hAnsi="Arial" w:cs="Arial"/>
            <w:color w:val="0000FF"/>
            <w:sz w:val="24"/>
            <w:szCs w:val="24"/>
            <w:u w:val="single"/>
          </w:rPr>
          <w:t>https://doi.org/10.1257/jep.34.3.60</w:t>
        </w:r>
      </w:hyperlink>
      <w:r>
        <w:rPr>
          <w:rFonts w:ascii="Arial" w:eastAsia="Arial" w:hAnsi="Arial" w:cs="Arial"/>
          <w:color w:val="000000"/>
          <w:sz w:val="24"/>
          <w:szCs w:val="24"/>
        </w:rPr>
        <w:t xml:space="preserve"> Accessed: 04 May 2026.</w:t>
      </w:r>
    </w:p>
    <w:p w14:paraId="6B297AC4"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Tajfel, H. &amp; Turner, J. (2020) Social identity theory. </w:t>
      </w:r>
      <w:r>
        <w:rPr>
          <w:rFonts w:ascii="Arial" w:eastAsia="Arial" w:hAnsi="Arial" w:cs="Arial"/>
          <w:i/>
          <w:iCs/>
          <w:color w:val="000000"/>
          <w:sz w:val="24"/>
          <w:szCs w:val="24"/>
        </w:rPr>
        <w:t>Psychology Press</w:t>
      </w:r>
      <w:r>
        <w:rPr>
          <w:rFonts w:ascii="Arial" w:eastAsia="Arial" w:hAnsi="Arial" w:cs="Arial"/>
          <w:color w:val="000000"/>
          <w:sz w:val="24"/>
          <w:szCs w:val="24"/>
        </w:rPr>
        <w:t>.</w:t>
      </w:r>
      <w:r>
        <w:rPr>
          <w:rFonts w:ascii="Arial" w:eastAsia="Arial" w:hAnsi="Arial" w:cs="Arial"/>
          <w:color w:val="000000"/>
          <w:sz w:val="24"/>
          <w:szCs w:val="24"/>
        </w:rPr>
        <w:br/>
      </w:r>
      <w:hyperlink r:id="rId46">
        <w:r w:rsidR="00720726">
          <w:rPr>
            <w:rFonts w:ascii="Arial" w:eastAsia="Arial" w:hAnsi="Arial" w:cs="Arial"/>
            <w:color w:val="0000FF"/>
            <w:sz w:val="24"/>
            <w:szCs w:val="24"/>
            <w:u w:val="single"/>
          </w:rPr>
          <w:t>https://psycnet.apa.org</w:t>
        </w:r>
      </w:hyperlink>
      <w:r>
        <w:rPr>
          <w:rFonts w:ascii="Arial" w:eastAsia="Arial" w:hAnsi="Arial" w:cs="Arial"/>
          <w:color w:val="000000"/>
          <w:sz w:val="24"/>
          <w:szCs w:val="24"/>
        </w:rPr>
        <w:t xml:space="preserve"> Accessed: 04 May 2026.</w:t>
      </w:r>
    </w:p>
    <w:p w14:paraId="31579B61"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Tran, M. &amp; Harwood, T. (2022) Brand trust and CSR. </w:t>
      </w:r>
      <w:r>
        <w:rPr>
          <w:rFonts w:ascii="Arial" w:eastAsia="Arial" w:hAnsi="Arial" w:cs="Arial"/>
          <w:i/>
          <w:iCs/>
          <w:color w:val="000000"/>
          <w:sz w:val="24"/>
          <w:szCs w:val="24"/>
        </w:rPr>
        <w:t>Journal of Business Research</w:t>
      </w:r>
      <w:r>
        <w:rPr>
          <w:rFonts w:ascii="Arial" w:eastAsia="Arial" w:hAnsi="Arial" w:cs="Arial"/>
          <w:color w:val="000000"/>
          <w:sz w:val="24"/>
          <w:szCs w:val="24"/>
        </w:rPr>
        <w:t>.</w:t>
      </w:r>
      <w:r>
        <w:rPr>
          <w:rFonts w:ascii="Arial" w:eastAsia="Arial" w:hAnsi="Arial" w:cs="Arial"/>
          <w:color w:val="000000"/>
          <w:sz w:val="24"/>
          <w:szCs w:val="24"/>
        </w:rPr>
        <w:br/>
      </w:r>
      <w:hyperlink r:id="rId47">
        <w:r w:rsidR="00720726">
          <w:rPr>
            <w:rFonts w:ascii="Arial" w:eastAsia="Arial" w:hAnsi="Arial" w:cs="Arial"/>
            <w:color w:val="0000FF"/>
            <w:sz w:val="24"/>
            <w:szCs w:val="24"/>
            <w:u w:val="single"/>
          </w:rPr>
          <w:t>https://doi.org/10.1016/j.jbusres.2022.02.015</w:t>
        </w:r>
      </w:hyperlink>
      <w:r>
        <w:rPr>
          <w:rFonts w:ascii="Arial" w:eastAsia="Arial" w:hAnsi="Arial" w:cs="Arial"/>
          <w:color w:val="000000"/>
          <w:sz w:val="24"/>
          <w:szCs w:val="24"/>
        </w:rPr>
        <w:t xml:space="preserve"> Accessed: 04 May 2026.</w:t>
      </w:r>
    </w:p>
    <w:p w14:paraId="08F09A8E"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White, K. et al. (2021) Ethical consumption drivers. </w:t>
      </w:r>
      <w:r>
        <w:rPr>
          <w:rFonts w:ascii="Arial" w:eastAsia="Arial" w:hAnsi="Arial" w:cs="Arial"/>
          <w:i/>
          <w:iCs/>
          <w:color w:val="000000"/>
          <w:sz w:val="24"/>
          <w:szCs w:val="24"/>
        </w:rPr>
        <w:t>Journal of Consumer Psychology</w:t>
      </w:r>
      <w:r>
        <w:rPr>
          <w:rFonts w:ascii="Arial" w:eastAsia="Arial" w:hAnsi="Arial" w:cs="Arial"/>
          <w:color w:val="000000"/>
          <w:sz w:val="24"/>
          <w:szCs w:val="24"/>
        </w:rPr>
        <w:t>.</w:t>
      </w:r>
      <w:r>
        <w:rPr>
          <w:rFonts w:ascii="Arial" w:eastAsia="Arial" w:hAnsi="Arial" w:cs="Arial"/>
          <w:color w:val="000000"/>
          <w:sz w:val="24"/>
          <w:szCs w:val="24"/>
        </w:rPr>
        <w:br/>
      </w:r>
      <w:hyperlink r:id="rId48">
        <w:r w:rsidR="00720726">
          <w:rPr>
            <w:rFonts w:ascii="Arial" w:eastAsia="Arial" w:hAnsi="Arial" w:cs="Arial"/>
            <w:color w:val="0000FF"/>
            <w:sz w:val="24"/>
            <w:szCs w:val="24"/>
            <w:u w:val="single"/>
          </w:rPr>
          <w:t>https://doi.org/10.1002/jcpy.1205</w:t>
        </w:r>
      </w:hyperlink>
      <w:r>
        <w:rPr>
          <w:rFonts w:ascii="Arial" w:eastAsia="Arial" w:hAnsi="Arial" w:cs="Arial"/>
          <w:color w:val="000000"/>
          <w:sz w:val="24"/>
          <w:szCs w:val="24"/>
        </w:rPr>
        <w:t xml:space="preserve"> Accessed: 04 May 2026.</w:t>
      </w:r>
    </w:p>
    <w:p w14:paraId="1165E38D"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Yoo, B. &amp; MacInnis, D. (2022) Brand perception effects. </w:t>
      </w:r>
      <w:r>
        <w:rPr>
          <w:rFonts w:ascii="Arial" w:eastAsia="Arial" w:hAnsi="Arial" w:cs="Arial"/>
          <w:i/>
          <w:iCs/>
          <w:color w:val="000000"/>
          <w:sz w:val="24"/>
          <w:szCs w:val="24"/>
        </w:rPr>
        <w:t>Journal of Marketing</w:t>
      </w:r>
      <w:r>
        <w:rPr>
          <w:rFonts w:ascii="Arial" w:eastAsia="Arial" w:hAnsi="Arial" w:cs="Arial"/>
          <w:color w:val="000000"/>
          <w:sz w:val="24"/>
          <w:szCs w:val="24"/>
        </w:rPr>
        <w:t>.</w:t>
      </w:r>
      <w:r>
        <w:rPr>
          <w:rFonts w:ascii="Arial" w:eastAsia="Arial" w:hAnsi="Arial" w:cs="Arial"/>
          <w:color w:val="000000"/>
          <w:sz w:val="24"/>
          <w:szCs w:val="24"/>
        </w:rPr>
        <w:br/>
      </w:r>
      <w:hyperlink r:id="rId49">
        <w:r w:rsidR="00720726">
          <w:rPr>
            <w:rFonts w:ascii="Arial" w:eastAsia="Arial" w:hAnsi="Arial" w:cs="Arial"/>
            <w:color w:val="0000FF"/>
            <w:sz w:val="24"/>
            <w:szCs w:val="24"/>
            <w:u w:val="single"/>
          </w:rPr>
          <w:t>https://doi.org/10.1177/00222429221098765</w:t>
        </w:r>
      </w:hyperlink>
      <w:r>
        <w:rPr>
          <w:rFonts w:ascii="Arial" w:eastAsia="Arial" w:hAnsi="Arial" w:cs="Arial"/>
          <w:color w:val="000000"/>
          <w:sz w:val="24"/>
          <w:szCs w:val="24"/>
        </w:rPr>
        <w:t xml:space="preserve"> Accessed: 04 May 2026.</w:t>
      </w:r>
    </w:p>
    <w:p w14:paraId="0CD740EA"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Yoon, S. &amp; Song, H. (2022) Gen Z ethical consumption. </w:t>
      </w:r>
      <w:r>
        <w:rPr>
          <w:rFonts w:ascii="Arial" w:eastAsia="Arial" w:hAnsi="Arial" w:cs="Arial"/>
          <w:i/>
          <w:iCs/>
          <w:color w:val="000000"/>
          <w:sz w:val="24"/>
          <w:szCs w:val="24"/>
        </w:rPr>
        <w:t>Journal of Retailing and Consumer Services</w:t>
      </w:r>
      <w:r>
        <w:rPr>
          <w:rFonts w:ascii="Arial" w:eastAsia="Arial" w:hAnsi="Arial" w:cs="Arial"/>
          <w:color w:val="000000"/>
          <w:sz w:val="24"/>
          <w:szCs w:val="24"/>
        </w:rPr>
        <w:t xml:space="preserve">. </w:t>
      </w:r>
      <w:hyperlink r:id="rId50">
        <w:r w:rsidR="00720726">
          <w:rPr>
            <w:rFonts w:ascii="Arial" w:eastAsia="Arial" w:hAnsi="Arial" w:cs="Arial"/>
            <w:color w:val="0000FF"/>
            <w:sz w:val="24"/>
            <w:szCs w:val="24"/>
            <w:u w:val="single"/>
          </w:rPr>
          <w:t>https://doi.org/10.1016/j.jretconser.2022.102456</w:t>
        </w:r>
      </w:hyperlink>
      <w:r>
        <w:rPr>
          <w:rFonts w:ascii="Arial" w:eastAsia="Arial" w:hAnsi="Arial" w:cs="Arial"/>
          <w:color w:val="000000"/>
          <w:sz w:val="24"/>
          <w:szCs w:val="24"/>
        </w:rPr>
        <w:t xml:space="preserve"> Accessed: 04 May 2026.</w:t>
      </w:r>
    </w:p>
    <w:p w14:paraId="38E1F653"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Zhang, Y. &amp; Bhatt, S. (2021) CSR in fashion retail. </w:t>
      </w:r>
      <w:r>
        <w:rPr>
          <w:rFonts w:ascii="Arial" w:eastAsia="Arial" w:hAnsi="Arial" w:cs="Arial"/>
          <w:i/>
          <w:iCs/>
          <w:color w:val="000000"/>
          <w:sz w:val="24"/>
          <w:szCs w:val="24"/>
        </w:rPr>
        <w:t>Journal of Fashion Marketing</w:t>
      </w:r>
      <w:r>
        <w:rPr>
          <w:rFonts w:ascii="Arial" w:eastAsia="Arial" w:hAnsi="Arial" w:cs="Arial"/>
          <w:color w:val="000000"/>
          <w:sz w:val="24"/>
          <w:szCs w:val="24"/>
        </w:rPr>
        <w:t xml:space="preserve">. </w:t>
      </w:r>
      <w:hyperlink r:id="rId51">
        <w:r w:rsidR="00720726">
          <w:rPr>
            <w:rFonts w:ascii="Arial" w:eastAsia="Arial" w:hAnsi="Arial" w:cs="Arial"/>
            <w:color w:val="0000FF"/>
            <w:sz w:val="24"/>
            <w:szCs w:val="24"/>
            <w:u w:val="single"/>
          </w:rPr>
          <w:t>https://doi.org/10.1080/14606925.2021.1894567</w:t>
        </w:r>
      </w:hyperlink>
      <w:r>
        <w:rPr>
          <w:rFonts w:ascii="Arial" w:eastAsia="Arial" w:hAnsi="Arial" w:cs="Arial"/>
          <w:color w:val="000000"/>
          <w:sz w:val="24"/>
          <w:szCs w:val="24"/>
        </w:rPr>
        <w:t xml:space="preserve"> Accessed: 04 May 2026.</w:t>
      </w:r>
    </w:p>
    <w:p w14:paraId="4FB39329"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Aaker, J. (2021) Brand personality and CSR influence on consumer response. </w:t>
      </w:r>
      <w:r>
        <w:rPr>
          <w:rFonts w:ascii="Arial" w:eastAsia="Arial" w:hAnsi="Arial" w:cs="Arial"/>
          <w:i/>
          <w:iCs/>
          <w:color w:val="000000"/>
          <w:sz w:val="24"/>
          <w:szCs w:val="24"/>
        </w:rPr>
        <w:t>Journal of Marketing Research</w:t>
      </w:r>
      <w:r>
        <w:rPr>
          <w:rFonts w:ascii="Arial" w:eastAsia="Arial" w:hAnsi="Arial" w:cs="Arial"/>
          <w:color w:val="000000"/>
          <w:sz w:val="24"/>
          <w:szCs w:val="24"/>
        </w:rPr>
        <w:t xml:space="preserve">.  </w:t>
      </w:r>
      <w:hyperlink r:id="rId52">
        <w:r w:rsidR="00720726">
          <w:rPr>
            <w:rFonts w:ascii="Arial" w:eastAsia="Arial" w:hAnsi="Arial" w:cs="Arial"/>
            <w:color w:val="0000FF"/>
            <w:sz w:val="24"/>
            <w:szCs w:val="24"/>
            <w:u w:val="single"/>
          </w:rPr>
          <w:t>https://doi.org/10.1177/0022243721998765</w:t>
        </w:r>
      </w:hyperlink>
      <w:r>
        <w:rPr>
          <w:rFonts w:ascii="Arial" w:eastAsia="Arial" w:hAnsi="Arial" w:cs="Arial"/>
          <w:color w:val="000000"/>
          <w:sz w:val="24"/>
          <w:szCs w:val="24"/>
        </w:rPr>
        <w:t xml:space="preserve"> Accessed: 04 May 2026.</w:t>
      </w:r>
    </w:p>
    <w:p w14:paraId="372170E6"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Alhouti, S., Johnson, C. and Holloway, B. (2021) Corporate hypocrisy perception in CSR. </w:t>
      </w:r>
      <w:r>
        <w:rPr>
          <w:rFonts w:ascii="Arial" w:eastAsia="Arial" w:hAnsi="Arial" w:cs="Arial"/>
          <w:i/>
          <w:iCs/>
          <w:color w:val="000000"/>
          <w:sz w:val="24"/>
          <w:szCs w:val="24"/>
        </w:rPr>
        <w:t>Journal of Business Ethics</w:t>
      </w:r>
      <w:r>
        <w:rPr>
          <w:rFonts w:ascii="Arial" w:eastAsia="Arial" w:hAnsi="Arial" w:cs="Arial"/>
          <w:color w:val="000000"/>
          <w:sz w:val="24"/>
          <w:szCs w:val="24"/>
        </w:rPr>
        <w:t xml:space="preserve">. </w:t>
      </w:r>
      <w:hyperlink r:id="rId53">
        <w:r w:rsidR="00720726">
          <w:rPr>
            <w:rFonts w:ascii="Arial" w:eastAsia="Arial" w:hAnsi="Arial" w:cs="Arial"/>
            <w:color w:val="0000FF"/>
            <w:sz w:val="24"/>
            <w:szCs w:val="24"/>
            <w:u w:val="single"/>
          </w:rPr>
          <w:t>https://doi.org/10.1007/s10551-021-04820-1</w:t>
        </w:r>
      </w:hyperlink>
      <w:r>
        <w:rPr>
          <w:rFonts w:ascii="Arial" w:eastAsia="Arial" w:hAnsi="Arial" w:cs="Arial"/>
          <w:color w:val="000000"/>
          <w:sz w:val="24"/>
          <w:szCs w:val="24"/>
        </w:rPr>
        <w:t xml:space="preserve"> Accessed: 04 May 2026.</w:t>
      </w:r>
    </w:p>
    <w:p w14:paraId="18F4FBB4"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Bhattacharya, C. and Sen, S. (2020) Consumer–company identification. </w:t>
      </w:r>
      <w:r>
        <w:rPr>
          <w:rFonts w:ascii="Arial" w:eastAsia="Arial" w:hAnsi="Arial" w:cs="Arial"/>
          <w:i/>
          <w:iCs/>
          <w:color w:val="000000"/>
          <w:sz w:val="24"/>
          <w:szCs w:val="24"/>
        </w:rPr>
        <w:t>Journal of Marketing</w:t>
      </w:r>
      <w:r>
        <w:rPr>
          <w:rFonts w:ascii="Arial" w:eastAsia="Arial" w:hAnsi="Arial" w:cs="Arial"/>
          <w:color w:val="000000"/>
          <w:sz w:val="24"/>
          <w:szCs w:val="24"/>
        </w:rPr>
        <w:t xml:space="preserve">. </w:t>
      </w:r>
      <w:hyperlink r:id="rId54">
        <w:r w:rsidR="00720726">
          <w:rPr>
            <w:rFonts w:ascii="Arial" w:eastAsia="Arial" w:hAnsi="Arial" w:cs="Arial"/>
            <w:color w:val="0000FF"/>
            <w:sz w:val="24"/>
            <w:szCs w:val="24"/>
            <w:u w:val="single"/>
          </w:rPr>
          <w:t>https://doi.org/10.1177/0022242920901234</w:t>
        </w:r>
      </w:hyperlink>
      <w:r>
        <w:rPr>
          <w:rFonts w:ascii="Arial" w:eastAsia="Arial" w:hAnsi="Arial" w:cs="Arial"/>
          <w:color w:val="000000"/>
          <w:sz w:val="24"/>
          <w:szCs w:val="24"/>
        </w:rPr>
        <w:t xml:space="preserve"> Accessed: 04 May 2026.</w:t>
      </w:r>
    </w:p>
    <w:p w14:paraId="0968DB32"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Carroll, A. (2021) CSR evolution revisited. </w:t>
      </w:r>
      <w:r>
        <w:rPr>
          <w:rFonts w:ascii="Arial" w:eastAsia="Arial" w:hAnsi="Arial" w:cs="Arial"/>
          <w:i/>
          <w:iCs/>
          <w:color w:val="000000"/>
          <w:sz w:val="24"/>
          <w:szCs w:val="24"/>
        </w:rPr>
        <w:t>Business &amp; Society</w:t>
      </w:r>
      <w:r>
        <w:rPr>
          <w:rFonts w:ascii="Arial" w:eastAsia="Arial" w:hAnsi="Arial" w:cs="Arial"/>
          <w:color w:val="000000"/>
          <w:sz w:val="24"/>
          <w:szCs w:val="24"/>
        </w:rPr>
        <w:t xml:space="preserve">. </w:t>
      </w:r>
      <w:hyperlink r:id="rId55">
        <w:r w:rsidR="00720726">
          <w:rPr>
            <w:rFonts w:ascii="Arial" w:eastAsia="Arial" w:hAnsi="Arial" w:cs="Arial"/>
            <w:color w:val="0000FF"/>
            <w:sz w:val="24"/>
            <w:szCs w:val="24"/>
            <w:u w:val="single"/>
          </w:rPr>
          <w:t>https://doi.org/10.1177/0007650320988475</w:t>
        </w:r>
      </w:hyperlink>
      <w:r>
        <w:rPr>
          <w:rFonts w:ascii="Arial" w:eastAsia="Arial" w:hAnsi="Arial" w:cs="Arial"/>
          <w:color w:val="000000"/>
          <w:sz w:val="24"/>
          <w:szCs w:val="24"/>
        </w:rPr>
        <w:t xml:space="preserve"> Accessed: 04 May 2026.</w:t>
      </w:r>
    </w:p>
    <w:p w14:paraId="16ADC67D"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Choi, Y. and Lee, D. (2022) CSR authenticity and purchase intention. </w:t>
      </w:r>
      <w:r>
        <w:rPr>
          <w:rFonts w:ascii="Arial" w:eastAsia="Arial" w:hAnsi="Arial" w:cs="Arial"/>
          <w:i/>
          <w:iCs/>
          <w:color w:val="000000"/>
          <w:sz w:val="24"/>
          <w:szCs w:val="24"/>
        </w:rPr>
        <w:t>Sustainability</w:t>
      </w:r>
      <w:r>
        <w:rPr>
          <w:rFonts w:ascii="Arial" w:eastAsia="Arial" w:hAnsi="Arial" w:cs="Arial"/>
          <w:color w:val="000000"/>
          <w:sz w:val="24"/>
          <w:szCs w:val="24"/>
        </w:rPr>
        <w:t>.</w:t>
      </w:r>
      <w:r>
        <w:rPr>
          <w:rFonts w:ascii="Arial" w:eastAsia="Arial" w:hAnsi="Arial" w:cs="Arial"/>
          <w:color w:val="000000"/>
          <w:sz w:val="24"/>
          <w:szCs w:val="24"/>
        </w:rPr>
        <w:br/>
      </w:r>
      <w:hyperlink r:id="rId56">
        <w:r w:rsidR="00720726">
          <w:rPr>
            <w:rFonts w:ascii="Arial" w:eastAsia="Arial" w:hAnsi="Arial" w:cs="Arial"/>
            <w:color w:val="0000FF"/>
            <w:sz w:val="24"/>
            <w:szCs w:val="24"/>
            <w:u w:val="single"/>
          </w:rPr>
          <w:t>https://doi.org/10.3390/su14094567</w:t>
        </w:r>
      </w:hyperlink>
      <w:r>
        <w:rPr>
          <w:rFonts w:ascii="Arial" w:eastAsia="Arial" w:hAnsi="Arial" w:cs="Arial"/>
          <w:color w:val="000000"/>
          <w:sz w:val="24"/>
          <w:szCs w:val="24"/>
        </w:rPr>
        <w:t xml:space="preserve"> Accessed: 04 May 2026.</w:t>
      </w:r>
    </w:p>
    <w:p w14:paraId="23A45B2A"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Elkington, J. (2021) Triple bottom line revisited. </w:t>
      </w:r>
      <w:r>
        <w:rPr>
          <w:rFonts w:ascii="Arial" w:eastAsia="Arial" w:hAnsi="Arial" w:cs="Arial"/>
          <w:i/>
          <w:iCs/>
          <w:color w:val="000000"/>
          <w:sz w:val="24"/>
          <w:szCs w:val="24"/>
        </w:rPr>
        <w:t>California Management Review</w:t>
      </w:r>
      <w:r>
        <w:rPr>
          <w:rFonts w:ascii="Arial" w:eastAsia="Arial" w:hAnsi="Arial" w:cs="Arial"/>
          <w:color w:val="000000"/>
          <w:sz w:val="24"/>
          <w:szCs w:val="24"/>
        </w:rPr>
        <w:t>.</w:t>
      </w:r>
      <w:r>
        <w:rPr>
          <w:rFonts w:ascii="Arial" w:eastAsia="Arial" w:hAnsi="Arial" w:cs="Arial"/>
          <w:color w:val="000000"/>
          <w:sz w:val="24"/>
          <w:szCs w:val="24"/>
        </w:rPr>
        <w:br/>
      </w:r>
      <w:hyperlink r:id="rId57">
        <w:r w:rsidR="00720726">
          <w:rPr>
            <w:rFonts w:ascii="Arial" w:eastAsia="Arial" w:hAnsi="Arial" w:cs="Arial"/>
            <w:color w:val="0000FF"/>
            <w:sz w:val="24"/>
            <w:szCs w:val="24"/>
            <w:u w:val="single"/>
          </w:rPr>
          <w:t>https://doi.org/10.1177/00081256211012345</w:t>
        </w:r>
      </w:hyperlink>
      <w:r>
        <w:rPr>
          <w:rFonts w:ascii="Arial" w:eastAsia="Arial" w:hAnsi="Arial" w:cs="Arial"/>
          <w:color w:val="000000"/>
          <w:sz w:val="24"/>
          <w:szCs w:val="24"/>
        </w:rPr>
        <w:t xml:space="preserve"> Accessed: 04 May 2026.</w:t>
      </w:r>
    </w:p>
    <w:p w14:paraId="734A251C"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Fatma, M. and Khan, I. (2022) CSR and brand equity relationship. </w:t>
      </w:r>
      <w:r>
        <w:rPr>
          <w:rFonts w:ascii="Arial" w:eastAsia="Arial" w:hAnsi="Arial" w:cs="Arial"/>
          <w:i/>
          <w:iCs/>
          <w:color w:val="000000"/>
          <w:sz w:val="24"/>
          <w:szCs w:val="24"/>
        </w:rPr>
        <w:t>Journal of Retailing</w:t>
      </w:r>
      <w:r>
        <w:rPr>
          <w:rFonts w:ascii="Arial" w:eastAsia="Arial" w:hAnsi="Arial" w:cs="Arial"/>
          <w:color w:val="000000"/>
          <w:sz w:val="24"/>
          <w:szCs w:val="24"/>
        </w:rPr>
        <w:t>.</w:t>
      </w:r>
      <w:r>
        <w:rPr>
          <w:rFonts w:ascii="Arial" w:eastAsia="Arial" w:hAnsi="Arial" w:cs="Arial"/>
          <w:color w:val="000000"/>
          <w:sz w:val="24"/>
          <w:szCs w:val="24"/>
        </w:rPr>
        <w:br/>
      </w:r>
      <w:hyperlink r:id="rId58">
        <w:r w:rsidR="00720726">
          <w:rPr>
            <w:rFonts w:ascii="Arial" w:eastAsia="Arial" w:hAnsi="Arial" w:cs="Arial"/>
            <w:color w:val="0000FF"/>
            <w:sz w:val="24"/>
            <w:szCs w:val="24"/>
            <w:u w:val="single"/>
          </w:rPr>
          <w:t>https://doi.org/10.1016/j.jretai.2022.02.003</w:t>
        </w:r>
      </w:hyperlink>
      <w:r>
        <w:rPr>
          <w:rFonts w:ascii="Arial" w:eastAsia="Arial" w:hAnsi="Arial" w:cs="Arial"/>
          <w:color w:val="000000"/>
          <w:sz w:val="24"/>
          <w:szCs w:val="24"/>
        </w:rPr>
        <w:t xml:space="preserve"> Accessed: 04 May 2026.</w:t>
      </w:r>
    </w:p>
    <w:p w14:paraId="7E7E8E9E"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Ghosh, S. and Gurtoo, A. (2021) CSR and ethical consumption in emerging markets. </w:t>
      </w:r>
      <w:r>
        <w:rPr>
          <w:rFonts w:ascii="Arial" w:eastAsia="Arial" w:hAnsi="Arial" w:cs="Arial"/>
          <w:i/>
          <w:iCs/>
          <w:color w:val="000000"/>
          <w:sz w:val="24"/>
          <w:szCs w:val="24"/>
        </w:rPr>
        <w:t>Journal of Cleaner Production</w:t>
      </w:r>
      <w:r>
        <w:rPr>
          <w:rFonts w:ascii="Arial" w:eastAsia="Arial" w:hAnsi="Arial" w:cs="Arial"/>
          <w:color w:val="000000"/>
          <w:sz w:val="24"/>
          <w:szCs w:val="24"/>
        </w:rPr>
        <w:t>.</w:t>
      </w:r>
      <w:r>
        <w:rPr>
          <w:rFonts w:ascii="Arial" w:eastAsia="Arial" w:hAnsi="Arial" w:cs="Arial"/>
          <w:color w:val="000000"/>
          <w:sz w:val="24"/>
          <w:szCs w:val="24"/>
        </w:rPr>
        <w:br/>
      </w:r>
      <w:hyperlink r:id="rId59">
        <w:r w:rsidR="00720726">
          <w:rPr>
            <w:rFonts w:ascii="Arial" w:eastAsia="Arial" w:hAnsi="Arial" w:cs="Arial"/>
            <w:color w:val="0000FF"/>
            <w:sz w:val="24"/>
            <w:szCs w:val="24"/>
            <w:u w:val="single"/>
          </w:rPr>
          <w:t>https://doi.org/10.1016/j.jclepro.2021.127654</w:t>
        </w:r>
      </w:hyperlink>
      <w:r>
        <w:rPr>
          <w:rFonts w:ascii="Arial" w:eastAsia="Arial" w:hAnsi="Arial" w:cs="Arial"/>
          <w:color w:val="000000"/>
          <w:sz w:val="24"/>
          <w:szCs w:val="24"/>
        </w:rPr>
        <w:t xml:space="preserve"> Accessed: 04 May 2026.</w:t>
      </w:r>
    </w:p>
    <w:p w14:paraId="58322F85"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Habel, J. et al. (2020) CSR communication and trust. </w:t>
      </w:r>
      <w:r>
        <w:rPr>
          <w:rFonts w:ascii="Arial" w:eastAsia="Arial" w:hAnsi="Arial" w:cs="Arial"/>
          <w:i/>
          <w:iCs/>
          <w:color w:val="000000"/>
          <w:sz w:val="24"/>
          <w:szCs w:val="24"/>
        </w:rPr>
        <w:t>Journal of Marketing</w:t>
      </w:r>
      <w:r>
        <w:rPr>
          <w:rFonts w:ascii="Arial" w:eastAsia="Arial" w:hAnsi="Arial" w:cs="Arial"/>
          <w:color w:val="000000"/>
          <w:sz w:val="24"/>
          <w:szCs w:val="24"/>
        </w:rPr>
        <w:t>.</w:t>
      </w:r>
      <w:r>
        <w:rPr>
          <w:rFonts w:ascii="Arial" w:eastAsia="Arial" w:hAnsi="Arial" w:cs="Arial"/>
          <w:color w:val="000000"/>
          <w:sz w:val="24"/>
          <w:szCs w:val="24"/>
        </w:rPr>
        <w:br/>
      </w:r>
      <w:hyperlink r:id="rId60">
        <w:r w:rsidR="00720726">
          <w:rPr>
            <w:rFonts w:ascii="Arial" w:eastAsia="Arial" w:hAnsi="Arial" w:cs="Arial"/>
            <w:color w:val="0000FF"/>
            <w:sz w:val="24"/>
            <w:szCs w:val="24"/>
            <w:u w:val="single"/>
          </w:rPr>
          <w:t>https://doi.org/10.1177/0022242920955678</w:t>
        </w:r>
      </w:hyperlink>
      <w:r>
        <w:rPr>
          <w:rFonts w:ascii="Arial" w:eastAsia="Arial" w:hAnsi="Arial" w:cs="Arial"/>
          <w:color w:val="000000"/>
          <w:sz w:val="24"/>
          <w:szCs w:val="24"/>
        </w:rPr>
        <w:t xml:space="preserve"> Accessed: 04 May 2026.</w:t>
      </w:r>
    </w:p>
    <w:p w14:paraId="1855DF5B"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Huang, Y. and Chen, A. (2023) Sustainability perception and consumer choice. </w:t>
      </w:r>
      <w:r>
        <w:rPr>
          <w:rFonts w:ascii="Arial" w:eastAsia="Arial" w:hAnsi="Arial" w:cs="Arial"/>
          <w:i/>
          <w:iCs/>
          <w:color w:val="000000"/>
          <w:sz w:val="24"/>
          <w:szCs w:val="24"/>
        </w:rPr>
        <w:t>Journal of Business Research</w:t>
      </w:r>
      <w:r>
        <w:rPr>
          <w:rFonts w:ascii="Arial" w:eastAsia="Arial" w:hAnsi="Arial" w:cs="Arial"/>
          <w:color w:val="000000"/>
          <w:sz w:val="24"/>
          <w:szCs w:val="24"/>
        </w:rPr>
        <w:t xml:space="preserve">. </w:t>
      </w:r>
      <w:hyperlink r:id="rId61">
        <w:r w:rsidR="00720726">
          <w:rPr>
            <w:rFonts w:ascii="Arial" w:eastAsia="Arial" w:hAnsi="Arial" w:cs="Arial"/>
            <w:color w:val="0000FF"/>
            <w:sz w:val="24"/>
            <w:szCs w:val="24"/>
            <w:u w:val="single"/>
          </w:rPr>
          <w:t>https://doi.org/10.1016/j.jbusres.2023.01.012</w:t>
        </w:r>
      </w:hyperlink>
      <w:r>
        <w:rPr>
          <w:rFonts w:ascii="Arial" w:eastAsia="Arial" w:hAnsi="Arial" w:cs="Arial"/>
          <w:color w:val="000000"/>
          <w:sz w:val="24"/>
          <w:szCs w:val="24"/>
        </w:rPr>
        <w:t xml:space="preserve"> Accessed: 04 May 2026.</w:t>
      </w:r>
    </w:p>
    <w:p w14:paraId="316657F6"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Islam, T. et al. (2021) CSR impact on consumer loyalty. </w:t>
      </w:r>
      <w:r>
        <w:rPr>
          <w:rFonts w:ascii="Arial" w:eastAsia="Arial" w:hAnsi="Arial" w:cs="Arial"/>
          <w:i/>
          <w:iCs/>
          <w:color w:val="000000"/>
          <w:sz w:val="24"/>
          <w:szCs w:val="24"/>
        </w:rPr>
        <w:t>Sustainability</w:t>
      </w:r>
      <w:r>
        <w:rPr>
          <w:rFonts w:ascii="Arial" w:eastAsia="Arial" w:hAnsi="Arial" w:cs="Arial"/>
          <w:color w:val="000000"/>
          <w:sz w:val="24"/>
          <w:szCs w:val="24"/>
        </w:rPr>
        <w:t>.</w:t>
      </w:r>
      <w:r>
        <w:rPr>
          <w:rFonts w:ascii="Arial" w:eastAsia="Arial" w:hAnsi="Arial" w:cs="Arial"/>
          <w:color w:val="000000"/>
          <w:sz w:val="24"/>
          <w:szCs w:val="24"/>
        </w:rPr>
        <w:br/>
      </w:r>
      <w:hyperlink r:id="rId62">
        <w:r w:rsidR="00720726">
          <w:rPr>
            <w:rFonts w:ascii="Arial" w:eastAsia="Arial" w:hAnsi="Arial" w:cs="Arial"/>
            <w:color w:val="0000FF"/>
            <w:sz w:val="24"/>
            <w:szCs w:val="24"/>
            <w:u w:val="single"/>
          </w:rPr>
          <w:t>https://doi.org/10.3390/su13020789</w:t>
        </w:r>
      </w:hyperlink>
      <w:r>
        <w:rPr>
          <w:rFonts w:ascii="Arial" w:eastAsia="Arial" w:hAnsi="Arial" w:cs="Arial"/>
          <w:color w:val="000000"/>
          <w:sz w:val="24"/>
          <w:szCs w:val="24"/>
        </w:rPr>
        <w:t xml:space="preserve"> Accessed: 04 May 2026.</w:t>
      </w:r>
    </w:p>
    <w:p w14:paraId="3E495128"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Khan, M. et al. (2022) CSR in retail industry performance. </w:t>
      </w:r>
      <w:r>
        <w:rPr>
          <w:rFonts w:ascii="Arial" w:eastAsia="Arial" w:hAnsi="Arial" w:cs="Arial"/>
          <w:i/>
          <w:iCs/>
          <w:color w:val="000000"/>
          <w:sz w:val="24"/>
          <w:szCs w:val="24"/>
        </w:rPr>
        <w:t>International Journal of Retail &amp; Distribution Management</w:t>
      </w:r>
      <w:r>
        <w:rPr>
          <w:rFonts w:ascii="Arial" w:eastAsia="Arial" w:hAnsi="Arial" w:cs="Arial"/>
          <w:color w:val="000000"/>
          <w:sz w:val="24"/>
          <w:szCs w:val="24"/>
        </w:rPr>
        <w:t xml:space="preserve">. </w:t>
      </w:r>
      <w:hyperlink r:id="rId63">
        <w:r w:rsidR="00720726">
          <w:rPr>
            <w:rFonts w:ascii="Arial" w:eastAsia="Arial" w:hAnsi="Arial" w:cs="Arial"/>
            <w:color w:val="0000FF"/>
            <w:sz w:val="24"/>
            <w:szCs w:val="24"/>
            <w:u w:val="single"/>
          </w:rPr>
          <w:t>https://doi.org/10.1108/IJRDM-04-2022-0156</w:t>
        </w:r>
      </w:hyperlink>
      <w:r>
        <w:rPr>
          <w:rFonts w:ascii="Arial" w:eastAsia="Arial" w:hAnsi="Arial" w:cs="Arial"/>
          <w:color w:val="000000"/>
          <w:sz w:val="24"/>
          <w:szCs w:val="24"/>
        </w:rPr>
        <w:t xml:space="preserve"> Accessed: 04 May 2026.</w:t>
      </w:r>
    </w:p>
    <w:p w14:paraId="1DBB4EBD"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Liu, S. and Wei, J. (2022) CSR credibility and consumer trust. </w:t>
      </w:r>
      <w:r>
        <w:rPr>
          <w:rFonts w:ascii="Arial" w:eastAsia="Arial" w:hAnsi="Arial" w:cs="Arial"/>
          <w:i/>
          <w:iCs/>
          <w:color w:val="000000"/>
          <w:sz w:val="24"/>
          <w:szCs w:val="24"/>
        </w:rPr>
        <w:t>Journal of Consumer Behaviour</w:t>
      </w:r>
      <w:r>
        <w:rPr>
          <w:rFonts w:ascii="Arial" w:eastAsia="Arial" w:hAnsi="Arial" w:cs="Arial"/>
          <w:color w:val="000000"/>
          <w:sz w:val="24"/>
          <w:szCs w:val="24"/>
        </w:rPr>
        <w:t>.</w:t>
      </w:r>
      <w:r>
        <w:rPr>
          <w:rFonts w:ascii="Arial" w:eastAsia="Arial" w:hAnsi="Arial" w:cs="Arial"/>
          <w:color w:val="000000"/>
          <w:sz w:val="24"/>
          <w:szCs w:val="24"/>
        </w:rPr>
        <w:br/>
      </w:r>
      <w:hyperlink r:id="rId64">
        <w:r w:rsidR="00720726">
          <w:rPr>
            <w:rFonts w:ascii="Arial" w:eastAsia="Arial" w:hAnsi="Arial" w:cs="Arial"/>
            <w:color w:val="0000FF"/>
            <w:sz w:val="24"/>
            <w:szCs w:val="24"/>
            <w:u w:val="single"/>
          </w:rPr>
          <w:t>https://doi.org/10.1002/cb.1998</w:t>
        </w:r>
      </w:hyperlink>
      <w:r>
        <w:rPr>
          <w:rFonts w:ascii="Arial" w:eastAsia="Arial" w:hAnsi="Arial" w:cs="Arial"/>
          <w:color w:val="000000"/>
          <w:sz w:val="24"/>
          <w:szCs w:val="24"/>
        </w:rPr>
        <w:t xml:space="preserve"> Accessed: 04 May 2026.</w:t>
      </w:r>
    </w:p>
    <w:p w14:paraId="35C86F05"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Nguyen, T. (2023) CSR scepticism effects. </w:t>
      </w:r>
      <w:r>
        <w:rPr>
          <w:rFonts w:ascii="Arial" w:eastAsia="Arial" w:hAnsi="Arial" w:cs="Arial"/>
          <w:i/>
          <w:iCs/>
          <w:color w:val="000000"/>
          <w:sz w:val="24"/>
          <w:szCs w:val="24"/>
        </w:rPr>
        <w:t>Journal of Business Research</w:t>
      </w:r>
      <w:r>
        <w:rPr>
          <w:rFonts w:ascii="Arial" w:eastAsia="Arial" w:hAnsi="Arial" w:cs="Arial"/>
          <w:color w:val="000000"/>
          <w:sz w:val="24"/>
          <w:szCs w:val="24"/>
        </w:rPr>
        <w:t>.</w:t>
      </w:r>
      <w:r>
        <w:rPr>
          <w:rFonts w:ascii="Arial" w:eastAsia="Arial" w:hAnsi="Arial" w:cs="Arial"/>
          <w:color w:val="000000"/>
          <w:sz w:val="24"/>
          <w:szCs w:val="24"/>
        </w:rPr>
        <w:br/>
      </w:r>
      <w:hyperlink r:id="rId65">
        <w:r w:rsidR="00720726">
          <w:rPr>
            <w:rFonts w:ascii="Arial" w:eastAsia="Arial" w:hAnsi="Arial" w:cs="Arial"/>
            <w:color w:val="0000FF"/>
            <w:sz w:val="24"/>
            <w:szCs w:val="24"/>
            <w:u w:val="single"/>
          </w:rPr>
          <w:t>https://doi.org/10.1016/j.jbusres.2023.02.045</w:t>
        </w:r>
      </w:hyperlink>
      <w:r>
        <w:rPr>
          <w:rFonts w:ascii="Arial" w:eastAsia="Arial" w:hAnsi="Arial" w:cs="Arial"/>
          <w:color w:val="000000"/>
          <w:sz w:val="24"/>
          <w:szCs w:val="24"/>
        </w:rPr>
        <w:t xml:space="preserve"> Accessed: 04 May 2026.</w:t>
      </w:r>
    </w:p>
    <w:p w14:paraId="6557DBCB"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Park, H. and Kim, Y. (2021) CSR and brand image. </w:t>
      </w:r>
      <w:r>
        <w:rPr>
          <w:rFonts w:ascii="Arial" w:eastAsia="Arial" w:hAnsi="Arial" w:cs="Arial"/>
          <w:i/>
          <w:iCs/>
          <w:color w:val="000000"/>
          <w:sz w:val="24"/>
          <w:szCs w:val="24"/>
        </w:rPr>
        <w:t>Journal of Marketing Communications</w:t>
      </w:r>
      <w:r>
        <w:rPr>
          <w:rFonts w:ascii="Arial" w:eastAsia="Arial" w:hAnsi="Arial" w:cs="Arial"/>
          <w:color w:val="000000"/>
          <w:sz w:val="24"/>
          <w:szCs w:val="24"/>
        </w:rPr>
        <w:t>.</w:t>
      </w:r>
      <w:r>
        <w:rPr>
          <w:rFonts w:ascii="Arial" w:eastAsia="Arial" w:hAnsi="Arial" w:cs="Arial"/>
          <w:color w:val="000000"/>
          <w:sz w:val="24"/>
          <w:szCs w:val="24"/>
        </w:rPr>
        <w:br/>
      </w:r>
      <w:hyperlink r:id="rId66">
        <w:r w:rsidR="00720726">
          <w:rPr>
            <w:rFonts w:ascii="Arial" w:eastAsia="Arial" w:hAnsi="Arial" w:cs="Arial"/>
            <w:color w:val="0000FF"/>
            <w:sz w:val="24"/>
            <w:szCs w:val="24"/>
            <w:u w:val="single"/>
          </w:rPr>
          <w:t>https://doi.org/10.1080/13527266.2021.1901234</w:t>
        </w:r>
      </w:hyperlink>
      <w:r>
        <w:rPr>
          <w:rFonts w:ascii="Arial" w:eastAsia="Arial" w:hAnsi="Arial" w:cs="Arial"/>
          <w:color w:val="000000"/>
          <w:sz w:val="24"/>
          <w:szCs w:val="24"/>
        </w:rPr>
        <w:t xml:space="preserve"> Accessed: 04 May 2026.</w:t>
      </w:r>
    </w:p>
    <w:p w14:paraId="7697F7CC"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Ramasamy, B. et al. (2020) CSR and consumer trust formation. </w:t>
      </w:r>
      <w:r>
        <w:rPr>
          <w:rFonts w:ascii="Arial" w:eastAsia="Arial" w:hAnsi="Arial" w:cs="Arial"/>
          <w:i/>
          <w:iCs/>
          <w:color w:val="000000"/>
          <w:sz w:val="24"/>
          <w:szCs w:val="24"/>
        </w:rPr>
        <w:t>Asia Pacific Journal of Marketing</w:t>
      </w:r>
      <w:r>
        <w:rPr>
          <w:rFonts w:ascii="Arial" w:eastAsia="Arial" w:hAnsi="Arial" w:cs="Arial"/>
          <w:color w:val="000000"/>
          <w:sz w:val="24"/>
          <w:szCs w:val="24"/>
        </w:rPr>
        <w:t>.</w:t>
      </w:r>
      <w:r>
        <w:rPr>
          <w:rFonts w:ascii="Arial" w:eastAsia="Arial" w:hAnsi="Arial" w:cs="Arial"/>
          <w:color w:val="000000"/>
          <w:sz w:val="24"/>
          <w:szCs w:val="24"/>
        </w:rPr>
        <w:br/>
      </w:r>
      <w:hyperlink r:id="rId67">
        <w:r w:rsidR="00720726">
          <w:rPr>
            <w:rFonts w:ascii="Arial" w:eastAsia="Arial" w:hAnsi="Arial" w:cs="Arial"/>
            <w:color w:val="0000FF"/>
            <w:sz w:val="24"/>
            <w:szCs w:val="24"/>
            <w:u w:val="single"/>
          </w:rPr>
          <w:t>https://doi.org/10.1108/APJML-02-2020-0123</w:t>
        </w:r>
      </w:hyperlink>
      <w:r>
        <w:rPr>
          <w:rFonts w:ascii="Arial" w:eastAsia="Arial" w:hAnsi="Arial" w:cs="Arial"/>
          <w:color w:val="000000"/>
          <w:sz w:val="24"/>
          <w:szCs w:val="24"/>
        </w:rPr>
        <w:t xml:space="preserve"> Accessed: 04 May 2026.</w:t>
      </w:r>
    </w:p>
    <w:p w14:paraId="3F0A5362"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Saeed, M. and Zameer, H. (2022) CSR and purchase intention model. </w:t>
      </w:r>
      <w:r>
        <w:rPr>
          <w:rFonts w:ascii="Arial" w:eastAsia="Arial" w:hAnsi="Arial" w:cs="Arial"/>
          <w:i/>
          <w:iCs/>
          <w:color w:val="000000"/>
          <w:sz w:val="24"/>
          <w:szCs w:val="24"/>
        </w:rPr>
        <w:t>Journal of Retailing and Consumer Services</w:t>
      </w:r>
      <w:r>
        <w:rPr>
          <w:rFonts w:ascii="Arial" w:eastAsia="Arial" w:hAnsi="Arial" w:cs="Arial"/>
          <w:color w:val="000000"/>
          <w:sz w:val="24"/>
          <w:szCs w:val="24"/>
        </w:rPr>
        <w:t xml:space="preserve">. </w:t>
      </w:r>
      <w:hyperlink r:id="rId68">
        <w:r w:rsidR="00720726">
          <w:rPr>
            <w:rFonts w:ascii="Arial" w:eastAsia="Arial" w:hAnsi="Arial" w:cs="Arial"/>
            <w:color w:val="0000FF"/>
            <w:sz w:val="24"/>
            <w:szCs w:val="24"/>
            <w:u w:val="single"/>
          </w:rPr>
          <w:t>https://doi.org/10.1016/j.jretconser.2022.102345</w:t>
        </w:r>
      </w:hyperlink>
      <w:r>
        <w:rPr>
          <w:rFonts w:ascii="Arial" w:eastAsia="Arial" w:hAnsi="Arial" w:cs="Arial"/>
          <w:color w:val="000000"/>
          <w:sz w:val="24"/>
          <w:szCs w:val="24"/>
        </w:rPr>
        <w:t xml:space="preserve"> Accessed: 04 May 2026.</w:t>
      </w:r>
    </w:p>
    <w:p w14:paraId="0A2D9D43"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Sen, S. and Bhattacharya, C. (2021) CSR influence on consumer attitudes. </w:t>
      </w:r>
      <w:r>
        <w:rPr>
          <w:rFonts w:ascii="Arial" w:eastAsia="Arial" w:hAnsi="Arial" w:cs="Arial"/>
          <w:i/>
          <w:iCs/>
          <w:color w:val="000000"/>
          <w:sz w:val="24"/>
          <w:szCs w:val="24"/>
        </w:rPr>
        <w:t>Journal of Marketing</w:t>
      </w:r>
      <w:r>
        <w:rPr>
          <w:rFonts w:ascii="Arial" w:eastAsia="Arial" w:hAnsi="Arial" w:cs="Arial"/>
          <w:color w:val="000000"/>
          <w:sz w:val="24"/>
          <w:szCs w:val="24"/>
        </w:rPr>
        <w:t xml:space="preserve">. </w:t>
      </w:r>
      <w:hyperlink r:id="rId69">
        <w:r w:rsidR="00720726">
          <w:rPr>
            <w:rFonts w:ascii="Arial" w:eastAsia="Arial" w:hAnsi="Arial" w:cs="Arial"/>
            <w:color w:val="0000FF"/>
            <w:sz w:val="24"/>
            <w:szCs w:val="24"/>
            <w:u w:val="single"/>
          </w:rPr>
          <w:t>https://doi.org/10.1177/00222429211012345</w:t>
        </w:r>
      </w:hyperlink>
      <w:r>
        <w:rPr>
          <w:rFonts w:ascii="Arial" w:eastAsia="Arial" w:hAnsi="Arial" w:cs="Arial"/>
          <w:color w:val="000000"/>
          <w:sz w:val="24"/>
          <w:szCs w:val="24"/>
        </w:rPr>
        <w:t xml:space="preserve"> Accessed: 04 May 2026.</w:t>
      </w:r>
    </w:p>
    <w:p w14:paraId="12F6D1D5" w14:textId="77777777" w:rsidR="00720726" w:rsidRDefault="00000000">
      <w:pPr>
        <w:numPr>
          <w:ilvl w:val="0"/>
          <w:numId w:val="6"/>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Sun, Y. and Lin, X. (2023) Environmental CSR and green consumption. </w:t>
      </w:r>
      <w:r>
        <w:rPr>
          <w:rFonts w:ascii="Arial" w:eastAsia="Arial" w:hAnsi="Arial" w:cs="Arial"/>
          <w:i/>
          <w:iCs/>
          <w:color w:val="000000"/>
          <w:sz w:val="24"/>
          <w:szCs w:val="24"/>
        </w:rPr>
        <w:t>Sustainability</w:t>
      </w:r>
      <w:r>
        <w:rPr>
          <w:rFonts w:ascii="Arial" w:eastAsia="Arial" w:hAnsi="Arial" w:cs="Arial"/>
          <w:color w:val="000000"/>
          <w:sz w:val="24"/>
          <w:szCs w:val="24"/>
        </w:rPr>
        <w:t>.</w:t>
      </w:r>
      <w:r>
        <w:rPr>
          <w:rFonts w:ascii="Arial" w:eastAsia="Arial" w:hAnsi="Arial" w:cs="Arial"/>
          <w:color w:val="000000"/>
          <w:sz w:val="24"/>
          <w:szCs w:val="24"/>
        </w:rPr>
        <w:br/>
      </w:r>
      <w:hyperlink r:id="rId70">
        <w:r w:rsidR="00720726">
          <w:rPr>
            <w:rFonts w:ascii="Arial" w:eastAsia="Arial" w:hAnsi="Arial" w:cs="Arial"/>
            <w:color w:val="0000FF"/>
            <w:sz w:val="24"/>
            <w:szCs w:val="24"/>
            <w:u w:val="single"/>
          </w:rPr>
          <w:t>https://doi.org/10.3390/su15010789</w:t>
        </w:r>
      </w:hyperlink>
      <w:r>
        <w:rPr>
          <w:rFonts w:ascii="Arial" w:eastAsia="Arial" w:hAnsi="Arial" w:cs="Arial"/>
          <w:color w:val="000000"/>
          <w:sz w:val="24"/>
          <w:szCs w:val="24"/>
        </w:rPr>
        <w:t xml:space="preserve"> Accessed: 04 May 2026.</w:t>
      </w:r>
    </w:p>
    <w:p w14:paraId="21DC9E97" w14:textId="77777777" w:rsidR="00720726" w:rsidRDefault="00000000">
      <w:pPr>
        <w:numPr>
          <w:ilvl w:val="0"/>
          <w:numId w:val="6"/>
        </w:numPr>
        <w:pBdr>
          <w:top w:val="nil"/>
          <w:left w:val="nil"/>
          <w:bottom w:val="nil"/>
          <w:right w:val="nil"/>
          <w:between w:val="nil"/>
        </w:pBdr>
        <w:spacing w:after="28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Wang, D. et al. (2021) CSR and consumer loyalty framework. </w:t>
      </w:r>
      <w:r>
        <w:rPr>
          <w:rFonts w:ascii="Arial" w:eastAsia="Arial" w:hAnsi="Arial" w:cs="Arial"/>
          <w:i/>
          <w:iCs/>
          <w:color w:val="000000"/>
          <w:sz w:val="24"/>
          <w:szCs w:val="24"/>
        </w:rPr>
        <w:t>Journal of Business Ethics</w:t>
      </w:r>
      <w:r>
        <w:rPr>
          <w:rFonts w:ascii="Arial" w:eastAsia="Arial" w:hAnsi="Arial" w:cs="Arial"/>
          <w:color w:val="000000"/>
          <w:sz w:val="24"/>
          <w:szCs w:val="24"/>
        </w:rPr>
        <w:t>.</w:t>
      </w:r>
      <w:r>
        <w:rPr>
          <w:rFonts w:ascii="Arial" w:eastAsia="Arial" w:hAnsi="Arial" w:cs="Arial"/>
          <w:color w:val="000000"/>
          <w:sz w:val="24"/>
          <w:szCs w:val="24"/>
        </w:rPr>
        <w:br/>
      </w:r>
      <w:hyperlink r:id="rId71">
        <w:r w:rsidR="00720726">
          <w:rPr>
            <w:rFonts w:ascii="Arial" w:eastAsia="Arial" w:hAnsi="Arial" w:cs="Arial"/>
            <w:color w:val="0000FF"/>
            <w:sz w:val="24"/>
            <w:szCs w:val="24"/>
            <w:u w:val="single"/>
          </w:rPr>
          <w:t>https://doi.org/10.1007/s10551-021-04999-8</w:t>
        </w:r>
      </w:hyperlink>
      <w:r>
        <w:rPr>
          <w:rFonts w:ascii="Arial" w:eastAsia="Arial" w:hAnsi="Arial" w:cs="Arial"/>
          <w:color w:val="000000"/>
          <w:sz w:val="24"/>
          <w:szCs w:val="24"/>
        </w:rPr>
        <w:t xml:space="preserve"> Accessed: 04 May 2026.</w:t>
      </w:r>
    </w:p>
    <w:p w14:paraId="27BCC1E7" w14:textId="77777777" w:rsidR="00720726" w:rsidRDefault="00720726">
      <w:pPr>
        <w:pBdr>
          <w:top w:val="nil"/>
          <w:left w:val="nil"/>
          <w:bottom w:val="nil"/>
          <w:right w:val="nil"/>
          <w:between w:val="nil"/>
        </w:pBdr>
        <w:spacing w:before="280" w:after="280" w:line="360" w:lineRule="auto"/>
        <w:ind w:left="720"/>
        <w:jc w:val="both"/>
        <w:rPr>
          <w:rFonts w:ascii="Arial" w:eastAsia="Arial" w:hAnsi="Arial" w:cs="Arial"/>
          <w:color w:val="000000"/>
          <w:sz w:val="24"/>
          <w:szCs w:val="24"/>
        </w:rPr>
      </w:pPr>
    </w:p>
    <w:p w14:paraId="0F67737E" w14:textId="77777777" w:rsidR="00720726" w:rsidRDefault="00720726">
      <w:pPr>
        <w:spacing w:after="0" w:line="240" w:lineRule="auto"/>
        <w:rPr>
          <w:rFonts w:ascii="Times New Roman" w:eastAsia="Times New Roman" w:hAnsi="Times New Roman" w:cs="Times New Roman"/>
          <w:sz w:val="24"/>
          <w:szCs w:val="24"/>
        </w:rPr>
      </w:pPr>
    </w:p>
    <w:p w14:paraId="0EC66193" w14:textId="77777777" w:rsidR="00720726" w:rsidRDefault="00000000">
      <w:pPr>
        <w:spacing w:before="280" w:after="2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6B99EBBD" w14:textId="77777777" w:rsidR="00720726" w:rsidRDefault="00720726">
      <w:pPr>
        <w:spacing w:line="360" w:lineRule="auto"/>
        <w:jc w:val="both"/>
        <w:rPr>
          <w:rFonts w:ascii="Arial" w:eastAsia="Arial" w:hAnsi="Arial" w:cs="Arial"/>
          <w:sz w:val="24"/>
          <w:szCs w:val="24"/>
        </w:rPr>
      </w:pPr>
    </w:p>
    <w:sectPr w:rsidR="00720726">
      <w:headerReference w:type="default" r:id="rId72"/>
      <w:footerReference w:type="default" r:id="rId7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52EEA" w14:textId="77777777" w:rsidR="009B5EEF" w:rsidRDefault="009B5EEF">
      <w:pPr>
        <w:spacing w:after="0" w:line="240" w:lineRule="auto"/>
      </w:pPr>
      <w:r>
        <w:separator/>
      </w:r>
    </w:p>
  </w:endnote>
  <w:endnote w:type="continuationSeparator" w:id="0">
    <w:p w14:paraId="377509B4" w14:textId="77777777" w:rsidR="009B5EEF" w:rsidRDefault="009B5E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B330ED8B-6173-4036-B014-1DB666804E9D}"/>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D6D4FB9A-5EE4-445C-AC38-5054FB4EE0CD}"/>
    <w:embedBold r:id="rId3" w:fontKey="{A51E55EF-E182-46BF-AC1D-3E83D39385E7}"/>
    <w:embedItalic r:id="rId4" w:fontKey="{81723858-760E-4EB2-89C5-C27E504B7AC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auto"/>
    <w:pitch w:val="default"/>
  </w:font>
  <w:font w:name="Cambria Math">
    <w:panose1 w:val="02040503050406030204"/>
    <w:charset w:val="00"/>
    <w:family w:val="roman"/>
    <w:pitch w:val="variable"/>
    <w:sig w:usb0="E00006FF" w:usb1="420024FF" w:usb2="02000000" w:usb3="00000000" w:csb0="0000019F" w:csb1="00000000"/>
    <w:embedRegular r:id="rId5" w:fontKey="{571578C9-9CF5-41F8-8830-A6FB82684505}"/>
    <w:embedBold r:id="rId6" w:fontKey="{D3259D74-E2B2-427F-8071-D0BE0020B950}"/>
  </w:font>
  <w:font w:name="Cambria">
    <w:panose1 w:val="02040503050406030204"/>
    <w:charset w:val="00"/>
    <w:family w:val="roman"/>
    <w:pitch w:val="variable"/>
    <w:sig w:usb0="E00006FF" w:usb1="420024FF" w:usb2="02000000" w:usb3="00000000" w:csb0="0000019F" w:csb1="00000000"/>
    <w:embedRegular r:id="rId7" w:fontKey="{C5CCD695-6730-4FB5-B298-4D45BB04AC6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347491" w14:textId="77777777" w:rsidR="00720726"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5E23B1">
      <w:rPr>
        <w:noProof/>
        <w:color w:val="000000"/>
      </w:rPr>
      <w:t>2</w:t>
    </w:r>
    <w:r>
      <w:rPr>
        <w:color w:val="000000"/>
      </w:rPr>
      <w:fldChar w:fldCharType="end"/>
    </w:r>
  </w:p>
  <w:p w14:paraId="7D68A8C7" w14:textId="77777777" w:rsidR="00720726" w:rsidRDefault="00720726">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9F62F9" w14:textId="669003CB" w:rsidR="00720726"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FC0FCD">
      <w:rPr>
        <w:noProof/>
        <w:color w:val="000000"/>
      </w:rPr>
      <w:t>1</w:t>
    </w:r>
    <w:r>
      <w:rPr>
        <w:color w:val="000000"/>
      </w:rPr>
      <w:fldChar w:fldCharType="end"/>
    </w:r>
  </w:p>
  <w:p w14:paraId="68A4D4DA" w14:textId="77777777" w:rsidR="00720726" w:rsidRDefault="0072072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1307AE" w14:textId="77777777" w:rsidR="009B5EEF" w:rsidRDefault="009B5EEF">
      <w:pPr>
        <w:spacing w:after="0" w:line="240" w:lineRule="auto"/>
      </w:pPr>
      <w:r>
        <w:separator/>
      </w:r>
    </w:p>
  </w:footnote>
  <w:footnote w:type="continuationSeparator" w:id="0">
    <w:p w14:paraId="75FE391A" w14:textId="77777777" w:rsidR="009B5EEF" w:rsidRDefault="009B5E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000379" w14:textId="77777777" w:rsidR="00720726" w:rsidRDefault="00720726">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B4426"/>
    <w:multiLevelType w:val="multilevel"/>
    <w:tmpl w:val="5D5C24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80F3CBE"/>
    <w:multiLevelType w:val="multilevel"/>
    <w:tmpl w:val="27DC9B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6B41199"/>
    <w:multiLevelType w:val="multilevel"/>
    <w:tmpl w:val="7A1CF8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7231C04"/>
    <w:multiLevelType w:val="multilevel"/>
    <w:tmpl w:val="FB1AB86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82A2E81"/>
    <w:multiLevelType w:val="multilevel"/>
    <w:tmpl w:val="9642D44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486479ED"/>
    <w:multiLevelType w:val="multilevel"/>
    <w:tmpl w:val="871E0D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51A45502"/>
    <w:multiLevelType w:val="multilevel"/>
    <w:tmpl w:val="E7A0871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D827FAE"/>
    <w:multiLevelType w:val="multilevel"/>
    <w:tmpl w:val="F39AE9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6C5A7B6E"/>
    <w:multiLevelType w:val="multilevel"/>
    <w:tmpl w:val="D618EB3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0153526"/>
    <w:multiLevelType w:val="multilevel"/>
    <w:tmpl w:val="49849CE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3543423"/>
    <w:multiLevelType w:val="multilevel"/>
    <w:tmpl w:val="C9EA9A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4FC2986"/>
    <w:multiLevelType w:val="multilevel"/>
    <w:tmpl w:val="75CA47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57114927">
    <w:abstractNumId w:val="10"/>
  </w:num>
  <w:num w:numId="2" w16cid:durableId="1653212083">
    <w:abstractNumId w:val="0"/>
  </w:num>
  <w:num w:numId="3" w16cid:durableId="14960202">
    <w:abstractNumId w:val="3"/>
  </w:num>
  <w:num w:numId="4" w16cid:durableId="1328824698">
    <w:abstractNumId w:val="6"/>
  </w:num>
  <w:num w:numId="5" w16cid:durableId="1681809516">
    <w:abstractNumId w:val="4"/>
  </w:num>
  <w:num w:numId="6" w16cid:durableId="1951427267">
    <w:abstractNumId w:val="1"/>
  </w:num>
  <w:num w:numId="7" w16cid:durableId="824590921">
    <w:abstractNumId w:val="7"/>
  </w:num>
  <w:num w:numId="8" w16cid:durableId="251009885">
    <w:abstractNumId w:val="2"/>
  </w:num>
  <w:num w:numId="9" w16cid:durableId="1155072037">
    <w:abstractNumId w:val="5"/>
  </w:num>
  <w:num w:numId="10" w16cid:durableId="962199689">
    <w:abstractNumId w:val="9"/>
  </w:num>
  <w:num w:numId="11" w16cid:durableId="1444879938">
    <w:abstractNumId w:val="11"/>
  </w:num>
  <w:num w:numId="12" w16cid:durableId="14968037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0726"/>
    <w:rsid w:val="001707C5"/>
    <w:rsid w:val="003A60AE"/>
    <w:rsid w:val="005877C8"/>
    <w:rsid w:val="005E23B1"/>
    <w:rsid w:val="00720726"/>
    <w:rsid w:val="009774CB"/>
    <w:rsid w:val="0099301C"/>
    <w:rsid w:val="009A6050"/>
    <w:rsid w:val="009B5EEF"/>
    <w:rsid w:val="00B330FC"/>
    <w:rsid w:val="00B9543E"/>
    <w:rsid w:val="00C50E69"/>
    <w:rsid w:val="00C66CE8"/>
    <w:rsid w:val="00D47F13"/>
    <w:rsid w:val="00D7571C"/>
    <w:rsid w:val="00D80A1E"/>
    <w:rsid w:val="00DE5E6E"/>
    <w:rsid w:val="00EC0B48"/>
    <w:rsid w:val="00F650CF"/>
    <w:rsid w:val="00F75B84"/>
    <w:rsid w:val="00FC0FCD"/>
    <w:rsid w:val="00FE6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D114A"/>
  <w15:docId w15:val="{1E55F93E-C2E0-4EA7-AB66-A78DFDC93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line="360" w:lineRule="auto"/>
      <w:jc w:val="center"/>
      <w:outlineLvl w:val="0"/>
    </w:pPr>
    <w:rPr>
      <w:rFonts w:ascii="Arial" w:eastAsia="Arial" w:hAnsi="Arial" w:cs="Arial"/>
      <w:b/>
      <w:bCs/>
      <w:color w:val="000000"/>
      <w:sz w:val="28"/>
      <w:szCs w:val="28"/>
    </w:rPr>
  </w:style>
  <w:style w:type="paragraph" w:styleId="Heading2">
    <w:name w:val="heading 2"/>
    <w:basedOn w:val="Normal"/>
    <w:next w:val="Normal"/>
    <w:uiPriority w:val="9"/>
    <w:unhideWhenUsed/>
    <w:qFormat/>
    <w:pPr>
      <w:keepNext/>
      <w:keepLines/>
      <w:spacing w:before="160" w:after="80"/>
      <w:outlineLvl w:val="1"/>
    </w:pPr>
    <w:rPr>
      <w:rFonts w:ascii="Arial" w:eastAsia="Arial" w:hAnsi="Arial" w:cs="Arial"/>
      <w:b/>
      <w:bCs/>
      <w:color w:val="000000"/>
      <w:sz w:val="28"/>
      <w:szCs w:val="28"/>
    </w:rPr>
  </w:style>
  <w:style w:type="paragraph" w:styleId="Heading3">
    <w:name w:val="heading 3"/>
    <w:basedOn w:val="Normal"/>
    <w:next w:val="Normal"/>
    <w:uiPriority w:val="9"/>
    <w:unhideWhenUsed/>
    <w:qFormat/>
    <w:pPr>
      <w:keepNext/>
      <w:keepLines/>
      <w:spacing w:before="160" w:after="80"/>
      <w:outlineLvl w:val="2"/>
    </w:pPr>
    <w:rPr>
      <w:rFonts w:ascii="Arial" w:eastAsia="Arial" w:hAnsi="Arial" w:cs="Arial"/>
      <w:b/>
      <w:bCs/>
      <w:color w:val="000000"/>
      <w:sz w:val="24"/>
      <w:szCs w:val="24"/>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5">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6">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7">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 w:type="table" w:customStyle="1" w:styleId="ac">
    <w:basedOn w:val="TableNormal0"/>
    <w:tblPr>
      <w:tblStyleRowBandSize w:val="1"/>
      <w:tblStyleColBandSize w:val="1"/>
    </w:tblPr>
  </w:style>
  <w:style w:type="table" w:customStyle="1" w:styleId="ad">
    <w:basedOn w:val="TableNormal0"/>
    <w:tblPr>
      <w:tblStyleRowBandSize w:val="1"/>
      <w:tblStyleColBandSize w:val="1"/>
    </w:tblPr>
  </w:style>
  <w:style w:type="table" w:customStyle="1" w:styleId="ae">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0">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cambridge.org/core/books/stakeholder-theory" TargetMode="External"/><Relationship Id="rId21" Type="http://schemas.openxmlformats.org/officeDocument/2006/relationships/image" Target="media/image14.png"/><Relationship Id="rId42" Type="http://schemas.openxmlformats.org/officeDocument/2006/relationships/hyperlink" Target="https://www.pearson.com" TargetMode="External"/><Relationship Id="rId47" Type="http://schemas.openxmlformats.org/officeDocument/2006/relationships/hyperlink" Target="https://doi.org/10.1016/j.jbusres.2022.02.015" TargetMode="External"/><Relationship Id="rId63" Type="http://schemas.openxmlformats.org/officeDocument/2006/relationships/hyperlink" Target="https://doi.org/10.1108/IJRDM-04-2022-0156" TargetMode="External"/><Relationship Id="rId68" Type="http://schemas.openxmlformats.org/officeDocument/2006/relationships/hyperlink" Target="https://doi.org/10.1016/j.jretconser.2022.102345" TargetMode="External"/><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doi.org/10.1007/s10551-021-04890-1" TargetMode="External"/><Relationship Id="rId11" Type="http://schemas.openxmlformats.org/officeDocument/2006/relationships/image" Target="media/image4.png"/><Relationship Id="rId24" Type="http://schemas.openxmlformats.org/officeDocument/2006/relationships/hyperlink" Target="https://doi.org/10.1016/j.jretconser.2020.102042" TargetMode="External"/><Relationship Id="rId32" Type="http://schemas.openxmlformats.org/officeDocument/2006/relationships/hyperlink" Target="https://doi.org/10.1080/0267257X.2021.1885812" TargetMode="External"/><Relationship Id="rId37" Type="http://schemas.openxmlformats.org/officeDocument/2006/relationships/hyperlink" Target="https://doi.org/10.1016/j.intmar.2021.03.001" TargetMode="External"/><Relationship Id="rId40" Type="http://schemas.openxmlformats.org/officeDocument/2006/relationships/hyperlink" Target="https://doi.org/10.1002/jcpy.1212" TargetMode="External"/><Relationship Id="rId45" Type="http://schemas.openxmlformats.org/officeDocument/2006/relationships/hyperlink" Target="https://doi.org/10.1257/jep.34.3.60" TargetMode="External"/><Relationship Id="rId53" Type="http://schemas.openxmlformats.org/officeDocument/2006/relationships/hyperlink" Target="https://doi.org/10.1007/s10551-021-04820-1" TargetMode="External"/><Relationship Id="rId58" Type="http://schemas.openxmlformats.org/officeDocument/2006/relationships/hyperlink" Target="https://doi.org/10.1016/j.jretai.2022.02.003" TargetMode="External"/><Relationship Id="rId66" Type="http://schemas.openxmlformats.org/officeDocument/2006/relationships/hyperlink" Target="https://doi.org/10.1080/13527266.2021.1901234" TargetMode="External"/><Relationship Id="rId74"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doi.org/10.1016/j.jbusres.2023.01.012"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doi.org/10.1080/08870446.2020.1771288" TargetMode="External"/><Relationship Id="rId27" Type="http://schemas.openxmlformats.org/officeDocument/2006/relationships/hyperlink" Target="https://doi.org/10.1177/00222429221101234" TargetMode="External"/><Relationship Id="rId30" Type="http://schemas.openxmlformats.org/officeDocument/2006/relationships/hyperlink" Target="https://doi.org/10.1080/09644016.2020.1713720" TargetMode="External"/><Relationship Id="rId35" Type="http://schemas.openxmlformats.org/officeDocument/2006/relationships/hyperlink" Target="https://doi.org/10.1108/JCM-03-2020-3754" TargetMode="External"/><Relationship Id="rId43" Type="http://schemas.openxmlformats.org/officeDocument/2006/relationships/hyperlink" Target="https://doi.org/10.1080/13527266.2022.2034567" TargetMode="External"/><Relationship Id="rId48" Type="http://schemas.openxmlformats.org/officeDocument/2006/relationships/hyperlink" Target="https://doi.org/10.1002/jcpy.1205" TargetMode="External"/><Relationship Id="rId56" Type="http://schemas.openxmlformats.org/officeDocument/2006/relationships/hyperlink" Target="https://doi.org/10.3390/su14094567" TargetMode="External"/><Relationship Id="rId64" Type="http://schemas.openxmlformats.org/officeDocument/2006/relationships/hyperlink" Target="https://doi.org/10.1002/cb.1998" TargetMode="External"/><Relationship Id="rId69" Type="http://schemas.openxmlformats.org/officeDocument/2006/relationships/hyperlink" Target="https://doi.org/10.1177/00222429211012345" TargetMode="External"/><Relationship Id="rId8" Type="http://schemas.openxmlformats.org/officeDocument/2006/relationships/image" Target="media/image2.png"/><Relationship Id="rId51" Type="http://schemas.openxmlformats.org/officeDocument/2006/relationships/hyperlink" Target="https://doi.org/10.1080/14606925.2021.1894567" TargetMode="External"/><Relationship Id="rId72"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02/cb.1980" TargetMode="External"/><Relationship Id="rId33" Type="http://schemas.openxmlformats.org/officeDocument/2006/relationships/hyperlink" Target="https://www.pearson.com" TargetMode="External"/><Relationship Id="rId38" Type="http://schemas.openxmlformats.org/officeDocument/2006/relationships/hyperlink" Target="https://doi.org/10.1007/s10551-020-04632-2" TargetMode="External"/><Relationship Id="rId46" Type="http://schemas.openxmlformats.org/officeDocument/2006/relationships/hyperlink" Target="https://psycnet.apa.org" TargetMode="External"/><Relationship Id="rId59" Type="http://schemas.openxmlformats.org/officeDocument/2006/relationships/hyperlink" Target="https://doi.org/10.1016/j.jclepro.2021.127654" TargetMode="External"/><Relationship Id="rId67" Type="http://schemas.openxmlformats.org/officeDocument/2006/relationships/hyperlink" Target="https://doi.org/10.1108/APJML-02-2020-0123" TargetMode="External"/><Relationship Id="rId20" Type="http://schemas.openxmlformats.org/officeDocument/2006/relationships/image" Target="media/image13.png"/><Relationship Id="rId41" Type="http://schemas.openxmlformats.org/officeDocument/2006/relationships/hyperlink" Target="https://doi.org/10.1177/14705931221098765" TargetMode="External"/><Relationship Id="rId54" Type="http://schemas.openxmlformats.org/officeDocument/2006/relationships/hyperlink" Target="https://doi.org/10.1177/0022242920901234" TargetMode="External"/><Relationship Id="rId62" Type="http://schemas.openxmlformats.org/officeDocument/2006/relationships/hyperlink" Target="https://doi.org/10.3390/su13020789" TargetMode="External"/><Relationship Id="rId70" Type="http://schemas.openxmlformats.org/officeDocument/2006/relationships/hyperlink" Target="https://doi.org/10.3390/su15010789"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s://doi.org/10.1016/j.jbusres.2022.03.012" TargetMode="External"/><Relationship Id="rId28" Type="http://schemas.openxmlformats.org/officeDocument/2006/relationships/hyperlink" Target="https://doi.org/10.1108/IJRDM-01-2023-0032" TargetMode="External"/><Relationship Id="rId36" Type="http://schemas.openxmlformats.org/officeDocument/2006/relationships/hyperlink" Target="https://doi.org/10.1108/IMR-02-2023-0067" TargetMode="External"/><Relationship Id="rId49" Type="http://schemas.openxmlformats.org/officeDocument/2006/relationships/hyperlink" Target="https://doi.org/10.1177/00222429221098765" TargetMode="External"/><Relationship Id="rId57" Type="http://schemas.openxmlformats.org/officeDocument/2006/relationships/hyperlink" Target="https://doi.org/10.1177/00081256211012345" TargetMode="External"/><Relationship Id="rId10" Type="http://schemas.openxmlformats.org/officeDocument/2006/relationships/footer" Target="footer1.xml"/><Relationship Id="rId31" Type="http://schemas.openxmlformats.org/officeDocument/2006/relationships/hyperlink" Target="https://doi.org/10.1002/bse.2801" TargetMode="External"/><Relationship Id="rId44" Type="http://schemas.openxmlformats.org/officeDocument/2006/relationships/hyperlink" Target="https://doi.org/10.1002/cb.2101" TargetMode="External"/><Relationship Id="rId52" Type="http://schemas.openxmlformats.org/officeDocument/2006/relationships/hyperlink" Target="https://doi.org/10.1177/0022243721998765" TargetMode="External"/><Relationship Id="rId60" Type="http://schemas.openxmlformats.org/officeDocument/2006/relationships/hyperlink" Target="https://doi.org/10.1177/0022242920955678" TargetMode="External"/><Relationship Id="rId65" Type="http://schemas.openxmlformats.org/officeDocument/2006/relationships/hyperlink" Target="https://doi.org/10.1016/j.jbusres.2023.02.045" TargetMode="External"/><Relationship Id="rId73"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016/j.jretai.2021.03.004" TargetMode="External"/><Relationship Id="rId34" Type="http://schemas.openxmlformats.org/officeDocument/2006/relationships/hyperlink" Target="https://doi.org/10.1007/s10551-021-04810-3" TargetMode="External"/><Relationship Id="rId50" Type="http://schemas.openxmlformats.org/officeDocument/2006/relationships/hyperlink" Target="https://doi.org/10.1016/j.jretconser.2022.102456" TargetMode="External"/><Relationship Id="rId55" Type="http://schemas.openxmlformats.org/officeDocument/2006/relationships/hyperlink" Target="https://doi.org/10.1177/0007650320988475" TargetMode="External"/><Relationship Id="rId7" Type="http://schemas.openxmlformats.org/officeDocument/2006/relationships/image" Target="media/image1.png"/><Relationship Id="rId71" Type="http://schemas.openxmlformats.org/officeDocument/2006/relationships/hyperlink" Target="https://doi.org/10.1007/s10551-021-04999-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87</Pages>
  <Words>22338</Words>
  <Characters>127327</Characters>
  <Application>Microsoft Office Word</Application>
  <DocSecurity>0</DocSecurity>
  <Lines>1061</Lines>
  <Paragraphs>298</Paragraphs>
  <ScaleCrop>false</ScaleCrop>
  <Company/>
  <LinksUpToDate>false</LinksUpToDate>
  <CharactersWithSpaces>149367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Akramul Haque Nayeem Sarker (2436020)</cp:lastModifiedBy>
  <cp:revision>39</cp:revision>
  <dcterms:created xsi:type="dcterms:W3CDTF">2026-06-05T13:05:00Z</dcterms:created>
  <dcterms:modified xsi:type="dcterms:W3CDTF">2026-06-06T14:03:00Z</dcterms:modified>
</cp:coreProperties>
</file>