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342AF4" w14:textId="77777777" w:rsidR="00C0047A" w:rsidRDefault="007862AB" w:rsidP="00C0047A">
      <w:pPr>
        <w:rPr>
          <w:lang w:val="en-IN"/>
        </w:rPr>
      </w:pPr>
      <w:r w:rsidRPr="007862AB">
        <w:rPr>
          <w:noProof/>
          <w:lang w:val="en-US"/>
        </w:rPr>
        <w:drawing>
          <wp:anchor distT="0" distB="0" distL="114300" distR="114300" simplePos="0" relativeHeight="251659264" behindDoc="0" locked="0" layoutInCell="1" allowOverlap="1" wp14:anchorId="50FD9555" wp14:editId="2B56BBD7">
            <wp:simplePos x="0" y="0"/>
            <wp:positionH relativeFrom="column">
              <wp:posOffset>-457200</wp:posOffset>
            </wp:positionH>
            <wp:positionV relativeFrom="paragraph">
              <wp:posOffset>-457200</wp:posOffset>
            </wp:positionV>
            <wp:extent cx="1809750" cy="723900"/>
            <wp:effectExtent l="0" t="0" r="0" b="0"/>
            <wp:wrapSquare wrapText="bothSides" distT="0" distB="0" distL="114300" distR="11430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7" cstate="print"/>
                    <a:srcRect/>
                    <a:stretch>
                      <a:fillRect/>
                    </a:stretch>
                  </pic:blipFill>
                  <pic:spPr>
                    <a:xfrm>
                      <a:off x="0" y="0"/>
                      <a:ext cx="1809750" cy="723900"/>
                    </a:xfrm>
                    <a:prstGeom prst="rect">
                      <a:avLst/>
                    </a:prstGeom>
                    <a:ln/>
                  </pic:spPr>
                </pic:pic>
              </a:graphicData>
            </a:graphic>
          </wp:anchor>
        </w:drawing>
      </w:r>
    </w:p>
    <w:p w14:paraId="6160C97A" w14:textId="77777777" w:rsidR="00C0047A" w:rsidRDefault="00C0047A" w:rsidP="00C0047A">
      <w:pPr>
        <w:rPr>
          <w:lang w:val="en-IN"/>
        </w:rPr>
      </w:pPr>
    </w:p>
    <w:p w14:paraId="591E2A74" w14:textId="77777777" w:rsidR="00C0047A" w:rsidRDefault="00C0047A" w:rsidP="00C0047A">
      <w:pPr>
        <w:rPr>
          <w:lang w:val="en-IN"/>
        </w:rPr>
      </w:pPr>
    </w:p>
    <w:p w14:paraId="754F9BE0" w14:textId="77777777" w:rsidR="00C0047A" w:rsidRDefault="00C0047A" w:rsidP="00C0047A">
      <w:pPr>
        <w:rPr>
          <w:lang w:val="en-IN"/>
        </w:rPr>
      </w:pPr>
    </w:p>
    <w:p w14:paraId="0A1BC442" w14:textId="77777777" w:rsidR="00C0047A" w:rsidRDefault="00C0047A" w:rsidP="00C0047A">
      <w:pPr>
        <w:rPr>
          <w:lang w:val="en-IN"/>
        </w:rPr>
      </w:pPr>
    </w:p>
    <w:p w14:paraId="6644D065" w14:textId="77777777" w:rsidR="00C0047A" w:rsidRDefault="00C0047A" w:rsidP="00C0047A">
      <w:pPr>
        <w:rPr>
          <w:lang w:val="en-IN"/>
        </w:rPr>
      </w:pPr>
    </w:p>
    <w:p w14:paraId="78FBAA46" w14:textId="77777777" w:rsidR="00C0047A" w:rsidRDefault="00C0047A" w:rsidP="00C0047A">
      <w:pPr>
        <w:rPr>
          <w:lang w:val="en-IN"/>
        </w:rPr>
      </w:pPr>
    </w:p>
    <w:p w14:paraId="69C03BBC" w14:textId="77777777" w:rsidR="00C0047A" w:rsidRDefault="00C0047A" w:rsidP="00C0047A">
      <w:pPr>
        <w:rPr>
          <w:lang w:val="en-IN"/>
        </w:rPr>
      </w:pPr>
    </w:p>
    <w:p w14:paraId="0EC08254" w14:textId="77777777" w:rsidR="00C0047A" w:rsidRDefault="00C0047A" w:rsidP="00C0047A">
      <w:pPr>
        <w:rPr>
          <w:lang w:val="en-IN"/>
        </w:rPr>
      </w:pPr>
    </w:p>
    <w:p w14:paraId="0A547AA1" w14:textId="77777777" w:rsidR="00C0047A" w:rsidRDefault="00C0047A" w:rsidP="00C0047A">
      <w:pPr>
        <w:pStyle w:val="Title"/>
        <w:rPr>
          <w:b/>
          <w:lang w:val="en-IN"/>
        </w:rPr>
      </w:pPr>
      <w:r w:rsidRPr="00E37E56">
        <w:rPr>
          <w:b/>
          <w:lang w:val="en-IN"/>
        </w:rPr>
        <w:t>Liability by Omission</w:t>
      </w:r>
    </w:p>
    <w:p w14:paraId="65F1291C" w14:textId="77777777" w:rsidR="00C0047A" w:rsidRDefault="00C0047A" w:rsidP="00C0047A">
      <w:pPr>
        <w:rPr>
          <w:lang w:val="en-IN"/>
        </w:rPr>
      </w:pPr>
    </w:p>
    <w:p w14:paraId="6FC300F8" w14:textId="77777777" w:rsidR="00C0047A" w:rsidRDefault="00C0047A" w:rsidP="00C0047A">
      <w:pPr>
        <w:rPr>
          <w:lang w:val="en-IN"/>
        </w:rPr>
      </w:pPr>
    </w:p>
    <w:p w14:paraId="27091638" w14:textId="77777777" w:rsidR="00C0047A" w:rsidRDefault="00C0047A" w:rsidP="00C0047A">
      <w:pPr>
        <w:rPr>
          <w:lang w:val="en-IN"/>
        </w:rPr>
      </w:pPr>
    </w:p>
    <w:p w14:paraId="22A61A05" w14:textId="77777777" w:rsidR="00C0047A" w:rsidRDefault="00C0047A" w:rsidP="00C0047A">
      <w:pPr>
        <w:rPr>
          <w:lang w:val="en-IN"/>
        </w:rPr>
      </w:pPr>
    </w:p>
    <w:p w14:paraId="5940E3B8" w14:textId="77777777" w:rsidR="00C0047A" w:rsidRDefault="00C0047A" w:rsidP="00C0047A">
      <w:pPr>
        <w:rPr>
          <w:lang w:val="en-IN"/>
        </w:rPr>
      </w:pPr>
    </w:p>
    <w:p w14:paraId="296CE2A3" w14:textId="77777777" w:rsidR="00C0047A" w:rsidRDefault="00C0047A" w:rsidP="00C0047A">
      <w:pPr>
        <w:rPr>
          <w:lang w:val="en-IN"/>
        </w:rPr>
      </w:pPr>
    </w:p>
    <w:p w14:paraId="513F440E" w14:textId="77777777" w:rsidR="00C0047A" w:rsidRDefault="00C0047A" w:rsidP="00C0047A">
      <w:pPr>
        <w:rPr>
          <w:lang w:val="en-IN"/>
        </w:rPr>
      </w:pPr>
    </w:p>
    <w:p w14:paraId="0322B9D0" w14:textId="77777777" w:rsidR="00C0047A" w:rsidRDefault="00C0047A" w:rsidP="00C0047A">
      <w:pPr>
        <w:jc w:val="right"/>
        <w:rPr>
          <w:b/>
          <w:sz w:val="36"/>
          <w:lang w:val="en-IN"/>
        </w:rPr>
      </w:pPr>
      <w:r>
        <w:rPr>
          <w:b/>
          <w:sz w:val="36"/>
          <w:lang w:val="en-IN"/>
        </w:rPr>
        <w:t xml:space="preserve">Module: </w:t>
      </w:r>
      <w:r w:rsidRPr="00E37E56">
        <w:rPr>
          <w:b/>
          <w:sz w:val="36"/>
          <w:lang w:val="en-IN"/>
        </w:rPr>
        <w:t>Criminal law – Assignment 1</w:t>
      </w:r>
    </w:p>
    <w:p w14:paraId="663F032D" w14:textId="77777777" w:rsidR="00C0047A" w:rsidRDefault="00C0047A" w:rsidP="00C0047A">
      <w:pPr>
        <w:jc w:val="right"/>
        <w:rPr>
          <w:b/>
          <w:sz w:val="36"/>
          <w:lang w:val="en-IN"/>
        </w:rPr>
      </w:pPr>
      <w:r>
        <w:rPr>
          <w:b/>
          <w:sz w:val="36"/>
          <w:lang w:val="en-IN"/>
        </w:rPr>
        <w:t xml:space="preserve">Module Code: </w:t>
      </w:r>
      <w:r w:rsidRPr="00E37E56">
        <w:rPr>
          <w:b/>
          <w:sz w:val="36"/>
          <w:lang w:val="en-IN"/>
        </w:rPr>
        <w:t>BMLW4005/BMPL4009</w:t>
      </w:r>
    </w:p>
    <w:p w14:paraId="1A69D268" w14:textId="7358E027" w:rsidR="00C0047A" w:rsidRPr="007045A4" w:rsidRDefault="00C0047A" w:rsidP="00C0047A">
      <w:pPr>
        <w:jc w:val="right"/>
        <w:rPr>
          <w:b/>
          <w:sz w:val="36"/>
        </w:rPr>
      </w:pPr>
      <w:r>
        <w:rPr>
          <w:b/>
          <w:sz w:val="36"/>
          <w:lang w:val="en-IN"/>
        </w:rPr>
        <w:t>Student Name:</w:t>
      </w:r>
      <w:r w:rsidR="007045A4">
        <w:rPr>
          <w:b/>
          <w:sz w:val="36"/>
          <w:lang w:val="en-IN"/>
        </w:rPr>
        <w:t xml:space="preserve"> </w:t>
      </w:r>
      <w:r w:rsidR="007045A4">
        <w:rPr>
          <w:b/>
          <w:sz w:val="36"/>
        </w:rPr>
        <w:t>Florin Doditoiu</w:t>
      </w:r>
    </w:p>
    <w:p w14:paraId="68B9B054" w14:textId="71521DE3" w:rsidR="00C0047A" w:rsidRDefault="00C0047A" w:rsidP="00C0047A">
      <w:pPr>
        <w:jc w:val="right"/>
        <w:rPr>
          <w:b/>
          <w:sz w:val="36"/>
          <w:lang w:val="en-IN"/>
        </w:rPr>
      </w:pPr>
      <w:r>
        <w:rPr>
          <w:b/>
          <w:sz w:val="36"/>
          <w:lang w:val="en-IN"/>
        </w:rPr>
        <w:t>Student ID:</w:t>
      </w:r>
      <w:r w:rsidR="007045A4">
        <w:rPr>
          <w:b/>
          <w:sz w:val="36"/>
          <w:lang w:val="en-IN"/>
        </w:rPr>
        <w:t xml:space="preserve"> 2132424</w:t>
      </w:r>
    </w:p>
    <w:p w14:paraId="36AE6A79" w14:textId="77777777" w:rsidR="00C0047A" w:rsidRDefault="00C0047A">
      <w:pPr>
        <w:spacing w:line="259" w:lineRule="auto"/>
        <w:jc w:val="left"/>
      </w:pPr>
      <w:r>
        <w:br w:type="page"/>
      </w:r>
    </w:p>
    <w:sdt>
      <w:sdtPr>
        <w:rPr>
          <w:rFonts w:ascii="Times New Roman" w:eastAsiaTheme="minorHAnsi" w:hAnsi="Times New Roman" w:cstheme="minorBidi"/>
          <w:b w:val="0"/>
          <w:bCs w:val="0"/>
          <w:color w:val="auto"/>
          <w:sz w:val="24"/>
          <w:szCs w:val="22"/>
          <w:lang w:val="en-GB"/>
        </w:rPr>
        <w:id w:val="875160657"/>
        <w:docPartObj>
          <w:docPartGallery w:val="Table of Contents"/>
          <w:docPartUnique/>
        </w:docPartObj>
      </w:sdtPr>
      <w:sdtEndPr/>
      <w:sdtContent>
        <w:p w14:paraId="5C376345" w14:textId="77777777" w:rsidR="007862AB" w:rsidRPr="007862AB" w:rsidRDefault="007862AB">
          <w:pPr>
            <w:pStyle w:val="TOCHeading"/>
            <w:rPr>
              <w:rFonts w:ascii="Times New Roman" w:hAnsi="Times New Roman" w:cs="Times New Roman"/>
              <w:color w:val="auto"/>
            </w:rPr>
          </w:pPr>
          <w:r w:rsidRPr="007862AB">
            <w:rPr>
              <w:rFonts w:ascii="Times New Roman" w:hAnsi="Times New Roman" w:cs="Times New Roman"/>
              <w:color w:val="auto"/>
            </w:rPr>
            <w:t>Contents</w:t>
          </w:r>
        </w:p>
        <w:p w14:paraId="53E83A90" w14:textId="77777777" w:rsidR="007862AB" w:rsidRPr="007862AB" w:rsidRDefault="0044287F">
          <w:pPr>
            <w:pStyle w:val="TOC1"/>
            <w:tabs>
              <w:tab w:val="right" w:leader="dot" w:pos="9016"/>
            </w:tabs>
            <w:rPr>
              <w:rFonts w:cs="Times New Roman"/>
              <w:noProof/>
            </w:rPr>
          </w:pPr>
          <w:r w:rsidRPr="007862AB">
            <w:rPr>
              <w:rFonts w:cs="Times New Roman"/>
            </w:rPr>
            <w:fldChar w:fldCharType="begin"/>
          </w:r>
          <w:r w:rsidR="007862AB" w:rsidRPr="007862AB">
            <w:rPr>
              <w:rFonts w:cs="Times New Roman"/>
            </w:rPr>
            <w:instrText xml:space="preserve"> TOC \o "1-3" \h \z \u </w:instrText>
          </w:r>
          <w:r w:rsidRPr="007862AB">
            <w:rPr>
              <w:rFonts w:cs="Times New Roman"/>
            </w:rPr>
            <w:fldChar w:fldCharType="separate"/>
          </w:r>
          <w:hyperlink w:anchor="_Toc118114700" w:history="1">
            <w:r w:rsidR="007862AB" w:rsidRPr="007862AB">
              <w:rPr>
                <w:rStyle w:val="Hyperlink"/>
                <w:rFonts w:cs="Times New Roman"/>
                <w:noProof/>
                <w:color w:val="auto"/>
              </w:rPr>
              <w:t>Introduction</w:t>
            </w:r>
            <w:r w:rsidR="007862AB" w:rsidRPr="007862AB">
              <w:rPr>
                <w:rFonts w:cs="Times New Roman"/>
                <w:noProof/>
                <w:webHidden/>
              </w:rPr>
              <w:tab/>
            </w:r>
            <w:r w:rsidRPr="007862AB">
              <w:rPr>
                <w:rFonts w:cs="Times New Roman"/>
                <w:noProof/>
                <w:webHidden/>
              </w:rPr>
              <w:fldChar w:fldCharType="begin"/>
            </w:r>
            <w:r w:rsidR="007862AB" w:rsidRPr="007862AB">
              <w:rPr>
                <w:rFonts w:cs="Times New Roman"/>
                <w:noProof/>
                <w:webHidden/>
              </w:rPr>
              <w:instrText xml:space="preserve"> PAGEREF _Toc118114700 \h </w:instrText>
            </w:r>
            <w:r w:rsidRPr="007862AB">
              <w:rPr>
                <w:rFonts w:cs="Times New Roman"/>
                <w:noProof/>
                <w:webHidden/>
              </w:rPr>
            </w:r>
            <w:r w:rsidRPr="007862AB">
              <w:rPr>
                <w:rFonts w:cs="Times New Roman"/>
                <w:noProof/>
                <w:webHidden/>
              </w:rPr>
              <w:fldChar w:fldCharType="separate"/>
            </w:r>
            <w:r w:rsidR="007862AB" w:rsidRPr="007862AB">
              <w:rPr>
                <w:rFonts w:cs="Times New Roman"/>
                <w:noProof/>
                <w:webHidden/>
              </w:rPr>
              <w:t>3</w:t>
            </w:r>
            <w:r w:rsidRPr="007862AB">
              <w:rPr>
                <w:rFonts w:cs="Times New Roman"/>
                <w:noProof/>
                <w:webHidden/>
              </w:rPr>
              <w:fldChar w:fldCharType="end"/>
            </w:r>
          </w:hyperlink>
        </w:p>
        <w:p w14:paraId="0F1B80C1" w14:textId="77777777" w:rsidR="007862AB" w:rsidRPr="007862AB" w:rsidRDefault="00686665">
          <w:pPr>
            <w:pStyle w:val="TOC1"/>
            <w:tabs>
              <w:tab w:val="right" w:leader="dot" w:pos="9016"/>
            </w:tabs>
            <w:rPr>
              <w:rFonts w:cs="Times New Roman"/>
              <w:noProof/>
            </w:rPr>
          </w:pPr>
          <w:hyperlink w:anchor="_Toc118114701" w:history="1">
            <w:r w:rsidR="007862AB" w:rsidRPr="007862AB">
              <w:rPr>
                <w:rStyle w:val="Hyperlink"/>
                <w:rFonts w:cs="Times New Roman"/>
                <w:noProof/>
                <w:color w:val="auto"/>
              </w:rPr>
              <w:t>Explanation on Criminal Law</w:t>
            </w:r>
            <w:r w:rsidR="007862AB" w:rsidRPr="007862AB">
              <w:rPr>
                <w:rFonts w:cs="Times New Roman"/>
                <w:noProof/>
                <w:webHidden/>
              </w:rPr>
              <w:tab/>
            </w:r>
            <w:r w:rsidR="0044287F" w:rsidRPr="007862AB">
              <w:rPr>
                <w:rFonts w:cs="Times New Roman"/>
                <w:noProof/>
                <w:webHidden/>
              </w:rPr>
              <w:fldChar w:fldCharType="begin"/>
            </w:r>
            <w:r w:rsidR="007862AB" w:rsidRPr="007862AB">
              <w:rPr>
                <w:rFonts w:cs="Times New Roman"/>
                <w:noProof/>
                <w:webHidden/>
              </w:rPr>
              <w:instrText xml:space="preserve"> PAGEREF _Toc118114701 \h </w:instrText>
            </w:r>
            <w:r w:rsidR="0044287F" w:rsidRPr="007862AB">
              <w:rPr>
                <w:rFonts w:cs="Times New Roman"/>
                <w:noProof/>
                <w:webHidden/>
              </w:rPr>
            </w:r>
            <w:r w:rsidR="0044287F" w:rsidRPr="007862AB">
              <w:rPr>
                <w:rFonts w:cs="Times New Roman"/>
                <w:noProof/>
                <w:webHidden/>
              </w:rPr>
              <w:fldChar w:fldCharType="separate"/>
            </w:r>
            <w:r w:rsidR="007862AB" w:rsidRPr="007862AB">
              <w:rPr>
                <w:rFonts w:cs="Times New Roman"/>
                <w:noProof/>
                <w:webHidden/>
              </w:rPr>
              <w:t>4</w:t>
            </w:r>
            <w:r w:rsidR="0044287F" w:rsidRPr="007862AB">
              <w:rPr>
                <w:rFonts w:cs="Times New Roman"/>
                <w:noProof/>
                <w:webHidden/>
              </w:rPr>
              <w:fldChar w:fldCharType="end"/>
            </w:r>
          </w:hyperlink>
        </w:p>
        <w:p w14:paraId="2D2728CF" w14:textId="77777777" w:rsidR="007862AB" w:rsidRPr="007862AB" w:rsidRDefault="00686665">
          <w:pPr>
            <w:pStyle w:val="TOC2"/>
            <w:tabs>
              <w:tab w:val="right" w:leader="dot" w:pos="9016"/>
            </w:tabs>
            <w:rPr>
              <w:rFonts w:cs="Times New Roman"/>
              <w:noProof/>
            </w:rPr>
          </w:pPr>
          <w:hyperlink w:anchor="_Toc118114702" w:history="1">
            <w:r w:rsidR="007862AB" w:rsidRPr="007862AB">
              <w:rPr>
                <w:rStyle w:val="Hyperlink"/>
                <w:rFonts w:cs="Times New Roman"/>
                <w:noProof/>
                <w:color w:val="auto"/>
              </w:rPr>
              <w:t>Omission</w:t>
            </w:r>
            <w:r w:rsidR="007862AB" w:rsidRPr="007862AB">
              <w:rPr>
                <w:rFonts w:cs="Times New Roman"/>
                <w:noProof/>
                <w:webHidden/>
              </w:rPr>
              <w:tab/>
            </w:r>
            <w:r w:rsidR="0044287F" w:rsidRPr="007862AB">
              <w:rPr>
                <w:rFonts w:cs="Times New Roman"/>
                <w:noProof/>
                <w:webHidden/>
              </w:rPr>
              <w:fldChar w:fldCharType="begin"/>
            </w:r>
            <w:r w:rsidR="007862AB" w:rsidRPr="007862AB">
              <w:rPr>
                <w:rFonts w:cs="Times New Roman"/>
                <w:noProof/>
                <w:webHidden/>
              </w:rPr>
              <w:instrText xml:space="preserve"> PAGEREF _Toc118114702 \h </w:instrText>
            </w:r>
            <w:r w:rsidR="0044287F" w:rsidRPr="007862AB">
              <w:rPr>
                <w:rFonts w:cs="Times New Roman"/>
                <w:noProof/>
                <w:webHidden/>
              </w:rPr>
            </w:r>
            <w:r w:rsidR="0044287F" w:rsidRPr="007862AB">
              <w:rPr>
                <w:rFonts w:cs="Times New Roman"/>
                <w:noProof/>
                <w:webHidden/>
              </w:rPr>
              <w:fldChar w:fldCharType="separate"/>
            </w:r>
            <w:r w:rsidR="007862AB" w:rsidRPr="007862AB">
              <w:rPr>
                <w:rFonts w:cs="Times New Roman"/>
                <w:noProof/>
                <w:webHidden/>
              </w:rPr>
              <w:t>4</w:t>
            </w:r>
            <w:r w:rsidR="0044287F" w:rsidRPr="007862AB">
              <w:rPr>
                <w:rFonts w:cs="Times New Roman"/>
                <w:noProof/>
                <w:webHidden/>
              </w:rPr>
              <w:fldChar w:fldCharType="end"/>
            </w:r>
          </w:hyperlink>
        </w:p>
        <w:p w14:paraId="5255459F" w14:textId="77777777" w:rsidR="007862AB" w:rsidRPr="007862AB" w:rsidRDefault="00686665">
          <w:pPr>
            <w:pStyle w:val="TOC1"/>
            <w:tabs>
              <w:tab w:val="right" w:leader="dot" w:pos="9016"/>
            </w:tabs>
            <w:rPr>
              <w:rFonts w:cs="Times New Roman"/>
              <w:noProof/>
            </w:rPr>
          </w:pPr>
          <w:hyperlink w:anchor="_Toc118114703" w:history="1">
            <w:r w:rsidR="007862AB" w:rsidRPr="007862AB">
              <w:rPr>
                <w:rStyle w:val="Hyperlink"/>
                <w:rFonts w:cs="Times New Roman"/>
                <w:noProof/>
                <w:color w:val="auto"/>
              </w:rPr>
              <w:t>Duty to Act</w:t>
            </w:r>
            <w:r w:rsidR="007862AB" w:rsidRPr="007862AB">
              <w:rPr>
                <w:rFonts w:cs="Times New Roman"/>
                <w:noProof/>
                <w:webHidden/>
              </w:rPr>
              <w:tab/>
            </w:r>
            <w:r w:rsidR="0044287F" w:rsidRPr="007862AB">
              <w:rPr>
                <w:rFonts w:cs="Times New Roman"/>
                <w:noProof/>
                <w:webHidden/>
              </w:rPr>
              <w:fldChar w:fldCharType="begin"/>
            </w:r>
            <w:r w:rsidR="007862AB" w:rsidRPr="007862AB">
              <w:rPr>
                <w:rFonts w:cs="Times New Roman"/>
                <w:noProof/>
                <w:webHidden/>
              </w:rPr>
              <w:instrText xml:space="preserve"> PAGEREF _Toc118114703 \h </w:instrText>
            </w:r>
            <w:r w:rsidR="0044287F" w:rsidRPr="007862AB">
              <w:rPr>
                <w:rFonts w:cs="Times New Roman"/>
                <w:noProof/>
                <w:webHidden/>
              </w:rPr>
            </w:r>
            <w:r w:rsidR="0044287F" w:rsidRPr="007862AB">
              <w:rPr>
                <w:rFonts w:cs="Times New Roman"/>
                <w:noProof/>
                <w:webHidden/>
              </w:rPr>
              <w:fldChar w:fldCharType="separate"/>
            </w:r>
            <w:r w:rsidR="007862AB" w:rsidRPr="007862AB">
              <w:rPr>
                <w:rFonts w:cs="Times New Roman"/>
                <w:noProof/>
                <w:webHidden/>
              </w:rPr>
              <w:t>4</w:t>
            </w:r>
            <w:r w:rsidR="0044287F" w:rsidRPr="007862AB">
              <w:rPr>
                <w:rFonts w:cs="Times New Roman"/>
                <w:noProof/>
                <w:webHidden/>
              </w:rPr>
              <w:fldChar w:fldCharType="end"/>
            </w:r>
          </w:hyperlink>
        </w:p>
        <w:p w14:paraId="2C5CB5FC" w14:textId="77777777" w:rsidR="007862AB" w:rsidRPr="007862AB" w:rsidRDefault="00686665">
          <w:pPr>
            <w:pStyle w:val="TOC2"/>
            <w:tabs>
              <w:tab w:val="right" w:leader="dot" w:pos="9016"/>
            </w:tabs>
            <w:rPr>
              <w:rFonts w:cs="Times New Roman"/>
              <w:noProof/>
            </w:rPr>
          </w:pPr>
          <w:hyperlink w:anchor="_Toc118114704" w:history="1">
            <w:r w:rsidR="007862AB" w:rsidRPr="007862AB">
              <w:rPr>
                <w:rStyle w:val="Hyperlink"/>
                <w:rFonts w:cs="Times New Roman"/>
                <w:noProof/>
                <w:color w:val="auto"/>
              </w:rPr>
              <w:t>General Duty</w:t>
            </w:r>
            <w:r w:rsidR="007862AB" w:rsidRPr="007862AB">
              <w:rPr>
                <w:rFonts w:cs="Times New Roman"/>
                <w:noProof/>
                <w:webHidden/>
              </w:rPr>
              <w:tab/>
            </w:r>
            <w:r w:rsidR="0044287F" w:rsidRPr="007862AB">
              <w:rPr>
                <w:rFonts w:cs="Times New Roman"/>
                <w:noProof/>
                <w:webHidden/>
              </w:rPr>
              <w:fldChar w:fldCharType="begin"/>
            </w:r>
            <w:r w:rsidR="007862AB" w:rsidRPr="007862AB">
              <w:rPr>
                <w:rFonts w:cs="Times New Roman"/>
                <w:noProof/>
                <w:webHidden/>
              </w:rPr>
              <w:instrText xml:space="preserve"> PAGEREF _Toc118114704 \h </w:instrText>
            </w:r>
            <w:r w:rsidR="0044287F" w:rsidRPr="007862AB">
              <w:rPr>
                <w:rFonts w:cs="Times New Roman"/>
                <w:noProof/>
                <w:webHidden/>
              </w:rPr>
            </w:r>
            <w:r w:rsidR="0044287F" w:rsidRPr="007862AB">
              <w:rPr>
                <w:rFonts w:cs="Times New Roman"/>
                <w:noProof/>
                <w:webHidden/>
              </w:rPr>
              <w:fldChar w:fldCharType="separate"/>
            </w:r>
            <w:r w:rsidR="007862AB" w:rsidRPr="007862AB">
              <w:rPr>
                <w:rFonts w:cs="Times New Roman"/>
                <w:noProof/>
                <w:webHidden/>
              </w:rPr>
              <w:t>4</w:t>
            </w:r>
            <w:r w:rsidR="0044287F" w:rsidRPr="007862AB">
              <w:rPr>
                <w:rFonts w:cs="Times New Roman"/>
                <w:noProof/>
                <w:webHidden/>
              </w:rPr>
              <w:fldChar w:fldCharType="end"/>
            </w:r>
          </w:hyperlink>
        </w:p>
        <w:p w14:paraId="7BBE5A7C" w14:textId="77777777" w:rsidR="007862AB" w:rsidRPr="007862AB" w:rsidRDefault="00686665">
          <w:pPr>
            <w:pStyle w:val="TOC2"/>
            <w:tabs>
              <w:tab w:val="right" w:leader="dot" w:pos="9016"/>
            </w:tabs>
            <w:rPr>
              <w:rFonts w:cs="Times New Roman"/>
              <w:noProof/>
            </w:rPr>
          </w:pPr>
          <w:hyperlink w:anchor="_Toc118114705" w:history="1">
            <w:r w:rsidR="007862AB" w:rsidRPr="007862AB">
              <w:rPr>
                <w:rStyle w:val="Hyperlink"/>
                <w:rFonts w:cs="Times New Roman"/>
                <w:noProof/>
                <w:color w:val="auto"/>
              </w:rPr>
              <w:t>Statute Law</w:t>
            </w:r>
            <w:r w:rsidR="007862AB" w:rsidRPr="007862AB">
              <w:rPr>
                <w:rFonts w:cs="Times New Roman"/>
                <w:noProof/>
                <w:webHidden/>
              </w:rPr>
              <w:tab/>
            </w:r>
            <w:r w:rsidR="0044287F" w:rsidRPr="007862AB">
              <w:rPr>
                <w:rFonts w:cs="Times New Roman"/>
                <w:noProof/>
                <w:webHidden/>
              </w:rPr>
              <w:fldChar w:fldCharType="begin"/>
            </w:r>
            <w:r w:rsidR="007862AB" w:rsidRPr="007862AB">
              <w:rPr>
                <w:rFonts w:cs="Times New Roman"/>
                <w:noProof/>
                <w:webHidden/>
              </w:rPr>
              <w:instrText xml:space="preserve"> PAGEREF _Toc118114705 \h </w:instrText>
            </w:r>
            <w:r w:rsidR="0044287F" w:rsidRPr="007862AB">
              <w:rPr>
                <w:rFonts w:cs="Times New Roman"/>
                <w:noProof/>
                <w:webHidden/>
              </w:rPr>
            </w:r>
            <w:r w:rsidR="0044287F" w:rsidRPr="007862AB">
              <w:rPr>
                <w:rFonts w:cs="Times New Roman"/>
                <w:noProof/>
                <w:webHidden/>
              </w:rPr>
              <w:fldChar w:fldCharType="separate"/>
            </w:r>
            <w:r w:rsidR="007862AB" w:rsidRPr="007862AB">
              <w:rPr>
                <w:rFonts w:cs="Times New Roman"/>
                <w:noProof/>
                <w:webHidden/>
              </w:rPr>
              <w:t>5</w:t>
            </w:r>
            <w:r w:rsidR="0044287F" w:rsidRPr="007862AB">
              <w:rPr>
                <w:rFonts w:cs="Times New Roman"/>
                <w:noProof/>
                <w:webHidden/>
              </w:rPr>
              <w:fldChar w:fldCharType="end"/>
            </w:r>
          </w:hyperlink>
        </w:p>
        <w:p w14:paraId="50A2545C" w14:textId="77777777" w:rsidR="007862AB" w:rsidRPr="007862AB" w:rsidRDefault="00686665">
          <w:pPr>
            <w:pStyle w:val="TOC2"/>
            <w:tabs>
              <w:tab w:val="right" w:leader="dot" w:pos="9016"/>
            </w:tabs>
            <w:rPr>
              <w:rFonts w:cs="Times New Roman"/>
              <w:noProof/>
            </w:rPr>
          </w:pPr>
          <w:hyperlink w:anchor="_Toc118114706" w:history="1">
            <w:r w:rsidR="007862AB" w:rsidRPr="007862AB">
              <w:rPr>
                <w:rStyle w:val="Hyperlink"/>
                <w:rFonts w:cs="Times New Roman"/>
                <w:noProof/>
                <w:color w:val="auto"/>
              </w:rPr>
              <w:t>Common Law</w:t>
            </w:r>
            <w:r w:rsidR="007862AB" w:rsidRPr="007862AB">
              <w:rPr>
                <w:rFonts w:cs="Times New Roman"/>
                <w:noProof/>
                <w:webHidden/>
              </w:rPr>
              <w:tab/>
            </w:r>
            <w:r w:rsidR="0044287F" w:rsidRPr="007862AB">
              <w:rPr>
                <w:rFonts w:cs="Times New Roman"/>
                <w:noProof/>
                <w:webHidden/>
              </w:rPr>
              <w:fldChar w:fldCharType="begin"/>
            </w:r>
            <w:r w:rsidR="007862AB" w:rsidRPr="007862AB">
              <w:rPr>
                <w:rFonts w:cs="Times New Roman"/>
                <w:noProof/>
                <w:webHidden/>
              </w:rPr>
              <w:instrText xml:space="preserve"> PAGEREF _Toc118114706 \h </w:instrText>
            </w:r>
            <w:r w:rsidR="0044287F" w:rsidRPr="007862AB">
              <w:rPr>
                <w:rFonts w:cs="Times New Roman"/>
                <w:noProof/>
                <w:webHidden/>
              </w:rPr>
            </w:r>
            <w:r w:rsidR="0044287F" w:rsidRPr="007862AB">
              <w:rPr>
                <w:rFonts w:cs="Times New Roman"/>
                <w:noProof/>
                <w:webHidden/>
              </w:rPr>
              <w:fldChar w:fldCharType="separate"/>
            </w:r>
            <w:r w:rsidR="007862AB" w:rsidRPr="007862AB">
              <w:rPr>
                <w:rFonts w:cs="Times New Roman"/>
                <w:noProof/>
                <w:webHidden/>
              </w:rPr>
              <w:t>6</w:t>
            </w:r>
            <w:r w:rsidR="0044287F" w:rsidRPr="007862AB">
              <w:rPr>
                <w:rFonts w:cs="Times New Roman"/>
                <w:noProof/>
                <w:webHidden/>
              </w:rPr>
              <w:fldChar w:fldCharType="end"/>
            </w:r>
          </w:hyperlink>
        </w:p>
        <w:p w14:paraId="7E8B3D70" w14:textId="77777777" w:rsidR="007862AB" w:rsidRPr="007862AB" w:rsidRDefault="00686665">
          <w:pPr>
            <w:pStyle w:val="TOC1"/>
            <w:tabs>
              <w:tab w:val="right" w:leader="dot" w:pos="9016"/>
            </w:tabs>
            <w:rPr>
              <w:rFonts w:cs="Times New Roman"/>
              <w:noProof/>
            </w:rPr>
          </w:pPr>
          <w:hyperlink w:anchor="_Toc118114707" w:history="1">
            <w:r w:rsidR="007862AB" w:rsidRPr="007862AB">
              <w:rPr>
                <w:rStyle w:val="Hyperlink"/>
                <w:rFonts w:cs="Times New Roman"/>
                <w:noProof/>
                <w:color w:val="auto"/>
              </w:rPr>
              <w:t>Conclusion</w:t>
            </w:r>
            <w:r w:rsidR="007862AB" w:rsidRPr="007862AB">
              <w:rPr>
                <w:rFonts w:cs="Times New Roman"/>
                <w:noProof/>
                <w:webHidden/>
              </w:rPr>
              <w:tab/>
            </w:r>
            <w:r w:rsidR="0044287F" w:rsidRPr="007862AB">
              <w:rPr>
                <w:rFonts w:cs="Times New Roman"/>
                <w:noProof/>
                <w:webHidden/>
              </w:rPr>
              <w:fldChar w:fldCharType="begin"/>
            </w:r>
            <w:r w:rsidR="007862AB" w:rsidRPr="007862AB">
              <w:rPr>
                <w:rFonts w:cs="Times New Roman"/>
                <w:noProof/>
                <w:webHidden/>
              </w:rPr>
              <w:instrText xml:space="preserve"> PAGEREF _Toc118114707 \h </w:instrText>
            </w:r>
            <w:r w:rsidR="0044287F" w:rsidRPr="007862AB">
              <w:rPr>
                <w:rFonts w:cs="Times New Roman"/>
                <w:noProof/>
                <w:webHidden/>
              </w:rPr>
            </w:r>
            <w:r w:rsidR="0044287F" w:rsidRPr="007862AB">
              <w:rPr>
                <w:rFonts w:cs="Times New Roman"/>
                <w:noProof/>
                <w:webHidden/>
              </w:rPr>
              <w:fldChar w:fldCharType="separate"/>
            </w:r>
            <w:r w:rsidR="007862AB" w:rsidRPr="007862AB">
              <w:rPr>
                <w:rFonts w:cs="Times New Roman"/>
                <w:noProof/>
                <w:webHidden/>
              </w:rPr>
              <w:t>7</w:t>
            </w:r>
            <w:r w:rsidR="0044287F" w:rsidRPr="007862AB">
              <w:rPr>
                <w:rFonts w:cs="Times New Roman"/>
                <w:noProof/>
                <w:webHidden/>
              </w:rPr>
              <w:fldChar w:fldCharType="end"/>
            </w:r>
          </w:hyperlink>
        </w:p>
        <w:p w14:paraId="3EC0E0BB" w14:textId="77777777" w:rsidR="007862AB" w:rsidRPr="007862AB" w:rsidRDefault="00686665">
          <w:pPr>
            <w:pStyle w:val="TOC1"/>
            <w:tabs>
              <w:tab w:val="right" w:leader="dot" w:pos="9016"/>
            </w:tabs>
            <w:rPr>
              <w:rFonts w:cs="Times New Roman"/>
              <w:noProof/>
            </w:rPr>
          </w:pPr>
          <w:hyperlink w:anchor="_Toc118114708" w:history="1">
            <w:r w:rsidR="007862AB" w:rsidRPr="007862AB">
              <w:rPr>
                <w:rStyle w:val="Hyperlink"/>
                <w:rFonts w:cs="Times New Roman"/>
                <w:noProof/>
                <w:color w:val="auto"/>
              </w:rPr>
              <w:t>References</w:t>
            </w:r>
            <w:r w:rsidR="007862AB" w:rsidRPr="007862AB">
              <w:rPr>
                <w:rFonts w:cs="Times New Roman"/>
                <w:noProof/>
                <w:webHidden/>
              </w:rPr>
              <w:tab/>
            </w:r>
            <w:r w:rsidR="0044287F" w:rsidRPr="007862AB">
              <w:rPr>
                <w:rFonts w:cs="Times New Roman"/>
                <w:noProof/>
                <w:webHidden/>
              </w:rPr>
              <w:fldChar w:fldCharType="begin"/>
            </w:r>
            <w:r w:rsidR="007862AB" w:rsidRPr="007862AB">
              <w:rPr>
                <w:rFonts w:cs="Times New Roman"/>
                <w:noProof/>
                <w:webHidden/>
              </w:rPr>
              <w:instrText xml:space="preserve"> PAGEREF _Toc118114708 \h </w:instrText>
            </w:r>
            <w:r w:rsidR="0044287F" w:rsidRPr="007862AB">
              <w:rPr>
                <w:rFonts w:cs="Times New Roman"/>
                <w:noProof/>
                <w:webHidden/>
              </w:rPr>
            </w:r>
            <w:r w:rsidR="0044287F" w:rsidRPr="007862AB">
              <w:rPr>
                <w:rFonts w:cs="Times New Roman"/>
                <w:noProof/>
                <w:webHidden/>
              </w:rPr>
              <w:fldChar w:fldCharType="separate"/>
            </w:r>
            <w:r w:rsidR="007862AB" w:rsidRPr="007862AB">
              <w:rPr>
                <w:rFonts w:cs="Times New Roman"/>
                <w:noProof/>
                <w:webHidden/>
              </w:rPr>
              <w:t>8</w:t>
            </w:r>
            <w:r w:rsidR="0044287F" w:rsidRPr="007862AB">
              <w:rPr>
                <w:rFonts w:cs="Times New Roman"/>
                <w:noProof/>
                <w:webHidden/>
              </w:rPr>
              <w:fldChar w:fldCharType="end"/>
            </w:r>
          </w:hyperlink>
        </w:p>
        <w:p w14:paraId="087A4745" w14:textId="77777777" w:rsidR="007862AB" w:rsidRPr="007862AB" w:rsidRDefault="0044287F">
          <w:r w:rsidRPr="007862AB">
            <w:rPr>
              <w:rFonts w:cs="Times New Roman"/>
            </w:rPr>
            <w:fldChar w:fldCharType="end"/>
          </w:r>
        </w:p>
      </w:sdtContent>
    </w:sdt>
    <w:p w14:paraId="560CD3AB" w14:textId="77777777" w:rsidR="007862AB" w:rsidRPr="007862AB" w:rsidRDefault="007862AB">
      <w:pPr>
        <w:spacing w:line="259" w:lineRule="auto"/>
        <w:jc w:val="left"/>
        <w:rPr>
          <w:rFonts w:eastAsiaTheme="majorEastAsia" w:cstheme="majorBidi"/>
          <w:b/>
          <w:sz w:val="28"/>
          <w:szCs w:val="32"/>
        </w:rPr>
      </w:pPr>
      <w:r w:rsidRPr="007862AB">
        <w:br w:type="page"/>
      </w:r>
    </w:p>
    <w:p w14:paraId="45212A67" w14:textId="77777777" w:rsidR="00C0047A" w:rsidRDefault="00C0047A" w:rsidP="00C0047A">
      <w:pPr>
        <w:pStyle w:val="Heading1"/>
      </w:pPr>
      <w:bookmarkStart w:id="0" w:name="_Toc118114700"/>
      <w:r>
        <w:lastRenderedPageBreak/>
        <w:t>Introduction</w:t>
      </w:r>
      <w:bookmarkEnd w:id="0"/>
    </w:p>
    <w:p w14:paraId="24647EBF" w14:textId="77777777" w:rsidR="00C0047A" w:rsidRDefault="00AF1A7F" w:rsidP="00C0047A">
      <w:pPr>
        <w:rPr>
          <w:rFonts w:eastAsiaTheme="majorEastAsia" w:cstheme="majorBidi"/>
          <w:sz w:val="28"/>
          <w:szCs w:val="32"/>
        </w:rPr>
      </w:pPr>
      <w:r>
        <w:t xml:space="preserve">Omission is defined as the inaction of a person where they are required to take an action, but they choose to not perform their duties. There are various instances as provided by the law, where the omission is considered against the law, and person can be punished for such an act. Although, generally speaking the omission is considered as an option that is with a person to do or not do an act. </w:t>
      </w:r>
      <w:r w:rsidR="00C0047A">
        <w:br w:type="page"/>
      </w:r>
    </w:p>
    <w:p w14:paraId="3E5F2A3F" w14:textId="77777777" w:rsidR="009D6507" w:rsidRDefault="00C0047A" w:rsidP="00C0047A">
      <w:pPr>
        <w:pStyle w:val="Heading1"/>
      </w:pPr>
      <w:bookmarkStart w:id="1" w:name="_Toc118114701"/>
      <w:r>
        <w:lastRenderedPageBreak/>
        <w:t>Explanation on Criminal Law</w:t>
      </w:r>
      <w:bookmarkEnd w:id="1"/>
    </w:p>
    <w:p w14:paraId="63E489F4" w14:textId="77777777" w:rsidR="00AF1A7F" w:rsidRPr="00AF1A7F" w:rsidRDefault="00AF1A7F" w:rsidP="00AF1A7F">
      <w:r>
        <w:t xml:space="preserve">The criminal actions are the prohibited act that is a violation of the law and it has been prohibited by the state. The state is considered as the protector of its subjects and the law is made by the state to assert their protection and to take care of the people who suffer from the violation of the law. There are some elements that are applied generally to understand the guilt of a person charged with the commission of a crime </w:t>
      </w:r>
      <w:r>
        <w:rPr>
          <w:lang w:val="en-IN"/>
        </w:rPr>
        <w:t>(</w:t>
      </w:r>
      <w:r>
        <w:rPr>
          <w:shd w:val="clear" w:color="auto" w:fill="FFFFFF"/>
        </w:rPr>
        <w:t>Roy, 2020)</w:t>
      </w:r>
      <w:r>
        <w:t xml:space="preserve">. The </w:t>
      </w:r>
      <w:proofErr w:type="spellStart"/>
      <w:r>
        <w:t>Mens</w:t>
      </w:r>
      <w:proofErr w:type="spellEnd"/>
      <w:r>
        <w:t xml:space="preserve"> Rea is the criminal act that is committed with the intention of committing the act, here the person knows the consequences of their acts and still chooses to act in that way. Then, there is the actus reus, which is the act that is described by the law as guilty and for which a person can be charged and punished by the courts. In most of the cases the compilation of the actus reus and </w:t>
      </w:r>
      <w:proofErr w:type="spellStart"/>
      <w:r>
        <w:t>mens</w:t>
      </w:r>
      <w:proofErr w:type="spellEnd"/>
      <w:r>
        <w:t xml:space="preserve"> rea leads to the proof that a person committed a crime.  </w:t>
      </w:r>
    </w:p>
    <w:p w14:paraId="518D3207" w14:textId="77777777" w:rsidR="00C0047A" w:rsidRDefault="00C0047A" w:rsidP="00C0047A">
      <w:pPr>
        <w:pStyle w:val="Heading2"/>
      </w:pPr>
      <w:bookmarkStart w:id="2" w:name="_Toc118114702"/>
      <w:r>
        <w:t>Omission</w:t>
      </w:r>
      <w:bookmarkEnd w:id="2"/>
    </w:p>
    <w:p w14:paraId="30C50EF6" w14:textId="77777777" w:rsidR="00AF1A7F" w:rsidRPr="00AF1A7F" w:rsidRDefault="00AF1A7F" w:rsidP="00AF1A7F">
      <w:pPr>
        <w:rPr>
          <w:b/>
        </w:rPr>
      </w:pPr>
      <w:r>
        <w:t>The failure to act is defined as the omission. If the law that is applied to this situation generally is concerned, then the omission does not amount to an offence, except certain situations as provided by the statute and common laws</w:t>
      </w:r>
      <w:r w:rsidR="00B470E1">
        <w:t xml:space="preserve"> (</w:t>
      </w:r>
      <w:r w:rsidR="00B470E1">
        <w:rPr>
          <w:lang w:val="en-IN"/>
        </w:rPr>
        <w:t xml:space="preserve">Ashworth, </w:t>
      </w:r>
      <w:r w:rsidR="00B470E1" w:rsidRPr="00B470E1">
        <w:rPr>
          <w:lang w:val="en-IN"/>
        </w:rPr>
        <w:t>2018</w:t>
      </w:r>
      <w:r w:rsidR="00B470E1">
        <w:rPr>
          <w:lang w:val="en-IN"/>
        </w:rPr>
        <w:t>)</w:t>
      </w:r>
      <w:r>
        <w:t xml:space="preserve">. For example, if a person is drowning and a person is going through that area, and this person realized that the other person is drowning, now it is not the responsibility of this person to save the other person, even though he or she knows swimming, but it can become their responsibility of they started to act that was towards saving that person. The law has allowed in a generally way the freedom of choice to the people and they are not required to commit an act unless specifically provided by the law. For example, taxes are an important part of the law and it is mandatory for everyone to pay the taxes if they come under the law, and if anyone omits to pay their taxes then it is considered as tax evasion, so the option is available but it is not a universal rule. It is provided in the case </w:t>
      </w:r>
      <w:r w:rsidRPr="00FE5C1E">
        <w:rPr>
          <w:i/>
          <w:lang w:val="en-IN"/>
        </w:rPr>
        <w:t xml:space="preserve">Airedale NHS Trust v Bland </w:t>
      </w:r>
      <w:r w:rsidRPr="00FE5C1E">
        <w:rPr>
          <w:lang w:val="en-IN"/>
        </w:rPr>
        <w:t>(1993)</w:t>
      </w:r>
      <w:r>
        <w:rPr>
          <w:lang w:val="en-IN"/>
        </w:rPr>
        <w:t xml:space="preserve"> that it is the duty of the doctors to give the reasonable treatment to their patients and the omission in this duty will amount to negligence. </w:t>
      </w:r>
    </w:p>
    <w:p w14:paraId="12DBB3BC" w14:textId="77777777" w:rsidR="00C0047A" w:rsidRDefault="00C0047A" w:rsidP="00C0047A">
      <w:pPr>
        <w:pStyle w:val="Heading1"/>
      </w:pPr>
      <w:bookmarkStart w:id="3" w:name="_Toc118114703"/>
      <w:r>
        <w:t>Duty to Act</w:t>
      </w:r>
      <w:bookmarkEnd w:id="3"/>
    </w:p>
    <w:p w14:paraId="118AE7E6" w14:textId="77777777" w:rsidR="00C0047A" w:rsidRDefault="00C0047A" w:rsidP="00C0047A">
      <w:pPr>
        <w:pStyle w:val="Heading2"/>
      </w:pPr>
      <w:bookmarkStart w:id="4" w:name="_Toc118114704"/>
      <w:r>
        <w:t>General Duty</w:t>
      </w:r>
      <w:bookmarkEnd w:id="4"/>
    </w:p>
    <w:p w14:paraId="18EF29AA" w14:textId="77777777" w:rsidR="00AF1A7F" w:rsidRPr="00AF1A7F" w:rsidRDefault="00AF1A7F" w:rsidP="00AF1A7F">
      <w:r>
        <w:t xml:space="preserve">As described above this duty provides an option to the people to act in the way that they wish and the law in general terms does not force anyone to take some action. If the people have the intention to act then they can act. This duty is applied on everyone living in the UK. The case of </w:t>
      </w:r>
      <w:r w:rsidRPr="00FE5C1E">
        <w:rPr>
          <w:i/>
          <w:lang w:val="en-IN"/>
        </w:rPr>
        <w:t>R v Stone and Dobinson</w:t>
      </w:r>
      <w:r w:rsidRPr="00FE5C1E">
        <w:rPr>
          <w:lang w:val="en-IN"/>
        </w:rPr>
        <w:t xml:space="preserve"> [1977] 1 QB 354</w:t>
      </w:r>
      <w:r>
        <w:rPr>
          <w:lang w:val="en-IN"/>
        </w:rPr>
        <w:t xml:space="preserve"> provides that a person whose blood relative was </w:t>
      </w:r>
      <w:r>
        <w:rPr>
          <w:lang w:val="en-IN"/>
        </w:rPr>
        <w:lastRenderedPageBreak/>
        <w:t xml:space="preserve">dying from severe diabetes, and the blood of this person was needed as it matched, but this person refused, and the relative dies. The court stated that generally the omission to act is not considered an offence, but in the present case the person was a blood relation, so the other person omitted a responsibility for which he is liable and if it was anyone else then they would not have been held liable. </w:t>
      </w:r>
    </w:p>
    <w:p w14:paraId="2A1E20B2" w14:textId="77777777" w:rsidR="00C0047A" w:rsidRDefault="00C0047A" w:rsidP="00C0047A">
      <w:pPr>
        <w:rPr>
          <w:b/>
        </w:rPr>
      </w:pPr>
      <w:r w:rsidRPr="00AF1A7F">
        <w:rPr>
          <w:b/>
        </w:rPr>
        <w:t>Pros and Cons</w:t>
      </w:r>
    </w:p>
    <w:p w14:paraId="60D92082" w14:textId="77777777" w:rsidR="00AF1A7F" w:rsidRPr="00AF1A7F" w:rsidRDefault="00AF1A7F" w:rsidP="00C0047A">
      <w:r>
        <w:t>If this law is understood on the basic level then it can be ascertained that the law is for the good of the society and it should be applied on everyone, as there should be no general duty to choose, but if some more thought is applied to the topic then it can lead to the situation that the general duty is necessary. If the example of drowning man is taken, then if there was a general duty then it would be the responsibility of the another person to save him, but if this duty existed then anyone can easily blackmail and harass the other person for the violation of the law, as they will be liable under the law. It can be considered that the power corrupts and if this power is provided to the people then there is a chance that it would be misused. If it is provided then there should be the demand of some serious proof to prove that a person had a duty and then violated the duty.</w:t>
      </w:r>
    </w:p>
    <w:p w14:paraId="04C0FEE3" w14:textId="77777777" w:rsidR="00C0047A" w:rsidRDefault="00C0047A" w:rsidP="00C0047A">
      <w:pPr>
        <w:pStyle w:val="Heading2"/>
      </w:pPr>
      <w:bookmarkStart w:id="5" w:name="_Toc118114705"/>
      <w:r>
        <w:t>Statute Law</w:t>
      </w:r>
      <w:bookmarkEnd w:id="5"/>
    </w:p>
    <w:p w14:paraId="7AFEEDE7" w14:textId="77777777" w:rsidR="00AF1A7F" w:rsidRDefault="00AF1A7F" w:rsidP="00AF1A7F">
      <w:pPr>
        <w:rPr>
          <w:lang w:val="en-IN"/>
        </w:rPr>
      </w:pPr>
      <w:r>
        <w:t xml:space="preserve">The optional omission is barred by many statutes and the through these statutes the liability is imposed on the people if they choose not to act. The </w:t>
      </w:r>
      <w:r w:rsidRPr="00FE5C1E">
        <w:rPr>
          <w:i/>
          <w:lang w:val="en-IN"/>
        </w:rPr>
        <w:t>Children and Young Persons Act</w:t>
      </w:r>
      <w:r>
        <w:rPr>
          <w:lang w:val="en-IN"/>
        </w:rPr>
        <w:t xml:space="preserve"> provides such responsibility, as section 1 of the act provides that the parent is responsible for their child and they should provide for their child, like the basic needs of the child. Also, there are criminal penalties that can be imposed on the parent. The case law of </w:t>
      </w:r>
      <w:r w:rsidRPr="00FE5C1E">
        <w:rPr>
          <w:i/>
          <w:iCs/>
          <w:lang w:val="en-IN"/>
        </w:rPr>
        <w:t>R v</w:t>
      </w:r>
      <w:r w:rsidRPr="00C1240C">
        <w:rPr>
          <w:i/>
          <w:iCs/>
          <w:lang w:val="en-IN"/>
        </w:rPr>
        <w:t xml:space="preserve"> Gibbins and Proctor</w:t>
      </w:r>
      <w:r>
        <w:rPr>
          <w:lang w:val="en-IN"/>
        </w:rPr>
        <w:t xml:space="preserve"> [1918] 13 Cr App Rep 134 states about a mother who neglected the care of her daughter, as she refused to provide her daughter any food, due to which the daughter starved and died. The court concerned this action as murder and stated that when she neglected her daughter it shows the actus reus, the guilty act of murder, and the </w:t>
      </w:r>
      <w:proofErr w:type="spellStart"/>
      <w:r>
        <w:rPr>
          <w:lang w:val="en-IN"/>
        </w:rPr>
        <w:t>mens</w:t>
      </w:r>
      <w:proofErr w:type="spellEnd"/>
      <w:r>
        <w:rPr>
          <w:lang w:val="en-IN"/>
        </w:rPr>
        <w:t xml:space="preserve"> rea which provides that she intended to act in this way when she saw that her daughter needed the food and she refused to provide for her.</w:t>
      </w:r>
    </w:p>
    <w:p w14:paraId="20F9B3E7" w14:textId="77777777" w:rsidR="00AF1A7F" w:rsidRPr="00AF1A7F" w:rsidRDefault="00AF1A7F" w:rsidP="00AF1A7F">
      <w:r>
        <w:rPr>
          <w:lang w:val="en-IN"/>
        </w:rPr>
        <w:t>Another Act, the Road Traffic Act 1998 provides that people who are stopped by the police and asked for the breath sample are responsible to provide their sample, they cannot opt that there is no general duty of omission, as provided by Section 6 which provides for the lawful compliance of the law, and omission is punishable.</w:t>
      </w:r>
    </w:p>
    <w:p w14:paraId="2677577F" w14:textId="77777777" w:rsidR="00C0047A" w:rsidRDefault="00C0047A" w:rsidP="00C0047A">
      <w:pPr>
        <w:pStyle w:val="Heading2"/>
      </w:pPr>
      <w:bookmarkStart w:id="6" w:name="_Toc118114706"/>
      <w:r>
        <w:lastRenderedPageBreak/>
        <w:t>Common Law</w:t>
      </w:r>
      <w:bookmarkEnd w:id="6"/>
    </w:p>
    <w:p w14:paraId="4B646DEA" w14:textId="77777777" w:rsidR="00AF1A7F" w:rsidRDefault="00AF1A7F" w:rsidP="00C0047A">
      <w:pPr>
        <w:rPr>
          <w:lang w:val="en-IN"/>
        </w:rPr>
      </w:pPr>
      <w:r>
        <w:t xml:space="preserve">The common laws provide for more of the responsibilities and in a diverse manner. For example, the </w:t>
      </w:r>
      <w:r w:rsidRPr="00FE5C1E">
        <w:rPr>
          <w:i/>
          <w:lang w:val="en-IN"/>
        </w:rPr>
        <w:t xml:space="preserve">R v </w:t>
      </w:r>
      <w:proofErr w:type="spellStart"/>
      <w:r w:rsidRPr="00FE5C1E">
        <w:rPr>
          <w:i/>
          <w:lang w:val="en-IN"/>
        </w:rPr>
        <w:t>Dhytham</w:t>
      </w:r>
      <w:proofErr w:type="spellEnd"/>
      <w:r>
        <w:rPr>
          <w:lang w:val="en-IN"/>
        </w:rPr>
        <w:t xml:space="preserve"> provides that the police officers are employed for the benefit of the general public and if there is a time of need and the police officer refused to assist the public, and then they are liable, even if they are off duty, they are liable to act. </w:t>
      </w:r>
      <w:r>
        <w:t xml:space="preserve"> Another case, </w:t>
      </w:r>
      <w:r w:rsidRPr="00FE5C1E">
        <w:rPr>
          <w:i/>
          <w:lang w:val="en-IN"/>
        </w:rPr>
        <w:t>R v Miller</w:t>
      </w:r>
      <w:r w:rsidRPr="00FE5C1E">
        <w:rPr>
          <w:lang w:val="en-IN"/>
        </w:rPr>
        <w:t xml:space="preserve"> [1983] 2 AC 161</w:t>
      </w:r>
      <w:r>
        <w:rPr>
          <w:lang w:val="en-IN"/>
        </w:rPr>
        <w:t xml:space="preserve">, provides that the better explanation of the basic duty to act, which is generally not provided. This case saw a matter of arson, where a drunken person accidently caused a building to burn, when this person realised that there is a fire, then he went outside the house and took no action, and the house burned down. The court stated that Miller caused the fire, then he took no action, even though the action was accidental, his causing the fire shows that he has the responsibility to act, but his omission shows that he has committed arson. </w:t>
      </w:r>
    </w:p>
    <w:p w14:paraId="66D98E7C" w14:textId="77777777" w:rsidR="00C0047A" w:rsidRDefault="00AF1A7F" w:rsidP="00C0047A">
      <w:pPr>
        <w:rPr>
          <w:rFonts w:eastAsiaTheme="majorEastAsia" w:cstheme="majorBidi"/>
          <w:sz w:val="26"/>
          <w:szCs w:val="26"/>
        </w:rPr>
      </w:pPr>
      <w:r>
        <w:rPr>
          <w:lang w:val="en-IN"/>
        </w:rPr>
        <w:t xml:space="preserve">Another form of responsibility is formed by the contract of employment, which provides that if a person is hired under a contract, expressed or implied, and the work of that person provides the action that saves the life of other people and if such person does not takes an action then other people might suffer, then such a person is responsible to act, and will not get the benefit of the exception. For example, if a person is hired as life guard, gate keeper of any area from where train crosses, etc., then such person has to act or they will be liable. The case </w:t>
      </w:r>
      <w:r w:rsidRPr="00FE5C1E">
        <w:rPr>
          <w:i/>
          <w:iCs/>
          <w:lang w:val="en-IN"/>
        </w:rPr>
        <w:t xml:space="preserve">R v </w:t>
      </w:r>
      <w:proofErr w:type="spellStart"/>
      <w:r w:rsidRPr="00FE5C1E">
        <w:rPr>
          <w:i/>
          <w:iCs/>
          <w:lang w:val="en-IN"/>
        </w:rPr>
        <w:t>Pittwood</w:t>
      </w:r>
      <w:proofErr w:type="spellEnd"/>
      <w:r w:rsidRPr="00FE5C1E">
        <w:rPr>
          <w:lang w:val="en-IN"/>
        </w:rPr>
        <w:t> [1902] 19 TLR 37</w:t>
      </w:r>
      <w:r>
        <w:rPr>
          <w:lang w:val="en-IN"/>
        </w:rPr>
        <w:t xml:space="preserve"> provides the facts that represent this responsibility. The facts provides that a gatekeeper of a railway crossing was negligent and carelessly forgot to close the door of the crossing, due to the open door a person crossed and died, then this gatekeeper was tried and convicted for manslaughter. The court stated that the person had a duty and his failing to act for that duty caused harm, so that person is guilty. This duty does not </w:t>
      </w:r>
      <w:r w:rsidR="00B61278">
        <w:rPr>
          <w:lang w:val="en-IN"/>
        </w:rPr>
        <w:t>exist</w:t>
      </w:r>
      <w:r>
        <w:rPr>
          <w:lang w:val="en-IN"/>
        </w:rPr>
        <w:t xml:space="preserve"> when a contract of employment is terminated by any of the parties. </w:t>
      </w:r>
      <w:r w:rsidR="00C0047A">
        <w:br w:type="page"/>
      </w:r>
    </w:p>
    <w:p w14:paraId="433C1B24" w14:textId="77777777" w:rsidR="00C0047A" w:rsidRDefault="00C0047A" w:rsidP="00C0047A">
      <w:pPr>
        <w:pStyle w:val="Heading1"/>
      </w:pPr>
      <w:bookmarkStart w:id="7" w:name="_Toc118114707"/>
      <w:r>
        <w:lastRenderedPageBreak/>
        <w:t>Conclusion</w:t>
      </w:r>
      <w:bookmarkEnd w:id="7"/>
    </w:p>
    <w:p w14:paraId="73EA03B9" w14:textId="77777777" w:rsidR="00C0047A" w:rsidRDefault="00AF1A7F" w:rsidP="00C0047A">
      <w:pPr>
        <w:rPr>
          <w:rFonts w:eastAsiaTheme="majorEastAsia" w:cstheme="majorBidi"/>
          <w:sz w:val="28"/>
          <w:szCs w:val="32"/>
        </w:rPr>
      </w:pPr>
      <w:r>
        <w:t xml:space="preserve">The report provided the information on the omission or failure to act. It began with the general materials through which a crime is formed, </w:t>
      </w:r>
      <w:r w:rsidR="00B61278">
        <w:t>and then</w:t>
      </w:r>
      <w:r>
        <w:t xml:space="preserve"> it progressed towards the duty to care, and the explanation about the general duty to act. It was realised that there should be no general duty to act. Then, the exception of the duty of care which is not provided by the law was discussed, and the statutory and common laws regarding this aspect were explained. </w:t>
      </w:r>
      <w:r w:rsidR="00C0047A">
        <w:br w:type="page"/>
      </w:r>
    </w:p>
    <w:p w14:paraId="739DD3A1" w14:textId="77777777" w:rsidR="00C0047A" w:rsidRDefault="00C0047A" w:rsidP="00C0047A">
      <w:pPr>
        <w:pStyle w:val="Heading1"/>
      </w:pPr>
      <w:bookmarkStart w:id="8" w:name="_Toc118114708"/>
      <w:r>
        <w:lastRenderedPageBreak/>
        <w:t>References</w:t>
      </w:r>
      <w:bookmarkEnd w:id="8"/>
    </w:p>
    <w:p w14:paraId="08CCB869" w14:textId="77777777" w:rsidR="00892AFA" w:rsidRDefault="00892AFA" w:rsidP="00B61278">
      <w:pPr>
        <w:spacing w:before="240"/>
        <w:rPr>
          <w:lang w:val="en-IN"/>
        </w:rPr>
      </w:pPr>
      <w:r w:rsidRPr="00FE5C1E">
        <w:rPr>
          <w:i/>
          <w:lang w:val="en-IN"/>
        </w:rPr>
        <w:t xml:space="preserve">Airedale NHS Trust v </w:t>
      </w:r>
      <w:r w:rsidRPr="00FE5C1E">
        <w:rPr>
          <w:lang w:val="en-IN"/>
        </w:rPr>
        <w:t>Bland [1993] Law Reports, Appeal Cases 789</w:t>
      </w:r>
    </w:p>
    <w:p w14:paraId="30CB3D6E" w14:textId="77777777" w:rsidR="00892AFA" w:rsidRPr="00B470E1" w:rsidRDefault="00892AFA" w:rsidP="00B470E1">
      <w:pPr>
        <w:spacing w:before="240"/>
        <w:rPr>
          <w:lang w:val="en-IN"/>
        </w:rPr>
      </w:pPr>
      <w:r w:rsidRPr="007045A4">
        <w:rPr>
          <w:lang w:val="en-IN"/>
        </w:rPr>
        <w:t xml:space="preserve">Ashworth, A., 2018. A new generation of omissions </w:t>
      </w:r>
      <w:proofErr w:type="gramStart"/>
      <w:r w:rsidRPr="007045A4">
        <w:rPr>
          <w:lang w:val="en-IN"/>
        </w:rPr>
        <w:t>offences?.</w:t>
      </w:r>
      <w:proofErr w:type="gramEnd"/>
      <w:r w:rsidRPr="007045A4">
        <w:rPr>
          <w:lang w:val="en-IN"/>
        </w:rPr>
        <w:t> Criminal Law Review, 2018(5). https://ora.ox.ac.uk/objects/uuid:bf66df2b-7f83-424a-99b0-5a20d7c8fc82</w:t>
      </w:r>
    </w:p>
    <w:p w14:paraId="00008207" w14:textId="77777777" w:rsidR="00892AFA" w:rsidRPr="00FE5C1E" w:rsidRDefault="00892AFA" w:rsidP="00B61278">
      <w:pPr>
        <w:spacing w:before="240"/>
        <w:rPr>
          <w:lang w:val="en-IN"/>
        </w:rPr>
      </w:pPr>
      <w:r w:rsidRPr="00FE5C1E">
        <w:rPr>
          <w:i/>
          <w:lang w:val="en-IN"/>
        </w:rPr>
        <w:t>Children and Young Persons Act</w:t>
      </w:r>
      <w:r>
        <w:rPr>
          <w:lang w:val="en-IN"/>
        </w:rPr>
        <w:t xml:space="preserve">. </w:t>
      </w:r>
      <w:r w:rsidRPr="00FE5C1E">
        <w:rPr>
          <w:lang w:val="en-IN"/>
        </w:rPr>
        <w:t>https://www.legislation.gov.uk/ukpga/Geo5/23-24/12</w:t>
      </w:r>
    </w:p>
    <w:p w14:paraId="2E88EA96" w14:textId="77777777" w:rsidR="00892AFA" w:rsidRDefault="00892AFA" w:rsidP="00B61278">
      <w:pPr>
        <w:spacing w:before="240"/>
        <w:rPr>
          <w:i/>
          <w:lang w:val="en-IN"/>
        </w:rPr>
      </w:pPr>
      <w:r w:rsidRPr="00FE5C1E">
        <w:rPr>
          <w:i/>
          <w:lang w:val="en-IN"/>
        </w:rPr>
        <w:t xml:space="preserve">R v </w:t>
      </w:r>
      <w:proofErr w:type="spellStart"/>
      <w:r w:rsidRPr="00FE5C1E">
        <w:rPr>
          <w:lang w:val="en-IN"/>
        </w:rPr>
        <w:t>Dhytham</w:t>
      </w:r>
      <w:proofErr w:type="spellEnd"/>
      <w:r w:rsidRPr="00FE5C1E">
        <w:rPr>
          <w:lang w:val="en-IN"/>
        </w:rPr>
        <w:t xml:space="preserve"> [1979] 3 Weekly Legal Briefings, 467</w:t>
      </w:r>
    </w:p>
    <w:p w14:paraId="559C3E21" w14:textId="77777777" w:rsidR="00892AFA" w:rsidRDefault="00892AFA" w:rsidP="00B61278">
      <w:pPr>
        <w:spacing w:before="240"/>
        <w:rPr>
          <w:lang w:val="en-IN"/>
        </w:rPr>
      </w:pPr>
      <w:r w:rsidRPr="00FE5C1E">
        <w:rPr>
          <w:i/>
          <w:iCs/>
          <w:lang w:val="en-IN"/>
        </w:rPr>
        <w:t>R v</w:t>
      </w:r>
      <w:r w:rsidRPr="00C1240C">
        <w:rPr>
          <w:i/>
          <w:iCs/>
          <w:lang w:val="en-IN"/>
        </w:rPr>
        <w:t xml:space="preserve"> Gibbins and Proctor</w:t>
      </w:r>
      <w:r>
        <w:rPr>
          <w:lang w:val="en-IN"/>
        </w:rPr>
        <w:t xml:space="preserve"> [1918] 13 </w:t>
      </w:r>
      <w:r w:rsidRPr="00FE5C1E">
        <w:rPr>
          <w:lang w:val="en-IN"/>
        </w:rPr>
        <w:t>Criminal Appeal Reports</w:t>
      </w:r>
      <w:r>
        <w:rPr>
          <w:lang w:val="en-IN"/>
        </w:rPr>
        <w:t xml:space="preserve"> 134</w:t>
      </w:r>
    </w:p>
    <w:p w14:paraId="6608641C" w14:textId="77777777" w:rsidR="00892AFA" w:rsidRDefault="00892AFA" w:rsidP="00B61278">
      <w:pPr>
        <w:spacing w:before="240"/>
        <w:rPr>
          <w:lang w:val="en-IN"/>
        </w:rPr>
      </w:pPr>
      <w:r w:rsidRPr="00FE5C1E">
        <w:rPr>
          <w:i/>
          <w:lang w:val="en-IN"/>
        </w:rPr>
        <w:t>R v Miller</w:t>
      </w:r>
      <w:r w:rsidRPr="00FE5C1E">
        <w:rPr>
          <w:lang w:val="en-IN"/>
        </w:rPr>
        <w:t xml:space="preserve"> [1983] 2 Law Reports, Appeal Cases 161</w:t>
      </w:r>
    </w:p>
    <w:p w14:paraId="6AF56421" w14:textId="77777777" w:rsidR="00892AFA" w:rsidRDefault="00892AFA" w:rsidP="00B61278">
      <w:pPr>
        <w:spacing w:before="240"/>
        <w:rPr>
          <w:lang w:val="en-IN"/>
        </w:rPr>
      </w:pPr>
      <w:r w:rsidRPr="00FE5C1E">
        <w:rPr>
          <w:i/>
          <w:iCs/>
          <w:lang w:val="en-IN"/>
        </w:rPr>
        <w:t xml:space="preserve">R v </w:t>
      </w:r>
      <w:proofErr w:type="spellStart"/>
      <w:r w:rsidRPr="00FE5C1E">
        <w:rPr>
          <w:i/>
          <w:iCs/>
          <w:lang w:val="en-IN"/>
        </w:rPr>
        <w:t>Pittwood</w:t>
      </w:r>
      <w:proofErr w:type="spellEnd"/>
      <w:r w:rsidRPr="00FE5C1E">
        <w:rPr>
          <w:lang w:val="en-IN"/>
        </w:rPr>
        <w:t> [1902] 19 Times Law Reports 37</w:t>
      </w:r>
    </w:p>
    <w:p w14:paraId="630F3DA6" w14:textId="77777777" w:rsidR="00892AFA" w:rsidRDefault="00892AFA" w:rsidP="00B61278">
      <w:pPr>
        <w:spacing w:before="240"/>
        <w:rPr>
          <w:lang w:val="en-IN"/>
        </w:rPr>
      </w:pPr>
      <w:r w:rsidRPr="00FE5C1E">
        <w:rPr>
          <w:i/>
          <w:lang w:val="en-IN"/>
        </w:rPr>
        <w:t>R v Stone and Dobinson</w:t>
      </w:r>
      <w:r w:rsidRPr="00FE5C1E">
        <w:rPr>
          <w:lang w:val="en-IN"/>
        </w:rPr>
        <w:t xml:space="preserve"> [1977] 1 </w:t>
      </w:r>
      <w:r>
        <w:rPr>
          <w:lang w:val="en-IN"/>
        </w:rPr>
        <w:t>Queens Bench Cases</w:t>
      </w:r>
      <w:r w:rsidRPr="00FE5C1E">
        <w:rPr>
          <w:lang w:val="en-IN"/>
        </w:rPr>
        <w:t xml:space="preserve"> 354</w:t>
      </w:r>
    </w:p>
    <w:p w14:paraId="5ABCE64A" w14:textId="77777777" w:rsidR="00892AFA" w:rsidRDefault="00892AFA" w:rsidP="00B61278">
      <w:pPr>
        <w:spacing w:before="240"/>
        <w:rPr>
          <w:lang w:val="en-IN"/>
        </w:rPr>
      </w:pPr>
      <w:r w:rsidRPr="00FE5C1E">
        <w:rPr>
          <w:i/>
          <w:lang w:val="en-IN"/>
        </w:rPr>
        <w:t>Road Traffic Act</w:t>
      </w:r>
      <w:r>
        <w:rPr>
          <w:lang w:val="en-IN"/>
        </w:rPr>
        <w:t xml:space="preserve"> of 1988. </w:t>
      </w:r>
      <w:r w:rsidRPr="00FE5C1E">
        <w:rPr>
          <w:lang w:val="en-IN"/>
        </w:rPr>
        <w:t>https://www.legislation.gov.uk/ukpga/1988/52/contents</w:t>
      </w:r>
    </w:p>
    <w:p w14:paraId="1BDB8EAF" w14:textId="77777777" w:rsidR="00892AFA" w:rsidRPr="00FE5C1E" w:rsidRDefault="00892AFA" w:rsidP="00B61278">
      <w:pPr>
        <w:spacing w:before="240"/>
        <w:rPr>
          <w:lang w:val="en-IN"/>
        </w:rPr>
      </w:pPr>
      <w:r>
        <w:rPr>
          <w:shd w:val="clear" w:color="auto" w:fill="FFFFFF"/>
        </w:rPr>
        <w:t>Roy, M.S. (2020) ‘AN EFFORT TO UNVEIL THE BEST TEST ON CRIMINAL ATTEMPT-DECODING JUDICIAL INTERPRETATIONS OF INDIA, UK AND USA’, </w:t>
      </w:r>
      <w:proofErr w:type="spellStart"/>
      <w:r>
        <w:rPr>
          <w:i/>
          <w:iCs/>
          <w:shd w:val="clear" w:color="auto" w:fill="FFFFFF"/>
        </w:rPr>
        <w:t>PalArch's</w:t>
      </w:r>
      <w:proofErr w:type="spellEnd"/>
      <w:r>
        <w:rPr>
          <w:i/>
          <w:iCs/>
          <w:shd w:val="clear" w:color="auto" w:fill="FFFFFF"/>
        </w:rPr>
        <w:t xml:space="preserve"> Journal of Archaeology of Egypt/Egyptology</w:t>
      </w:r>
      <w:r>
        <w:rPr>
          <w:shd w:val="clear" w:color="auto" w:fill="FFFFFF"/>
        </w:rPr>
        <w:t>, </w:t>
      </w:r>
      <w:r>
        <w:rPr>
          <w:i/>
          <w:iCs/>
          <w:shd w:val="clear" w:color="auto" w:fill="FFFFFF"/>
        </w:rPr>
        <w:t>17</w:t>
      </w:r>
      <w:r>
        <w:rPr>
          <w:shd w:val="clear" w:color="auto" w:fill="FFFFFF"/>
        </w:rPr>
        <w:t xml:space="preserve">(7), pp.3989-3999. </w:t>
      </w:r>
      <w:r w:rsidRPr="00FE5C1E">
        <w:rPr>
          <w:shd w:val="clear" w:color="auto" w:fill="FFFFFF"/>
        </w:rPr>
        <w:t>https://mail.palarch.nl/index.php/jae/article/download/2301/2268</w:t>
      </w:r>
    </w:p>
    <w:sectPr w:rsidR="00892AFA" w:rsidRPr="00FE5C1E" w:rsidSect="00C0047A">
      <w:footerReference w:type="default" r:id="rId8"/>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F6BF48" w14:textId="77777777" w:rsidR="00686665" w:rsidRDefault="00686665" w:rsidP="00C0047A">
      <w:pPr>
        <w:spacing w:after="0" w:line="240" w:lineRule="auto"/>
      </w:pPr>
      <w:r>
        <w:separator/>
      </w:r>
    </w:p>
  </w:endnote>
  <w:endnote w:type="continuationSeparator" w:id="0">
    <w:p w14:paraId="448F9AC7" w14:textId="77777777" w:rsidR="00686665" w:rsidRDefault="00686665" w:rsidP="00C004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4231829"/>
      <w:docPartObj>
        <w:docPartGallery w:val="Page Numbers (Bottom of Page)"/>
        <w:docPartUnique/>
      </w:docPartObj>
    </w:sdtPr>
    <w:sdtEndPr/>
    <w:sdtContent>
      <w:p w14:paraId="2FAC37AB" w14:textId="77777777" w:rsidR="00C0047A" w:rsidRDefault="00686665">
        <w:pPr>
          <w:pStyle w:val="Footer"/>
          <w:jc w:val="center"/>
        </w:pPr>
        <w:r>
          <w:fldChar w:fldCharType="begin"/>
        </w:r>
        <w:r>
          <w:instrText xml:space="preserve"> PAGE   \* MERGEFORMAT </w:instrText>
        </w:r>
        <w:r>
          <w:fldChar w:fldCharType="separate"/>
        </w:r>
        <w:r w:rsidR="00F4584E">
          <w:rPr>
            <w:noProof/>
          </w:rPr>
          <w:t>8</w:t>
        </w:r>
        <w:r>
          <w:rPr>
            <w:noProof/>
          </w:rPr>
          <w:fldChar w:fldCharType="end"/>
        </w:r>
      </w:p>
    </w:sdtContent>
  </w:sdt>
  <w:p w14:paraId="7CE06CA4" w14:textId="77777777" w:rsidR="00C0047A" w:rsidRDefault="00C004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0D214E" w14:textId="77777777" w:rsidR="00686665" w:rsidRDefault="00686665" w:rsidP="00C0047A">
      <w:pPr>
        <w:spacing w:after="0" w:line="240" w:lineRule="auto"/>
      </w:pPr>
      <w:r>
        <w:separator/>
      </w:r>
    </w:p>
  </w:footnote>
  <w:footnote w:type="continuationSeparator" w:id="0">
    <w:p w14:paraId="1BCE8580" w14:textId="77777777" w:rsidR="00686665" w:rsidRDefault="00686665" w:rsidP="00C004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QzMzUwMbM0sDA3MzdU0lEKTi0uzszPAykwqgUAlR6LVywAAAA="/>
  </w:docVars>
  <w:rsids>
    <w:rsidRoot w:val="00C0047A"/>
    <w:rsid w:val="000151FE"/>
    <w:rsid w:val="00040F84"/>
    <w:rsid w:val="00181F54"/>
    <w:rsid w:val="001F1801"/>
    <w:rsid w:val="0044287F"/>
    <w:rsid w:val="004B7670"/>
    <w:rsid w:val="00540572"/>
    <w:rsid w:val="0054443C"/>
    <w:rsid w:val="00643710"/>
    <w:rsid w:val="00686665"/>
    <w:rsid w:val="007045A4"/>
    <w:rsid w:val="007276FF"/>
    <w:rsid w:val="007862AB"/>
    <w:rsid w:val="008423E6"/>
    <w:rsid w:val="00892AFA"/>
    <w:rsid w:val="0091289B"/>
    <w:rsid w:val="00AF1A7F"/>
    <w:rsid w:val="00B470E1"/>
    <w:rsid w:val="00B61278"/>
    <w:rsid w:val="00B72829"/>
    <w:rsid w:val="00C0047A"/>
    <w:rsid w:val="00CE509C"/>
    <w:rsid w:val="00DF7A1F"/>
    <w:rsid w:val="00EC402C"/>
    <w:rsid w:val="00F458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BCD78"/>
  <w15:docId w15:val="{3B4EBACC-203E-4053-8293-4A58C0554C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047A"/>
    <w:pPr>
      <w:spacing w:line="360" w:lineRule="auto"/>
      <w:jc w:val="both"/>
    </w:pPr>
    <w:rPr>
      <w:rFonts w:ascii="Times New Roman" w:eastAsiaTheme="minorHAnsi" w:hAnsi="Times New Roman"/>
      <w:sz w:val="24"/>
      <w:lang w:val="en-GB"/>
    </w:rPr>
  </w:style>
  <w:style w:type="paragraph" w:styleId="Heading1">
    <w:name w:val="heading 1"/>
    <w:basedOn w:val="Normal"/>
    <w:next w:val="Normal"/>
    <w:link w:val="Heading1Char"/>
    <w:uiPriority w:val="9"/>
    <w:qFormat/>
    <w:rsid w:val="0054443C"/>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54443C"/>
    <w:pPr>
      <w:keepNext/>
      <w:keepLines/>
      <w:spacing w:before="40" w:after="0"/>
      <w:jc w:val="left"/>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443C"/>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54443C"/>
    <w:rPr>
      <w:rFonts w:ascii="Times New Roman" w:eastAsiaTheme="majorEastAsia" w:hAnsi="Times New Roman" w:cstheme="majorBidi"/>
      <w:b/>
      <w:sz w:val="26"/>
      <w:szCs w:val="26"/>
      <w:lang w:val="en-GB"/>
    </w:rPr>
  </w:style>
  <w:style w:type="paragraph" w:styleId="Title">
    <w:name w:val="Title"/>
    <w:basedOn w:val="Normal"/>
    <w:next w:val="Normal"/>
    <w:link w:val="TitleChar"/>
    <w:uiPriority w:val="10"/>
    <w:qFormat/>
    <w:rsid w:val="0054443C"/>
    <w:pPr>
      <w:spacing w:after="0"/>
      <w:contextualSpacing/>
      <w:jc w:val="center"/>
    </w:pPr>
    <w:rPr>
      <w:rFonts w:eastAsiaTheme="majorEastAsia" w:cstheme="majorBidi"/>
      <w:spacing w:val="-10"/>
      <w:kern w:val="28"/>
      <w:sz w:val="52"/>
      <w:szCs w:val="56"/>
      <w:u w:val="single" w:color="4472C4" w:themeColor="accent1"/>
    </w:rPr>
  </w:style>
  <w:style w:type="character" w:customStyle="1" w:styleId="TitleChar">
    <w:name w:val="Title Char"/>
    <w:basedOn w:val="DefaultParagraphFont"/>
    <w:link w:val="Title"/>
    <w:uiPriority w:val="10"/>
    <w:rsid w:val="0054443C"/>
    <w:rPr>
      <w:rFonts w:ascii="Times New Roman" w:eastAsiaTheme="majorEastAsia" w:hAnsi="Times New Roman" w:cstheme="majorBidi"/>
      <w:spacing w:val="-10"/>
      <w:kern w:val="28"/>
      <w:sz w:val="52"/>
      <w:szCs w:val="56"/>
      <w:u w:val="single" w:color="4472C4" w:themeColor="accent1"/>
      <w:lang w:val="en-GB"/>
    </w:rPr>
  </w:style>
  <w:style w:type="paragraph" w:styleId="Header">
    <w:name w:val="header"/>
    <w:basedOn w:val="Normal"/>
    <w:link w:val="HeaderChar"/>
    <w:uiPriority w:val="99"/>
    <w:semiHidden/>
    <w:unhideWhenUsed/>
    <w:rsid w:val="00C0047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0047A"/>
    <w:rPr>
      <w:rFonts w:ascii="Times New Roman" w:eastAsiaTheme="minorHAnsi" w:hAnsi="Times New Roman"/>
      <w:sz w:val="24"/>
      <w:lang w:val="en-GB"/>
    </w:rPr>
  </w:style>
  <w:style w:type="paragraph" w:styleId="Footer">
    <w:name w:val="footer"/>
    <w:basedOn w:val="Normal"/>
    <w:link w:val="FooterChar"/>
    <w:uiPriority w:val="99"/>
    <w:unhideWhenUsed/>
    <w:rsid w:val="00C004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047A"/>
    <w:rPr>
      <w:rFonts w:ascii="Times New Roman" w:eastAsiaTheme="minorHAnsi" w:hAnsi="Times New Roman"/>
      <w:sz w:val="24"/>
      <w:lang w:val="en-GB"/>
    </w:rPr>
  </w:style>
  <w:style w:type="paragraph" w:styleId="TOCHeading">
    <w:name w:val="TOC Heading"/>
    <w:basedOn w:val="Heading1"/>
    <w:next w:val="Normal"/>
    <w:uiPriority w:val="39"/>
    <w:semiHidden/>
    <w:unhideWhenUsed/>
    <w:qFormat/>
    <w:rsid w:val="007862AB"/>
    <w:pPr>
      <w:spacing w:before="480" w:line="276" w:lineRule="auto"/>
      <w:outlineLvl w:val="9"/>
    </w:pPr>
    <w:rPr>
      <w:rFonts w:asciiTheme="majorHAnsi" w:hAnsiTheme="majorHAnsi"/>
      <w:bCs/>
      <w:color w:val="2F5496" w:themeColor="accent1" w:themeShade="BF"/>
      <w:szCs w:val="28"/>
      <w:lang w:val="en-US"/>
    </w:rPr>
  </w:style>
  <w:style w:type="paragraph" w:styleId="TOC1">
    <w:name w:val="toc 1"/>
    <w:basedOn w:val="Normal"/>
    <w:next w:val="Normal"/>
    <w:autoRedefine/>
    <w:uiPriority w:val="39"/>
    <w:unhideWhenUsed/>
    <w:rsid w:val="007862AB"/>
    <w:pPr>
      <w:spacing w:after="100"/>
    </w:pPr>
  </w:style>
  <w:style w:type="paragraph" w:styleId="TOC2">
    <w:name w:val="toc 2"/>
    <w:basedOn w:val="Normal"/>
    <w:next w:val="Normal"/>
    <w:autoRedefine/>
    <w:uiPriority w:val="39"/>
    <w:unhideWhenUsed/>
    <w:rsid w:val="007862AB"/>
    <w:pPr>
      <w:spacing w:after="100"/>
      <w:ind w:left="240"/>
    </w:pPr>
  </w:style>
  <w:style w:type="character" w:styleId="Hyperlink">
    <w:name w:val="Hyperlink"/>
    <w:basedOn w:val="DefaultParagraphFont"/>
    <w:uiPriority w:val="99"/>
    <w:unhideWhenUsed/>
    <w:rsid w:val="007862AB"/>
    <w:rPr>
      <w:color w:val="0563C1" w:themeColor="hyperlink"/>
      <w:u w:val="single"/>
    </w:rPr>
  </w:style>
  <w:style w:type="paragraph" w:styleId="BalloonText">
    <w:name w:val="Balloon Text"/>
    <w:basedOn w:val="Normal"/>
    <w:link w:val="BalloonTextChar"/>
    <w:uiPriority w:val="99"/>
    <w:semiHidden/>
    <w:unhideWhenUsed/>
    <w:rsid w:val="007862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62AB"/>
    <w:rPr>
      <w:rFonts w:ascii="Tahoma" w:eastAsiaTheme="minorHAnsi"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FB6A542-B2E7-45B9-B496-8E57D845FC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1485</Words>
  <Characters>8471</Characters>
  <Application>Microsoft Office Word</Application>
  <DocSecurity>0</DocSecurity>
  <Lines>70</Lines>
  <Paragraphs>19</Paragraphs>
  <ScaleCrop>false</ScaleCrop>
  <Company/>
  <LinksUpToDate>false</LinksUpToDate>
  <CharactersWithSpaces>9937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Ionela</dc:creator>
  <cp:lastModifiedBy>Florin Doditoiu</cp:lastModifiedBy>
  <cp:revision>2</cp:revision>
  <dcterms:created xsi:type="dcterms:W3CDTF">2022-11-01T16:59:00Z</dcterms:created>
  <dcterms:modified xsi:type="dcterms:W3CDTF">2022-11-01T16:59:00Z</dcterms:modified>
</cp:coreProperties>
</file>