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D81" w:rsidRDefault="00CA4D81"/>
    <w:p w:rsidR="009E73A3" w:rsidRDefault="009E73A3"/>
    <w:p w:rsidR="00A46AD9" w:rsidRDefault="00A46AD9"/>
    <w:p w:rsidR="00A46AD9" w:rsidRDefault="00A46AD9"/>
    <w:p w:rsidR="00A46AD9" w:rsidRDefault="00A46AD9"/>
    <w:p w:rsidR="00A46AD9" w:rsidRDefault="00A46AD9"/>
    <w:p w:rsidR="009E73A3" w:rsidRDefault="009E73A3" w:rsidP="00A46AD9">
      <w:pPr>
        <w:jc w:val="both"/>
      </w:pPr>
    </w:p>
    <w:p w:rsidR="009E73A3" w:rsidRDefault="009E73A3" w:rsidP="00A46AD9">
      <w:pPr>
        <w:jc w:val="both"/>
      </w:pPr>
    </w:p>
    <w:p w:rsidR="009E73A3" w:rsidRDefault="009E73A3" w:rsidP="00A46AD9">
      <w:pPr>
        <w:jc w:val="both"/>
        <w:rPr>
          <w:sz w:val="48"/>
        </w:rPr>
      </w:pPr>
      <w:r>
        <w:rPr>
          <w:sz w:val="48"/>
        </w:rPr>
        <w:t>G</w:t>
      </w:r>
      <w:r w:rsidR="00EF0139">
        <w:rPr>
          <w:sz w:val="48"/>
        </w:rPr>
        <w:t>lobal Perspectives on Education</w:t>
      </w:r>
    </w:p>
    <w:p w:rsidR="009E73A3" w:rsidRDefault="009E73A3" w:rsidP="00A46AD9">
      <w:pPr>
        <w:jc w:val="both"/>
        <w:rPr>
          <w:sz w:val="48"/>
        </w:rPr>
      </w:pPr>
      <w:r>
        <w:rPr>
          <w:sz w:val="48"/>
        </w:rPr>
        <w:t>SJIE6006</w:t>
      </w:r>
    </w:p>
    <w:p w:rsidR="009E73A3" w:rsidRDefault="0029463D" w:rsidP="00A46AD9">
      <w:pPr>
        <w:jc w:val="both"/>
        <w:rPr>
          <w:sz w:val="48"/>
        </w:rPr>
      </w:pPr>
      <w:r>
        <w:rPr>
          <w:sz w:val="48"/>
        </w:rPr>
        <w:t>Word Count: 3’3</w:t>
      </w:r>
      <w:bookmarkStart w:id="0" w:name="_GoBack"/>
      <w:bookmarkEnd w:id="0"/>
      <w:r w:rsidR="009E73A3">
        <w:rPr>
          <w:sz w:val="48"/>
        </w:rPr>
        <w:t>00</w:t>
      </w:r>
    </w:p>
    <w:p w:rsidR="009E73A3" w:rsidRDefault="009E73A3" w:rsidP="00A46AD9">
      <w:pPr>
        <w:jc w:val="both"/>
        <w:rPr>
          <w:sz w:val="48"/>
        </w:rPr>
      </w:pPr>
      <w:r>
        <w:rPr>
          <w:sz w:val="48"/>
        </w:rPr>
        <w:t>Student No.: 1805634</w:t>
      </w: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B663BB" w:rsidRPr="003B2A63" w:rsidRDefault="00B663BB" w:rsidP="00B663BB">
      <w:pPr>
        <w:shd w:val="clear" w:color="auto" w:fill="FFFFFF"/>
        <w:spacing w:after="100" w:afterAutospacing="1" w:line="240" w:lineRule="auto"/>
        <w:jc w:val="both"/>
        <w:outlineLvl w:val="4"/>
        <w:rPr>
          <w:sz w:val="24"/>
          <w:szCs w:val="24"/>
        </w:rPr>
      </w:pPr>
      <w:r>
        <w:rPr>
          <w:sz w:val="48"/>
        </w:rPr>
        <w:lastRenderedPageBreak/>
        <w:tab/>
      </w:r>
      <w:r w:rsidRPr="003B2A63">
        <w:rPr>
          <w:sz w:val="24"/>
          <w:szCs w:val="24"/>
        </w:rPr>
        <w:t xml:space="preserve">The following assignment will explore barriers towards education through a global perspective. Research and legislation will be analysed with reference from local and international governments, with a strong focus on the educational perspective within Ethiopia. In addition the assignment will demonstrate the importance for a sustainable global education. Finally the assignment will evaluate the research while discussing any possible recommendations for improvement, resulting in a way forward. </w:t>
      </w:r>
      <w:proofErr w:type="spellStart"/>
      <w:r w:rsidRPr="003B2A63">
        <w:rPr>
          <w:rFonts w:eastAsia="Times New Roman" w:cs="Segoe UI"/>
          <w:bCs/>
          <w:iCs/>
          <w:sz w:val="24"/>
          <w:szCs w:val="24"/>
          <w:lang w:eastAsia="en-GB"/>
        </w:rPr>
        <w:t>Tomasveski</w:t>
      </w:r>
      <w:proofErr w:type="spellEnd"/>
      <w:r w:rsidRPr="003B2A63">
        <w:rPr>
          <w:rFonts w:eastAsia="Times New Roman" w:cs="Segoe UI"/>
          <w:bCs/>
          <w:iCs/>
          <w:sz w:val="24"/>
          <w:szCs w:val="24"/>
          <w:lang w:eastAsia="en-GB"/>
        </w:rPr>
        <w:t xml:space="preserve"> (1998) quotes "Education is the key to unlocking all the other human rights." </w:t>
      </w:r>
    </w:p>
    <w:p w:rsidR="00B663BB" w:rsidRPr="003B2A63" w:rsidRDefault="00B663BB" w:rsidP="00B663BB">
      <w:pPr>
        <w:shd w:val="clear" w:color="auto" w:fill="FFFFFF"/>
        <w:spacing w:after="100" w:afterAutospacing="1" w:line="240" w:lineRule="auto"/>
        <w:jc w:val="both"/>
        <w:outlineLvl w:val="4"/>
        <w:rPr>
          <w:sz w:val="24"/>
          <w:szCs w:val="24"/>
        </w:rPr>
      </w:pPr>
      <w:r w:rsidRPr="003B2A63">
        <w:rPr>
          <w:sz w:val="24"/>
          <w:szCs w:val="24"/>
        </w:rPr>
        <w:t xml:space="preserve">According to </w:t>
      </w:r>
      <w:proofErr w:type="spellStart"/>
      <w:r w:rsidRPr="003B2A63">
        <w:rPr>
          <w:sz w:val="24"/>
          <w:szCs w:val="24"/>
        </w:rPr>
        <w:t>Cregan</w:t>
      </w:r>
      <w:proofErr w:type="spellEnd"/>
      <w:r w:rsidRPr="003B2A63">
        <w:rPr>
          <w:sz w:val="24"/>
          <w:szCs w:val="24"/>
        </w:rPr>
        <w:t xml:space="preserve"> and </w:t>
      </w:r>
      <w:proofErr w:type="spellStart"/>
      <w:r w:rsidRPr="003B2A63">
        <w:rPr>
          <w:sz w:val="24"/>
          <w:szCs w:val="24"/>
        </w:rPr>
        <w:t>Cuthberth</w:t>
      </w:r>
      <w:proofErr w:type="spellEnd"/>
      <w:r w:rsidRPr="003B2A63">
        <w:rPr>
          <w:sz w:val="24"/>
          <w:szCs w:val="24"/>
        </w:rPr>
        <w:t xml:space="preserve"> (2014, p.4) the definition of a child or childhood was previously a widely differed concept globally, due to different theoretical socialisations around the world. (</w:t>
      </w:r>
      <w:proofErr w:type="spellStart"/>
      <w:r w:rsidRPr="003B2A63">
        <w:rPr>
          <w:sz w:val="24"/>
          <w:szCs w:val="24"/>
        </w:rPr>
        <w:t>Ekundayo</w:t>
      </w:r>
      <w:proofErr w:type="spellEnd"/>
      <w:r w:rsidRPr="003B2A63">
        <w:rPr>
          <w:sz w:val="24"/>
          <w:szCs w:val="24"/>
        </w:rPr>
        <w:t xml:space="preserve">, 2015, p.1) comments that the notion of a child having rights is revolutionary, that it used to be presumed that children were incapable of comprehending what adults can and therefore were to be controlled by their parents.  In addition </w:t>
      </w:r>
      <w:proofErr w:type="spellStart"/>
      <w:r w:rsidRPr="003B2A63">
        <w:rPr>
          <w:sz w:val="24"/>
          <w:szCs w:val="24"/>
        </w:rPr>
        <w:t>Cregan</w:t>
      </w:r>
      <w:proofErr w:type="spellEnd"/>
      <w:r w:rsidRPr="003B2A63">
        <w:rPr>
          <w:sz w:val="24"/>
          <w:szCs w:val="24"/>
        </w:rPr>
        <w:t xml:space="preserve"> and </w:t>
      </w:r>
      <w:proofErr w:type="spellStart"/>
      <w:r w:rsidRPr="003B2A63">
        <w:rPr>
          <w:sz w:val="24"/>
          <w:szCs w:val="24"/>
        </w:rPr>
        <w:t>Cuthberth</w:t>
      </w:r>
      <w:proofErr w:type="spellEnd"/>
      <w:r w:rsidRPr="003B2A63">
        <w:rPr>
          <w:sz w:val="24"/>
          <w:szCs w:val="24"/>
        </w:rPr>
        <w:t xml:space="preserve"> (2014, p.4) stated that the need for the reform in the treatment of children slowly altered throughout the 19</w:t>
      </w:r>
      <w:r w:rsidRPr="003B2A63">
        <w:rPr>
          <w:sz w:val="24"/>
          <w:szCs w:val="24"/>
          <w:vertAlign w:val="superscript"/>
        </w:rPr>
        <w:t>th</w:t>
      </w:r>
      <w:r w:rsidRPr="003B2A63">
        <w:rPr>
          <w:sz w:val="24"/>
          <w:szCs w:val="24"/>
        </w:rPr>
        <w:t xml:space="preserve"> century which finally led to the proclamation of the United Nations Convention on the Rights of the Child [UNCRC, 1989]. (</w:t>
      </w:r>
      <w:proofErr w:type="spellStart"/>
      <w:r w:rsidRPr="003B2A63">
        <w:rPr>
          <w:sz w:val="24"/>
          <w:szCs w:val="24"/>
        </w:rPr>
        <w:t>Bhahba</w:t>
      </w:r>
      <w:proofErr w:type="spellEnd"/>
      <w:r w:rsidRPr="003B2A63">
        <w:rPr>
          <w:sz w:val="24"/>
          <w:szCs w:val="24"/>
        </w:rPr>
        <w:t>, 2006), describes the UNCRC as being a keystone in the constructions of childhood and the globalisation on the view of a child being regarded as a specific form of human being. This was in replacement of the League of Nations in Geneva; The Declaration of the Right of the Child [LON] (1924), cited by (</w:t>
      </w:r>
      <w:proofErr w:type="spellStart"/>
      <w:r w:rsidRPr="003B2A63">
        <w:rPr>
          <w:sz w:val="24"/>
          <w:szCs w:val="24"/>
        </w:rPr>
        <w:t>Ekundayo</w:t>
      </w:r>
      <w:proofErr w:type="spellEnd"/>
      <w:r w:rsidRPr="003B2A63">
        <w:rPr>
          <w:sz w:val="24"/>
          <w:szCs w:val="24"/>
        </w:rPr>
        <w:t>, 2015, p.1). (</w:t>
      </w:r>
      <w:r w:rsidRPr="003B2A63">
        <w:rPr>
          <w:i/>
          <w:sz w:val="24"/>
          <w:szCs w:val="24"/>
        </w:rPr>
        <w:t>Charter for Comparison</w:t>
      </w:r>
      <w:r w:rsidRPr="003B2A63">
        <w:rPr>
          <w:sz w:val="24"/>
          <w:szCs w:val="24"/>
        </w:rPr>
        <w:t>, 2017) addition comments that the LON was the first document which issued the legalisation of the responsibility of adults towards children. (</w:t>
      </w:r>
      <w:proofErr w:type="spellStart"/>
      <w:r w:rsidRPr="003B2A63">
        <w:rPr>
          <w:sz w:val="24"/>
          <w:szCs w:val="24"/>
        </w:rPr>
        <w:t>Bueren</w:t>
      </w:r>
      <w:proofErr w:type="spellEnd"/>
      <w:r w:rsidRPr="003B2A63">
        <w:rPr>
          <w:sz w:val="24"/>
          <w:szCs w:val="24"/>
        </w:rPr>
        <w:t xml:space="preserve">, 1998, p.6) explains that the Declaration in 1959 on the rights of the child was the international springboard needed to initiate a convention. </w:t>
      </w:r>
    </w:p>
    <w:p w:rsidR="00B663BB" w:rsidRPr="003B2A63" w:rsidRDefault="00B663BB" w:rsidP="00B663BB">
      <w:pPr>
        <w:shd w:val="clear" w:color="auto" w:fill="FFFFFF"/>
        <w:spacing w:after="100" w:afterAutospacing="1" w:line="240" w:lineRule="auto"/>
        <w:jc w:val="both"/>
        <w:outlineLvl w:val="4"/>
        <w:rPr>
          <w:rFonts w:eastAsia="Times New Roman" w:cs="Segoe UI"/>
          <w:bCs/>
          <w:iCs/>
          <w:sz w:val="24"/>
          <w:szCs w:val="24"/>
          <w:lang w:eastAsia="en-GB"/>
        </w:rPr>
      </w:pPr>
      <w:r w:rsidRPr="003B2A63">
        <w:rPr>
          <w:sz w:val="24"/>
          <w:szCs w:val="24"/>
        </w:rPr>
        <w:t>(</w:t>
      </w:r>
      <w:r w:rsidRPr="003B2A63">
        <w:rPr>
          <w:i/>
          <w:sz w:val="24"/>
          <w:szCs w:val="24"/>
        </w:rPr>
        <w:t>Save the Children</w:t>
      </w:r>
      <w:r w:rsidRPr="003B2A63">
        <w:rPr>
          <w:sz w:val="24"/>
          <w:szCs w:val="24"/>
        </w:rPr>
        <w:t>, 2018) underpins the UNCRC, Article 28 which states that every child has the right to an education, with access for equal opportunities, in addition that there must be financial aid for those who need it. However, how much aid is really being provided?  (</w:t>
      </w:r>
      <w:r w:rsidRPr="003B2A63">
        <w:rPr>
          <w:i/>
          <w:sz w:val="24"/>
          <w:szCs w:val="24"/>
        </w:rPr>
        <w:t>UNICEF</w:t>
      </w:r>
      <w:r w:rsidRPr="003B2A63">
        <w:rPr>
          <w:sz w:val="24"/>
          <w:szCs w:val="24"/>
        </w:rPr>
        <w:t>, 2017) found that one in five children in North Africa needs humanitarian assistance, 90% of those children are living in conflict bearing countries. (</w:t>
      </w:r>
      <w:r w:rsidRPr="003B2A63">
        <w:rPr>
          <w:i/>
          <w:sz w:val="24"/>
          <w:szCs w:val="24"/>
        </w:rPr>
        <w:t>UNICEF,</w:t>
      </w:r>
      <w:r w:rsidRPr="003B2A63">
        <w:rPr>
          <w:sz w:val="24"/>
          <w:szCs w:val="24"/>
        </w:rPr>
        <w:t xml:space="preserve"> 2015) states that the charity raised £100.7 million, provided 14 million vaccines to protect children from tetanus and provided access to clean water, sanitation and nutrition. Finally UNICEF has empowered children with education, as they believe that education allows children to attempt to stop the cycles of poverty and disease through generations, cited by (</w:t>
      </w:r>
      <w:r w:rsidRPr="003B2A63">
        <w:rPr>
          <w:i/>
          <w:sz w:val="24"/>
          <w:szCs w:val="24"/>
        </w:rPr>
        <w:t>UNICEF,</w:t>
      </w:r>
      <w:r w:rsidRPr="003B2A63">
        <w:rPr>
          <w:sz w:val="24"/>
          <w:szCs w:val="24"/>
        </w:rPr>
        <w:t xml:space="preserve"> 2015). The (</w:t>
      </w:r>
      <w:r w:rsidRPr="003B2A63">
        <w:rPr>
          <w:i/>
          <w:sz w:val="24"/>
          <w:szCs w:val="24"/>
        </w:rPr>
        <w:t>African Union</w:t>
      </w:r>
      <w:r w:rsidRPr="003B2A63">
        <w:rPr>
          <w:sz w:val="24"/>
          <w:szCs w:val="24"/>
        </w:rPr>
        <w:t>, 2019) states that the African Charter on the Rights and Welfare of the Child [ACRWCR, 1999] is the comprehensive tool used by the African Union to enforce the rights and welfare norms of a child. The ACRWCR much like the UNCRC’s Article 28, believes in every child having the right to an education, such as ACRWCR Article 11; to develop a child’s well-being, mental health, personality and to reach their fullest potential throughout education. The article Includes the reinforcement of African traditions and values, while stating the responsibility of ensuring reasonable adjustments are made for any child with disadvantages is that of the Government, cited by (</w:t>
      </w:r>
      <w:r w:rsidRPr="003B2A63">
        <w:rPr>
          <w:i/>
          <w:sz w:val="24"/>
          <w:szCs w:val="24"/>
        </w:rPr>
        <w:t>African Union</w:t>
      </w:r>
      <w:r w:rsidRPr="003B2A63">
        <w:rPr>
          <w:sz w:val="24"/>
          <w:szCs w:val="24"/>
        </w:rPr>
        <w:t>, 2019). Although the two tools are mostly similar, (</w:t>
      </w:r>
      <w:proofErr w:type="spellStart"/>
      <w:r w:rsidRPr="003B2A63">
        <w:rPr>
          <w:sz w:val="24"/>
          <w:szCs w:val="24"/>
        </w:rPr>
        <w:t>Ekundayo</w:t>
      </w:r>
      <w:proofErr w:type="spellEnd"/>
      <w:r w:rsidRPr="003B2A63">
        <w:rPr>
          <w:sz w:val="24"/>
          <w:szCs w:val="24"/>
        </w:rPr>
        <w:t xml:space="preserve">, 2015, p.6) argues that the definition of ‘child’ is seen differently between the two, that the ACRWCR defines childhood as completed when married, irrespective of age, this is inevitably a barrier against the child’s education if married at an early age.  </w:t>
      </w:r>
    </w:p>
    <w:p w:rsidR="00B663BB" w:rsidRPr="003B2A63" w:rsidRDefault="00B663BB" w:rsidP="00B663BB">
      <w:pPr>
        <w:jc w:val="both"/>
        <w:rPr>
          <w:sz w:val="24"/>
          <w:szCs w:val="24"/>
        </w:rPr>
      </w:pPr>
      <w:r w:rsidRPr="003B2A63">
        <w:rPr>
          <w:sz w:val="24"/>
          <w:szCs w:val="24"/>
        </w:rPr>
        <w:lastRenderedPageBreak/>
        <w:t xml:space="preserve"> In comparison (</w:t>
      </w:r>
      <w:r w:rsidRPr="003B2A63">
        <w:rPr>
          <w:i/>
          <w:sz w:val="24"/>
          <w:szCs w:val="24"/>
        </w:rPr>
        <w:t>UNICEF</w:t>
      </w:r>
      <w:r w:rsidRPr="003B2A63">
        <w:rPr>
          <w:sz w:val="24"/>
          <w:szCs w:val="24"/>
        </w:rPr>
        <w:t>, 2017) found that 76’000 people signed the petition to hold the responsibility to protect children living in war zones and conflict should be that of the Prime Minister. In addition some would argue that this and article 28 of the UNCRC needs to stipulate that every child has the right to receive a quality education which is adaptable, accessible and acceptable, stated by (</w:t>
      </w:r>
      <w:r w:rsidRPr="003B2A63">
        <w:rPr>
          <w:i/>
          <w:sz w:val="24"/>
          <w:szCs w:val="24"/>
        </w:rPr>
        <w:t>Right to Education</w:t>
      </w:r>
      <w:r w:rsidRPr="003B2A63">
        <w:rPr>
          <w:sz w:val="24"/>
          <w:szCs w:val="24"/>
        </w:rPr>
        <w:t>, 2018). Universal Declaration of Human Rights [UDHR, 1948] Article 26: the right to an education, affirms that the right to education is fundamental, that education can enable individuals to gain the power to be out of poverty and to develop their socio-economic status, cited  by (</w:t>
      </w:r>
      <w:r w:rsidRPr="003B2A63">
        <w:rPr>
          <w:i/>
          <w:sz w:val="24"/>
          <w:szCs w:val="24"/>
        </w:rPr>
        <w:t>NYU Global Institute for Advanced Study</w:t>
      </w:r>
      <w:r w:rsidRPr="003B2A63">
        <w:rPr>
          <w:sz w:val="24"/>
          <w:szCs w:val="24"/>
        </w:rPr>
        <w:t>, 2016). Furthermore the UDHR believes that education holds the potential to create tolerance and peace through the common respect for human rights and freedoms, between religions, races and nationalities, cited by (</w:t>
      </w:r>
      <w:r w:rsidRPr="003B2A63">
        <w:rPr>
          <w:i/>
          <w:sz w:val="24"/>
          <w:szCs w:val="24"/>
        </w:rPr>
        <w:t>NYU Global Institute for Advanced Study</w:t>
      </w:r>
      <w:r w:rsidRPr="003B2A63">
        <w:rPr>
          <w:sz w:val="24"/>
          <w:szCs w:val="24"/>
        </w:rPr>
        <w:t xml:space="preserve">, 2016).  </w:t>
      </w:r>
    </w:p>
    <w:p w:rsidR="00B663BB" w:rsidRPr="003B2A63" w:rsidRDefault="00B663BB" w:rsidP="00B663BB">
      <w:pPr>
        <w:jc w:val="both"/>
        <w:rPr>
          <w:rFonts w:cs="Arial"/>
          <w:sz w:val="24"/>
          <w:szCs w:val="24"/>
        </w:rPr>
      </w:pPr>
      <w:r w:rsidRPr="003B2A63">
        <w:rPr>
          <w:sz w:val="24"/>
          <w:szCs w:val="24"/>
        </w:rPr>
        <w:t>(</w:t>
      </w:r>
      <w:r w:rsidRPr="003B2A63">
        <w:rPr>
          <w:i/>
          <w:sz w:val="24"/>
          <w:szCs w:val="24"/>
        </w:rPr>
        <w:t>UNICEF</w:t>
      </w:r>
      <w:r w:rsidRPr="003B2A63">
        <w:rPr>
          <w:sz w:val="24"/>
          <w:szCs w:val="24"/>
        </w:rPr>
        <w:t>, 2015) found that in the United Kingdom [UK] 1.3 million children attend schools which implement the importance of rights at the heart of their culture, in comparison to 55 million children in Africa not even attending primary school. However in contrast, (</w:t>
      </w:r>
      <w:r w:rsidRPr="003B2A63">
        <w:rPr>
          <w:i/>
          <w:sz w:val="24"/>
          <w:szCs w:val="24"/>
        </w:rPr>
        <w:t>The Dakar Framework for Action</w:t>
      </w:r>
      <w:r w:rsidRPr="003B2A63">
        <w:rPr>
          <w:sz w:val="24"/>
          <w:szCs w:val="24"/>
        </w:rPr>
        <w:t>, 2000) found that since the launch of the mandate, (</w:t>
      </w:r>
      <w:r w:rsidRPr="003B2A63">
        <w:rPr>
          <w:i/>
          <w:sz w:val="24"/>
          <w:szCs w:val="24"/>
        </w:rPr>
        <w:t>Education for All</w:t>
      </w:r>
      <w:r w:rsidRPr="003B2A63">
        <w:rPr>
          <w:sz w:val="24"/>
          <w:szCs w:val="24"/>
        </w:rPr>
        <w:t xml:space="preserve">, 2015), records show that 84 million fewer children in Africa are out of school with 52 million being girls. In addition </w:t>
      </w:r>
      <w:r w:rsidRPr="003B2A63">
        <w:rPr>
          <w:rFonts w:cs="Arial"/>
          <w:sz w:val="24"/>
          <w:szCs w:val="24"/>
        </w:rPr>
        <w:t>(</w:t>
      </w:r>
      <w:r w:rsidRPr="003B2A63">
        <w:rPr>
          <w:rFonts w:cs="Arial"/>
          <w:i/>
          <w:sz w:val="24"/>
          <w:szCs w:val="24"/>
        </w:rPr>
        <w:t>Fox</w:t>
      </w:r>
      <w:r w:rsidRPr="003B2A63">
        <w:rPr>
          <w:rFonts w:cs="Arial"/>
          <w:sz w:val="24"/>
          <w:szCs w:val="24"/>
        </w:rPr>
        <w:t>, 2019) mentions that the Yellow Movement, a group of feminists supporting women who are battling discrimination through education and empowerment; are a movement working on stepping towards culture change which should in effect increase the number of girls in education, cited by (</w:t>
      </w:r>
      <w:r w:rsidRPr="003B2A63">
        <w:rPr>
          <w:rFonts w:cs="Arial"/>
          <w:i/>
          <w:sz w:val="24"/>
          <w:szCs w:val="24"/>
        </w:rPr>
        <w:t>Fox</w:t>
      </w:r>
      <w:r w:rsidRPr="003B2A63">
        <w:rPr>
          <w:rFonts w:cs="Arial"/>
          <w:sz w:val="24"/>
          <w:szCs w:val="24"/>
        </w:rPr>
        <w:t>, 2019).</w:t>
      </w:r>
      <w:r w:rsidRPr="003B2A63">
        <w:rPr>
          <w:sz w:val="24"/>
          <w:szCs w:val="24"/>
        </w:rPr>
        <w:t xml:space="preserve"> Furthermore (</w:t>
      </w:r>
      <w:r w:rsidRPr="003B2A63">
        <w:rPr>
          <w:i/>
          <w:sz w:val="24"/>
          <w:szCs w:val="24"/>
        </w:rPr>
        <w:t>The Dakar Framework for Action</w:t>
      </w:r>
      <w:r w:rsidRPr="003B2A63">
        <w:rPr>
          <w:sz w:val="24"/>
          <w:szCs w:val="24"/>
        </w:rPr>
        <w:t xml:space="preserve">, 2000) describes the aim </w:t>
      </w:r>
      <w:r w:rsidRPr="003B2A63">
        <w:rPr>
          <w:i/>
          <w:sz w:val="24"/>
          <w:szCs w:val="24"/>
        </w:rPr>
        <w:t>(Education for All</w:t>
      </w:r>
      <w:r w:rsidRPr="003B2A63">
        <w:rPr>
          <w:sz w:val="24"/>
          <w:szCs w:val="24"/>
        </w:rPr>
        <w:t xml:space="preserve">, 2015) is to meet all individual’s learning needs on a global scale by 2015. </w:t>
      </w:r>
      <w:r w:rsidRPr="003B2A63">
        <w:rPr>
          <w:i/>
          <w:sz w:val="24"/>
          <w:szCs w:val="24"/>
        </w:rPr>
        <w:t>(Education for All</w:t>
      </w:r>
      <w:r w:rsidRPr="003B2A63">
        <w:rPr>
          <w:sz w:val="24"/>
          <w:szCs w:val="24"/>
        </w:rPr>
        <w:t>, 2015) was a global initiative organised by the United Nations Educational, Scientific and Cultural Organisation [UNESCO], cited by (</w:t>
      </w:r>
      <w:proofErr w:type="spellStart"/>
      <w:r w:rsidRPr="003B2A63">
        <w:rPr>
          <w:sz w:val="24"/>
          <w:szCs w:val="24"/>
        </w:rPr>
        <w:t>Unterhalter</w:t>
      </w:r>
      <w:proofErr w:type="spellEnd"/>
      <w:r w:rsidRPr="003B2A63">
        <w:rPr>
          <w:sz w:val="24"/>
          <w:szCs w:val="24"/>
        </w:rPr>
        <w:t xml:space="preserve">, 2015, p.179). </w:t>
      </w:r>
      <w:r w:rsidRPr="003B2A63">
        <w:rPr>
          <w:rFonts w:cs="Arial"/>
          <w:sz w:val="24"/>
          <w:szCs w:val="24"/>
        </w:rPr>
        <w:t>Thompson (2015) states that the functionalists view on education would support the mandate, as they believe that education is meritocratic and provides equal opportunities for all, in relation to the UNCRC. Whereas Thompson (2015) describes the Marxist view on education as being oppositional, he states that they believe that the idea of schools teaching meritocracy is a myth and that it’s only the more well off children who can receive a quality education, is this right when nearly 55 million children are going through life without primary education in the 21</w:t>
      </w:r>
      <w:r w:rsidRPr="003B2A63">
        <w:rPr>
          <w:rFonts w:cs="Arial"/>
          <w:sz w:val="24"/>
          <w:szCs w:val="24"/>
          <w:vertAlign w:val="superscript"/>
        </w:rPr>
        <w:t>st</w:t>
      </w:r>
      <w:r w:rsidRPr="003B2A63">
        <w:rPr>
          <w:rFonts w:cs="Arial"/>
          <w:sz w:val="24"/>
          <w:szCs w:val="24"/>
        </w:rPr>
        <w:t xml:space="preserve"> century?</w:t>
      </w:r>
    </w:p>
    <w:p w:rsidR="00B663BB" w:rsidRPr="003B2A63" w:rsidRDefault="00B663BB" w:rsidP="00B663BB">
      <w:pPr>
        <w:jc w:val="both"/>
        <w:rPr>
          <w:sz w:val="24"/>
          <w:szCs w:val="24"/>
        </w:rPr>
      </w:pPr>
      <w:r w:rsidRPr="003B2A63">
        <w:rPr>
          <w:sz w:val="24"/>
          <w:szCs w:val="24"/>
        </w:rPr>
        <w:t>(</w:t>
      </w:r>
      <w:proofErr w:type="spellStart"/>
      <w:r w:rsidRPr="003B2A63">
        <w:rPr>
          <w:sz w:val="24"/>
          <w:szCs w:val="24"/>
        </w:rPr>
        <w:t>Unterhalter</w:t>
      </w:r>
      <w:proofErr w:type="spellEnd"/>
      <w:r w:rsidRPr="003B2A63">
        <w:rPr>
          <w:sz w:val="24"/>
          <w:szCs w:val="24"/>
        </w:rPr>
        <w:t xml:space="preserve">, 2015, p.179) found that </w:t>
      </w:r>
      <w:r w:rsidRPr="003B2A63">
        <w:rPr>
          <w:rFonts w:cs="Arial"/>
          <w:sz w:val="24"/>
          <w:szCs w:val="24"/>
        </w:rPr>
        <w:t>e</w:t>
      </w:r>
      <w:r w:rsidRPr="003B2A63">
        <w:rPr>
          <w:sz w:val="24"/>
          <w:szCs w:val="24"/>
        </w:rPr>
        <w:t>ducation has had a prominent value in the Millennium Development Goal [MDG] framework, with two goals being associated with schooling, According to the (</w:t>
      </w:r>
      <w:r w:rsidRPr="003B2A63">
        <w:rPr>
          <w:i/>
          <w:sz w:val="24"/>
          <w:szCs w:val="24"/>
        </w:rPr>
        <w:t>United Nations</w:t>
      </w:r>
      <w:r w:rsidRPr="003B2A63">
        <w:rPr>
          <w:sz w:val="24"/>
          <w:szCs w:val="24"/>
        </w:rPr>
        <w:t>, 2019) the MDG was a form of blueprint devised by the world’s governments, which issued eight millennium global goals to achieve by 2015, goals such as (</w:t>
      </w:r>
      <w:r w:rsidRPr="003B2A63">
        <w:rPr>
          <w:i/>
          <w:sz w:val="24"/>
          <w:szCs w:val="24"/>
        </w:rPr>
        <w:t>Education for All</w:t>
      </w:r>
      <w:r w:rsidRPr="003B2A63">
        <w:rPr>
          <w:sz w:val="24"/>
          <w:szCs w:val="24"/>
        </w:rPr>
        <w:t>, 2015) or ending poverty. (</w:t>
      </w:r>
      <w:proofErr w:type="spellStart"/>
      <w:r w:rsidRPr="003B2A63">
        <w:rPr>
          <w:i/>
          <w:sz w:val="24"/>
          <w:szCs w:val="24"/>
        </w:rPr>
        <w:t>Benavot</w:t>
      </w:r>
      <w:proofErr w:type="spellEnd"/>
      <w:r w:rsidRPr="003B2A63">
        <w:rPr>
          <w:sz w:val="24"/>
          <w:szCs w:val="24"/>
        </w:rPr>
        <w:t>, 2016) found that due to the global initiative being ambitious, it led to the need for a new education mandate;  Agenda for Sustainable Development, 2030; which will attempt to resolve any remaining inequalities and will be monitored, cited by (</w:t>
      </w:r>
      <w:proofErr w:type="spellStart"/>
      <w:r w:rsidRPr="003B2A63">
        <w:rPr>
          <w:i/>
          <w:sz w:val="24"/>
          <w:szCs w:val="24"/>
        </w:rPr>
        <w:t>Benavot</w:t>
      </w:r>
      <w:proofErr w:type="spellEnd"/>
      <w:r w:rsidRPr="003B2A63">
        <w:rPr>
          <w:sz w:val="24"/>
          <w:szCs w:val="24"/>
        </w:rPr>
        <w:t>, 2016). Facts published by (</w:t>
      </w:r>
      <w:r w:rsidRPr="003B2A63">
        <w:rPr>
          <w:i/>
          <w:sz w:val="24"/>
          <w:szCs w:val="24"/>
        </w:rPr>
        <w:t>UNESCO</w:t>
      </w:r>
      <w:r w:rsidRPr="003B2A63">
        <w:rPr>
          <w:sz w:val="24"/>
          <w:szCs w:val="24"/>
        </w:rPr>
        <w:t xml:space="preserve">, 2018) found that despite their adoption of the Sustainable Development Goals in 2015, </w:t>
      </w:r>
      <w:r w:rsidRPr="003B2A63">
        <w:rPr>
          <w:sz w:val="24"/>
          <w:szCs w:val="24"/>
        </w:rPr>
        <w:lastRenderedPageBreak/>
        <w:t>there has been no progress of decreasing the number of children out of school; data revealed that one in five children are still out of education. Therefore there are still children suffering and not receiving their right to education, there are multiple barriers which may affect a child from gaining an education, such as; poverty, lack of support system, low self-esteem, fear of being violated, war and conflict, trafficking, slave labour or lack of language, as cited by (</w:t>
      </w:r>
      <w:proofErr w:type="spellStart"/>
      <w:r w:rsidRPr="003B2A63">
        <w:rPr>
          <w:sz w:val="24"/>
          <w:szCs w:val="24"/>
        </w:rPr>
        <w:t>Tafere</w:t>
      </w:r>
      <w:proofErr w:type="spellEnd"/>
      <w:r w:rsidRPr="003B2A63">
        <w:rPr>
          <w:sz w:val="24"/>
          <w:szCs w:val="24"/>
        </w:rPr>
        <w:t>, 2014, p.120). Who continues to write that children living in poor communities such as Ethiopia have high aspirations due to their quality of life and or living in poverty; that children in Ethiopia can work hard towards their high aspirations but yet still fail due to lack of resources or support at home, cited (</w:t>
      </w:r>
      <w:proofErr w:type="spellStart"/>
      <w:r w:rsidRPr="003B2A63">
        <w:rPr>
          <w:sz w:val="24"/>
          <w:szCs w:val="24"/>
        </w:rPr>
        <w:t>Tafere</w:t>
      </w:r>
      <w:proofErr w:type="spellEnd"/>
      <w:r w:rsidRPr="003B2A63">
        <w:rPr>
          <w:sz w:val="24"/>
          <w:szCs w:val="24"/>
        </w:rPr>
        <w:t>, 2014, p.120). However some would argue that these aspirations need to be ‘reoriented’ as they are unrealistic, in contrast (</w:t>
      </w:r>
      <w:proofErr w:type="spellStart"/>
      <w:r w:rsidRPr="003B2A63">
        <w:rPr>
          <w:sz w:val="24"/>
          <w:szCs w:val="24"/>
        </w:rPr>
        <w:t>Tafere</w:t>
      </w:r>
      <w:proofErr w:type="spellEnd"/>
      <w:r w:rsidRPr="003B2A63">
        <w:rPr>
          <w:sz w:val="24"/>
          <w:szCs w:val="24"/>
        </w:rPr>
        <w:t>, 2014, p.120) believes that children’s aspirations need to be raised with appropriate support; instead children’s capacities are being hindered, cited by (</w:t>
      </w:r>
      <w:proofErr w:type="spellStart"/>
      <w:r w:rsidRPr="003B2A63">
        <w:rPr>
          <w:sz w:val="24"/>
          <w:szCs w:val="24"/>
        </w:rPr>
        <w:t>Tafere</w:t>
      </w:r>
      <w:proofErr w:type="spellEnd"/>
      <w:r w:rsidRPr="003B2A63">
        <w:rPr>
          <w:sz w:val="24"/>
          <w:szCs w:val="24"/>
        </w:rPr>
        <w:t>, 2014, p.120). Davis (2017) would argue that regardless of developing countries, the social model is currently the favourable model as it strongly promotes the exclusion of barriers which inflict upon a person’s independence throughout society, including their education. Whereas (</w:t>
      </w:r>
      <w:proofErr w:type="spellStart"/>
      <w:r w:rsidRPr="003B2A63">
        <w:rPr>
          <w:sz w:val="24"/>
          <w:szCs w:val="24"/>
        </w:rPr>
        <w:t>Madoka</w:t>
      </w:r>
      <w:proofErr w:type="spellEnd"/>
      <w:r w:rsidRPr="003B2A63">
        <w:rPr>
          <w:sz w:val="24"/>
          <w:szCs w:val="24"/>
        </w:rPr>
        <w:t xml:space="preserve">, 2003, p.21) states that the capabilities approach as founded by </w:t>
      </w:r>
      <w:proofErr w:type="spellStart"/>
      <w:r w:rsidRPr="003B2A63">
        <w:rPr>
          <w:sz w:val="24"/>
          <w:szCs w:val="24"/>
        </w:rPr>
        <w:t>Amartya</w:t>
      </w:r>
      <w:proofErr w:type="spellEnd"/>
      <w:r w:rsidRPr="003B2A63">
        <w:rPr>
          <w:sz w:val="24"/>
          <w:szCs w:val="24"/>
        </w:rPr>
        <w:t xml:space="preserve"> </w:t>
      </w:r>
      <w:proofErr w:type="spellStart"/>
      <w:r w:rsidRPr="003B2A63">
        <w:rPr>
          <w:sz w:val="24"/>
          <w:szCs w:val="24"/>
        </w:rPr>
        <w:t>Sen</w:t>
      </w:r>
      <w:proofErr w:type="spellEnd"/>
      <w:r w:rsidRPr="003B2A63">
        <w:rPr>
          <w:sz w:val="24"/>
          <w:szCs w:val="24"/>
        </w:rPr>
        <w:t xml:space="preserve"> in 1980 is still a sound theoretical approach towards education, which believes that education has the power to enhance children’s capabilities and opportunities. In addition, Nelson Mandela quotes “Education is the most powerful weapon we can use to change the world.”</w:t>
      </w:r>
      <w:r w:rsidRPr="003B2A63">
        <w:rPr>
          <w:b/>
          <w:bCs/>
          <w:sz w:val="24"/>
          <w:szCs w:val="24"/>
        </w:rPr>
        <w:t xml:space="preserve"> </w:t>
      </w:r>
      <w:r w:rsidRPr="003B2A63">
        <w:rPr>
          <w:bCs/>
          <w:sz w:val="24"/>
          <w:szCs w:val="24"/>
        </w:rPr>
        <w:t>cited by (</w:t>
      </w:r>
      <w:r w:rsidRPr="003B2A63">
        <w:rPr>
          <w:bCs/>
          <w:i/>
          <w:iCs/>
          <w:sz w:val="24"/>
          <w:szCs w:val="24"/>
        </w:rPr>
        <w:t>Welsh Government</w:t>
      </w:r>
      <w:r w:rsidRPr="003B2A63">
        <w:rPr>
          <w:bCs/>
          <w:sz w:val="24"/>
          <w:szCs w:val="24"/>
        </w:rPr>
        <w:t>, 2008).</w:t>
      </w:r>
      <w:r w:rsidRPr="003B2A63">
        <w:rPr>
          <w:sz w:val="24"/>
          <w:szCs w:val="24"/>
        </w:rPr>
        <w:t xml:space="preserve"> </w:t>
      </w:r>
    </w:p>
    <w:p w:rsidR="00B663BB" w:rsidRPr="003B2A63" w:rsidRDefault="00B663BB" w:rsidP="00B663BB">
      <w:pPr>
        <w:jc w:val="both"/>
        <w:rPr>
          <w:sz w:val="24"/>
          <w:szCs w:val="24"/>
        </w:rPr>
      </w:pPr>
      <w:proofErr w:type="spellStart"/>
      <w:r w:rsidRPr="003B2A63">
        <w:rPr>
          <w:sz w:val="24"/>
          <w:szCs w:val="24"/>
        </w:rPr>
        <w:t>Vygotsky’s</w:t>
      </w:r>
      <w:proofErr w:type="spellEnd"/>
      <w:r w:rsidRPr="003B2A63">
        <w:rPr>
          <w:sz w:val="24"/>
          <w:szCs w:val="24"/>
        </w:rPr>
        <w:t xml:space="preserve"> workings would suggest that the child needs to develop an idea of the social world around them to be able to make discrepancies between what they have experienced and what they have learnt, cited by (</w:t>
      </w:r>
      <w:proofErr w:type="spellStart"/>
      <w:r w:rsidRPr="003B2A63">
        <w:rPr>
          <w:sz w:val="24"/>
          <w:szCs w:val="24"/>
        </w:rPr>
        <w:t>Lui</w:t>
      </w:r>
      <w:proofErr w:type="spellEnd"/>
      <w:r w:rsidRPr="003B2A63">
        <w:rPr>
          <w:sz w:val="24"/>
          <w:szCs w:val="24"/>
        </w:rPr>
        <w:t xml:space="preserve"> and Matthews, 2008, p.390); unfortunately this was a barrier in which children were facing within this class in </w:t>
      </w:r>
      <w:proofErr w:type="spellStart"/>
      <w:r w:rsidRPr="003B2A63">
        <w:rPr>
          <w:sz w:val="24"/>
          <w:szCs w:val="24"/>
        </w:rPr>
        <w:t>Ghania</w:t>
      </w:r>
      <w:proofErr w:type="spellEnd"/>
      <w:r w:rsidRPr="003B2A63">
        <w:rPr>
          <w:sz w:val="24"/>
          <w:szCs w:val="24"/>
        </w:rPr>
        <w:t xml:space="preserve">. </w:t>
      </w:r>
      <w:proofErr w:type="spellStart"/>
      <w:r w:rsidRPr="003B2A63">
        <w:rPr>
          <w:sz w:val="24"/>
          <w:szCs w:val="24"/>
        </w:rPr>
        <w:t>Coldeway</w:t>
      </w:r>
      <w:proofErr w:type="spellEnd"/>
      <w:r w:rsidRPr="003B2A63">
        <w:rPr>
          <w:sz w:val="24"/>
          <w:szCs w:val="24"/>
        </w:rPr>
        <w:t xml:space="preserve"> (2018) described the practitioner’s strategies as being innovative when he drew a Microsoft word application on a blackboard for his pupils. The children in this class were unable to experience the application in person but their practitioner took reasonable adjustments to ensure they had some form of idea, cited by </w:t>
      </w:r>
      <w:proofErr w:type="spellStart"/>
      <w:r w:rsidRPr="003B2A63">
        <w:rPr>
          <w:sz w:val="24"/>
          <w:szCs w:val="24"/>
        </w:rPr>
        <w:t>Coldeway</w:t>
      </w:r>
      <w:proofErr w:type="spellEnd"/>
      <w:r w:rsidRPr="003B2A63">
        <w:rPr>
          <w:sz w:val="24"/>
          <w:szCs w:val="24"/>
        </w:rPr>
        <w:t xml:space="preserve"> (2018).  (</w:t>
      </w:r>
      <w:r w:rsidRPr="003B2A63">
        <w:rPr>
          <w:i/>
          <w:sz w:val="24"/>
          <w:szCs w:val="24"/>
        </w:rPr>
        <w:t>Save the Children</w:t>
      </w:r>
      <w:r w:rsidRPr="003B2A63">
        <w:rPr>
          <w:sz w:val="24"/>
          <w:szCs w:val="24"/>
        </w:rPr>
        <w:t>, 2018) found that children in Ethiopia feel that the Save the Children programme has helped them develop their skills, such as maths and reading. It issued that teachers highly regard support sessions about health and nutrition for children: they stated that it helps children to learn better hygiene skills, while boosting their language and literacy skills; (</w:t>
      </w:r>
      <w:r w:rsidRPr="003B2A63">
        <w:rPr>
          <w:i/>
          <w:sz w:val="24"/>
          <w:szCs w:val="24"/>
        </w:rPr>
        <w:t>Save the Children</w:t>
      </w:r>
      <w:r w:rsidRPr="003B2A63">
        <w:rPr>
          <w:sz w:val="24"/>
          <w:szCs w:val="24"/>
        </w:rPr>
        <w:t xml:space="preserve">, 2018) programme also funds training for improving teaching methodologies. </w:t>
      </w:r>
    </w:p>
    <w:p w:rsidR="00B663BB" w:rsidRPr="003B2A63" w:rsidRDefault="00B663BB" w:rsidP="00B663BB">
      <w:pPr>
        <w:jc w:val="both"/>
        <w:rPr>
          <w:sz w:val="24"/>
          <w:szCs w:val="24"/>
        </w:rPr>
      </w:pPr>
      <w:r w:rsidRPr="003B2A63">
        <w:rPr>
          <w:sz w:val="24"/>
          <w:szCs w:val="24"/>
        </w:rPr>
        <w:t xml:space="preserve"> (</w:t>
      </w:r>
      <w:r w:rsidRPr="003B2A63">
        <w:rPr>
          <w:i/>
          <w:sz w:val="24"/>
          <w:szCs w:val="24"/>
        </w:rPr>
        <w:t xml:space="preserve">Education in Ethiopia, </w:t>
      </w:r>
      <w:r w:rsidRPr="003B2A63">
        <w:rPr>
          <w:sz w:val="24"/>
          <w:szCs w:val="24"/>
        </w:rPr>
        <w:t>2015) in its discussion on education reducing poverty found that children in Ethiopia want a quality education due to their high aspirations. This is in contrast when comparing to children from the UK’s and their perspectives on education; this is supported by (</w:t>
      </w:r>
      <w:r w:rsidRPr="003B2A63">
        <w:rPr>
          <w:i/>
          <w:sz w:val="24"/>
          <w:szCs w:val="24"/>
        </w:rPr>
        <w:t>Adams</w:t>
      </w:r>
      <w:r w:rsidRPr="003B2A63">
        <w:rPr>
          <w:sz w:val="24"/>
          <w:szCs w:val="24"/>
        </w:rPr>
        <w:t xml:space="preserve">, 2014) who found that David Laws, the Minister of Schools in the UK stated that Britain is now a nation of low aspirations, unfortunately this can be a barrier which children in the UK may face. Piaget (1989) states that children need to first observe contiguity between outcomes and desires, both successful and failures, without these </w:t>
      </w:r>
      <w:r w:rsidRPr="003B2A63">
        <w:rPr>
          <w:sz w:val="24"/>
          <w:szCs w:val="24"/>
        </w:rPr>
        <w:lastRenderedPageBreak/>
        <w:t>children are unable to form connections of their own. These capabilities would support children who experience low aspirations, cited by (</w:t>
      </w:r>
      <w:proofErr w:type="spellStart"/>
      <w:r w:rsidRPr="003B2A63">
        <w:rPr>
          <w:sz w:val="24"/>
          <w:szCs w:val="24"/>
        </w:rPr>
        <w:t>Stipek</w:t>
      </w:r>
      <w:proofErr w:type="spellEnd"/>
      <w:r w:rsidRPr="003B2A63">
        <w:rPr>
          <w:sz w:val="24"/>
          <w:szCs w:val="24"/>
        </w:rPr>
        <w:t xml:space="preserve"> e</w:t>
      </w:r>
      <w:r w:rsidRPr="003B2A63">
        <w:rPr>
          <w:i/>
          <w:sz w:val="24"/>
          <w:szCs w:val="24"/>
        </w:rPr>
        <w:t>t al</w:t>
      </w:r>
      <w:r w:rsidRPr="003B2A63">
        <w:rPr>
          <w:sz w:val="24"/>
          <w:szCs w:val="24"/>
        </w:rPr>
        <w:t>, 2013, p.1983). When discussing the comparison of children’s aspirations in both the UK and Ethiopia can also be linked to how the children’s parents, carers and role models affect the children’s self-efficacy. (</w:t>
      </w:r>
      <w:r w:rsidRPr="003B2A63">
        <w:rPr>
          <w:i/>
          <w:sz w:val="24"/>
          <w:szCs w:val="24"/>
        </w:rPr>
        <w:t xml:space="preserve">Education in Ethiopia, </w:t>
      </w:r>
      <w:r w:rsidRPr="003B2A63">
        <w:rPr>
          <w:sz w:val="24"/>
          <w:szCs w:val="24"/>
        </w:rPr>
        <w:t>2015) discovered that their parents want an education for their children as they know that they need it to gain knowledge and independence, striving for them to aspire further than themselves. Whereas according to the (</w:t>
      </w:r>
      <w:r w:rsidRPr="003B2A63">
        <w:rPr>
          <w:i/>
          <w:sz w:val="24"/>
          <w:szCs w:val="24"/>
        </w:rPr>
        <w:t xml:space="preserve">Welsh Government, </w:t>
      </w:r>
      <w:r w:rsidRPr="003B2A63">
        <w:rPr>
          <w:sz w:val="24"/>
          <w:szCs w:val="24"/>
        </w:rPr>
        <w:t>2016) the need for a guidance for practitioners within schools to help improve the engagement of families and parents in their children’s educations; Family and Community Engagement [</w:t>
      </w:r>
      <w:proofErr w:type="spellStart"/>
      <w:r w:rsidRPr="003B2A63">
        <w:rPr>
          <w:sz w:val="24"/>
          <w:szCs w:val="24"/>
        </w:rPr>
        <w:t>FaCE</w:t>
      </w:r>
      <w:proofErr w:type="spellEnd"/>
      <w:r w:rsidRPr="003B2A63">
        <w:rPr>
          <w:sz w:val="24"/>
          <w:szCs w:val="24"/>
        </w:rPr>
        <w:t>] Toolkit for Schools in Wales. On the other hand, despite the high aspirations of both the children and their parents in Ethiopia, as mentioned by (</w:t>
      </w:r>
      <w:r w:rsidRPr="003B2A63">
        <w:rPr>
          <w:i/>
          <w:sz w:val="24"/>
          <w:szCs w:val="24"/>
        </w:rPr>
        <w:t xml:space="preserve">Education in Ethiopia, </w:t>
      </w:r>
      <w:r w:rsidRPr="003B2A63">
        <w:rPr>
          <w:sz w:val="24"/>
          <w:szCs w:val="24"/>
        </w:rPr>
        <w:t>2015), half the children are still being failed throughout their education. The Vice Principle of a renovated school in 2008 stated to (</w:t>
      </w:r>
      <w:r w:rsidRPr="003B2A63">
        <w:rPr>
          <w:i/>
          <w:sz w:val="24"/>
          <w:szCs w:val="24"/>
        </w:rPr>
        <w:t xml:space="preserve">Education in Ethiopia, </w:t>
      </w:r>
      <w:r w:rsidRPr="003B2A63">
        <w:rPr>
          <w:sz w:val="24"/>
          <w:szCs w:val="24"/>
        </w:rPr>
        <w:t>2015) that their teaching strategies will be altered and their teachers will be trained to further their skills. Goodman (2002) adapted the iceberg model of culture which is a systematic thinking tool reflecting what we as people process when constructing our own successes, the main steps of the tool are; assumptions and beliefs, influential patterns and observation of patterns in behaviour, which all accumulate to the final event; achievement or success, which is witnessed by others. Goodman (2002) found that we can become frustrated when someone only appreciates the final event rather than appreciating the efforts it took to achieve. This can often be in relation to the children still failing in the Ethiopian school due to poor teaching strategies, these children are not receiving appreciation for the efforts they have given regardless of succeeding or not.</w:t>
      </w:r>
    </w:p>
    <w:p w:rsidR="00B663BB" w:rsidRPr="003B2A63" w:rsidRDefault="00B663BB" w:rsidP="00B663BB">
      <w:pPr>
        <w:jc w:val="both"/>
        <w:rPr>
          <w:rFonts w:cs="Arial"/>
          <w:sz w:val="24"/>
          <w:szCs w:val="24"/>
        </w:rPr>
      </w:pPr>
      <w:r w:rsidRPr="003B2A63">
        <w:rPr>
          <w:sz w:val="24"/>
          <w:szCs w:val="24"/>
        </w:rPr>
        <w:t>Children on a global scale are faced with the barrier of low self-esteem, as Maslow’s Hierarchy of needs (1943) would suggest; the need for comfort, security and a positive well-being is a human’s most important need, without these we struggle with our self-esteem which then effects are abilities to function. If a child is anxious or fearful it can prohibit them from accessing their education, unfortunately this can be a common emotion for children living in poverty, who have an additional learning need or have a language barrier, cited by (</w:t>
      </w:r>
      <w:proofErr w:type="spellStart"/>
      <w:r w:rsidRPr="003B2A63">
        <w:rPr>
          <w:rFonts w:cs="Arial"/>
          <w:sz w:val="24"/>
          <w:szCs w:val="24"/>
        </w:rPr>
        <w:t>Mittelman</w:t>
      </w:r>
      <w:proofErr w:type="spellEnd"/>
      <w:r w:rsidRPr="003B2A63">
        <w:rPr>
          <w:rFonts w:cs="Arial"/>
          <w:sz w:val="24"/>
          <w:szCs w:val="24"/>
        </w:rPr>
        <w:t>, 1991, p.120). However (Joan, 1999, p.167) would argue that self-actualisation is an on-going process. In addition, children from Ethiopia may face barriers such as; living in poverty and fear, working hard labour on top of studies or not having a support system, all  barriers which can set children up to fail, according to (</w:t>
      </w:r>
      <w:r w:rsidRPr="003B2A63">
        <w:rPr>
          <w:rFonts w:cs="Arial"/>
          <w:i/>
          <w:sz w:val="24"/>
          <w:szCs w:val="24"/>
        </w:rPr>
        <w:t>Education for Ethiopia</w:t>
      </w:r>
      <w:r w:rsidRPr="003B2A63">
        <w:rPr>
          <w:rFonts w:cs="Arial"/>
          <w:sz w:val="24"/>
          <w:szCs w:val="24"/>
        </w:rPr>
        <w:t>, 2018). The teaching conditions can affect children’s education as the teacher ratio is low, this causes failing students to become lost, which is a consequence from little or no funding for the schools, cited (</w:t>
      </w:r>
      <w:r w:rsidRPr="003B2A63">
        <w:rPr>
          <w:rFonts w:cs="Arial"/>
          <w:i/>
          <w:sz w:val="24"/>
          <w:szCs w:val="24"/>
        </w:rPr>
        <w:t>Education for Ethiopia</w:t>
      </w:r>
      <w:r w:rsidRPr="003B2A63">
        <w:rPr>
          <w:rFonts w:cs="Arial"/>
          <w:sz w:val="24"/>
          <w:szCs w:val="24"/>
        </w:rPr>
        <w:t>, 2018). Finally (</w:t>
      </w:r>
      <w:r w:rsidRPr="003B2A63">
        <w:rPr>
          <w:rFonts w:cs="Arial"/>
          <w:i/>
          <w:sz w:val="24"/>
          <w:szCs w:val="24"/>
        </w:rPr>
        <w:t>Education for Ethiopia</w:t>
      </w:r>
      <w:r w:rsidRPr="003B2A63">
        <w:rPr>
          <w:rFonts w:cs="Arial"/>
          <w:sz w:val="24"/>
          <w:szCs w:val="24"/>
        </w:rPr>
        <w:t xml:space="preserve">, 2018) states that many of the children’s resources are in English, most pupils are EAL and this can create a barrier on the children’s access to information. </w:t>
      </w:r>
      <w:r w:rsidRPr="003B2A63">
        <w:rPr>
          <w:sz w:val="24"/>
          <w:szCs w:val="24"/>
        </w:rPr>
        <w:t xml:space="preserve">The Department of Education and Skills (2002) states that 20% of UK companies believe due to lack of language and cultural skills they have resulted in a loss of business, cited by </w:t>
      </w:r>
      <w:proofErr w:type="spellStart"/>
      <w:r w:rsidRPr="003B2A63">
        <w:rPr>
          <w:sz w:val="24"/>
          <w:szCs w:val="24"/>
        </w:rPr>
        <w:t>Zarobe</w:t>
      </w:r>
      <w:proofErr w:type="spellEnd"/>
      <w:r w:rsidRPr="003B2A63">
        <w:rPr>
          <w:sz w:val="24"/>
          <w:szCs w:val="24"/>
        </w:rPr>
        <w:t xml:space="preserve">, Y </w:t>
      </w:r>
      <w:r w:rsidRPr="003B2A63">
        <w:rPr>
          <w:i/>
          <w:sz w:val="24"/>
          <w:szCs w:val="24"/>
        </w:rPr>
        <w:t xml:space="preserve">et al </w:t>
      </w:r>
      <w:r w:rsidRPr="003B2A63">
        <w:rPr>
          <w:sz w:val="24"/>
          <w:szCs w:val="24"/>
        </w:rPr>
        <w:t xml:space="preserve">(2011) who also stated that </w:t>
      </w:r>
      <w:r w:rsidRPr="003B2A63">
        <w:rPr>
          <w:sz w:val="24"/>
          <w:szCs w:val="24"/>
        </w:rPr>
        <w:lastRenderedPageBreak/>
        <w:t xml:space="preserve">bilingualism holds substantial economic benefits for both individuals and their wider societies. However this is not being capitalised argues </w:t>
      </w:r>
      <w:r w:rsidRPr="003B2A63">
        <w:rPr>
          <w:rFonts w:cs="Arial"/>
          <w:sz w:val="24"/>
          <w:szCs w:val="24"/>
        </w:rPr>
        <w:t>(</w:t>
      </w:r>
      <w:r w:rsidRPr="003B2A63">
        <w:rPr>
          <w:rFonts w:cs="Arial"/>
          <w:i/>
          <w:sz w:val="24"/>
          <w:szCs w:val="24"/>
        </w:rPr>
        <w:t>Education for Ethiopia</w:t>
      </w:r>
      <w:r w:rsidRPr="003B2A63">
        <w:rPr>
          <w:rFonts w:cs="Arial"/>
          <w:sz w:val="24"/>
          <w:szCs w:val="24"/>
        </w:rPr>
        <w:t>, 2018); in addition the Welsh Government have their agendas when they promote the use of the “dying” language, according to the (</w:t>
      </w:r>
      <w:r w:rsidRPr="003B2A63">
        <w:rPr>
          <w:rFonts w:cs="Arial"/>
          <w:i/>
          <w:sz w:val="24"/>
          <w:szCs w:val="24"/>
        </w:rPr>
        <w:t>Telegraph</w:t>
      </w:r>
      <w:r w:rsidRPr="003B2A63">
        <w:rPr>
          <w:rFonts w:cs="Arial"/>
          <w:sz w:val="24"/>
          <w:szCs w:val="24"/>
        </w:rPr>
        <w:t xml:space="preserve">, 2013). </w:t>
      </w:r>
    </w:p>
    <w:p w:rsidR="00B663BB" w:rsidRPr="003B2A63" w:rsidRDefault="00B663BB" w:rsidP="00B663BB">
      <w:pPr>
        <w:jc w:val="both"/>
        <w:rPr>
          <w:rFonts w:cs="Arial"/>
          <w:sz w:val="24"/>
          <w:szCs w:val="24"/>
        </w:rPr>
      </w:pPr>
      <w:r w:rsidRPr="003B2A63">
        <w:rPr>
          <w:rFonts w:cs="Arial"/>
          <w:sz w:val="24"/>
          <w:szCs w:val="24"/>
        </w:rPr>
        <w:t xml:space="preserve">When reflecting upon various barriers towards education, a prominent barrier which some children may face is gender inequalities, Aikman and </w:t>
      </w:r>
      <w:proofErr w:type="spellStart"/>
      <w:r w:rsidRPr="003B2A63">
        <w:rPr>
          <w:rFonts w:cs="Arial"/>
          <w:sz w:val="24"/>
          <w:szCs w:val="24"/>
        </w:rPr>
        <w:t>Unterhalter</w:t>
      </w:r>
      <w:proofErr w:type="spellEnd"/>
      <w:r w:rsidRPr="003B2A63">
        <w:rPr>
          <w:rFonts w:cs="Arial"/>
          <w:sz w:val="24"/>
          <w:szCs w:val="24"/>
        </w:rPr>
        <w:t xml:space="preserve"> (2005) write that females living in Ethiopia are often expected to take on traditional roles as majority of Ethiopia is based on prominent agrarian society, resulting in young females leaving education and possibly entering a forced marriage. Africa as a nation holds the highest rate of child and forced marriage; despite it being illegal it is common practice with 40% of girls being married before reaching adult age, cited by (</w:t>
      </w:r>
      <w:r w:rsidRPr="003B2A63">
        <w:rPr>
          <w:rFonts w:cs="Arial"/>
          <w:i/>
          <w:sz w:val="24"/>
          <w:szCs w:val="24"/>
        </w:rPr>
        <w:t>Fox</w:t>
      </w:r>
      <w:r w:rsidRPr="003B2A63">
        <w:rPr>
          <w:rFonts w:cs="Arial"/>
          <w:sz w:val="24"/>
          <w:szCs w:val="24"/>
        </w:rPr>
        <w:t>, 2019). Who also continues to comment that Ethiopia is still striving for gender equality and has had positive results; The Prime Minister of Ethiopia is now making a stance by employing women in powerful roles; including the first female president. (</w:t>
      </w:r>
      <w:r w:rsidRPr="003B2A63">
        <w:rPr>
          <w:rFonts w:cs="Arial"/>
          <w:i/>
          <w:sz w:val="24"/>
          <w:szCs w:val="24"/>
        </w:rPr>
        <w:t>Fox</w:t>
      </w:r>
      <w:r w:rsidRPr="003B2A63">
        <w:rPr>
          <w:rFonts w:cs="Arial"/>
          <w:sz w:val="24"/>
          <w:szCs w:val="24"/>
        </w:rPr>
        <w:t>, 2019) also mentions that Ethiopia has recently gained equal gender representation in cabinet, taking positive efforts to stamp out the patriarchy from society. The UN Agenda 2030 insists that underpinned by the Sustainable Development Goals the promise is the gender gap will have closed by 2030, cited by (</w:t>
      </w:r>
      <w:r w:rsidRPr="003B2A63">
        <w:rPr>
          <w:rFonts w:cs="Arial"/>
          <w:i/>
          <w:sz w:val="24"/>
          <w:szCs w:val="24"/>
        </w:rPr>
        <w:t>UNESCO</w:t>
      </w:r>
      <w:r w:rsidRPr="003B2A63">
        <w:rPr>
          <w:rFonts w:cs="Arial"/>
          <w:sz w:val="24"/>
          <w:szCs w:val="24"/>
        </w:rPr>
        <w:t>, 2018). In comparison (</w:t>
      </w:r>
      <w:proofErr w:type="spellStart"/>
      <w:r w:rsidRPr="003B2A63">
        <w:rPr>
          <w:rFonts w:cs="Arial"/>
          <w:sz w:val="24"/>
          <w:szCs w:val="24"/>
        </w:rPr>
        <w:t>Stromquist</w:t>
      </w:r>
      <w:proofErr w:type="spellEnd"/>
      <w:r w:rsidRPr="003B2A63">
        <w:rPr>
          <w:rFonts w:cs="Arial"/>
          <w:sz w:val="24"/>
          <w:szCs w:val="24"/>
        </w:rPr>
        <w:t>, 2006, p. 141) found that despite social feminism being dominant in Britain, both social and radical feminists perspectives express the detection of limitations for female’s conditions to be improved throughout education. However (</w:t>
      </w:r>
      <w:proofErr w:type="spellStart"/>
      <w:r w:rsidRPr="003B2A63">
        <w:rPr>
          <w:rFonts w:cs="Arial"/>
          <w:sz w:val="24"/>
          <w:szCs w:val="24"/>
        </w:rPr>
        <w:t>Stromquist</w:t>
      </w:r>
      <w:proofErr w:type="spellEnd"/>
      <w:r w:rsidRPr="003B2A63">
        <w:rPr>
          <w:rFonts w:cs="Arial"/>
          <w:sz w:val="24"/>
          <w:szCs w:val="24"/>
        </w:rPr>
        <w:t xml:space="preserve">, 2006, p. 141) argues that women-ran institutions are identified as being the most likely to provide educational and subsequently social change for females, while incorporating a positive milestone away from female subordination. </w:t>
      </w:r>
      <w:r w:rsidRPr="003B2A63">
        <w:rPr>
          <w:sz w:val="24"/>
          <w:szCs w:val="24"/>
        </w:rPr>
        <w:t xml:space="preserve">The Stereotype Content Model [SCM] adapted from Fiske </w:t>
      </w:r>
      <w:r w:rsidRPr="003B2A63">
        <w:rPr>
          <w:i/>
          <w:sz w:val="24"/>
          <w:szCs w:val="24"/>
        </w:rPr>
        <w:t xml:space="preserve">et al; </w:t>
      </w:r>
      <w:r w:rsidRPr="003B2A63">
        <w:rPr>
          <w:sz w:val="24"/>
          <w:szCs w:val="24"/>
        </w:rPr>
        <w:t>perceives feminists as envious prejudice; a perceived combinational level of warmth and competency against the SCM, describes feminists as having emotions similar to jealousy and envy, as cited by (</w:t>
      </w:r>
      <w:proofErr w:type="spellStart"/>
      <w:r w:rsidRPr="003B2A63">
        <w:rPr>
          <w:i/>
          <w:sz w:val="24"/>
          <w:szCs w:val="24"/>
        </w:rPr>
        <w:t>Schwind</w:t>
      </w:r>
      <w:proofErr w:type="spellEnd"/>
      <w:r w:rsidRPr="003B2A63">
        <w:rPr>
          <w:sz w:val="24"/>
          <w:szCs w:val="24"/>
        </w:rPr>
        <w:t xml:space="preserve">, 2019). This complies as feminists are fighting a battle to close the gaps of inequality, as mentioned by </w:t>
      </w:r>
      <w:r w:rsidRPr="003B2A63">
        <w:rPr>
          <w:rFonts w:cs="Arial"/>
          <w:sz w:val="24"/>
          <w:szCs w:val="24"/>
        </w:rPr>
        <w:t>(</w:t>
      </w:r>
      <w:proofErr w:type="spellStart"/>
      <w:r w:rsidRPr="003B2A63">
        <w:rPr>
          <w:rFonts w:cs="Arial"/>
          <w:sz w:val="24"/>
          <w:szCs w:val="24"/>
        </w:rPr>
        <w:t>Stromquist</w:t>
      </w:r>
      <w:proofErr w:type="spellEnd"/>
      <w:r w:rsidRPr="003B2A63">
        <w:rPr>
          <w:rFonts w:cs="Arial"/>
          <w:sz w:val="24"/>
          <w:szCs w:val="24"/>
        </w:rPr>
        <w:t>, 2006, p. 141).</w:t>
      </w:r>
    </w:p>
    <w:p w:rsidR="00B663BB" w:rsidRPr="003B2A63" w:rsidRDefault="00B663BB" w:rsidP="00B663BB">
      <w:pPr>
        <w:jc w:val="both"/>
        <w:rPr>
          <w:sz w:val="24"/>
          <w:szCs w:val="24"/>
        </w:rPr>
      </w:pPr>
      <w:r w:rsidRPr="003B2A63">
        <w:rPr>
          <w:sz w:val="24"/>
          <w:szCs w:val="24"/>
        </w:rPr>
        <w:t>Functionalists such as Durkheim believe in the institution of education and that it can help create social solidarity through individuals gaining a sense of community by sharing the same values, cited by (Martin and Pickering, 2012, p.24) this is especially viewed when discussing the concept of the Education for Sustainability and Development for Global Citizens, [ESDGC] a global initiative which was set out in the First Earth Summit in Johannesburg in 2002, cited by the (</w:t>
      </w:r>
      <w:r w:rsidRPr="003B2A63">
        <w:rPr>
          <w:i/>
          <w:sz w:val="24"/>
          <w:szCs w:val="24"/>
        </w:rPr>
        <w:t>United Nations</w:t>
      </w:r>
      <w:r w:rsidRPr="003B2A63">
        <w:rPr>
          <w:sz w:val="24"/>
          <w:szCs w:val="24"/>
        </w:rPr>
        <w:t>, 2019). It understands the need for children to be appropriately protected and prepared for the world, to develop ethically informed global citizens, cited by (</w:t>
      </w:r>
      <w:r w:rsidRPr="003B2A63">
        <w:rPr>
          <w:i/>
          <w:sz w:val="24"/>
          <w:szCs w:val="24"/>
        </w:rPr>
        <w:t>The Welsh Government</w:t>
      </w:r>
      <w:r w:rsidRPr="003B2A63">
        <w:rPr>
          <w:sz w:val="24"/>
          <w:szCs w:val="24"/>
        </w:rPr>
        <w:t>, 2017). (</w:t>
      </w:r>
      <w:r w:rsidRPr="003B2A63">
        <w:rPr>
          <w:i/>
          <w:sz w:val="24"/>
          <w:szCs w:val="24"/>
        </w:rPr>
        <w:t>The Welsh Government of Wales Act</w:t>
      </w:r>
      <w:r w:rsidRPr="003B2A63">
        <w:rPr>
          <w:sz w:val="24"/>
          <w:szCs w:val="24"/>
        </w:rPr>
        <w:t>, 1998) stated that educational institutions are duty bearers to promote sustainable development, in awareness of this statement the Welsh Government in relation to the UNCRC adopted the promotion of the ESDGC throughout practice. As supported by the Welsh inspectorate, (</w:t>
      </w:r>
      <w:proofErr w:type="spellStart"/>
      <w:r w:rsidRPr="003B2A63">
        <w:rPr>
          <w:i/>
          <w:sz w:val="24"/>
          <w:szCs w:val="24"/>
        </w:rPr>
        <w:t>Estyn</w:t>
      </w:r>
      <w:proofErr w:type="spellEnd"/>
      <w:r w:rsidRPr="003B2A63">
        <w:rPr>
          <w:sz w:val="24"/>
          <w:szCs w:val="24"/>
        </w:rPr>
        <w:t xml:space="preserve">, 2014) who now require inspection of the educational </w:t>
      </w:r>
      <w:r w:rsidRPr="003B2A63">
        <w:rPr>
          <w:sz w:val="24"/>
          <w:szCs w:val="24"/>
        </w:rPr>
        <w:lastRenderedPageBreak/>
        <w:t>institution’s promotion and implementation of the ESDGC. Cole (2008) comments that practitioners were expected to engage children in culturally diverse experiences which will enable children to evaluate their own values; Resulting in the children gaining the skills to challenge injustice, discrimination and prejudice, cited by Cole (2008). For example, in practice; practitioners incorporate the ESDGC into the curriculum and the (</w:t>
      </w:r>
      <w:r w:rsidRPr="003B2A63">
        <w:rPr>
          <w:i/>
          <w:sz w:val="24"/>
          <w:szCs w:val="24"/>
        </w:rPr>
        <w:t>Inclusion Policy</w:t>
      </w:r>
      <w:r w:rsidRPr="003B2A63">
        <w:rPr>
          <w:sz w:val="24"/>
          <w:szCs w:val="24"/>
        </w:rPr>
        <w:t>, 2019). The policy also encourages practitioners to display key information regarding the ESDGC in an eye catching and desirable way. Another example of promotion of the ESDGC is the work educational institutions can contribute to each other, as a form of globalisation. In practice, the educational institution has strong ties with other institutions in Italy, Africa and Poland, the work that practitioners do to aid these institutions give the children within the institution awareness and knowledge of European and developing countries, with association to (</w:t>
      </w:r>
      <w:r w:rsidRPr="003B2A63">
        <w:rPr>
          <w:i/>
          <w:sz w:val="24"/>
          <w:szCs w:val="24"/>
        </w:rPr>
        <w:t>Mellon Educate</w:t>
      </w:r>
      <w:r w:rsidRPr="003B2A63">
        <w:rPr>
          <w:sz w:val="24"/>
          <w:szCs w:val="24"/>
        </w:rPr>
        <w:t>, 2019). Piaget’s theory (1989) of constructivism would support the hypothesis that through this process, the children are able to form connections by distinguishing similarities and differences between themselves and others around the world, Piaget’s constructionist view is evident here as the children are producing knowledge by connecting meaning to experience, cited by (</w:t>
      </w:r>
      <w:proofErr w:type="spellStart"/>
      <w:r w:rsidRPr="003B2A63">
        <w:rPr>
          <w:i/>
          <w:sz w:val="24"/>
          <w:szCs w:val="24"/>
        </w:rPr>
        <w:t>Mcleod</w:t>
      </w:r>
      <w:proofErr w:type="spellEnd"/>
      <w:r w:rsidRPr="003B2A63">
        <w:rPr>
          <w:sz w:val="24"/>
          <w:szCs w:val="24"/>
        </w:rPr>
        <w:t xml:space="preserve">, 2018). </w:t>
      </w:r>
    </w:p>
    <w:p w:rsidR="00B663BB" w:rsidRPr="003B2A63" w:rsidRDefault="00B663BB" w:rsidP="00B663BB">
      <w:pPr>
        <w:jc w:val="both"/>
        <w:rPr>
          <w:sz w:val="24"/>
          <w:szCs w:val="24"/>
        </w:rPr>
      </w:pPr>
      <w:r w:rsidRPr="003B2A63">
        <w:rPr>
          <w:sz w:val="24"/>
          <w:szCs w:val="24"/>
        </w:rPr>
        <w:t>Increasing awareness and implementation of the ESDGC will finally result in education sharing the capabilities of being ethically informed citizens to the children receiving it. Donaldson (2015) also believes in this process, as his proposal is that the curriculum should shift towards implementing four purposeful areas which are all underpinned by the ESDGC and strives to the shared goal of preparing children to be ethically informed citizens of the world. (</w:t>
      </w:r>
      <w:r w:rsidRPr="003B2A63">
        <w:rPr>
          <w:i/>
          <w:sz w:val="24"/>
          <w:szCs w:val="24"/>
        </w:rPr>
        <w:t xml:space="preserve">Welsh </w:t>
      </w:r>
      <w:r w:rsidRPr="003B2A63">
        <w:rPr>
          <w:sz w:val="24"/>
          <w:szCs w:val="24"/>
        </w:rPr>
        <w:t xml:space="preserve">Government, 2017) stipulates that Donaldson’s Successful Futures (2015) is the way forward for education in Wales; Donaldson reports that due to technology, people and society are changing, so do our teaching strategies and methods need to, cited by Donaldson (2015). </w:t>
      </w:r>
    </w:p>
    <w:p w:rsidR="00A46AD9" w:rsidRPr="00B663BB" w:rsidRDefault="00B663BB" w:rsidP="00B663BB">
      <w:pPr>
        <w:jc w:val="both"/>
        <w:rPr>
          <w:sz w:val="24"/>
          <w:szCs w:val="24"/>
        </w:rPr>
      </w:pPr>
      <w:r w:rsidRPr="003B2A63">
        <w:rPr>
          <w:sz w:val="24"/>
          <w:szCs w:val="24"/>
        </w:rPr>
        <w:t>In conclusion, it is evident that children have the right to education, irrespective of gender, age, religion or race as cited by (</w:t>
      </w:r>
      <w:r w:rsidRPr="003B2A63">
        <w:rPr>
          <w:i/>
          <w:sz w:val="24"/>
          <w:szCs w:val="24"/>
        </w:rPr>
        <w:t>Save the Children</w:t>
      </w:r>
      <w:r w:rsidRPr="003B2A63">
        <w:rPr>
          <w:sz w:val="24"/>
          <w:szCs w:val="24"/>
        </w:rPr>
        <w:t xml:space="preserve">, 2018) however it is also evident from this assignment that countless children are still not receiving this basic human right. Global initiatives have failed to create global prosperity; therefore the implementation of the Agenda 2030 is imperative. </w:t>
      </w:r>
      <w:proofErr w:type="spellStart"/>
      <w:r w:rsidRPr="003B2A63">
        <w:rPr>
          <w:sz w:val="24"/>
          <w:szCs w:val="24"/>
        </w:rPr>
        <w:t>Benavot</w:t>
      </w:r>
      <w:proofErr w:type="spellEnd"/>
      <w:r w:rsidRPr="003B2A63">
        <w:rPr>
          <w:sz w:val="24"/>
          <w:szCs w:val="24"/>
        </w:rPr>
        <w:t xml:space="preserve"> (2016) states that the reform policies need to explore equity, efficiency and effectiveness, (</w:t>
      </w:r>
      <w:r w:rsidRPr="003B2A63">
        <w:rPr>
          <w:i/>
          <w:sz w:val="24"/>
          <w:szCs w:val="24"/>
        </w:rPr>
        <w:t>UNESCO</w:t>
      </w:r>
      <w:r w:rsidRPr="003B2A63">
        <w:rPr>
          <w:sz w:val="24"/>
          <w:szCs w:val="24"/>
        </w:rPr>
        <w:t xml:space="preserve">, 2016) supports this by stating we must act with a sense of urgency and commitment to protect the lives and rights of the child. Devised from the research, some recommendations for a way forward are; educational resources translated in different languages and increased technology provisions, these according to </w:t>
      </w:r>
      <w:r w:rsidRPr="003B2A63">
        <w:rPr>
          <w:rFonts w:cs="Arial"/>
          <w:sz w:val="24"/>
          <w:szCs w:val="24"/>
        </w:rPr>
        <w:t>(</w:t>
      </w:r>
      <w:r w:rsidRPr="003B2A63">
        <w:rPr>
          <w:rFonts w:cs="Arial"/>
          <w:i/>
          <w:sz w:val="24"/>
          <w:szCs w:val="24"/>
        </w:rPr>
        <w:t>Education for Ethiopia</w:t>
      </w:r>
      <w:r w:rsidRPr="003B2A63">
        <w:rPr>
          <w:rFonts w:cs="Arial"/>
          <w:sz w:val="24"/>
          <w:szCs w:val="24"/>
        </w:rPr>
        <w:t>, 2018)</w:t>
      </w:r>
      <w:r w:rsidRPr="003B2A63">
        <w:rPr>
          <w:sz w:val="24"/>
          <w:szCs w:val="24"/>
        </w:rPr>
        <w:t xml:space="preserve"> will enable children to gain further knowledge, increasing their chances of prosperity. As argued by (</w:t>
      </w:r>
      <w:r w:rsidRPr="003B2A63">
        <w:rPr>
          <w:i/>
          <w:sz w:val="24"/>
          <w:szCs w:val="24"/>
        </w:rPr>
        <w:t xml:space="preserve">Education in Ethiopia, </w:t>
      </w:r>
      <w:r w:rsidRPr="003B2A63">
        <w:rPr>
          <w:sz w:val="24"/>
          <w:szCs w:val="24"/>
        </w:rPr>
        <w:t>2015) the children and their families are eager to prosper, therefore the UNCRC and ACRWR have their work cut out for them to continue to strive and battle for what is right. Although as (</w:t>
      </w:r>
      <w:proofErr w:type="spellStart"/>
      <w:r w:rsidRPr="003B2A63">
        <w:rPr>
          <w:sz w:val="24"/>
          <w:szCs w:val="24"/>
        </w:rPr>
        <w:t>Ekundayo</w:t>
      </w:r>
      <w:proofErr w:type="spellEnd"/>
      <w:r w:rsidRPr="003B2A63">
        <w:rPr>
          <w:sz w:val="24"/>
          <w:szCs w:val="24"/>
        </w:rPr>
        <w:t>, 2015, p.16) states, both the UNCRC and ACRWC have impacted greatly on millions of children’s lives worldwide, recognising them as holders of rights and contributors to wider society</w:t>
      </w:r>
      <w:r>
        <w:rPr>
          <w:sz w:val="24"/>
          <w:szCs w:val="24"/>
        </w:rPr>
        <w:t xml:space="preserve">. </w:t>
      </w:r>
    </w:p>
    <w:p w:rsidR="0029463D" w:rsidRPr="007A600B" w:rsidRDefault="0029463D" w:rsidP="0029463D">
      <w:pPr>
        <w:spacing w:line="240" w:lineRule="auto"/>
        <w:rPr>
          <w:b/>
          <w:sz w:val="24"/>
          <w:szCs w:val="24"/>
          <w:u w:val="single"/>
        </w:rPr>
      </w:pPr>
      <w:r w:rsidRPr="007A600B">
        <w:rPr>
          <w:b/>
          <w:sz w:val="24"/>
          <w:szCs w:val="24"/>
          <w:u w:val="single"/>
        </w:rPr>
        <w:lastRenderedPageBreak/>
        <w:t>Global Perspectives on Education</w:t>
      </w:r>
    </w:p>
    <w:p w:rsidR="0029463D" w:rsidRPr="007A600B" w:rsidRDefault="0029463D" w:rsidP="0029463D">
      <w:pPr>
        <w:spacing w:line="240" w:lineRule="auto"/>
        <w:rPr>
          <w:b/>
          <w:sz w:val="24"/>
          <w:szCs w:val="24"/>
          <w:u w:val="single"/>
        </w:rPr>
      </w:pPr>
      <w:r w:rsidRPr="007A600B">
        <w:rPr>
          <w:b/>
          <w:sz w:val="24"/>
          <w:szCs w:val="24"/>
          <w:u w:val="single"/>
        </w:rPr>
        <w:t xml:space="preserve">Reference List </w:t>
      </w:r>
    </w:p>
    <w:p w:rsidR="0029463D" w:rsidRDefault="0029463D" w:rsidP="0029463D">
      <w:pPr>
        <w:pStyle w:val="ListParagraph"/>
        <w:numPr>
          <w:ilvl w:val="0"/>
          <w:numId w:val="1"/>
        </w:numPr>
        <w:spacing w:after="0" w:line="240" w:lineRule="auto"/>
        <w:rPr>
          <w:rFonts w:eastAsia="Calibri" w:cs="Arial"/>
          <w:sz w:val="24"/>
          <w:szCs w:val="24"/>
          <w:lang w:val="en-US"/>
        </w:rPr>
      </w:pPr>
      <w:r>
        <w:rPr>
          <w:rFonts w:eastAsia="Calibri" w:cs="Arial"/>
          <w:sz w:val="24"/>
          <w:szCs w:val="24"/>
          <w:lang w:val="en-US"/>
        </w:rPr>
        <w:t xml:space="preserve">Adam, R. (2014) </w:t>
      </w:r>
      <w:r>
        <w:rPr>
          <w:rFonts w:eastAsia="Calibri" w:cs="Arial"/>
          <w:i/>
          <w:sz w:val="24"/>
          <w:szCs w:val="24"/>
          <w:lang w:val="en-US"/>
        </w:rPr>
        <w:t xml:space="preserve">School Minister praises pushy parents and complains of UK’s low aspirations. </w:t>
      </w:r>
      <w:r>
        <w:rPr>
          <w:rFonts w:eastAsia="Calibri" w:cs="Arial"/>
          <w:sz w:val="24"/>
          <w:szCs w:val="24"/>
          <w:lang w:val="en-US"/>
        </w:rPr>
        <w:t xml:space="preserve">Available at: </w:t>
      </w:r>
      <w:hyperlink r:id="rId8" w:history="1">
        <w:r w:rsidRPr="006A2067">
          <w:rPr>
            <w:rStyle w:val="Hyperlink"/>
            <w:sz w:val="24"/>
          </w:rPr>
          <w:t>https://www.theguardian.com/politics/2014/feb/26/schools-minister-pushy-parents-uk-low-aspirations</w:t>
        </w:r>
      </w:hyperlink>
      <w:r w:rsidRPr="006A2067">
        <w:rPr>
          <w:sz w:val="24"/>
        </w:rPr>
        <w:t xml:space="preserve"> (Accessed 18th April 2019). </w:t>
      </w:r>
      <w:r>
        <w:rPr>
          <w:sz w:val="24"/>
        </w:rPr>
        <w:br/>
      </w:r>
    </w:p>
    <w:p w:rsidR="0029463D" w:rsidRPr="00B02594" w:rsidRDefault="0029463D" w:rsidP="0029463D">
      <w:pPr>
        <w:pStyle w:val="ListParagraph"/>
        <w:numPr>
          <w:ilvl w:val="0"/>
          <w:numId w:val="1"/>
        </w:numPr>
        <w:spacing w:after="0" w:line="240" w:lineRule="auto"/>
        <w:rPr>
          <w:rFonts w:eastAsia="Calibri" w:cs="Arial"/>
          <w:sz w:val="24"/>
          <w:szCs w:val="24"/>
          <w:lang w:val="en-US"/>
        </w:rPr>
      </w:pPr>
      <w:r w:rsidRPr="008A2B01">
        <w:rPr>
          <w:rFonts w:eastAsia="Calibri" w:cs="Arial"/>
          <w:sz w:val="24"/>
          <w:szCs w:val="24"/>
          <w:lang w:val="en-US"/>
        </w:rPr>
        <w:t xml:space="preserve">African Union (2019) The African Charter on the Rights and Welfare of the Child (ACRWC). Available at: </w:t>
      </w:r>
      <w:hyperlink r:id="rId9" w:history="1">
        <w:r w:rsidRPr="008A2B01">
          <w:rPr>
            <w:rStyle w:val="Hyperlink"/>
            <w:sz w:val="24"/>
            <w:szCs w:val="24"/>
          </w:rPr>
          <w:t>https://au.int/en/documents-45</w:t>
        </w:r>
      </w:hyperlink>
      <w:r w:rsidRPr="008A2B01">
        <w:rPr>
          <w:sz w:val="24"/>
          <w:szCs w:val="24"/>
        </w:rPr>
        <w:t xml:space="preserve"> (Accessed 10</w:t>
      </w:r>
      <w:r w:rsidRPr="008A2B01">
        <w:rPr>
          <w:sz w:val="24"/>
          <w:szCs w:val="24"/>
          <w:vertAlign w:val="superscript"/>
        </w:rPr>
        <w:t>th</w:t>
      </w:r>
      <w:r w:rsidRPr="008A2B01">
        <w:rPr>
          <w:sz w:val="24"/>
          <w:szCs w:val="24"/>
        </w:rPr>
        <w:t xml:space="preserve"> April 2019).</w:t>
      </w:r>
    </w:p>
    <w:p w:rsidR="0029463D" w:rsidRPr="00B02594" w:rsidRDefault="0029463D" w:rsidP="0029463D">
      <w:pPr>
        <w:pStyle w:val="ListParagraph"/>
        <w:spacing w:after="0" w:line="240" w:lineRule="auto"/>
        <w:rPr>
          <w:rFonts w:eastAsia="Calibri" w:cs="Arial"/>
          <w:sz w:val="24"/>
          <w:szCs w:val="24"/>
          <w:lang w:val="en-US"/>
        </w:rPr>
      </w:pPr>
    </w:p>
    <w:p w:rsidR="0029463D" w:rsidRPr="00450F42" w:rsidRDefault="0029463D" w:rsidP="0029463D">
      <w:pPr>
        <w:pStyle w:val="ListParagraph"/>
        <w:numPr>
          <w:ilvl w:val="0"/>
          <w:numId w:val="1"/>
        </w:numPr>
        <w:spacing w:after="0" w:line="240" w:lineRule="auto"/>
        <w:rPr>
          <w:rFonts w:eastAsia="Calibri" w:cs="Arial"/>
          <w:sz w:val="24"/>
          <w:szCs w:val="24"/>
          <w:lang w:val="en-US"/>
        </w:rPr>
      </w:pPr>
      <w:r>
        <w:t xml:space="preserve">Aikman, S. and </w:t>
      </w:r>
      <w:proofErr w:type="spellStart"/>
      <w:r>
        <w:t>Unterhalter</w:t>
      </w:r>
      <w:proofErr w:type="spellEnd"/>
      <w:r>
        <w:t>, E. (</w:t>
      </w:r>
      <w:proofErr w:type="spellStart"/>
      <w:r>
        <w:t>eds</w:t>
      </w:r>
      <w:proofErr w:type="spellEnd"/>
      <w:r>
        <w:t>) (2005) Beyond Access: Transforming Policy and Practice for Gender Equality in Education, Oxford: Oxfam</w:t>
      </w:r>
      <w:r>
        <w:rPr>
          <w:sz w:val="24"/>
          <w:szCs w:val="24"/>
        </w:rPr>
        <w:br/>
      </w:r>
    </w:p>
    <w:p w:rsidR="0029463D" w:rsidRPr="00450F42" w:rsidRDefault="0029463D" w:rsidP="0029463D">
      <w:pPr>
        <w:pStyle w:val="ListParagraph"/>
        <w:numPr>
          <w:ilvl w:val="0"/>
          <w:numId w:val="1"/>
        </w:numPr>
        <w:spacing w:after="0" w:line="240" w:lineRule="auto"/>
        <w:rPr>
          <w:rFonts w:eastAsia="Calibri" w:cs="Arial"/>
          <w:sz w:val="24"/>
          <w:szCs w:val="24"/>
          <w:lang w:val="en-US"/>
        </w:rPr>
      </w:pPr>
      <w:proofErr w:type="spellStart"/>
      <w:r>
        <w:rPr>
          <w:sz w:val="24"/>
          <w:szCs w:val="24"/>
        </w:rPr>
        <w:t>Benavot</w:t>
      </w:r>
      <w:proofErr w:type="spellEnd"/>
      <w:r>
        <w:rPr>
          <w:sz w:val="24"/>
          <w:szCs w:val="24"/>
        </w:rPr>
        <w:t xml:space="preserve">, A. (2016) </w:t>
      </w:r>
      <w:r>
        <w:rPr>
          <w:i/>
          <w:sz w:val="24"/>
          <w:szCs w:val="24"/>
        </w:rPr>
        <w:t xml:space="preserve">Financing the Education 2030 Agenda: Key issues and challenges for national planners. </w:t>
      </w:r>
      <w:r>
        <w:rPr>
          <w:sz w:val="24"/>
          <w:szCs w:val="24"/>
        </w:rPr>
        <w:t xml:space="preserve">Available at: </w:t>
      </w:r>
      <w:hyperlink r:id="rId10" w:history="1">
        <w:r>
          <w:rPr>
            <w:rStyle w:val="Hyperlink"/>
          </w:rPr>
          <w:t>file:///C:/Users/Jono/AppData/Local/Temp/Rar$DIa4128.7800/Financing%20the%20Education%202030%20Agenda.pdf</w:t>
        </w:r>
      </w:hyperlink>
      <w:r>
        <w:t xml:space="preserve"> (Accessed 25</w:t>
      </w:r>
      <w:r w:rsidRPr="00450F42">
        <w:rPr>
          <w:vertAlign w:val="superscript"/>
        </w:rPr>
        <w:t>th</w:t>
      </w:r>
      <w:r>
        <w:t xml:space="preserve"> April 2019). </w:t>
      </w:r>
      <w:r w:rsidRPr="00450F42">
        <w:rPr>
          <w:sz w:val="24"/>
          <w:szCs w:val="24"/>
        </w:rPr>
        <w:br/>
      </w:r>
    </w:p>
    <w:p w:rsidR="0029463D" w:rsidRPr="00CB635F" w:rsidRDefault="0029463D" w:rsidP="0029463D">
      <w:pPr>
        <w:pStyle w:val="ListParagraph"/>
        <w:numPr>
          <w:ilvl w:val="0"/>
          <w:numId w:val="1"/>
        </w:numPr>
        <w:spacing w:after="0" w:line="240" w:lineRule="auto"/>
        <w:rPr>
          <w:rFonts w:eastAsia="Calibri" w:cs="Arial"/>
          <w:sz w:val="24"/>
          <w:szCs w:val="24"/>
          <w:lang w:val="en-US"/>
        </w:rPr>
      </w:pPr>
      <w:proofErr w:type="spellStart"/>
      <w:r>
        <w:rPr>
          <w:sz w:val="24"/>
          <w:szCs w:val="24"/>
        </w:rPr>
        <w:t>Bueren</w:t>
      </w:r>
      <w:proofErr w:type="spellEnd"/>
      <w:r>
        <w:rPr>
          <w:sz w:val="24"/>
          <w:szCs w:val="24"/>
        </w:rPr>
        <w:t xml:space="preserve">, V. (1998) </w:t>
      </w:r>
      <w:proofErr w:type="gramStart"/>
      <w:r>
        <w:rPr>
          <w:i/>
          <w:sz w:val="24"/>
          <w:szCs w:val="24"/>
        </w:rPr>
        <w:t>The</w:t>
      </w:r>
      <w:proofErr w:type="gramEnd"/>
      <w:r>
        <w:rPr>
          <w:i/>
          <w:sz w:val="24"/>
          <w:szCs w:val="24"/>
        </w:rPr>
        <w:t xml:space="preserve"> International Law on the Rights of the Child. </w:t>
      </w:r>
      <w:proofErr w:type="spellStart"/>
      <w:r>
        <w:rPr>
          <w:sz w:val="24"/>
          <w:szCs w:val="24"/>
        </w:rPr>
        <w:t>Martinus</w:t>
      </w:r>
      <w:proofErr w:type="spellEnd"/>
      <w:r>
        <w:rPr>
          <w:sz w:val="24"/>
          <w:szCs w:val="24"/>
        </w:rPr>
        <w:t xml:space="preserve"> </w:t>
      </w:r>
      <w:proofErr w:type="spellStart"/>
      <w:r>
        <w:rPr>
          <w:sz w:val="24"/>
          <w:szCs w:val="24"/>
        </w:rPr>
        <w:t>Nijhoff</w:t>
      </w:r>
      <w:proofErr w:type="spellEnd"/>
      <w:r>
        <w:rPr>
          <w:sz w:val="24"/>
          <w:szCs w:val="24"/>
        </w:rPr>
        <w:t xml:space="preserve"> Publishers. </w:t>
      </w:r>
      <w:r w:rsidRPr="00CB635F">
        <w:rPr>
          <w:sz w:val="24"/>
          <w:szCs w:val="24"/>
        </w:rPr>
        <w:br/>
      </w:r>
    </w:p>
    <w:p w:rsidR="0029463D" w:rsidRPr="008A2B01" w:rsidRDefault="0029463D" w:rsidP="0029463D">
      <w:pPr>
        <w:pStyle w:val="ListParagraph"/>
        <w:numPr>
          <w:ilvl w:val="0"/>
          <w:numId w:val="1"/>
        </w:numPr>
        <w:spacing w:after="0" w:line="240" w:lineRule="auto"/>
        <w:rPr>
          <w:rFonts w:eastAsia="Calibri" w:cs="Arial"/>
          <w:sz w:val="24"/>
          <w:szCs w:val="24"/>
          <w:lang w:val="en-US"/>
        </w:rPr>
      </w:pPr>
      <w:proofErr w:type="spellStart"/>
      <w:r w:rsidRPr="008A2B01">
        <w:rPr>
          <w:rFonts w:eastAsia="Calibri" w:cs="Arial"/>
          <w:sz w:val="24"/>
          <w:szCs w:val="24"/>
          <w:lang w:val="en-US"/>
        </w:rPr>
        <w:t>Cregan</w:t>
      </w:r>
      <w:proofErr w:type="spellEnd"/>
      <w:r w:rsidRPr="008A2B01">
        <w:rPr>
          <w:rFonts w:eastAsia="Calibri" w:cs="Arial"/>
          <w:sz w:val="24"/>
          <w:szCs w:val="24"/>
          <w:lang w:val="en-US"/>
        </w:rPr>
        <w:t xml:space="preserve">, K. &amp; Cuthbert, D. (2014) </w:t>
      </w:r>
      <w:r w:rsidRPr="008A2B01">
        <w:rPr>
          <w:rFonts w:eastAsia="Calibri" w:cs="Arial"/>
          <w:i/>
          <w:sz w:val="24"/>
          <w:szCs w:val="24"/>
          <w:lang w:val="en-US"/>
        </w:rPr>
        <w:t>Global Childhoods: Issues and Debates</w:t>
      </w:r>
      <w:r w:rsidRPr="008A2B01">
        <w:rPr>
          <w:rFonts w:eastAsia="Calibri" w:cs="Arial"/>
          <w:sz w:val="24"/>
          <w:szCs w:val="24"/>
          <w:lang w:val="en-US"/>
        </w:rPr>
        <w:t>. London: Sage.</w:t>
      </w:r>
      <w:r>
        <w:rPr>
          <w:rFonts w:eastAsia="Calibri" w:cs="Arial"/>
          <w:sz w:val="24"/>
          <w:szCs w:val="24"/>
          <w:lang w:val="en-US"/>
        </w:rPr>
        <w:br/>
      </w:r>
    </w:p>
    <w:p w:rsidR="0029463D" w:rsidRDefault="0029463D" w:rsidP="0029463D">
      <w:pPr>
        <w:pStyle w:val="ListParagraph"/>
        <w:numPr>
          <w:ilvl w:val="0"/>
          <w:numId w:val="1"/>
        </w:numPr>
        <w:spacing w:line="240" w:lineRule="auto"/>
        <w:rPr>
          <w:sz w:val="24"/>
          <w:szCs w:val="24"/>
        </w:rPr>
      </w:pPr>
      <w:r w:rsidRPr="008A2B01">
        <w:rPr>
          <w:sz w:val="24"/>
          <w:szCs w:val="24"/>
        </w:rPr>
        <w:t xml:space="preserve">Charter for Comparison (2017) </w:t>
      </w:r>
      <w:r w:rsidRPr="008A2B01">
        <w:rPr>
          <w:i/>
          <w:sz w:val="24"/>
          <w:szCs w:val="24"/>
        </w:rPr>
        <w:t>Declarations of Children’s Rights</w:t>
      </w:r>
      <w:r w:rsidRPr="008A2B01">
        <w:rPr>
          <w:sz w:val="24"/>
          <w:szCs w:val="24"/>
        </w:rPr>
        <w:t xml:space="preserve">. Available at: </w:t>
      </w:r>
      <w:hyperlink r:id="rId11" w:history="1">
        <w:r w:rsidRPr="008A2B01">
          <w:rPr>
            <w:rStyle w:val="Hyperlink"/>
            <w:sz w:val="24"/>
            <w:szCs w:val="24"/>
          </w:rPr>
          <w:t>https://charterforcompassion.org/women-and-girls-resources/declaration-of-children-s-rights</w:t>
        </w:r>
      </w:hyperlink>
      <w:r w:rsidRPr="008A2B01">
        <w:rPr>
          <w:sz w:val="24"/>
          <w:szCs w:val="24"/>
        </w:rPr>
        <w:t xml:space="preserve"> (Accessed 17th April 2019).</w:t>
      </w:r>
      <w:r>
        <w:rPr>
          <w:sz w:val="24"/>
          <w:szCs w:val="24"/>
        </w:rPr>
        <w:br/>
      </w:r>
    </w:p>
    <w:p w:rsidR="0029463D" w:rsidRPr="00B455C7" w:rsidRDefault="0029463D" w:rsidP="0029463D">
      <w:pPr>
        <w:pStyle w:val="ListParagraph"/>
        <w:numPr>
          <w:ilvl w:val="0"/>
          <w:numId w:val="1"/>
        </w:numPr>
        <w:spacing w:line="240" w:lineRule="auto"/>
        <w:rPr>
          <w:sz w:val="24"/>
          <w:szCs w:val="24"/>
        </w:rPr>
      </w:pPr>
      <w:proofErr w:type="spellStart"/>
      <w:r>
        <w:rPr>
          <w:sz w:val="24"/>
          <w:szCs w:val="24"/>
        </w:rPr>
        <w:t>Coldeway</w:t>
      </w:r>
      <w:proofErr w:type="spellEnd"/>
      <w:r>
        <w:rPr>
          <w:sz w:val="24"/>
          <w:szCs w:val="24"/>
        </w:rPr>
        <w:t xml:space="preserve">, D. (2018) </w:t>
      </w:r>
      <w:r>
        <w:rPr>
          <w:i/>
          <w:sz w:val="24"/>
          <w:szCs w:val="24"/>
        </w:rPr>
        <w:t xml:space="preserve">Teacher in </w:t>
      </w:r>
      <w:proofErr w:type="spellStart"/>
      <w:r>
        <w:rPr>
          <w:i/>
          <w:sz w:val="24"/>
          <w:szCs w:val="24"/>
        </w:rPr>
        <w:t>Ghania</w:t>
      </w:r>
      <w:proofErr w:type="spellEnd"/>
      <w:r>
        <w:rPr>
          <w:i/>
          <w:sz w:val="24"/>
          <w:szCs w:val="24"/>
        </w:rPr>
        <w:t xml:space="preserve"> who used blackboard to explain computers gets some Microsoft love. </w:t>
      </w:r>
      <w:r>
        <w:rPr>
          <w:sz w:val="24"/>
          <w:szCs w:val="24"/>
        </w:rPr>
        <w:t xml:space="preserve">Available at: </w:t>
      </w:r>
      <w:hyperlink r:id="rId12" w:history="1">
        <w:r>
          <w:rPr>
            <w:rStyle w:val="Hyperlink"/>
          </w:rPr>
          <w:t>https://techcrunch.com/2018/03/15/teacher-in-ghana-who-used-blackboard-to-explain-computers-gets-some-microsoft-love/?guccounter=1&amp;guce_referrer_us=aHR0cHM6Ly93d3cuZ29vZ2xlLmNvbS8&amp;guce_referrer_cs=wrpU8N-PJ2VofdBWQRW3pw</w:t>
        </w:r>
      </w:hyperlink>
      <w:r>
        <w:t xml:space="preserve"> (Accessed 10</w:t>
      </w:r>
      <w:r w:rsidRPr="00E060EF">
        <w:rPr>
          <w:vertAlign w:val="superscript"/>
        </w:rPr>
        <w:t>th</w:t>
      </w:r>
      <w:r>
        <w:t xml:space="preserve"> April 2019). </w:t>
      </w:r>
      <w:r>
        <w:br/>
      </w:r>
    </w:p>
    <w:p w:rsidR="0029463D" w:rsidRDefault="0029463D" w:rsidP="0029463D">
      <w:pPr>
        <w:pStyle w:val="ListParagraph"/>
        <w:numPr>
          <w:ilvl w:val="0"/>
          <w:numId w:val="1"/>
        </w:numPr>
        <w:spacing w:line="240" w:lineRule="auto"/>
        <w:rPr>
          <w:sz w:val="24"/>
          <w:szCs w:val="24"/>
        </w:rPr>
      </w:pPr>
      <w:r w:rsidRPr="00B455C7">
        <w:rPr>
          <w:sz w:val="24"/>
          <w:szCs w:val="24"/>
        </w:rPr>
        <w:t xml:space="preserve">Cole, R (2008) </w:t>
      </w:r>
      <w:r w:rsidRPr="00B455C7">
        <w:rPr>
          <w:i/>
          <w:iCs/>
          <w:sz w:val="24"/>
          <w:szCs w:val="24"/>
        </w:rPr>
        <w:t>Educating Everybody’s Children: Diverse Teaching Strategies for Diverse Learners, Revised and Expanded. 2</w:t>
      </w:r>
      <w:r w:rsidRPr="00B455C7">
        <w:rPr>
          <w:i/>
          <w:iCs/>
          <w:sz w:val="24"/>
          <w:szCs w:val="24"/>
          <w:vertAlign w:val="superscript"/>
        </w:rPr>
        <w:t>ND</w:t>
      </w:r>
      <w:r w:rsidRPr="00B455C7">
        <w:rPr>
          <w:i/>
          <w:iCs/>
          <w:sz w:val="24"/>
          <w:szCs w:val="24"/>
        </w:rPr>
        <w:t xml:space="preserve"> Edition. </w:t>
      </w:r>
      <w:r w:rsidRPr="00B455C7">
        <w:rPr>
          <w:sz w:val="24"/>
          <w:szCs w:val="24"/>
        </w:rPr>
        <w:t xml:space="preserve">USA: Association for Supervision and Curriculum Development. </w:t>
      </w:r>
    </w:p>
    <w:p w:rsidR="0029463D" w:rsidRDefault="0029463D" w:rsidP="0029463D">
      <w:pPr>
        <w:pStyle w:val="ListParagraph"/>
        <w:spacing w:line="240" w:lineRule="auto"/>
        <w:rPr>
          <w:sz w:val="24"/>
          <w:szCs w:val="24"/>
        </w:rPr>
      </w:pPr>
    </w:p>
    <w:p w:rsidR="0029463D" w:rsidRPr="00F72B8B" w:rsidRDefault="0029463D" w:rsidP="0029463D">
      <w:pPr>
        <w:pStyle w:val="ListParagraph"/>
        <w:numPr>
          <w:ilvl w:val="0"/>
          <w:numId w:val="1"/>
        </w:numPr>
        <w:spacing w:line="240" w:lineRule="auto"/>
        <w:rPr>
          <w:sz w:val="24"/>
          <w:szCs w:val="24"/>
        </w:rPr>
      </w:pPr>
      <w:r w:rsidRPr="008A2B01">
        <w:rPr>
          <w:sz w:val="24"/>
          <w:szCs w:val="24"/>
        </w:rPr>
        <w:t xml:space="preserve">Davis, L, J. (2017) </w:t>
      </w:r>
      <w:r>
        <w:rPr>
          <w:i/>
          <w:sz w:val="24"/>
          <w:szCs w:val="24"/>
        </w:rPr>
        <w:t>t</w:t>
      </w:r>
      <w:r w:rsidRPr="008A2B01">
        <w:rPr>
          <w:i/>
          <w:sz w:val="24"/>
          <w:szCs w:val="24"/>
        </w:rPr>
        <w:t>he Disability Studies Reader</w:t>
      </w:r>
      <w:r w:rsidRPr="008A2B01">
        <w:rPr>
          <w:sz w:val="24"/>
          <w:szCs w:val="24"/>
        </w:rPr>
        <w:t>. 5</w:t>
      </w:r>
      <w:r w:rsidRPr="008A2B01">
        <w:rPr>
          <w:sz w:val="24"/>
          <w:szCs w:val="24"/>
          <w:vertAlign w:val="superscript"/>
        </w:rPr>
        <w:t>th</w:t>
      </w:r>
      <w:r w:rsidRPr="008A2B01">
        <w:rPr>
          <w:sz w:val="24"/>
          <w:szCs w:val="24"/>
        </w:rPr>
        <w:t xml:space="preserve">Ed. New York: </w:t>
      </w:r>
      <w:proofErr w:type="spellStart"/>
      <w:r w:rsidRPr="008A2B01">
        <w:rPr>
          <w:sz w:val="24"/>
          <w:szCs w:val="24"/>
        </w:rPr>
        <w:t>Routledge</w:t>
      </w:r>
      <w:proofErr w:type="spellEnd"/>
      <w:r w:rsidRPr="008A2B01">
        <w:rPr>
          <w:sz w:val="24"/>
          <w:szCs w:val="24"/>
        </w:rPr>
        <w:t>.</w:t>
      </w:r>
      <w:r w:rsidRPr="00F72B8B">
        <w:rPr>
          <w:sz w:val="24"/>
          <w:szCs w:val="24"/>
        </w:rPr>
        <w:br/>
      </w:r>
    </w:p>
    <w:p w:rsidR="0029463D" w:rsidRDefault="0029463D" w:rsidP="0029463D">
      <w:pPr>
        <w:pStyle w:val="ListParagraph"/>
        <w:numPr>
          <w:ilvl w:val="0"/>
          <w:numId w:val="1"/>
        </w:numPr>
        <w:spacing w:line="240" w:lineRule="auto"/>
        <w:rPr>
          <w:sz w:val="24"/>
          <w:szCs w:val="24"/>
        </w:rPr>
      </w:pPr>
      <w:r w:rsidRPr="00AD5A54">
        <w:rPr>
          <w:sz w:val="24"/>
          <w:szCs w:val="24"/>
        </w:rPr>
        <w:t>Donaldson, G. (2015) Successful futures. Cardiff: Crown</w:t>
      </w:r>
    </w:p>
    <w:p w:rsidR="0029463D" w:rsidRDefault="0029463D" w:rsidP="0029463D">
      <w:pPr>
        <w:pStyle w:val="ListParagraph"/>
        <w:spacing w:line="240" w:lineRule="auto"/>
        <w:rPr>
          <w:sz w:val="24"/>
          <w:szCs w:val="24"/>
        </w:rPr>
      </w:pPr>
    </w:p>
    <w:p w:rsidR="0029463D" w:rsidRPr="00AD5A54" w:rsidRDefault="0029463D" w:rsidP="0029463D">
      <w:pPr>
        <w:pStyle w:val="ListParagraph"/>
        <w:numPr>
          <w:ilvl w:val="0"/>
          <w:numId w:val="1"/>
        </w:numPr>
        <w:spacing w:line="240" w:lineRule="auto"/>
        <w:rPr>
          <w:sz w:val="24"/>
          <w:szCs w:val="24"/>
        </w:rPr>
      </w:pPr>
      <w:proofErr w:type="spellStart"/>
      <w:r>
        <w:rPr>
          <w:sz w:val="24"/>
          <w:szCs w:val="24"/>
        </w:rPr>
        <w:t>Ekundayo</w:t>
      </w:r>
      <w:proofErr w:type="spellEnd"/>
      <w:r>
        <w:rPr>
          <w:sz w:val="24"/>
          <w:szCs w:val="24"/>
        </w:rPr>
        <w:t>, O. (2015) ‘</w:t>
      </w:r>
      <w:r>
        <w:t xml:space="preserve">Does the African Charter on the Rights and Welfare of the Child (ACRWC) only Underlines and Repeats the Convention on the Rights of the Child (CRC)’s Provisions?: Examining the Similarities and the Differences between the ACRWC and the CRC.’ </w:t>
      </w:r>
      <w:r>
        <w:rPr>
          <w:i/>
        </w:rPr>
        <w:t xml:space="preserve">International Journal of Humanities and Social Science. </w:t>
      </w:r>
      <w:r>
        <w:t xml:space="preserve">5(7), pp.1-16. </w:t>
      </w:r>
    </w:p>
    <w:p w:rsidR="0029463D" w:rsidRPr="009960DD" w:rsidRDefault="0029463D" w:rsidP="0029463D">
      <w:pPr>
        <w:pStyle w:val="ListParagraph"/>
        <w:spacing w:line="240" w:lineRule="auto"/>
        <w:rPr>
          <w:sz w:val="24"/>
          <w:szCs w:val="24"/>
        </w:rPr>
      </w:pPr>
    </w:p>
    <w:p w:rsidR="0029463D" w:rsidRPr="00AC6ADA" w:rsidRDefault="0029463D" w:rsidP="0029463D">
      <w:pPr>
        <w:pStyle w:val="ListParagraph"/>
        <w:numPr>
          <w:ilvl w:val="0"/>
          <w:numId w:val="1"/>
        </w:numPr>
        <w:spacing w:line="240" w:lineRule="auto"/>
        <w:rPr>
          <w:sz w:val="24"/>
          <w:szCs w:val="24"/>
        </w:rPr>
      </w:pPr>
      <w:proofErr w:type="spellStart"/>
      <w:r w:rsidRPr="00B455C7">
        <w:rPr>
          <w:sz w:val="24"/>
          <w:szCs w:val="24"/>
        </w:rPr>
        <w:lastRenderedPageBreak/>
        <w:t>Estyn</w:t>
      </w:r>
      <w:proofErr w:type="spellEnd"/>
      <w:r w:rsidRPr="00B455C7">
        <w:rPr>
          <w:sz w:val="24"/>
          <w:szCs w:val="24"/>
        </w:rPr>
        <w:t xml:space="preserve"> (2014) </w:t>
      </w:r>
      <w:r w:rsidRPr="00B455C7">
        <w:rPr>
          <w:i/>
          <w:iCs/>
          <w:sz w:val="24"/>
          <w:szCs w:val="24"/>
        </w:rPr>
        <w:t xml:space="preserve">Update on Inspecting Education for Sustainable Development and Global Citizenship in Schools. </w:t>
      </w:r>
      <w:r w:rsidRPr="00B455C7">
        <w:rPr>
          <w:sz w:val="24"/>
          <w:szCs w:val="24"/>
        </w:rPr>
        <w:t xml:space="preserve">Available at: </w:t>
      </w:r>
      <w:hyperlink r:id="rId13" w:history="1">
        <w:r w:rsidRPr="00B455C7">
          <w:rPr>
            <w:rStyle w:val="Hyperlink"/>
            <w:sz w:val="24"/>
            <w:szCs w:val="24"/>
          </w:rPr>
          <w:t>https://www.estyn.gov.wales/thematic-reports/esdgc-progress-education-sustainable-development-and-global-citizenship-june-2014</w:t>
        </w:r>
      </w:hyperlink>
      <w:r w:rsidRPr="00B455C7">
        <w:rPr>
          <w:sz w:val="24"/>
          <w:szCs w:val="24"/>
        </w:rPr>
        <w:t xml:space="preserve"> (Accessed 23rd March 2019). </w:t>
      </w:r>
      <w:r>
        <w:rPr>
          <w:sz w:val="24"/>
          <w:szCs w:val="24"/>
        </w:rPr>
        <w:br/>
      </w:r>
    </w:p>
    <w:p w:rsidR="0029463D" w:rsidRPr="00F72B8B" w:rsidRDefault="0029463D" w:rsidP="0029463D">
      <w:pPr>
        <w:pStyle w:val="ListParagraph"/>
        <w:numPr>
          <w:ilvl w:val="0"/>
          <w:numId w:val="1"/>
        </w:numPr>
        <w:spacing w:line="240" w:lineRule="auto"/>
        <w:rPr>
          <w:sz w:val="24"/>
          <w:szCs w:val="24"/>
        </w:rPr>
      </w:pPr>
      <w:r>
        <w:rPr>
          <w:sz w:val="24"/>
          <w:szCs w:val="24"/>
        </w:rPr>
        <w:t xml:space="preserve">Fox, J. (2019) </w:t>
      </w:r>
      <w:r>
        <w:rPr>
          <w:i/>
          <w:sz w:val="24"/>
          <w:szCs w:val="24"/>
        </w:rPr>
        <w:t xml:space="preserve">Ethiopia’s Fight for Gender Equality. </w:t>
      </w:r>
      <w:r>
        <w:rPr>
          <w:sz w:val="24"/>
          <w:szCs w:val="24"/>
        </w:rPr>
        <w:t xml:space="preserve">Available at: </w:t>
      </w:r>
      <w:hyperlink r:id="rId14" w:history="1">
        <w:r>
          <w:rPr>
            <w:rStyle w:val="Hyperlink"/>
          </w:rPr>
          <w:t>https://www.rte.ie/news/world/2019/0425/1045550-ethiopia-women/</w:t>
        </w:r>
      </w:hyperlink>
      <w:r>
        <w:t xml:space="preserve"> (Accessed 25</w:t>
      </w:r>
      <w:r w:rsidRPr="009D7FD4">
        <w:rPr>
          <w:vertAlign w:val="superscript"/>
        </w:rPr>
        <w:t>th</w:t>
      </w:r>
      <w:r>
        <w:t xml:space="preserve"> April 2019). </w:t>
      </w:r>
      <w:r w:rsidRPr="00F72B8B">
        <w:rPr>
          <w:sz w:val="24"/>
          <w:szCs w:val="24"/>
        </w:rPr>
        <w:br/>
      </w:r>
    </w:p>
    <w:p w:rsidR="0029463D" w:rsidRDefault="0029463D" w:rsidP="0029463D">
      <w:pPr>
        <w:pStyle w:val="ListParagraph"/>
        <w:numPr>
          <w:ilvl w:val="0"/>
          <w:numId w:val="1"/>
        </w:numPr>
        <w:spacing w:line="240" w:lineRule="auto"/>
        <w:rPr>
          <w:sz w:val="24"/>
          <w:szCs w:val="24"/>
        </w:rPr>
      </w:pPr>
      <w:r>
        <w:rPr>
          <w:sz w:val="24"/>
          <w:szCs w:val="24"/>
        </w:rPr>
        <w:t xml:space="preserve">Goodman (2002) Adapted from the Iceberg Model. Hopkinton, MA: Innovation Associates Organisational Learning. </w:t>
      </w:r>
    </w:p>
    <w:p w:rsidR="0029463D" w:rsidRDefault="0029463D" w:rsidP="0029463D">
      <w:pPr>
        <w:pStyle w:val="ListParagraph"/>
        <w:spacing w:line="240" w:lineRule="auto"/>
        <w:rPr>
          <w:sz w:val="24"/>
          <w:szCs w:val="24"/>
        </w:rPr>
      </w:pPr>
    </w:p>
    <w:p w:rsidR="0029463D" w:rsidRPr="0006080E" w:rsidRDefault="0029463D" w:rsidP="0029463D">
      <w:pPr>
        <w:pStyle w:val="ListParagraph"/>
        <w:numPr>
          <w:ilvl w:val="0"/>
          <w:numId w:val="1"/>
        </w:numPr>
        <w:spacing w:line="240" w:lineRule="auto"/>
        <w:rPr>
          <w:sz w:val="24"/>
          <w:szCs w:val="24"/>
        </w:rPr>
      </w:pPr>
      <w:r w:rsidRPr="003A3642">
        <w:rPr>
          <w:sz w:val="24"/>
          <w:szCs w:val="24"/>
        </w:rPr>
        <w:t>Liu, C.H and Matthews, R. (2005) ‘</w:t>
      </w:r>
      <w:proofErr w:type="spellStart"/>
      <w:r w:rsidRPr="003A3642">
        <w:rPr>
          <w:sz w:val="24"/>
          <w:szCs w:val="24"/>
        </w:rPr>
        <w:t>Vygotsky’s</w:t>
      </w:r>
      <w:proofErr w:type="spellEnd"/>
      <w:r w:rsidRPr="003A3642">
        <w:rPr>
          <w:sz w:val="24"/>
          <w:szCs w:val="24"/>
        </w:rPr>
        <w:t xml:space="preserve"> Philosophy: Constructivism and </w:t>
      </w:r>
      <w:proofErr w:type="gramStart"/>
      <w:r w:rsidRPr="003A3642">
        <w:rPr>
          <w:sz w:val="24"/>
          <w:szCs w:val="24"/>
        </w:rPr>
        <w:t>it’s</w:t>
      </w:r>
      <w:proofErr w:type="gramEnd"/>
      <w:r w:rsidRPr="003A3642">
        <w:rPr>
          <w:sz w:val="24"/>
          <w:szCs w:val="24"/>
        </w:rPr>
        <w:t xml:space="preserve"> criticisms Examined’. </w:t>
      </w:r>
      <w:r w:rsidRPr="003A3642">
        <w:rPr>
          <w:i/>
          <w:iCs/>
          <w:sz w:val="24"/>
          <w:szCs w:val="24"/>
        </w:rPr>
        <w:t>International Education Journal</w:t>
      </w:r>
      <w:r w:rsidRPr="003A3642">
        <w:rPr>
          <w:sz w:val="24"/>
          <w:szCs w:val="24"/>
        </w:rPr>
        <w:t xml:space="preserve">, 6(3), pp.386-399. Shannon Research Press: Perth. </w:t>
      </w:r>
      <w:r>
        <w:rPr>
          <w:sz w:val="24"/>
          <w:szCs w:val="24"/>
        </w:rPr>
        <w:br/>
      </w:r>
    </w:p>
    <w:p w:rsidR="0029463D" w:rsidRDefault="0029463D" w:rsidP="0029463D">
      <w:pPr>
        <w:pStyle w:val="ListParagraph"/>
        <w:numPr>
          <w:ilvl w:val="0"/>
          <w:numId w:val="1"/>
        </w:numPr>
        <w:spacing w:line="240" w:lineRule="auto"/>
        <w:rPr>
          <w:sz w:val="24"/>
          <w:szCs w:val="24"/>
        </w:rPr>
      </w:pPr>
      <w:proofErr w:type="spellStart"/>
      <w:r>
        <w:rPr>
          <w:sz w:val="24"/>
          <w:szCs w:val="24"/>
        </w:rPr>
        <w:t>Madoka</w:t>
      </w:r>
      <w:proofErr w:type="spellEnd"/>
      <w:r>
        <w:rPr>
          <w:sz w:val="24"/>
          <w:szCs w:val="24"/>
        </w:rPr>
        <w:t>, S (2003) ‘</w:t>
      </w:r>
      <w:proofErr w:type="spellStart"/>
      <w:r>
        <w:rPr>
          <w:sz w:val="24"/>
          <w:szCs w:val="24"/>
        </w:rPr>
        <w:t>Amartya</w:t>
      </w:r>
      <w:proofErr w:type="spellEnd"/>
      <w:r>
        <w:rPr>
          <w:sz w:val="24"/>
          <w:szCs w:val="24"/>
        </w:rPr>
        <w:t xml:space="preserve"> </w:t>
      </w:r>
      <w:proofErr w:type="spellStart"/>
      <w:r>
        <w:rPr>
          <w:sz w:val="24"/>
          <w:szCs w:val="24"/>
        </w:rPr>
        <w:t>Sen’s</w:t>
      </w:r>
      <w:proofErr w:type="spellEnd"/>
      <w:r>
        <w:rPr>
          <w:sz w:val="24"/>
          <w:szCs w:val="24"/>
        </w:rPr>
        <w:t xml:space="preserve"> Capabilities Approach to Education: A critical exploration.’</w:t>
      </w:r>
      <w:r>
        <w:rPr>
          <w:i/>
          <w:sz w:val="24"/>
          <w:szCs w:val="24"/>
        </w:rPr>
        <w:t xml:space="preserve"> Journal of Philosophy of Education. </w:t>
      </w:r>
      <w:r>
        <w:rPr>
          <w:sz w:val="24"/>
          <w:szCs w:val="24"/>
        </w:rPr>
        <w:t>37(1), pp.17-33.</w:t>
      </w:r>
      <w:r>
        <w:rPr>
          <w:sz w:val="24"/>
          <w:szCs w:val="24"/>
        </w:rPr>
        <w:br/>
      </w:r>
    </w:p>
    <w:p w:rsidR="0029463D" w:rsidRDefault="0029463D" w:rsidP="0029463D">
      <w:pPr>
        <w:pStyle w:val="ListParagraph"/>
        <w:numPr>
          <w:ilvl w:val="0"/>
          <w:numId w:val="1"/>
        </w:numPr>
        <w:spacing w:line="240" w:lineRule="auto"/>
        <w:rPr>
          <w:sz w:val="24"/>
          <w:szCs w:val="24"/>
        </w:rPr>
      </w:pPr>
      <w:r w:rsidRPr="00A13DC9">
        <w:rPr>
          <w:sz w:val="24"/>
          <w:szCs w:val="24"/>
        </w:rPr>
        <w:t xml:space="preserve">Martins, H and Pickering, W. (2012) Debating Durkheim. </w:t>
      </w:r>
      <w:proofErr w:type="spellStart"/>
      <w:r w:rsidRPr="00A13DC9">
        <w:rPr>
          <w:sz w:val="24"/>
          <w:szCs w:val="24"/>
        </w:rPr>
        <w:t>Routledge</w:t>
      </w:r>
      <w:proofErr w:type="spellEnd"/>
      <w:r w:rsidRPr="00A13DC9">
        <w:rPr>
          <w:sz w:val="24"/>
          <w:szCs w:val="24"/>
        </w:rPr>
        <w:t xml:space="preserve">: London. [Online] Available at: </w:t>
      </w:r>
      <w:hyperlink r:id="rId15" w:history="1">
        <w:r w:rsidRPr="00A13DC9">
          <w:rPr>
            <w:rStyle w:val="Hyperlink"/>
            <w:sz w:val="24"/>
            <w:szCs w:val="24"/>
          </w:rPr>
          <w:t>https://</w:t>
        </w:r>
      </w:hyperlink>
      <w:hyperlink r:id="rId16" w:history="1">
        <w:r w:rsidRPr="00A13DC9">
          <w:rPr>
            <w:rStyle w:val="Hyperlink"/>
            <w:sz w:val="24"/>
            <w:szCs w:val="24"/>
          </w:rPr>
          <w:t>doi.org/10.4324/9780203388761</w:t>
        </w:r>
      </w:hyperlink>
      <w:r w:rsidRPr="00A13DC9">
        <w:rPr>
          <w:sz w:val="24"/>
          <w:szCs w:val="24"/>
          <w:u w:val="single"/>
        </w:rPr>
        <w:t xml:space="preserve"> </w:t>
      </w:r>
      <w:r w:rsidRPr="00A13DC9">
        <w:rPr>
          <w:sz w:val="24"/>
          <w:szCs w:val="24"/>
        </w:rPr>
        <w:t>(Accessed: 22</w:t>
      </w:r>
      <w:r w:rsidRPr="00A13DC9">
        <w:rPr>
          <w:sz w:val="24"/>
          <w:szCs w:val="24"/>
          <w:vertAlign w:val="superscript"/>
        </w:rPr>
        <w:t>nd</w:t>
      </w:r>
      <w:r w:rsidRPr="00A13DC9">
        <w:rPr>
          <w:sz w:val="24"/>
          <w:szCs w:val="24"/>
        </w:rPr>
        <w:t xml:space="preserve"> March 2019). </w:t>
      </w:r>
      <w:r>
        <w:rPr>
          <w:sz w:val="24"/>
          <w:szCs w:val="24"/>
        </w:rPr>
        <w:br/>
      </w:r>
    </w:p>
    <w:p w:rsidR="0029463D" w:rsidRPr="0058276A" w:rsidRDefault="0029463D" w:rsidP="0029463D">
      <w:pPr>
        <w:pStyle w:val="ListParagraph"/>
        <w:numPr>
          <w:ilvl w:val="0"/>
          <w:numId w:val="1"/>
        </w:numPr>
        <w:spacing w:line="240" w:lineRule="auto"/>
        <w:rPr>
          <w:sz w:val="24"/>
          <w:szCs w:val="24"/>
        </w:rPr>
      </w:pPr>
      <w:r w:rsidRPr="0058276A">
        <w:rPr>
          <w:sz w:val="24"/>
          <w:szCs w:val="24"/>
        </w:rPr>
        <w:t xml:space="preserve">Mellon Educate (2019) Available at: </w:t>
      </w:r>
      <w:hyperlink r:id="rId17" w:history="1">
        <w:r w:rsidRPr="0058276A">
          <w:rPr>
            <w:rStyle w:val="Hyperlink"/>
            <w:sz w:val="24"/>
            <w:szCs w:val="24"/>
          </w:rPr>
          <w:t>https://www.melloneducate.com</w:t>
        </w:r>
      </w:hyperlink>
      <w:hyperlink r:id="rId18" w:history="1">
        <w:r w:rsidRPr="0058276A">
          <w:rPr>
            <w:rStyle w:val="Hyperlink"/>
            <w:sz w:val="24"/>
            <w:szCs w:val="24"/>
          </w:rPr>
          <w:t>/</w:t>
        </w:r>
      </w:hyperlink>
      <w:r w:rsidRPr="0058276A">
        <w:rPr>
          <w:sz w:val="24"/>
          <w:szCs w:val="24"/>
        </w:rPr>
        <w:t xml:space="preserve"> (Accessed 23</w:t>
      </w:r>
      <w:r w:rsidRPr="0058276A">
        <w:rPr>
          <w:sz w:val="24"/>
          <w:szCs w:val="24"/>
          <w:vertAlign w:val="superscript"/>
        </w:rPr>
        <w:t>rd</w:t>
      </w:r>
      <w:r>
        <w:rPr>
          <w:sz w:val="24"/>
          <w:szCs w:val="24"/>
        </w:rPr>
        <w:t xml:space="preserve"> April</w:t>
      </w:r>
      <w:r w:rsidRPr="0058276A">
        <w:rPr>
          <w:sz w:val="24"/>
          <w:szCs w:val="24"/>
        </w:rPr>
        <w:t xml:space="preserve"> 2019). </w:t>
      </w:r>
      <w:r w:rsidRPr="0058276A">
        <w:rPr>
          <w:sz w:val="24"/>
          <w:szCs w:val="24"/>
        </w:rPr>
        <w:br/>
      </w:r>
    </w:p>
    <w:p w:rsidR="0029463D" w:rsidRDefault="0029463D" w:rsidP="0029463D">
      <w:pPr>
        <w:pStyle w:val="ListParagraph"/>
        <w:numPr>
          <w:ilvl w:val="0"/>
          <w:numId w:val="1"/>
        </w:numPr>
        <w:spacing w:line="240" w:lineRule="auto"/>
        <w:rPr>
          <w:sz w:val="24"/>
          <w:szCs w:val="24"/>
        </w:rPr>
      </w:pPr>
      <w:proofErr w:type="spellStart"/>
      <w:r w:rsidRPr="008A2B01">
        <w:rPr>
          <w:sz w:val="24"/>
          <w:szCs w:val="24"/>
        </w:rPr>
        <w:t>Mcleod</w:t>
      </w:r>
      <w:proofErr w:type="spellEnd"/>
      <w:r w:rsidRPr="008A2B01">
        <w:rPr>
          <w:sz w:val="24"/>
          <w:szCs w:val="24"/>
        </w:rPr>
        <w:t xml:space="preserve">, S. (2007) </w:t>
      </w:r>
      <w:r w:rsidRPr="008A2B01">
        <w:rPr>
          <w:i/>
          <w:sz w:val="24"/>
          <w:szCs w:val="24"/>
        </w:rPr>
        <w:t>Maslow’s Hierarchy of Needs.</w:t>
      </w:r>
      <w:r w:rsidRPr="008A2B01">
        <w:rPr>
          <w:sz w:val="24"/>
          <w:szCs w:val="24"/>
        </w:rPr>
        <w:t xml:space="preserve"> Available at: </w:t>
      </w:r>
      <w:hyperlink r:id="rId19" w:history="1">
        <w:r w:rsidRPr="008A2B01">
          <w:rPr>
            <w:rStyle w:val="Hyperlink"/>
            <w:sz w:val="24"/>
            <w:szCs w:val="24"/>
          </w:rPr>
          <w:t>http://highgatecounselling.org.uk/members/certificate/CT2%20Paper%201.pdf</w:t>
        </w:r>
      </w:hyperlink>
      <w:r w:rsidRPr="008A2B01">
        <w:rPr>
          <w:sz w:val="24"/>
          <w:szCs w:val="24"/>
        </w:rPr>
        <w:t xml:space="preserve"> (Accessed 15</w:t>
      </w:r>
      <w:r w:rsidRPr="008A2B01">
        <w:rPr>
          <w:sz w:val="24"/>
          <w:szCs w:val="24"/>
          <w:vertAlign w:val="superscript"/>
        </w:rPr>
        <w:t>th</w:t>
      </w:r>
      <w:r w:rsidRPr="008A2B01">
        <w:rPr>
          <w:sz w:val="24"/>
          <w:szCs w:val="24"/>
        </w:rPr>
        <w:t xml:space="preserve"> April 2019). </w:t>
      </w:r>
      <w:r>
        <w:rPr>
          <w:sz w:val="24"/>
          <w:szCs w:val="24"/>
        </w:rPr>
        <w:br/>
      </w:r>
    </w:p>
    <w:p w:rsidR="0029463D" w:rsidRPr="00EB63C3" w:rsidRDefault="0029463D" w:rsidP="0029463D">
      <w:pPr>
        <w:pStyle w:val="ListParagraph"/>
        <w:numPr>
          <w:ilvl w:val="0"/>
          <w:numId w:val="1"/>
        </w:numPr>
        <w:spacing w:line="240" w:lineRule="auto"/>
        <w:rPr>
          <w:sz w:val="24"/>
          <w:szCs w:val="24"/>
        </w:rPr>
      </w:pPr>
      <w:proofErr w:type="spellStart"/>
      <w:r>
        <w:rPr>
          <w:sz w:val="24"/>
          <w:szCs w:val="24"/>
        </w:rPr>
        <w:t>Mcleod</w:t>
      </w:r>
      <w:proofErr w:type="spellEnd"/>
      <w:r>
        <w:rPr>
          <w:sz w:val="24"/>
          <w:szCs w:val="24"/>
        </w:rPr>
        <w:t xml:space="preserve">, S. (2018) </w:t>
      </w:r>
      <w:r>
        <w:rPr>
          <w:i/>
          <w:sz w:val="24"/>
          <w:szCs w:val="24"/>
        </w:rPr>
        <w:t xml:space="preserve">Jean Piaget’s Theory of Cognitive Development. </w:t>
      </w:r>
      <w:r>
        <w:rPr>
          <w:sz w:val="24"/>
          <w:szCs w:val="24"/>
        </w:rPr>
        <w:t xml:space="preserve">Available at: </w:t>
      </w:r>
      <w:hyperlink r:id="rId20" w:history="1">
        <w:r w:rsidRPr="00310760">
          <w:rPr>
            <w:rStyle w:val="Hyperlink"/>
            <w:sz w:val="24"/>
          </w:rPr>
          <w:t>https://www.simplypsychology.org/piaget.html</w:t>
        </w:r>
      </w:hyperlink>
      <w:r w:rsidRPr="00310760">
        <w:rPr>
          <w:sz w:val="24"/>
        </w:rPr>
        <w:t xml:space="preserve"> (Accessed 15</w:t>
      </w:r>
      <w:r w:rsidRPr="00310760">
        <w:rPr>
          <w:sz w:val="24"/>
          <w:vertAlign w:val="superscript"/>
        </w:rPr>
        <w:t>th</w:t>
      </w:r>
      <w:r w:rsidRPr="00310760">
        <w:rPr>
          <w:sz w:val="24"/>
        </w:rPr>
        <w:t xml:space="preserve"> April 2019). </w:t>
      </w:r>
      <w:r>
        <w:rPr>
          <w:sz w:val="24"/>
          <w:szCs w:val="24"/>
        </w:rPr>
        <w:br/>
      </w:r>
    </w:p>
    <w:p w:rsidR="0029463D" w:rsidRPr="008A2B01" w:rsidRDefault="0029463D" w:rsidP="0029463D">
      <w:pPr>
        <w:pStyle w:val="ListParagraph"/>
        <w:numPr>
          <w:ilvl w:val="0"/>
          <w:numId w:val="1"/>
        </w:numPr>
        <w:spacing w:line="240" w:lineRule="auto"/>
        <w:rPr>
          <w:sz w:val="24"/>
          <w:szCs w:val="24"/>
        </w:rPr>
      </w:pPr>
      <w:r w:rsidRPr="008A2B01">
        <w:rPr>
          <w:sz w:val="24"/>
          <w:szCs w:val="24"/>
        </w:rPr>
        <w:t xml:space="preserve">NYU Global Institute for Advanced Study (2016) </w:t>
      </w:r>
      <w:r w:rsidRPr="008A2B01">
        <w:rPr>
          <w:i/>
          <w:sz w:val="24"/>
          <w:szCs w:val="24"/>
        </w:rPr>
        <w:t>Universal Declaration of Human Rights: Article 26: The Education Provision</w:t>
      </w:r>
      <w:r w:rsidRPr="008A2B01">
        <w:rPr>
          <w:sz w:val="24"/>
          <w:szCs w:val="24"/>
        </w:rPr>
        <w:t xml:space="preserve">. Appendix E to the Report of the Global Citizenship Commission. Cambridge: Open Book Publishers. </w:t>
      </w:r>
      <w:r w:rsidRPr="008A2B01">
        <w:rPr>
          <w:sz w:val="24"/>
          <w:szCs w:val="24"/>
        </w:rPr>
        <w:br/>
      </w:r>
    </w:p>
    <w:p w:rsidR="0029463D" w:rsidRDefault="0029463D" w:rsidP="0029463D">
      <w:pPr>
        <w:pStyle w:val="ListParagraph"/>
        <w:numPr>
          <w:ilvl w:val="0"/>
          <w:numId w:val="1"/>
        </w:numPr>
        <w:spacing w:line="240" w:lineRule="auto"/>
        <w:rPr>
          <w:sz w:val="24"/>
          <w:szCs w:val="24"/>
        </w:rPr>
      </w:pPr>
      <w:r w:rsidRPr="008A2B01">
        <w:rPr>
          <w:sz w:val="24"/>
          <w:szCs w:val="24"/>
        </w:rPr>
        <w:t xml:space="preserve">Right to Education (2018) Available at: </w:t>
      </w:r>
      <w:hyperlink r:id="rId21" w:history="1">
        <w:r w:rsidRPr="008A2B01">
          <w:rPr>
            <w:rStyle w:val="Hyperlink"/>
            <w:sz w:val="24"/>
            <w:szCs w:val="24"/>
          </w:rPr>
          <w:t>https://www.right-to-education.org/quality-education</w:t>
        </w:r>
      </w:hyperlink>
      <w:r w:rsidRPr="008A2B01">
        <w:rPr>
          <w:sz w:val="24"/>
          <w:szCs w:val="24"/>
        </w:rPr>
        <w:t xml:space="preserve"> (Accessed 10</w:t>
      </w:r>
      <w:r w:rsidRPr="008A2B01">
        <w:rPr>
          <w:sz w:val="24"/>
          <w:szCs w:val="24"/>
          <w:vertAlign w:val="superscript"/>
        </w:rPr>
        <w:t>th</w:t>
      </w:r>
      <w:r w:rsidRPr="008A2B01">
        <w:rPr>
          <w:sz w:val="24"/>
          <w:szCs w:val="24"/>
        </w:rPr>
        <w:t xml:space="preserve"> April 2019).</w:t>
      </w:r>
    </w:p>
    <w:p w:rsidR="0029463D" w:rsidRDefault="0029463D" w:rsidP="0029463D">
      <w:pPr>
        <w:pStyle w:val="ListParagraph"/>
        <w:spacing w:line="240" w:lineRule="auto"/>
        <w:rPr>
          <w:sz w:val="24"/>
          <w:szCs w:val="24"/>
        </w:rPr>
      </w:pPr>
    </w:p>
    <w:p w:rsidR="0029463D" w:rsidRPr="008A2B01" w:rsidRDefault="0029463D" w:rsidP="0029463D">
      <w:pPr>
        <w:pStyle w:val="ListParagraph"/>
        <w:numPr>
          <w:ilvl w:val="0"/>
          <w:numId w:val="1"/>
        </w:numPr>
        <w:spacing w:line="240" w:lineRule="auto"/>
        <w:rPr>
          <w:sz w:val="24"/>
          <w:szCs w:val="24"/>
        </w:rPr>
      </w:pPr>
      <w:r w:rsidRPr="00D00709">
        <w:rPr>
          <w:sz w:val="24"/>
        </w:rPr>
        <w:t xml:space="preserve">Save the Children (2018) </w:t>
      </w:r>
      <w:r w:rsidRPr="00D00709">
        <w:rPr>
          <w:i/>
          <w:sz w:val="24"/>
        </w:rPr>
        <w:t>A Day at School in Ethiopia</w:t>
      </w:r>
      <w:r w:rsidRPr="00D00709">
        <w:rPr>
          <w:sz w:val="24"/>
        </w:rPr>
        <w:t xml:space="preserve">. [Video] Available at: </w:t>
      </w:r>
      <w:hyperlink r:id="rId22" w:history="1">
        <w:r w:rsidRPr="00D00709">
          <w:rPr>
            <w:rStyle w:val="Hyperlink"/>
            <w:sz w:val="24"/>
          </w:rPr>
          <w:t>https://www.youtube.com/watch?v=9yW70bmJddk</w:t>
        </w:r>
      </w:hyperlink>
      <w:r w:rsidRPr="00D00709">
        <w:rPr>
          <w:sz w:val="24"/>
        </w:rPr>
        <w:t xml:space="preserve"> (Accessed 12</w:t>
      </w:r>
      <w:r w:rsidRPr="00D00709">
        <w:rPr>
          <w:sz w:val="24"/>
          <w:vertAlign w:val="superscript"/>
        </w:rPr>
        <w:t>th</w:t>
      </w:r>
      <w:r w:rsidRPr="00D00709">
        <w:rPr>
          <w:sz w:val="24"/>
        </w:rPr>
        <w:t xml:space="preserve"> April 2019).</w:t>
      </w:r>
      <w:r w:rsidRPr="008A2B01">
        <w:rPr>
          <w:sz w:val="24"/>
          <w:szCs w:val="24"/>
        </w:rPr>
        <w:br/>
      </w:r>
    </w:p>
    <w:p w:rsidR="0029463D" w:rsidRPr="00A22E59"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Save the Children (2018) </w:t>
      </w:r>
      <w:r w:rsidRPr="008A2B01">
        <w:rPr>
          <w:rFonts w:cs="Arial"/>
          <w:i/>
          <w:color w:val="222222"/>
          <w:sz w:val="24"/>
          <w:szCs w:val="24"/>
        </w:rPr>
        <w:t xml:space="preserve">United Nations Convention on the Rights of the Child UNCRC (1992). </w:t>
      </w:r>
      <w:r w:rsidRPr="008A2B01">
        <w:rPr>
          <w:rFonts w:cs="Arial"/>
          <w:color w:val="222222"/>
          <w:sz w:val="24"/>
          <w:szCs w:val="24"/>
        </w:rPr>
        <w:t xml:space="preserve">Available at: </w:t>
      </w:r>
      <w:hyperlink r:id="rId23" w:history="1">
        <w:r w:rsidRPr="008A2B01">
          <w:rPr>
            <w:rStyle w:val="Hyperlink"/>
            <w:rFonts w:cs="Arial"/>
            <w:sz w:val="24"/>
            <w:szCs w:val="24"/>
          </w:rPr>
          <w:t>https://www.savethechildren.org.uk/what-we-do/childrens-rights/united-nations-convention-of-the-rights-of-the-child</w:t>
        </w:r>
      </w:hyperlink>
      <w:r w:rsidRPr="008A2B01">
        <w:rPr>
          <w:rFonts w:cs="Arial"/>
          <w:color w:val="222222"/>
          <w:sz w:val="24"/>
          <w:szCs w:val="24"/>
        </w:rPr>
        <w:t xml:space="preserve"> (Accessed 10</w:t>
      </w:r>
      <w:r w:rsidRPr="008A2B01">
        <w:rPr>
          <w:rFonts w:cs="Arial"/>
          <w:color w:val="222222"/>
          <w:sz w:val="24"/>
          <w:szCs w:val="24"/>
          <w:vertAlign w:val="superscript"/>
        </w:rPr>
        <w:t>th</w:t>
      </w:r>
      <w:r w:rsidRPr="008A2B01">
        <w:rPr>
          <w:rFonts w:cs="Arial"/>
          <w:color w:val="222222"/>
          <w:sz w:val="24"/>
          <w:szCs w:val="24"/>
        </w:rPr>
        <w:t xml:space="preserve"> April 2019). </w:t>
      </w:r>
      <w:r>
        <w:rPr>
          <w:rFonts w:cs="Arial"/>
          <w:color w:val="222222"/>
          <w:sz w:val="24"/>
          <w:szCs w:val="24"/>
        </w:rPr>
        <w:br/>
      </w:r>
    </w:p>
    <w:p w:rsidR="0029463D" w:rsidRDefault="0029463D" w:rsidP="0029463D">
      <w:pPr>
        <w:pStyle w:val="ListParagraph"/>
        <w:numPr>
          <w:ilvl w:val="0"/>
          <w:numId w:val="1"/>
        </w:numPr>
        <w:spacing w:line="240" w:lineRule="auto"/>
        <w:rPr>
          <w:rFonts w:cs="Arial"/>
          <w:color w:val="222222"/>
          <w:sz w:val="24"/>
          <w:szCs w:val="24"/>
        </w:rPr>
      </w:pPr>
      <w:r w:rsidRPr="00A22E59">
        <w:rPr>
          <w:rFonts w:cs="Arial"/>
          <w:color w:val="222222"/>
          <w:sz w:val="24"/>
          <w:szCs w:val="24"/>
        </w:rPr>
        <w:lastRenderedPageBreak/>
        <w:t xml:space="preserve">School H, Inclusion Policy (2019). </w:t>
      </w:r>
      <w:r>
        <w:rPr>
          <w:rFonts w:cs="Arial"/>
          <w:color w:val="222222"/>
          <w:sz w:val="24"/>
          <w:szCs w:val="24"/>
        </w:rPr>
        <w:br/>
      </w:r>
    </w:p>
    <w:p w:rsidR="0029463D" w:rsidRPr="00A22E59" w:rsidRDefault="0029463D" w:rsidP="0029463D">
      <w:pPr>
        <w:pStyle w:val="ListParagraph"/>
        <w:numPr>
          <w:ilvl w:val="0"/>
          <w:numId w:val="1"/>
        </w:numPr>
        <w:spacing w:line="240" w:lineRule="auto"/>
        <w:rPr>
          <w:rFonts w:cs="Arial"/>
          <w:color w:val="222222"/>
          <w:sz w:val="24"/>
          <w:szCs w:val="24"/>
        </w:rPr>
      </w:pPr>
      <w:proofErr w:type="spellStart"/>
      <w:r>
        <w:rPr>
          <w:rFonts w:cs="Arial"/>
          <w:color w:val="222222"/>
          <w:sz w:val="24"/>
          <w:szCs w:val="24"/>
        </w:rPr>
        <w:t>Schwind</w:t>
      </w:r>
      <w:proofErr w:type="spellEnd"/>
      <w:r>
        <w:rPr>
          <w:rFonts w:cs="Arial"/>
          <w:color w:val="222222"/>
          <w:sz w:val="24"/>
          <w:szCs w:val="24"/>
        </w:rPr>
        <w:t xml:space="preserve">, V. (2019) </w:t>
      </w:r>
      <w:proofErr w:type="gramStart"/>
      <w:r>
        <w:rPr>
          <w:rFonts w:cs="Arial"/>
          <w:i/>
          <w:color w:val="222222"/>
          <w:sz w:val="24"/>
          <w:szCs w:val="24"/>
        </w:rPr>
        <w:t>The</w:t>
      </w:r>
      <w:proofErr w:type="gramEnd"/>
      <w:r>
        <w:rPr>
          <w:rFonts w:cs="Arial"/>
          <w:i/>
          <w:color w:val="222222"/>
          <w:sz w:val="24"/>
          <w:szCs w:val="24"/>
        </w:rPr>
        <w:t xml:space="preserve"> Stereotype Content Model.</w:t>
      </w:r>
      <w:r>
        <w:rPr>
          <w:rFonts w:cs="Arial"/>
          <w:color w:val="222222"/>
          <w:sz w:val="24"/>
          <w:szCs w:val="24"/>
        </w:rPr>
        <w:t xml:space="preserve"> Available at: </w:t>
      </w:r>
      <w:hyperlink r:id="rId24" w:history="1">
        <w:r>
          <w:rPr>
            <w:rStyle w:val="Hyperlink"/>
          </w:rPr>
          <w:t>https://www.researchgate.net/profile/Valentin_Schwind</w:t>
        </w:r>
      </w:hyperlink>
      <w:r>
        <w:t xml:space="preserve"> (Accessed 25</w:t>
      </w:r>
      <w:r w:rsidRPr="00114946">
        <w:rPr>
          <w:vertAlign w:val="superscript"/>
        </w:rPr>
        <w:t>th</w:t>
      </w:r>
      <w:r>
        <w:t xml:space="preserve"> April 2019). </w:t>
      </w:r>
      <w:r w:rsidRPr="00A22E59">
        <w:rPr>
          <w:rFonts w:cs="Arial"/>
          <w:color w:val="222222"/>
          <w:sz w:val="24"/>
          <w:szCs w:val="24"/>
        </w:rPr>
        <w:br/>
      </w:r>
    </w:p>
    <w:p w:rsidR="0029463D" w:rsidRPr="004F2058" w:rsidRDefault="0029463D" w:rsidP="0029463D">
      <w:pPr>
        <w:pStyle w:val="ListParagraph"/>
        <w:numPr>
          <w:ilvl w:val="0"/>
          <w:numId w:val="1"/>
        </w:numPr>
        <w:spacing w:line="240" w:lineRule="auto"/>
        <w:rPr>
          <w:sz w:val="24"/>
          <w:szCs w:val="24"/>
        </w:rPr>
      </w:pPr>
      <w:proofErr w:type="spellStart"/>
      <w:r>
        <w:rPr>
          <w:rFonts w:cs="Arial"/>
          <w:color w:val="222222"/>
          <w:sz w:val="24"/>
          <w:szCs w:val="24"/>
        </w:rPr>
        <w:t>Stipek</w:t>
      </w:r>
      <w:proofErr w:type="spellEnd"/>
      <w:r>
        <w:rPr>
          <w:rFonts w:cs="Arial"/>
          <w:color w:val="222222"/>
          <w:sz w:val="24"/>
          <w:szCs w:val="24"/>
        </w:rPr>
        <w:t xml:space="preserve">, D., Roberts, T., Sanborn, M. (2013) ‘Preschool Children’s Performance Expectations for Themselves and another Child as a Function of the Incentive Value of Success and the Salience of the Past Performance.’ </w:t>
      </w:r>
      <w:r>
        <w:rPr>
          <w:rFonts w:cs="Arial"/>
          <w:i/>
          <w:color w:val="222222"/>
          <w:sz w:val="24"/>
          <w:szCs w:val="24"/>
        </w:rPr>
        <w:t xml:space="preserve">Journal of Research of Child Development. </w:t>
      </w:r>
      <w:r>
        <w:rPr>
          <w:rFonts w:cs="Arial"/>
          <w:color w:val="222222"/>
          <w:sz w:val="24"/>
          <w:szCs w:val="24"/>
        </w:rPr>
        <w:t xml:space="preserve">84 (6), pp. 1983-1989. </w:t>
      </w:r>
      <w:r>
        <w:rPr>
          <w:rFonts w:cs="Arial"/>
          <w:color w:val="222222"/>
          <w:sz w:val="24"/>
          <w:szCs w:val="24"/>
        </w:rPr>
        <w:br/>
      </w:r>
    </w:p>
    <w:p w:rsidR="0029463D" w:rsidRPr="00EB63C3" w:rsidRDefault="0029463D" w:rsidP="0029463D">
      <w:pPr>
        <w:pStyle w:val="ListParagraph"/>
        <w:numPr>
          <w:ilvl w:val="0"/>
          <w:numId w:val="1"/>
        </w:numPr>
        <w:spacing w:line="240" w:lineRule="auto"/>
        <w:rPr>
          <w:sz w:val="24"/>
          <w:szCs w:val="24"/>
        </w:rPr>
      </w:pPr>
      <w:proofErr w:type="spellStart"/>
      <w:r>
        <w:rPr>
          <w:rFonts w:cs="Arial"/>
          <w:color w:val="222222"/>
          <w:sz w:val="24"/>
          <w:szCs w:val="24"/>
        </w:rPr>
        <w:t>Stromquist</w:t>
      </w:r>
      <w:proofErr w:type="spellEnd"/>
      <w:r>
        <w:rPr>
          <w:rFonts w:cs="Arial"/>
          <w:color w:val="222222"/>
          <w:sz w:val="24"/>
          <w:szCs w:val="24"/>
        </w:rPr>
        <w:t xml:space="preserve">, N. (2006) ‘Gender Inequality in Education: accounting for woman’s subordination.’ </w:t>
      </w:r>
      <w:r>
        <w:rPr>
          <w:rFonts w:cs="Arial"/>
          <w:i/>
          <w:color w:val="222222"/>
          <w:sz w:val="24"/>
          <w:szCs w:val="24"/>
        </w:rPr>
        <w:t>British Journal of Sociology of Education.</w:t>
      </w:r>
      <w:r>
        <w:rPr>
          <w:rFonts w:cs="Arial"/>
          <w:color w:val="222222"/>
          <w:sz w:val="24"/>
          <w:szCs w:val="24"/>
        </w:rPr>
        <w:t xml:space="preserve"> 11(2), pp.137-153. </w:t>
      </w:r>
      <w:r>
        <w:rPr>
          <w:rFonts w:cs="Arial"/>
          <w:color w:val="222222"/>
          <w:sz w:val="24"/>
          <w:szCs w:val="24"/>
        </w:rPr>
        <w:br/>
      </w:r>
    </w:p>
    <w:p w:rsidR="0029463D" w:rsidRDefault="0029463D" w:rsidP="0029463D">
      <w:pPr>
        <w:pStyle w:val="ListParagraph"/>
        <w:numPr>
          <w:ilvl w:val="0"/>
          <w:numId w:val="1"/>
        </w:numPr>
        <w:spacing w:line="240" w:lineRule="auto"/>
        <w:rPr>
          <w:rFonts w:cs="Arial"/>
          <w:color w:val="222222"/>
          <w:sz w:val="24"/>
          <w:szCs w:val="24"/>
        </w:rPr>
      </w:pPr>
      <w:proofErr w:type="spellStart"/>
      <w:r>
        <w:rPr>
          <w:rFonts w:cs="Arial"/>
          <w:color w:val="222222"/>
          <w:sz w:val="24"/>
          <w:szCs w:val="24"/>
        </w:rPr>
        <w:t>Tafere</w:t>
      </w:r>
      <w:proofErr w:type="spellEnd"/>
      <w:r>
        <w:rPr>
          <w:rFonts w:cs="Arial"/>
          <w:color w:val="222222"/>
          <w:sz w:val="24"/>
          <w:szCs w:val="24"/>
        </w:rPr>
        <w:t xml:space="preserve">, Y. (2014) </w:t>
      </w:r>
      <w:r>
        <w:rPr>
          <w:rFonts w:cs="Arial"/>
          <w:i/>
          <w:color w:val="222222"/>
          <w:sz w:val="24"/>
          <w:szCs w:val="24"/>
        </w:rPr>
        <w:t xml:space="preserve">Education Aspirations and Barriers to Achievement for Young People in Ethiopia, </w:t>
      </w:r>
      <w:r>
        <w:rPr>
          <w:rFonts w:cs="Arial"/>
          <w:color w:val="222222"/>
          <w:sz w:val="24"/>
          <w:szCs w:val="24"/>
        </w:rPr>
        <w:t xml:space="preserve">p.120. London: Young Lives Publishers. </w:t>
      </w:r>
    </w:p>
    <w:p w:rsidR="0029463D" w:rsidRDefault="0029463D" w:rsidP="0029463D">
      <w:pPr>
        <w:pStyle w:val="ListParagraph"/>
        <w:numPr>
          <w:ilvl w:val="0"/>
          <w:numId w:val="1"/>
        </w:numPr>
        <w:spacing w:line="240" w:lineRule="auto"/>
        <w:rPr>
          <w:rFonts w:cs="Arial"/>
          <w:color w:val="222222"/>
          <w:sz w:val="24"/>
          <w:szCs w:val="24"/>
        </w:rPr>
      </w:pPr>
      <w:r>
        <w:rPr>
          <w:rFonts w:cs="Arial"/>
          <w:color w:val="222222"/>
          <w:sz w:val="24"/>
          <w:szCs w:val="24"/>
        </w:rPr>
        <w:t xml:space="preserve">The Telegraph (2013) </w:t>
      </w:r>
      <w:r w:rsidRPr="00D013E3">
        <w:rPr>
          <w:rFonts w:cs="Arial"/>
          <w:i/>
          <w:color w:val="222222"/>
          <w:sz w:val="24"/>
          <w:szCs w:val="24"/>
        </w:rPr>
        <w:t>Welsh Language Dying Out, research finds</w:t>
      </w:r>
      <w:r>
        <w:rPr>
          <w:rFonts w:cs="Arial"/>
          <w:color w:val="222222"/>
          <w:sz w:val="24"/>
          <w:szCs w:val="24"/>
        </w:rPr>
        <w:t xml:space="preserve">. Available at: </w:t>
      </w:r>
      <w:hyperlink r:id="rId25" w:history="1">
        <w:r>
          <w:rPr>
            <w:rStyle w:val="Hyperlink"/>
          </w:rPr>
          <w:t>https://www.telegraph.co.uk/news/uknews/wales/10236221/Welsh-language-is-dying-out-research-finds.html</w:t>
        </w:r>
      </w:hyperlink>
      <w:r>
        <w:t xml:space="preserve"> (Accessed 15</w:t>
      </w:r>
      <w:r w:rsidRPr="007375AB">
        <w:rPr>
          <w:vertAlign w:val="superscript"/>
        </w:rPr>
        <w:t>th</w:t>
      </w:r>
      <w:r>
        <w:t xml:space="preserve"> April 2019). </w:t>
      </w:r>
    </w:p>
    <w:p w:rsidR="0029463D" w:rsidRPr="00833A6C" w:rsidRDefault="0029463D" w:rsidP="0029463D">
      <w:pPr>
        <w:pStyle w:val="ListParagraph"/>
        <w:spacing w:line="240" w:lineRule="auto"/>
        <w:rPr>
          <w:rFonts w:cs="Arial"/>
          <w:color w:val="222222"/>
          <w:sz w:val="24"/>
          <w:szCs w:val="24"/>
        </w:rPr>
      </w:pPr>
    </w:p>
    <w:p w:rsidR="0029463D" w:rsidRPr="004A69ED" w:rsidRDefault="0029463D" w:rsidP="0029463D">
      <w:pPr>
        <w:pStyle w:val="ListParagraph"/>
        <w:numPr>
          <w:ilvl w:val="0"/>
          <w:numId w:val="1"/>
        </w:numPr>
        <w:spacing w:after="0" w:line="240" w:lineRule="auto"/>
        <w:rPr>
          <w:sz w:val="24"/>
          <w:szCs w:val="24"/>
        </w:rPr>
      </w:pPr>
      <w:r>
        <w:rPr>
          <w:rFonts w:cs="Arial"/>
          <w:sz w:val="24"/>
          <w:szCs w:val="24"/>
        </w:rPr>
        <w:t xml:space="preserve">Thompson (2015) </w:t>
      </w:r>
      <w:r>
        <w:rPr>
          <w:rFonts w:cs="Arial"/>
          <w:i/>
          <w:sz w:val="24"/>
          <w:szCs w:val="24"/>
        </w:rPr>
        <w:t xml:space="preserve">the Functionalists Perspectives on Education. </w:t>
      </w:r>
      <w:r>
        <w:rPr>
          <w:rFonts w:cs="Arial"/>
          <w:sz w:val="24"/>
          <w:szCs w:val="24"/>
        </w:rPr>
        <w:t xml:space="preserve">Available at: </w:t>
      </w:r>
      <w:hyperlink r:id="rId26" w:history="1">
        <w:r w:rsidRPr="00E359DE">
          <w:rPr>
            <w:rStyle w:val="Hyperlink"/>
            <w:rFonts w:cs="Arial"/>
            <w:sz w:val="24"/>
            <w:szCs w:val="24"/>
          </w:rPr>
          <w:t>https://revisesociology.com/2015/01/26/functionalist-perspective-education/</w:t>
        </w:r>
      </w:hyperlink>
      <w:r>
        <w:rPr>
          <w:rFonts w:cs="Arial"/>
          <w:sz w:val="24"/>
          <w:szCs w:val="24"/>
        </w:rPr>
        <w:t xml:space="preserve"> (Accessed: 22</w:t>
      </w:r>
      <w:r w:rsidRPr="00FA0F34">
        <w:rPr>
          <w:rFonts w:cs="Arial"/>
          <w:sz w:val="24"/>
          <w:szCs w:val="24"/>
          <w:vertAlign w:val="superscript"/>
        </w:rPr>
        <w:t>nd</w:t>
      </w:r>
      <w:r>
        <w:rPr>
          <w:rFonts w:cs="Arial"/>
          <w:sz w:val="24"/>
          <w:szCs w:val="24"/>
        </w:rPr>
        <w:t xml:space="preserve"> January 2019). </w:t>
      </w:r>
      <w:r>
        <w:rPr>
          <w:rFonts w:cs="Arial"/>
          <w:sz w:val="24"/>
          <w:szCs w:val="24"/>
        </w:rPr>
        <w:br/>
      </w:r>
    </w:p>
    <w:p w:rsidR="0029463D" w:rsidRPr="00F72B8B" w:rsidRDefault="0029463D" w:rsidP="0029463D">
      <w:pPr>
        <w:pStyle w:val="ListParagraph"/>
        <w:numPr>
          <w:ilvl w:val="0"/>
          <w:numId w:val="1"/>
        </w:numPr>
        <w:spacing w:line="240" w:lineRule="auto"/>
        <w:rPr>
          <w:rFonts w:cs="Arial"/>
          <w:color w:val="222222"/>
          <w:sz w:val="24"/>
          <w:szCs w:val="24"/>
        </w:rPr>
      </w:pPr>
      <w:proofErr w:type="spellStart"/>
      <w:r w:rsidRPr="008A2B01">
        <w:rPr>
          <w:rFonts w:eastAsia="Times New Roman" w:cs="Segoe UI"/>
          <w:bCs/>
          <w:iCs/>
          <w:sz w:val="24"/>
          <w:szCs w:val="24"/>
          <w:lang w:eastAsia="en-GB"/>
        </w:rPr>
        <w:t>Tomasveski</w:t>
      </w:r>
      <w:proofErr w:type="spellEnd"/>
      <w:r w:rsidRPr="008A2B01">
        <w:rPr>
          <w:rFonts w:eastAsia="Times New Roman" w:cs="Segoe UI"/>
          <w:bCs/>
          <w:iCs/>
          <w:sz w:val="24"/>
          <w:szCs w:val="24"/>
          <w:lang w:eastAsia="en-GB"/>
        </w:rPr>
        <w:t xml:space="preserve">, K. (1998) </w:t>
      </w:r>
      <w:r w:rsidRPr="008A2B01">
        <w:rPr>
          <w:rFonts w:eastAsia="Times New Roman" w:cs="Segoe UI"/>
          <w:bCs/>
          <w:i/>
          <w:iCs/>
          <w:sz w:val="24"/>
          <w:szCs w:val="24"/>
          <w:lang w:eastAsia="en-GB"/>
        </w:rPr>
        <w:t>UN Special Rapporteur</w:t>
      </w:r>
      <w:r w:rsidRPr="008A2B01">
        <w:rPr>
          <w:rFonts w:eastAsia="Times New Roman" w:cs="Segoe UI"/>
          <w:bCs/>
          <w:iCs/>
          <w:sz w:val="24"/>
          <w:szCs w:val="24"/>
          <w:lang w:eastAsia="en-GB"/>
        </w:rPr>
        <w:t xml:space="preserve">. Available at: </w:t>
      </w:r>
      <w:hyperlink r:id="rId27" w:history="1">
        <w:r w:rsidRPr="008A2B01">
          <w:rPr>
            <w:rStyle w:val="Hyperlink"/>
            <w:sz w:val="24"/>
            <w:szCs w:val="24"/>
          </w:rPr>
          <w:t>https://www.ohchr.org/EN/Issues/Education/SREducation/Pages/SREducationIndex.aspx</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 </w:t>
      </w:r>
    </w:p>
    <w:p w:rsidR="0029463D" w:rsidRPr="006279F4" w:rsidRDefault="0029463D" w:rsidP="0029463D">
      <w:pPr>
        <w:pStyle w:val="ListParagraph"/>
        <w:spacing w:line="240" w:lineRule="auto"/>
        <w:rPr>
          <w:rFonts w:cs="Arial"/>
          <w:color w:val="222222"/>
          <w:sz w:val="24"/>
          <w:szCs w:val="24"/>
        </w:rPr>
      </w:pPr>
    </w:p>
    <w:p w:rsidR="0029463D" w:rsidRPr="008A2B01" w:rsidRDefault="0029463D" w:rsidP="0029463D">
      <w:pPr>
        <w:pStyle w:val="ListParagraph"/>
        <w:numPr>
          <w:ilvl w:val="0"/>
          <w:numId w:val="1"/>
        </w:numPr>
        <w:spacing w:line="240" w:lineRule="auto"/>
        <w:rPr>
          <w:rFonts w:cs="Arial"/>
          <w:color w:val="222222"/>
          <w:sz w:val="24"/>
          <w:szCs w:val="24"/>
        </w:rPr>
      </w:pPr>
      <w:r>
        <w:rPr>
          <w:rFonts w:eastAsia="Times New Roman" w:cs="Segoe UI"/>
          <w:bCs/>
          <w:iCs/>
          <w:sz w:val="24"/>
          <w:szCs w:val="24"/>
          <w:lang w:eastAsia="en-GB"/>
        </w:rPr>
        <w:t xml:space="preserve">UNESCO (2016) </w:t>
      </w:r>
      <w:r>
        <w:rPr>
          <w:rFonts w:eastAsia="Times New Roman" w:cs="Segoe UI"/>
          <w:bCs/>
          <w:i/>
          <w:iCs/>
          <w:sz w:val="24"/>
          <w:szCs w:val="24"/>
          <w:lang w:eastAsia="en-GB"/>
        </w:rPr>
        <w:t>Education for People and Planet.</w:t>
      </w:r>
      <w:r>
        <w:rPr>
          <w:rFonts w:eastAsia="Times New Roman" w:cs="Segoe UI"/>
          <w:bCs/>
          <w:iCs/>
          <w:sz w:val="24"/>
          <w:szCs w:val="24"/>
          <w:lang w:eastAsia="en-GB"/>
        </w:rPr>
        <w:t xml:space="preserve"> Available at: </w:t>
      </w:r>
      <w:hyperlink r:id="rId28" w:history="1">
        <w:r>
          <w:rPr>
            <w:rStyle w:val="Hyperlink"/>
          </w:rPr>
          <w:t>file:///C:/Users/Jono/AppData/Local/Temp/Rar$DIa4128.9869/Global%20Education%20Monitoring%20Report,%202016.pdf</w:t>
        </w:r>
      </w:hyperlink>
      <w:r>
        <w:t xml:space="preserve"> (Accessed 24</w:t>
      </w:r>
      <w:r>
        <w:rPr>
          <w:vertAlign w:val="superscript"/>
        </w:rPr>
        <w:t xml:space="preserve">th </w:t>
      </w:r>
      <w:r>
        <w:rPr>
          <w:rFonts w:cs="Arial"/>
          <w:color w:val="222222"/>
          <w:sz w:val="24"/>
          <w:szCs w:val="24"/>
        </w:rPr>
        <w:t xml:space="preserve">April 2019). </w:t>
      </w:r>
    </w:p>
    <w:p w:rsidR="0029463D" w:rsidRPr="008A2B01" w:rsidRDefault="0029463D" w:rsidP="0029463D">
      <w:pPr>
        <w:pStyle w:val="ListParagraph"/>
        <w:spacing w:line="240" w:lineRule="auto"/>
        <w:rPr>
          <w:rFonts w:cs="Arial"/>
          <w:color w:val="222222"/>
          <w:sz w:val="24"/>
          <w:szCs w:val="24"/>
        </w:rPr>
      </w:pPr>
    </w:p>
    <w:p w:rsidR="0029463D" w:rsidRPr="00DE2385" w:rsidRDefault="0029463D" w:rsidP="0029463D">
      <w:pPr>
        <w:pStyle w:val="ListParagraph"/>
        <w:numPr>
          <w:ilvl w:val="0"/>
          <w:numId w:val="1"/>
        </w:numPr>
        <w:spacing w:line="240" w:lineRule="auto"/>
        <w:rPr>
          <w:rFonts w:cs="Arial"/>
          <w:color w:val="222222"/>
          <w:sz w:val="24"/>
          <w:szCs w:val="24"/>
        </w:rPr>
      </w:pPr>
      <w:r w:rsidRPr="008A2B01">
        <w:rPr>
          <w:rFonts w:cs="Arial"/>
          <w:color w:val="222222"/>
          <w:sz w:val="24"/>
          <w:szCs w:val="24"/>
        </w:rPr>
        <w:t xml:space="preserve">UNESCO (2000) </w:t>
      </w:r>
      <w:r w:rsidRPr="008A2B01">
        <w:rPr>
          <w:rFonts w:cs="Arial"/>
          <w:i/>
          <w:color w:val="222222"/>
          <w:sz w:val="24"/>
          <w:szCs w:val="24"/>
        </w:rPr>
        <w:t>the Dakar Framework for Action</w:t>
      </w:r>
      <w:r w:rsidRPr="008A2B01">
        <w:rPr>
          <w:rFonts w:cs="Arial"/>
          <w:color w:val="222222"/>
          <w:sz w:val="24"/>
          <w:szCs w:val="24"/>
        </w:rPr>
        <w:t>. Available at:</w:t>
      </w:r>
      <w:r w:rsidRPr="008A2B01">
        <w:rPr>
          <w:sz w:val="24"/>
          <w:szCs w:val="24"/>
        </w:rPr>
        <w:t xml:space="preserve"> </w:t>
      </w:r>
      <w:hyperlink r:id="rId29" w:history="1">
        <w:r w:rsidRPr="008A2B01">
          <w:rPr>
            <w:rStyle w:val="Hyperlink"/>
            <w:sz w:val="24"/>
            <w:szCs w:val="24"/>
          </w:rPr>
          <w:t>https://unesdoc.unesco.org/ark:/48223/pf0000121147</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w:t>
      </w:r>
    </w:p>
    <w:p w:rsidR="0029463D" w:rsidRPr="00DE2385" w:rsidRDefault="0029463D" w:rsidP="0029463D">
      <w:pPr>
        <w:pStyle w:val="ListParagraph"/>
        <w:rPr>
          <w:sz w:val="24"/>
          <w:szCs w:val="24"/>
        </w:rPr>
      </w:pPr>
    </w:p>
    <w:p w:rsidR="0029463D" w:rsidRPr="00D65720" w:rsidRDefault="0029463D" w:rsidP="0029463D">
      <w:pPr>
        <w:pStyle w:val="ListParagraph"/>
        <w:numPr>
          <w:ilvl w:val="0"/>
          <w:numId w:val="1"/>
        </w:numPr>
        <w:spacing w:line="240" w:lineRule="auto"/>
        <w:rPr>
          <w:rFonts w:cs="Arial"/>
          <w:color w:val="222222"/>
          <w:sz w:val="24"/>
          <w:szCs w:val="24"/>
        </w:rPr>
      </w:pPr>
      <w:r>
        <w:rPr>
          <w:sz w:val="24"/>
          <w:szCs w:val="24"/>
        </w:rPr>
        <w:t xml:space="preserve">UNESCO (2018) </w:t>
      </w:r>
      <w:r>
        <w:rPr>
          <w:i/>
          <w:sz w:val="24"/>
          <w:szCs w:val="24"/>
        </w:rPr>
        <w:t xml:space="preserve">Gender Equality in Education. </w:t>
      </w:r>
      <w:r>
        <w:rPr>
          <w:sz w:val="24"/>
          <w:szCs w:val="24"/>
        </w:rPr>
        <w:t xml:space="preserve">Available at: </w:t>
      </w:r>
      <w:hyperlink r:id="rId30" w:history="1">
        <w:r w:rsidRPr="00D54336">
          <w:rPr>
            <w:rStyle w:val="Hyperlink"/>
            <w:sz w:val="24"/>
          </w:rPr>
          <w:t>http://uis.unesco.org/en/topic/gender-equality-education</w:t>
        </w:r>
      </w:hyperlink>
      <w:r w:rsidRPr="00D54336">
        <w:rPr>
          <w:sz w:val="24"/>
        </w:rPr>
        <w:t xml:space="preserve"> (Accessed 25</w:t>
      </w:r>
      <w:r w:rsidRPr="00D54336">
        <w:rPr>
          <w:sz w:val="24"/>
          <w:vertAlign w:val="superscript"/>
        </w:rPr>
        <w:t>th</w:t>
      </w:r>
      <w:r w:rsidRPr="00D54336">
        <w:rPr>
          <w:sz w:val="24"/>
        </w:rPr>
        <w:t xml:space="preserve"> April 2019). </w:t>
      </w:r>
    </w:p>
    <w:p w:rsidR="0029463D" w:rsidRPr="00D65720" w:rsidRDefault="0029463D" w:rsidP="0029463D">
      <w:pPr>
        <w:pStyle w:val="ListParagraph"/>
        <w:rPr>
          <w:sz w:val="28"/>
          <w:szCs w:val="24"/>
        </w:rPr>
      </w:pPr>
    </w:p>
    <w:p w:rsidR="0029463D" w:rsidRPr="008A2B01" w:rsidRDefault="0029463D" w:rsidP="0029463D">
      <w:pPr>
        <w:pStyle w:val="ListParagraph"/>
        <w:numPr>
          <w:ilvl w:val="0"/>
          <w:numId w:val="1"/>
        </w:numPr>
        <w:spacing w:line="240" w:lineRule="auto"/>
        <w:rPr>
          <w:rFonts w:cs="Arial"/>
          <w:color w:val="222222"/>
          <w:sz w:val="24"/>
          <w:szCs w:val="24"/>
        </w:rPr>
      </w:pPr>
      <w:r>
        <w:rPr>
          <w:sz w:val="24"/>
          <w:szCs w:val="24"/>
        </w:rPr>
        <w:t>UNESCO (2018)</w:t>
      </w:r>
      <w:r>
        <w:rPr>
          <w:i/>
          <w:sz w:val="24"/>
          <w:szCs w:val="24"/>
        </w:rPr>
        <w:t xml:space="preserve"> </w:t>
      </w:r>
      <w:proofErr w:type="gramStart"/>
      <w:r>
        <w:rPr>
          <w:i/>
          <w:sz w:val="24"/>
          <w:szCs w:val="24"/>
        </w:rPr>
        <w:t>One</w:t>
      </w:r>
      <w:proofErr w:type="gramEnd"/>
      <w:r>
        <w:rPr>
          <w:i/>
          <w:sz w:val="24"/>
          <w:szCs w:val="24"/>
        </w:rPr>
        <w:t xml:space="preserve"> in Five Children, Adolescents and Youth is Out of School. </w:t>
      </w:r>
      <w:r>
        <w:rPr>
          <w:sz w:val="24"/>
          <w:szCs w:val="24"/>
        </w:rPr>
        <w:t xml:space="preserve">Available at: </w:t>
      </w:r>
      <w:hyperlink r:id="rId31" w:history="1">
        <w:r>
          <w:rPr>
            <w:rStyle w:val="Hyperlink"/>
          </w:rPr>
          <w:t>http://uis.unesco.org/sites/default/files/documents/fs48-one-five-children-adolescents-youth-out-school-2018-en.pdf</w:t>
        </w:r>
      </w:hyperlink>
      <w:r>
        <w:t xml:space="preserve"> (Accessed 10</w:t>
      </w:r>
      <w:r w:rsidRPr="00D65720">
        <w:rPr>
          <w:vertAlign w:val="superscript"/>
        </w:rPr>
        <w:t>th</w:t>
      </w:r>
      <w:r>
        <w:t xml:space="preserve"> April 2019). </w:t>
      </w:r>
      <w:r w:rsidRPr="00D54336">
        <w:rPr>
          <w:sz w:val="28"/>
          <w:szCs w:val="24"/>
        </w:rPr>
        <w:br/>
      </w:r>
    </w:p>
    <w:p w:rsidR="0029463D" w:rsidRPr="004F2058"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UNICEF (2017) </w:t>
      </w:r>
      <w:r w:rsidRPr="008A2B01">
        <w:rPr>
          <w:rFonts w:cs="Arial"/>
          <w:i/>
          <w:color w:val="222222"/>
          <w:sz w:val="24"/>
          <w:szCs w:val="24"/>
        </w:rPr>
        <w:t xml:space="preserve">The Right to be a child. </w:t>
      </w:r>
      <w:r w:rsidRPr="008A2B01">
        <w:rPr>
          <w:rFonts w:cs="Arial"/>
          <w:color w:val="222222"/>
          <w:sz w:val="24"/>
          <w:szCs w:val="24"/>
        </w:rPr>
        <w:t xml:space="preserve">Available at: </w:t>
      </w:r>
      <w:hyperlink r:id="rId32" w:history="1">
        <w:r w:rsidRPr="008A2B01">
          <w:rPr>
            <w:rStyle w:val="Hyperlink"/>
            <w:sz w:val="24"/>
            <w:szCs w:val="24"/>
          </w:rPr>
          <w:t>https://www.unicef.org.uk/</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 </w:t>
      </w:r>
      <w:r>
        <w:rPr>
          <w:sz w:val="24"/>
          <w:szCs w:val="24"/>
        </w:rPr>
        <w:br/>
      </w:r>
    </w:p>
    <w:p w:rsidR="0029463D"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UNICEF (2015) </w:t>
      </w:r>
      <w:r w:rsidRPr="008A2B01">
        <w:rPr>
          <w:rFonts w:cs="Arial"/>
          <w:i/>
          <w:color w:val="222222"/>
          <w:sz w:val="24"/>
          <w:szCs w:val="24"/>
        </w:rPr>
        <w:t xml:space="preserve">Trustees’ Report and Consolidated Financial Statements. </w:t>
      </w:r>
      <w:r w:rsidRPr="008A2B01">
        <w:rPr>
          <w:rFonts w:cs="Arial"/>
          <w:color w:val="222222"/>
          <w:sz w:val="24"/>
          <w:szCs w:val="24"/>
        </w:rPr>
        <w:t xml:space="preserve">Available at: </w:t>
      </w:r>
      <w:hyperlink r:id="rId33" w:history="1">
        <w:r w:rsidRPr="008A2B01">
          <w:rPr>
            <w:rStyle w:val="Hyperlink"/>
            <w:sz w:val="24"/>
            <w:szCs w:val="24"/>
          </w:rPr>
          <w:t>https://www.unicef.org.uk/wp-</w:t>
        </w:r>
        <w:r w:rsidRPr="008A2B01">
          <w:rPr>
            <w:rStyle w:val="Hyperlink"/>
            <w:sz w:val="24"/>
            <w:szCs w:val="24"/>
          </w:rPr>
          <w:lastRenderedPageBreak/>
          <w:t>content/uploads/2016/06/TrusteesReport2015_FINAL.pdf</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 </w:t>
      </w:r>
      <w:r>
        <w:rPr>
          <w:sz w:val="24"/>
          <w:szCs w:val="24"/>
        </w:rPr>
        <w:br/>
      </w:r>
    </w:p>
    <w:p w:rsidR="0029463D" w:rsidRPr="004A69ED" w:rsidRDefault="0029463D" w:rsidP="0029463D">
      <w:pPr>
        <w:pStyle w:val="ListParagraph"/>
        <w:numPr>
          <w:ilvl w:val="0"/>
          <w:numId w:val="1"/>
        </w:numPr>
        <w:spacing w:line="240" w:lineRule="auto"/>
        <w:rPr>
          <w:sz w:val="24"/>
          <w:szCs w:val="24"/>
        </w:rPr>
      </w:pPr>
      <w:r>
        <w:rPr>
          <w:sz w:val="24"/>
          <w:szCs w:val="24"/>
        </w:rPr>
        <w:t xml:space="preserve">United Nations (2019) </w:t>
      </w:r>
      <w:r w:rsidRPr="003A3642">
        <w:rPr>
          <w:i/>
          <w:sz w:val="24"/>
          <w:szCs w:val="24"/>
        </w:rPr>
        <w:t>First earth summit (1992</w:t>
      </w:r>
      <w:r w:rsidRPr="003A3642">
        <w:rPr>
          <w:sz w:val="24"/>
          <w:szCs w:val="24"/>
        </w:rPr>
        <w:t>)</w:t>
      </w:r>
      <w:r>
        <w:rPr>
          <w:sz w:val="24"/>
          <w:szCs w:val="24"/>
        </w:rPr>
        <w:t>.</w:t>
      </w:r>
      <w:r w:rsidRPr="003A3642">
        <w:rPr>
          <w:sz w:val="24"/>
          <w:szCs w:val="24"/>
        </w:rPr>
        <w:t xml:space="preserve"> Available at: </w:t>
      </w:r>
      <w:hyperlink r:id="rId34" w:history="1">
        <w:r w:rsidRPr="003A3642">
          <w:rPr>
            <w:rStyle w:val="Hyperlink"/>
            <w:sz w:val="24"/>
            <w:szCs w:val="24"/>
          </w:rPr>
          <w:t>www.un.org</w:t>
        </w:r>
      </w:hyperlink>
      <w:r w:rsidRPr="003A3642">
        <w:rPr>
          <w:sz w:val="24"/>
          <w:szCs w:val="24"/>
        </w:rPr>
        <w:t>. (Accessed 23</w:t>
      </w:r>
      <w:r w:rsidRPr="003A3642">
        <w:rPr>
          <w:sz w:val="24"/>
          <w:szCs w:val="24"/>
          <w:vertAlign w:val="superscript"/>
        </w:rPr>
        <w:t>rd</w:t>
      </w:r>
      <w:r w:rsidRPr="003A3642">
        <w:rPr>
          <w:sz w:val="24"/>
          <w:szCs w:val="24"/>
        </w:rPr>
        <w:t xml:space="preserve"> March 2019). </w:t>
      </w:r>
      <w:r>
        <w:rPr>
          <w:sz w:val="24"/>
          <w:szCs w:val="24"/>
        </w:rPr>
        <w:br/>
      </w:r>
    </w:p>
    <w:p w:rsidR="0029463D" w:rsidRPr="008A2B01"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United Nations (2019) </w:t>
      </w:r>
      <w:r w:rsidRPr="008A2B01">
        <w:rPr>
          <w:rFonts w:cs="Arial"/>
          <w:i/>
          <w:color w:val="222222"/>
          <w:sz w:val="24"/>
          <w:szCs w:val="24"/>
        </w:rPr>
        <w:t xml:space="preserve">News on Millennium Developmental Goals. </w:t>
      </w:r>
      <w:r w:rsidRPr="008A2B01">
        <w:rPr>
          <w:rFonts w:cs="Arial"/>
          <w:color w:val="222222"/>
          <w:sz w:val="24"/>
          <w:szCs w:val="24"/>
        </w:rPr>
        <w:t xml:space="preserve">Available at: </w:t>
      </w:r>
      <w:hyperlink r:id="rId35" w:history="1">
        <w:r w:rsidRPr="008A2B01">
          <w:rPr>
            <w:rStyle w:val="Hyperlink"/>
            <w:sz w:val="24"/>
            <w:szCs w:val="24"/>
          </w:rPr>
          <w:t>https://www.un.org/millenniumgoals/</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 </w:t>
      </w:r>
      <w:r>
        <w:rPr>
          <w:sz w:val="24"/>
          <w:szCs w:val="24"/>
        </w:rPr>
        <w:br/>
      </w:r>
    </w:p>
    <w:p w:rsidR="0029463D" w:rsidRPr="00DE5EAB" w:rsidRDefault="0029463D" w:rsidP="0029463D">
      <w:pPr>
        <w:pStyle w:val="ListParagraph"/>
        <w:numPr>
          <w:ilvl w:val="0"/>
          <w:numId w:val="1"/>
        </w:numPr>
        <w:spacing w:line="240" w:lineRule="auto"/>
        <w:rPr>
          <w:sz w:val="24"/>
          <w:szCs w:val="24"/>
        </w:rPr>
      </w:pPr>
      <w:proofErr w:type="spellStart"/>
      <w:r w:rsidRPr="008A2B01">
        <w:rPr>
          <w:rFonts w:cs="Arial"/>
          <w:color w:val="222222"/>
          <w:sz w:val="24"/>
          <w:szCs w:val="24"/>
        </w:rPr>
        <w:t>Unterhalter</w:t>
      </w:r>
      <w:proofErr w:type="spellEnd"/>
      <w:r w:rsidRPr="008A2B01">
        <w:rPr>
          <w:rFonts w:cs="Arial"/>
          <w:color w:val="222222"/>
          <w:sz w:val="24"/>
          <w:szCs w:val="24"/>
        </w:rPr>
        <w:t xml:space="preserve">, E. (2014) ‘Measuring Education for the Millennium Development Goals: Reflections on Targets, Indicators, and a Post-15 Framework.’ </w:t>
      </w:r>
      <w:r w:rsidRPr="008A2B01">
        <w:rPr>
          <w:rFonts w:cs="Arial"/>
          <w:i/>
          <w:color w:val="222222"/>
          <w:sz w:val="24"/>
          <w:szCs w:val="24"/>
        </w:rPr>
        <w:t>Journal of Human Development and Capabilities.</w:t>
      </w:r>
      <w:r w:rsidRPr="008A2B01">
        <w:rPr>
          <w:rFonts w:cs="Arial"/>
          <w:color w:val="222222"/>
          <w:sz w:val="24"/>
          <w:szCs w:val="24"/>
        </w:rPr>
        <w:t xml:space="preserve"> 15(3), pp. 176-187. </w:t>
      </w:r>
    </w:p>
    <w:p w:rsidR="0029463D" w:rsidRPr="008A2B01" w:rsidRDefault="0029463D" w:rsidP="0029463D">
      <w:pPr>
        <w:pStyle w:val="ListParagraph"/>
        <w:spacing w:line="240" w:lineRule="auto"/>
        <w:rPr>
          <w:sz w:val="24"/>
          <w:szCs w:val="24"/>
        </w:rPr>
      </w:pPr>
    </w:p>
    <w:p w:rsidR="0029463D" w:rsidRDefault="0029463D" w:rsidP="0029463D">
      <w:pPr>
        <w:pStyle w:val="ListParagraph"/>
        <w:numPr>
          <w:ilvl w:val="0"/>
          <w:numId w:val="1"/>
        </w:numPr>
        <w:spacing w:line="240" w:lineRule="auto"/>
        <w:rPr>
          <w:rFonts w:cs="Arial"/>
          <w:color w:val="222222"/>
          <w:sz w:val="24"/>
          <w:szCs w:val="24"/>
        </w:rPr>
      </w:pPr>
      <w:r w:rsidRPr="00CC675B">
        <w:rPr>
          <w:rFonts w:cs="Arial"/>
          <w:color w:val="222222"/>
          <w:sz w:val="24"/>
          <w:szCs w:val="24"/>
        </w:rPr>
        <w:t xml:space="preserve">Welsh Government (2017) </w:t>
      </w:r>
      <w:r w:rsidRPr="00CC675B">
        <w:rPr>
          <w:rFonts w:cs="Arial"/>
          <w:i/>
          <w:iCs/>
          <w:color w:val="222222"/>
          <w:sz w:val="24"/>
          <w:szCs w:val="24"/>
        </w:rPr>
        <w:t xml:space="preserve">Education for Sustainable Development and Global Citizenship. </w:t>
      </w:r>
      <w:r w:rsidRPr="00CC675B">
        <w:rPr>
          <w:rFonts w:cs="Arial"/>
          <w:color w:val="222222"/>
          <w:sz w:val="24"/>
          <w:szCs w:val="24"/>
        </w:rPr>
        <w:t xml:space="preserve">Available at: </w:t>
      </w:r>
      <w:hyperlink r:id="rId36" w:history="1">
        <w:r w:rsidRPr="00CC675B">
          <w:rPr>
            <w:rStyle w:val="Hyperlink"/>
            <w:rFonts w:cs="Arial"/>
            <w:sz w:val="24"/>
            <w:szCs w:val="24"/>
          </w:rPr>
          <w:t>https://learning.gov.wales/resources/browse-all/education-for-sustainable-development-and-global-citizenship/?lang=en</w:t>
        </w:r>
      </w:hyperlink>
      <w:r w:rsidRPr="00CC675B">
        <w:rPr>
          <w:rFonts w:cs="Arial"/>
          <w:color w:val="222222"/>
          <w:sz w:val="24"/>
          <w:szCs w:val="24"/>
        </w:rPr>
        <w:t xml:space="preserve"> (Accessed 23</w:t>
      </w:r>
      <w:r w:rsidRPr="00CC675B">
        <w:rPr>
          <w:rFonts w:cs="Arial"/>
          <w:color w:val="222222"/>
          <w:sz w:val="24"/>
          <w:szCs w:val="24"/>
          <w:vertAlign w:val="superscript"/>
        </w:rPr>
        <w:t>rd</w:t>
      </w:r>
      <w:r>
        <w:rPr>
          <w:rFonts w:cs="Arial"/>
          <w:color w:val="222222"/>
          <w:sz w:val="24"/>
          <w:szCs w:val="24"/>
        </w:rPr>
        <w:t xml:space="preserve"> April</w:t>
      </w:r>
      <w:r w:rsidRPr="00CC675B">
        <w:rPr>
          <w:rFonts w:cs="Arial"/>
          <w:color w:val="222222"/>
          <w:sz w:val="24"/>
          <w:szCs w:val="24"/>
        </w:rPr>
        <w:t xml:space="preserve"> 2019). </w:t>
      </w:r>
      <w:r>
        <w:rPr>
          <w:rFonts w:cs="Arial"/>
          <w:color w:val="222222"/>
          <w:sz w:val="24"/>
          <w:szCs w:val="24"/>
        </w:rPr>
        <w:br/>
      </w:r>
    </w:p>
    <w:p w:rsidR="0029463D" w:rsidRPr="004A69ED" w:rsidRDefault="0029463D" w:rsidP="0029463D">
      <w:pPr>
        <w:pStyle w:val="ListParagraph"/>
        <w:numPr>
          <w:ilvl w:val="0"/>
          <w:numId w:val="1"/>
        </w:numPr>
        <w:spacing w:after="0" w:line="240" w:lineRule="auto"/>
        <w:rPr>
          <w:sz w:val="24"/>
          <w:szCs w:val="24"/>
        </w:rPr>
      </w:pPr>
      <w:r>
        <w:rPr>
          <w:sz w:val="24"/>
          <w:szCs w:val="24"/>
        </w:rPr>
        <w:t xml:space="preserve">Welsh Government (2016) </w:t>
      </w:r>
      <w:proofErr w:type="spellStart"/>
      <w:r>
        <w:rPr>
          <w:i/>
          <w:sz w:val="24"/>
          <w:szCs w:val="24"/>
        </w:rPr>
        <w:t>FaCE</w:t>
      </w:r>
      <w:proofErr w:type="spellEnd"/>
      <w:r>
        <w:rPr>
          <w:i/>
          <w:sz w:val="24"/>
          <w:szCs w:val="24"/>
        </w:rPr>
        <w:t xml:space="preserve"> the Challenge Together: Family and Community Engagement Toolkit for Schools in Wales. </w:t>
      </w:r>
      <w:r>
        <w:rPr>
          <w:sz w:val="24"/>
          <w:szCs w:val="24"/>
        </w:rPr>
        <w:t>Available at:</w:t>
      </w:r>
      <w:r w:rsidRPr="00190A4B">
        <w:t xml:space="preserve"> </w:t>
      </w:r>
      <w:hyperlink r:id="rId37" w:history="1">
        <w:r w:rsidRPr="00974972">
          <w:rPr>
            <w:rStyle w:val="Hyperlink"/>
            <w:sz w:val="24"/>
            <w:szCs w:val="24"/>
          </w:rPr>
          <w:t>http://learning.gov.wales/docs/learningwales/publications/160712-face-toolkit-main-en.pdf</w:t>
        </w:r>
      </w:hyperlink>
      <w:r>
        <w:rPr>
          <w:sz w:val="24"/>
          <w:szCs w:val="24"/>
        </w:rPr>
        <w:t xml:space="preserve"> (Accessed 20th January 2019). </w:t>
      </w:r>
      <w:r>
        <w:rPr>
          <w:sz w:val="24"/>
          <w:szCs w:val="24"/>
        </w:rPr>
        <w:br/>
      </w:r>
    </w:p>
    <w:p w:rsidR="0029463D" w:rsidRPr="004A69ED" w:rsidRDefault="0029463D" w:rsidP="0029463D">
      <w:pPr>
        <w:pStyle w:val="ListParagraph"/>
        <w:numPr>
          <w:ilvl w:val="0"/>
          <w:numId w:val="1"/>
        </w:numPr>
        <w:spacing w:line="240" w:lineRule="auto"/>
        <w:rPr>
          <w:sz w:val="24"/>
          <w:szCs w:val="28"/>
        </w:rPr>
      </w:pPr>
      <w:proofErr w:type="spellStart"/>
      <w:r w:rsidRPr="004A69ED">
        <w:rPr>
          <w:sz w:val="24"/>
          <w:szCs w:val="28"/>
        </w:rPr>
        <w:t>Zarobe</w:t>
      </w:r>
      <w:proofErr w:type="spellEnd"/>
      <w:r w:rsidRPr="004A69ED">
        <w:rPr>
          <w:sz w:val="24"/>
          <w:szCs w:val="28"/>
        </w:rPr>
        <w:t xml:space="preserve">, Y., </w:t>
      </w:r>
      <w:proofErr w:type="spellStart"/>
      <w:r w:rsidRPr="004A69ED">
        <w:rPr>
          <w:sz w:val="24"/>
          <w:szCs w:val="28"/>
        </w:rPr>
        <w:t>Sierra</w:t>
      </w:r>
      <w:proofErr w:type="gramStart"/>
      <w:r w:rsidRPr="004A69ED">
        <w:rPr>
          <w:sz w:val="24"/>
          <w:szCs w:val="28"/>
        </w:rPr>
        <w:t>,M,J</w:t>
      </w:r>
      <w:proofErr w:type="spellEnd"/>
      <w:proofErr w:type="gramEnd"/>
      <w:r w:rsidRPr="004A69ED">
        <w:rPr>
          <w:sz w:val="24"/>
          <w:szCs w:val="28"/>
        </w:rPr>
        <w:t xml:space="preserve">., Gallardo del Puerto, F. (2011) </w:t>
      </w:r>
      <w:r w:rsidRPr="004A69ED">
        <w:rPr>
          <w:i/>
          <w:sz w:val="24"/>
          <w:szCs w:val="28"/>
        </w:rPr>
        <w:t xml:space="preserve">Content and Foreign Language Integrated Learning. </w:t>
      </w:r>
      <w:r w:rsidRPr="004A69ED">
        <w:rPr>
          <w:sz w:val="24"/>
          <w:szCs w:val="28"/>
        </w:rPr>
        <w:t xml:space="preserve">Switzerland: Peter Lang. </w:t>
      </w:r>
    </w:p>
    <w:p w:rsidR="0029463D" w:rsidRPr="008A2B01" w:rsidRDefault="0029463D" w:rsidP="0029463D">
      <w:pPr>
        <w:pStyle w:val="ListParagraph"/>
        <w:spacing w:line="240" w:lineRule="auto"/>
        <w:rPr>
          <w:rFonts w:cs="Arial"/>
          <w:color w:val="222222"/>
          <w:sz w:val="24"/>
          <w:szCs w:val="24"/>
        </w:rPr>
      </w:pPr>
    </w:p>
    <w:p w:rsidR="0029463D" w:rsidRPr="008A2B01" w:rsidRDefault="0029463D" w:rsidP="0029463D">
      <w:pPr>
        <w:spacing w:line="240" w:lineRule="auto"/>
        <w:rPr>
          <w:sz w:val="24"/>
          <w:szCs w:val="24"/>
        </w:rPr>
      </w:pPr>
    </w:p>
    <w:p w:rsidR="0029463D" w:rsidRPr="00475AD5" w:rsidRDefault="0029463D" w:rsidP="0029463D">
      <w:pPr>
        <w:spacing w:line="240" w:lineRule="auto"/>
        <w:rPr>
          <w:b/>
          <w:sz w:val="24"/>
          <w:szCs w:val="24"/>
          <w:u w:val="single"/>
        </w:rPr>
      </w:pPr>
      <w:r w:rsidRPr="00475AD5">
        <w:rPr>
          <w:b/>
          <w:sz w:val="24"/>
          <w:szCs w:val="24"/>
          <w:u w:val="single"/>
        </w:rPr>
        <w:t>Global Perspectives on Education</w:t>
      </w:r>
    </w:p>
    <w:p w:rsidR="0029463D" w:rsidRPr="00475AD5" w:rsidRDefault="0029463D" w:rsidP="0029463D">
      <w:pPr>
        <w:spacing w:line="240" w:lineRule="auto"/>
        <w:rPr>
          <w:b/>
          <w:sz w:val="24"/>
          <w:szCs w:val="24"/>
          <w:u w:val="single"/>
        </w:rPr>
      </w:pPr>
      <w:r w:rsidRPr="00475AD5">
        <w:rPr>
          <w:b/>
          <w:sz w:val="24"/>
          <w:szCs w:val="24"/>
          <w:u w:val="single"/>
        </w:rPr>
        <w:t xml:space="preserve">Bibliography List </w:t>
      </w:r>
    </w:p>
    <w:p w:rsidR="0029463D" w:rsidRDefault="0029463D" w:rsidP="0029463D">
      <w:pPr>
        <w:pStyle w:val="ListParagraph"/>
        <w:numPr>
          <w:ilvl w:val="0"/>
          <w:numId w:val="2"/>
        </w:numPr>
        <w:spacing w:line="240" w:lineRule="auto"/>
        <w:rPr>
          <w:sz w:val="24"/>
          <w:szCs w:val="24"/>
        </w:rPr>
      </w:pPr>
      <w:r>
        <w:rPr>
          <w:sz w:val="24"/>
          <w:szCs w:val="24"/>
        </w:rPr>
        <w:t xml:space="preserve">Fennell, S and </w:t>
      </w:r>
      <w:proofErr w:type="spellStart"/>
      <w:r>
        <w:rPr>
          <w:sz w:val="24"/>
          <w:szCs w:val="24"/>
        </w:rPr>
        <w:t>Arnot</w:t>
      </w:r>
      <w:proofErr w:type="spellEnd"/>
      <w:r>
        <w:rPr>
          <w:sz w:val="24"/>
          <w:szCs w:val="24"/>
        </w:rPr>
        <w:t xml:space="preserve">, M. (2008) </w:t>
      </w:r>
      <w:r w:rsidRPr="003825AE">
        <w:rPr>
          <w:sz w:val="24"/>
          <w:szCs w:val="24"/>
        </w:rPr>
        <w:t>Gender Education and Equality in a Global Context</w:t>
      </w:r>
      <w:r>
        <w:rPr>
          <w:i/>
          <w:sz w:val="24"/>
          <w:szCs w:val="24"/>
        </w:rPr>
        <w:t xml:space="preserve">. </w:t>
      </w:r>
      <w:r>
        <w:rPr>
          <w:sz w:val="24"/>
          <w:szCs w:val="24"/>
        </w:rPr>
        <w:t xml:space="preserve">London: </w:t>
      </w:r>
      <w:proofErr w:type="spellStart"/>
      <w:r>
        <w:rPr>
          <w:sz w:val="24"/>
          <w:szCs w:val="24"/>
        </w:rPr>
        <w:t>Routledge</w:t>
      </w:r>
      <w:proofErr w:type="spellEnd"/>
      <w:r>
        <w:rPr>
          <w:sz w:val="24"/>
          <w:szCs w:val="24"/>
        </w:rPr>
        <w:t>.</w:t>
      </w:r>
    </w:p>
    <w:p w:rsidR="0029463D" w:rsidRPr="00E067CC" w:rsidRDefault="0029463D" w:rsidP="0029463D">
      <w:pPr>
        <w:pStyle w:val="ListParagraph"/>
        <w:spacing w:line="240" w:lineRule="auto"/>
        <w:rPr>
          <w:sz w:val="24"/>
          <w:szCs w:val="24"/>
        </w:rPr>
      </w:pPr>
    </w:p>
    <w:p w:rsidR="0029463D" w:rsidRDefault="0029463D" w:rsidP="0029463D">
      <w:pPr>
        <w:pStyle w:val="ListParagraph"/>
        <w:numPr>
          <w:ilvl w:val="0"/>
          <w:numId w:val="2"/>
        </w:numPr>
        <w:spacing w:after="0"/>
        <w:rPr>
          <w:rFonts w:eastAsia="Calibri" w:cs="Arial"/>
          <w:sz w:val="24"/>
          <w:szCs w:val="24"/>
          <w:lang w:val="en-US"/>
        </w:rPr>
      </w:pPr>
      <w:proofErr w:type="spellStart"/>
      <w:r w:rsidRPr="00475AD5">
        <w:rPr>
          <w:rFonts w:eastAsia="Calibri" w:cs="Arial"/>
          <w:sz w:val="24"/>
          <w:szCs w:val="24"/>
          <w:lang w:val="en-US"/>
        </w:rPr>
        <w:t>McCowan</w:t>
      </w:r>
      <w:proofErr w:type="spellEnd"/>
      <w:r w:rsidRPr="00475AD5">
        <w:rPr>
          <w:rFonts w:eastAsia="Calibri" w:cs="Arial"/>
          <w:sz w:val="24"/>
          <w:szCs w:val="24"/>
          <w:lang w:val="en-US"/>
        </w:rPr>
        <w:t xml:space="preserve">, T. &amp; </w:t>
      </w:r>
      <w:proofErr w:type="spellStart"/>
      <w:r w:rsidRPr="00475AD5">
        <w:rPr>
          <w:rFonts w:eastAsia="Calibri" w:cs="Arial"/>
          <w:sz w:val="24"/>
          <w:szCs w:val="24"/>
          <w:lang w:val="en-US"/>
        </w:rPr>
        <w:t>Unterhalter</w:t>
      </w:r>
      <w:proofErr w:type="spellEnd"/>
      <w:r w:rsidRPr="00475AD5">
        <w:rPr>
          <w:rFonts w:eastAsia="Calibri" w:cs="Arial"/>
          <w:sz w:val="24"/>
          <w:szCs w:val="24"/>
          <w:lang w:val="en-US"/>
        </w:rPr>
        <w:t>, E. (</w:t>
      </w:r>
      <w:proofErr w:type="spellStart"/>
      <w:proofErr w:type="gramStart"/>
      <w:r w:rsidRPr="00475AD5">
        <w:rPr>
          <w:rFonts w:eastAsia="Calibri" w:cs="Arial"/>
          <w:sz w:val="24"/>
          <w:szCs w:val="24"/>
          <w:lang w:val="en-US"/>
        </w:rPr>
        <w:t>eds</w:t>
      </w:r>
      <w:proofErr w:type="spellEnd"/>
      <w:proofErr w:type="gramEnd"/>
      <w:r w:rsidRPr="00475AD5">
        <w:rPr>
          <w:rFonts w:eastAsia="Calibri" w:cs="Arial"/>
          <w:sz w:val="24"/>
          <w:szCs w:val="24"/>
          <w:lang w:val="en-US"/>
        </w:rPr>
        <w:t xml:space="preserve">) (2015) </w:t>
      </w:r>
      <w:r w:rsidRPr="00475AD5">
        <w:rPr>
          <w:rFonts w:eastAsia="Calibri" w:cs="Arial"/>
          <w:i/>
          <w:sz w:val="24"/>
          <w:szCs w:val="24"/>
          <w:lang w:val="en-US"/>
        </w:rPr>
        <w:t xml:space="preserve">Education and International Development. </w:t>
      </w:r>
      <w:r w:rsidRPr="00475AD5">
        <w:rPr>
          <w:rFonts w:eastAsia="Calibri" w:cs="Arial"/>
          <w:sz w:val="24"/>
          <w:szCs w:val="24"/>
          <w:lang w:val="en-US"/>
        </w:rPr>
        <w:t>London: Bloomsbury.</w:t>
      </w:r>
    </w:p>
    <w:p w:rsidR="0029463D" w:rsidRPr="00E067CC" w:rsidRDefault="0029463D" w:rsidP="0029463D">
      <w:pPr>
        <w:spacing w:after="0"/>
        <w:rPr>
          <w:rFonts w:eastAsia="Calibri" w:cs="Arial"/>
          <w:sz w:val="24"/>
          <w:szCs w:val="24"/>
          <w:lang w:val="en-US"/>
        </w:rPr>
      </w:pPr>
    </w:p>
    <w:p w:rsidR="0029463D" w:rsidRPr="00E067CC" w:rsidRDefault="0029463D" w:rsidP="0029463D">
      <w:pPr>
        <w:pStyle w:val="ListParagraph"/>
        <w:numPr>
          <w:ilvl w:val="0"/>
          <w:numId w:val="2"/>
        </w:numPr>
        <w:spacing w:after="0"/>
        <w:rPr>
          <w:sz w:val="24"/>
          <w:szCs w:val="24"/>
        </w:rPr>
      </w:pPr>
      <w:proofErr w:type="spellStart"/>
      <w:r w:rsidRPr="00475AD5">
        <w:rPr>
          <w:rFonts w:cs="Arial"/>
          <w:sz w:val="24"/>
          <w:szCs w:val="24"/>
        </w:rPr>
        <w:t>Mittelman</w:t>
      </w:r>
      <w:proofErr w:type="spellEnd"/>
      <w:r w:rsidRPr="00475AD5">
        <w:rPr>
          <w:rFonts w:cs="Arial"/>
          <w:sz w:val="24"/>
          <w:szCs w:val="24"/>
        </w:rPr>
        <w:t xml:space="preserve">, W. (1991). ‘Maslow's Study of Self-Actualization: A Reinterpretation’. </w:t>
      </w:r>
      <w:r w:rsidRPr="00475AD5">
        <w:rPr>
          <w:rFonts w:cs="Arial"/>
          <w:i/>
          <w:sz w:val="24"/>
          <w:szCs w:val="24"/>
        </w:rPr>
        <w:t>Journal of Humanistic Psycholog</w:t>
      </w:r>
      <w:r w:rsidRPr="00475AD5">
        <w:rPr>
          <w:rFonts w:cs="Arial"/>
          <w:sz w:val="24"/>
          <w:szCs w:val="24"/>
        </w:rPr>
        <w:t>y, 31(1), pp.114-135.</w:t>
      </w:r>
    </w:p>
    <w:p w:rsidR="0029463D" w:rsidRPr="00E067CC" w:rsidRDefault="0029463D" w:rsidP="0029463D">
      <w:pPr>
        <w:spacing w:after="0"/>
        <w:rPr>
          <w:sz w:val="24"/>
          <w:szCs w:val="24"/>
        </w:rPr>
      </w:pPr>
    </w:p>
    <w:p w:rsidR="0029463D" w:rsidRDefault="0029463D" w:rsidP="0029463D">
      <w:pPr>
        <w:pStyle w:val="ListParagraph"/>
        <w:numPr>
          <w:ilvl w:val="0"/>
          <w:numId w:val="2"/>
        </w:numPr>
        <w:spacing w:after="0"/>
        <w:rPr>
          <w:sz w:val="24"/>
          <w:szCs w:val="24"/>
        </w:rPr>
      </w:pPr>
      <w:r w:rsidRPr="00475AD5">
        <w:rPr>
          <w:sz w:val="24"/>
          <w:szCs w:val="24"/>
        </w:rPr>
        <w:t xml:space="preserve">Joan, M, K. (1999).’Reshaping Maslow’s Hierarchy of Needs to reflect today’s educational and managerial philosophies.’ </w:t>
      </w:r>
      <w:r w:rsidRPr="00475AD5">
        <w:rPr>
          <w:i/>
          <w:sz w:val="24"/>
          <w:szCs w:val="24"/>
        </w:rPr>
        <w:t>Journal of Instructional Psychology.</w:t>
      </w:r>
      <w:r w:rsidRPr="00475AD5">
        <w:rPr>
          <w:sz w:val="24"/>
          <w:szCs w:val="24"/>
        </w:rPr>
        <w:t xml:space="preserve"> 26(3), p.167. </w:t>
      </w:r>
    </w:p>
    <w:p w:rsidR="0029463D" w:rsidRPr="00E067CC" w:rsidRDefault="0029463D" w:rsidP="0029463D">
      <w:pPr>
        <w:spacing w:after="0"/>
        <w:rPr>
          <w:sz w:val="24"/>
          <w:szCs w:val="24"/>
        </w:rPr>
      </w:pPr>
    </w:p>
    <w:p w:rsidR="0029463D" w:rsidRPr="00E067CC" w:rsidRDefault="0029463D" w:rsidP="0029463D">
      <w:pPr>
        <w:pStyle w:val="ListParagraph"/>
        <w:numPr>
          <w:ilvl w:val="0"/>
          <w:numId w:val="2"/>
        </w:numPr>
        <w:spacing w:after="0"/>
        <w:rPr>
          <w:sz w:val="24"/>
          <w:szCs w:val="24"/>
        </w:rPr>
      </w:pPr>
      <w:r w:rsidRPr="00475AD5">
        <w:rPr>
          <w:rFonts w:cs="Arial"/>
          <w:sz w:val="24"/>
          <w:szCs w:val="24"/>
        </w:rPr>
        <w:lastRenderedPageBreak/>
        <w:t xml:space="preserve">Paquette, D. and Ryan, J. (2001) </w:t>
      </w:r>
      <w:proofErr w:type="spellStart"/>
      <w:r w:rsidRPr="00475AD5">
        <w:rPr>
          <w:rFonts w:cs="Arial"/>
          <w:i/>
          <w:sz w:val="24"/>
          <w:szCs w:val="24"/>
        </w:rPr>
        <w:t>Bronfenbrenner’s</w:t>
      </w:r>
      <w:proofErr w:type="spellEnd"/>
      <w:r w:rsidRPr="00475AD5">
        <w:rPr>
          <w:rFonts w:cs="Arial"/>
          <w:i/>
          <w:sz w:val="24"/>
          <w:szCs w:val="24"/>
        </w:rPr>
        <w:t xml:space="preserve"> Ecological System Theory. </w:t>
      </w:r>
      <w:r w:rsidRPr="00475AD5">
        <w:rPr>
          <w:rFonts w:cs="Arial"/>
          <w:sz w:val="24"/>
          <w:szCs w:val="24"/>
        </w:rPr>
        <w:t xml:space="preserve">Available at: </w:t>
      </w:r>
      <w:hyperlink r:id="rId38" w:history="1">
        <w:r w:rsidRPr="00475AD5">
          <w:rPr>
            <w:rStyle w:val="Hyperlink"/>
            <w:rFonts w:cs="Arial"/>
            <w:sz w:val="24"/>
            <w:szCs w:val="24"/>
          </w:rPr>
          <w:t>http://www.floridahealth.gov/alternatesites/cms-kids/providers/early_steps/training/documents/bronfenbrenners_ecological.pdf</w:t>
        </w:r>
      </w:hyperlink>
      <w:r w:rsidRPr="00475AD5">
        <w:rPr>
          <w:rFonts w:cs="Arial"/>
          <w:sz w:val="24"/>
          <w:szCs w:val="24"/>
        </w:rPr>
        <w:t xml:space="preserve"> (Accessed: 25th January 2019). </w:t>
      </w:r>
    </w:p>
    <w:p w:rsidR="0029463D" w:rsidRPr="00E067CC" w:rsidRDefault="0029463D" w:rsidP="0029463D">
      <w:pPr>
        <w:spacing w:after="0"/>
        <w:rPr>
          <w:sz w:val="24"/>
          <w:szCs w:val="24"/>
        </w:rPr>
      </w:pPr>
    </w:p>
    <w:p w:rsidR="0029463D" w:rsidRDefault="0029463D" w:rsidP="0029463D">
      <w:pPr>
        <w:pStyle w:val="ListParagraph"/>
        <w:numPr>
          <w:ilvl w:val="0"/>
          <w:numId w:val="2"/>
        </w:numPr>
        <w:spacing w:after="0"/>
        <w:rPr>
          <w:rFonts w:eastAsia="Calibri" w:cs="Arial"/>
          <w:sz w:val="24"/>
          <w:szCs w:val="24"/>
          <w:lang w:val="en-US"/>
        </w:rPr>
      </w:pPr>
      <w:r w:rsidRPr="00475AD5">
        <w:rPr>
          <w:rFonts w:eastAsia="Calibri" w:cs="Arial"/>
          <w:sz w:val="24"/>
          <w:szCs w:val="24"/>
          <w:lang w:val="en-US"/>
        </w:rPr>
        <w:t xml:space="preserve">Smith, R.K.M. (2010) </w:t>
      </w:r>
      <w:r w:rsidRPr="00475AD5">
        <w:rPr>
          <w:rFonts w:eastAsia="Calibri" w:cs="Arial"/>
          <w:i/>
          <w:sz w:val="24"/>
          <w:szCs w:val="24"/>
          <w:lang w:val="en-US"/>
        </w:rPr>
        <w:t>Textbook on International Human Rights, 4</w:t>
      </w:r>
      <w:r w:rsidRPr="00475AD5">
        <w:rPr>
          <w:rFonts w:eastAsia="Calibri" w:cs="Arial"/>
          <w:i/>
          <w:sz w:val="24"/>
          <w:szCs w:val="24"/>
          <w:vertAlign w:val="superscript"/>
          <w:lang w:val="en-US"/>
        </w:rPr>
        <w:t>th</w:t>
      </w:r>
      <w:r w:rsidRPr="00475AD5">
        <w:rPr>
          <w:rFonts w:eastAsia="Calibri" w:cs="Arial"/>
          <w:i/>
          <w:sz w:val="24"/>
          <w:szCs w:val="24"/>
          <w:lang w:val="en-US"/>
        </w:rPr>
        <w:t xml:space="preserve"> edition. </w:t>
      </w:r>
      <w:r w:rsidRPr="00475AD5">
        <w:rPr>
          <w:rFonts w:eastAsia="Calibri" w:cs="Arial"/>
          <w:sz w:val="24"/>
          <w:szCs w:val="24"/>
          <w:lang w:val="en-US"/>
        </w:rPr>
        <w:t>Oxford: Oxford University Press.</w:t>
      </w:r>
    </w:p>
    <w:p w:rsidR="0029463D" w:rsidRPr="00E067CC" w:rsidRDefault="0029463D" w:rsidP="0029463D">
      <w:pPr>
        <w:spacing w:after="0"/>
        <w:rPr>
          <w:rFonts w:eastAsia="Calibri" w:cs="Arial"/>
          <w:sz w:val="24"/>
          <w:szCs w:val="24"/>
          <w:lang w:val="en-US"/>
        </w:rPr>
      </w:pPr>
    </w:p>
    <w:p w:rsidR="0029463D" w:rsidRPr="00E067CC" w:rsidRDefault="0029463D" w:rsidP="0029463D">
      <w:pPr>
        <w:pStyle w:val="ListParagraph"/>
        <w:numPr>
          <w:ilvl w:val="0"/>
          <w:numId w:val="2"/>
        </w:numPr>
        <w:spacing w:line="360" w:lineRule="auto"/>
        <w:rPr>
          <w:sz w:val="24"/>
          <w:szCs w:val="24"/>
        </w:rPr>
      </w:pPr>
      <w:r w:rsidRPr="00475AD5">
        <w:rPr>
          <w:sz w:val="24"/>
          <w:szCs w:val="24"/>
        </w:rPr>
        <w:t xml:space="preserve">UNESCO (2009) </w:t>
      </w:r>
      <w:r w:rsidRPr="00475AD5">
        <w:rPr>
          <w:i/>
          <w:sz w:val="24"/>
          <w:szCs w:val="24"/>
        </w:rPr>
        <w:t xml:space="preserve">Policy Guidelines on Inclusion in Education. </w:t>
      </w:r>
      <w:r w:rsidRPr="00475AD5">
        <w:rPr>
          <w:sz w:val="24"/>
          <w:szCs w:val="24"/>
        </w:rPr>
        <w:t xml:space="preserve">Available at: </w:t>
      </w:r>
      <w:hyperlink r:id="rId39" w:history="1">
        <w:r w:rsidRPr="00475AD5">
          <w:rPr>
            <w:rStyle w:val="Hyperlink"/>
            <w:sz w:val="24"/>
            <w:szCs w:val="24"/>
          </w:rPr>
          <w:t>http://unesdoc.unesco.org/images/0017/001778/177849e.pdf</w:t>
        </w:r>
      </w:hyperlink>
      <w:r w:rsidRPr="00475AD5">
        <w:rPr>
          <w:sz w:val="24"/>
          <w:szCs w:val="24"/>
        </w:rPr>
        <w:t xml:space="preserve"> (Accessed 4th April 2019.) </w:t>
      </w:r>
    </w:p>
    <w:p w:rsidR="0029463D" w:rsidRPr="00E067CC" w:rsidRDefault="0029463D" w:rsidP="0029463D">
      <w:pPr>
        <w:pStyle w:val="ListParagraph"/>
        <w:numPr>
          <w:ilvl w:val="0"/>
          <w:numId w:val="2"/>
        </w:numPr>
        <w:spacing w:line="360" w:lineRule="auto"/>
        <w:rPr>
          <w:sz w:val="24"/>
          <w:szCs w:val="24"/>
        </w:rPr>
      </w:pPr>
      <w:r w:rsidRPr="00475AD5">
        <w:rPr>
          <w:rFonts w:cs="Arial"/>
          <w:color w:val="222222"/>
          <w:sz w:val="24"/>
          <w:szCs w:val="24"/>
        </w:rPr>
        <w:t>UNESCO (1994)</w:t>
      </w:r>
      <w:r w:rsidRPr="00475AD5">
        <w:rPr>
          <w:rFonts w:cs="Arial"/>
          <w:i/>
          <w:color w:val="222222"/>
          <w:sz w:val="24"/>
          <w:szCs w:val="24"/>
        </w:rPr>
        <w:t xml:space="preserve"> </w:t>
      </w:r>
      <w:proofErr w:type="gramStart"/>
      <w:r w:rsidRPr="00475AD5">
        <w:rPr>
          <w:rFonts w:cs="Arial"/>
          <w:i/>
          <w:color w:val="222222"/>
          <w:sz w:val="24"/>
          <w:szCs w:val="24"/>
        </w:rPr>
        <w:t>The</w:t>
      </w:r>
      <w:proofErr w:type="gramEnd"/>
      <w:r w:rsidRPr="00475AD5">
        <w:rPr>
          <w:rFonts w:cs="Arial"/>
          <w:i/>
          <w:color w:val="222222"/>
          <w:sz w:val="24"/>
          <w:szCs w:val="24"/>
        </w:rPr>
        <w:t xml:space="preserve"> Salamanca Statement and Framework for Action on Special Educational Needs. </w:t>
      </w:r>
      <w:r w:rsidRPr="00475AD5">
        <w:rPr>
          <w:rFonts w:cs="Arial"/>
          <w:color w:val="222222"/>
          <w:sz w:val="24"/>
          <w:szCs w:val="24"/>
        </w:rPr>
        <w:t xml:space="preserve">Available at: </w:t>
      </w:r>
      <w:hyperlink r:id="rId40" w:history="1">
        <w:r w:rsidRPr="00475AD5">
          <w:rPr>
            <w:rStyle w:val="Hyperlink"/>
            <w:rFonts w:cs="Arial"/>
            <w:sz w:val="24"/>
            <w:szCs w:val="24"/>
          </w:rPr>
          <w:t>http://www.unesco.org/education/pdf/SALAMA_E.PDF</w:t>
        </w:r>
      </w:hyperlink>
      <w:r w:rsidRPr="00475AD5">
        <w:rPr>
          <w:rFonts w:cs="Arial"/>
          <w:color w:val="222222"/>
          <w:sz w:val="24"/>
          <w:szCs w:val="24"/>
        </w:rPr>
        <w:t xml:space="preserve"> (Accessed 15th of April 2019</w:t>
      </w:r>
      <w:r>
        <w:rPr>
          <w:rFonts w:cs="Arial"/>
          <w:color w:val="222222"/>
          <w:sz w:val="24"/>
          <w:szCs w:val="24"/>
        </w:rPr>
        <w:t xml:space="preserve">). </w:t>
      </w:r>
    </w:p>
    <w:p w:rsidR="0029463D" w:rsidRPr="00475AD5" w:rsidRDefault="0029463D" w:rsidP="0029463D">
      <w:pPr>
        <w:pStyle w:val="ListParagraph"/>
        <w:numPr>
          <w:ilvl w:val="0"/>
          <w:numId w:val="2"/>
        </w:numPr>
        <w:spacing w:line="360" w:lineRule="auto"/>
        <w:rPr>
          <w:sz w:val="24"/>
          <w:szCs w:val="24"/>
        </w:rPr>
      </w:pPr>
      <w:r w:rsidRPr="00475AD5">
        <w:rPr>
          <w:sz w:val="24"/>
          <w:szCs w:val="24"/>
        </w:rPr>
        <w:t>United Nations (2000) Millennium Development Goals, New York: United Nations.</w:t>
      </w:r>
    </w:p>
    <w:p w:rsidR="0029463D" w:rsidRPr="00475AD5" w:rsidRDefault="0029463D" w:rsidP="0029463D">
      <w:pPr>
        <w:pStyle w:val="ListParagraph"/>
        <w:spacing w:after="0"/>
        <w:rPr>
          <w:rFonts w:eastAsia="Calibri" w:cs="Arial"/>
          <w:sz w:val="24"/>
          <w:szCs w:val="24"/>
          <w:lang w:val="en-US"/>
        </w:rPr>
      </w:pPr>
    </w:p>
    <w:p w:rsidR="0029463D" w:rsidRPr="00475AD5" w:rsidRDefault="0029463D" w:rsidP="0029463D">
      <w:pPr>
        <w:spacing w:line="240" w:lineRule="auto"/>
        <w:rPr>
          <w:sz w:val="24"/>
          <w:szCs w:val="24"/>
        </w:rPr>
      </w:pPr>
    </w:p>
    <w:p w:rsidR="0029463D" w:rsidRPr="00475AD5" w:rsidRDefault="0029463D" w:rsidP="0029463D">
      <w:pPr>
        <w:rPr>
          <w:sz w:val="24"/>
          <w:szCs w:val="24"/>
        </w:rPr>
      </w:pPr>
    </w:p>
    <w:p w:rsidR="00A46AD9" w:rsidRPr="009E73A3" w:rsidRDefault="00A46AD9" w:rsidP="0029463D">
      <w:pPr>
        <w:rPr>
          <w:sz w:val="48"/>
        </w:rPr>
      </w:pPr>
    </w:p>
    <w:sectPr w:rsidR="00A46AD9" w:rsidRPr="009E73A3">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FC9" w:rsidRDefault="00A77FC9" w:rsidP="00A77FC9">
      <w:pPr>
        <w:spacing w:after="0" w:line="240" w:lineRule="auto"/>
      </w:pPr>
      <w:r>
        <w:separator/>
      </w:r>
    </w:p>
  </w:endnote>
  <w:endnote w:type="continuationSeparator" w:id="0">
    <w:p w:rsidR="00A77FC9" w:rsidRDefault="00A77FC9" w:rsidP="00A77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7205785"/>
      <w:docPartObj>
        <w:docPartGallery w:val="Page Numbers (Bottom of Page)"/>
        <w:docPartUnique/>
      </w:docPartObj>
    </w:sdtPr>
    <w:sdtEndPr>
      <w:rPr>
        <w:noProof/>
      </w:rPr>
    </w:sdtEndPr>
    <w:sdtContent>
      <w:p w:rsidR="00A77FC9" w:rsidRDefault="00A77FC9">
        <w:pPr>
          <w:pStyle w:val="Footer"/>
          <w:jc w:val="right"/>
        </w:pPr>
        <w:r>
          <w:fldChar w:fldCharType="begin"/>
        </w:r>
        <w:r>
          <w:instrText xml:space="preserve"> PAGE   \* MERGEFORMAT </w:instrText>
        </w:r>
        <w:r>
          <w:fldChar w:fldCharType="separate"/>
        </w:r>
        <w:r w:rsidR="0029463D">
          <w:rPr>
            <w:noProof/>
          </w:rPr>
          <w:t>1</w:t>
        </w:r>
        <w:r>
          <w:rPr>
            <w:noProof/>
          </w:rPr>
          <w:fldChar w:fldCharType="end"/>
        </w:r>
      </w:p>
    </w:sdtContent>
  </w:sdt>
  <w:p w:rsidR="00A77FC9" w:rsidRDefault="00A77F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FC9" w:rsidRDefault="00A77FC9" w:rsidP="00A77FC9">
      <w:pPr>
        <w:spacing w:after="0" w:line="240" w:lineRule="auto"/>
      </w:pPr>
      <w:r>
        <w:separator/>
      </w:r>
    </w:p>
  </w:footnote>
  <w:footnote w:type="continuationSeparator" w:id="0">
    <w:p w:rsidR="00A77FC9" w:rsidRDefault="00A77FC9" w:rsidP="00A77F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FC9" w:rsidRDefault="00A77FC9">
    <w:pPr>
      <w:pStyle w:val="Header"/>
    </w:pPr>
    <w:r>
      <w:t>1805634</w:t>
    </w:r>
  </w:p>
  <w:p w:rsidR="00A77FC9" w:rsidRDefault="00A77F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95A83"/>
    <w:multiLevelType w:val="hybridMultilevel"/>
    <w:tmpl w:val="2E34E950"/>
    <w:lvl w:ilvl="0" w:tplc="614C1BE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2C15343"/>
    <w:multiLevelType w:val="hybridMultilevel"/>
    <w:tmpl w:val="6D5A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3A3"/>
    <w:rsid w:val="0029463D"/>
    <w:rsid w:val="009E73A3"/>
    <w:rsid w:val="00A46AD9"/>
    <w:rsid w:val="00A77FC9"/>
    <w:rsid w:val="00B663BB"/>
    <w:rsid w:val="00CA4D81"/>
    <w:rsid w:val="00EF0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9"/>
  </w:style>
  <w:style w:type="paragraph" w:styleId="Footer">
    <w:name w:val="footer"/>
    <w:basedOn w:val="Normal"/>
    <w:link w:val="FooterChar"/>
    <w:uiPriority w:val="99"/>
    <w:unhideWhenUsed/>
    <w:rsid w:val="00A77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9"/>
  </w:style>
  <w:style w:type="paragraph" w:styleId="ListParagraph">
    <w:name w:val="List Paragraph"/>
    <w:basedOn w:val="Normal"/>
    <w:uiPriority w:val="34"/>
    <w:qFormat/>
    <w:rsid w:val="0029463D"/>
    <w:pPr>
      <w:ind w:left="720"/>
      <w:contextualSpacing/>
    </w:pPr>
  </w:style>
  <w:style w:type="character" w:styleId="Hyperlink">
    <w:name w:val="Hyperlink"/>
    <w:basedOn w:val="DefaultParagraphFont"/>
    <w:uiPriority w:val="99"/>
    <w:unhideWhenUsed/>
    <w:rsid w:val="0029463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9"/>
  </w:style>
  <w:style w:type="paragraph" w:styleId="Footer">
    <w:name w:val="footer"/>
    <w:basedOn w:val="Normal"/>
    <w:link w:val="FooterChar"/>
    <w:uiPriority w:val="99"/>
    <w:unhideWhenUsed/>
    <w:rsid w:val="00A77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9"/>
  </w:style>
  <w:style w:type="paragraph" w:styleId="ListParagraph">
    <w:name w:val="List Paragraph"/>
    <w:basedOn w:val="Normal"/>
    <w:uiPriority w:val="34"/>
    <w:qFormat/>
    <w:rsid w:val="0029463D"/>
    <w:pPr>
      <w:ind w:left="720"/>
      <w:contextualSpacing/>
    </w:pPr>
  </w:style>
  <w:style w:type="character" w:styleId="Hyperlink">
    <w:name w:val="Hyperlink"/>
    <w:basedOn w:val="DefaultParagraphFont"/>
    <w:uiPriority w:val="99"/>
    <w:unhideWhenUsed/>
    <w:rsid w:val="002946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olitics/2014/feb/26/schools-minister-pushy-parents-uk-low-aspirations" TargetMode="External"/><Relationship Id="rId13" Type="http://schemas.openxmlformats.org/officeDocument/2006/relationships/hyperlink" Target="https://www.estyn.gov.wales/thematic-reports/esdgc-progress-education-sustainable-development-and-global-citizenship-june-2014" TargetMode="External"/><Relationship Id="rId18" Type="http://schemas.openxmlformats.org/officeDocument/2006/relationships/hyperlink" Target="https://www.melloneducate.com/" TargetMode="External"/><Relationship Id="rId26" Type="http://schemas.openxmlformats.org/officeDocument/2006/relationships/hyperlink" Target="https://revisesociology.com/2015/01/26/functionalist-perspective-education/" TargetMode="External"/><Relationship Id="rId39" Type="http://schemas.openxmlformats.org/officeDocument/2006/relationships/hyperlink" Target="http://unesdoc.unesco.org/images/0017/001778/177849e.pdf" TargetMode="External"/><Relationship Id="rId3" Type="http://schemas.microsoft.com/office/2007/relationships/stylesWithEffects" Target="stylesWithEffects.xml"/><Relationship Id="rId21" Type="http://schemas.openxmlformats.org/officeDocument/2006/relationships/hyperlink" Target="https://www.right-to-education.org/quality-education" TargetMode="External"/><Relationship Id="rId34" Type="http://schemas.openxmlformats.org/officeDocument/2006/relationships/hyperlink" Target="http://www.un.org/"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echcrunch.com/2018/03/15/teacher-in-ghana-who-used-blackboard-to-explain-computers-gets-some-microsoft-love/?guccounter=1&amp;guce_referrer_us=aHR0cHM6Ly93d3cuZ29vZ2xlLmNvbS8&amp;guce_referrer_cs=wrpU8N-PJ2VofdBWQRW3pw" TargetMode="External"/><Relationship Id="rId17" Type="http://schemas.openxmlformats.org/officeDocument/2006/relationships/hyperlink" Target="https://www.melloneducate.com/" TargetMode="External"/><Relationship Id="rId25" Type="http://schemas.openxmlformats.org/officeDocument/2006/relationships/hyperlink" Target="https://www.telegraph.co.uk/news/uknews/wales/10236221/Welsh-language-is-dying-out-research-finds.html" TargetMode="External"/><Relationship Id="rId33" Type="http://schemas.openxmlformats.org/officeDocument/2006/relationships/hyperlink" Target="https://www.unicef.org.uk/wp-content/uploads/2016/06/TrusteesReport2015_FINAL.pdf" TargetMode="External"/><Relationship Id="rId38" Type="http://schemas.openxmlformats.org/officeDocument/2006/relationships/hyperlink" Target="http://www.floridahealth.gov/alternatesites/cms-kids/providers/early_steps/training/documents/bronfenbrenners_ecological.pdf" TargetMode="External"/><Relationship Id="rId2" Type="http://schemas.openxmlformats.org/officeDocument/2006/relationships/styles" Target="styles.xml"/><Relationship Id="rId16" Type="http://schemas.openxmlformats.org/officeDocument/2006/relationships/hyperlink" Target="https://doi.org/10.4324/9780203388761" TargetMode="External"/><Relationship Id="rId20" Type="http://schemas.openxmlformats.org/officeDocument/2006/relationships/hyperlink" Target="https://www.simplypsychology.org/piaget.html" TargetMode="External"/><Relationship Id="rId29" Type="http://schemas.openxmlformats.org/officeDocument/2006/relationships/hyperlink" Target="https://unesdoc.unesco.org/ark:/48223/pf0000121147"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harterforcompassion.org/women-and-girls-resources/declaration-of-children-s-rights" TargetMode="External"/><Relationship Id="rId24" Type="http://schemas.openxmlformats.org/officeDocument/2006/relationships/hyperlink" Target="https://www.researchgate.net/profile/Valentin_Schwind" TargetMode="External"/><Relationship Id="rId32" Type="http://schemas.openxmlformats.org/officeDocument/2006/relationships/hyperlink" Target="https://www.unicef.org.uk/" TargetMode="External"/><Relationship Id="rId37" Type="http://schemas.openxmlformats.org/officeDocument/2006/relationships/hyperlink" Target="http://learning.gov.wales/docs/learningwales/publications/160712-face-toolkit-main-en.pdf" TargetMode="External"/><Relationship Id="rId40" Type="http://schemas.openxmlformats.org/officeDocument/2006/relationships/hyperlink" Target="http://www.unesco.org/education/pdf/SALAMA_E.PDF" TargetMode="External"/><Relationship Id="rId5" Type="http://schemas.openxmlformats.org/officeDocument/2006/relationships/webSettings" Target="webSettings.xml"/><Relationship Id="rId15" Type="http://schemas.openxmlformats.org/officeDocument/2006/relationships/hyperlink" Target="https://doi.org/10.4324/9780203388761" TargetMode="External"/><Relationship Id="rId23" Type="http://schemas.openxmlformats.org/officeDocument/2006/relationships/hyperlink" Target="https://www.savethechildren.org.uk/what-we-do/childrens-rights/united-nations-convention-of-the-rights-of-the-child" TargetMode="External"/><Relationship Id="rId28" Type="http://schemas.openxmlformats.org/officeDocument/2006/relationships/hyperlink" Target="file:///C:\Users\Jono\AppData\Local\Temp\Rar$DIa4128.9869\Global%20Education%20Monitoring%20Report,%202016.pdf" TargetMode="External"/><Relationship Id="rId36" Type="http://schemas.openxmlformats.org/officeDocument/2006/relationships/hyperlink" Target="https://learning.gov.wales/resources/browse-all/education-for-sustainable-development-and-global-citizenship/?lang=en" TargetMode="External"/><Relationship Id="rId10" Type="http://schemas.openxmlformats.org/officeDocument/2006/relationships/hyperlink" Target="file:///C:\Users\Jono\AppData\Local\Temp\Rar$DIa4128.7800\Financing%20the%20Education%202030%20Agenda.pdf" TargetMode="External"/><Relationship Id="rId19" Type="http://schemas.openxmlformats.org/officeDocument/2006/relationships/hyperlink" Target="http://highgatecounselling.org.uk/members/certificate/CT2%20Paper%201.pdf" TargetMode="External"/><Relationship Id="rId31" Type="http://schemas.openxmlformats.org/officeDocument/2006/relationships/hyperlink" Target="http://uis.unesco.org/sites/default/files/documents/fs48-one-five-children-adolescents-youth-out-school-2018-en.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u.int/en/documents-45" TargetMode="External"/><Relationship Id="rId14" Type="http://schemas.openxmlformats.org/officeDocument/2006/relationships/hyperlink" Target="https://www.rte.ie/news/world/2019/0425/1045550-ethiopia-women/" TargetMode="External"/><Relationship Id="rId22" Type="http://schemas.openxmlformats.org/officeDocument/2006/relationships/hyperlink" Target="https://www.youtube.com/watch?v=9yW70bmJddk" TargetMode="External"/><Relationship Id="rId27" Type="http://schemas.openxmlformats.org/officeDocument/2006/relationships/hyperlink" Target="https://www.ohchr.org/EN/Issues/Education/SREducation/Pages/SREducationIndex.aspx" TargetMode="External"/><Relationship Id="rId30" Type="http://schemas.openxmlformats.org/officeDocument/2006/relationships/hyperlink" Target="http://uis.unesco.org/en/topic/gender-equality-education" TargetMode="External"/><Relationship Id="rId35" Type="http://schemas.openxmlformats.org/officeDocument/2006/relationships/hyperlink" Target="https://www.un.org/millenniumgoal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5033</Words>
  <Characters>28690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Jono</dc:creator>
  <cp:lastModifiedBy>Jono</cp:lastModifiedBy>
  <cp:revision>2</cp:revision>
  <dcterms:created xsi:type="dcterms:W3CDTF">2019-04-30T20:32:00Z</dcterms:created>
  <dcterms:modified xsi:type="dcterms:W3CDTF">2019-04-30T20:32:00Z</dcterms:modified>
</cp:coreProperties>
</file>