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ink/ink1.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1B6FE8">
      <w:pPr>
        <w:spacing w:before="200"/>
        <w:ind w:firstLine="720"/>
        <w:jc w:val="center"/>
        <w:rPr>
          <w:rFonts w:cs="Arial"/>
          <w:b/>
          <w:sz w:val="22"/>
          <w:szCs w:val="22"/>
        </w:rPr>
      </w:pPr>
      <w:bookmarkStart w:id="0" w:name="_GoBack"/>
      <w:bookmarkEnd w:id="0"/>
      <w:r>
        <w:rPr>
          <w:rFonts w:cs="Arial"/>
          <w:b/>
          <w:sz w:val="22"/>
          <w:szCs w:val="22"/>
        </w:rPr>
        <w:t>PG1 - FULL RESEARCH PROPOSAL</w:t>
      </w:r>
    </w:p>
    <w:p w14:paraId="67A10B1E">
      <w:pPr>
        <w:rPr>
          <w:rFonts w:cs="Arial"/>
          <w:b/>
          <w:sz w:val="22"/>
          <w:szCs w:val="22"/>
        </w:rPr>
      </w:pPr>
    </w:p>
    <w:tbl>
      <w:tblPr>
        <w:tblStyle w:val="1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6"/>
      </w:tblGrid>
      <w:tr w14:paraId="7FC8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tcPr>
          <w:p w14:paraId="2834770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8"/>
                <w:rFonts w:cs="Arial"/>
                <w:sz w:val="22"/>
                <w:szCs w:val="22"/>
              </w:rPr>
              <w:t>pgresearch@uwtsd.ac.uk</w:t>
            </w:r>
            <w:r>
              <w:rPr>
                <w:rStyle w:val="18"/>
                <w:rFonts w:cs="Arial"/>
                <w:sz w:val="22"/>
                <w:szCs w:val="22"/>
              </w:rPr>
              <w:fldChar w:fldCharType="end"/>
            </w:r>
            <w:r>
              <w:rPr>
                <w:rFonts w:cs="Arial"/>
                <w:b/>
                <w:bCs/>
                <w:sz w:val="22"/>
                <w:szCs w:val="22"/>
              </w:rPr>
              <w:t xml:space="preserve">. </w:t>
            </w:r>
          </w:p>
        </w:tc>
      </w:tr>
    </w:tbl>
    <w:p w14:paraId="41AFDF91">
      <w:pPr>
        <w:rPr>
          <w:rFonts w:cs="Arial"/>
          <w:b/>
          <w:sz w:val="22"/>
          <w:szCs w:val="22"/>
        </w:rPr>
      </w:pPr>
    </w:p>
    <w:p w14:paraId="13208F20">
      <w:pPr>
        <w:spacing w:before="240"/>
        <w:rPr>
          <w:rFonts w:cs="Arial"/>
          <w:b/>
          <w:sz w:val="22"/>
          <w:szCs w:val="22"/>
        </w:rPr>
      </w:pPr>
      <w:r>
        <w:rPr>
          <w:rFonts w:cs="Arial"/>
          <w:b/>
          <w:sz w:val="22"/>
          <w:szCs w:val="22"/>
        </w:rPr>
        <w:t xml:space="preserve">Student Details </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8"/>
        <w:gridCol w:w="1697"/>
        <w:gridCol w:w="3631"/>
        <w:gridCol w:w="2835"/>
      </w:tblGrid>
      <w:tr w14:paraId="0707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gridSpan w:val="2"/>
            <w:shd w:val="clear" w:color="auto" w:fill="F1F1F1" w:themeFill="background1" w:themeFillShade="F2"/>
          </w:tcPr>
          <w:p w14:paraId="631F831C">
            <w:pPr>
              <w:tabs>
                <w:tab w:val="center" w:pos="2202"/>
              </w:tabs>
              <w:rPr>
                <w:rFonts w:cs="Arial"/>
                <w:sz w:val="22"/>
                <w:szCs w:val="22"/>
              </w:rPr>
            </w:pPr>
            <w:r>
              <w:rPr>
                <w:rFonts w:cs="Arial"/>
                <w:sz w:val="22"/>
                <w:szCs w:val="22"/>
              </w:rPr>
              <w:t>Student Family / Surname:</w:t>
            </w:r>
          </w:p>
          <w:p w14:paraId="4AF5A3C3">
            <w:pPr>
              <w:rPr>
                <w:rFonts w:cs="Arial"/>
                <w:sz w:val="22"/>
                <w:szCs w:val="22"/>
              </w:rPr>
            </w:pPr>
          </w:p>
        </w:tc>
        <w:tc>
          <w:tcPr>
            <w:tcW w:w="6466" w:type="dxa"/>
            <w:gridSpan w:val="2"/>
            <w:shd w:val="clear" w:color="auto" w:fill="auto"/>
          </w:tcPr>
          <w:p w14:paraId="4C983A78">
            <w:pPr>
              <w:rPr>
                <w:rFonts w:hint="default" w:eastAsia="宋体" w:cs="Arial"/>
                <w:sz w:val="22"/>
                <w:szCs w:val="22"/>
                <w:lang w:val="en-US" w:eastAsia="zh-CN"/>
              </w:rPr>
            </w:pPr>
            <w:r>
              <w:rPr>
                <w:rFonts w:hint="eastAsia" w:eastAsia="宋体" w:cs="Arial"/>
                <w:sz w:val="22"/>
                <w:szCs w:val="22"/>
                <w:lang w:val="en-US" w:eastAsia="zh-CN"/>
              </w:rPr>
              <w:t>Chen</w:t>
            </w:r>
          </w:p>
        </w:tc>
      </w:tr>
      <w:tr w14:paraId="75A0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gridSpan w:val="2"/>
            <w:shd w:val="clear" w:color="auto" w:fill="F1F1F1" w:themeFill="background1" w:themeFillShade="F2"/>
          </w:tcPr>
          <w:p w14:paraId="54C7E4AF">
            <w:pPr>
              <w:rPr>
                <w:rFonts w:cs="Arial"/>
                <w:sz w:val="22"/>
                <w:szCs w:val="22"/>
              </w:rPr>
            </w:pPr>
            <w:r>
              <w:rPr>
                <w:rFonts w:cs="Arial"/>
                <w:sz w:val="22"/>
                <w:szCs w:val="22"/>
              </w:rPr>
              <w:t>Student Given / First name:</w:t>
            </w:r>
          </w:p>
          <w:p w14:paraId="139D02D7">
            <w:pPr>
              <w:rPr>
                <w:rFonts w:cs="Arial"/>
                <w:sz w:val="22"/>
                <w:szCs w:val="22"/>
              </w:rPr>
            </w:pPr>
          </w:p>
        </w:tc>
        <w:tc>
          <w:tcPr>
            <w:tcW w:w="6466" w:type="dxa"/>
            <w:gridSpan w:val="2"/>
            <w:shd w:val="clear" w:color="auto" w:fill="auto"/>
          </w:tcPr>
          <w:p w14:paraId="0982AFDA">
            <w:pPr>
              <w:rPr>
                <w:rFonts w:hint="default" w:eastAsia="宋体" w:cs="Arial"/>
                <w:sz w:val="22"/>
                <w:szCs w:val="22"/>
                <w:lang w:val="en-US" w:eastAsia="zh-CN"/>
              </w:rPr>
            </w:pPr>
            <w:r>
              <w:rPr>
                <w:rFonts w:hint="eastAsia" w:eastAsia="宋体" w:cs="Arial"/>
                <w:sz w:val="22"/>
                <w:szCs w:val="22"/>
                <w:lang w:val="en-US" w:eastAsia="zh-CN"/>
              </w:rPr>
              <w:t>Liuchang</w:t>
            </w:r>
          </w:p>
        </w:tc>
      </w:tr>
      <w:tr w14:paraId="3BE87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gridSpan w:val="2"/>
            <w:shd w:val="clear" w:color="auto" w:fill="F1F1F1" w:themeFill="background1" w:themeFillShade="F2"/>
          </w:tcPr>
          <w:p w14:paraId="38813AE2">
            <w:pPr>
              <w:rPr>
                <w:rFonts w:cs="Arial"/>
                <w:sz w:val="22"/>
                <w:szCs w:val="22"/>
              </w:rPr>
            </w:pPr>
            <w:r>
              <w:rPr>
                <w:rFonts w:cs="Arial"/>
                <w:sz w:val="22"/>
                <w:szCs w:val="22"/>
              </w:rPr>
              <w:t>Student Number</w:t>
            </w:r>
          </w:p>
          <w:p w14:paraId="50BCCB4A">
            <w:pPr>
              <w:tabs>
                <w:tab w:val="center" w:pos="2202"/>
              </w:tabs>
              <w:rPr>
                <w:rFonts w:cs="Arial"/>
                <w:sz w:val="22"/>
                <w:szCs w:val="22"/>
              </w:rPr>
            </w:pPr>
          </w:p>
        </w:tc>
        <w:tc>
          <w:tcPr>
            <w:tcW w:w="6466" w:type="dxa"/>
            <w:gridSpan w:val="2"/>
            <w:shd w:val="clear" w:color="auto" w:fill="auto"/>
          </w:tcPr>
          <w:p w14:paraId="75CFB1E4">
            <w:pPr>
              <w:rPr>
                <w:rFonts w:hint="default" w:eastAsia="宋体" w:cs="Arial"/>
                <w:sz w:val="22"/>
                <w:szCs w:val="22"/>
                <w:lang w:val="en-US" w:eastAsia="zh-CN"/>
              </w:rPr>
            </w:pPr>
            <w:r>
              <w:rPr>
                <w:rFonts w:hint="eastAsia" w:eastAsia="宋体" w:cs="Arial"/>
                <w:sz w:val="22"/>
                <w:szCs w:val="22"/>
                <w:lang w:val="en-US" w:eastAsia="zh-CN"/>
              </w:rPr>
              <w:t>2316911</w:t>
            </w:r>
          </w:p>
        </w:tc>
      </w:tr>
      <w:tr w14:paraId="38B5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315" w:type="dxa"/>
            <w:gridSpan w:val="2"/>
            <w:shd w:val="clear" w:color="auto" w:fill="F1F1F1" w:themeFill="background1" w:themeFillShade="F2"/>
          </w:tcPr>
          <w:p w14:paraId="60A21908">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6466" w:type="dxa"/>
            <w:gridSpan w:val="2"/>
            <w:shd w:val="clear" w:color="auto" w:fill="auto"/>
          </w:tcPr>
          <w:p w14:paraId="45A727F7">
            <w:pPr>
              <w:rPr>
                <w:rFonts w:hint="default" w:eastAsia="宋体" w:cs="Arial"/>
                <w:sz w:val="22"/>
                <w:szCs w:val="22"/>
                <w:lang w:val="en-US" w:eastAsia="zh-CN"/>
              </w:rPr>
            </w:pPr>
            <w:r>
              <w:rPr>
                <w:rFonts w:hint="eastAsia" w:eastAsia="宋体" w:cs="Arial"/>
                <w:sz w:val="22"/>
                <w:szCs w:val="22"/>
                <w:lang w:val="en-US" w:eastAsia="zh-CN"/>
              </w:rPr>
              <w:t>Wales institute of Science and Art</w:t>
            </w:r>
          </w:p>
        </w:tc>
      </w:tr>
      <w:tr w14:paraId="61E0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315" w:type="dxa"/>
            <w:gridSpan w:val="2"/>
            <w:shd w:val="clear" w:color="auto" w:fill="F1F1F1" w:themeFill="background1" w:themeFillShade="F2"/>
          </w:tcPr>
          <w:p w14:paraId="134D63C4">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6466" w:type="dxa"/>
            <w:gridSpan w:val="2"/>
            <w:shd w:val="clear" w:color="auto" w:fill="auto"/>
          </w:tcPr>
          <w:p w14:paraId="1AF91D2A">
            <w:pPr>
              <w:rPr>
                <w:rFonts w:cs="Arial"/>
                <w:sz w:val="22"/>
                <w:szCs w:val="22"/>
              </w:rPr>
            </w:pPr>
          </w:p>
        </w:tc>
      </w:tr>
      <w:tr w14:paraId="567B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8" w:type="dxa"/>
            <w:shd w:val="clear" w:color="auto" w:fill="F1F1F1" w:themeFill="background1" w:themeFillShade="F2"/>
          </w:tcPr>
          <w:p w14:paraId="7DD8280F">
            <w:pPr>
              <w:rPr>
                <w:rFonts w:cs="Arial"/>
                <w:sz w:val="22"/>
                <w:szCs w:val="22"/>
              </w:rPr>
            </w:pPr>
            <w:r>
              <w:rPr>
                <w:rFonts w:cs="Arial"/>
                <w:sz w:val="22"/>
                <w:szCs w:val="22"/>
              </w:rPr>
              <w:t>Start Date</w:t>
            </w:r>
          </w:p>
        </w:tc>
        <w:tc>
          <w:tcPr>
            <w:tcW w:w="1697" w:type="dxa"/>
            <w:shd w:val="clear" w:color="auto" w:fill="FFFFFF" w:themeFill="background1"/>
          </w:tcPr>
          <w:p w14:paraId="6885D0B7">
            <w:pPr>
              <w:rPr>
                <w:rFonts w:hint="default" w:eastAsia="宋体" w:cs="Arial"/>
                <w:sz w:val="22"/>
                <w:szCs w:val="22"/>
                <w:lang w:val="en-US" w:eastAsia="zh-CN"/>
              </w:rPr>
            </w:pPr>
            <w:r>
              <w:rPr>
                <w:rFonts w:hint="eastAsia" w:eastAsia="宋体" w:cs="Arial"/>
                <w:sz w:val="22"/>
                <w:szCs w:val="22"/>
                <w:lang w:val="en-US" w:eastAsia="zh-CN"/>
              </w:rPr>
              <w:t>01/02/2024</w:t>
            </w:r>
          </w:p>
        </w:tc>
        <w:tc>
          <w:tcPr>
            <w:tcW w:w="3631" w:type="dxa"/>
            <w:shd w:val="clear" w:color="auto" w:fill="F1F1F1" w:themeFill="background1" w:themeFillShade="F2"/>
          </w:tcPr>
          <w:p w14:paraId="70A4F3B0">
            <w:pPr>
              <w:rPr>
                <w:rFonts w:hint="default" w:eastAsia="宋体" w:cs="Arial"/>
                <w:sz w:val="22"/>
                <w:szCs w:val="22"/>
                <w:lang w:val="en-US" w:eastAsia="zh-CN"/>
              </w:rPr>
            </w:pPr>
            <w:r>
              <w:rPr>
                <w:rFonts w:hint="eastAsia" w:eastAsia="宋体" w:cs="Arial"/>
                <w:sz w:val="22"/>
                <w:szCs w:val="22"/>
                <w:lang w:val="en-US" w:eastAsia="zh-CN"/>
              </w:rPr>
              <w:t>End Date</w:t>
            </w:r>
          </w:p>
        </w:tc>
        <w:tc>
          <w:tcPr>
            <w:tcW w:w="2835" w:type="dxa"/>
            <w:shd w:val="clear" w:color="auto" w:fill="auto"/>
          </w:tcPr>
          <w:p w14:paraId="0325A6C5">
            <w:pPr>
              <w:rPr>
                <w:rFonts w:hint="default" w:eastAsia="宋体" w:cs="Arial"/>
                <w:sz w:val="22"/>
                <w:szCs w:val="22"/>
                <w:lang w:val="en-US" w:eastAsia="zh-CN"/>
              </w:rPr>
            </w:pPr>
            <w:r>
              <w:rPr>
                <w:rFonts w:hint="eastAsia" w:eastAsia="宋体" w:cs="Arial"/>
                <w:sz w:val="22"/>
                <w:szCs w:val="22"/>
                <w:lang w:val="en-US" w:eastAsia="zh-CN"/>
              </w:rPr>
              <w:t>01/02/2027</w:t>
            </w:r>
          </w:p>
        </w:tc>
      </w:tr>
      <w:tr w14:paraId="251E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gridSpan w:val="2"/>
            <w:shd w:val="clear" w:color="auto" w:fill="F1F1F1" w:themeFill="background1" w:themeFillShade="F2"/>
          </w:tcPr>
          <w:p w14:paraId="5B464AB0">
            <w:pPr>
              <w:rPr>
                <w:rFonts w:cs="Arial"/>
                <w:sz w:val="22"/>
                <w:szCs w:val="22"/>
              </w:rPr>
            </w:pPr>
            <w:r>
              <w:rPr>
                <w:rFonts w:cs="Arial"/>
                <w:sz w:val="22"/>
                <w:szCs w:val="22"/>
              </w:rPr>
              <w:t>Mode of Study</w:t>
            </w:r>
          </w:p>
          <w:p w14:paraId="32AC254B">
            <w:pPr>
              <w:rPr>
                <w:rFonts w:cs="Arial"/>
                <w:sz w:val="22"/>
                <w:szCs w:val="22"/>
              </w:rPr>
            </w:pPr>
          </w:p>
        </w:tc>
        <w:tc>
          <w:tcPr>
            <w:tcW w:w="3631" w:type="dxa"/>
            <w:shd w:val="clear" w:color="auto" w:fill="auto"/>
          </w:tcPr>
          <w:p w14:paraId="111F828B">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c>
          <w:tcPr>
            <w:tcW w:w="2835" w:type="dxa"/>
            <w:shd w:val="clear" w:color="auto" w:fill="auto"/>
          </w:tcPr>
          <w:p w14:paraId="00DFCF3D">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lang w:val="en-GB" w:eastAsia="en-GB" w:bidi="ar-SA"/>
                  </w:rPr>
                  <w:t>☒</w:t>
                </w:r>
              </w:sdtContent>
            </w:sdt>
          </w:p>
        </w:tc>
      </w:tr>
    </w:tbl>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14:paraId="52116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shd w:val="clear" w:color="auto" w:fill="F1F1F1" w:themeFill="background1" w:themeFillShade="F2"/>
          </w:tcPr>
          <w:p w14:paraId="0C2EE508">
            <w:pPr>
              <w:rPr>
                <w:rFonts w:cs="Arial"/>
                <w:sz w:val="22"/>
                <w:szCs w:val="22"/>
              </w:rPr>
            </w:pPr>
            <w:r>
              <w:rPr>
                <w:rFonts w:cs="Arial"/>
                <w:sz w:val="22"/>
                <w:szCs w:val="22"/>
              </w:rPr>
              <w:t>PhD</w:t>
            </w:r>
          </w:p>
          <w:p w14:paraId="7E150CDA">
            <w:pPr>
              <w:rPr>
                <w:rFonts w:cs="Arial"/>
                <w:sz w:val="22"/>
                <w:szCs w:val="22"/>
              </w:rPr>
            </w:pPr>
            <w:r>
              <w:rPr>
                <w:rFonts w:cs="Arial"/>
                <w:sz w:val="22"/>
                <w:szCs w:val="22"/>
              </w:rPr>
              <w:t>by Research</w:t>
            </w:r>
          </w:p>
        </w:tc>
        <w:tc>
          <w:tcPr>
            <w:tcW w:w="1660" w:type="dxa"/>
            <w:shd w:val="clear" w:color="auto" w:fill="F1F1F1" w:themeFill="background1" w:themeFillShade="F2"/>
          </w:tcPr>
          <w:p w14:paraId="089AFE73">
            <w:pPr>
              <w:rPr>
                <w:rFonts w:cs="Arial"/>
                <w:sz w:val="22"/>
                <w:szCs w:val="22"/>
              </w:rPr>
            </w:pPr>
            <w:r>
              <w:rPr>
                <w:rFonts w:cs="Arial"/>
                <w:sz w:val="22"/>
                <w:szCs w:val="22"/>
              </w:rPr>
              <w:t xml:space="preserve">PhD </w:t>
            </w:r>
          </w:p>
          <w:p w14:paraId="3D202538">
            <w:pPr>
              <w:rPr>
                <w:rFonts w:cs="Arial"/>
                <w:sz w:val="22"/>
                <w:szCs w:val="22"/>
              </w:rPr>
            </w:pPr>
            <w:r>
              <w:rPr>
                <w:rFonts w:cs="Arial"/>
                <w:sz w:val="22"/>
                <w:szCs w:val="22"/>
              </w:rPr>
              <w:t>Practice Based</w:t>
            </w:r>
          </w:p>
        </w:tc>
        <w:tc>
          <w:tcPr>
            <w:tcW w:w="1648" w:type="dxa"/>
            <w:shd w:val="clear" w:color="auto" w:fill="F1F1F1" w:themeFill="background1" w:themeFillShade="F2"/>
          </w:tcPr>
          <w:p w14:paraId="1540ABF7">
            <w:pPr>
              <w:rPr>
                <w:rFonts w:cs="Arial"/>
                <w:sz w:val="22"/>
                <w:szCs w:val="22"/>
              </w:rPr>
            </w:pPr>
            <w:r>
              <w:rPr>
                <w:rFonts w:cs="Arial"/>
                <w:sz w:val="22"/>
                <w:szCs w:val="22"/>
              </w:rPr>
              <w:t xml:space="preserve">PhD by </w:t>
            </w:r>
          </w:p>
          <w:p w14:paraId="6D11D54E">
            <w:pPr>
              <w:rPr>
                <w:rFonts w:cs="Arial"/>
                <w:sz w:val="22"/>
                <w:szCs w:val="22"/>
              </w:rPr>
            </w:pPr>
            <w:r>
              <w:rPr>
                <w:rFonts w:cs="Arial"/>
                <w:sz w:val="22"/>
                <w:szCs w:val="22"/>
              </w:rPr>
              <w:t>Published Works</w:t>
            </w:r>
          </w:p>
        </w:tc>
        <w:tc>
          <w:tcPr>
            <w:tcW w:w="1662" w:type="dxa"/>
            <w:shd w:val="clear" w:color="auto" w:fill="F1F1F1" w:themeFill="background1" w:themeFillShade="F2"/>
          </w:tcPr>
          <w:p w14:paraId="6031027A">
            <w:pPr>
              <w:rPr>
                <w:rFonts w:cs="Arial"/>
                <w:sz w:val="22"/>
                <w:szCs w:val="22"/>
              </w:rPr>
            </w:pPr>
            <w:r>
              <w:rPr>
                <w:rFonts w:cs="Arial"/>
                <w:sz w:val="22"/>
                <w:szCs w:val="22"/>
              </w:rPr>
              <w:t>Professional Doctorate</w:t>
            </w:r>
          </w:p>
          <w:p w14:paraId="5338E6CC">
            <w:pPr>
              <w:rPr>
                <w:rFonts w:cs="Arial"/>
                <w:sz w:val="22"/>
                <w:szCs w:val="22"/>
              </w:rPr>
            </w:pPr>
            <w:r>
              <w:rPr>
                <w:rFonts w:cs="Arial"/>
                <w:szCs w:val="22"/>
              </w:rPr>
              <w:t>(including DBA, DProf, Ed D)</w:t>
            </w:r>
          </w:p>
        </w:tc>
        <w:tc>
          <w:tcPr>
            <w:tcW w:w="1629" w:type="dxa"/>
            <w:shd w:val="clear" w:color="auto" w:fill="F1F1F1" w:themeFill="background1" w:themeFillShade="F2"/>
          </w:tcPr>
          <w:p w14:paraId="48FB1034">
            <w:pPr>
              <w:rPr>
                <w:rFonts w:cs="Arial"/>
                <w:sz w:val="22"/>
                <w:szCs w:val="22"/>
              </w:rPr>
            </w:pPr>
            <w:r>
              <w:rPr>
                <w:rFonts w:cs="Arial"/>
                <w:sz w:val="22"/>
                <w:szCs w:val="22"/>
              </w:rPr>
              <w:t>MPhil by Research</w:t>
            </w:r>
          </w:p>
          <w:p w14:paraId="62A96A8A">
            <w:pPr>
              <w:rPr>
                <w:rFonts w:cs="Arial"/>
                <w:sz w:val="22"/>
                <w:szCs w:val="22"/>
              </w:rPr>
            </w:pPr>
          </w:p>
        </w:tc>
        <w:tc>
          <w:tcPr>
            <w:tcW w:w="1525" w:type="dxa"/>
            <w:shd w:val="clear" w:color="auto" w:fill="F1F1F1" w:themeFill="background1" w:themeFillShade="F2"/>
          </w:tcPr>
          <w:p w14:paraId="18690D32">
            <w:pPr>
              <w:rPr>
                <w:rFonts w:cs="Arial"/>
                <w:sz w:val="22"/>
                <w:szCs w:val="22"/>
              </w:rPr>
            </w:pPr>
            <w:r>
              <w:rPr>
                <w:rFonts w:cs="Arial"/>
                <w:sz w:val="22"/>
                <w:szCs w:val="22"/>
              </w:rPr>
              <w:t>MPhil</w:t>
            </w:r>
          </w:p>
          <w:p w14:paraId="112C0192">
            <w:pPr>
              <w:rPr>
                <w:rFonts w:cs="Arial"/>
                <w:sz w:val="22"/>
                <w:szCs w:val="22"/>
              </w:rPr>
            </w:pPr>
            <w:r>
              <w:rPr>
                <w:rFonts w:cs="Arial"/>
                <w:sz w:val="22"/>
                <w:szCs w:val="22"/>
              </w:rPr>
              <w:t xml:space="preserve">Practice Based </w:t>
            </w:r>
          </w:p>
          <w:p w14:paraId="6044FFAD">
            <w:pPr>
              <w:rPr>
                <w:rFonts w:cs="Arial"/>
                <w:sz w:val="22"/>
                <w:szCs w:val="22"/>
              </w:rPr>
            </w:pPr>
          </w:p>
        </w:tc>
      </w:tr>
      <w:tr w14:paraId="7302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746380728"/>
              <w14:checkbox>
                <w14:checked w14:val="0"/>
                <w14:checkedState w14:val="2612" w14:font="MS Gothic"/>
                <w14:uncheckedState w14:val="2610" w14:font="MS Gothic"/>
              </w14:checkbox>
            </w:sdtPr>
            <w:sdtEndPr>
              <w:rPr>
                <w:rFonts w:cs="Arial"/>
                <w:sz w:val="22"/>
                <w:szCs w:val="22"/>
              </w:rPr>
            </w:sdtEndPr>
            <w:sdtContent>
              <w:p w14:paraId="01BCCEDB">
                <w:pPr>
                  <w:jc w:val="center"/>
                  <w:rPr>
                    <w:rFonts w:cs="Arial"/>
                    <w:sz w:val="22"/>
                    <w:szCs w:val="22"/>
                  </w:rPr>
                </w:pPr>
                <w:r>
                  <w:rPr>
                    <w:rFonts w:ascii="MS Gothic" w:hAnsi="MS Gothic" w:eastAsia="MS Gothic" w:cs="Arial"/>
                    <w:sz w:val="22"/>
                    <w:szCs w:val="22"/>
                  </w:rPr>
                  <w:t>☐</w:t>
                </w:r>
              </w:p>
            </w:sdtContent>
          </w:sdt>
          <w:p w14:paraId="43584980">
            <w:pPr>
              <w:jc w:val="center"/>
              <w:rPr>
                <w:rFonts w:cs="Arial"/>
                <w:sz w:val="22"/>
                <w:szCs w:val="22"/>
              </w:rPr>
            </w:pPr>
          </w:p>
        </w:tc>
        <w:sdt>
          <w:sdtPr>
            <w:rPr>
              <w:rFonts w:cs="Arial"/>
              <w:sz w:val="22"/>
              <w:szCs w:val="22"/>
            </w:rPr>
            <w:id w:val="1301043622"/>
            <w14:checkbox>
              <w14:checked w14:val="0"/>
              <w14:checkedState w14:val="2612" w14:font="MS Gothic"/>
              <w14:uncheckedState w14:val="2610" w14:font="MS Gothic"/>
            </w14:checkbox>
          </w:sdtPr>
          <w:sdtEndPr>
            <w:rPr>
              <w:rFonts w:cs="Arial"/>
              <w:sz w:val="22"/>
              <w:szCs w:val="22"/>
            </w:rPr>
          </w:sdtEndPr>
          <w:sdtContent>
            <w:tc>
              <w:tcPr>
                <w:tcW w:w="1660" w:type="dxa"/>
              </w:tcPr>
              <w:p w14:paraId="2D089835">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14:paraId="3DC3F887">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2110955926"/>
            <w14:checkbox>
              <w14:checked w14:val="1"/>
              <w14:checkedState w14:val="2612" w14:font="MS Gothic"/>
              <w14:uncheckedState w14:val="2610" w14:font="MS Gothic"/>
            </w14:checkbox>
          </w:sdtPr>
          <w:sdtEndPr>
            <w:rPr>
              <w:rFonts w:cs="Arial"/>
              <w:sz w:val="22"/>
              <w:szCs w:val="22"/>
            </w:rPr>
          </w:sdtEndPr>
          <w:sdtContent>
            <w:tc>
              <w:tcPr>
                <w:tcW w:w="1662" w:type="dxa"/>
              </w:tcPr>
              <w:p w14:paraId="222233A1">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14:paraId="15236023">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14:paraId="092BDE7C">
                <w:pPr>
                  <w:jc w:val="center"/>
                  <w:rPr>
                    <w:rFonts w:cs="Arial"/>
                    <w:sz w:val="22"/>
                    <w:szCs w:val="22"/>
                  </w:rPr>
                </w:pPr>
                <w:r>
                  <w:rPr>
                    <w:rFonts w:ascii="MS Gothic" w:hAnsi="MS Gothic" w:eastAsia="MS Gothic" w:cs="Arial"/>
                    <w:sz w:val="22"/>
                    <w:szCs w:val="22"/>
                  </w:rPr>
                  <w:t>☐</w:t>
                </w:r>
              </w:p>
            </w:tc>
          </w:sdtContent>
        </w:sdt>
      </w:tr>
      <w:tr w14:paraId="002C3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shd w:val="clear" w:color="auto" w:fill="D8D8D8" w:themeFill="background1" w:themeFillShade="D9"/>
          </w:tcPr>
          <w:p w14:paraId="5015986A">
            <w:pPr>
              <w:jc w:val="center"/>
              <w:rPr>
                <w:rFonts w:cs="Arial"/>
                <w:sz w:val="22"/>
                <w:szCs w:val="22"/>
              </w:rPr>
            </w:pPr>
            <w:r>
              <w:rPr>
                <w:rFonts w:cs="Arial"/>
                <w:sz w:val="22"/>
                <w:szCs w:val="22"/>
              </w:rPr>
              <w:t>MA by Research</w:t>
            </w:r>
          </w:p>
        </w:tc>
        <w:tc>
          <w:tcPr>
            <w:tcW w:w="1660" w:type="dxa"/>
            <w:shd w:val="clear" w:color="auto" w:fill="D8D8D8" w:themeFill="background1" w:themeFillShade="D9"/>
          </w:tcPr>
          <w:p w14:paraId="6784FFE2">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14:paraId="74597816">
            <w:pPr>
              <w:jc w:val="center"/>
              <w:rPr>
                <w:rFonts w:cs="Arial"/>
                <w:sz w:val="22"/>
                <w:szCs w:val="22"/>
              </w:rPr>
            </w:pPr>
            <w:r>
              <w:rPr>
                <w:rFonts w:cs="Arial"/>
                <w:sz w:val="22"/>
                <w:szCs w:val="22"/>
              </w:rPr>
              <w:t>MRes</w:t>
            </w:r>
          </w:p>
        </w:tc>
        <w:tc>
          <w:tcPr>
            <w:tcW w:w="1662" w:type="dxa"/>
            <w:shd w:val="clear" w:color="auto" w:fill="D8D8D8" w:themeFill="background1" w:themeFillShade="D9"/>
          </w:tcPr>
          <w:p w14:paraId="2760CEEB">
            <w:pPr>
              <w:jc w:val="center"/>
              <w:rPr>
                <w:rFonts w:cs="Arial"/>
                <w:sz w:val="22"/>
                <w:szCs w:val="22"/>
              </w:rPr>
            </w:pPr>
          </w:p>
        </w:tc>
        <w:tc>
          <w:tcPr>
            <w:tcW w:w="1629" w:type="dxa"/>
            <w:shd w:val="clear" w:color="auto" w:fill="D8D8D8" w:themeFill="background1" w:themeFillShade="D9"/>
          </w:tcPr>
          <w:p w14:paraId="47EEC8A4">
            <w:pPr>
              <w:jc w:val="center"/>
              <w:rPr>
                <w:rFonts w:cs="Arial"/>
                <w:sz w:val="22"/>
                <w:szCs w:val="22"/>
              </w:rPr>
            </w:pPr>
          </w:p>
        </w:tc>
        <w:tc>
          <w:tcPr>
            <w:tcW w:w="1525" w:type="dxa"/>
            <w:shd w:val="clear" w:color="auto" w:fill="D8D8D8" w:themeFill="background1" w:themeFillShade="D9"/>
          </w:tcPr>
          <w:p w14:paraId="2E94090E">
            <w:pPr>
              <w:jc w:val="center"/>
              <w:rPr>
                <w:rFonts w:cs="Arial"/>
                <w:sz w:val="22"/>
                <w:szCs w:val="22"/>
              </w:rPr>
            </w:pPr>
          </w:p>
        </w:tc>
      </w:tr>
      <w:tr w14:paraId="6E7B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1366476584"/>
              <w14:checkbox>
                <w14:checked w14:val="0"/>
                <w14:checkedState w14:val="2612" w14:font="MS Gothic"/>
                <w14:uncheckedState w14:val="2610" w14:font="MS Gothic"/>
              </w14:checkbox>
            </w:sdtPr>
            <w:sdtEndPr>
              <w:rPr>
                <w:rFonts w:cs="Arial"/>
                <w:sz w:val="22"/>
                <w:szCs w:val="22"/>
              </w:rPr>
            </w:sdtEndPr>
            <w:sdtContent>
              <w:p w14:paraId="3A5C1CED">
                <w:pPr>
                  <w:jc w:val="center"/>
                  <w:rPr>
                    <w:rFonts w:cs="Arial"/>
                    <w:sz w:val="22"/>
                    <w:szCs w:val="22"/>
                  </w:rPr>
                </w:pPr>
                <w:r>
                  <w:rPr>
                    <w:rFonts w:ascii="MS Gothic" w:hAnsi="MS Gothic" w:eastAsia="MS Gothic" w:cs="Arial"/>
                    <w:sz w:val="22"/>
                    <w:szCs w:val="22"/>
                  </w:rPr>
                  <w:t>☐</w:t>
                </w:r>
              </w:p>
            </w:sdtContent>
          </w:sdt>
          <w:p w14:paraId="7ACE8D3B">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14:paraId="610D168E">
                <w:pPr>
                  <w:jc w:val="center"/>
                  <w:rPr>
                    <w:rFonts w:cs="Arial"/>
                    <w:sz w:val="22"/>
                    <w:szCs w:val="22"/>
                  </w:rPr>
                </w:pPr>
                <w:r>
                  <w:rPr>
                    <w:rFonts w:ascii="MS Gothic" w:hAnsi="MS Gothic" w:eastAsia="MS Gothic" w:cs="Arial"/>
                    <w:sz w:val="22"/>
                    <w:szCs w:val="22"/>
                  </w:rPr>
                  <w:t>☐</w:t>
                </w:r>
              </w:p>
            </w:sdtContent>
          </w:sdt>
          <w:p w14:paraId="4E2724AB">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14:paraId="4EB6A137">
                <w:pPr>
                  <w:jc w:val="center"/>
                  <w:rPr>
                    <w:rFonts w:cs="Arial"/>
                    <w:sz w:val="22"/>
                    <w:szCs w:val="22"/>
                  </w:rPr>
                </w:pPr>
                <w:r>
                  <w:rPr>
                    <w:rFonts w:ascii="MS Gothic" w:hAnsi="MS Gothic" w:eastAsia="MS Gothic" w:cs="Arial"/>
                    <w:sz w:val="22"/>
                    <w:szCs w:val="22"/>
                  </w:rPr>
                  <w:t>☐</w:t>
                </w:r>
              </w:p>
            </w:sdtContent>
          </w:sdt>
          <w:p w14:paraId="4F53A6CD">
            <w:pPr>
              <w:jc w:val="center"/>
              <w:rPr>
                <w:rFonts w:cs="Arial"/>
                <w:sz w:val="22"/>
                <w:szCs w:val="22"/>
              </w:rPr>
            </w:pPr>
          </w:p>
        </w:tc>
        <w:tc>
          <w:tcPr>
            <w:tcW w:w="1662" w:type="dxa"/>
          </w:tcPr>
          <w:p w14:paraId="5732EEEC">
            <w:pPr>
              <w:jc w:val="center"/>
              <w:rPr>
                <w:rFonts w:cs="Arial"/>
                <w:sz w:val="22"/>
                <w:szCs w:val="22"/>
              </w:rPr>
            </w:pPr>
          </w:p>
        </w:tc>
        <w:tc>
          <w:tcPr>
            <w:tcW w:w="1629" w:type="dxa"/>
          </w:tcPr>
          <w:p w14:paraId="5804B584">
            <w:pPr>
              <w:jc w:val="center"/>
              <w:rPr>
                <w:rFonts w:cs="Arial"/>
                <w:sz w:val="22"/>
                <w:szCs w:val="22"/>
              </w:rPr>
            </w:pPr>
          </w:p>
        </w:tc>
        <w:tc>
          <w:tcPr>
            <w:tcW w:w="1525" w:type="dxa"/>
          </w:tcPr>
          <w:p w14:paraId="47B4645E">
            <w:pPr>
              <w:jc w:val="center"/>
              <w:rPr>
                <w:rFonts w:cs="Arial"/>
                <w:sz w:val="22"/>
                <w:szCs w:val="22"/>
              </w:rPr>
            </w:pPr>
          </w:p>
        </w:tc>
      </w:tr>
    </w:tbl>
    <w:p w14:paraId="07A1ACF8">
      <w:pPr>
        <w:ind w:left="180" w:hanging="270"/>
        <w:rPr>
          <w:rFonts w:cs="Arial"/>
          <w:b/>
          <w:sz w:val="22"/>
          <w:szCs w:val="22"/>
        </w:rPr>
      </w:pPr>
    </w:p>
    <w:p w14:paraId="607555D2">
      <w:pPr>
        <w:rPr>
          <w:rFonts w:cs="Arial"/>
          <w:sz w:val="22"/>
          <w:szCs w:val="22"/>
        </w:rPr>
      </w:pPr>
    </w:p>
    <w:p w14:paraId="106A4E2E">
      <w:pPr>
        <w:ind w:left="-142"/>
        <w:rPr>
          <w:rFonts w:cs="Arial"/>
          <w:bCs/>
          <w:sz w:val="22"/>
          <w:szCs w:val="22"/>
        </w:rPr>
      </w:pPr>
      <w:r>
        <w:rPr>
          <w:rFonts w:cs="Arial"/>
          <w:b/>
          <w:bCs/>
          <w:sz w:val="22"/>
          <w:szCs w:val="22"/>
        </w:rPr>
        <w:t>Proposed Research</w:t>
      </w:r>
    </w:p>
    <w:p w14:paraId="5945FBF9">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14:paraId="7702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6CE06150">
            <w:pPr>
              <w:rPr>
                <w:rFonts w:cs="Arial"/>
                <w:sz w:val="22"/>
                <w:szCs w:val="22"/>
              </w:rPr>
            </w:pPr>
            <w:r>
              <w:rPr>
                <w:rFonts w:cs="Arial"/>
                <w:sz w:val="22"/>
                <w:szCs w:val="22"/>
              </w:rPr>
              <w:t>Current Proposed Title (20 / 30 words):</w:t>
            </w:r>
          </w:p>
        </w:tc>
      </w:tr>
      <w:tr w14:paraId="46DEB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270A07EC">
            <w:pPr>
              <w:rPr>
                <w:rFonts w:hint="default" w:eastAsia="宋体" w:cs="Arial"/>
                <w:sz w:val="22"/>
                <w:szCs w:val="22"/>
                <w:lang w:val="en-US" w:eastAsia="zh-CN"/>
              </w:rPr>
            </w:pPr>
            <w:r>
              <w:rPr>
                <w:rFonts w:hint="eastAsia" w:eastAsia="宋体" w:cs="Arial"/>
                <w:sz w:val="22"/>
                <w:szCs w:val="22"/>
                <w:lang w:val="en-US" w:eastAsia="zh-CN"/>
              </w:rPr>
              <w:t>How do contemporary figurative oil painters to express the collective affect behind the doomer meme?</w:t>
            </w:r>
          </w:p>
        </w:tc>
      </w:tr>
      <w:tr w14:paraId="047A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6A6E17FC">
            <w:pPr>
              <w:rPr>
                <w:rFonts w:cs="Arial"/>
                <w:sz w:val="22"/>
                <w:szCs w:val="22"/>
              </w:rPr>
            </w:pPr>
            <w:r>
              <w:rPr>
                <w:rFonts w:cs="Arial"/>
                <w:sz w:val="22"/>
                <w:szCs w:val="22"/>
              </w:rPr>
              <w:t xml:space="preserve"> </w:t>
            </w:r>
          </w:p>
          <w:p w14:paraId="1C9B2173">
            <w:pPr>
              <w:rPr>
                <w:rFonts w:cs="Arial"/>
                <w:sz w:val="22"/>
                <w:szCs w:val="22"/>
              </w:rPr>
            </w:pPr>
            <w:r>
              <w:rPr>
                <w:rFonts w:cs="Arial"/>
                <w:sz w:val="22"/>
                <w:szCs w:val="22"/>
              </w:rPr>
              <w:t>Background &amp; Context (approx. 500 words)</w:t>
            </w:r>
          </w:p>
          <w:p w14:paraId="065EF8C5">
            <w:pPr>
              <w:rPr>
                <w:rFonts w:cs="Arial"/>
                <w:sz w:val="22"/>
                <w:szCs w:val="22"/>
              </w:rPr>
            </w:pPr>
          </w:p>
        </w:tc>
      </w:tr>
      <w:tr w14:paraId="3F5B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09301653">
            <w:pPr>
              <w:rPr>
                <w:rFonts w:hint="eastAsia" w:eastAsia="宋体" w:cs="Arial"/>
                <w:sz w:val="22"/>
                <w:szCs w:val="22"/>
                <w:lang w:val="en-US" w:eastAsia="zh-CN"/>
              </w:rPr>
            </w:pPr>
          </w:p>
          <w:p w14:paraId="43F0D85D">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Doomer is a term used in internet culture to describe a particular mindset or subculture characterized by feelings of pessimism, disillusionment, and hopelessness about the future. They often perceive societal problems such as economic instability, political corruption, and environmental degradation as insurmountable, leading to a sense of pessimism or fatalism (Dripta Sarangi, 2023). The term Doomer first appeared in 2008 in online communities discussing oil depletion and societal collapse, with early Doomers resembling Doomsday Preppers (Jason Ray, 2010). By 2018, the term had evolved into a widely recognized meme, originating on the anonymous imageboard 4chan. In the wake of the global economic recession, political conflicts, and the COVID-19 pandemic, a growing sense of pessimism spread among younger generations (Kristina Schellinski, 2021). Many individuals expressed these negative emotions through digital platforms, where the internet acted as a catalyst in aggregating and amplifying these sentiments, contributing to the spread of the Doomer meme and its eventual emergence as a cultural phenomenon.</w:t>
            </w:r>
          </w:p>
          <w:p w14:paraId="62FA73C7">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41E8F91A">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On one hand, the deterioration of the social environment has given rise to the emergence of the Doomer meme. With the intensification of environmental crises, political unrest, and economic inequality, many young people feel a sense of despair about the future. The pressure from societal issues has led them to develop a pessimistic view about both personal and social futures. This meme reflects the sense of powerlessness and pessimism about the future that characterizes this generation. On the other hand, young people are accustomed to expressing themselves on the internet, where online communities amplify these sentiments. The internet and social media provide platforms for young people to express their emotions through memes and online communities. The Doomer meme is a product of this cultural phenomenon, where groups form identity by sharing common emotions and viewpoints, reinforcing collective pessimism and disappointment about the future.</w:t>
            </w:r>
          </w:p>
          <w:p w14:paraId="745BD137">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7F4E4EAF">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The growing significance of internet memes in shaping identity has been a subject of existing research. Studies have highlighted how memes serve as a medium for identity exploration among younger generations. For example, in the article Zoom Memes for Self-Quaranteens: Generational Humor, Identity, and Conflict During the Pandemic, the author reveals how young adults used memes to express their frustration and disappointment with older generations who downplayed the seriousness of COVID-19 during the pandemic (Aronson and Jaffal, 2022). This study underscores how memes not only reflect young people’s negative attitudes toward older generations but also enhance their sense of identity. Furthermore, the article Humor in Historical Memory: From an Anecdote and Caricature to an Internet Meme explores how internet memes combine public collective memory with popular culture, shaping public attitudes toward specific historical events (Artamonov, 2021). These studies provide valuable insights into how memes influence the identity formation of younger generations by shaping collective memory.</w:t>
            </w:r>
          </w:p>
          <w:p w14:paraId="3F47CE15">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69C39794">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However, there is still a lack of research on how traditional mediums, such as oil painting, can similarly reflect the collective memory of young generations born after the 1990s, particularly in relation to the Doomer meme and digital subcultures. By addressing this gap, this study will contribute to a deeper understanding of how contemporary figurative oil painting can reflect collective memory and generational identity, particularly in the context of digital and subcultural phenomena like the Doomer meme.</w:t>
            </w:r>
          </w:p>
          <w:p w14:paraId="471890FA">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22ED9718">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The research attempts to explore whether the collective affect behind the 1990s-born youth, represented by the Doomer meme, can also be expressed through traditional media outside of internet culture. This leads to the consideration of Symbolism, an art movement that emerged in the late 19th century. Symbolism in painting expresses emotions, thoughts, and spiritual experiences through symbols, rather than direct imitation of external reality. It emphasizes subjectivity and inner experience, opposing the realistic and naturalistic imitation of the objective world (Goldwater, 2018).</w:t>
            </w:r>
          </w:p>
          <w:p w14:paraId="4A2A7AE5">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46A6A3E0">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In terms of narrative style, Symbolist painting shares certain similarities with contemporary figurative oil paintings that convey Doomer-like emotions. The research article "Symbolist Landscapes: The Place of Painting in the Poetry and Criticism of Mallarmé and His Circle" introduces the works of poets and critics related to the late 19th-century French Symbolist movement, such as Mallarmé, Kahn, and Jarry. The article also emphasizes how visual arts can serve as a means to convey deep emotions and abstract thoughts, aligning with the Symbolist spirit of evoking rather than depicting reality (Kearns, 1989). Symbolist painting does not attempt to present a mimetic reality to the viewer, as traditional figurative oil painting did, but instead evokes associations through metaphor. For example, the German Symbolist painter Franz von Stuck, whose works, though figurative and based on mythological subjects, differ greatly in narrative from both classical and realist traditions. He used mythological figures as metaphorical symbols to convey the unease and anxiety felt by people in his era (Meij, 2016). In "Lucifer," as a symbol of the fallen angel, his posture of solitude and angry gaze suggest a profound reflection on the existence of freedom, which is similar to the "absurdity of existence" in existential philosophy (Camus, 2013). In "Head of Medusa," Stuck turns Medusa into a symbol of emotional fear—fear of self-destructive power and deep unease about an unknowable fate. This symbolic expression of emotion is similar to the use of symbols in contemporary oil paintings with Doomer-like emotions.</w:t>
            </w:r>
          </w:p>
          <w:p w14:paraId="7B25FC39">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3A717614">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In my own work, elements such as amusement park slides, balloons, and futurist-style buildings appear. These elements are connected to a recent art style called Dreamcore. Dreamcore originated from a supernatural section of the anonymous chat board 4chan, where users shared a series of images intended to evoke discomfort and nostalgia. Although Dreamcore is not directly related to the Doomer meme, the reasons for their popularity share some similarities. Young people feel disillusioned with the present reality and wish to escape back to a warm childhood, but that childhood is forever lost, transforming into a nightmare (Wu, 2022). Both the Doomer meme and Dreamcore share a common point: they turn concrete images into emotional vessels, allowing the viewer to resonate internally through the image.</w:t>
            </w:r>
          </w:p>
          <w:p w14:paraId="64EBD293">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4E11AEC8">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By symbolizing elements of reality, they avoid directly depicting it, guiding the viewer to uncover deeper meanings behind the work through their own understanding. This narrative approach not only enhances the universality of the work but also enables the image to resonate across different cultures and eras, offering space for emotional and philosophical reflection.</w:t>
            </w:r>
          </w:p>
          <w:p w14:paraId="17E2C384">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431171B8">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From a social constructivist perspective, comparing the historical contexts of the emergence of Symbolism and the Doomer meme reveals that both reflect common human emotions during specific historical periods, particularly reflecting on identity and societal dilemmas. The research article "Decoration and Symbolism in the Late Works of Odilon Redon" focuses on the French painter Odilon Redon to explore the development and characteristics of Symbolist painting (Yoder, 2017). Symbolism emerged in the second half of the 19th century, during a time when the Industrial Revolution in Europe caused significant changes in social structures. The modern life brought by industrialization and urbanization made people feel alienated and anxious. At the same time, rising European nationalism and unstable political situations created a tense atmosphere before the war. This collective anxiety was a response to the societal crises of that time. Symbolism used figurative oil painting as a medium to express metaphorical emotions and philosophical reflections. Similarly, can the collective affect behind the Doomer meme also be expressed by young artists through figurative oil painting? My research aims to identify how this collective affect, present among young figurative painters, may be expressed and categorized as a new style and characteristic of figurative oil painting. Furthermore, it seeks to argue that this contemporary figurative oil painting approach is an innovation of the traditional medium of figurative oil painting.</w:t>
            </w:r>
          </w:p>
          <w:p w14:paraId="37BEB63A">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3FD8BEC4">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Most existing studies on the Doomer meme, from an epistemological perspective, focus on quantitative analysis. For instance, the study Internet Memes Often Form Cohesive Networks conducted a quantitative analysis of 1,013 meme instances, including videos, images, and texts, to explore the structural patterns of internet memes (Segev, Villar, &amp; Fiske, 2015). Another article, Are Memes Selfish? How Internet Memes Reflect Crisis–Covid-19 Pandemic in Israel, collected the 25 most liked memes from the two largest Facebook groups in Israel during the COVID-19 pandemic, totaling 597 memes. Through quantitative and qualitative analysis, the study concluded that meme culture effectively reflects the state of society and the challenges it faces (Laor, 2023). These articles provide valuable data support for my research. However, my focus is on exploring how the collective affect behind the Doomer meme influences the work of young figurative painters. Rather than simply quantifying their online spread, my research delves into the meanings behind the Doomer meme and the works of young figurative painters.</w:t>
            </w:r>
          </w:p>
          <w:p w14:paraId="1214C14C">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p>
          <w:p w14:paraId="5766DA19">
            <w:pPr>
              <w:keepNext w:val="0"/>
              <w:keepLines w:val="0"/>
              <w:pageBreakBefore w:val="0"/>
              <w:widowControl/>
              <w:kinsoku/>
              <w:wordWrap/>
              <w:overflowPunct/>
              <w:topLinePunct w:val="0"/>
              <w:autoSpaceDE/>
              <w:autoSpaceDN/>
              <w:bidi w:val="0"/>
              <w:adjustRightInd/>
              <w:snapToGrid/>
              <w:spacing w:beforeLines="0" w:afterLines="0" w:line="360" w:lineRule="auto"/>
              <w:textAlignment w:val="auto"/>
              <w:rPr>
                <w:rFonts w:hint="eastAsia"/>
                <w:sz w:val="21"/>
                <w:szCs w:val="24"/>
              </w:rPr>
            </w:pPr>
            <w:r>
              <w:rPr>
                <w:rFonts w:hint="eastAsia"/>
                <w:sz w:val="21"/>
                <w:szCs w:val="24"/>
              </w:rPr>
              <w:t>Interpretivism, as an epistemological approach, holds that knowledge comes not only from quantitative data but also from the interpretation and understanding of complex cultural phenomena. Therefore, I will employ qualitative research methods, such as visual analysis and semiotic analysis, to interpret the works of young figurative painters. This will allow me to gain a deeper understanding of young people's existential dilemmas and anxieties. In contrast to previous studies on the Doomer meme's birth and spread in online subcultures, my research takes an interdisciplinary approach to uncover the collective affect behind the Doomer meme and merge it with oil painting. This research aims to fill the gap in the exploration of artistic creation in the digital age, advancing the understanding of the relationship between cultural identity, artistic forms, and social dilemmas.</w:t>
            </w:r>
          </w:p>
          <w:p w14:paraId="1E09237D">
            <w:pPr>
              <w:keepNext w:val="0"/>
              <w:keepLines w:val="0"/>
              <w:pageBreakBefore w:val="0"/>
              <w:widowControl/>
              <w:kinsoku/>
              <w:wordWrap/>
              <w:overflowPunct/>
              <w:topLinePunct w:val="0"/>
              <w:autoSpaceDE/>
              <w:autoSpaceDN/>
              <w:bidi w:val="0"/>
              <w:adjustRightInd/>
              <w:snapToGrid/>
              <w:spacing w:line="360" w:lineRule="auto"/>
              <w:textAlignment w:val="auto"/>
              <w:rPr>
                <w:rFonts w:hint="default" w:eastAsia="宋体" w:cs="Arial"/>
                <w:sz w:val="22"/>
                <w:szCs w:val="22"/>
                <w:lang w:val="en-US" w:eastAsia="zh-CN"/>
              </w:rPr>
            </w:pPr>
          </w:p>
          <w:p w14:paraId="36D2F284">
            <w:pPr>
              <w:rPr>
                <w:rFonts w:hint="eastAsia" w:eastAsia="宋体" w:cs="Arial"/>
                <w:sz w:val="22"/>
                <w:szCs w:val="22"/>
                <w:lang w:val="en-US" w:eastAsia="zh-CN"/>
              </w:rPr>
            </w:pPr>
          </w:p>
          <w:p w14:paraId="4CC56A64">
            <w:pPr>
              <w:rPr>
                <w:rFonts w:hint="eastAsia" w:eastAsia="宋体" w:cs="Arial"/>
                <w:sz w:val="22"/>
                <w:szCs w:val="22"/>
                <w:lang w:val="en-US" w:eastAsia="zh-CN"/>
              </w:rPr>
            </w:pPr>
          </w:p>
          <w:p w14:paraId="142676DC">
            <w:pPr>
              <w:rPr>
                <w:rFonts w:hint="eastAsia" w:eastAsia="宋体" w:cs="Arial"/>
                <w:sz w:val="21"/>
                <w:szCs w:val="21"/>
                <w:lang w:val="en-US" w:eastAsia="zh-CN"/>
              </w:rPr>
            </w:pPr>
          </w:p>
          <w:p w14:paraId="2303327B">
            <w:pPr>
              <w:rPr>
                <w:rFonts w:hint="eastAsia" w:eastAsia="宋体" w:cs="Arial"/>
                <w:sz w:val="21"/>
                <w:szCs w:val="21"/>
                <w:lang w:val="en-US" w:eastAsia="zh-CN"/>
              </w:rPr>
            </w:pPr>
          </w:p>
          <w:p w14:paraId="7D55FA92">
            <w:pPr>
              <w:rPr>
                <w:rFonts w:hint="eastAsia" w:eastAsia="宋体" w:cs="Arial"/>
                <w:sz w:val="21"/>
                <w:szCs w:val="21"/>
                <w:lang w:val="en-US" w:eastAsia="zh-CN"/>
              </w:rPr>
            </w:pPr>
          </w:p>
          <w:p w14:paraId="0EA72558">
            <w:pPr>
              <w:rPr>
                <w:rFonts w:hint="eastAsia" w:eastAsia="宋体" w:cs="Arial"/>
                <w:sz w:val="21"/>
                <w:szCs w:val="21"/>
                <w:lang w:val="en-US" w:eastAsia="zh-CN"/>
              </w:rPr>
            </w:pPr>
          </w:p>
          <w:p w14:paraId="06C60025">
            <w:pPr>
              <w:rPr>
                <w:rFonts w:hint="eastAsia" w:ascii="Helvetica Neue" w:hAnsi="Helvetica Neue" w:eastAsia="宋体" w:cs="Helvetica Neue"/>
                <w:i w:val="0"/>
                <w:iCs w:val="0"/>
                <w:caps w:val="0"/>
                <w:color w:val="3A3A3A"/>
                <w:spacing w:val="0"/>
                <w:sz w:val="18"/>
                <w:szCs w:val="18"/>
                <w:shd w:val="clear" w:fill="FFFFFF"/>
                <w:lang w:val="en-US" w:eastAsia="zh-CN"/>
              </w:rPr>
            </w:pPr>
          </w:p>
          <w:p w14:paraId="5AF634FB">
            <w:pPr>
              <w:rPr>
                <w:rFonts w:hint="eastAsia" w:ascii="微软雅黑" w:hAnsi="微软雅黑" w:eastAsia="微软雅黑" w:cs="微软雅黑"/>
                <w:sz w:val="22"/>
                <w:szCs w:val="22"/>
                <w:lang w:eastAsia="zh-CN"/>
              </w:rPr>
            </w:pPr>
          </w:p>
        </w:tc>
      </w:tr>
      <w:tr w14:paraId="5BAB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2B5B6BE6">
            <w:pPr>
              <w:rPr>
                <w:rFonts w:cs="Arial"/>
                <w:sz w:val="22"/>
                <w:szCs w:val="22"/>
                <w:lang w:eastAsia="zh-CN"/>
              </w:rPr>
            </w:pPr>
          </w:p>
          <w:p w14:paraId="60CC9E16">
            <w:pPr>
              <w:autoSpaceDE w:val="0"/>
              <w:autoSpaceDN w:val="0"/>
              <w:adjustRightInd w:val="0"/>
              <w:rPr>
                <w:rFonts w:hint="default" w:eastAsia="宋体" w:cs="Arial"/>
                <w:sz w:val="22"/>
                <w:szCs w:val="22"/>
                <w:lang w:eastAsia="zh-CN"/>
              </w:rPr>
            </w:pPr>
            <w:r>
              <w:rPr>
                <w:rFonts w:cs="Arial"/>
                <w:sz w:val="22"/>
                <w:szCs w:val="22"/>
              </w:rPr>
              <w:t>Aims and Objectives (approx.. 250 – 500 words)</w:t>
            </w:r>
            <w:r>
              <w:rPr>
                <w:rFonts w:hint="eastAsia" w:eastAsia="宋体" w:cs="Arial"/>
                <w:sz w:val="22"/>
                <w:szCs w:val="22"/>
                <w:lang w:val="en-US" w:eastAsia="zh-CN"/>
              </w:rPr>
              <w:t xml:space="preserve">  </w:t>
            </w:r>
          </w:p>
        </w:tc>
      </w:tr>
      <w:tr w14:paraId="1AEA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5ECA3434">
            <w:pPr>
              <w:rPr>
                <w:rFonts w:hint="eastAsia" w:eastAsia="宋体" w:cs="Arial"/>
                <w:b/>
                <w:bCs/>
                <w:sz w:val="22"/>
                <w:szCs w:val="22"/>
                <w:lang w:val="en-US" w:eastAsia="zh-CN"/>
              </w:rPr>
            </w:pPr>
          </w:p>
          <w:p w14:paraId="1CB1837C">
            <w:pPr>
              <w:rPr>
                <w:rFonts w:hint="default" w:eastAsia="宋体" w:cs="Arial"/>
                <w:b/>
                <w:bCs/>
                <w:sz w:val="22"/>
                <w:szCs w:val="22"/>
                <w:lang w:val="en-US" w:eastAsia="zh-CN"/>
              </w:rPr>
            </w:pPr>
            <w:r>
              <w:rPr>
                <w:rFonts w:hint="eastAsia" w:eastAsia="宋体" w:cs="Arial"/>
                <w:b/>
                <w:bCs/>
                <w:sz w:val="22"/>
                <w:szCs w:val="22"/>
                <w:lang w:val="en-US" w:eastAsia="zh-CN"/>
              </w:rPr>
              <w:t>Aims</w:t>
            </w:r>
          </w:p>
          <w:p w14:paraId="084955FB">
            <w:pPr>
              <w:rPr>
                <w:rFonts w:hint="eastAsia" w:eastAsia="宋体" w:cs="Arial"/>
                <w:b w:val="0"/>
                <w:bCs w:val="0"/>
                <w:sz w:val="22"/>
                <w:szCs w:val="22"/>
                <w:lang w:val="en-US" w:eastAsia="zh-CN"/>
              </w:rPr>
            </w:pPr>
          </w:p>
          <w:p w14:paraId="51AAAE71">
            <w:pPr>
              <w:rPr>
                <w:rFonts w:hint="eastAsia" w:ascii="Arial" w:hAnsi="Arial" w:cs="Arial"/>
              </w:rPr>
            </w:pPr>
            <w:r>
              <w:rPr>
                <w:rFonts w:hint="eastAsia" w:eastAsia="宋体" w:cs="Arial"/>
                <w:b w:val="0"/>
                <w:bCs w:val="0"/>
                <w:sz w:val="22"/>
                <w:szCs w:val="22"/>
                <w:lang w:val="en-US" w:eastAsia="zh-CN"/>
              </w:rPr>
              <w:t>This research aims to explore the integration of traditional oil painting with the narrative structures of the modern internet era. Traditional representational oil painting, which is often associated with grand narratives, has gradually lost relevance in representing the lived experiences of contemporary individuals (Craig Staff, 2019). As a result, this medium is often overlooked by contemporary artists. By focusing on the fragmented narratives of contemporary life, this research seeks to re-establish oil painting as a relevant medium for expressing the ideas and experiences of today’s digital age. This will provide new insights for artists in selecting suitable media for their themes and encourage innovation in the artistic expression of figurative oil painting.</w:t>
            </w:r>
          </w:p>
          <w:p w14:paraId="457E8383">
            <w:pPr>
              <w:rPr>
                <w:rFonts w:hint="eastAsia" w:ascii="Arial" w:hAnsi="Arial" w:cs="Arial"/>
              </w:rPr>
            </w:pPr>
          </w:p>
          <w:p w14:paraId="643DA25B">
            <w:pPr>
              <w:rPr>
                <w:rFonts w:hint="eastAsia" w:ascii="Arial" w:hAnsi="Arial" w:cs="Arial"/>
              </w:rPr>
            </w:pPr>
          </w:p>
          <w:p w14:paraId="1B41B961">
            <w:pPr>
              <w:autoSpaceDE w:val="0"/>
              <w:autoSpaceDN w:val="0"/>
              <w:adjustRightInd w:val="0"/>
              <w:rPr>
                <w:rFonts w:ascii="Arial" w:hAnsi="Arial" w:cs="Arial"/>
                <w:b/>
                <w:bCs/>
                <w:sz w:val="22"/>
                <w:szCs w:val="22"/>
              </w:rPr>
            </w:pPr>
            <w:r>
              <w:rPr>
                <w:rFonts w:ascii="Arial" w:hAnsi="Arial" w:cs="Arial"/>
                <w:b/>
                <w:bCs/>
                <w:sz w:val="22"/>
                <w:szCs w:val="22"/>
              </w:rPr>
              <w:t xml:space="preserve">Objectives </w:t>
            </w:r>
          </w:p>
          <w:p w14:paraId="3904FF90">
            <w:pPr>
              <w:numPr>
                <w:ilvl w:val="0"/>
                <w:numId w:val="0"/>
              </w:numPr>
              <w:ind w:leftChars="0"/>
              <w:rPr>
                <w:rFonts w:hint="eastAsia" w:eastAsia="宋体" w:cs="Arial"/>
                <w:sz w:val="22"/>
                <w:szCs w:val="22"/>
                <w:lang w:val="en-US" w:eastAsia="zh-CN"/>
              </w:rPr>
            </w:pPr>
          </w:p>
          <w:p w14:paraId="7B72C808">
            <w:pPr>
              <w:numPr>
                <w:ilvl w:val="0"/>
                <w:numId w:val="0"/>
              </w:numPr>
              <w:ind w:leftChars="0"/>
              <w:rPr>
                <w:rFonts w:hint="eastAsia" w:eastAsia="宋体" w:cs="Arial"/>
                <w:sz w:val="22"/>
                <w:szCs w:val="22"/>
                <w:lang w:val="en-US" w:eastAsia="zh-CN"/>
              </w:rPr>
            </w:pPr>
            <w:r>
              <w:rPr>
                <w:rFonts w:hint="eastAsia" w:eastAsia="宋体" w:cs="Arial"/>
                <w:sz w:val="22"/>
                <w:szCs w:val="22"/>
                <w:lang w:val="en-US" w:eastAsia="zh-CN"/>
              </w:rPr>
              <w:t>To explore the relationship between identity exploration in online subcultures and the collective memory of the post-1990 generation, using the Doomer meme as a key example, through a literature review approach.</w:t>
            </w:r>
          </w:p>
          <w:p w14:paraId="7B3DD9BB">
            <w:pPr>
              <w:numPr>
                <w:ilvl w:val="0"/>
                <w:numId w:val="0"/>
              </w:numPr>
              <w:ind w:leftChars="0"/>
              <w:rPr>
                <w:rFonts w:hint="eastAsia" w:eastAsia="宋体" w:cs="Arial"/>
                <w:sz w:val="22"/>
                <w:szCs w:val="22"/>
                <w:lang w:val="en-US" w:eastAsia="zh-CN"/>
              </w:rPr>
            </w:pPr>
          </w:p>
          <w:p w14:paraId="7B5C0D3F">
            <w:pPr>
              <w:numPr>
                <w:ilvl w:val="0"/>
                <w:numId w:val="0"/>
              </w:numPr>
              <w:ind w:leftChars="0"/>
              <w:rPr>
                <w:rFonts w:hint="eastAsia" w:eastAsia="宋体" w:cs="Arial"/>
                <w:sz w:val="22"/>
                <w:szCs w:val="22"/>
                <w:lang w:val="en-US" w:eastAsia="zh-CN"/>
              </w:rPr>
            </w:pPr>
            <w:r>
              <w:rPr>
                <w:rFonts w:hint="eastAsia" w:eastAsia="宋体" w:cs="Arial"/>
                <w:sz w:val="22"/>
                <w:szCs w:val="22"/>
                <w:lang w:val="en-US" w:eastAsia="zh-CN"/>
              </w:rPr>
              <w:t>To analyze the figurative oil painting practices of artists born after 1990 using semiotics, visual analysis, and autoethnography, while gaining insights into their real-life contexts and inspirations through interviews and documentation.</w:t>
            </w:r>
          </w:p>
          <w:p w14:paraId="54BE836D">
            <w:pPr>
              <w:numPr>
                <w:ilvl w:val="0"/>
                <w:numId w:val="0"/>
              </w:numPr>
              <w:ind w:leftChars="0"/>
              <w:rPr>
                <w:rFonts w:hint="eastAsia" w:eastAsia="宋体" w:cs="Arial"/>
                <w:color w:val="FF0000"/>
                <w:sz w:val="22"/>
                <w:szCs w:val="22"/>
                <w:lang w:val="en-US" w:eastAsia="zh-CN"/>
              </w:rPr>
            </w:pPr>
          </w:p>
          <w:p w14:paraId="0E03BD62">
            <w:pPr>
              <w:numPr>
                <w:ilvl w:val="0"/>
                <w:numId w:val="0"/>
              </w:numPr>
              <w:ind w:leftChars="0"/>
              <w:rPr>
                <w:rFonts w:hint="eastAsia" w:eastAsia="宋体" w:cs="Arial"/>
                <w:sz w:val="22"/>
                <w:szCs w:val="22"/>
                <w:lang w:val="en-US" w:eastAsia="zh-CN"/>
              </w:rPr>
            </w:pPr>
            <w:r>
              <w:rPr>
                <w:rFonts w:hint="eastAsia" w:eastAsia="宋体" w:cs="Arial"/>
                <w:sz w:val="22"/>
                <w:szCs w:val="22"/>
                <w:lang w:val="en-US" w:eastAsia="zh-CN"/>
              </w:rPr>
              <w:t>To compare the creative contexts of contemporary figurative oil painting by young artists with those of historical figurative works, such as symbolism painting, that share themes similar to Doomerism.</w:t>
            </w:r>
          </w:p>
          <w:p w14:paraId="6C371F1D">
            <w:pPr>
              <w:numPr>
                <w:ilvl w:val="0"/>
                <w:numId w:val="0"/>
              </w:numPr>
              <w:ind w:leftChars="0"/>
              <w:rPr>
                <w:rFonts w:hint="eastAsia" w:eastAsia="宋体" w:cs="Arial"/>
                <w:sz w:val="22"/>
                <w:szCs w:val="22"/>
                <w:lang w:val="en-US" w:eastAsia="zh-CN"/>
              </w:rPr>
            </w:pPr>
          </w:p>
          <w:p w14:paraId="3182155D">
            <w:pPr>
              <w:pStyle w:val="26"/>
              <w:numPr>
                <w:ilvl w:val="0"/>
                <w:numId w:val="0"/>
              </w:numPr>
              <w:autoSpaceDE w:val="0"/>
              <w:autoSpaceDN w:val="0"/>
              <w:adjustRightInd w:val="0"/>
              <w:contextualSpacing/>
              <w:rPr>
                <w:rFonts w:hint="eastAsia" w:eastAsia="宋体" w:cs="Arial"/>
                <w:sz w:val="22"/>
                <w:szCs w:val="22"/>
                <w:lang w:val="en-US" w:eastAsia="zh-CN"/>
              </w:rPr>
            </w:pPr>
            <w:r>
              <w:rPr>
                <w:rFonts w:hint="eastAsia" w:eastAsia="宋体" w:cs="Arial"/>
                <w:sz w:val="22"/>
                <w:szCs w:val="22"/>
                <w:lang w:val="en-US" w:eastAsia="zh-CN"/>
              </w:rPr>
              <w:t>To summarize and evaluate the narrative methods used by young artists in their figurative oil paintings, assessing their significance in reflecting the collective memory of modern groups.</w:t>
            </w:r>
          </w:p>
          <w:p w14:paraId="6B3F24C1">
            <w:pPr>
              <w:pStyle w:val="26"/>
              <w:numPr>
                <w:ilvl w:val="0"/>
                <w:numId w:val="0"/>
              </w:numPr>
              <w:autoSpaceDE w:val="0"/>
              <w:autoSpaceDN w:val="0"/>
              <w:adjustRightInd w:val="0"/>
              <w:contextualSpacing/>
              <w:rPr>
                <w:rFonts w:hint="eastAsia" w:eastAsia="宋体" w:cs="Arial"/>
                <w:sz w:val="22"/>
                <w:szCs w:val="22"/>
                <w:lang w:val="en-US" w:eastAsia="zh-CN"/>
              </w:rPr>
            </w:pPr>
          </w:p>
        </w:tc>
      </w:tr>
      <w:tr w14:paraId="3B29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02EF8E0E">
            <w:pPr>
              <w:rPr>
                <w:rFonts w:cs="Arial"/>
                <w:sz w:val="22"/>
                <w:szCs w:val="22"/>
              </w:rPr>
            </w:pPr>
            <w:r>
              <w:rPr>
                <w:rFonts w:cs="Arial"/>
                <w:sz w:val="22"/>
                <w:szCs w:val="22"/>
              </w:rPr>
              <w:t xml:space="preserve">Proposed plan of work including timetable </w:t>
            </w:r>
          </w:p>
        </w:tc>
      </w:tr>
      <w:tr w14:paraId="6D63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tcPr>
          <w:p w14:paraId="3B70014A">
            <w:pPr>
              <w:rPr>
                <w:rFonts w:cs="Arial"/>
                <w:sz w:val="22"/>
                <w:szCs w:val="22"/>
                <w:lang w:eastAsia="zh-CN"/>
              </w:rPr>
            </w:pPr>
          </w:p>
          <w:p w14:paraId="2D807F69">
            <w:pPr>
              <w:rPr>
                <w:rFonts w:cs="Arial"/>
                <w:sz w:val="22"/>
                <w:szCs w:val="22"/>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14:paraId="1D921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555CBE44">
                  <w:pPr>
                    <w:rPr>
                      <w:rFonts w:cs="Arial"/>
                      <w:sz w:val="22"/>
                      <w:szCs w:val="22"/>
                    </w:rPr>
                  </w:pPr>
                  <w:r>
                    <w:rPr>
                      <w:rFonts w:cs="Arial"/>
                      <w:sz w:val="22"/>
                      <w:szCs w:val="22"/>
                    </w:rPr>
                    <w:t>Planned Development (e.g. submission of form, completion of chapter, submission of thesis)</w:t>
                  </w:r>
                </w:p>
              </w:tc>
              <w:tc>
                <w:tcPr>
                  <w:tcW w:w="4778" w:type="dxa"/>
                </w:tcPr>
                <w:p w14:paraId="61FC0D2B">
                  <w:pPr>
                    <w:rPr>
                      <w:rFonts w:cs="Arial"/>
                      <w:sz w:val="22"/>
                      <w:szCs w:val="22"/>
                    </w:rPr>
                  </w:pPr>
                  <w:r>
                    <w:rPr>
                      <w:rFonts w:cs="Arial"/>
                      <w:sz w:val="22"/>
                      <w:szCs w:val="22"/>
                    </w:rPr>
                    <w:t>Target Date</w:t>
                  </w:r>
                </w:p>
              </w:tc>
            </w:tr>
            <w:tr w14:paraId="3E5FE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777" w:type="dxa"/>
                </w:tcPr>
                <w:p w14:paraId="09488BEF">
                  <w:pPr>
                    <w:rPr>
                      <w:rFonts w:hint="eastAsia" w:eastAsia="宋体" w:cs="Arial"/>
                      <w:sz w:val="22"/>
                      <w:szCs w:val="22"/>
                      <w:lang w:val="en-US" w:eastAsia="zh-CN"/>
                    </w:rPr>
                  </w:pPr>
                  <w:r>
                    <w:rPr>
                      <w:rFonts w:hint="eastAsia"/>
                    </w:rPr>
                    <w:t>Submit PG1 and PG2, develop research plan and framework</w:t>
                  </w:r>
                  <w:r>
                    <w:rPr>
                      <w:rFonts w:hint="eastAsia" w:eastAsia="宋体"/>
                      <w:lang w:val="en-US" w:eastAsia="zh-CN"/>
                    </w:rPr>
                    <w:t xml:space="preserve"> </w:t>
                  </w:r>
                </w:p>
              </w:tc>
              <w:tc>
                <w:tcPr>
                  <w:tcW w:w="4778" w:type="dxa"/>
                </w:tcPr>
                <w:p w14:paraId="3F2D0D31">
                  <w:pPr>
                    <w:rPr>
                      <w:rFonts w:cs="Arial"/>
                      <w:sz w:val="22"/>
                      <w:szCs w:val="22"/>
                    </w:rPr>
                  </w:pPr>
                  <w:r>
                    <w:rPr>
                      <w:rFonts w:hint="eastAsia" w:cs="Arial"/>
                      <w:sz w:val="22"/>
                      <w:szCs w:val="22"/>
                    </w:rPr>
                    <w:t xml:space="preserve"> January 2025</w:t>
                  </w:r>
                </w:p>
              </w:tc>
            </w:tr>
            <w:tr w14:paraId="0377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7F5D96E5">
                  <w:pPr>
                    <w:rPr>
                      <w:rFonts w:hint="default" w:eastAsia="宋体" w:cs="Arial"/>
                      <w:sz w:val="22"/>
                      <w:szCs w:val="22"/>
                      <w:lang w:val="en-US" w:eastAsia="zh-CN"/>
                    </w:rPr>
                  </w:pPr>
                  <w:r>
                    <w:rPr>
                      <w:rFonts w:hint="eastAsia" w:cs="Arial"/>
                      <w:sz w:val="22"/>
                      <w:szCs w:val="22"/>
                    </w:rPr>
                    <w:t>Research design, literature review and methodology writing</w:t>
                  </w:r>
                </w:p>
              </w:tc>
              <w:tc>
                <w:tcPr>
                  <w:tcW w:w="4778" w:type="dxa"/>
                </w:tcPr>
                <w:p w14:paraId="4472CEDF">
                  <w:pPr>
                    <w:rPr>
                      <w:rFonts w:hint="default" w:eastAsia="宋体" w:cs="Arial"/>
                      <w:sz w:val="22"/>
                      <w:szCs w:val="22"/>
                      <w:lang w:val="en-US" w:eastAsia="zh-CN"/>
                    </w:rPr>
                  </w:pPr>
                  <w:r>
                    <w:rPr>
                      <w:rFonts w:hint="eastAsia" w:eastAsia="宋体" w:cs="Arial"/>
                      <w:sz w:val="22"/>
                      <w:szCs w:val="22"/>
                      <w:lang w:val="en-US" w:eastAsia="zh-CN"/>
                    </w:rPr>
                    <w:t xml:space="preserve"> March 2025</w:t>
                  </w:r>
                </w:p>
              </w:tc>
            </w:tr>
            <w:tr w14:paraId="1C3B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850EF2">
                  <w:pPr>
                    <w:rPr>
                      <w:rFonts w:hint="default" w:eastAsia="宋体" w:cs="Arial"/>
                      <w:sz w:val="22"/>
                      <w:szCs w:val="22"/>
                      <w:lang w:val="en-US" w:eastAsia="zh-CN"/>
                    </w:rPr>
                  </w:pPr>
                  <w:r>
                    <w:rPr>
                      <w:rFonts w:hint="default" w:eastAsia="宋体" w:cs="Arial"/>
                      <w:sz w:val="22"/>
                      <w:szCs w:val="22"/>
                      <w:lang w:val="en-US" w:eastAsia="zh-CN"/>
                    </w:rPr>
                    <w:t>Conduct interviews and case studies with selected artists born after 1990 to collect preliminary data</w:t>
                  </w:r>
                </w:p>
              </w:tc>
              <w:tc>
                <w:tcPr>
                  <w:tcW w:w="4778" w:type="dxa"/>
                </w:tcPr>
                <w:p w14:paraId="739AFF27">
                  <w:pPr>
                    <w:ind w:firstLine="220" w:firstLineChars="100"/>
                    <w:rPr>
                      <w:rFonts w:hint="default" w:eastAsia="宋体" w:cs="Arial"/>
                      <w:sz w:val="22"/>
                      <w:szCs w:val="22"/>
                      <w:lang w:val="en-US" w:eastAsia="zh-CN"/>
                    </w:rPr>
                  </w:pPr>
                  <w:r>
                    <w:rPr>
                      <w:rFonts w:hint="eastAsia" w:eastAsia="宋体" w:cs="Arial"/>
                      <w:sz w:val="22"/>
                      <w:szCs w:val="22"/>
                      <w:lang w:val="en-US" w:eastAsia="zh-CN"/>
                    </w:rPr>
                    <w:t>April 2025</w:t>
                  </w:r>
                </w:p>
              </w:tc>
            </w:tr>
            <w:tr w14:paraId="376D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77" w:type="dxa"/>
                </w:tcPr>
                <w:p w14:paraId="2CCE4D2A">
                  <w:pPr>
                    <w:rPr>
                      <w:rFonts w:cs="Arial"/>
                      <w:sz w:val="22"/>
                      <w:szCs w:val="22"/>
                    </w:rPr>
                  </w:pPr>
                  <w:r>
                    <w:rPr>
                      <w:rFonts w:hint="eastAsia" w:cs="Arial"/>
                      <w:sz w:val="22"/>
                      <w:szCs w:val="22"/>
                    </w:rPr>
                    <w:t>Analysis of interview data and personal oil painting practice</w:t>
                  </w:r>
                </w:p>
              </w:tc>
              <w:tc>
                <w:tcPr>
                  <w:tcW w:w="4778" w:type="dxa"/>
                </w:tcPr>
                <w:p w14:paraId="01731808">
                  <w:pPr>
                    <w:rPr>
                      <w:rFonts w:hint="default" w:eastAsia="宋体" w:cs="Arial"/>
                      <w:sz w:val="22"/>
                      <w:szCs w:val="22"/>
                      <w:lang w:val="en-US" w:eastAsia="zh-CN"/>
                    </w:rPr>
                  </w:pPr>
                  <w:r>
                    <w:rPr>
                      <w:rFonts w:hint="eastAsia" w:eastAsia="宋体" w:cs="Arial"/>
                      <w:sz w:val="22"/>
                      <w:szCs w:val="22"/>
                      <w:lang w:val="en-US" w:eastAsia="zh-CN"/>
                    </w:rPr>
                    <w:t xml:space="preserve">  July 2025</w:t>
                  </w:r>
                </w:p>
              </w:tc>
            </w:tr>
            <w:tr w14:paraId="30DF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atLeast"/>
              </w:trPr>
              <w:tc>
                <w:tcPr>
                  <w:tcW w:w="4777" w:type="dxa"/>
                </w:tcPr>
                <w:p w14:paraId="4415F02D">
                  <w:pPr>
                    <w:rPr>
                      <w:rFonts w:hint="eastAsia" w:cs="Arial"/>
                      <w:sz w:val="22"/>
                      <w:szCs w:val="22"/>
                    </w:rPr>
                  </w:pPr>
                </w:p>
                <w:p w14:paraId="416ACA7B">
                  <w:pPr>
                    <w:rPr>
                      <w:rFonts w:hint="eastAsia" w:cs="Arial"/>
                      <w:sz w:val="22"/>
                      <w:szCs w:val="22"/>
                    </w:rPr>
                  </w:pPr>
                  <w:r>
                    <w:rPr>
                      <w:rFonts w:hint="eastAsia" w:cs="Arial"/>
                      <w:sz w:val="22"/>
                      <w:szCs w:val="22"/>
                    </w:rPr>
                    <w:t xml:space="preserve">Literature and comparative research: </w:t>
                  </w:r>
                </w:p>
                <w:p w14:paraId="19CB66EF">
                  <w:pPr>
                    <w:rPr>
                      <w:rFonts w:hint="eastAsia" w:cs="Arial"/>
                      <w:sz w:val="22"/>
                      <w:szCs w:val="22"/>
                    </w:rPr>
                  </w:pPr>
                </w:p>
                <w:p w14:paraId="03CF225D">
                  <w:pPr>
                    <w:rPr>
                      <w:rFonts w:cs="Arial"/>
                      <w:sz w:val="22"/>
                      <w:szCs w:val="22"/>
                    </w:rPr>
                  </w:pPr>
                  <w:r>
                    <w:rPr>
                      <w:rFonts w:hint="eastAsia" w:cs="Arial"/>
                      <w:sz w:val="22"/>
                      <w:szCs w:val="22"/>
                    </w:rPr>
                    <w:t>Analyzing the similarities and differences in emotional and thematic expression between Symbolist oil paintings and contemporary figurative oil paintings that convey Doomer emotions.</w:t>
                  </w:r>
                </w:p>
              </w:tc>
              <w:tc>
                <w:tcPr>
                  <w:tcW w:w="4778" w:type="dxa"/>
                </w:tcPr>
                <w:p w14:paraId="6C71BA2A">
                  <w:pPr>
                    <w:rPr>
                      <w:rFonts w:hint="eastAsia" w:eastAsia="宋体" w:cs="Arial"/>
                      <w:sz w:val="22"/>
                      <w:szCs w:val="22"/>
                      <w:lang w:val="en-US" w:eastAsia="zh-CN"/>
                    </w:rPr>
                  </w:pPr>
                  <w:r>
                    <w:rPr>
                      <w:rFonts w:hint="eastAsia" w:eastAsia="宋体" w:cs="Arial"/>
                      <w:sz w:val="22"/>
                      <w:szCs w:val="22"/>
                      <w:lang w:val="en-US" w:eastAsia="zh-CN"/>
                    </w:rPr>
                    <w:t xml:space="preserve"> </w:t>
                  </w:r>
                </w:p>
                <w:p w14:paraId="3C660521">
                  <w:pPr>
                    <w:ind w:firstLine="220" w:firstLineChars="100"/>
                    <w:rPr>
                      <w:rFonts w:hint="default" w:eastAsia="宋体" w:cs="Arial"/>
                      <w:sz w:val="22"/>
                      <w:szCs w:val="22"/>
                      <w:lang w:val="en-US" w:eastAsia="zh-CN"/>
                    </w:rPr>
                  </w:pPr>
                  <w:r>
                    <w:rPr>
                      <w:rFonts w:hint="eastAsia" w:eastAsia="宋体" w:cs="Arial"/>
                      <w:sz w:val="22"/>
                      <w:szCs w:val="22"/>
                      <w:lang w:val="en-US" w:eastAsia="zh-CN"/>
                    </w:rPr>
                    <w:t>September 2025</w:t>
                  </w:r>
                </w:p>
              </w:tc>
            </w:tr>
            <w:tr w14:paraId="4256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4777" w:type="dxa"/>
                </w:tcPr>
                <w:p w14:paraId="099FB614">
                  <w:pPr>
                    <w:rPr>
                      <w:rFonts w:hint="eastAsia" w:cs="Arial"/>
                      <w:sz w:val="22"/>
                      <w:szCs w:val="22"/>
                    </w:rPr>
                  </w:pPr>
                </w:p>
                <w:p w14:paraId="0CC14C01">
                  <w:pPr>
                    <w:rPr>
                      <w:rFonts w:cs="Arial"/>
                      <w:sz w:val="22"/>
                      <w:szCs w:val="22"/>
                    </w:rPr>
                  </w:pPr>
                  <w:r>
                    <w:rPr>
                      <w:rFonts w:hint="eastAsia" w:cs="Arial"/>
                      <w:sz w:val="22"/>
                      <w:szCs w:val="22"/>
                    </w:rPr>
                    <w:t>Write the first draft of the research findings</w:t>
                  </w:r>
                </w:p>
              </w:tc>
              <w:tc>
                <w:tcPr>
                  <w:tcW w:w="4778" w:type="dxa"/>
                </w:tcPr>
                <w:p w14:paraId="07F5C49E">
                  <w:pPr>
                    <w:rPr>
                      <w:rFonts w:hint="eastAsia" w:eastAsia="宋体" w:cs="Arial"/>
                      <w:sz w:val="22"/>
                      <w:szCs w:val="22"/>
                      <w:lang w:val="en-US" w:eastAsia="zh-CN"/>
                    </w:rPr>
                  </w:pPr>
                  <w:r>
                    <w:rPr>
                      <w:rFonts w:hint="eastAsia" w:eastAsia="宋体" w:cs="Arial"/>
                      <w:sz w:val="22"/>
                      <w:szCs w:val="22"/>
                      <w:lang w:val="en-US" w:eastAsia="zh-CN"/>
                    </w:rPr>
                    <w:t xml:space="preserve">  </w:t>
                  </w:r>
                </w:p>
                <w:p w14:paraId="6E8D6B32">
                  <w:pPr>
                    <w:ind w:firstLine="220" w:firstLineChars="100"/>
                    <w:rPr>
                      <w:rFonts w:hint="default" w:eastAsia="宋体" w:cs="Arial"/>
                      <w:sz w:val="22"/>
                      <w:szCs w:val="22"/>
                      <w:lang w:val="en-US" w:eastAsia="zh-CN"/>
                    </w:rPr>
                  </w:pPr>
                  <w:r>
                    <w:rPr>
                      <w:rFonts w:hint="eastAsia" w:eastAsia="宋体" w:cs="Arial"/>
                      <w:sz w:val="22"/>
                      <w:szCs w:val="22"/>
                      <w:lang w:val="en-US" w:eastAsia="zh-CN"/>
                    </w:rPr>
                    <w:t>November 2025</w:t>
                  </w:r>
                </w:p>
              </w:tc>
            </w:tr>
          </w:tbl>
          <w:p w14:paraId="4590CEC3">
            <w:pPr>
              <w:rPr>
                <w:rFonts w:cs="Arial"/>
                <w:sz w:val="22"/>
                <w:szCs w:val="22"/>
              </w:rPr>
            </w:pPr>
          </w:p>
          <w:p w14:paraId="62E10401">
            <w:pPr>
              <w:rPr>
                <w:rFonts w:cs="Arial"/>
                <w:sz w:val="22"/>
                <w:szCs w:val="22"/>
              </w:rPr>
            </w:pPr>
          </w:p>
        </w:tc>
      </w:tr>
      <w:tr w14:paraId="2E92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1F44D456">
            <w:pPr>
              <w:rPr>
                <w:rFonts w:cs="Arial"/>
                <w:sz w:val="22"/>
                <w:szCs w:val="22"/>
              </w:rPr>
            </w:pPr>
            <w:r>
              <w:rPr>
                <w:rFonts w:cs="Arial"/>
                <w:sz w:val="22"/>
                <w:szCs w:val="22"/>
              </w:rPr>
              <w:t>Proposed methodology (approx. 500 words):</w:t>
            </w:r>
          </w:p>
        </w:tc>
      </w:tr>
      <w:tr w14:paraId="61D1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0AC22FED">
            <w:pPr>
              <w:numPr>
                <w:ilvl w:val="0"/>
                <w:numId w:val="0"/>
              </w:numPr>
              <w:rPr>
                <w:rFonts w:hint="eastAsia" w:eastAsia="宋体" w:cs="Arial"/>
                <w:sz w:val="22"/>
                <w:szCs w:val="22"/>
                <w:lang w:val="en-US" w:eastAsia="zh-CN"/>
              </w:rPr>
            </w:pPr>
          </w:p>
          <w:p w14:paraId="6F93A5DF">
            <w:pPr>
              <w:numPr>
                <w:ilvl w:val="0"/>
                <w:numId w:val="0"/>
              </w:numPr>
              <w:rPr>
                <w:rFonts w:hint="eastAsia" w:cs="Arial"/>
                <w:sz w:val="22"/>
                <w:szCs w:val="22"/>
              </w:rPr>
            </w:pPr>
            <w:r>
              <w:rPr>
                <w:rFonts w:hint="eastAsia" w:cs="Arial"/>
                <w:sz w:val="22"/>
                <w:szCs w:val="22"/>
              </w:rPr>
              <w:t>This research employs a qualitative, autoethnographic method combined with visual analysis, semiotic analysis, semi-structured interviews, and archival research to explore how young painters use the medium to express the collective affect behind the doomer meme, from a constructivist and interpretivist perspective.</w:t>
            </w:r>
          </w:p>
          <w:p w14:paraId="634B7170">
            <w:pPr>
              <w:numPr>
                <w:ilvl w:val="0"/>
                <w:numId w:val="0"/>
              </w:numPr>
              <w:rPr>
                <w:rFonts w:hint="eastAsia" w:cs="Arial"/>
                <w:sz w:val="22"/>
                <w:szCs w:val="22"/>
              </w:rPr>
            </w:pPr>
          </w:p>
          <w:p w14:paraId="278DF217">
            <w:pPr>
              <w:numPr>
                <w:ilvl w:val="0"/>
                <w:numId w:val="0"/>
              </w:numPr>
              <w:rPr>
                <w:rFonts w:hint="eastAsia" w:cs="Arial"/>
                <w:b/>
                <w:bCs/>
                <w:sz w:val="22"/>
                <w:szCs w:val="22"/>
              </w:rPr>
            </w:pPr>
            <w:r>
              <w:rPr>
                <w:rFonts w:hint="eastAsia" w:cs="Arial"/>
                <w:b/>
                <w:bCs/>
                <w:sz w:val="22"/>
                <w:szCs w:val="22"/>
              </w:rPr>
              <w:t>Disciplinary Orientation / Approach</w:t>
            </w:r>
          </w:p>
          <w:p w14:paraId="18501F8C">
            <w:pPr>
              <w:numPr>
                <w:ilvl w:val="0"/>
                <w:numId w:val="0"/>
              </w:numPr>
              <w:rPr>
                <w:rFonts w:hint="default" w:eastAsia="宋体" w:cs="Arial"/>
                <w:sz w:val="22"/>
                <w:szCs w:val="22"/>
                <w:lang w:val="en-US" w:eastAsia="zh-CN"/>
              </w:rPr>
            </w:pPr>
            <w:r>
              <w:rPr>
                <w:rFonts w:hint="eastAsia" w:cs="Arial"/>
                <w:sz w:val="22"/>
                <w:szCs w:val="22"/>
              </w:rPr>
              <w:t xml:space="preserve">The research is grounded in both </w:t>
            </w:r>
            <w:r>
              <w:rPr>
                <w:rFonts w:hint="eastAsia" w:eastAsia="宋体" w:cs="Arial"/>
                <w:sz w:val="22"/>
                <w:szCs w:val="22"/>
                <w:lang w:val="en-US" w:eastAsia="zh-CN"/>
              </w:rPr>
              <w:t xml:space="preserve">social </w:t>
            </w:r>
            <w:r>
              <w:rPr>
                <w:rFonts w:hint="eastAsia" w:cs="Arial"/>
                <w:sz w:val="22"/>
                <w:szCs w:val="22"/>
              </w:rPr>
              <w:t xml:space="preserve">constructivism and interpretivism, which are two key philosophical perspectives in qualitative research. </w:t>
            </w:r>
            <w:r>
              <w:rPr>
                <w:rFonts w:hint="eastAsia" w:eastAsia="宋体" w:cs="Arial"/>
                <w:sz w:val="22"/>
                <w:szCs w:val="22"/>
                <w:lang w:val="en-US" w:eastAsia="zh-CN"/>
              </w:rPr>
              <w:t xml:space="preserve">From a constructivist viewpoint, the process of acquiring knowledge goes beyond individual cognition and is deeply shaped by collaboration and mutual understanding among people. Knowledge and meaning are co-created through social exchanges and common cultural contexts, rather than being simply received from the surrounding environment (Adams, 2006). Viewing through the lens of social constructivism allows for a clearer understanding and analysis of complex social phenomena, such as collective affect, identity, and collective memory, within the context of the doomer meme. In the digital age, the doomer meme reflects both individual emotions and thoughts, while also showcasing significant social construction traits. Exploring this phenomenon through the social constructivist framework helps reveal its underlying social and cultural influences. </w:t>
            </w:r>
          </w:p>
          <w:p w14:paraId="0F675503">
            <w:pPr>
              <w:numPr>
                <w:ilvl w:val="0"/>
                <w:numId w:val="0"/>
              </w:numPr>
              <w:rPr>
                <w:rFonts w:hint="default" w:eastAsia="宋体" w:cs="Arial"/>
                <w:sz w:val="22"/>
                <w:szCs w:val="22"/>
                <w:lang w:val="en-US" w:eastAsia="zh-CN"/>
              </w:rPr>
            </w:pPr>
            <w:r>
              <w:rPr>
                <w:rFonts w:hint="default" w:eastAsia="宋体" w:cs="Arial"/>
                <w:sz w:val="22"/>
                <w:szCs w:val="22"/>
                <w:lang w:val="en-US" w:eastAsia="zh-CN"/>
              </w:rPr>
              <w:t>Interpretivism, rooted in the ideas of philosophers like Kant, emphasizes understanding individual actions and beliefs by exploring the meanings and context behind them. It highlights the role of personal perception and interpretation in the research process. This methodology is grounded in the subjective understanding of human behavior, suggesting that an individual's experiences and background shape their perspective and interpretation of the world (Ryan, 2018).</w:t>
            </w:r>
            <w:r>
              <w:rPr>
                <w:rFonts w:hint="eastAsia" w:eastAsia="宋体" w:cs="Arial"/>
                <w:sz w:val="22"/>
                <w:szCs w:val="22"/>
                <w:lang w:val="en-US" w:eastAsia="zh-CN"/>
              </w:rPr>
              <w:t xml:space="preserve"> From an interpretivist approach, the study focuses on e</w:t>
            </w:r>
            <w:r>
              <w:rPr>
                <w:rFonts w:hint="default" w:eastAsia="宋体" w:cs="Arial"/>
                <w:sz w:val="22"/>
                <w:szCs w:val="22"/>
                <w:lang w:val="en-US" w:eastAsia="zh-CN"/>
              </w:rPr>
              <w:t>xplor</w:t>
            </w:r>
            <w:r>
              <w:rPr>
                <w:rFonts w:hint="eastAsia" w:eastAsia="宋体" w:cs="Arial"/>
                <w:sz w:val="22"/>
                <w:szCs w:val="22"/>
                <w:lang w:val="en-US" w:eastAsia="zh-CN"/>
              </w:rPr>
              <w:t>ing</w:t>
            </w:r>
            <w:r>
              <w:rPr>
                <w:rFonts w:hint="default" w:eastAsia="宋体" w:cs="Arial"/>
                <w:sz w:val="22"/>
                <w:szCs w:val="22"/>
                <w:lang w:val="en-US" w:eastAsia="zh-CN"/>
              </w:rPr>
              <w:t xml:space="preserve"> the meaning of phenomena while also providing a comprehensive analysis of their relationship with social contexts.This dual perspective allows for a deeper understanding of both individual and collective experiences, which is crucial to this research.</w:t>
            </w:r>
          </w:p>
          <w:p w14:paraId="2639E857">
            <w:pPr>
              <w:numPr>
                <w:ilvl w:val="0"/>
                <w:numId w:val="0"/>
              </w:numPr>
              <w:rPr>
                <w:rFonts w:hint="default" w:eastAsia="宋体" w:cs="Arial"/>
                <w:sz w:val="22"/>
                <w:szCs w:val="22"/>
                <w:lang w:val="en-US" w:eastAsia="zh-CN"/>
              </w:rPr>
            </w:pPr>
          </w:p>
          <w:p w14:paraId="62801748">
            <w:pPr>
              <w:numPr>
                <w:ilvl w:val="0"/>
                <w:numId w:val="0"/>
              </w:numPr>
              <w:rPr>
                <w:rFonts w:hint="default" w:eastAsia="宋体" w:cs="Arial"/>
                <w:b/>
                <w:bCs/>
                <w:sz w:val="22"/>
                <w:szCs w:val="22"/>
                <w:lang w:val="en-US" w:eastAsia="zh-CN"/>
              </w:rPr>
            </w:pPr>
            <w:r>
              <w:rPr>
                <w:rFonts w:hint="default" w:eastAsia="宋体" w:cs="Arial"/>
                <w:b/>
                <w:bCs/>
                <w:sz w:val="22"/>
                <w:szCs w:val="22"/>
                <w:lang w:val="en-US" w:eastAsia="zh-CN"/>
              </w:rPr>
              <w:t>Methods</w:t>
            </w:r>
            <w:r>
              <w:rPr>
                <w:rFonts w:hint="eastAsia" w:eastAsia="宋体" w:cs="Arial"/>
                <w:b/>
                <w:bCs/>
                <w:sz w:val="22"/>
                <w:szCs w:val="22"/>
                <w:lang w:val="en-US" w:eastAsia="zh-CN"/>
              </w:rPr>
              <w:t xml:space="preserve"> in my research</w:t>
            </w:r>
          </w:p>
          <w:p w14:paraId="75573B04">
            <w:pPr>
              <w:numPr>
                <w:ilvl w:val="0"/>
                <w:numId w:val="0"/>
              </w:numPr>
              <w:rPr>
                <w:rFonts w:hint="default" w:eastAsia="宋体" w:cs="Arial"/>
                <w:sz w:val="22"/>
                <w:szCs w:val="22"/>
                <w:lang w:val="en-US" w:eastAsia="zh-CN"/>
              </w:rPr>
            </w:pPr>
            <w:r>
              <w:rPr>
                <w:rFonts w:hint="default" w:eastAsia="宋体" w:cs="Arial"/>
                <w:sz w:val="22"/>
                <w:szCs w:val="22"/>
                <w:lang w:val="en-US" w:eastAsia="zh-CN"/>
              </w:rPr>
              <w:t>To achieve the research aims, the following methods will be used:</w:t>
            </w:r>
          </w:p>
          <w:p w14:paraId="4F497286">
            <w:pPr>
              <w:numPr>
                <w:ilvl w:val="0"/>
                <w:numId w:val="0"/>
              </w:numPr>
              <w:rPr>
                <w:rFonts w:hint="default" w:eastAsia="宋体" w:cs="Arial"/>
                <w:sz w:val="22"/>
                <w:szCs w:val="22"/>
                <w:lang w:val="en-US" w:eastAsia="zh-CN"/>
              </w:rPr>
            </w:pPr>
          </w:p>
          <w:p w14:paraId="058B9F64">
            <w:pPr>
              <w:numPr>
                <w:ilvl w:val="0"/>
                <w:numId w:val="0"/>
              </w:numPr>
              <w:rPr>
                <w:rFonts w:hint="eastAsia" w:cs="Arial"/>
                <w:sz w:val="22"/>
                <w:szCs w:val="22"/>
              </w:rPr>
            </w:pPr>
            <w:r>
              <w:rPr>
                <w:rFonts w:hint="default" w:eastAsia="宋体" w:cs="Arial"/>
                <w:sz w:val="22"/>
                <w:szCs w:val="22"/>
                <w:lang w:val="en-US" w:eastAsia="zh-CN"/>
              </w:rPr>
              <w:t xml:space="preserve">Autoethnography is a qualitative research approach that focuses on self-analysis within its social context, enabling researchers to examine their personal experiences and link them to </w:t>
            </w:r>
            <w:r>
              <w:rPr>
                <w:rFonts w:hint="eastAsia" w:eastAsia="宋体" w:cs="Arial"/>
                <w:sz w:val="22"/>
                <w:szCs w:val="22"/>
                <w:lang w:val="en-US" w:eastAsia="zh-CN"/>
              </w:rPr>
              <w:t xml:space="preserve">broader </w:t>
            </w:r>
            <w:r>
              <w:rPr>
                <w:rFonts w:hint="default" w:eastAsia="宋体" w:cs="Arial"/>
                <w:sz w:val="22"/>
                <w:szCs w:val="22"/>
                <w:lang w:val="en-US" w:eastAsia="zh-CN"/>
              </w:rPr>
              <w:t xml:space="preserve">cultural </w:t>
            </w:r>
            <w:r>
              <w:rPr>
                <w:rFonts w:hint="eastAsia" w:eastAsia="宋体" w:cs="Arial"/>
                <w:sz w:val="22"/>
                <w:szCs w:val="22"/>
                <w:lang w:val="en-US" w:eastAsia="zh-CN"/>
              </w:rPr>
              <w:t>background (Farrell, Laura ; Bourgeois-Law., et al., 2015). This method</w:t>
            </w:r>
            <w:r>
              <w:rPr>
                <w:rFonts w:hint="eastAsia" w:cs="Arial"/>
                <w:sz w:val="22"/>
                <w:szCs w:val="22"/>
              </w:rPr>
              <w:t xml:space="preserve"> allows me to position myself as a subject within the research. It will be used to explore my personal reflections as a young painter engaging with the doomer meme and its collective memories within the younger generation through oil painting. This includes maintaining a research diary to record the challenges I face, the sources of the figurative elements in my paintings, and my attitude toward various historical events throughout the project.</w:t>
            </w:r>
          </w:p>
          <w:p w14:paraId="64C615F1">
            <w:pPr>
              <w:numPr>
                <w:ilvl w:val="0"/>
                <w:numId w:val="0"/>
              </w:numPr>
              <w:rPr>
                <w:rFonts w:hint="eastAsia" w:cs="Arial"/>
                <w:sz w:val="22"/>
                <w:szCs w:val="22"/>
              </w:rPr>
            </w:pPr>
          </w:p>
          <w:p w14:paraId="49546E96">
            <w:pPr>
              <w:numPr>
                <w:ilvl w:val="0"/>
                <w:numId w:val="0"/>
              </w:numPr>
              <w:rPr>
                <w:rFonts w:hint="eastAsia" w:cs="Arial"/>
                <w:sz w:val="22"/>
                <w:szCs w:val="22"/>
              </w:rPr>
            </w:pPr>
            <w:r>
              <w:rPr>
                <w:rFonts w:hint="eastAsia" w:cs="Arial"/>
                <w:sz w:val="22"/>
                <w:szCs w:val="22"/>
              </w:rPr>
              <w:t>Visual analysis and semiotic analysis will be combined and applied in this study to examine the function and symbolism of each element in my oil painting practices.</w:t>
            </w:r>
            <w:r>
              <w:rPr>
                <w:rFonts w:hint="eastAsia" w:eastAsia="宋体" w:cs="Arial"/>
                <w:sz w:val="22"/>
                <w:szCs w:val="22"/>
                <w:lang w:val="en-US" w:eastAsia="zh-CN"/>
              </w:rPr>
              <w:t xml:space="preserve"> The research article "The semiotics of landscape design communication: towards a critical visual research approach in landscape architecture" points out that in the field of visual design, such as landscape architecture, people are increasingly paying attention to the cultural attributes reflected behind the visual expressions of the design itself. This requires researchers to employ visual analysis and semiotic analysis to explore the social and cultural context behind the visual content and understand its deeper meanings (Raaphorst et al., 2017). </w:t>
            </w:r>
            <w:r>
              <w:rPr>
                <w:rFonts w:hint="eastAsia" w:cs="Arial"/>
                <w:sz w:val="22"/>
                <w:szCs w:val="22"/>
              </w:rPr>
              <w:t>By using these methods, the research aims to explore not only the visual characteristics of the artworks but also their deeper cultural and symbolic meanings. The process is broken down into two key steps. First, I will focus on the formal elements of the paintings, including color, texture, and artistic influences, and identify how visual choices contribute to the expression of isolation and anxiety. Second, I will analyze the symbolic meaning of the visual elements in my creations, exploring how these elements reflect collective memories and contemporary existential themes, such as those found in the doomer meme.</w:t>
            </w:r>
          </w:p>
          <w:p w14:paraId="170391ED">
            <w:pPr>
              <w:numPr>
                <w:ilvl w:val="0"/>
                <w:numId w:val="0"/>
              </w:numPr>
              <w:rPr>
                <w:rFonts w:hint="eastAsia" w:cs="Arial"/>
                <w:sz w:val="22"/>
                <w:szCs w:val="22"/>
              </w:rPr>
            </w:pPr>
          </w:p>
          <w:p w14:paraId="13018305">
            <w:pPr>
              <w:numPr>
                <w:ilvl w:val="0"/>
                <w:numId w:val="0"/>
              </w:numPr>
              <w:rPr>
                <w:rFonts w:hint="eastAsia" w:cs="Arial"/>
                <w:sz w:val="22"/>
                <w:szCs w:val="22"/>
              </w:rPr>
            </w:pPr>
            <w:r>
              <w:rPr>
                <w:rFonts w:hint="eastAsia" w:cs="Arial"/>
                <w:sz w:val="22"/>
                <w:szCs w:val="22"/>
              </w:rPr>
              <w:t>Semi-structured interviews will be used in this research. These interviews will be conducted with young painters who have incorporated internet subcultures, including the doomer meme, into their oil painting practices. The aim of these interviews is to analyze their perspectives on identity and the role of oil painting in digital culture.</w:t>
            </w:r>
          </w:p>
          <w:p w14:paraId="1E01BF7D">
            <w:pPr>
              <w:numPr>
                <w:ilvl w:val="0"/>
                <w:numId w:val="0"/>
              </w:numPr>
              <w:rPr>
                <w:rFonts w:hint="eastAsia" w:cs="Arial"/>
                <w:sz w:val="22"/>
                <w:szCs w:val="22"/>
              </w:rPr>
            </w:pPr>
          </w:p>
          <w:p w14:paraId="678578D2">
            <w:pPr>
              <w:numPr>
                <w:ilvl w:val="0"/>
                <w:numId w:val="0"/>
              </w:numPr>
              <w:rPr>
                <w:rFonts w:hint="eastAsia" w:cs="Arial"/>
                <w:sz w:val="22"/>
                <w:szCs w:val="22"/>
              </w:rPr>
            </w:pPr>
            <w:r>
              <w:rPr>
                <w:rFonts w:hint="eastAsia" w:cs="Arial"/>
                <w:sz w:val="22"/>
                <w:szCs w:val="22"/>
              </w:rPr>
              <w:t>Archival research is a method that involves consulting historical documents, archives, and data records to gather information</w:t>
            </w:r>
            <w:r>
              <w:rPr>
                <w:rFonts w:hint="eastAsia" w:eastAsia="宋体" w:cs="Arial"/>
                <w:sz w:val="22"/>
                <w:szCs w:val="22"/>
                <w:lang w:val="en-US" w:eastAsia="zh-CN"/>
              </w:rPr>
              <w:t xml:space="preserve"> (</w:t>
            </w:r>
            <w:r>
              <w:rPr>
                <w:rFonts w:hint="eastAsia" w:cs="Arial"/>
                <w:sz w:val="22"/>
                <w:szCs w:val="22"/>
              </w:rPr>
              <w:t>Tesar and Arndt, 2019).</w:t>
            </w:r>
            <w:r>
              <w:rPr>
                <w:rFonts w:hint="eastAsia" w:eastAsia="宋体" w:cs="Arial"/>
                <w:sz w:val="22"/>
                <w:szCs w:val="22"/>
                <w:lang w:val="en-US" w:eastAsia="zh-CN"/>
              </w:rPr>
              <w:t xml:space="preserve"> </w:t>
            </w:r>
            <w:r>
              <w:rPr>
                <w:rFonts w:hint="eastAsia" w:cs="Arial"/>
                <w:sz w:val="22"/>
                <w:szCs w:val="22"/>
              </w:rPr>
              <w:t>It will be conducted to explore the historical development of the doomer meme on the internet, providing evidence to explain how the formation of the doomer meme also reflects a process of self-identity exploration among younger generations.</w:t>
            </w:r>
          </w:p>
          <w:p w14:paraId="0A519211">
            <w:pPr>
              <w:numPr>
                <w:ilvl w:val="0"/>
                <w:numId w:val="0"/>
              </w:numPr>
              <w:rPr>
                <w:rFonts w:cs="Arial"/>
                <w:sz w:val="22"/>
                <w:szCs w:val="22"/>
              </w:rPr>
            </w:pPr>
          </w:p>
          <w:p w14:paraId="0AC2644E">
            <w:pPr>
              <w:numPr>
                <w:ilvl w:val="0"/>
                <w:numId w:val="0"/>
              </w:numPr>
              <w:rPr>
                <w:rFonts w:cs="Arial"/>
                <w:sz w:val="22"/>
                <w:szCs w:val="22"/>
              </w:rPr>
            </w:pPr>
          </w:p>
          <w:p w14:paraId="5FDF2F61">
            <w:pPr>
              <w:numPr>
                <w:ilvl w:val="0"/>
                <w:numId w:val="0"/>
              </w:numPr>
              <w:rPr>
                <w:rFonts w:cs="Arial"/>
                <w:sz w:val="22"/>
                <w:szCs w:val="22"/>
              </w:rPr>
            </w:pPr>
          </w:p>
          <w:p w14:paraId="11973E66">
            <w:pPr>
              <w:numPr>
                <w:ilvl w:val="0"/>
                <w:numId w:val="0"/>
              </w:numPr>
              <w:rPr>
                <w:rFonts w:cs="Arial"/>
                <w:sz w:val="22"/>
                <w:szCs w:val="22"/>
              </w:rPr>
            </w:pPr>
          </w:p>
          <w:p w14:paraId="5D0FE4C6">
            <w:pPr>
              <w:numPr>
                <w:ilvl w:val="0"/>
                <w:numId w:val="0"/>
              </w:numPr>
              <w:rPr>
                <w:rFonts w:cs="Arial"/>
                <w:sz w:val="22"/>
                <w:szCs w:val="22"/>
              </w:rPr>
            </w:pPr>
          </w:p>
          <w:p w14:paraId="24AE876A">
            <w:pPr>
              <w:numPr>
                <w:ilvl w:val="0"/>
                <w:numId w:val="0"/>
              </w:numPr>
              <w:rPr>
                <w:rFonts w:cs="Arial"/>
                <w:sz w:val="22"/>
                <w:szCs w:val="22"/>
              </w:rPr>
            </w:pPr>
          </w:p>
          <w:p w14:paraId="1D4EB70B">
            <w:pPr>
              <w:numPr>
                <w:ilvl w:val="0"/>
                <w:numId w:val="0"/>
              </w:numPr>
              <w:rPr>
                <w:rFonts w:cs="Arial"/>
                <w:sz w:val="22"/>
                <w:szCs w:val="22"/>
              </w:rPr>
            </w:pPr>
          </w:p>
          <w:p w14:paraId="38E5C560">
            <w:pPr>
              <w:rPr>
                <w:rFonts w:cs="Arial"/>
                <w:sz w:val="22"/>
                <w:szCs w:val="22"/>
              </w:rPr>
            </w:pPr>
          </w:p>
        </w:tc>
      </w:tr>
      <w:tr w14:paraId="2B343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458C1CA8">
            <w:pPr>
              <w:rPr>
                <w:rFonts w:cs="Arial"/>
                <w:sz w:val="22"/>
                <w:szCs w:val="22"/>
              </w:rPr>
            </w:pPr>
            <w:r>
              <w:rPr>
                <w:rFonts w:cs="Arial"/>
                <w:sz w:val="22"/>
                <w:szCs w:val="22"/>
              </w:rPr>
              <w:t>Introductory bibliography:</w:t>
            </w:r>
          </w:p>
        </w:tc>
      </w:tr>
      <w:tr w14:paraId="0CF2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0AC3E283">
            <w:pPr>
              <w:rPr>
                <w:rFonts w:hint="eastAsia" w:eastAsia="宋体" w:cs="Arial"/>
                <w:sz w:val="21"/>
                <w:szCs w:val="21"/>
                <w:lang w:val="en-US" w:eastAsia="zh-CN"/>
              </w:rPr>
            </w:pPr>
            <w:r>
              <w:rPr>
                <w:rFonts w:hint="eastAsia" w:eastAsia="宋体" w:cs="Arial"/>
                <w:sz w:val="21"/>
                <w:szCs w:val="21"/>
                <w:lang w:val="en-US" w:eastAsia="zh-CN"/>
              </w:rPr>
              <w:t xml:space="preserve">Adams, P. (2006) ‘Exploring social constructivism: theories and practicalities’, Education 3-13, 34(3), pp. 243–257.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"https://doi.org/10.1080/03004270600898893."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https://doi.org/10.1080/03004270600898893.</w:t>
            </w:r>
            <w:r>
              <w:rPr>
                <w:rFonts w:hint="eastAsia" w:eastAsia="宋体" w:cs="Arial"/>
                <w:sz w:val="21"/>
                <w:szCs w:val="21"/>
                <w:lang w:val="en-US" w:eastAsia="zh-CN"/>
              </w:rPr>
              <w:fldChar w:fldCharType="end"/>
            </w:r>
          </w:p>
          <w:p w14:paraId="7535FA55">
            <w:pPr>
              <w:rPr>
                <w:rFonts w:hint="eastAsia" w:eastAsia="宋体" w:cs="Arial"/>
                <w:sz w:val="21"/>
                <w:szCs w:val="21"/>
                <w:lang w:val="en-US" w:eastAsia="zh-CN"/>
              </w:rPr>
            </w:pPr>
          </w:p>
          <w:p w14:paraId="58E8EFB9">
            <w:pPr>
              <w:rPr>
                <w:rFonts w:hint="eastAsia" w:eastAsia="宋体" w:cs="Arial"/>
                <w:sz w:val="21"/>
                <w:szCs w:val="21"/>
                <w:lang w:val="en-US" w:eastAsia="zh-CN"/>
              </w:rPr>
            </w:pPr>
            <w:r>
              <w:rPr>
                <w:rFonts w:hint="eastAsia" w:eastAsia="宋体" w:cs="Arial"/>
                <w:sz w:val="21"/>
                <w:szCs w:val="21"/>
                <w:lang w:val="en-US" w:eastAsia="zh-CN"/>
              </w:rPr>
              <w:t xml:space="preserve">A Nagel, D. et al. (2015) ‘When Novice Researchers Adopt Constructivist Grounded Theory: Navigating Less Travelled Paradigmatic and Methodological Paths in PhD Dissertation Work’, International journal of doctoral studies, 10, pp. 365–383.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"https://doi.org/10.28945/2300."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https://doi.org/10.28945/2300.</w:t>
            </w:r>
            <w:r>
              <w:rPr>
                <w:rFonts w:hint="eastAsia" w:eastAsia="宋体" w:cs="Arial"/>
                <w:sz w:val="21"/>
                <w:szCs w:val="21"/>
                <w:lang w:val="en-US" w:eastAsia="zh-CN"/>
              </w:rPr>
              <w:fldChar w:fldCharType="end"/>
            </w:r>
          </w:p>
          <w:p w14:paraId="4383347C">
            <w:pPr>
              <w:rPr>
                <w:rFonts w:hint="eastAsia" w:eastAsia="宋体" w:cs="Arial"/>
                <w:sz w:val="21"/>
                <w:szCs w:val="21"/>
                <w:lang w:val="en-US" w:eastAsia="zh-CN"/>
              </w:rPr>
            </w:pPr>
          </w:p>
          <w:p w14:paraId="100EF427">
            <w:pPr>
              <w:rPr>
                <w:rFonts w:hint="eastAsia" w:eastAsia="宋体" w:cs="Arial"/>
                <w:sz w:val="21"/>
                <w:szCs w:val="21"/>
                <w:lang w:val="en-US" w:eastAsia="zh-CN"/>
              </w:rPr>
            </w:pPr>
            <w:r>
              <w:rPr>
                <w:rFonts w:hint="eastAsia" w:eastAsia="宋体" w:cs="Arial"/>
                <w:sz w:val="21"/>
                <w:szCs w:val="21"/>
                <w:lang w:val="en-US" w:eastAsia="zh-CN"/>
              </w:rPr>
              <w:t xml:space="preserve">Aronson, P. and Jaffal, I. (2022) ‘Zoom Memes for Self-Quaranteens: Generational Humor, Identity, </w:t>
            </w:r>
          </w:p>
          <w:p w14:paraId="6AA4BD24">
            <w:pPr>
              <w:rPr>
                <w:rFonts w:hint="eastAsia" w:eastAsia="宋体" w:cs="Arial"/>
                <w:sz w:val="21"/>
                <w:szCs w:val="21"/>
                <w:lang w:val="en-US" w:eastAsia="zh-CN"/>
              </w:rPr>
            </w:pPr>
            <w:r>
              <w:rPr>
                <w:rFonts w:hint="eastAsia" w:eastAsia="宋体" w:cs="Arial"/>
                <w:sz w:val="21"/>
                <w:szCs w:val="21"/>
                <w:lang w:val="en-US" w:eastAsia="zh-CN"/>
              </w:rPr>
              <w:t xml:space="preserve">and Conflict During the Pandemic’, Emerging adulthood (Thousand Oaks, CA), 10(2), pp. 519–533.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"https://doi.org/10.1177/21676968211058513."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https://doi.org/10.1177/21676968211058513.</w:t>
            </w:r>
            <w:r>
              <w:rPr>
                <w:rFonts w:hint="eastAsia" w:eastAsia="宋体" w:cs="Arial"/>
                <w:sz w:val="21"/>
                <w:szCs w:val="21"/>
                <w:lang w:val="en-US" w:eastAsia="zh-CN"/>
              </w:rPr>
              <w:fldChar w:fldCharType="end"/>
            </w:r>
          </w:p>
          <w:p w14:paraId="054D9A54">
            <w:pPr>
              <w:rPr>
                <w:rFonts w:hint="eastAsia" w:eastAsia="宋体" w:cs="Arial"/>
                <w:sz w:val="21"/>
                <w:szCs w:val="21"/>
                <w:lang w:val="en-US" w:eastAsia="zh-CN"/>
              </w:rPr>
            </w:pPr>
          </w:p>
          <w:p w14:paraId="5B72C661">
            <w:pPr>
              <w:rPr>
                <w:rFonts w:hint="eastAsia" w:eastAsia="宋体" w:cs="Arial"/>
                <w:sz w:val="21"/>
                <w:szCs w:val="21"/>
                <w:lang w:val="en-US" w:eastAsia="zh-CN"/>
              </w:rPr>
            </w:pPr>
            <w:r>
              <w:rPr>
                <w:rFonts w:hint="eastAsia" w:eastAsia="宋体" w:cs="Arial"/>
                <w:sz w:val="21"/>
                <w:szCs w:val="21"/>
                <w:lang w:val="en-US" w:eastAsia="zh-CN"/>
              </w:rPr>
              <w:t xml:space="preserve">Artamonov, D.S. (2021) ‘Humor in Historical Memory: from an Anecdote and Caricature to an Internet Meme’, Galaktika media: žurnal media issledovanij, 3(3), pp. 213–237.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"https://doi.org/10.46539/gmd.v3i3.181."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https://doi.org/10.46539/gmd.v3i3.181.</w:t>
            </w:r>
            <w:r>
              <w:rPr>
                <w:rFonts w:hint="eastAsia" w:eastAsia="宋体" w:cs="Arial"/>
                <w:sz w:val="21"/>
                <w:szCs w:val="21"/>
                <w:lang w:val="en-US" w:eastAsia="zh-CN"/>
              </w:rPr>
              <w:fldChar w:fldCharType="end"/>
            </w:r>
          </w:p>
          <w:p w14:paraId="19D5C288">
            <w:pPr>
              <w:rPr>
                <w:rFonts w:hint="eastAsia" w:eastAsia="宋体" w:cs="Arial"/>
                <w:sz w:val="21"/>
                <w:szCs w:val="21"/>
                <w:lang w:val="en-US" w:eastAsia="zh-CN"/>
              </w:rPr>
            </w:pPr>
          </w:p>
          <w:p w14:paraId="1FD341BF">
            <w:pPr>
              <w:rPr>
                <w:rFonts w:hint="eastAsia" w:eastAsia="宋体" w:cs="Arial"/>
                <w:sz w:val="21"/>
                <w:szCs w:val="21"/>
                <w:lang w:val="en-US" w:eastAsia="zh-CN"/>
              </w:rPr>
            </w:pPr>
            <w:r>
              <w:rPr>
                <w:rFonts w:hint="eastAsia" w:eastAsia="宋体" w:cs="Arial"/>
                <w:sz w:val="21"/>
                <w:szCs w:val="21"/>
                <w:lang w:val="en-US" w:eastAsia="zh-CN"/>
              </w:rPr>
              <w:t>Asimos, V.M. (2019) The ‘Slender Man’ mythos: a structuralist analysis of an online mythology. ProQuest Dissertations &amp; Theses.</w:t>
            </w:r>
          </w:p>
          <w:p w14:paraId="6C79D0A7">
            <w:pPr>
              <w:rPr>
                <w:rFonts w:hint="eastAsia" w:eastAsia="宋体" w:cs="Arial"/>
                <w:sz w:val="21"/>
                <w:szCs w:val="21"/>
                <w:lang w:val="en-US" w:eastAsia="zh-CN"/>
              </w:rPr>
            </w:pPr>
          </w:p>
          <w:p w14:paraId="302DAE81">
            <w:pPr>
              <w:rPr>
                <w:rFonts w:hint="eastAsia" w:eastAsia="宋体" w:cs="Arial"/>
                <w:sz w:val="21"/>
                <w:szCs w:val="21"/>
                <w:lang w:val="en-US" w:eastAsia="zh-CN"/>
              </w:rPr>
            </w:pPr>
            <w:r>
              <w:rPr>
                <w:rFonts w:hint="eastAsia" w:eastAsia="宋体" w:cs="Arial"/>
                <w:sz w:val="21"/>
                <w:szCs w:val="21"/>
                <w:lang w:val="en-US" w:eastAsia="zh-CN"/>
              </w:rPr>
              <w:t xml:space="preserve">Baeva, L. (2012) ‘Existential Axiology’, Cultura (Iași, Romania), 9(1), pp. 73–83.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"https://doi.org/10.5840/cultura20129122."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https://doi.org/10.5840/cultura20129122.</w:t>
            </w:r>
            <w:r>
              <w:rPr>
                <w:rFonts w:hint="eastAsia" w:eastAsia="宋体" w:cs="Arial"/>
                <w:sz w:val="21"/>
                <w:szCs w:val="21"/>
                <w:lang w:val="en-US" w:eastAsia="zh-CN"/>
              </w:rPr>
              <w:fldChar w:fldCharType="end"/>
            </w:r>
          </w:p>
          <w:p w14:paraId="24DCADDC">
            <w:pPr>
              <w:rPr>
                <w:rFonts w:hint="eastAsia" w:eastAsia="宋体" w:cs="Arial"/>
                <w:sz w:val="21"/>
                <w:szCs w:val="21"/>
                <w:lang w:val="en-US" w:eastAsia="zh-CN"/>
              </w:rPr>
            </w:pPr>
          </w:p>
          <w:p w14:paraId="4DB8AF65">
            <w:pPr>
              <w:rPr>
                <w:rFonts w:hint="eastAsia" w:eastAsia="宋体" w:cs="Arial"/>
                <w:sz w:val="21"/>
                <w:szCs w:val="21"/>
                <w:lang w:val="en-US" w:eastAsia="zh-CN"/>
              </w:rPr>
            </w:pPr>
            <w:r>
              <w:rPr>
                <w:rFonts w:hint="eastAsia" w:eastAsia="宋体" w:cs="Arial"/>
                <w:sz w:val="21"/>
                <w:szCs w:val="21"/>
                <w:lang w:val="en-US" w:eastAsia="zh-CN"/>
              </w:rPr>
              <w:t xml:space="preserve">Bogna, F., Raineri, A. and Dell, G. (2020) ‘Critical realism and constructivism: merging research paradigms for a deeper qualitative study’, Qualitative research in organizations and management, 15(4), pp. 461–484.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"https://doi.org/10.1108/QROM-06-2019-1778."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https://doi.org/10.1108/QROM-06-2019-1778.</w:t>
            </w:r>
            <w:r>
              <w:rPr>
                <w:rFonts w:hint="eastAsia" w:eastAsia="宋体" w:cs="Arial"/>
                <w:sz w:val="21"/>
                <w:szCs w:val="21"/>
                <w:lang w:val="en-US" w:eastAsia="zh-CN"/>
              </w:rPr>
              <w:fldChar w:fldCharType="end"/>
            </w:r>
          </w:p>
          <w:p w14:paraId="184DC9AA">
            <w:pPr>
              <w:rPr>
                <w:rFonts w:hint="eastAsia" w:eastAsia="宋体" w:cs="Arial"/>
                <w:sz w:val="21"/>
                <w:szCs w:val="21"/>
                <w:lang w:val="en-US" w:eastAsia="zh-CN"/>
              </w:rPr>
            </w:pPr>
          </w:p>
          <w:p w14:paraId="23683AF1">
            <w:pPr>
              <w:rPr>
                <w:rFonts w:hint="eastAsia" w:eastAsia="宋体" w:cs="Arial"/>
                <w:sz w:val="21"/>
                <w:szCs w:val="21"/>
                <w:lang w:val="en-US" w:eastAsia="zh-CN"/>
              </w:rPr>
            </w:pPr>
            <w:r>
              <w:rPr>
                <w:rFonts w:hint="eastAsia" w:eastAsia="宋体" w:cs="Arial"/>
                <w:sz w:val="21"/>
                <w:szCs w:val="21"/>
                <w:lang w:val="en-US" w:eastAsia="zh-CN"/>
              </w:rPr>
              <w:t>Camus, A. (2013) The myth of Sisyphus. Penguin UK.</w:t>
            </w:r>
          </w:p>
          <w:p w14:paraId="565F54DD">
            <w:pPr>
              <w:rPr>
                <w:rFonts w:hint="eastAsia" w:eastAsia="宋体" w:cs="Arial"/>
                <w:sz w:val="21"/>
                <w:szCs w:val="21"/>
                <w:lang w:val="en-US" w:eastAsia="zh-CN"/>
              </w:rPr>
            </w:pPr>
          </w:p>
          <w:p w14:paraId="543CCDC6">
            <w:pPr>
              <w:rPr>
                <w:rFonts w:hint="eastAsia" w:eastAsia="宋体" w:cs="Arial"/>
                <w:sz w:val="21"/>
                <w:szCs w:val="21"/>
                <w:lang w:val="en-US" w:eastAsia="zh-CN"/>
              </w:rPr>
            </w:pPr>
            <w:r>
              <w:rPr>
                <w:rFonts w:hint="eastAsia" w:eastAsia="宋体" w:cs="Arial"/>
                <w:sz w:val="21"/>
                <w:szCs w:val="21"/>
                <w:lang w:val="en-US" w:eastAsia="zh-CN"/>
              </w:rPr>
              <w:t xml:space="preserve">Cha, H.-J. and Kweon, S.-H. (2024) ‘Exploratory study of reciprocal parenting scale: based on social constructivist theory’, Cogent education, 11(1).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"https://doi.org/10.1080/2331186X.2024.2351265."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https://doi.org/10.1080/2331186X.2024.2351265.</w:t>
            </w:r>
            <w:r>
              <w:rPr>
                <w:rFonts w:hint="eastAsia" w:eastAsia="宋体" w:cs="Arial"/>
                <w:sz w:val="21"/>
                <w:szCs w:val="21"/>
                <w:lang w:val="en-US" w:eastAsia="zh-CN"/>
              </w:rPr>
              <w:fldChar w:fldCharType="end"/>
            </w:r>
          </w:p>
          <w:p w14:paraId="1259DBDE">
            <w:pPr>
              <w:rPr>
                <w:rFonts w:hint="eastAsia" w:eastAsia="宋体" w:cs="Arial"/>
                <w:sz w:val="21"/>
                <w:szCs w:val="21"/>
                <w:lang w:val="en-US" w:eastAsia="zh-CN"/>
              </w:rPr>
            </w:pPr>
          </w:p>
          <w:p w14:paraId="2377118A">
            <w:pPr>
              <w:rPr>
                <w:rFonts w:hint="eastAsia" w:eastAsia="宋体" w:cs="Arial"/>
                <w:sz w:val="21"/>
                <w:szCs w:val="21"/>
                <w:lang w:val="en-US" w:eastAsia="zh-CN"/>
              </w:rPr>
            </w:pPr>
            <w:r>
              <w:rPr>
                <w:rFonts w:hint="eastAsia" w:eastAsia="宋体" w:cs="Arial"/>
                <w:sz w:val="21"/>
                <w:szCs w:val="21"/>
                <w:lang w:val="en-US" w:eastAsia="zh-CN"/>
              </w:rPr>
              <w:t xml:space="preserve">Greeff, W.J. (2015) ‘Organizational diversity: making the case for contextual interpretivism’, Equality, Diversity and Inclusion: An International Journal, 34(6), pp. 496–509.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"https://doi.org/10.1108/EDI-02-2014-0010."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https://doi.org/10.1108/EDI-02-2014-0010.</w:t>
            </w:r>
            <w:r>
              <w:rPr>
                <w:rFonts w:hint="eastAsia" w:eastAsia="宋体" w:cs="Arial"/>
                <w:sz w:val="21"/>
                <w:szCs w:val="21"/>
                <w:lang w:val="en-US" w:eastAsia="zh-CN"/>
              </w:rPr>
              <w:fldChar w:fldCharType="end"/>
            </w:r>
          </w:p>
          <w:p w14:paraId="36A26B90">
            <w:pPr>
              <w:rPr>
                <w:rFonts w:hint="eastAsia" w:eastAsia="宋体" w:cs="Arial"/>
                <w:sz w:val="21"/>
                <w:szCs w:val="21"/>
                <w:lang w:val="en-US" w:eastAsia="zh-CN"/>
              </w:rPr>
            </w:pPr>
          </w:p>
          <w:p w14:paraId="3A3C3A71">
            <w:pPr>
              <w:rPr>
                <w:rFonts w:hint="eastAsia" w:eastAsia="宋体" w:cs="Arial"/>
                <w:sz w:val="21"/>
                <w:szCs w:val="21"/>
                <w:lang w:val="en-US" w:eastAsia="zh-CN"/>
              </w:rPr>
            </w:pPr>
            <w:r>
              <w:rPr>
                <w:rFonts w:hint="eastAsia" w:eastAsia="宋体" w:cs="Arial"/>
                <w:sz w:val="21"/>
                <w:szCs w:val="21"/>
                <w:lang w:val="en-US" w:eastAsia="zh-CN"/>
              </w:rPr>
              <w:t>Goldwater, R. (2018) Symbolism. Routledge.</w:t>
            </w:r>
          </w:p>
          <w:p w14:paraId="07629952">
            <w:pPr>
              <w:rPr>
                <w:rFonts w:hint="eastAsia" w:eastAsia="宋体" w:cs="Arial"/>
                <w:sz w:val="21"/>
                <w:szCs w:val="21"/>
                <w:lang w:val="en-US" w:eastAsia="zh-CN"/>
              </w:rPr>
            </w:pPr>
          </w:p>
          <w:p w14:paraId="67E13DFD">
            <w:pPr>
              <w:rPr>
                <w:rFonts w:hint="eastAsia" w:eastAsia="宋体" w:cs="Arial"/>
                <w:sz w:val="21"/>
                <w:szCs w:val="21"/>
                <w:lang w:val="en-US" w:eastAsia="zh-CN"/>
              </w:rPr>
            </w:pPr>
            <w:r>
              <w:rPr>
                <w:rFonts w:hint="eastAsia" w:eastAsia="宋体" w:cs="Arial"/>
                <w:sz w:val="21"/>
                <w:szCs w:val="21"/>
                <w:lang w:val="en-US" w:eastAsia="zh-CN"/>
              </w:rPr>
              <w:t xml:space="preserve">Haj’jari, M.-J., Maleki, N. and Hooti, N. (2018) ‘Dasein’s “Potentiality-for-Being“ in a Wasteland: The Case of Auster’s In the Country of Last Things’, Anafora (Osijek, Croatia), 5(1), pp. 157–181.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"https://doi.org/10.29162/ANAFORA.v5i1.6."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https://doi.org/10.29162/ANAFORA.v5i1.6.</w:t>
            </w:r>
            <w:r>
              <w:rPr>
                <w:rFonts w:hint="eastAsia" w:eastAsia="宋体" w:cs="Arial"/>
                <w:sz w:val="21"/>
                <w:szCs w:val="21"/>
                <w:lang w:val="en-US" w:eastAsia="zh-CN"/>
              </w:rPr>
              <w:fldChar w:fldCharType="end"/>
            </w:r>
          </w:p>
          <w:p w14:paraId="4B48A3A6">
            <w:pPr>
              <w:rPr>
                <w:rFonts w:hint="eastAsia" w:eastAsia="宋体" w:cs="Arial"/>
                <w:sz w:val="21"/>
                <w:szCs w:val="21"/>
                <w:lang w:val="en-US" w:eastAsia="zh-CN"/>
              </w:rPr>
            </w:pPr>
          </w:p>
          <w:p w14:paraId="1BFB0C31">
            <w:pPr>
              <w:rPr>
                <w:rFonts w:hint="eastAsia" w:eastAsia="宋体" w:cs="Arial"/>
                <w:sz w:val="21"/>
                <w:szCs w:val="21"/>
                <w:lang w:val="en-US" w:eastAsia="zh-CN"/>
              </w:rPr>
            </w:pPr>
            <w:r>
              <w:rPr>
                <w:rFonts w:hint="eastAsia" w:eastAsia="宋体" w:cs="Arial"/>
                <w:sz w:val="21"/>
                <w:szCs w:val="21"/>
                <w:lang w:val="en-US" w:eastAsia="zh-CN"/>
              </w:rPr>
              <w:t>Jason, R. (2010). Sailing away from Lotsageddon. In Culture change (p. N_A-). Sustainable Energy Institute.</w:t>
            </w:r>
          </w:p>
          <w:p w14:paraId="505D2B73">
            <w:pPr>
              <w:rPr>
                <w:rFonts w:hint="eastAsia" w:eastAsia="宋体" w:cs="Arial"/>
                <w:sz w:val="21"/>
                <w:szCs w:val="21"/>
                <w:lang w:val="en-US" w:eastAsia="zh-CN"/>
              </w:rPr>
            </w:pPr>
          </w:p>
          <w:p w14:paraId="38A2A991">
            <w:pPr>
              <w:rPr>
                <w:rFonts w:hint="eastAsia" w:eastAsia="宋体" w:cs="Arial"/>
                <w:sz w:val="21"/>
                <w:szCs w:val="21"/>
                <w:lang w:val="en-US" w:eastAsia="zh-CN"/>
              </w:rPr>
            </w:pPr>
            <w:r>
              <w:rPr>
                <w:rFonts w:hint="eastAsia" w:eastAsia="宋体" w:cs="Arial"/>
                <w:sz w:val="21"/>
                <w:szCs w:val="21"/>
                <w:lang w:val="en-US" w:eastAsia="zh-CN"/>
              </w:rPr>
              <w:t xml:space="preserve">Johnson, M. (1999) ‘Observations on positivism and pseudoscience in qualitative nursing research’, Journal of advanced nursing, 30(1), pp. 67–73.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"https://doi.org/10.1046/j.1365-2648.1999.01050.x."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https://doi.org/10.1046/j.1365-2648.1999.01050.x.</w:t>
            </w:r>
            <w:r>
              <w:rPr>
                <w:rFonts w:hint="eastAsia" w:eastAsia="宋体" w:cs="Arial"/>
                <w:sz w:val="21"/>
                <w:szCs w:val="21"/>
                <w:lang w:val="en-US" w:eastAsia="zh-CN"/>
              </w:rPr>
              <w:fldChar w:fldCharType="end"/>
            </w:r>
          </w:p>
          <w:p w14:paraId="726EF97D">
            <w:pPr>
              <w:rPr>
                <w:rFonts w:hint="eastAsia" w:eastAsia="宋体" w:cs="Arial"/>
                <w:sz w:val="21"/>
                <w:szCs w:val="21"/>
                <w:lang w:val="en-US" w:eastAsia="zh-CN"/>
              </w:rPr>
            </w:pPr>
          </w:p>
          <w:p w14:paraId="5D2A7C75">
            <w:pPr>
              <w:rPr>
                <w:rFonts w:hint="eastAsia" w:eastAsia="宋体" w:cs="Arial"/>
                <w:sz w:val="21"/>
                <w:szCs w:val="21"/>
                <w:lang w:val="en-US" w:eastAsia="zh-CN"/>
              </w:rPr>
            </w:pPr>
            <w:r>
              <w:rPr>
                <w:rFonts w:hint="eastAsia" w:eastAsia="宋体" w:cs="Arial"/>
                <w:sz w:val="21"/>
                <w:szCs w:val="21"/>
                <w:lang w:val="en-US" w:eastAsia="zh-CN"/>
              </w:rPr>
              <w:t xml:space="preserve">Kimberlin, C.L. and Winterstein, A.G. (2008) ‘Validity and reliability of measurement instruments used in research’, American journal of health-system pharmacy, 65(23), pp. 2276–2284.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"https://doi.org/10.2146/ajhp070364."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https://doi.org/10.2146/ajhp070364.</w:t>
            </w:r>
            <w:r>
              <w:rPr>
                <w:rFonts w:hint="eastAsia" w:eastAsia="宋体" w:cs="Arial"/>
                <w:sz w:val="21"/>
                <w:szCs w:val="21"/>
                <w:lang w:val="en-US" w:eastAsia="zh-CN"/>
              </w:rPr>
              <w:fldChar w:fldCharType="end"/>
            </w:r>
          </w:p>
          <w:p w14:paraId="37B1DF37">
            <w:pPr>
              <w:rPr>
                <w:rFonts w:hint="eastAsia" w:eastAsia="宋体" w:cs="Arial"/>
                <w:sz w:val="21"/>
                <w:szCs w:val="21"/>
                <w:lang w:val="en-US" w:eastAsia="zh-CN"/>
              </w:rPr>
            </w:pPr>
          </w:p>
          <w:p w14:paraId="069E89E8">
            <w:pPr>
              <w:rPr>
                <w:rFonts w:hint="eastAsia" w:eastAsia="宋体" w:cs="Arial"/>
                <w:sz w:val="21"/>
                <w:szCs w:val="21"/>
                <w:lang w:val="en-US" w:eastAsia="zh-CN"/>
              </w:rPr>
            </w:pPr>
            <w:r>
              <w:rPr>
                <w:rFonts w:hint="eastAsia" w:eastAsia="宋体" w:cs="Arial"/>
                <w:sz w:val="21"/>
                <w:szCs w:val="21"/>
                <w:lang w:val="en-US" w:eastAsia="zh-CN"/>
              </w:rPr>
              <w:t xml:space="preserve">Kearns, J. (1989) Symbolist Landscapes. The Place of Painting in the Poetry and Criticism of Mallarmé and His Circle. Cambridge: Modern Humanities Research Association.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"https://doi.org/10.59860/td.b8cfada."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https://doi.org/10.59860/td.b8cfada.</w:t>
            </w:r>
            <w:r>
              <w:rPr>
                <w:rFonts w:hint="eastAsia" w:eastAsia="宋体" w:cs="Arial"/>
                <w:sz w:val="21"/>
                <w:szCs w:val="21"/>
                <w:lang w:val="en-US" w:eastAsia="zh-CN"/>
              </w:rPr>
              <w:fldChar w:fldCharType="end"/>
            </w:r>
          </w:p>
          <w:p w14:paraId="09AE94EC">
            <w:pPr>
              <w:rPr>
                <w:rFonts w:hint="eastAsia" w:eastAsia="宋体" w:cs="Arial"/>
                <w:sz w:val="21"/>
                <w:szCs w:val="21"/>
                <w:lang w:val="en-US" w:eastAsia="zh-CN"/>
              </w:rPr>
            </w:pPr>
          </w:p>
          <w:p w14:paraId="4833AE0E">
            <w:pPr>
              <w:rPr>
                <w:rFonts w:hint="eastAsia" w:eastAsia="宋体" w:cs="Arial"/>
                <w:sz w:val="21"/>
                <w:szCs w:val="21"/>
                <w:lang w:val="en-US" w:eastAsia="zh-CN"/>
              </w:rPr>
            </w:pPr>
            <w:r>
              <w:rPr>
                <w:rFonts w:hint="eastAsia" w:eastAsia="宋体" w:cs="Arial"/>
                <w:sz w:val="21"/>
                <w:szCs w:val="21"/>
                <w:lang w:val="en-US" w:eastAsia="zh-CN"/>
              </w:rPr>
              <w:t xml:space="preserve">Laor, T. (2023) ‘Are memes selfish? How Internet memes reflect crisis–Covid-19 pandemic in Israel’, Online information review, 47(7), pp. 1377–1395.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"https://doi.org/10.1108/OIR-07-2022-0381."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https://doi.org/10.1108/OIR-07-2022-0381.</w:t>
            </w:r>
            <w:r>
              <w:rPr>
                <w:rFonts w:hint="eastAsia" w:eastAsia="宋体" w:cs="Arial"/>
                <w:sz w:val="21"/>
                <w:szCs w:val="21"/>
                <w:lang w:val="en-US" w:eastAsia="zh-CN"/>
              </w:rPr>
              <w:fldChar w:fldCharType="end"/>
            </w:r>
          </w:p>
          <w:p w14:paraId="11E66EE0">
            <w:pPr>
              <w:rPr>
                <w:rFonts w:hint="eastAsia" w:eastAsia="宋体" w:cs="Arial"/>
                <w:sz w:val="21"/>
                <w:szCs w:val="21"/>
                <w:lang w:val="en-US" w:eastAsia="zh-CN"/>
              </w:rPr>
            </w:pPr>
          </w:p>
          <w:p w14:paraId="6BC8D070">
            <w:pPr>
              <w:rPr>
                <w:rFonts w:hint="eastAsia" w:eastAsia="宋体" w:cs="Arial"/>
                <w:sz w:val="21"/>
                <w:szCs w:val="21"/>
                <w:lang w:val="en-US" w:eastAsia="zh-CN"/>
              </w:rPr>
            </w:pPr>
            <w:r>
              <w:rPr>
                <w:rFonts w:hint="eastAsia" w:eastAsia="宋体" w:cs="Arial"/>
                <w:sz w:val="21"/>
                <w:szCs w:val="21"/>
                <w:lang w:val="en-US" w:eastAsia="zh-CN"/>
              </w:rPr>
              <w:t xml:space="preserve">Manic, M. (2024) ‘SHORT-FORM VIDEO CONTENT AND CONSUMER ENGAGEMENT IN DIGITAL LANDSCAPES’, Bulletin of the Transilvania University of Brașov. Series V, Economic science, 17(1), pp. 45–52.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"https://doi.org/10.31926/but.es.2024.17.66.14."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https://doi.org/10.31926/but.es.2024.17.66.14.</w:t>
            </w:r>
            <w:r>
              <w:rPr>
                <w:rFonts w:hint="eastAsia" w:eastAsia="宋体" w:cs="Arial"/>
                <w:sz w:val="21"/>
                <w:szCs w:val="21"/>
                <w:lang w:val="en-US" w:eastAsia="zh-CN"/>
              </w:rPr>
              <w:fldChar w:fldCharType="end"/>
            </w:r>
          </w:p>
          <w:p w14:paraId="357F51AE">
            <w:pPr>
              <w:rPr>
                <w:rFonts w:hint="eastAsia" w:eastAsia="宋体" w:cs="Arial"/>
                <w:sz w:val="21"/>
                <w:szCs w:val="21"/>
                <w:lang w:val="en-US" w:eastAsia="zh-CN"/>
              </w:rPr>
            </w:pPr>
          </w:p>
          <w:p w14:paraId="4DEACCEB">
            <w:pPr>
              <w:rPr>
                <w:rFonts w:hint="eastAsia" w:eastAsia="宋体" w:cs="Arial"/>
                <w:sz w:val="21"/>
                <w:szCs w:val="21"/>
                <w:lang w:val="en-US" w:eastAsia="zh-CN"/>
              </w:rPr>
            </w:pPr>
            <w:r>
              <w:rPr>
                <w:rFonts w:hint="eastAsia" w:eastAsia="宋体" w:cs="Arial"/>
                <w:sz w:val="21"/>
                <w:szCs w:val="21"/>
                <w:lang w:val="en-US" w:eastAsia="zh-CN"/>
              </w:rPr>
              <w:t xml:space="preserve">MAŁECKA, A. and MRÓZ, P. (2021) ‘THE HEIDEGGERIAN CONCEPT OF DASEIN AND ITS ONTOLOGICAL MODALITY: DAS MAN’, Horizon. Fenomenologičeskie issledovanija, 10(1), pp. 45–60.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"https://doi.org/10.21638/2226-5260-2021-10-1-45-60."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https://doi.org/10.21638/2226-5260-2021-10-1-45-60.</w:t>
            </w:r>
            <w:r>
              <w:rPr>
                <w:rFonts w:hint="eastAsia" w:eastAsia="宋体" w:cs="Arial"/>
                <w:sz w:val="21"/>
                <w:szCs w:val="21"/>
                <w:lang w:val="en-US" w:eastAsia="zh-CN"/>
              </w:rPr>
              <w:fldChar w:fldCharType="end"/>
            </w:r>
          </w:p>
          <w:p w14:paraId="361C744F">
            <w:pPr>
              <w:rPr>
                <w:rFonts w:hint="eastAsia" w:eastAsia="宋体" w:cs="Arial"/>
                <w:sz w:val="21"/>
                <w:szCs w:val="21"/>
                <w:lang w:val="en-US" w:eastAsia="zh-CN"/>
              </w:rPr>
            </w:pPr>
          </w:p>
          <w:p w14:paraId="60AF60B6">
            <w:pPr>
              <w:rPr>
                <w:rFonts w:hint="eastAsia" w:eastAsia="宋体" w:cs="Arial"/>
                <w:sz w:val="21"/>
                <w:szCs w:val="21"/>
                <w:lang w:val="en-US" w:eastAsia="zh-CN"/>
              </w:rPr>
            </w:pPr>
            <w:r>
              <w:rPr>
                <w:rFonts w:hint="eastAsia" w:eastAsia="宋体" w:cs="Arial"/>
                <w:sz w:val="21"/>
                <w:szCs w:val="21"/>
                <w:lang w:val="en-US" w:eastAsia="zh-CN"/>
              </w:rPr>
              <w:t>Meij, L. van der (2016) ‘Exhibitions: Franz von Stuck’, Burlington magazine, 158(1364), pp. 927–928.</w:t>
            </w:r>
          </w:p>
          <w:p w14:paraId="38FD6F39">
            <w:pPr>
              <w:rPr>
                <w:rFonts w:hint="eastAsia" w:eastAsia="宋体" w:cs="Arial"/>
                <w:sz w:val="21"/>
                <w:szCs w:val="21"/>
                <w:lang w:val="en-US" w:eastAsia="zh-CN"/>
              </w:rPr>
            </w:pPr>
          </w:p>
          <w:p w14:paraId="732041A8">
            <w:pPr>
              <w:rPr>
                <w:rFonts w:hint="eastAsia" w:eastAsia="宋体" w:cs="Arial"/>
                <w:sz w:val="21"/>
                <w:szCs w:val="21"/>
                <w:lang w:val="en-US" w:eastAsia="zh-CN"/>
              </w:rPr>
            </w:pPr>
            <w:r>
              <w:rPr>
                <w:rFonts w:hint="eastAsia" w:eastAsia="宋体" w:cs="Arial"/>
                <w:sz w:val="21"/>
                <w:szCs w:val="21"/>
                <w:lang w:val="en-US" w:eastAsia="zh-CN"/>
              </w:rPr>
              <w:t xml:space="preserve">Rezvushkina, S.A. (2023) ‘On the place of the mythology of technology in contemporary digital studies’, Izvestiâ Saratovskogo universiteta. Novaâ seriâ. Seriâ Filosofiâ. Psihologiâ. Pedagogika (Online), 23(3), pp. 282–286.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"https://doi.org/10.18500/1819-7671-2023-23-3-282-286."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https://doi.org/10.18500/1819-7671-2023-23-3-282-286.</w:t>
            </w:r>
            <w:r>
              <w:rPr>
                <w:rFonts w:hint="eastAsia" w:eastAsia="宋体" w:cs="Arial"/>
                <w:sz w:val="21"/>
                <w:szCs w:val="21"/>
                <w:lang w:val="en-US" w:eastAsia="zh-CN"/>
              </w:rPr>
              <w:fldChar w:fldCharType="end"/>
            </w:r>
          </w:p>
          <w:p w14:paraId="4DC0210B">
            <w:pPr>
              <w:rPr>
                <w:rFonts w:hint="eastAsia" w:eastAsia="宋体" w:cs="Arial"/>
                <w:sz w:val="21"/>
                <w:szCs w:val="21"/>
                <w:lang w:val="en-US" w:eastAsia="zh-CN"/>
              </w:rPr>
            </w:pPr>
          </w:p>
          <w:p w14:paraId="1890A39D">
            <w:pPr>
              <w:rPr>
                <w:rFonts w:hint="eastAsia" w:eastAsia="宋体" w:cs="Arial"/>
                <w:sz w:val="21"/>
                <w:szCs w:val="21"/>
                <w:lang w:val="en-US" w:eastAsia="zh-CN"/>
              </w:rPr>
            </w:pPr>
            <w:r>
              <w:rPr>
                <w:rFonts w:hint="eastAsia" w:eastAsia="宋体" w:cs="Arial"/>
                <w:sz w:val="21"/>
                <w:szCs w:val="21"/>
                <w:lang w:val="en-US" w:eastAsia="zh-CN"/>
              </w:rPr>
              <w:t xml:space="preserve">Rösler, B.G. and Ryan, L. (2011) ‘Impact’, M/C journal, 14(6).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"https://doi.org/10.5204/mcj.455."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https://doi.org/10.5204/mcj.455.</w:t>
            </w:r>
            <w:r>
              <w:rPr>
                <w:rFonts w:hint="eastAsia" w:eastAsia="宋体" w:cs="Arial"/>
                <w:sz w:val="21"/>
                <w:szCs w:val="21"/>
                <w:lang w:val="en-US" w:eastAsia="zh-CN"/>
              </w:rPr>
              <w:fldChar w:fldCharType="end"/>
            </w:r>
          </w:p>
          <w:p w14:paraId="62C6E218">
            <w:pPr>
              <w:rPr>
                <w:rFonts w:hint="eastAsia" w:eastAsia="宋体" w:cs="Arial"/>
                <w:sz w:val="21"/>
                <w:szCs w:val="21"/>
                <w:lang w:val="en-US" w:eastAsia="zh-CN"/>
              </w:rPr>
            </w:pPr>
          </w:p>
          <w:p w14:paraId="75EB962D">
            <w:pPr>
              <w:rPr>
                <w:rFonts w:hint="eastAsia" w:eastAsia="宋体" w:cs="Arial"/>
                <w:sz w:val="21"/>
                <w:szCs w:val="21"/>
                <w:lang w:val="en-US" w:eastAsia="zh-CN"/>
              </w:rPr>
            </w:pPr>
            <w:r>
              <w:rPr>
                <w:rFonts w:hint="eastAsia" w:eastAsia="宋体" w:cs="Arial"/>
                <w:sz w:val="21"/>
                <w:szCs w:val="21"/>
                <w:lang w:val="en-US" w:eastAsia="zh-CN"/>
              </w:rPr>
              <w:t xml:space="preserve">Ryan, G. (2018) ‘Introduction to positivism, interpretivism and critical theory’, Nurse researcher, 25(4), pp. 14–20.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"https://doi.org/10.7748/nr.2018.e1466."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https://doi.org/10.7748/nr.2018.e1466.</w:t>
            </w:r>
            <w:r>
              <w:rPr>
                <w:rFonts w:hint="eastAsia" w:eastAsia="宋体" w:cs="Arial"/>
                <w:sz w:val="21"/>
                <w:szCs w:val="21"/>
                <w:lang w:val="en-US" w:eastAsia="zh-CN"/>
              </w:rPr>
              <w:fldChar w:fldCharType="end"/>
            </w:r>
          </w:p>
          <w:p w14:paraId="2CE5CA77">
            <w:pPr>
              <w:rPr>
                <w:rFonts w:hint="eastAsia" w:eastAsia="宋体" w:cs="Arial"/>
                <w:sz w:val="21"/>
                <w:szCs w:val="21"/>
                <w:lang w:val="en-US" w:eastAsia="zh-CN"/>
              </w:rPr>
            </w:pPr>
          </w:p>
          <w:p w14:paraId="04539F70">
            <w:pPr>
              <w:rPr>
                <w:rFonts w:hint="eastAsia" w:eastAsia="宋体" w:cs="Arial"/>
                <w:sz w:val="21"/>
                <w:szCs w:val="21"/>
                <w:lang w:val="en-US" w:eastAsia="zh-CN"/>
              </w:rPr>
            </w:pPr>
            <w:r>
              <w:rPr>
                <w:rFonts w:hint="eastAsia" w:eastAsia="宋体" w:cs="Arial"/>
                <w:sz w:val="21"/>
                <w:szCs w:val="21"/>
                <w:lang w:val="en-US" w:eastAsia="zh-CN"/>
              </w:rPr>
              <w:t>Sarangi, D. (n.d.) Doomer and Dasein: Reading Heidegger in the Context of 21st Century Internet Culture.[pdf] Available at: https://d1wqtxts1xzle7.cloudfront.net/104155904/Article-1-1-_20-Doomer-and-Dasein-Reading-Heidegger-in-the-context-of-21st-Century-libre.pdf [Accessed 17 November 2024].</w:t>
            </w:r>
          </w:p>
          <w:p w14:paraId="562B8176">
            <w:pPr>
              <w:rPr>
                <w:rFonts w:hint="eastAsia" w:eastAsia="宋体" w:cs="Arial"/>
                <w:sz w:val="21"/>
                <w:szCs w:val="21"/>
                <w:lang w:val="en-US" w:eastAsia="zh-CN"/>
              </w:rPr>
            </w:pPr>
          </w:p>
          <w:p w14:paraId="088DB9AB">
            <w:pPr>
              <w:rPr>
                <w:rFonts w:hint="eastAsia" w:eastAsia="宋体" w:cs="Arial"/>
                <w:sz w:val="21"/>
                <w:szCs w:val="21"/>
                <w:lang w:val="en-US" w:eastAsia="zh-CN"/>
              </w:rPr>
            </w:pPr>
            <w:r>
              <w:rPr>
                <w:rFonts w:hint="eastAsia" w:eastAsia="宋体" w:cs="Arial"/>
                <w:sz w:val="21"/>
                <w:szCs w:val="21"/>
                <w:lang w:val="en-US" w:eastAsia="zh-CN"/>
              </w:rPr>
              <w:t xml:space="preserve">Schellinski, K. (2021). Essential Anxiety: COVID-19 in Analytic Practice. Journal of Analytical Psychology, 66(3), 534–545.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"https://doi.org/10.1111/1468-5922.12690."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https://doi.org/10.1111/1468-5922.12690.</w:t>
            </w:r>
            <w:r>
              <w:rPr>
                <w:rFonts w:hint="eastAsia" w:eastAsia="宋体" w:cs="Arial"/>
                <w:sz w:val="21"/>
                <w:szCs w:val="21"/>
                <w:lang w:val="en-US" w:eastAsia="zh-CN"/>
              </w:rPr>
              <w:fldChar w:fldCharType="end"/>
            </w:r>
          </w:p>
          <w:p w14:paraId="48B48BE9">
            <w:pPr>
              <w:rPr>
                <w:rFonts w:hint="eastAsia" w:eastAsia="宋体" w:cs="Arial"/>
                <w:sz w:val="21"/>
                <w:szCs w:val="21"/>
                <w:lang w:val="en-US" w:eastAsia="zh-CN"/>
              </w:rPr>
            </w:pPr>
          </w:p>
          <w:p w14:paraId="4C66ABB6">
            <w:pPr>
              <w:rPr>
                <w:rFonts w:hint="eastAsia" w:eastAsia="宋体" w:cs="Arial"/>
                <w:sz w:val="21"/>
                <w:szCs w:val="21"/>
                <w:lang w:val="en-US" w:eastAsia="zh-CN"/>
              </w:rPr>
            </w:pPr>
            <w:r>
              <w:rPr>
                <w:rFonts w:hint="eastAsia" w:eastAsia="宋体" w:cs="Arial"/>
                <w:sz w:val="21"/>
                <w:szCs w:val="21"/>
                <w:lang w:val="en-US" w:eastAsia="zh-CN"/>
              </w:rPr>
              <w:t xml:space="preserve">Segev, E. et al. (2015) ‘Families and Networks of Internet Memes: The Relationship Between Cohesiveness, Uniqueness, and Quiddity Concreteness’, Journal of computer-mediated communication, 20(4), pp. 417–433.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"https://doi.org/10.1111/jcc4.12120."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https://doi.org/10.1111/jcc4.12120.</w:t>
            </w:r>
            <w:r>
              <w:rPr>
                <w:rFonts w:hint="eastAsia" w:eastAsia="宋体" w:cs="Arial"/>
                <w:sz w:val="21"/>
                <w:szCs w:val="21"/>
                <w:lang w:val="en-US" w:eastAsia="zh-CN"/>
              </w:rPr>
              <w:fldChar w:fldCharType="end"/>
            </w:r>
          </w:p>
          <w:p w14:paraId="38337DDB">
            <w:pPr>
              <w:rPr>
                <w:rFonts w:hint="eastAsia" w:eastAsia="宋体" w:cs="Arial"/>
                <w:sz w:val="21"/>
                <w:szCs w:val="21"/>
                <w:lang w:val="en-US" w:eastAsia="zh-CN"/>
              </w:rPr>
            </w:pPr>
          </w:p>
          <w:p w14:paraId="1845005C">
            <w:pPr>
              <w:rPr>
                <w:rFonts w:hint="eastAsia" w:eastAsia="宋体" w:cs="Arial"/>
                <w:sz w:val="21"/>
                <w:szCs w:val="21"/>
                <w:lang w:val="en-US" w:eastAsia="zh-CN"/>
              </w:rPr>
            </w:pPr>
            <w:r>
              <w:rPr>
                <w:rFonts w:hint="eastAsia" w:eastAsia="宋体" w:cs="Arial"/>
                <w:sz w:val="21"/>
                <w:szCs w:val="21"/>
                <w:lang w:val="en-US" w:eastAsia="zh-CN"/>
              </w:rPr>
              <w:t xml:space="preserve">Staff, C.G. (2019) After modernist painting: the history of a contemporary practice. First edition. London [England: I.B. Tauris &amp; Co. Ltd.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"https://doi.org/10.5040/9780755603404."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https://doi.org/10.5040/9780755603404.</w:t>
            </w:r>
            <w:r>
              <w:rPr>
                <w:rFonts w:hint="eastAsia" w:eastAsia="宋体" w:cs="Arial"/>
                <w:sz w:val="21"/>
                <w:szCs w:val="21"/>
                <w:lang w:val="en-US" w:eastAsia="zh-CN"/>
              </w:rPr>
              <w:fldChar w:fldCharType="end"/>
            </w:r>
          </w:p>
          <w:p w14:paraId="7D527A30">
            <w:pPr>
              <w:rPr>
                <w:rFonts w:hint="eastAsia" w:eastAsia="宋体" w:cs="Arial"/>
                <w:sz w:val="21"/>
                <w:szCs w:val="21"/>
                <w:lang w:val="en-US" w:eastAsia="zh-CN"/>
              </w:rPr>
            </w:pPr>
          </w:p>
          <w:p w14:paraId="75FD7188">
            <w:pPr>
              <w:rPr>
                <w:rFonts w:hint="eastAsia" w:eastAsia="宋体" w:cs="Arial"/>
                <w:sz w:val="21"/>
                <w:szCs w:val="21"/>
                <w:lang w:val="en-US" w:eastAsia="zh-CN"/>
              </w:rPr>
            </w:pPr>
            <w:r>
              <w:rPr>
                <w:rFonts w:hint="eastAsia" w:eastAsia="宋体" w:cs="Arial"/>
                <w:sz w:val="21"/>
                <w:szCs w:val="21"/>
                <w:lang w:val="en-US" w:eastAsia="zh-CN"/>
              </w:rPr>
              <w:t xml:space="preserve">Turska, J.J. and Ludwig, D. (2023) ‘Back by popular demand, ontology: Productive tensions between anthropological and philosophical approaches to ontology’, Synthese (Dordrecht), 202(2), pp. 39-.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"https://doi.org/10.1007/s11229-023-04243-x."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https://doi.org/10.1007/s11229-023-04243-x.</w:t>
            </w:r>
            <w:r>
              <w:rPr>
                <w:rFonts w:hint="eastAsia" w:eastAsia="宋体" w:cs="Arial"/>
                <w:sz w:val="21"/>
                <w:szCs w:val="21"/>
                <w:lang w:val="en-US" w:eastAsia="zh-CN"/>
              </w:rPr>
              <w:fldChar w:fldCharType="end"/>
            </w:r>
          </w:p>
          <w:p w14:paraId="3D68FC7B">
            <w:pPr>
              <w:rPr>
                <w:rFonts w:hint="eastAsia" w:eastAsia="宋体" w:cs="Arial"/>
                <w:sz w:val="21"/>
                <w:szCs w:val="21"/>
                <w:lang w:val="en-US" w:eastAsia="zh-CN"/>
              </w:rPr>
            </w:pPr>
          </w:p>
          <w:p w14:paraId="4CAF80C3">
            <w:pPr>
              <w:rPr>
                <w:rFonts w:hint="eastAsia" w:eastAsia="宋体" w:cs="Arial"/>
                <w:sz w:val="21"/>
                <w:szCs w:val="21"/>
                <w:lang w:val="en-US" w:eastAsia="zh-CN"/>
              </w:rPr>
            </w:pPr>
            <w:r>
              <w:rPr>
                <w:rFonts w:hint="eastAsia" w:eastAsia="宋体" w:cs="Arial"/>
                <w:sz w:val="21"/>
                <w:szCs w:val="21"/>
                <w:lang w:val="en-US" w:eastAsia="zh-CN"/>
              </w:rPr>
              <w:t xml:space="preserve">Wang, H., Hu, B. and Duan, Y. (2024) ‘A qualitative simulation checking approach of programmed grounded theory and its application in workers’ involvement: extending Corbin and Struss’ grounded theory checking mechanism’, Quality &amp; quantity, 58(5), pp. 4715–4749.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"https://doi.org/10.1007/s11135-024-01864-3."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https://doi.org/10.1007/s11135-024-01864-3.</w:t>
            </w:r>
            <w:r>
              <w:rPr>
                <w:rFonts w:hint="eastAsia" w:eastAsia="宋体" w:cs="Arial"/>
                <w:sz w:val="21"/>
                <w:szCs w:val="21"/>
                <w:lang w:val="en-US" w:eastAsia="zh-CN"/>
              </w:rPr>
              <w:fldChar w:fldCharType="end"/>
            </w:r>
          </w:p>
          <w:p w14:paraId="36FF16BA">
            <w:pPr>
              <w:rPr>
                <w:rFonts w:hint="eastAsia" w:eastAsia="宋体" w:cs="Arial"/>
                <w:sz w:val="21"/>
                <w:szCs w:val="21"/>
                <w:lang w:val="en-US" w:eastAsia="zh-CN"/>
              </w:rPr>
            </w:pPr>
          </w:p>
          <w:p w14:paraId="731F14D8">
            <w:pPr>
              <w:rPr>
                <w:rFonts w:hint="eastAsia" w:eastAsia="宋体" w:cs="Arial"/>
                <w:sz w:val="21"/>
                <w:szCs w:val="21"/>
                <w:lang w:val="en-US" w:eastAsia="zh-CN"/>
              </w:rPr>
            </w:pPr>
            <w:r>
              <w:rPr>
                <w:rFonts w:hint="eastAsia" w:eastAsia="宋体" w:cs="Arial"/>
                <w:sz w:val="21"/>
                <w:szCs w:val="21"/>
                <w:lang w:val="en-US" w:eastAsia="zh-CN"/>
              </w:rPr>
              <w:t>Wignall, R. (1998) ‘Challenges for Interpretivist Inquiry’, Alberta journal of educational research, 44(3), pp. 302–319.</w:t>
            </w:r>
          </w:p>
          <w:p w14:paraId="56CC7421">
            <w:pPr>
              <w:rPr>
                <w:rFonts w:hint="eastAsia" w:eastAsia="宋体" w:cs="Arial"/>
                <w:sz w:val="21"/>
                <w:szCs w:val="21"/>
                <w:lang w:val="en-US" w:eastAsia="zh-CN"/>
              </w:rPr>
            </w:pPr>
          </w:p>
          <w:p w14:paraId="05114D2E">
            <w:pPr>
              <w:rPr>
                <w:rFonts w:hint="eastAsia" w:eastAsia="宋体" w:cs="Arial"/>
                <w:sz w:val="21"/>
                <w:szCs w:val="21"/>
                <w:lang w:val="en-US" w:eastAsia="zh-CN"/>
              </w:rPr>
            </w:pPr>
            <w:r>
              <w:rPr>
                <w:rFonts w:hint="eastAsia" w:eastAsia="宋体" w:cs="Arial"/>
                <w:sz w:val="21"/>
                <w:szCs w:val="21"/>
                <w:lang w:val="en-US" w:eastAsia="zh-CN"/>
              </w:rPr>
              <w:t xml:space="preserve">Wu, H. (2022) ‘Lost items and exposed shame - dreamcore’s inheritance and transcendence of liminal space and defamiliarization’, Journal for cultural research, 26(2), pp. 153–165.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"https://doi.org/10.1080/14797585.2022.2097013."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https://doi.org/10.1080/14797585.2022.2097013.</w:t>
            </w:r>
            <w:r>
              <w:rPr>
                <w:rFonts w:hint="eastAsia" w:eastAsia="宋体" w:cs="Arial"/>
                <w:sz w:val="21"/>
                <w:szCs w:val="21"/>
                <w:lang w:val="en-US" w:eastAsia="zh-CN"/>
              </w:rPr>
              <w:fldChar w:fldCharType="end"/>
            </w:r>
          </w:p>
          <w:p w14:paraId="12FADF19">
            <w:pPr>
              <w:rPr>
                <w:rFonts w:hint="eastAsia" w:eastAsia="宋体" w:cs="Arial"/>
                <w:sz w:val="21"/>
                <w:szCs w:val="21"/>
                <w:lang w:val="en-US" w:eastAsia="zh-CN"/>
              </w:rPr>
            </w:pPr>
          </w:p>
          <w:p w14:paraId="7EA8BCC8">
            <w:pPr>
              <w:rPr>
                <w:rFonts w:hint="eastAsia" w:eastAsia="宋体" w:cs="Arial"/>
                <w:sz w:val="21"/>
                <w:szCs w:val="21"/>
                <w:lang w:val="en-US" w:eastAsia="zh-CN"/>
              </w:rPr>
            </w:pPr>
            <w:r>
              <w:rPr>
                <w:rFonts w:hint="eastAsia" w:eastAsia="宋体" w:cs="Arial"/>
                <w:sz w:val="21"/>
                <w:szCs w:val="21"/>
                <w:lang w:val="en-US" w:eastAsia="zh-CN"/>
              </w:rPr>
              <w:t xml:space="preserve">Yoder, Abigail Eileen (2017) Decoration and symbolism in the late works of Odilon Redon. University of Iowa. Available at: </w:t>
            </w:r>
            <w:r>
              <w:rPr>
                <w:rFonts w:hint="eastAsia" w:eastAsia="宋体" w:cs="Arial"/>
                <w:sz w:val="21"/>
                <w:szCs w:val="21"/>
                <w:lang w:val="en-US" w:eastAsia="zh-CN"/>
              </w:rPr>
              <w:fldChar w:fldCharType="begin"/>
            </w:r>
            <w:r>
              <w:rPr>
                <w:rFonts w:hint="eastAsia" w:eastAsia="宋体" w:cs="Arial"/>
                <w:sz w:val="21"/>
                <w:szCs w:val="21"/>
                <w:lang w:val="en-US" w:eastAsia="zh-CN"/>
              </w:rPr>
              <w:instrText xml:space="preserve"> HYPERLINK "https://doi.org/10.17077/etd.7cj02aye." </w:instrText>
            </w:r>
            <w:r>
              <w:rPr>
                <w:rFonts w:hint="eastAsia" w:eastAsia="宋体" w:cs="Arial"/>
                <w:sz w:val="21"/>
                <w:szCs w:val="21"/>
                <w:lang w:val="en-US" w:eastAsia="zh-CN"/>
              </w:rPr>
              <w:fldChar w:fldCharType="separate"/>
            </w:r>
            <w:r>
              <w:rPr>
                <w:rStyle w:val="18"/>
                <w:rFonts w:hint="eastAsia" w:eastAsia="宋体" w:cs="Arial"/>
                <w:sz w:val="21"/>
                <w:szCs w:val="21"/>
                <w:lang w:val="en-US" w:eastAsia="zh-CN"/>
              </w:rPr>
              <w:t>https://doi.org/10.17077/etd.7cj02aye.</w:t>
            </w:r>
            <w:r>
              <w:rPr>
                <w:rFonts w:hint="eastAsia" w:eastAsia="宋体" w:cs="Arial"/>
                <w:sz w:val="21"/>
                <w:szCs w:val="21"/>
                <w:lang w:val="en-US" w:eastAsia="zh-CN"/>
              </w:rPr>
              <w:fldChar w:fldCharType="end"/>
            </w:r>
          </w:p>
          <w:p w14:paraId="112271B7">
            <w:pPr>
              <w:rPr>
                <w:rFonts w:hint="eastAsia" w:eastAsia="宋体" w:cs="Arial"/>
                <w:sz w:val="21"/>
                <w:szCs w:val="21"/>
                <w:lang w:val="en-US" w:eastAsia="zh-CN"/>
              </w:rPr>
            </w:pPr>
          </w:p>
          <w:p w14:paraId="44C82FE4">
            <w:pPr>
              <w:rPr>
                <w:rFonts w:hint="eastAsia" w:eastAsia="宋体" w:cs="Arial"/>
                <w:sz w:val="21"/>
                <w:szCs w:val="21"/>
                <w:lang w:val="en-US" w:eastAsia="zh-CN"/>
              </w:rPr>
            </w:pPr>
            <w:r>
              <w:rPr>
                <w:rFonts w:hint="eastAsia" w:eastAsia="宋体" w:cs="Arial"/>
                <w:sz w:val="21"/>
                <w:szCs w:val="21"/>
                <w:lang w:val="en-US" w:eastAsia="zh-CN"/>
              </w:rPr>
              <w:t>Zuckerman, N. (2015) ‘Heidegger and the Essence of Dasein’, The Southern journal of philosophy, 53(4), pp. 493–516. Available at: https://doi.org/10.1111/sjp.12151.</w:t>
            </w:r>
          </w:p>
          <w:p w14:paraId="685476C6">
            <w:pPr>
              <w:rPr>
                <w:rFonts w:hint="eastAsia" w:eastAsia="宋体" w:cs="Arial"/>
                <w:sz w:val="21"/>
                <w:szCs w:val="21"/>
                <w:lang w:val="en-US" w:eastAsia="zh-CN"/>
              </w:rPr>
            </w:pPr>
          </w:p>
          <w:p w14:paraId="6327CD41">
            <w:pPr>
              <w:rPr>
                <w:rFonts w:cs="Arial"/>
                <w:sz w:val="22"/>
                <w:szCs w:val="22"/>
              </w:rPr>
            </w:pPr>
          </w:p>
        </w:tc>
      </w:tr>
      <w:tr w14:paraId="2F728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43D3CD2A">
            <w:pPr>
              <w:rPr>
                <w:rFonts w:cs="Arial"/>
                <w:sz w:val="22"/>
                <w:szCs w:val="22"/>
              </w:rPr>
            </w:pPr>
            <w:r>
              <w:rPr>
                <w:rFonts w:cs="Arial"/>
                <w:sz w:val="22"/>
                <w:szCs w:val="22"/>
              </w:rPr>
              <w:t>Facilities and resources available for the investigation: please indicate if you expect to need any special resources</w:t>
            </w:r>
          </w:p>
        </w:tc>
      </w:tr>
      <w:tr w14:paraId="37B7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781" w:type="dxa"/>
            <w:vAlign w:val="center"/>
          </w:tcPr>
          <w:p w14:paraId="6AE84D95">
            <w:pPr>
              <w:rPr>
                <w:rFonts w:hint="eastAsia" w:cs="Arial"/>
                <w:b/>
                <w:bCs/>
                <w:sz w:val="28"/>
                <w:szCs w:val="28"/>
              </w:rPr>
            </w:pPr>
          </w:p>
          <w:p w14:paraId="6573A7BA">
            <w:pPr>
              <w:rPr>
                <w:rFonts w:hint="eastAsia" w:cs="Arial"/>
                <w:b/>
                <w:bCs/>
                <w:sz w:val="22"/>
                <w:szCs w:val="22"/>
              </w:rPr>
            </w:pPr>
            <w:r>
              <w:rPr>
                <w:rFonts w:hint="eastAsia" w:cs="Arial"/>
                <w:b/>
                <w:bCs/>
                <w:sz w:val="22"/>
                <w:szCs w:val="22"/>
              </w:rPr>
              <w:t>1. Required Facilities</w:t>
            </w:r>
          </w:p>
          <w:p w14:paraId="26DBC13E">
            <w:pPr>
              <w:rPr>
                <w:rFonts w:hint="eastAsia" w:cs="Arial"/>
                <w:sz w:val="22"/>
                <w:szCs w:val="22"/>
              </w:rPr>
            </w:pPr>
          </w:p>
          <w:p w14:paraId="0883B6EB">
            <w:pPr>
              <w:rPr>
                <w:rFonts w:hint="eastAsia" w:cs="Arial"/>
                <w:sz w:val="22"/>
                <w:szCs w:val="22"/>
              </w:rPr>
            </w:pPr>
            <w:r>
              <w:rPr>
                <w:rFonts w:hint="eastAsia" w:cs="Arial"/>
                <w:sz w:val="22"/>
                <w:szCs w:val="22"/>
              </w:rPr>
              <w:t>Libraries: The academic resources of the Guangzhou Academy of Fine Arts library, as well as other art-related literature and materials, are essential for the research.</w:t>
            </w:r>
          </w:p>
          <w:p w14:paraId="32C1C043">
            <w:pPr>
              <w:rPr>
                <w:rFonts w:hint="eastAsia" w:cs="Arial"/>
                <w:sz w:val="22"/>
                <w:szCs w:val="22"/>
              </w:rPr>
            </w:pPr>
            <w:r>
              <w:rPr>
                <w:rFonts w:hint="eastAsia" w:cs="Arial"/>
                <w:sz w:val="22"/>
                <w:szCs w:val="22"/>
              </w:rPr>
              <w:t>Institutions and Galleries: The primary approach will be to contact domestic and international art spaces and galleries online to gather materials related to young artists' creations and exhibitions.</w:t>
            </w:r>
          </w:p>
          <w:p w14:paraId="66A22639">
            <w:pPr>
              <w:rPr>
                <w:rFonts w:hint="eastAsia" w:cs="Arial"/>
                <w:sz w:val="22"/>
                <w:szCs w:val="22"/>
              </w:rPr>
            </w:pPr>
          </w:p>
          <w:p w14:paraId="44D9641C">
            <w:pPr>
              <w:numPr>
                <w:ilvl w:val="0"/>
                <w:numId w:val="1"/>
              </w:numPr>
              <w:rPr>
                <w:rFonts w:hint="eastAsia" w:cs="Arial"/>
                <w:b/>
                <w:bCs/>
                <w:sz w:val="22"/>
                <w:szCs w:val="22"/>
              </w:rPr>
            </w:pPr>
            <w:r>
              <w:rPr>
                <w:rFonts w:hint="eastAsia" w:cs="Arial"/>
                <w:b/>
                <w:bCs/>
                <w:sz w:val="22"/>
                <w:szCs w:val="22"/>
              </w:rPr>
              <w:t>Permissions</w:t>
            </w:r>
          </w:p>
          <w:p w14:paraId="44B68C85">
            <w:pPr>
              <w:numPr>
                <w:ilvl w:val="0"/>
                <w:numId w:val="0"/>
              </w:numPr>
              <w:rPr>
                <w:rFonts w:hint="eastAsia" w:cs="Arial"/>
                <w:b/>
                <w:bCs/>
                <w:sz w:val="22"/>
                <w:szCs w:val="22"/>
              </w:rPr>
            </w:pPr>
          </w:p>
          <w:p w14:paraId="26A59445">
            <w:pPr>
              <w:rPr>
                <w:rFonts w:hint="eastAsia" w:cs="Arial"/>
                <w:sz w:val="22"/>
                <w:szCs w:val="22"/>
              </w:rPr>
            </w:pPr>
            <w:r>
              <w:rPr>
                <w:rFonts w:hint="eastAsia" w:cs="Arial"/>
                <w:sz w:val="22"/>
                <w:szCs w:val="22"/>
              </w:rPr>
              <w:t>At present, access permissions for relevant facilities and resources have not yet been obtained. Applications are in preparation, and it is expected that the necessary permissions will be secured during the early stages of the research.</w:t>
            </w:r>
          </w:p>
          <w:p w14:paraId="5B9C4E2C">
            <w:pPr>
              <w:rPr>
                <w:rFonts w:hint="eastAsia" w:cs="Arial"/>
                <w:sz w:val="22"/>
                <w:szCs w:val="22"/>
              </w:rPr>
            </w:pPr>
          </w:p>
          <w:p w14:paraId="7BBEFFE3">
            <w:pPr>
              <w:rPr>
                <w:rFonts w:hint="eastAsia" w:cs="Arial"/>
                <w:b/>
                <w:bCs/>
                <w:sz w:val="22"/>
                <w:szCs w:val="22"/>
              </w:rPr>
            </w:pPr>
            <w:r>
              <w:rPr>
                <w:rFonts w:hint="eastAsia" w:cs="Arial"/>
                <w:b/>
                <w:bCs/>
                <w:sz w:val="22"/>
                <w:szCs w:val="22"/>
              </w:rPr>
              <w:t>3. Travel Requirements</w:t>
            </w:r>
          </w:p>
          <w:p w14:paraId="15F605E1">
            <w:pPr>
              <w:rPr>
                <w:rFonts w:hint="eastAsia" w:cs="Arial"/>
                <w:sz w:val="22"/>
                <w:szCs w:val="22"/>
              </w:rPr>
            </w:pPr>
          </w:p>
          <w:p w14:paraId="78A2DF77">
            <w:pPr>
              <w:rPr>
                <w:rFonts w:hint="eastAsia" w:cs="Arial"/>
                <w:sz w:val="22"/>
                <w:szCs w:val="22"/>
              </w:rPr>
            </w:pPr>
            <w:r>
              <w:rPr>
                <w:rFonts w:hint="eastAsia" w:cs="Arial"/>
                <w:sz w:val="22"/>
                <w:szCs w:val="22"/>
              </w:rPr>
              <w:t>Locations: As the interview subjects are not yet finalized, travel may be required to multiple locations within China for in-person interviews. The specific destinations will be determined after the interviewees are confirmed.</w:t>
            </w:r>
          </w:p>
          <w:p w14:paraId="066672E7">
            <w:pPr>
              <w:rPr>
                <w:rFonts w:hint="eastAsia" w:cs="Arial"/>
                <w:sz w:val="22"/>
                <w:szCs w:val="22"/>
              </w:rPr>
            </w:pPr>
            <w:r>
              <w:rPr>
                <w:rFonts w:hint="eastAsia" w:cs="Arial"/>
                <w:sz w:val="22"/>
                <w:szCs w:val="22"/>
              </w:rPr>
              <w:t>Duration: Each trip is expected to last 1–2 weeks, with a total of approximately four trips.</w:t>
            </w:r>
          </w:p>
          <w:p w14:paraId="55B0ECAC">
            <w:pPr>
              <w:rPr>
                <w:rFonts w:hint="eastAsia" w:cs="Arial"/>
                <w:sz w:val="22"/>
                <w:szCs w:val="22"/>
              </w:rPr>
            </w:pPr>
            <w:r>
              <w:rPr>
                <w:rFonts w:hint="eastAsia" w:cs="Arial"/>
                <w:sz w:val="22"/>
                <w:szCs w:val="22"/>
              </w:rPr>
              <w:t>Funding: All travel expenses will be fully self-funded.</w:t>
            </w:r>
          </w:p>
          <w:p w14:paraId="1E6598C3">
            <w:pPr>
              <w:rPr>
                <w:rFonts w:hint="eastAsia" w:cs="Arial"/>
                <w:sz w:val="22"/>
                <w:szCs w:val="22"/>
              </w:rPr>
            </w:pPr>
          </w:p>
          <w:p w14:paraId="09279B9F">
            <w:pPr>
              <w:rPr>
                <w:rFonts w:hint="eastAsia" w:cs="Arial"/>
                <w:b/>
                <w:bCs/>
                <w:sz w:val="22"/>
                <w:szCs w:val="22"/>
              </w:rPr>
            </w:pPr>
            <w:r>
              <w:rPr>
                <w:rFonts w:hint="eastAsia" w:cs="Arial"/>
                <w:b/>
                <w:bCs/>
                <w:sz w:val="22"/>
                <w:szCs w:val="22"/>
              </w:rPr>
              <w:t>4. Fieldwork and Interviews</w:t>
            </w:r>
          </w:p>
          <w:p w14:paraId="23FFB3BE">
            <w:pPr>
              <w:rPr>
                <w:rFonts w:hint="eastAsia" w:cs="Arial"/>
                <w:sz w:val="22"/>
                <w:szCs w:val="22"/>
              </w:rPr>
            </w:pPr>
          </w:p>
          <w:p w14:paraId="6F92B4B4">
            <w:pPr>
              <w:rPr>
                <w:rFonts w:hint="eastAsia" w:cs="Arial"/>
                <w:sz w:val="22"/>
                <w:szCs w:val="22"/>
              </w:rPr>
            </w:pPr>
            <w:r>
              <w:rPr>
                <w:rFonts w:hint="eastAsia" w:cs="Arial"/>
                <w:sz w:val="22"/>
                <w:szCs w:val="22"/>
              </w:rPr>
              <w:t>Interview Plan: The primary interview subjects will include students or graduates of the Guangzhou Academy of Fine Arts who prefer using figurative painting as a means of expression. Additionally, some young artists who have signed with art spaces or galleries will be interviewed online, with no restrictions on their nationality.</w:t>
            </w:r>
          </w:p>
          <w:p w14:paraId="6939DE17">
            <w:pPr>
              <w:rPr>
                <w:rFonts w:hint="eastAsia" w:cs="Arial"/>
                <w:sz w:val="22"/>
                <w:szCs w:val="22"/>
              </w:rPr>
            </w:pPr>
          </w:p>
          <w:p w14:paraId="3B54F724">
            <w:pPr>
              <w:rPr>
                <w:rFonts w:hint="eastAsia" w:cs="Arial"/>
                <w:sz w:val="22"/>
                <w:szCs w:val="22"/>
              </w:rPr>
            </w:pPr>
            <w:r>
              <w:rPr>
                <w:rFonts w:hint="eastAsia" w:cs="Arial"/>
                <w:sz w:val="22"/>
                <w:szCs w:val="22"/>
              </w:rPr>
              <w:t>Interview Design and Ethical Approval:</w:t>
            </w:r>
          </w:p>
          <w:p w14:paraId="38DADC5E">
            <w:pPr>
              <w:rPr>
                <w:rFonts w:hint="eastAsia" w:cs="Arial"/>
                <w:sz w:val="22"/>
                <w:szCs w:val="22"/>
              </w:rPr>
            </w:pPr>
            <w:r>
              <w:rPr>
                <w:rFonts w:hint="eastAsia" w:cs="Arial"/>
                <w:sz w:val="22"/>
                <w:szCs w:val="22"/>
              </w:rPr>
              <w:t xml:space="preserve">The interview framework has been preliminarily completed, focusing on topics such as artists' creative motivations, the choice of figurative painting as a medium, and their interpretations of </w:t>
            </w:r>
            <w:r>
              <w:rPr>
                <w:rFonts w:hint="default" w:eastAsia="宋体" w:cs="Arial"/>
                <w:sz w:val="22"/>
                <w:szCs w:val="22"/>
                <w:lang w:val="en-US" w:eastAsia="zh-CN"/>
              </w:rPr>
              <w:t>‘</w:t>
            </w:r>
            <w:r>
              <w:rPr>
                <w:rFonts w:hint="eastAsia" w:cs="Arial"/>
                <w:sz w:val="22"/>
                <w:szCs w:val="22"/>
              </w:rPr>
              <w:t>Doomer Meme</w:t>
            </w:r>
            <w:r>
              <w:rPr>
                <w:rFonts w:hint="default" w:eastAsia="宋体" w:cs="Arial"/>
                <w:sz w:val="22"/>
                <w:szCs w:val="22"/>
                <w:lang w:val="en-US" w:eastAsia="zh-CN"/>
              </w:rPr>
              <w:t>’</w:t>
            </w:r>
            <w:r>
              <w:rPr>
                <w:rFonts w:hint="eastAsia" w:cs="Arial"/>
                <w:sz w:val="22"/>
                <w:szCs w:val="22"/>
              </w:rPr>
              <w:t xml:space="preserve"> culture.</w:t>
            </w:r>
          </w:p>
          <w:p w14:paraId="24085940">
            <w:pPr>
              <w:rPr>
                <w:rFonts w:hint="eastAsia" w:cs="Arial"/>
                <w:sz w:val="22"/>
                <w:szCs w:val="22"/>
              </w:rPr>
            </w:pPr>
          </w:p>
          <w:p w14:paraId="4BEEBEE9">
            <w:pPr>
              <w:rPr>
                <w:rFonts w:cs="Arial"/>
                <w:sz w:val="22"/>
                <w:szCs w:val="22"/>
              </w:rPr>
            </w:pPr>
            <w:r>
              <w:rPr>
                <w:rFonts w:hint="eastAsia" w:cs="Arial"/>
                <w:sz w:val="22"/>
                <w:szCs w:val="22"/>
              </w:rPr>
              <w:t>The application for ethical approval is currently being submitted to the university. Written consent from interviewees will be obtained before the interviews, and their privacy and data security will be strictly protected.</w:t>
            </w:r>
          </w:p>
          <w:p w14:paraId="211EDAAC">
            <w:pPr>
              <w:rPr>
                <w:rFonts w:cs="Arial"/>
                <w:sz w:val="22"/>
                <w:szCs w:val="22"/>
              </w:rPr>
            </w:pPr>
          </w:p>
        </w:tc>
      </w:tr>
    </w:tbl>
    <w:p w14:paraId="1C6C6C9E">
      <w:pPr>
        <w:rPr>
          <w:rFonts w:cs="Arial"/>
          <w:sz w:val="22"/>
          <w:szCs w:val="22"/>
        </w:rPr>
      </w:pPr>
    </w:p>
    <w:p w14:paraId="068FBBD3">
      <w:pPr>
        <w:rPr>
          <w:rFonts w:cs="Arial"/>
          <w:sz w:val="22"/>
          <w:szCs w:val="22"/>
        </w:rPr>
      </w:pPr>
    </w:p>
    <w:p w14:paraId="532539A2">
      <w:pPr>
        <w:rPr>
          <w:rFonts w:cs="Arial"/>
          <w:sz w:val="22"/>
          <w:szCs w:val="22"/>
        </w:rPr>
      </w:pPr>
    </w:p>
    <w:p w14:paraId="5620ED97">
      <w:pPr>
        <w:rPr>
          <w:rFonts w:cs="Arial"/>
          <w:b/>
          <w:sz w:val="22"/>
          <w:szCs w:val="22"/>
        </w:rPr>
      </w:pPr>
      <w:r>
        <w:rPr>
          <w:rFonts w:cs="Arial"/>
          <w:b/>
          <w:sz w:val="22"/>
          <w:szCs w:val="22"/>
        </w:rPr>
        <w:t>Intellectual Property IP</w:t>
      </w:r>
    </w:p>
    <w:p w14:paraId="4847AFB8">
      <w:pPr>
        <w:rPr>
          <w:rFonts w:cs="Arial"/>
          <w:b/>
          <w:sz w:val="22"/>
          <w:szCs w:val="22"/>
        </w:rPr>
      </w:pPr>
      <w:r>
        <w:rPr>
          <w:sz w:val="22"/>
        </w:rPr>
        <w:t>It is anticipated that Intellectual Property (IP) will be produced as a result of this research.</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14:paraId="34BE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14:paraId="012CF4F9">
            <w:pPr>
              <w:jc w:val="right"/>
              <w:rPr>
                <w:rFonts w:cs="Arial"/>
                <w:b/>
              </w:rPr>
            </w:pPr>
            <w:r>
              <w:rPr>
                <w:rFonts w:cs="Arial"/>
                <w:b/>
              </w:rPr>
              <w:t xml:space="preserve">Tick </w:t>
            </w:r>
            <w:r>
              <w:rPr>
                <w:rFonts w:ascii="Agency FB" w:hAnsi="Agency FB" w:cs="Arial"/>
                <w:b/>
              </w:rPr>
              <w:t>√</w:t>
            </w:r>
          </w:p>
        </w:tc>
      </w:tr>
      <w:tr w14:paraId="65D4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102959EA">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14:paraId="1D6B3087">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343163F4">
            <w:pPr>
              <w:rPr>
                <w:rFonts w:cs="Arial"/>
                <w:sz w:val="22"/>
                <w:szCs w:val="22"/>
              </w:rPr>
            </w:pPr>
            <w:r>
              <w:rPr>
                <w:rFonts w:cs="Arial"/>
                <w:sz w:val="22"/>
                <w:szCs w:val="22"/>
              </w:rPr>
              <w:t>NO</w:t>
            </w:r>
          </w:p>
        </w:tc>
      </w:tr>
      <w:tr w14:paraId="2BF9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single" w:color="auto" w:sz="4" w:space="0"/>
            </w:tcBorders>
            <w:shd w:val="clear" w:color="auto" w:fill="F1F1F1" w:themeFill="background1" w:themeFillShade="F2"/>
          </w:tcPr>
          <w:p w14:paraId="1C8BF160">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14:paraId="3FB7B2F0">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678392512"/>
            <w14:checkbox>
              <w14:checked w14:val="1"/>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14:paraId="05586A79">
                <w:pPr>
                  <w:jc w:val="center"/>
                  <w:rPr>
                    <w:rFonts w:cs="Arial"/>
                    <w:sz w:val="22"/>
                    <w:szCs w:val="22"/>
                  </w:rPr>
                </w:pPr>
                <w:r>
                  <w:rPr>
                    <w:rFonts w:ascii="MS Gothic" w:hAnsi="MS Gothic" w:eastAsia="MS Gothic" w:cs="Arial"/>
                    <w:sz w:val="22"/>
                    <w:szCs w:val="22"/>
                    <w:lang w:val="en-GB" w:eastAsia="en-GB" w:bidi="ar-SA"/>
                  </w:rPr>
                  <w:t>☒</w:t>
                </w:r>
              </w:p>
            </w:tc>
          </w:sdtContent>
        </w:sdt>
      </w:tr>
      <w:tr w14:paraId="08BA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946" w:type="dxa"/>
            <w:shd w:val="clear" w:color="auto" w:fill="F1F1F1" w:themeFill="background1" w:themeFillShade="F2"/>
          </w:tcPr>
          <w:p w14:paraId="1590E689">
            <w:pPr>
              <w:rPr>
                <w:sz w:val="22"/>
              </w:rPr>
            </w:pPr>
            <w:r>
              <w:rPr>
                <w:sz w:val="22"/>
              </w:rPr>
              <w:t xml:space="preserve">Is the research dependent upon background IP owned by: </w:t>
            </w:r>
          </w:p>
          <w:p w14:paraId="72E8DDEC">
            <w:pPr>
              <w:rPr>
                <w:rFonts w:cs="Arial"/>
                <w:sz w:val="22"/>
                <w:szCs w:val="22"/>
              </w:rPr>
            </w:pPr>
            <w:r>
              <w:rPr>
                <w:sz w:val="22"/>
              </w:rPr>
              <w:t>If so, please provide details below</w:t>
            </w:r>
          </w:p>
        </w:tc>
        <w:tc>
          <w:tcPr>
            <w:tcW w:w="1418" w:type="dxa"/>
            <w:shd w:val="clear" w:color="auto" w:fill="auto"/>
          </w:tcPr>
          <w:p w14:paraId="6A96A3DD">
            <w:pPr>
              <w:jc w:val="center"/>
              <w:rPr>
                <w:sz w:val="22"/>
              </w:rPr>
            </w:pPr>
            <w:r>
              <w:rPr>
                <w:sz w:val="22"/>
              </w:rPr>
              <w:t>UWTSD</w:t>
            </w:r>
          </w:p>
          <w:sdt>
            <w:sdtPr>
              <w:rPr>
                <w:rFonts w:cs="Arial"/>
                <w:sz w:val="22"/>
                <w:szCs w:val="22"/>
              </w:rPr>
              <w:id w:val="123590131"/>
              <w14:checkbox>
                <w14:checked w14:val="1"/>
                <w14:checkedState w14:val="2612" w14:font="MS Gothic"/>
                <w14:uncheckedState w14:val="2610" w14:font="MS Gothic"/>
              </w14:checkbox>
            </w:sdtPr>
            <w:sdtEndPr>
              <w:rPr>
                <w:rFonts w:cs="Arial"/>
                <w:sz w:val="22"/>
                <w:szCs w:val="22"/>
              </w:rPr>
            </w:sdtEndPr>
            <w:sdtContent>
              <w:p w14:paraId="30193C2A">
                <w:pPr>
                  <w:jc w:val="center"/>
                  <w:rPr>
                    <w:rFonts w:cs="Arial"/>
                    <w:sz w:val="22"/>
                    <w:szCs w:val="22"/>
                  </w:rPr>
                </w:pPr>
                <w:r>
                  <w:rPr>
                    <w:rFonts w:ascii="MS Gothic" w:hAnsi="MS Gothic" w:eastAsia="MS Gothic" w:cs="Arial"/>
                    <w:sz w:val="22"/>
                    <w:szCs w:val="22"/>
                    <w:lang w:val="en-GB" w:eastAsia="en-GB" w:bidi="ar-SA"/>
                  </w:rPr>
                  <w:t>☒</w:t>
                </w:r>
              </w:p>
            </w:sdtContent>
          </w:sdt>
        </w:tc>
        <w:tc>
          <w:tcPr>
            <w:tcW w:w="1417" w:type="dxa"/>
            <w:shd w:val="clear" w:color="auto" w:fill="auto"/>
          </w:tcPr>
          <w:p w14:paraId="5325D9CB">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rPr>
                <w:rFonts w:cs="Arial"/>
                <w:sz w:val="22"/>
                <w:szCs w:val="22"/>
              </w:rPr>
            </w:sdtEndPr>
            <w:sdtContent>
              <w:p w14:paraId="6E2125F9">
                <w:pPr>
                  <w:jc w:val="center"/>
                  <w:rPr>
                    <w:rFonts w:cs="Arial"/>
                    <w:sz w:val="22"/>
                    <w:szCs w:val="22"/>
                  </w:rPr>
                </w:pPr>
                <w:r>
                  <w:rPr>
                    <w:rFonts w:ascii="MS Gothic" w:hAnsi="MS Gothic" w:eastAsia="MS Gothic" w:cs="Arial"/>
                    <w:sz w:val="22"/>
                    <w:szCs w:val="22"/>
                  </w:rPr>
                  <w:t>☐</w:t>
                </w:r>
              </w:p>
            </w:sdtContent>
          </w:sdt>
        </w:tc>
      </w:tr>
      <w:tr w14:paraId="3EE8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81" w:type="dxa"/>
            <w:gridSpan w:val="3"/>
            <w:shd w:val="clear" w:color="auto" w:fill="auto"/>
          </w:tcPr>
          <w:p w14:paraId="7C2C0A06">
            <w:pPr>
              <w:rPr>
                <w:i/>
                <w:sz w:val="18"/>
                <w:szCs w:val="18"/>
              </w:rPr>
            </w:pPr>
            <w:r>
              <w:rPr>
                <w:i/>
                <w:sz w:val="18"/>
                <w:szCs w:val="18"/>
              </w:rPr>
              <w:t>Text box will expand</w:t>
            </w:r>
          </w:p>
          <w:p w14:paraId="40898F5A">
            <w:pPr>
              <w:rPr>
                <w:sz w:val="18"/>
                <w:szCs w:val="18"/>
              </w:rPr>
            </w:pPr>
          </w:p>
          <w:p w14:paraId="784D3D3E">
            <w:pPr>
              <w:rPr>
                <w:sz w:val="18"/>
                <w:szCs w:val="18"/>
              </w:rPr>
            </w:pPr>
          </w:p>
          <w:p w14:paraId="463373A7">
            <w:pPr>
              <w:rPr>
                <w:sz w:val="18"/>
                <w:szCs w:val="18"/>
              </w:rPr>
            </w:pPr>
          </w:p>
        </w:tc>
      </w:tr>
      <w:tr w14:paraId="7E997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14:paraId="7C2A5205">
            <w:pPr>
              <w:jc w:val="right"/>
              <w:rPr>
                <w:rFonts w:cs="Arial"/>
                <w:b/>
              </w:rPr>
            </w:pPr>
            <w:r>
              <w:rPr>
                <w:rFonts w:cs="Arial"/>
                <w:b/>
              </w:rPr>
              <w:t xml:space="preserve">Tick </w:t>
            </w:r>
            <w:r>
              <w:rPr>
                <w:rFonts w:ascii="Agency FB" w:hAnsi="Agency FB" w:cs="Arial"/>
                <w:b/>
              </w:rPr>
              <w:t>√</w:t>
            </w:r>
          </w:p>
        </w:tc>
      </w:tr>
      <w:tr w14:paraId="4A62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6184C841">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14:paraId="3E034D3D">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1FB6FF05">
            <w:pPr>
              <w:rPr>
                <w:rFonts w:cs="Arial"/>
                <w:sz w:val="22"/>
                <w:szCs w:val="22"/>
              </w:rPr>
            </w:pPr>
            <w:r>
              <w:rPr>
                <w:rFonts w:cs="Arial"/>
                <w:sz w:val="22"/>
                <w:szCs w:val="22"/>
              </w:rPr>
              <w:t>NO</w:t>
            </w:r>
          </w:p>
        </w:tc>
      </w:tr>
      <w:tr w14:paraId="320D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946" w:type="dxa"/>
            <w:shd w:val="clear" w:color="auto" w:fill="F1F1F1" w:themeFill="background1" w:themeFillShade="F2"/>
          </w:tcPr>
          <w:p w14:paraId="3145BE2D">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5B9D944B">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EndPr>
            <w:rPr>
              <w:rFonts w:cs="Arial"/>
              <w:sz w:val="22"/>
              <w:szCs w:val="22"/>
            </w:rPr>
          </w:sdtEndPr>
          <w:sdtContent>
            <w:tc>
              <w:tcPr>
                <w:tcW w:w="1418" w:type="dxa"/>
                <w:shd w:val="clear" w:color="auto" w:fill="auto"/>
              </w:tcPr>
              <w:p w14:paraId="474EFA2E">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1144885060"/>
            <w14:checkbox>
              <w14:checked w14:val="0"/>
              <w14:checkedState w14:val="2612" w14:font="MS Gothic"/>
              <w14:uncheckedState w14:val="2610" w14:font="MS Gothic"/>
            </w14:checkbox>
          </w:sdtPr>
          <w:sdtEndPr>
            <w:rPr>
              <w:rFonts w:cs="Arial"/>
              <w:sz w:val="22"/>
              <w:szCs w:val="22"/>
            </w:rPr>
          </w:sdtEndPr>
          <w:sdtContent>
            <w:tc>
              <w:tcPr>
                <w:tcW w:w="1417" w:type="dxa"/>
                <w:shd w:val="clear" w:color="auto" w:fill="auto"/>
              </w:tcPr>
              <w:p w14:paraId="3BE096FF">
                <w:pPr>
                  <w:jc w:val="center"/>
                  <w:rPr>
                    <w:rFonts w:cs="Arial"/>
                    <w:sz w:val="22"/>
                    <w:szCs w:val="22"/>
                  </w:rPr>
                </w:pPr>
                <w:r>
                  <w:rPr>
                    <w:rFonts w:ascii="MS Gothic" w:hAnsi="MS Gothic" w:eastAsia="MS Gothic" w:cs="Arial"/>
                    <w:sz w:val="22"/>
                    <w:szCs w:val="22"/>
                  </w:rPr>
                  <w:t>☐</w:t>
                </w:r>
              </w:p>
            </w:tc>
          </w:sdtContent>
        </w:sdt>
      </w:tr>
      <w:tr w14:paraId="486D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946" w:type="dxa"/>
            <w:shd w:val="clear" w:color="auto" w:fill="F1F1F1" w:themeFill="background1" w:themeFillShade="F2"/>
          </w:tcPr>
          <w:p w14:paraId="49B8B72D">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"https://www.uwtsd.ac.uk/iiced/protecting-innovation-and-creativity---intellectual-property/" </w:instrText>
            </w:r>
            <w:r>
              <w:fldChar w:fldCharType="separate"/>
            </w:r>
            <w:r>
              <w:rPr>
                <w:rStyle w:val="18"/>
              </w:rPr>
              <w:t>https://www.uwtsd.ac.uk/iiced/protecting-innovation-and-creativity---intellectual-property/</w:t>
            </w:r>
            <w:r>
              <w:rPr>
                <w:rStyle w:val="18"/>
              </w:rPr>
              <w:fldChar w:fldCharType="end"/>
            </w:r>
          </w:p>
          <w:p w14:paraId="4E5827CB">
            <w:pPr>
              <w:rPr>
                <w:rFonts w:ascii="Calibri" w:hAnsi="Calibri"/>
              </w:rPr>
            </w:pPr>
          </w:p>
        </w:tc>
        <w:tc>
          <w:tcPr>
            <w:tcW w:w="1418" w:type="dxa"/>
            <w:shd w:val="clear" w:color="auto" w:fill="auto"/>
          </w:tcPr>
          <w:p w14:paraId="26FB668C">
            <w:pPr>
              <w:jc w:val="center"/>
              <w:rPr>
                <w:rFonts w:cs="Arial"/>
                <w:sz w:val="22"/>
                <w:szCs w:val="22"/>
              </w:rPr>
            </w:pPr>
            <w:sdt>
              <w:sdtPr>
                <w:rPr>
                  <w:rFonts w:cs="Arial"/>
                  <w:sz w:val="22"/>
                  <w:szCs w:val="22"/>
                </w:rPr>
                <w:id w:val="1199513403"/>
                <w14:checkbox>
                  <w14:checked w14:val="1"/>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lang w:val="en-GB" w:eastAsia="en-GB" w:bidi="ar-SA"/>
                  </w:rPr>
                  <w:t>☒</w:t>
                </w:r>
              </w:sdtContent>
            </w:sdt>
          </w:p>
        </w:tc>
        <w:tc>
          <w:tcPr>
            <w:tcW w:w="1417" w:type="dxa"/>
            <w:shd w:val="clear" w:color="auto" w:fill="auto"/>
          </w:tcPr>
          <w:p w14:paraId="1599CD7F">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p w14:paraId="22BBA35C">
      <w:pPr>
        <w:rPr>
          <w:rFonts w:cs="Arial"/>
          <w:sz w:val="22"/>
          <w:szCs w:val="22"/>
        </w:rPr>
      </w:pPr>
    </w:p>
    <w:tbl>
      <w:tblPr>
        <w:tblStyle w:val="14"/>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47"/>
      </w:tblGrid>
      <w:tr w14:paraId="535FD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47" w:type="dxa"/>
          </w:tcPr>
          <w:p w14:paraId="1376D7B7">
            <w:pPr>
              <w:rPr>
                <w:rFonts w:cs="Arial"/>
                <w:sz w:val="22"/>
                <w:szCs w:val="22"/>
              </w:rPr>
            </w:pPr>
          </w:p>
          <w:p w14:paraId="513E5268">
            <w:pPr>
              <w:rPr>
                <w:rFonts w:cs="Arial"/>
                <w:b/>
                <w:sz w:val="22"/>
                <w:szCs w:val="22"/>
              </w:rPr>
            </w:pPr>
            <w:r>
              <w:rPr>
                <w:rFonts w:cs="Arial"/>
                <w:b/>
                <w:sz w:val="22"/>
                <w:szCs w:val="22"/>
              </w:rPr>
              <w:t>Student Signature</w:t>
            </w:r>
          </w:p>
          <w:p w14:paraId="5EEC5232">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0"/>
              <w:gridCol w:w="6047"/>
              <w:gridCol w:w="1414"/>
            </w:tblGrid>
            <w:tr w14:paraId="35E70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0" w:type="dxa"/>
                  <w:shd w:val="clear" w:color="auto" w:fill="F1F1F1" w:themeFill="background1" w:themeFillShade="F2"/>
                </w:tcPr>
                <w:p w14:paraId="2B1A3004">
                  <w:pPr>
                    <w:rPr>
                      <w:rFonts w:cs="Arial"/>
                      <w:sz w:val="22"/>
                      <w:szCs w:val="22"/>
                    </w:rPr>
                  </w:pPr>
                </w:p>
                <w:p w14:paraId="26B0D9DA">
                  <w:pPr>
                    <w:rPr>
                      <w:rFonts w:cs="Arial"/>
                      <w:sz w:val="22"/>
                      <w:szCs w:val="22"/>
                    </w:rPr>
                  </w:pPr>
                  <w:r>
                    <w:rPr>
                      <w:rFonts w:cs="Arial"/>
                      <w:sz w:val="22"/>
                      <w:szCs w:val="22"/>
                    </w:rPr>
                    <w:t>Signature or Print Name:</w:t>
                  </w:r>
                </w:p>
                <w:p w14:paraId="69A25636">
                  <w:pPr>
                    <w:rPr>
                      <w:rFonts w:cs="Arial"/>
                      <w:sz w:val="22"/>
                      <w:szCs w:val="22"/>
                    </w:rPr>
                  </w:pPr>
                </w:p>
              </w:tc>
              <w:tc>
                <w:tcPr>
                  <w:tcW w:w="6047" w:type="dxa"/>
                </w:tcPr>
                <w:p w14:paraId="13D2438A">
                  <w:pPr>
                    <w:rPr>
                      <w:rFonts w:cs="Arial"/>
                      <w:sz w:val="22"/>
                      <w:szCs w:val="22"/>
                    </w:rPr>
                  </w:pPr>
                  <w:r>
                    <mc:AlternateContent>
                      <mc:Choice Requires="wps">
                        <w:drawing>
                          <wp:anchor distT="0" distB="0" distL="114300" distR="114300" simplePos="0" relativeHeight="251664384" behindDoc="0" locked="0" layoutInCell="1" allowOverlap="1">
                            <wp:simplePos x="0" y="0"/>
                            <wp:positionH relativeFrom="column">
                              <wp:posOffset>647700</wp:posOffset>
                            </wp:positionH>
                            <wp:positionV relativeFrom="paragraph">
                              <wp:posOffset>159385</wp:posOffset>
                            </wp:positionV>
                            <wp:extent cx="80645" cy="250825"/>
                            <wp:effectExtent l="0" t="0" r="0" b="0"/>
                            <wp:wrapNone/>
                            <wp:docPr id="7" name="墨迹 7"/>
                            <wp:cNvGraphicFramePr/>
                            <a:graphic xmlns:a="http://schemas.openxmlformats.org/drawingml/2006/main">
                              <a:graphicData uri="http://schemas.microsoft.com/office/word/2010/wordprocessingInk">
                                <mc:AlternateContent xmlns:a14="http://schemas.microsoft.com/office/drawing/2010/main">
                                  <mc:Choice Requires="a14">
                                    <w14:contentPart bwMode="clr" r:id="rId6">
                                      <w14:nvContentPartPr>
                                        <w14:cNvPr id="7" name="墨迹 7"/>
                                        <w14:cNvContentPartPr/>
                                      </w14:nvContentPartPr>
                                      <w14:xfrm>
                                        <a:off x="2941955" y="7072630"/>
                                        <a:ext cx="80645" cy="250825"/>
                                      </w14:xfrm>
                                    </w14:contentPart>
                                  </mc:Choice>
                                </mc:AlternateContent>
                              </a:graphicData>
                            </a:graphic>
                          </wp:anchor>
                        </w:drawing>
                      </mc:Choice>
                      <mc:Fallback>
                        <w:pict>
                          <v:shape id="_x0000_s1026" o:spid="_x0000_s1026" o:spt="75" style="position:absolute;left:0pt;margin-left:51pt;margin-top:12.55pt;height:19.75pt;width:6.35pt;z-index:251664384;mso-width-relative:page;mso-height-relative:page;" coordsize="21600,21600" o:gfxdata="UEsDBAoAAAAAAIdO4kAAAAAAAAAAAAAAAAAEAAAAZHJzL1BLAwQUAAAACACHTuJAbJLaatcAAAAJ&#10;AQAADwAAAGRycy9kb3ducmV2LnhtbE2Py07DMBBF90j8gzVI7KidAFWaxqkQAiHBhgYWLKf2kITG&#10;dojdB3/PdAXLq7k6c261OrpB7GmKffAaspkCQd4E2/tWw/vb41UBIib0FofgScMPRVjV52cVljYc&#10;/Jr2TWoFQ3wsUUOX0lhKGU1HDuMsjOT59hkmh4nj1Eo74YHhbpC5UnPpsPf8ocOR7jsy22bnNMzv&#10;Htx2cWNe0uv6u3n+wGi+nqLWlxeZWoJIdEx/ZTjpszrU7LQJO2+jGDirnLckDfltBuJUyAresmF6&#10;cQ2yruT/BfUvUEsDBBQAAAAIAIdO4kCcfyrCoQEAAIkDAAAOAAAAZHJzL2Uyb0RvYy54bWytU0FO&#10;4zAU3SPNHSzvp3FCk7ZRUxZUI7EY6AIOYBy7sSa2o2+3KdeZ1VyBFadB4hj8tA0tRUgIzc4/7/v9&#10;9/5zphcbU5O1BK+dLWg8YJRIK1yp7bKgd7e/fo4p8YHbktfOyoI+SE8vZj/Opm2Ty8RVri4lECSx&#10;Pm+bglYhNHkUeVFJw/3ANdIiqBwYHrCEZVQCb5Hd1FHCWBa1DsoGnJDe49f5DqR7RvgKoVNKCzl3&#10;YmWkDTtWkDUPaMlXuvF0tlWrlBThRikvA6kLmk3GKSWhP+CoeMJS9H+PpyyNGY1mU54vgTeVFntB&#10;/CuCThwari1KeKOa88DJCvQHKqMFOO9UGAhnop2t7X7QU8xONnVl/3S+4qFYQS6cDeh9wSH0WWyB&#10;74wwNa6g/e1KTFvU8J+jIJDrsqBwVcYH+XZ9eTCwgIOt6/UCSNc/osRyg4qe//57eXokoy6c3vz1&#10;++uIRHvoM+KNAtMlgjsmm4Imk2E8SfE1POAkNkqy8334chOIwIYxy4YIC8STlI2TtBvfD9mR9dVR&#10;FNjyLvTjurt+9AfNXgFQSwMECgAAAAAAh07iQAAAAAAAAAAAAAAAAAgAAABkcnMvaW5rL1BLAwQU&#10;AAAACACHTuJACTDHw5MDAAATCwAAEAAAAGRycy9pbmsvaW5rMS54bWy1Vk1v2zgQvRfofyDUQy+i&#10;TYqynRh1elggwAJboGiywPbo2owt1JICiY6Tf7+j+aDF1imwwPZCaTScNzNvHml/+PhcH9ST7/qq&#10;bVaZnZhM+WbTbqtmt8r+vr/VV5nqw7rZrg9t41fZi++zjzdv33yomu/1YQmrAoSmH97qwyrbh/C4&#10;nE5Pp9Pk5CZtt5sWxrjpn833T39lNxy19Q9VUwVI2cunTdsE/xwGsGW1XWWb8GzifsC+a4/dxkf3&#10;8KXbnHeEbr3xt21Xr0NE3K+bxh9Us66h7n8yFV4e4aWCPDvfZeoIFfSQqM6ml0O+/veQ259C6vUz&#10;0GoM8MoJt/5pyDhFwpavF/65ax99Fyp/5og6YseL2pCNzVGXne/bw3EgNlNP68MR+i2uJq6cl7P5&#10;/Lq4tq6MddjphdZ/xgYWfhs20PUqth0VmlLGbY/5YTKjTmSgoao9qLd+jMIJPUxi+HwXOtR4YYqZ&#10;Nlab2X1hlsV86Raj8bAsBe9bd+z3EetbdxYgeiJ71NWp2oZ9HISZmNLY+dy5hSmdKRexwfEcLuHs&#10;fbXbh/8BaNMeWlA+K+MdqHIQZpT/pdwPVbhv/zh2Tz7G2V9HVLum7fxnkGJ/7M5RmIfnhIniEbhw&#10;G+CpUEz+F/+wyt7hhaAwkj4g+8CoAWKNUXZWXtsZvbv5LH+vy/ngeF/i6lwOx3B4jY+cbMWPIr9G&#10;IFptjtGKVpM79OGqy8RyOWZQuIIP7lAopxhWXeRUkPi4PPQ59gnmyKfM2KdsYiWY0Yf5YhxVlKIk&#10;lk4xU59koMrEoh44TmOX0p8mdhjlB4uYkLgZ9i5WUjXFSWXR0gyAtJqc0aVDNqlUm9NmJfUICMdy&#10;0YJEJu21NDcJYIuyWJo3+4rEsjR9LrLgOOxSZsM1pewwq1w+60sXKAKgAGWnHbVV5gtkzRF5pXhp&#10;Io7rsSLVsZDSMYvkpC2ujBQL5DFtmOwHsxBqpUJSgKJYOR8CTEAMx+eDLOY5xlGxNAlRhWCOfFHZ&#10;iWIU8qJEoSkBqS+NowwygyQ7V8ZTVlcsFsKm+cBgCdy+4hVuhA7NeqCBAbMcTmWAPfYDuiZcFj67&#10;NWlCoskEXij47EWeNaU2zL0kIl9ixUnwkRbnWBsgSDkYSIeY51gqleHpuhIAtlIfWnGomFMuE7py&#10;5RqgEcO1SmIQDuiJNGq7yC2jI29wbHLL3OFlrh2oLt1RJP+/4k8R/IG4+R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eRi8nbgAAAAhAQAAGQAA&#10;AGRycy9fcmVscy9lMm9Eb2MueG1sLnJlbHOFz7FqxDAMBuC90Hcw2hslHcpR4mQ5DrKWFG41jpKY&#10;xLKxnNJ7+3rswcENGoTQ90tt/+t39UNJXGANTVWDIrZhcrxo+B4vbydQkg1PZg9MGm4k0HevL+0X&#10;7SaXJVldFFUUFg1rzvETUexK3kgVInGZzCF5k0ubFozGbmYhfK/rD0z/DejuTDVMGtIwNaDGWyzJ&#10;z+0wz87SOdjDE+cHEWgPycFf/V5QkxbKGhxvWKqpyqGAXYt3j3V/UEsDBBQAAAAIAIdO4kADFSna&#10;BQEAAC0CAAATAAAAW0NvbnRlbnRfVHlwZXNdLnhtbJWRwU7DMBBE70j8g+UrSpz2gBBq0gMpR0Co&#10;fIBlbxKr9trymtD+PU7aXhCl4uCDvTNvRuvVeu8sGyGS8VjzRVlxBqi8NtjX/GP7XDxwRkmiltYj&#10;1PwAxNfN7c1qewhALLuRaj6kFB6FIDWAk1T6AJgnnY9OpnyNvQhS7WQPYllV90J5TICpSBODN6sW&#10;OvlpE9vs8/OxSQRLnD0dhVNWzWUI1iiZclMxov6RUpwSyuycNTSYQHe5Bhe/JkyTywEn32teTTQa&#10;2JuM6UW6XEPoSEL7L4wwln9DppaOCt91RkHZRmqz7R3Gc6tLdFj61qv/wjez6xrb4E7ks7hCzxJn&#10;zywxf3bzDVBLAQIUABQAAAAIAIdO4kADFSnaBQEAAC0CAAATAAAAAAAAAAEAIAAAAA8JAABbQ29u&#10;dGVudF9UeXBlc10ueG1sUEsBAhQACgAAAAAAh07iQAAAAAAAAAAAAAAAAAYAAAAAAAAAAAAQAAAA&#10;2gYAAF9yZWxzL1BLAQIUABQAAAAIAIdO4kCKFGY80QAAAJQBAAALAAAAAAAAAAEAIAAAAP4GAABf&#10;cmVscy8ucmVsc1BLAQIUAAoAAAAAAIdO4kAAAAAAAAAAAAAAAAAEAAAAAAAAAAAAEAAAAAAAAABk&#10;cnMvUEsBAhQACgAAAAAAh07iQAAAAAAAAAAAAAAAAAoAAAAAAAAAAAAQAAAA+AcAAGRycy9fcmVs&#10;cy9QSwECFAAUAAAACACHTuJAeRi8nbgAAAAhAQAAGQAAAAAAAAABACAAAAAgCAAAZHJzL19yZWxz&#10;L2Uyb0RvYy54bWwucmVsc1BLAQIUABQAAAAIAIdO4kBsktpq1wAAAAkBAAAPAAAAAAAAAAEAIAAA&#10;ACIAAABkcnMvZG93bnJldi54bWxQSwECFAAUAAAACACHTuJAnH8qwqEBAACJAwAADgAAAAAAAAAB&#10;ACAAAAAmAQAAZHJzL2Uyb0RvYy54bWxQSwECFAAKAAAAAACHTuJAAAAAAAAAAAAAAAAACAAAAAAA&#10;AAAAABAAAADzAgAAZHJzL2luay9QSwECFAAUAAAACACHTuJACTDHw5MDAAATCwAAEAAAAAAAAAAB&#10;ACAAAAAZAwAAZHJzL2luay9pbmsxLnhtbFBLBQYAAAAACgAKAEwCAABFCgAAAAA=&#10;">
                            <v:imagedata r:id="rId7" o:title=""/>
                            <o:lock v:ext="edit"/>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1397635</wp:posOffset>
                            </wp:positionH>
                            <wp:positionV relativeFrom="paragraph">
                              <wp:posOffset>148590</wp:posOffset>
                            </wp:positionV>
                            <wp:extent cx="121285" cy="313055"/>
                            <wp:effectExtent l="0" t="0" r="0" b="0"/>
                            <wp:wrapNone/>
                            <wp:docPr id="12" name="墨迹 12"/>
                            <wp:cNvGraphicFramePr/>
                            <a:graphic xmlns:a="http://schemas.openxmlformats.org/drawingml/2006/main">
                              <a:graphicData uri="http://schemas.microsoft.com/office/word/2010/wordprocessingInk">
                                <mc:AlternateContent xmlns:a14="http://schemas.microsoft.com/office/drawing/2010/main">
                                  <mc:Choice Requires="a14">
                                    <w14:contentPart bwMode="clr" r:id="rId8">
                                      <w14:nvContentPartPr>
                                        <w14:cNvPr id="12" name="墨迹 12"/>
                                        <w14:cNvContentPartPr/>
                                      </w14:nvContentPartPr>
                                      <w14:xfrm>
                                        <a:off x="3691890" y="7061835"/>
                                        <a:ext cx="121285" cy="313055"/>
                                      </w14:xfrm>
                                    </w14:contentPart>
                                  </mc:Choice>
                                </mc:AlternateContent>
                              </a:graphicData>
                            </a:graphic>
                          </wp:anchor>
                        </w:drawing>
                      </mc:Choice>
                      <mc:Fallback>
                        <w:pict>
                          <v:shape id="_x0000_s1026" o:spid="_x0000_s1026" o:spt="75" style="position:absolute;left:0pt;margin-left:110.05pt;margin-top:11.7pt;height:24.65pt;width:9.55pt;z-index:251669504;mso-width-relative:page;mso-height-relative:page;" coordsize="21600,21600" o:gfxdata="UEsDBAoAAAAAAIdO4kAAAAAAAAAAAAAAAAAEAAAAZHJzL1BLAwQUAAAACACHTuJADc0nUtgAAAAJ&#10;AQAADwAAAGRycy9kb3ducmV2LnhtbE2PwU7DMAyG70i8Q2QkbixJN22oa7oDGuOC0BhIu3pN1lY0&#10;Tmmyrbw95sRutvzp9/cXq9F34uyG2AYyoCcKhKMq2JZqA58fzw+PIGJCstgFcgZ+XIRVeXtTYG7D&#10;hd7deZdqwSEUczTQpNTnUsaqcR7jJPSO+HYMg8fE61BLO+CFw30nM6Xm0mNL/KHB3j01rvranbyB&#10;7ffL1O9xs95v6/Ftja9ap4025v5OqyWI5Mb0D8OfPqtDyU6HcCIbRWcgy5RmlIfpDAQD2UwvQBwM&#10;LOYZyLKQ1w3KX1BLAwQUAAAACACHTuJAQ3DVKaEBAACLAwAADgAAAGRycy9lMm9Eb2MueG1srVNB&#10;TuMwFN0jzR0s72nilJY0asqCaiQWQBdwAI9jN9bEdvTtNuU6rOYKs+I0SByDn6ShhRESQrPz9/t6&#10;/73/7PnFzlRkK8FrZ3PKRjEl0gpXaLvO6f3dz9OUEh+4LXjlrMzpg/T0YvHjZN7UmUxc6apCAkES&#10;67OmzmkZQp1FkRelNNyPXC0tgsqB4QFLWEcF8AbZTRUlcTyNGgdFDU5I7/F22YN0zwhfIXRKaSGX&#10;TmyMtKFnBVnxgJZ8qWtPF51apaQIt0p5GUiV0+ksnVAShgOOStMZ2v+Fa5gkZzGNFnOerYHXpRZ7&#10;Pfwrej4YNFxbVPBGteSBkw3of6iMFuC8U2EknIl6V9160BKLPyzqyv5ubbEzsYFMOBvQ+opDGKLo&#10;gO+MMBWuoLl2BYYtKvjPSRDIdJFTuCrYQb7dXh4MrOBg62a7AtL2s4QSyw1Ken788/L0l+AFxjPY&#10;v3lPgEi0hz6j3ikwbSa4ZbLL6Xg6Y134Dzk9j6csHU/6+OUuEIENLGFJ+1wENozZOJ50+DClZxuq&#10;ozRQyLvcj+tW5NEfWrwCUEsDBAoAAAAAAIdO4kAAAAAAAAAAAAAAAAAIAAAAZHJzL2luay9QSwME&#10;FAAAAAgAh07iQAKtStcDBAAAjAwAABAAAABkcnMvaW5rL2luazEueG1stVZNb+NGDL0X6H8YaA97&#10;kewZfcU21tlDgQAFWmDRTYH26LUntrC2FEhynPz7UnzkWE68AQq0F0kcDh8fHzljf/r8fNibJ992&#10;VVMvIzexkfH1utlU9XYZ/Xl/l8wi0/WrerPaN7VfRi++iz7f/vzTp6r+ftgv6GkIoe6Gr8N+Ge36&#10;/nExnZ5Op8kpmzTtdppam01/rb///lt0K1Eb/1DVVU8pO11aN3Xvn/sBbFFtltG6f7ZhP2F/bY7t&#10;2gf3sNKuzzv6drX2d017WPUBcbeqa7839epAvP+KTP/ySB8V5dn6NjJHYtBRokM0vR7y978PuXsT&#10;clg9k6zWkq6ScOOfhoxTFmzxY+Jf2ubRt33lzxqhInG8mDVsLg5Vtr5r9sdB2Mg8rfZHqjedTbK8&#10;zIuynKdzl+WBh5teKf0tNqnwv2GTXD/EdiOil5JJ2WN9RMwwJ9rQvjp4mt7DYxicvqNODMtf+5Zn&#10;PLVpkViX2OI+tYu0XGQ3o/bIWCret/bY7QLWt/Y8gOwJ6qGqU7Xpd6ERdmJzN7/JCuvyPJuV6TxU&#10;OG7ENaCdr7a7/r9AWjf7hmZfZuMDzeUwmuEAXEv+UPX3zS/H9smHOPd+RLWtm9Z/oWHsju05ivNI&#10;pzhROARX7gM+F0bk/8M/LKMPfCUYjsQC61/YWUHSWmtckc/pzd9ZPo8/Jnk5GB9zfpYxncPhK7xc&#10;jAWjryyeczSezsUcb254MYszfrOVFGLxjqSMOQd2kkX3KBEqhmeSxaCEOCcW4tKxz9g4SUcpsjhB&#10;RqaTODXBlnBlt9hpnHBCw1SG7QBDdsIGGMwAxmbYjBAysSwRYyv4GDxYvFMtw+WrlUAMLVx9mooL&#10;DuyCVwDZG0oJXnxAQ4dOJDPZK5FaGNRQCcEaDbVomuoiMFozYERCNFT0tWKpAihQYGimBh4BVDah&#10;MzbGEKTaIpkCflH7X3lll8aCEfhp0VhzUomyRVLslCpDTySCSQoKfMP4jbgnNE/AAapOTKgTH/LU&#10;spkyIaEw5EqlLuUjRUMmOSqXOYy2S5OFoZV9wX5n4pWwweYwYsHkYqV2URBnx6RyuMH4tYUa5c6Q&#10;4kwK2FSuDIdplJaql44sWi1Hlig6VKDaXNhDCxwCdGBkyiGDldtDRQcFhRpZdBRRrPoQAUuHQH14&#10;S5EyEmF63rtT3iosxGTWpJlBf0k4eM9X3zVvoB+cqEbNK5byHB9qguGUOlSvDo0MP4PRVtmlqozN&#10;wYsOqPLAdWzST4N8pHLlZ7EDKv0XG+4GRzcItuqCjFjiEKFXu2YRMsKheGMKZ9EZpJQLCgBB/dFS&#10;S/CxhYrCrMG8uTRnagKdvKxAuNwBiWc51pnkkFqZXnnxxzf8A6B/brf/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gAkAAFtDb250&#10;ZW50X1R5cGVzXS54bWxQSwECFAAKAAAAAACHTuJAAAAAAAAAAAAAAAAABgAAAAAAAAAAABAAAABL&#10;BwAAX3JlbHMvUEsBAhQAFAAAAAgAh07iQIoUZjzRAAAAlAEAAAsAAAAAAAAAAQAgAAAAbwcAAF9y&#10;ZWxzLy5yZWxzUEsBAhQACgAAAAAAh07iQAAAAAAAAAAAAAAAAAQAAAAAAAAAAAAQAAAAAAAAAGRy&#10;cy9QSwECFAAKAAAAAACHTuJAAAAAAAAAAAAAAAAACgAAAAAAAAAAABAAAABpCAAAZHJzL19yZWxz&#10;L1BLAQIUABQAAAAIAIdO4kB5GLyduAAAACEBAAAZAAAAAAAAAAEAIAAAAJEIAABkcnMvX3JlbHMv&#10;ZTJvRG9jLnhtbC5yZWxzUEsBAhQAFAAAAAgAh07iQA3NJ1LYAAAACQEAAA8AAAAAAAAAAQAgAAAA&#10;IgAAAGRycy9kb3ducmV2LnhtbFBLAQIUABQAAAAIAIdO4kBDcNUpoQEAAIsDAAAOAAAAAAAAAAEA&#10;IAAAACcBAABkcnMvZTJvRG9jLnhtbFBLAQIUAAoAAAAAAIdO4kAAAAAAAAAAAAAAAAAIAAAAAAAA&#10;AAAAEAAAAPQCAABkcnMvaW5rL1BLAQIUABQAAAAIAIdO4kACrUrXAwQAAIwMAAAQAAAAAAAAAAEA&#10;IAAAABoDAABkcnMvaW5rL2luazEueG1sUEsFBgAAAAAKAAoATAIAALYKAAAAAA==&#10;">
                            <v:imagedata r:id="rId9" o:title=""/>
                            <o:lock v:ext="edit"/>
                          </v:shape>
                        </w:pict>
                      </mc:Fallback>
                    </mc:AlternateContent>
                  </w:r>
                </w:p>
                <w:p w14:paraId="7ED66CD6">
                  <w:pPr>
                    <w:bidi w:val="0"/>
                    <w:ind w:firstLine="342" w:firstLineChars="0"/>
                    <w:jc w:val="left"/>
                    <w:rPr>
                      <w:rFonts w:ascii="Arial" w:hAnsi="Arial" w:eastAsia="Times New Roman" w:cs="Times New Roman"/>
                      <w:lang w:val="en-GB" w:eastAsia="en-GB" w:bidi="ar-SA"/>
                    </w:rPr>
                  </w:pPr>
                  <w: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27305</wp:posOffset>
                            </wp:positionV>
                            <wp:extent cx="99695" cy="243840"/>
                            <wp:effectExtent l="0" t="0" r="0" b="0"/>
                            <wp:wrapNone/>
                            <wp:docPr id="1" name="墨迹 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
                                      <w14:nvContentPartPr>
                                        <w14:cNvPr id="1" name="墨迹 1"/>
                                        <w14:cNvContentPartPr/>
                                      </w14:nvContentPartPr>
                                      <w14:xfrm>
                                        <a:off x="2408555" y="7100570"/>
                                        <a:ext cx="99695" cy="243840"/>
                                      </w14:xfrm>
                                    </w14:contentPart>
                                  </mc:Choice>
                                </mc:AlternateContent>
                              </a:graphicData>
                            </a:graphic>
                          </wp:anchor>
                        </w:drawing>
                      </mc:Choice>
                      <mc:Fallback>
                        <w:pict>
                          <v:shape id="_x0000_s1026" o:spid="_x0000_s1026" o:spt="75" style="position:absolute;left:0pt;margin-left:9pt;margin-top:2.15pt;height:19.2pt;width:7.85pt;z-index:251659264;mso-width-relative:page;mso-height-relative:page;" coordsize="21600,21600" o:gfxdata="UEsDBAoAAAAAAIdO4kAAAAAAAAAAAAAAAAAEAAAAZHJzL1BLAwQUAAAACACHTuJAqo3B1dAAAAAG&#10;AQAADwAAAGRycy9kb3ducmV2LnhtbE2PQU7DMBBF90jcwRokdnSSlkIV4lQCxLoicAA3HuKo9jiK&#10;3aTcnmEFy6c/+v9Nvb8Er2aa0hBZQ7kqQBF30Q7ca/j8eLvbgUrZsDU+Mmn4pgT75vqqNpWNC7/T&#10;3OZeSQmnymhwOY8VYuocBZNWcSSW7CtOwWTBqUc7mUXKg8d1UTxgMAPLgjMjvTjqTu05aBhen7cH&#10;u7A3eGpTmHt0B49a396UxROoTJf8dwy/+qIOjTgd45ltUl54J69kDfcbUBJvHtegjoLbErCp8b9+&#10;8wNQSwMEFAAAAAgAh07iQIx/dTqhAQAAiAMAAA4AAABkcnMvZTJvRG9jLnhtbK2TTW7bMBCF9wV6&#10;B2L2tX5qObJgOosaBbJo6kV7AIYiLSIiKQxpy7lOV71CVz1NgR6jI8uunQQFgiI7SY9687550uJ6&#10;b1u2UxiMdxyySQpMOelr4zYcvn75+K4EFqJwtWi9UxweVIDr5ds3i76rVO4b39YKGZm4UPUdhybG&#10;rkqSIBtlRZj4TjkStUcrIt3iJqlR9ORu2yRP01nSe6w79FKFQE9XowhHR3yJodfaSLXycmuVi6Mr&#10;qlZEQgqN6QIsD2m1VjJ+1jqoyFoOs3lZAIunCxqVFfmU+O84lHlRQLJciGqDomuMPOYRL8nzBNAK&#10;4yjBX6uViIJt0TyzskaiD17HifQ2GakO6yGkLH2yqBt3P2BlU7nFSnoXCX0tMJ6qOAj/M8K2tIH+&#10;k6+pbNniKzfBsDI1B7yps3N8t/twBljjGet2t0Y2nM+AOWEp0a9v33///MGyoZwT/O3j10lJjtK/&#10;jPca7dAI7ZjtOVDrZUGFswcOV1maFlfpWL7aRybpwHw+m5MsSc+n70v6SC6GjGankRdVUI5HpV/e&#10;DxkvfqDlH1BLAwQKAAAAAACHTuJAAAAAAAAAAAAAAAAACAAAAGRycy9pbmsvUEsDBBQAAAAIAIdO&#10;4kBlfflCLgMAAFAJAAAQAAAAZHJzL2luay9pbmsxLnhtbLVVS2sbMRC+F/ofhHLIZWVL+3Js4uRQ&#10;CBRaKE0K7dFZK/aSfRit/Mi/7+yMJK8Tp1BoL94djeb75vHN+vr2UFdsp01Xts2cq5HkTDdFuyyb&#10;1Zz/eLgTV5x1dtEsF1Xb6Dl/0R2/vfn44bpsnutqBr8MEJquf6urOV9bu5mNx/v9frRPRq1ZjWMp&#10;k/Hn5vnrF37jopb6qWxKC5SdPyraxuqD7cFm5XLOC3uQ4T5g37dbU+jg7k9McbxhzaLQd62pFzYg&#10;rhdNoyvWLGrI+ydn9mUDLyXwrLThbAsZdEBU8/H5kF9/H3L3JqReHKCtUkJfHeFS73rGMTZs9n7i&#10;30y70caW+tgjqsg5XlhBNhZHVRrdtdW2byxnu0W1hXrjq1GS5mmW59N4qpI05KHGZ0p/iw1d+G/Y&#10;0K53sdUg0dOWubKH/XHNDDrxA7VlrUG99SYIx3Ywif743hrUeCzjTEglZPYQy1mcz5LJYDxOlh7v&#10;0Wy7dcB6NEcBoid0j6ral0u7DoOQI5nGcZ5NkgyGkav8WOFwEOeA1rpcre2/QCraqgXtO21cgC57&#10;aYYFOEf+VNqH9tPW7HSIU3+OKFdNa/Q3EGO3Ncco5HGTQqKwBGe+B7gXzLX/u36a8wv8JDCMpAPs&#10;f5LkGbRWSqaydDqV9J6kk+hSxHHvuBT5FJ8q4nn/wlWCjySa9E+m8BpLIvQy8rI4wlssxTtZhMDC&#10;nZ21CCaL4CsKqJmLo3hF2JkDVeRNvUmJ5JGg2Ks+VsSRIEiEEFeRY8ccXpuTSBATXQYoShWRhfIm&#10;piESj0xeIBrUCryUBfFA6KlJFtGESEpUelxKBUzCpd+QRACma8EcXj6N7QsY9uIN7yApdpoxk8Ny&#10;jk6K8E60ehb3gsM7cQIOVeNq8rW6vHxxRy+VRTU5JEEqkKQ0gSIAUpqCnxSNyPsIBQUBGZAISTze&#10;wjioa+hTEUpeOGnDRJ3tZehtggLNOj/ZqQvHQw/NfI+IiKyEaJ3P74y/SWyuEW7byFJu2UhGyu8B&#10;6t5jIo8vmhFr7Pi85brvUvJ6O2uGdXrlpWS96CkhWBA8ZpSt32my4pM/7/AVg3+fm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eRi8nbgAAAAh&#10;AQAAGQAAAGRycy9fcmVscy9lMm9Eb2MueG1sLnJlbHOFz7FqxDAMBuC90Hcw2hslHcpR4mQ5DrKW&#10;FG41jpKYxLKxnNJ7+3rswcENGoTQ90tt/+t39UNJXGANTVWDIrZhcrxo+B4vbydQkg1PZg9MGm4k&#10;0HevL+0X7SaXJVldFFUUFg1rzvETUexK3kgVInGZzCF5k0ubFozGbmYhfK/rD0z/DejuTDVMGtIw&#10;NaDGWyzJz+0wz87SOdjDE+cHEWgPycFf/V5QkxbKGhxvWKqpyqGAXYt3j3V/UEsDBBQAAAAIAIdO&#10;4kADFSnaBQEAAC0CAAATAAAAW0NvbnRlbnRfVHlwZXNdLnhtbJWRwU7DMBBE70j8g+UrSpz2gBBq&#10;0gMpR0CofIBlbxKr9trymtD+PU7aXhCl4uCDvTNvRuvVeu8sGyGS8VjzRVlxBqi8NtjX/GP7XDxw&#10;RkmiltYj1PwAxNfN7c1qewhALLuRaj6kFB6FIDWAk1T6AJgnnY9OpnyNvQhS7WQPYllV90J5TICp&#10;SBODN6sWOvlpE9vs8/OxSQRLnD0dhVNWzWUI1iiZclMxov6RUpwSyuycNTSYQHe5Bhe/JkyTywEn&#10;32teTTQa2JuM6UW6XEPoSEL7L4wwln9DppaOCt91RkHZRmqz7R3Gc6tLdFj61qv/wjez6xrb4E7k&#10;s7hCzxJnzywxf3bzDVBLAQIUABQAAAAIAIdO4kADFSnaBQEAAC0CAAATAAAAAAAAAAEAIAAAAKMI&#10;AABbQ29udGVudF9UeXBlc10ueG1sUEsBAhQACgAAAAAAh07iQAAAAAAAAAAAAAAAAAYAAAAAAAAA&#10;AAAQAAAAbgYAAF9yZWxzL1BLAQIUABQAAAAIAIdO4kCKFGY80QAAAJQBAAALAAAAAAAAAAEAIAAA&#10;AJIGAABfcmVscy8ucmVsc1BLAQIUAAoAAAAAAIdO4kAAAAAAAAAAAAAAAAAEAAAAAAAAAAAAEAAA&#10;AAAAAABkcnMvUEsBAhQACgAAAAAAh07iQAAAAAAAAAAAAAAAAAoAAAAAAAAAAAAQAAAAjAcAAGRy&#10;cy9fcmVscy9QSwECFAAUAAAACACHTuJAeRi8nbgAAAAhAQAAGQAAAAAAAAABACAAAAC0BwAAZHJz&#10;L19yZWxzL2Uyb0RvYy54bWwucmVsc1BLAQIUABQAAAAIAIdO4kCqjcHV0AAAAAYBAAAPAAAAAAAA&#10;AAEAIAAAACIAAABkcnMvZG93bnJldi54bWxQSwECFAAUAAAACACHTuJAjH91OqEBAACIAwAADgAA&#10;AAAAAAABACAAAAAfAQAAZHJzL2Uyb0RvYy54bWxQSwECFAAKAAAAAACHTuJAAAAAAAAAAAAAAAAA&#10;CAAAAAAAAAAAABAAAADsAgAAZHJzL2luay9QSwECFAAUAAAACACHTuJAZX35Qi4DAABQCQAAEAAA&#10;AAAAAAABACAAAAASAwAAZHJzL2luay9pbmsxLnhtbFBLBQYAAAAACgAKAEwCAADZCQAAAAA=&#10;">
                            <v:imagedata r:id="rId11" o:title=""/>
                            <o:lock v:ext="edit"/>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274320</wp:posOffset>
                            </wp:positionH>
                            <wp:positionV relativeFrom="paragraph">
                              <wp:posOffset>154305</wp:posOffset>
                            </wp:positionV>
                            <wp:extent cx="52705" cy="104140"/>
                            <wp:effectExtent l="0" t="0" r="0" b="0"/>
                            <wp:wrapNone/>
                            <wp:docPr id="3" name="墨迹 3"/>
                            <wp:cNvGraphicFramePr/>
                            <a:graphic xmlns:a="http://schemas.openxmlformats.org/drawingml/2006/main">
                              <a:graphicData uri="http://schemas.microsoft.com/office/word/2010/wordprocessingInk">
                                <mc:AlternateContent xmlns:a14="http://schemas.microsoft.com/office/drawing/2010/main">
                                  <mc:Choice Requires="a14">
                                    <w14:contentPart bwMode="clr" r:id="rId12">
                                      <w14:nvContentPartPr>
                                        <w14:cNvPr id="3" name="墨迹 3"/>
                                        <w14:cNvContentPartPr/>
                                      </w14:nvContentPartPr>
                                      <w14:xfrm>
                                        <a:off x="2568575" y="7227570"/>
                                        <a:ext cx="52705" cy="104140"/>
                                      </w14:xfrm>
                                    </w14:contentPart>
                                  </mc:Choice>
                                </mc:AlternateContent>
                              </a:graphicData>
                            </a:graphic>
                          </wp:anchor>
                        </w:drawing>
                      </mc:Choice>
                      <mc:Fallback>
                        <w:pict>
                          <v:shape id="_x0000_s1026" o:spid="_x0000_s1026" o:spt="75" style="position:absolute;left:0pt;margin-left:21.6pt;margin-top:12.15pt;height:8.2pt;width:4.15pt;z-index:251660288;mso-width-relative:page;mso-height-relative:page;" coordsize="21600,21600" o:gfxdata="UEsDBAoAAAAAAIdO4kAAAAAAAAAAAAAAAAAEAAAAZHJzL1BLAwQUAAAACACHTuJA91PnxtQAAAAH&#10;AQAADwAAAGRycy9kb3ducmV2LnhtbE2OzU7DMBCE70i8g7VIXFDrJG0qFOJUCITEEVoOHO14m0TE&#10;6yh2k/Tt2Z7gOD+a+cr94nox4Rg6TwrSdQICqfa2o0bB1/Ft9QgiRE1W955QwQUD7Kvbm1IX1s/0&#10;idMhNoJHKBRaQRvjUEgZ6hadDms/IHF28qPTkeXYSDvqmcddL7Mk2UmnO+KHVg/40mL9czg7BeG5&#10;N+n794fJX5fOTA+X+WTMrNT9XZo8gYi4xL8yXPEZHSpmMv5MNohewXaTcVNBtt2A4DzPWZurn4Os&#10;Svmfv/oFUEsDBBQAAAAIAIdO4kATLUzmnwEAAIkDAAAOAAAAZHJzL2Uyb0RvYy54bWytU0Fu2zAQ&#10;vBfoHwjeY4myZBmC5RxiFMihjg/tAxiKtIiKpLCkLfs7PfULPeU1BfqMriyrdlIECILeuJzl7MwO&#10;uLg9mIbsJXjtbEnZJKZEWuEqbbcl/frl082cEh+4rXjjrCzpUXp6u/z4YdG1hUxc7ZpKAkES64uu&#10;LWkdQltEkRe1NNxPXCstgsqB4QFL2EYV8A7ZTRMlcTyLOgdVC05I7/F2NYD0zAhvIXRKaSFXTuyM&#10;tGFgBdnwgJZ8rVtPlye1SkkRHpTyMpCmpLNphmbDeMBRLGdpRskjnlg6jWm0XPBiC7yttTgL4m8R&#10;9MKh4dqihL9UKx442YH+h8poAc47FSbCmWiwddoPemLxi03d22+9L5aKHRTC2YDeNxzCmMUJeM8I&#10;0+AKus+uwrRFA/85CgKFrkoK9xW7yLf7u4uBDVxsrfcbIH3/lBLLDSr69f3H76efZNqHM5pfP3+O&#10;SHSGXiM+KDB9Irhjcihpks3mWY7RH0uaJ0me5efw5SEQgQ1ZkscIC8RZnLL0BI9DBrKxuooCdTwL&#10;/bruNV79oOUfUEsDBAoAAAAAAIdO4kAAAAAAAAAAAAAAAAAIAAAAZHJzL2luay9QSwMEFAAAAAgA&#10;h07iQNLkVEXNAgAAzAcAABAAAABkcnMvaW5rL2luazEueG1stVVda9swFH0f7D8I9aEvdizJH01C&#10;0z4MCoMNytrB9ug6amJqy0GWk/Tf71pXUhKaFgbbS9DR/TznXivXt/u2IVup+7pTC8onjBKpqm5Z&#10;q9WC/ny8i6eU9KZUy7LplFzQV9nT25vPn65r9dI2c/glkEH146ltFnRtzGaeJLvdbrJLJ51eJYKx&#10;NPmqXr5/ozcuaimfa1UbKNn7q6pTRu7NmGxeLxe0MnsW/CH3QzfoSgbzeKOrg4fRZSXvOt2WJmRc&#10;l0rJhqiyhb5/UWJeN3Cooc5KakoG6KCHQi1Nzof8/vuQuzchbbkHWRkDXV3BpdyOFRMr2Pz9xu91&#10;t5Ha1PKgETJyhldSIbbkkKWWfdcMo7CUbMtmAL5iOkmzIsuLYiZmPM1CHzw5Q/1tblDhv+UGud7N&#10;zY8aPZXM0T7Wx4kZ9sQP1NSthO1tN2FxTA+TGK8fjLY7LpjIY8Zjlj8KNhfFPL06Go9bS5/vSQ/9&#10;OuR60ocFtJagHrLa1UuzDoNgE5YWaT7NeVEUacrFLDA8HsS5RGtZr9bmX2SquqaD3Xe7cQF7Oa5m&#10;+ADOFX+uzWP3ZdBbGeL4xxH1SnVa3sMy9oM+RNk6blK2UPgIzrwH9rsgTv4f8nlBL+yTQGwkXlj9&#10;02yag7SMEZ6DtO6csTS6jDNruMzS0X45jaiwJxpzeOiANy8iIcZTzDOXIlxYD8Kvoik6IBZRjAG5&#10;u41imzK+Qgx2xAc7+tv8cRFhq/Y3Fh8iWzDGvliE8TYr4dFRTSIcQhuLMM56gA3bxizQHMJTo0fY&#10;OchopWCOKREzS80zI/CgWMUcU4/BXthAjoTTKEYNsNcichIhzL3VqRkhUSde6oTBbhki7D2IhjS5&#10;nwe6AkQ2wYrlgtWWIwiBoXNzhE9DTyNRQfT3OrpufVG3GUAcQ92v7xBhFooiLtz0/B76aXrM3eSF&#10;a5Wd/HGELwhevp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HkYvJ24AAAAIQEAABkAAABkcnMvX3JlbHMvZTJvRG9jLnhtbC5yZWxzhc+xasQw&#10;DAbgvdB3MNobJR3KUeJkOQ6ylhRuNY6SmMSysZzSe/t67MHBDRqE0PdLbf/rd/VDSVxgDU1VgyK2&#10;YXK8aPgeL28nUJINT2YPTBpuJNB3ry/tF+0mlyVZXRRVFBYNa87xE1HsSt5IFSJxmcwheZNLmxaM&#10;xm5mIXyv6w9M/w3o7kw1TBrSMDWgxlssyc/tMM/O0jnYwxPnBxFoD8nBX/1eUJMWyhocb1iqqcqh&#10;gF2Ld491f1BLAwQUAAAACACHTuJAAxUp2gUBAAAtAgAAEwAAAFtDb250ZW50X1R5cGVzXS54bWyV&#10;kcFOwzAQRO9I/IPlK0qc9oAQatIDKUdAqHyAZW8Sq/ba8prQ/j1O2l4QpeLgg70zb0br1XrvLBsh&#10;kvFY80VZcQaovDbY1/xj+1w8cEZJopbWI9T8AMTXze3NansIQCy7kWo+pBQehSA1gJNU+gCYJ52P&#10;TqZ8jb0IUu1kD2JZVfdCeUyAqUgTgzerFjr5aRPb7PPzsUkES5w9HYVTVs1lCNYomXJTMaL+kVKc&#10;EsrsnDU0mEB3uQYXvyZMk8sBJ99rXk00GtibjOlFulxD6EhC+y+MMJZ/Q6aWjgrfdUZB2UZqs+0d&#10;xnOrS3RY+tar/8I3s+sa2+BO5LO4Qs8SZ88sMX928w1QSwECFAAUAAAACACHTuJAAxUp2gUBAAAt&#10;AgAAEwAAAAAAAAABACAAAABECAAAW0NvbnRlbnRfVHlwZXNdLnhtbFBLAQIUAAoAAAAAAIdO4kAA&#10;AAAAAAAAAAAAAAAGAAAAAAAAAAAAEAAAAA8GAABfcmVscy9QSwECFAAUAAAACACHTuJAihRmPNEA&#10;AACUAQAACwAAAAAAAAABACAAAAAzBgAAX3JlbHMvLnJlbHNQSwECFAAKAAAAAACHTuJAAAAAAAAA&#10;AAAAAAAABAAAAAAAAAAAABAAAAAAAAAAZHJzL1BLAQIUAAoAAAAAAIdO4kAAAAAAAAAAAAAAAAAK&#10;AAAAAAAAAAAAEAAAAC0HAABkcnMvX3JlbHMvUEsBAhQAFAAAAAgAh07iQHkYvJ24AAAAIQEAABkA&#10;AAAAAAAAAQAgAAAAVQcAAGRycy9fcmVscy9lMm9Eb2MueG1sLnJlbHNQSwECFAAUAAAACACHTuJA&#10;91PnxtQAAAAHAQAADwAAAAAAAAABACAAAAAiAAAAZHJzL2Rvd25yZXYueG1sUEsBAhQAFAAAAAgA&#10;h07iQBMtTOafAQAAiQMAAA4AAAAAAAAAAQAgAAAAIwEAAGRycy9lMm9Eb2MueG1sUEsBAhQACgAA&#10;AAAAh07iQAAAAAAAAAAAAAAAAAgAAAAAAAAAAAAQAAAA7gIAAGRycy9pbmsvUEsBAhQAFAAAAAgA&#10;h07iQNLkVEXNAgAAzAcAABAAAAAAAAAAAQAgAAAAFAMAAGRycy9pbmsvaW5rMS54bWxQSwUGAAAA&#10;AAoACgBMAgAAegkAAAAA&#10;">
                            <v:imagedata r:id="rId13" o:title=""/>
                            <o:lock v:ext="edit"/>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331470</wp:posOffset>
                            </wp:positionH>
                            <wp:positionV relativeFrom="paragraph">
                              <wp:posOffset>109855</wp:posOffset>
                            </wp:positionV>
                            <wp:extent cx="5715" cy="4445"/>
                            <wp:effectExtent l="0" t="0" r="0" b="0"/>
                            <wp:wrapNone/>
                            <wp:docPr id="4" name="墨迹 4"/>
                            <wp:cNvGraphicFramePr/>
                            <a:graphic xmlns:a="http://schemas.openxmlformats.org/drawingml/2006/main">
                              <a:graphicData uri="http://schemas.microsoft.com/office/word/2010/wordprocessingInk">
                                <mc:AlternateContent xmlns:a14="http://schemas.microsoft.com/office/drawing/2010/main">
                                  <mc:Choice Requires="a14">
                                    <w14:contentPart bwMode="clr" r:id="rId14">
                                      <w14:nvContentPartPr>
                                        <w14:cNvPr id="4" name="墨迹 4"/>
                                        <w14:cNvContentPartPr/>
                                      </w14:nvContentPartPr>
                                      <w14:xfrm>
                                        <a:off x="2625725" y="7183120"/>
                                        <a:ext cx="5715" cy="4445"/>
                                      </w14:xfrm>
                                    </w14:contentPart>
                                  </mc:Choice>
                                </mc:AlternateContent>
                              </a:graphicData>
                            </a:graphic>
                          </wp:anchor>
                        </w:drawing>
                      </mc:Choice>
                      <mc:Fallback>
                        <w:pict>
                          <v:shape id="_x0000_s1026" o:spid="_x0000_s1026" o:spt="75" style="position:absolute;left:0pt;margin-left:26.1pt;margin-top:8.65pt;height:0.35pt;width:0.45pt;z-index:251661312;mso-width-relative:page;mso-height-relative:page;" coordsize="21600,21600" o:gfxdata="UEsDBAoAAAAAAIdO4kAAAAAAAAAAAAAAAAAEAAAAZHJzL1BLAwQUAAAACACHTuJAf4rYY9UAAAAH&#10;AQAADwAAAGRycy9kb3ducmV2LnhtbE2OO0/DMBSFdyT+g3WR2KidVIUqxOlABUJJF0KHjG58SaLG&#10;11HsPvj3XCYYz0PnfPnm6kZxxjkMnjQkCwUCqfV2oE7D/vP1YQ0iREPWjJ5QwzcG2BS3N7nJrL/Q&#10;B57r2AkeoZAZDX2MUyZlaHt0Jiz8hMTZl5+diSznTtrZXHjcjTJV6lE6MxA/9GbClx7bY31yGmRT&#10;bd/Lshnqqtxvd81x175VQev7u0Q9g4h4jX9l+MVndCiY6eBPZIMYNazSlJvsPy1BcL5aJiAOrNcK&#10;ZJHL//zFD1BLAwQUAAAACACHTuJAKxxiZ5IBAAB4AwAADgAAAGRycy9lMm9Eb2MueG1srVNLTsMw&#10;EN0jcQfLe5ompB9FTbugQuqC0gUcwDh2YxHb0dht2uuw4gqsOA0Sx2DStPSDkCrExsr4jd+bN08Z&#10;jFa6IEsBTlmT0rDVpkQYbjNl5il9fLi96lPiPDMZK6wRKV0LR0fDy4tBVSYisrktMgEESYxLqjKl&#10;ufdlEgSO50Iz17KlMAhKC5p5LGEeZMAqZNdFELXb3aCykJVguXAOb8cNSLeMcA6hlVJxMbZ8oYXx&#10;DSuIgnm05HJVOjrcTCul4P5eSic8KVKKTv3mRBH8fqrPYDhgyRxYmSu+HYGdM8KJJ82UQdFvqjHz&#10;jCxA/aDSioN1VvoWtzpojGw2gi7C9sluJua5dhLGfAEJt8aj2xkDv9v+BviLhC7QfnVnM8yXF/DP&#10;yyeQqCylMMnC/fhmebM3MIO9relyBqTujykxTONEHy+vn+9vJK7D2ZmfHj9HJNhCvxGvJOg6Edwx&#10;WaU06kadXtShZJ3SXti/DqNt+GLlCceGTi9ElCMcx3Gn1t4pNEy76iAHbDlK/LCunx/8MMMvUEsD&#10;BAoAAAAAAIdO4kAAAAAAAAAAAAAAAAAIAAAAZHJzL2luay9QSwMEFAAAAAgAh07iQGAeE8kMAgAA&#10;OQUAABAAAABkcnMvaW5rL2luazEueG1stVTfb5swEH6ftP/Bch/6UoINmBBU0odJkSZtUtVm0vZI&#10;wQlWwY6MyY//fochTqrSSZO2F8vccd/dffed7x+OTY32XLdCyQzTGcGIy0KVQm4z/GO98hKMWpPL&#10;Mq+V5Bk+8RY/LD9/uhfytalTOBEgyLa/NXWGK2N2qe8fDofZIZwpvfUDQkL/q3z9/g0vx6iSb4QU&#10;BlK2Z1OhpOFH04OlosxwYY7E/Q/Yz6rTBXfu3qKLyx9G5wVfKd3kxiFWuZS8RjJvoO6fGJnTDi4C&#10;8my5xqiDClpI1GB/OuTX34es3oU0+RFoJQR4HROWfN9n9C1h6ceFP2q149oIfuFo6Gh0nFAxfNvm&#10;hi41b1Xd9cRitM/rDvoNklkYxRGL40WwoGHk6qD+ROvvsYGF/4YNdH2ITa8KfUvZ2PY1PyOZTifn&#10;gRrRcFBvs3PCMS1Mojc/G201HpCAeYR6hK0DkgZxGs6vxjPK8oz3oru2clgv+iJA63HsDV0dRGkq&#10;NwgyIzSOkoiyhNKQLRLYrAkNTgFVXGwr8y+QClUr0P6ojRvQZS9NtwBTyTfCrNWXTu+5i6N/jhBb&#10;qTR/BDG2nb5E2TzjpGwitwQT74HdCzTS/8Q3Gb6xTwKykYPB8h+ymAG1hCDKGDnfk2Rxd+tFYe+4&#10;Hc754g7TeW/AsT29aH5HmQ21ZvttXcieXsTebKkrF2S2/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HcHAABbQ29udGVudF9UeXBl&#10;c10ueG1sUEsBAhQACgAAAAAAh07iQAAAAAAAAAAAAAAAAAYAAAAAAAAAAAAQAAAAQgUAAF9yZWxz&#10;L1BLAQIUABQAAAAIAIdO4kCKFGY80QAAAJQBAAALAAAAAAAAAAEAIAAAAGYFAABfcmVscy8ucmVs&#10;c1BLAQIUAAoAAAAAAIdO4kAAAAAAAAAAAAAAAAAEAAAAAAAAAAAAEAAAAAAAAABkcnMvUEsBAhQA&#10;CgAAAAAAh07iQAAAAAAAAAAAAAAAAAoAAAAAAAAAAAAQAAAAYAYAAGRycy9fcmVscy9QSwECFAAU&#10;AAAACACHTuJAeRi8nbgAAAAhAQAAGQAAAAAAAAABACAAAACIBgAAZHJzL19yZWxzL2Uyb0RvYy54&#10;bWwucmVsc1BLAQIUABQAAAAIAIdO4kB/ithj1QAAAAcBAAAPAAAAAAAAAAEAIAAAACIAAABkcnMv&#10;ZG93bnJldi54bWxQSwECFAAUAAAACACHTuJAKxxiZ5IBAAB4AwAADgAAAAAAAAABACAAAAAkAQAA&#10;ZHJzL2Uyb0RvYy54bWxQSwECFAAKAAAAAACHTuJAAAAAAAAAAAAAAAAACAAAAAAAAAAAABAAAADi&#10;AgAAZHJzL2luay9QSwECFAAUAAAACACHTuJAYB4TyQwCAAA5BQAAEAAAAAAAAAABACAAAAAIAwAA&#10;ZHJzL2luay9pbmsxLnhtbFBLBQYAAAAACgAKAEwCAACtCAAAAAA=&#10;">
                            <v:imagedata r:id="rId15" o:title=""/>
                            <o:lock v:ext="edit"/>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393065</wp:posOffset>
                            </wp:positionH>
                            <wp:positionV relativeFrom="paragraph">
                              <wp:posOffset>143510</wp:posOffset>
                            </wp:positionV>
                            <wp:extent cx="84455" cy="136525"/>
                            <wp:effectExtent l="0" t="0" r="0" b="0"/>
                            <wp:wrapNone/>
                            <wp:docPr id="5" name="墨迹 5"/>
                            <wp:cNvGraphicFramePr/>
                            <a:graphic xmlns:a="http://schemas.openxmlformats.org/drawingml/2006/main">
                              <a:graphicData uri="http://schemas.microsoft.com/office/word/2010/wordprocessingInk">
                                <mc:AlternateContent xmlns:a14="http://schemas.microsoft.com/office/drawing/2010/main">
                                  <mc:Choice Requires="a14">
                                    <w14:contentPart bwMode="clr" r:id="rId16">
                                      <w14:nvContentPartPr>
                                        <w14:cNvPr id="5" name="墨迹 5"/>
                                        <w14:cNvContentPartPr/>
                                      </w14:nvContentPartPr>
                                      <w14:xfrm>
                                        <a:off x="2687320" y="7216775"/>
                                        <a:ext cx="84455" cy="136525"/>
                                      </w14:xfrm>
                                    </w14:contentPart>
                                  </mc:Choice>
                                </mc:AlternateContent>
                              </a:graphicData>
                            </a:graphic>
                          </wp:anchor>
                        </w:drawing>
                      </mc:Choice>
                      <mc:Fallback>
                        <w:pict>
                          <v:shape id="_x0000_s1026" o:spid="_x0000_s1026" o:spt="75" style="position:absolute;left:0pt;margin-left:30.95pt;margin-top:11.3pt;height:10.75pt;width:6.65pt;z-index:251662336;mso-width-relative:page;mso-height-relative:page;" coordsize="21600,21600" o:gfxdata="UEsDBAoAAAAAAIdO4kAAAAAAAAAAAAAAAAAEAAAAZHJzL1BLAwQUAAAACACHTuJAy1ZbhdgAAAAH&#10;AQAADwAAAGRycy9kb3ducmV2LnhtbE2OwU7DMBBE70j8g7VIXBB1EkVum2ZTqQgORVzaUs5usiQR&#10;8TqKnabw9ZhTOY5m9Obl64vpxJkG11pGiGcRCOLSVi3XCO+Hl8cFCOc1V7qzTAjf5GBd3N7kOqvs&#10;xDs6730tAoRdphEa7/tMSlc2ZLSb2Z44dJ92MNqHONSyGvQU4KaTSRQpaXTL4aHRPT01VH7tR4Pg&#10;6fg6fpQqfdttj+nm+eFnM20PiPd3cbQC4enir2P40w/qUASnkx25cqJDUPEyLBGSRIEI/XwxB3FC&#10;SJUCWeTyv3/xC1BLAwQUAAAACACHTuJALuWyZZ0BAACIAwAADgAAAGRycy9lMm9Eb2MueG1srVNL&#10;TsMwEN0jcQfLe5pP27SKmrKgQuoC6AIOYBy7sYjtaOw25TqsuAIrToPEMZikDW1BSAixy+TZb96b&#10;N56cb3RJ1gKcsiajUS+kRBhuc2WWGb27vTwbU+I8MzkrrREZfRSOnk9PTyZ1lYrYFrbMBRAkMS6t&#10;q4wW3ldpEDheCM1cz1bCICgtaOaxhGWQA6uRXZdBHIZJUFvIK7BcOId/Z1uQ7hjhN4RWSsXFzPKV&#10;FsZvWUGUzKMlV6jK0WmrVkrB/Y2UTnhSZnSUxGjWdx/YKhok4ZCS+4yO4+GQBtMJS5fAqkLxnR72&#10;Gz1fDGqmDCr4pJoxz8gK1DcqrThYZ6XvcauDrat2PGgpCr8Mam4eGlvRgK8g5dZ4tL5g4LsoWuAv&#10;LXSJE6ivbI5h8xL+OQkCqcozCvM82ss364u9gQXsbV2vF0Ca85iKYRoVvT09v7++kDaczvz18XWM&#10;LdhBPxFvJOgmEZwx2WQ0TsajfrMMj7gMcZSMRrvwxcYTjgfGgwHuA+GIR/1kGLdw12RL1lUHUaCO&#10;o9AP60bjwQOafgBQSwMECgAAAAAAh07iQAAAAAAAAAAAAAAAAAgAAABkcnMvaW5rL1BLAwQUAAAA&#10;CACHTuJARQOR/XEDAAA6CgAAEAAAAGRycy9pbmsvaW5rMS54bWy1VsFu2zAMvQ/YPwjqoRcrkWTH&#10;bYKmPQwoMGADhrUDtmOaqInR2A5spWn/fjRJKU6aDhiwXRpTJB/JxydtVzcv5Vo8u6Yt6moqzUBL&#10;4ap5vSiq5VT+uL9Vl1K0flYtZuu6clP56lp5c/3xw1VRPZXrCfwVgFC13Ve5nsqV95vJcLjb7Qa7&#10;dFA3y6HVOh1+rp6+fpHXnLVwj0VVeCjZhqN5XXn34juwSbGYyrl/0TEesO/qbTN30d2dNPN9hG9m&#10;c3dbN+XMR8TVrKrcWlSzEvr+KYV/3cBHAXWWrpFiCx20UKiUw9Mpv/4+5fZNSjl7AVq1Bl654MI9&#10;dxWHSNjk/ca/NfXGNb5we45oIna8ijnZOBxN2bi2Xm87YqV4nq23MK+9HKRZno3yfGzHJs1iH2Z4&#10;YvS32MDCf8MGut7FNr1GDynjsfv8MJlRJ2GhvigdqLfcROH4FjbRHd/5BjVutR0pbZQe3Vs9sfkk&#10;veith2UZ8B6abbuKWA/NXoDoiezRVLti4VdxEXqgM5tba2y3h9F4HAfs7+EUzsoVy5X/B0Dzel2D&#10;8lkZZ6DKTphR/qdqPxb+vv60bZ5dzDN/ziiWVd24byDFdtvss7AO7wkLxStw4jXAWyGY/O/ucSrP&#10;8EEQmEkHyH6a5yMgVmthRiMDTw1+p1mWnKvsojPOlbnE3zRPZN59SYMOaWyCH5CKWcYk6BeGfyzb&#10;GKXS4O2ClUkpWcGT2ZnZsRfPBXt1olKsgX+VPTTTRFn0ZogFJiXjIQRTKjqFZisA0SlF6KRf1CZM&#10;DEIbskK7fZ9iHzUrgkUVDqzoC71gBR5NcwUkM2Aq4i5UP/TRuKECd8udnbJ0QhnEi0lMrzwUPDBt&#10;MkYyQyyuVJlg8nAYEzhloYDJjZHX8LI4GdyKxkAsoIRnpB2ASd6wEmJHsaQYOvBAbZAKebOUDlVI&#10;OoFp2iyxAh30TZgcV0xshHZFYJC1FVO5MWTnKBiAaagQzL8Ef7AZ3nasQpFhaLKYc87ju8YW+eAi&#10;UEFKjPeC8o+6i8FHXlqqSJkGS1RngSRLFL51U02+/HF0agzuILlJv7Gx6CXQOAUFkxnbjrk0I3o7&#10;+XBh3gDtGc9AxHxBKSSIgJfCkgihPRhA5VMGpfZYFyw66o4fKoWPooI3j7rkyxPeQEW3Z3zw35T4&#10;YsO/s9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6ggAAFtDb250ZW50X1R5cGVzXS54bWxQSwECFAAKAAAAAACHTuJAAAAAAAAA&#10;AAAAAAAABgAAAAAAAAAAABAAAAC1BgAAX3JlbHMvUEsBAhQAFAAAAAgAh07iQIoUZjzRAAAAlAEA&#10;AAsAAAAAAAAAAQAgAAAA2QYAAF9yZWxzLy5yZWxzUEsBAhQACgAAAAAAh07iQAAAAAAAAAAAAAAA&#10;AAQAAAAAAAAAAAAQAAAAAAAAAGRycy9QSwECFAAKAAAAAACHTuJAAAAAAAAAAAAAAAAACgAAAAAA&#10;AAAAABAAAADTBwAAZHJzL19yZWxzL1BLAQIUABQAAAAIAIdO4kB5GLyduAAAACEBAAAZAAAAAAAA&#10;AAEAIAAAAPsHAABkcnMvX3JlbHMvZTJvRG9jLnhtbC5yZWxzUEsBAhQAFAAAAAgAh07iQMtWW4XY&#10;AAAABwEAAA8AAAAAAAAAAQAgAAAAIgAAAGRycy9kb3ducmV2LnhtbFBLAQIUABQAAAAIAIdO4kAu&#10;5bJlnQEAAIgDAAAOAAAAAAAAAAEAIAAAACcBAABkcnMvZTJvRG9jLnhtbFBLAQIUAAoAAAAAAIdO&#10;4kAAAAAAAAAAAAAAAAAIAAAAAAAAAAAAEAAAAPACAABkcnMvaW5rL1BLAQIUABQAAAAIAIdO4kBF&#10;A5H9cQMAADoKAAAQAAAAAAAAAAEAIAAAABYDAABkcnMvaW5rL2luazEueG1sUEsFBgAAAAAKAAoA&#10;TAIAACAKAAAAAA==&#10;">
                            <v:imagedata r:id="rId17" o:title=""/>
                            <o:lock v:ext="edit"/>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548005</wp:posOffset>
                            </wp:positionH>
                            <wp:positionV relativeFrom="paragraph">
                              <wp:posOffset>130175</wp:posOffset>
                            </wp:positionV>
                            <wp:extent cx="62230" cy="149225"/>
                            <wp:effectExtent l="0" t="0" r="0" b="0"/>
                            <wp:wrapNone/>
                            <wp:docPr id="6" name="墨迹 6"/>
                            <wp:cNvGraphicFramePr/>
                            <a:graphic xmlns:a="http://schemas.openxmlformats.org/drawingml/2006/main">
                              <a:graphicData uri="http://schemas.microsoft.com/office/word/2010/wordprocessingInk">
                                <mc:AlternateContent xmlns:a14="http://schemas.microsoft.com/office/drawing/2010/main">
                                  <mc:Choice Requires="a14">
                                    <w14:contentPart bwMode="clr" r:id="rId18">
                                      <w14:nvContentPartPr>
                                        <w14:cNvPr id="6" name="墨迹 6"/>
                                        <w14:cNvContentPartPr/>
                                      </w14:nvContentPartPr>
                                      <w14:xfrm>
                                        <a:off x="2842260" y="7203440"/>
                                        <a:ext cx="62230" cy="149225"/>
                                      </w14:xfrm>
                                    </w14:contentPart>
                                  </mc:Choice>
                                </mc:AlternateContent>
                              </a:graphicData>
                            </a:graphic>
                          </wp:anchor>
                        </w:drawing>
                      </mc:Choice>
                      <mc:Fallback>
                        <w:pict>
                          <v:shape id="_x0000_s1026" o:spid="_x0000_s1026" o:spt="75" style="position:absolute;left:0pt;margin-left:43.15pt;margin-top:10.25pt;height:11.75pt;width:4.9pt;z-index:251663360;mso-width-relative:page;mso-height-relative:page;" coordsize="21600,21600" o:gfxdata="UEsDBAoAAAAAAIdO4kAAAAAAAAAAAAAAAAAEAAAAZHJzL1BLAwQUAAAACACHTuJAv2/0t9UAAAAH&#10;AQAADwAAAGRycy9kb3ducmV2LnhtbE2OwW7CMBBE75X6D9Yi9Vbs0BKFEIcDElKl9gL0AzbxNgnE&#10;6yh2IP37uqf2OJrRm1fsZtuLG42+c6whWSoQxLUzHTcaPs+H5wyED8gGe8ek4Zs87MrHhwJz4+58&#10;pNspNCJC2OeooQ1hyKX0dUsW/dINxLH7cqPFEOPYSDPiPcJtL1dKpdJix/GhxYH2LdXX02Q1cLK+&#10;1OGQvF33E75Xl24+0ses9dMiUVsQgebwN4Zf/agOZXSq3MTGi15Dlr7EpYaVWoOI/SaLudLwmm5A&#10;loX871/+AFBLAwQUAAAACACHTuJAR9Lv1J8BAACIAwAADgAAAGRycy9lMm9Eb2MueG1srVNBbtsw&#10;ELwX6B+IvdeSGEV1BMs51CiQQ1MfmgcwFGkRFUlhSVvOd3rqF3rqawr0GV1ZVu2kCBAEvWk5y9mZ&#10;HWpxvbct2ykMxrsKslkKTDnpa+M2Fdx9+fhuDixE4WrReqcqeFABrpdv3yz6rlTcN76tFTIicaHs&#10;uwqaGLsySYJslBVh5jvlCNQerYhU4iapUfTEbtuEp2mR9B7rDr1UIdDpagThyIgvIfRaG6lWXm6t&#10;cnFkRdWKSJZCY7oAy4NarZWMn7UOKrK2guJqfgksTh80ajy5pzVk+UUKyXIhyg2KrjHyqEe8RM8T&#10;g1YYRwr+Uq1EFGyL5h8qayT64HWcSW+T0dVhPWQpS58s6sZ9HWxludxiKb2LZH0tME5RHIDXjLAt&#10;sPv+k68pbNnif06CYWnqCvCmzk7y3e7DycAaT7Zud2tkQ38BzAlLin59+/775w9WDOFM5m8fXyck&#10;OULPEe812iER2jHbV8DnOecFvfyHCt7z9CLPj+GrfWSSGgrO6T0wSXiWX3F+OYyfhoxkU3UWBbU8&#10;Cv28Hq6f/UDLP1BLAwQKAAAAAACHTuJAAAAAAAAAAAAAAAAACAAAAGRycy9pbmsvUEsDBBQAAAAI&#10;AIdO4kAJOgV8FgMAAM8IAAAQAAAAZHJzL2luay9pbmsxLnhtbLVV22obMRB9L/QfhPKQl5Ut7c0X&#10;4uShECi0EJoU2sfNWrGX7MVo5Uv+vrOakew0TqHQvpg9Gs2ZOWdm11c3h6ZmO236qmsXXI0kZ7ot&#10;u2XVrhb8+8OtmHLW26JdFnXX6gV/0T2/uf744apqn5t6Dr8MGNp+eGrqBV9bu5mPx/v9frRPRp1Z&#10;jWMpk/Hn9vnrF35NWUv9VLWVhZK9Pyq71uqDHcjm1XLBS3uQ4T5w33dbU+oQHk5MebxhTVHq2840&#10;hQ2M66Jtdc3aooG+f3BmXzbwUEGdlTacbaGDHgo1fHw+5effp9y+SWmKA9gqJfhKBZd6N1QcO8Pm&#10;7zd+Z7qNNrbSR49QEQVeWInYiUOVRvddvR2M5WxX1FvQG09HSZqnWZ7P4plK0tCHGp+R/pYbXPhv&#10;3GDXu9zqpNHXlpHsU3/IzLAnfqC2ajRsb7MJi2N7mMRwfG+N2/FYxpmQSsjsIZbzOJ8nk5Px0Fp6&#10;vkez7deB69EcF9BFgnuoal8t7ToMQo5kMpsmMknVLMlUNoE368wOniNa62q1tv+CqezqDnafduMC&#10;9nJYzfACnCv+VNmH7tPW7HTIU3/OqFZtZ/QdLGO/NccsV4cm5QqFl+DM98C9F4zs/6afFvzCfRKY&#10;y8QD538ykxlYKyVTWaYUPSf5NLp0x5cinQzhyzji7oDnA+RZhFkuyDxyMZZHInWU+DuJRHYClYwE&#10;ZiXudOrDCJWKBNLMXBhuU8CdiixgRyqAPXYXlSMVUBw+w6AHw3nkspFDpL8h1yDmQ6LLw2wRkz6s&#10;LU+RUIQwW2Ee8whFowSJ9Ri2FhNCIT4P+/OIZuFFOAgFUdIZxBSR+hg1TN5hMz6GAtEukkTGkFxC&#10;JJCMoeo0RBmhUM9yYi8juX5gEQql+5GbZ6insClKjwg6VpFQjemgAiaOVxHlhCjBQyT3mycwCg1h&#10;1wJ3KaXN82HAuCWOmgHEXnF4fszomi+EKKUVeB0j76lDdIhukideC96EgnjJ0cAo6Rb6Fnvot4cu&#10;k6u0IrTt3nrUQ0uB7xmsD8qi2Kv/zvARgY//9S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eRi8nbgAAAAhAQAAGQAAAGRycy9fcmVscy9lMm9E&#10;b2MueG1sLnJlbHOFz7FqxDAMBuC90Hcw2hslHcpR4mQ5DrKWFG41jpKYxLKxnNJ7+3rswcENGoTQ&#10;90tt/+t39UNJXGANTVWDIrZhcrxo+B4vbydQkg1PZg9MGm4k0HevL+0X7SaXJVldFFUUFg1rzvET&#10;UexK3kgVInGZzCF5k0ubFozGbmYhfK/rD0z/DejuTDVMGtIwNaDGWyzJz+0wz87SOdjDE+cHEWgP&#10;ycFf/V5QkxbKGhxvWKqpyqGAXYt3j3V/UEsDBBQAAAAIAIdO4kADFSnaBQEAAC0CAAATAAAAW0Nv&#10;bnRlbnRfVHlwZXNdLnhtbJWRwU7DMBBE70j8g+UrSpz2gBBq0gMpR0CofIBlbxKr9trymtD+PU7a&#10;XhCl4uCDvTNvRuvVeu8sGyGS8VjzRVlxBqi8NtjX/GP7XDxwRkmiltYj1PwAxNfN7c1qewhALLuR&#10;aj6kFB6FIDWAk1T6AJgnnY9OpnyNvQhS7WQPYllV90J5TICpSBODN6sWOvlpE9vs8/OxSQRLnD0d&#10;hVNWzWUI1iiZclMxov6RUpwSyuycNTSYQHe5Bhe/JkyTywEn32teTTQa2JuM6UW6XEPoSEL7L4ww&#10;ln9DppaOCt91RkHZRmqz7R3Gc6tLdFj61qv/wjez6xrb4E7ks7hCzxJnzywxf3bzDVBLAQIUABQA&#10;AAAIAIdO4kADFSnaBQEAAC0CAAATAAAAAAAAAAEAIAAAAI4IAABbQ29udGVudF9UeXBlc10ueG1s&#10;UEsBAhQACgAAAAAAh07iQAAAAAAAAAAAAAAAAAYAAAAAAAAAAAAQAAAAWQYAAF9yZWxzL1BLAQIU&#10;ABQAAAAIAIdO4kCKFGY80QAAAJQBAAALAAAAAAAAAAEAIAAAAH0GAABfcmVscy8ucmVsc1BLAQIU&#10;AAoAAAAAAIdO4kAAAAAAAAAAAAAAAAAEAAAAAAAAAAAAEAAAAAAAAABkcnMvUEsBAhQACgAAAAAA&#10;h07iQAAAAAAAAAAAAAAAAAoAAAAAAAAAAAAQAAAAdwcAAGRycy9fcmVscy9QSwECFAAUAAAACACH&#10;TuJAeRi8nbgAAAAhAQAAGQAAAAAAAAABACAAAACfBwAAZHJzL19yZWxzL2Uyb0RvYy54bWwucmVs&#10;c1BLAQIUABQAAAAIAIdO4kC/b/S31QAAAAcBAAAPAAAAAAAAAAEAIAAAACIAAABkcnMvZG93bnJl&#10;di54bWxQSwECFAAUAAAACACHTuJAR9Lv1J8BAACIAwAADgAAAAAAAAABACAAAAAkAQAAZHJzL2Uy&#10;b0RvYy54bWxQSwECFAAKAAAAAACHTuJAAAAAAAAAAAAAAAAACAAAAAAAAAAAABAAAADvAgAAZHJz&#10;L2luay9QSwECFAAUAAAACACHTuJACToFfBYDAADPCAAAEAAAAAAAAAABACAAAAAVAwAAZHJzL2lu&#10;ay9pbmsxLnhtbFBLBQYAAAAACgAKAEwCAADECQAAAAA=&#10;">
                            <v:imagedata r:id="rId19" o:title=""/>
                            <o:lock v:ext="edit"/>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751840</wp:posOffset>
                            </wp:positionH>
                            <wp:positionV relativeFrom="paragraph">
                              <wp:posOffset>143510</wp:posOffset>
                            </wp:positionV>
                            <wp:extent cx="116840" cy="118745"/>
                            <wp:effectExtent l="0" t="0" r="0" b="0"/>
                            <wp:wrapNone/>
                            <wp:docPr id="8" name="墨迹 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
                                      <w14:nvContentPartPr>
                                        <w14:cNvPr id="8" name="墨迹 8"/>
                                        <w14:cNvContentPartPr/>
                                      </w14:nvContentPartPr>
                                      <w14:xfrm>
                                        <a:off x="3046095" y="7216775"/>
                                        <a:ext cx="116840" cy="118745"/>
                                      </w14:xfrm>
                                    </w14:contentPart>
                                  </mc:Choice>
                                </mc:AlternateContent>
                              </a:graphicData>
                            </a:graphic>
                          </wp:anchor>
                        </w:drawing>
                      </mc:Choice>
                      <mc:Fallback>
                        <w:pict>
                          <v:shape id="_x0000_s1026" o:spid="_x0000_s1026" o:spt="75" style="position:absolute;left:0pt;margin-left:59.2pt;margin-top:11.3pt;height:9.35pt;width:9.2pt;z-index:251665408;mso-width-relative:page;mso-height-relative:page;" coordsize="21600,21600" o:gfxdata="UEsDBAoAAAAAAIdO4kAAAAAAAAAAAAAAAAAEAAAAZHJzL1BLAwQUAAAACACHTuJA8SJzVNkAAAAJ&#10;AQAADwAAAGRycy9kb3ducmV2LnhtbE2Py2rDMBBF94H8g5hCN6GRbNwQXMshhBQKXbRN8wGKNbXd&#10;WCNjyXn06ztZtcvLHO6cW6wurhMnHELrSUMyVyCQKm9bqjXsP58fliBCNGRN5wk1XDHAqpxOCpNb&#10;f6YPPO1iLbiEQm40NDH2uZShatCZMPc9Et++/OBM5DjU0g7mzOWuk6lSC+lMS/yhMT1uGqyOu9Fp&#10;eAmvP7Nx871/s+utOl7H/n1dPWp9f5eoJxARL/EPhps+q0PJTgc/kg2i45wsM0Y1pOkCxA3IFI87&#10;aMiyFGRZyP8Lyl9QSwMEFAAAAAgAh07iQOYTmtKiAQAAigMAAA4AAABkcnMvZTJvRG9jLnhtbK1T&#10;QW7bMBC8B+gfCN5rkaotq4LlHGoUyKGpD8kDGIq0iIqksKQt5zs55Qs55TUF+oyuLCt2UhQIit64&#10;nNXszI64uNzbhuwUBONdSfmEUaKc9JVxm5Le3nz9mFMSonCVaLxTJb1XgV4uP1wsurZQqa99Uykg&#10;SOJC0bUlrWNsiyQJslZWhIlvlUNQe7AiYgmbpALRIbttkpSxLOk8VC14qULA29UA0iMjvIfQa22k&#10;Wnm5tcrFgRVUIyJaCrVpA10e1GqtZPyudVCRNCXN09mMkjgecBRPWYZXd3hiPGM0WS5EsQHR1kYe&#10;BYn3CHrj0ArjUMIL1UpEQbZg/qCyRoIPXseJ9DYZbB32g544e7OpK/ej98WncguF9C6i97WAOGZx&#10;AP5lhG1wBd03X2HasoH/HAWBwlQlhauKn+S73ZeTgTWcbF3v1kD6fvwLnbCo6OfD46/nJ5L34Yzm&#10;r19/jkhyhP5GvNdg+0Rwx2Rf0k9smrHPGP19Secpz+bz2RC+2kcisYHzLJ/i05DYwHk+nx7wccrA&#10;NlZnWaCQV6mf173Isye0/A1QSwMECgAAAAAAh07iQAAAAAAAAAAAAAAAAAgAAABkcnMvaW5rL1BL&#10;AwQUAAAACACHTuJAYo7GLG4DAABFCgAAEAAAAGRycy9pbmsvaW5rMS54bWy1Vk1P20AUvFfqf1gt&#10;By52suuPJEQEDpWQKrUSKlRqjyFZEovYRvaGwL/v8/tYJxCQKrWXyLNvd9682bHh/PK53Kgn17RF&#10;Xc20HRitXLWol0W1mumft1fxRKvWz6vlfFNXbqZfXKsvLz5/Oi+qh3IzhV8FDFXbPZWbmV57/zgd&#10;Dne73WCXDupmNUyMSYdfq4fv3/QFn1q6+6IqPLRsZWlRV949+45sWixneuGfTdgP3Df1tlm4UO5W&#10;mkW/wzfzhbuqm3LuA+N6XlVuo6p5Cbp/aeVfHuGhgD4r12i1BQUtNCr18PiR339/5OrNkXL+DLYa&#10;A75yw6V76joO0bDp+8Kvm/rRNb5wvUc0ERde1IIwDkdTNq6tN9vOWK2e5pstzJtMBmk2yvLR6Cw5&#10;s2kWdNjhkdHfcoML/40b7HqX2+4JPbSMx973h80MOZEL9UXpIL3lYwiOb+EmuuUb32DGE5PksbGx&#10;yW8TM01G03S8dz0cS+G7a7btOnDdNX0AsRLco6l2xdKvw0WYgcnG4yy3yThJzWSSjMKE+xdxjGjt&#10;itXa/wumRb2pIfucjRPIZRfN8AIca35f+Nv6y7Z5cuGc/fhEsarqxl1DGNtt05/CPnxT2Ci8BEe+&#10;B/heKLb/h7uf6RP8JCg8SQvof5bAB2YAUyib5xbeNHxOzTg6jbNxB05x6dRGetRBjVCnERYV74+w&#10;FlBKjPibRbQnQ5Qzoh1SI3RYS/Z3xvYASQ05oRYn1Kr7jZMoJj7U1EMU3G9+VSVoI/iGgxmCYoI8&#10;66si1qg10GLP+AwlpIwsjg4SSOiEi6iWRMJBMkbU7UlXTKqkRmKIk5Xy5GABqSEVUiQyKSracjCj&#10;MnySmgCkJmgACKDWJD+JLPvCQiKb40Q21FkpNYL9rBUHB246ntBtGSYnCEZwVcjFWZmXvFX9TFhg&#10;DGNQE3ITIEvF6+SpOBfiB0Mpiiq5GDwZshXa0gP+dmEiSF0heURC80tmSafhBB9BwMOr2FPSTWsf&#10;19gkapuynH5OkkkaRZ1oFO10eyrjm0/xThXspotgnEqZRs3CaQp18ImiMJIyCQi7CeaHPqU8PbnG&#10;iPMs01MNEoWBE1ZqhsPDS0arUttH/LWKOY+TiBMreQZeIpZAw7TELQvyfvdY4kndx2K9pb495vrB&#10;fyzh0w1/ci/+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7QgAAFtDb250ZW50X1R5cGVzXS54bWxQSwECFAAKAAAAAACHTuJAAAAA&#10;AAAAAAAAAAAABgAAAAAAAAAAABAAAAC4BgAAX3JlbHMvUEsBAhQAFAAAAAgAh07iQIoUZjzRAAAA&#10;lAEAAAsAAAAAAAAAAQAgAAAA3AYAAF9yZWxzLy5yZWxzUEsBAhQACgAAAAAAh07iQAAAAAAAAAAA&#10;AAAAAAQAAAAAAAAAAAAQAAAAAAAAAGRycy9QSwECFAAKAAAAAACHTuJAAAAAAAAAAAAAAAAACgAA&#10;AAAAAAAAABAAAADWBwAAZHJzL19yZWxzL1BLAQIUABQAAAAIAIdO4kB5GLyduAAAACEBAAAZAAAA&#10;AAAAAAEAIAAAAP4HAABkcnMvX3JlbHMvZTJvRG9jLnhtbC5yZWxzUEsBAhQAFAAAAAgAh07iQPEi&#10;c1TZAAAACQEAAA8AAAAAAAAAAQAgAAAAIgAAAGRycy9kb3ducmV2LnhtbFBLAQIUABQAAAAIAIdO&#10;4kDmE5rSogEAAIoDAAAOAAAAAAAAAAEAIAAAACgBAABkcnMvZTJvRG9jLnhtbFBLAQIUAAoAAAAA&#10;AIdO4kAAAAAAAAAAAAAAAAAIAAAAAAAAAAAAEAAAAPYCAABkcnMvaW5rL1BLAQIUABQAAAAIAIdO&#10;4kBijsYsbgMAAEUKAAAQAAAAAAAAAAEAIAAAABwDAABkcnMvaW5rL2luazEueG1sUEsFBgAAAAAK&#10;AAoATAIAACMKAAAAAA==&#10;">
                            <v:imagedata r:id="rId21" o:title=""/>
                            <o:lock v:ext="edit"/>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880745</wp:posOffset>
                            </wp:positionH>
                            <wp:positionV relativeFrom="paragraph">
                              <wp:posOffset>138430</wp:posOffset>
                            </wp:positionV>
                            <wp:extent cx="80645" cy="128270"/>
                            <wp:effectExtent l="0" t="0" r="0" b="0"/>
                            <wp:wrapNone/>
                            <wp:docPr id="9" name="墨迹 9"/>
                            <wp:cNvGraphicFramePr/>
                            <a:graphic xmlns:a="http://schemas.openxmlformats.org/drawingml/2006/main">
                              <a:graphicData uri="http://schemas.microsoft.com/office/word/2010/wordprocessingInk">
                                <mc:AlternateContent xmlns:a14="http://schemas.microsoft.com/office/drawing/2010/main">
                                  <mc:Choice Requires="a14">
                                    <w14:contentPart bwMode="clr" r:id="rId22">
                                      <w14:nvContentPartPr>
                                        <w14:cNvPr id="9" name="墨迹 9"/>
                                        <w14:cNvContentPartPr/>
                                      </w14:nvContentPartPr>
                                      <w14:xfrm>
                                        <a:off x="3175000" y="7211695"/>
                                        <a:ext cx="80645" cy="128270"/>
                                      </w14:xfrm>
                                    </w14:contentPart>
                                  </mc:Choice>
                                </mc:AlternateContent>
                              </a:graphicData>
                            </a:graphic>
                          </wp:anchor>
                        </w:drawing>
                      </mc:Choice>
                      <mc:Fallback>
                        <w:pict>
                          <v:shape id="_x0000_s1026" o:spid="_x0000_s1026" o:spt="75" style="position:absolute;left:0pt;margin-left:69.35pt;margin-top:10.9pt;height:10.1pt;width:6.35pt;z-index:251666432;mso-width-relative:page;mso-height-relative:page;" coordsize="21600,21600" o:gfxdata="UEsDBAoAAAAAAIdO4kAAAAAAAAAAAAAAAAAEAAAAZHJzL1BLAwQUAAAACACHTuJAP51+RNgAAAAJ&#10;AQAADwAAAGRycy9kb3ducmV2LnhtbE2PzU7DMBCE70i8g7VI3KiTUJc0xKkQEpeeaOmB3tx4SQLx&#10;OordP56e7akcR/vN7Ey5OLleHHAMnScN6SQBgVR721GjYfPx9pCDCNGQNb0n1HDGAIvq9qY0hfVH&#10;WuFhHRvBIRQKo6GNcSikDHWLzoSJH5D49uVHZyLLsZF2NEcOd73MkmQmnemIP7RmwNcW65/13nGN&#10;l896OZuvlmc1qE3WvU9/t99e6/u7NHkGEfEUrzBc6rMHKu6083uyQfSsH/MnRjVkKU+4AEopEDsN&#10;U5WDrEr5f0H1B1BLAwQUAAAACACHTuJA++N1eqEBAACJAwAADgAAAGRycy9lMm9Eb2MueG1srVPL&#10;TuMwFN2PxD9Y3tPYGfpI1JTFVEgsgC6GDzCO3VjEdnTtNuV3WPELs5qvQeIzuGkbWkAjoRE735zr&#10;c8+5x5meb2xN1gqC8a6gfMAoUU760rhlQW9/X5xOKAlRuFLU3qmCPqhAz2cnP6Ztk6vUV74uFRAk&#10;cSFvm4JWMTZ5kgRZKSvCwDfKIag9WBGxhGVSgmiR3dZJytgoaT2UDXipQsCv8x1I94zwFUKvtZFq&#10;7uXKKhd3rKBqEdFSqEwT6GyrVmsl443WQUVSF3SUTYaUxP6Ao3jGhuj/Dk9jfjakyWwq8iWIpjJy&#10;L0h8RdAHh1YYhxLeqOYiCrIC84nKGgk+eB0H0ttkZ2u7H/TE2YdNXbr7zhc/kyvIpXcRvS8ExD6L&#10;LfA/I2yNK2ivfIlpyxq+OQoCuSkLCpclP8h3618HAws42LpeL4B0/RklTlhU9Pz49PL3D8m6cHrz&#10;1++vI5LsoX8RbzTYLhHcMdkU9CcfDxnD6B8KOk45H2X78NUmEokNEzbC90Ak4jydpGPWje+H7Mj6&#10;6igKbHkX+nHdXT/6g2avUEsDBAoAAAAAAIdO4kAAAAAAAAAAAAAAAAAIAAAAZHJzL2luay9QSwME&#10;FAAAAAgAh07iQJ+eYJZ0AwAASgoAABAAAABkcnMvaW5rL2luazEueG1stVZLb9swDL4P2H8Q3EMv&#10;ViL5kRea9jCgwIANGNYO2I6uoyZG/QhsJWn//WiRVJw1HTZgu6SiSX4kP37SdnXzXJVib9quaOpl&#10;oEcqEKbOm1VRr5fBt/tbOQtEZ7N6lZVNbZbBi+mCm+v3766K+qkqF/ArAKHu+lNVLoONtdvFeHw4&#10;HEaHeNS063GkVDz+WD99/hRcU9bKPBZ1YaFkx5/yprbm2fZgi2K1DHL7rHw8YN81uzY33t1/afNj&#10;hG2z3Nw2bZVZj7jJ6tqUos4q6Pt7IOzLFg4F1FmbNhA76KCDQlUwPp/y4+9Tbl+lVNkz0KoU8EoF&#10;V2bfVxw7whZvN/6lbbamtYU5coQTkeNF5Gi74XDK1nRNueuJDcQ+K3cwbzQbxckkSSeTeTTXceL7&#10;0OMzo7/GBhb+GzbQ9Sa2HjR6ShmNPeSHyPQ64YXaojKg3mrrhWM72ET/+c62TuORilKptFTpfaQW&#10;0WQRTwfrIVky3kO76zYe66E9CtB5PHs41aFY2Y1fhBqpeD5LJ3MVR2kCJ7hZZzR4DmhjivXG/guk&#10;vCkb0D5p4wJ02UvTX4BzxR8Le9982LV74/P07zOKdd205guIsdu1xyxXhzblCvlLcOY9cPdCEP1f&#10;zeMyuHBPgnCZ+MHxn8Rwu0YwhdBpqqMUz/FkGl7KJOkdl1JP3N84CgMd98dAz/GPCnXUnwR+EFqH&#10;GOE/qHDqAvBXhw5SOhSp4xAPZGoyHWTvlfCgArjrSU5CibUclExCRBGuORmxiV7IxWDEikKasceT&#10;Gi1Eh8yBT6g/9QlCEa5Hj+lG8SjYA2Oe+mhoapRG1TyG40n4qTiVpkJThzidnuEOQrcVGTMjGomL&#10;8TOshmz0n2bDAMSnL4UH99vTi7NgX4pXw8NTkqOXtoprAyoohXyDlTJNFMmE4jqItF98XA9jEJnz&#10;uHH0Yd/sO41EMXIFpgPzWKjYJ+ZFNANW4PnQilC0AiNBlZiIXINIiDe6IEAcpr1tIxDvjMKZk6HZ&#10;r4wE5rj1YiGKw8EIfSyazMupxV05IUGTiIsxrAwCOI7AwS4MvVCHqCYnlaMGaXZncUc8EhXl0kQU&#10;N3Zqsv54/qHGQFVYxnEGyh1aXJRurX8mXNPHRwS79k8MmqQC6W6b1FN66iSuUkYzegwl3kcZw+uI&#10;mT7i5L8t/v2Gf3evf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eRi8nbgAAAAhAQAAGQAAAGRycy9fcmVscy9lMm9Eb2MueG1sLnJlbHOFz7Fq&#10;xDAMBuC90Hcw2hslHcpR4mQ5DrKWFG41jpKYxLKxnNJ7+3rswcENGoTQ90tt/+t39UNJXGANTVWD&#10;IrZhcrxo+B4vbydQkg1PZg9MGm4k0HevL+0X7SaXJVldFFUUFg1rzvETUexK3kgVInGZzCF5k0ub&#10;FozGbmYhfK/rD0z/DejuTDVMGtIwNaDGWyzJz+0wz87SOdjDE+cHEWgPycFf/V5QkxbKGhxvWKqp&#10;yqGAXYt3j3V/UEsDBBQAAAAIAIdO4kADFSnaBQEAAC0CAAATAAAAW0NvbnRlbnRfVHlwZXNdLnht&#10;bJWRwU7DMBBE70j8g+UrSpz2gBBq0gMpR0CofIBlbxKr9trymtD+PU7aXhCl4uCDvTNvRuvVeu8s&#10;GyGS8VjzRVlxBqi8NtjX/GP7XDxwRkmiltYj1PwAxNfN7c1qewhALLuRaj6kFB6FIDWAk1T6AJgn&#10;nY9OpnyNvQhS7WQPYllV90J5TICpSBODN6sWOvlpE9vs8/OxSQRLnD0dhVNWzWUI1iiZclMxov6R&#10;UpwSyuycNTSYQHe5Bhe/JkyTywEn32teTTQa2JuM6UW6XEPoSEL7L4wwln9DppaOCt91RkHZRmqz&#10;7R3Gc6tLdFj61qv/wjez6xrb4E7ks7hCzxJnzywxf3bzDVBLAQIUABQAAAAIAIdO4kADFSnaBQEA&#10;AC0CAAATAAAAAAAAAAEAIAAAAPEIAABbQ29udGVudF9UeXBlc10ueG1sUEsBAhQACgAAAAAAh07i&#10;QAAAAAAAAAAAAAAAAAYAAAAAAAAAAAAQAAAAvAYAAF9yZWxzL1BLAQIUABQAAAAIAIdO4kCKFGY8&#10;0QAAAJQBAAALAAAAAAAAAAEAIAAAAOAGAABfcmVscy8ucmVsc1BLAQIUAAoAAAAAAIdO4kAAAAAA&#10;AAAAAAAAAAAEAAAAAAAAAAAAEAAAAAAAAABkcnMvUEsBAhQACgAAAAAAh07iQAAAAAAAAAAAAAAA&#10;AAoAAAAAAAAAAAAQAAAA2gcAAGRycy9fcmVscy9QSwECFAAUAAAACACHTuJAeRi8nbgAAAAhAQAA&#10;GQAAAAAAAAABACAAAAACCAAAZHJzL19yZWxzL2Uyb0RvYy54bWwucmVsc1BLAQIUABQAAAAIAIdO&#10;4kA/nX5E2AAAAAkBAAAPAAAAAAAAAAEAIAAAACIAAABkcnMvZG93bnJldi54bWxQSwECFAAUAAAA&#10;CACHTuJA++N1eqEBAACJAwAADgAAAAAAAAABACAAAAAnAQAAZHJzL2Uyb0RvYy54bWxQSwECFAAK&#10;AAAAAACHTuJAAAAAAAAAAAAAAAAACAAAAAAAAAAAABAAAAD0AgAAZHJzL2luay9QSwECFAAUAAAA&#10;CACHTuJAn55glnQDAABKCgAAEAAAAAAAAAABACAAAAAaAwAAZHJzL2luay9pbmsxLnhtbFBLBQYA&#10;AAAACgAKAEwCAAAnCgAAAAA=&#10;">
                            <v:imagedata r:id="rId23" o:title=""/>
                            <o:lock v:ext="edit"/>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991870</wp:posOffset>
                            </wp:positionH>
                            <wp:positionV relativeFrom="paragraph">
                              <wp:posOffset>140335</wp:posOffset>
                            </wp:positionV>
                            <wp:extent cx="83820" cy="238760"/>
                            <wp:effectExtent l="0" t="0" r="0" b="0"/>
                            <wp:wrapNone/>
                            <wp:docPr id="10" name="墨迹 10"/>
                            <wp:cNvGraphicFramePr/>
                            <a:graphic xmlns:a="http://schemas.openxmlformats.org/drawingml/2006/main">
                              <a:graphicData uri="http://schemas.microsoft.com/office/word/2010/wordprocessingInk">
                                <mc:AlternateContent xmlns:a14="http://schemas.microsoft.com/office/drawing/2010/main">
                                  <mc:Choice Requires="a14">
                                    <w14:contentPart bwMode="clr" r:id="rId24">
                                      <w14:nvContentPartPr>
                                        <w14:cNvPr id="10" name="墨迹 10"/>
                                        <w14:cNvContentPartPr/>
                                      </w14:nvContentPartPr>
                                      <w14:xfrm>
                                        <a:off x="3286125" y="7213600"/>
                                        <a:ext cx="83820" cy="238760"/>
                                      </w14:xfrm>
                                    </w14:contentPart>
                                  </mc:Choice>
                                </mc:AlternateContent>
                              </a:graphicData>
                            </a:graphic>
                          </wp:anchor>
                        </w:drawing>
                      </mc:Choice>
                      <mc:Fallback>
                        <w:pict>
                          <v:shape id="_x0000_s1026" o:spid="_x0000_s1026" o:spt="75" style="position:absolute;left:0pt;margin-left:78.1pt;margin-top:11.05pt;height:18.8pt;width:6.6pt;z-index:251667456;mso-width-relative:page;mso-height-relative:page;" coordsize="21600,21600" o:gfxdata="UEsDBAoAAAAAAIdO4kAAAAAAAAAAAAAAAAAEAAAAZHJzL1BLAwQUAAAACACHTuJAJydXjNYAAAAJ&#10;AQAADwAAAGRycy9kb3ducmV2LnhtbE2PQU7DMBBF90jcwRokNlFrx6imhDgVQmKBxIaWA7jxNImI&#10;x5HtpuH2uCtYfs3Tn/fr3eJGNmOIgycN5VoAQ2q9HajT8HV4W22BxWTImtETavjBCLvm9qY2lfUX&#10;+sR5nzqWSyhWRkOf0lRxHtsenYlrPyHl28kHZ1KOoeM2mEsudyOXQijuzED5Q28mfO2x/d6fnYbC&#10;tHbuiiIE8aLUaS7fP5Zpo/X9XSmegSVc0h8MV/2sDk12Ovoz2cjGnDdKZlSDlCWwK/D4kMcdNSj5&#10;BLyp+f8FzS9QSwMEFAAAAAgAh07iQB7WF1CdAQAAiwMAAA4AAABkcnMvZTJvRG9jLnhtbK1TS07D&#10;MBDdI3EHy3uaOIE2jZqyoEJiAXQBBzCO3VjEdjR2m3IdVlyBFadB4hhMP6EFhIQQO8+80Zv35smj&#10;06WpyUKC184WlPViSqQVrtR2VtDbm/OjjBIfuC157aws6IP09HR8eDBqm1wmrnJ1KYEgifV52xS0&#10;CqHJo8iLShrue66RFkHlwPCAJcyiEniL7KaOkjjuR62DsgEnpPfYnWxAumWE3xA6pbSQEyfmRtqw&#10;YQVZ84CWfKUbT8drtUpJEa6V8jKQuqBZNkSzoXvgKpYOB9i6wxc7TmMajUc8nwFvKi22gvhvBH1x&#10;aLi2KOGDasIDJ3PQ36iMFuC8U6EnnIk2ttb3QU8s/nKpC3u/8sWOxRxy4WxA71MOoctiDfxlhanx&#10;BO2lKzFtUcM/R0Eg12VB4aJkO/l2cbYzMIWdravFFMhqnmEulhuU9Pr49PbyTLCB8XT2rz4TIBJt&#10;oZ+olwrMKhO8MlkWNE2yPktOKHko6CBhaT/exi+XgQgcyNIsQQ0C8STNBv013C3ZkHXVXhio41Ps&#10;+/VK494fGr8DUEsDBAoAAAAAAIdO4kAAAAAAAAAAAAAAAAAIAAAAZHJzL2luay9QSwMEFAAAAAgA&#10;h07iQK6hxV/zAwAALAwAABAAAABkcnMvaW5rL2luazEueG1stVZNj9M8EL6/Ev/BMgcucWvns63o&#10;ckBaCYlXQrBIcCytt41oklWSbnf/PZP5cBtakJDg0mQ8nmdmnnns9PWbp2qvHn3blU291G5itfL1&#10;utmU9XapP9/dmplWXb+qN6t9U/ulfvadfnPz4r/XZf292i/gVwFC3Q1v1X6pd33/sJhOj8fj5JhM&#10;mnY7ja1Npu/q7/+/1zcctfH3ZV32kLKTpXVT9/6pH8AW5Wap1/2TDfsB+1NzaNc+uIeVdn3a0ber&#10;tb9t2mrVB8Tdqq79XtWrCur+olX//AAvJeTZ+larA1TQQaJKT6+HfP3zkNuLkGr1BLRaC7xywo1/&#10;HDJOkbDFrwv/0DYPvu1Lf+KIOmLHs1qTjc1Rl63vmv1hIFarx9X+AP3Gs0mS5mmW5/N47pI01OGm&#10;V1q/xAYW/hk20PVLbHdW6JgybvucHyYz6EQG2peVB/VWD0E4fQeTGJY/9S1qPLZxZqwzNruL7SLO&#10;F0lxNh6WpeB9aw/dLmB9a08CRE9gj7o6lpt+FwZhJzZz1qXpvJgVucuLJHR4PohrQDtfbnf930Ba&#10;N/sGtM/aeAm6HKQZDsC15Pdlf9e8PbSPPsS530eU27pp/QcQY3doT1GYhyeFicIhuHIf4LlQTP9H&#10;f7/UL/FKUBhJC8h/mtkMqLVWuSxzMb/HsyJ6ZdJ0cLwycYbPpIi0S4ZXjRHaZJGLMRZtU0TkVmRm&#10;ETlz3BJHBmEU7ykiU6CDIeaXfkyvHJcX8ZPA59fN+QBpZhHcxNAS5jd5hECGrDjCFgz/jiyoEQN5&#10;q4vohfsBE4PIVPbCpKSMQEkV9WApjeL4c8s4tihado4sqko5xhQfFyug3BK1KcXKIrciHRB7DOAi&#10;mgTR5CIamMCST6wZEYy/LnIcQrSDTc073AUMjf2xZCUwKJHQKB/wSaM2QTAESybspmSsGh6qxCIk&#10;RzKHwTofKpDIQ6UI4YlHE0zhQihCPfEAAokEId2QRZofmkGOyAkmrYfR0eaxqZg9mRV5nSidSyD9&#10;/8ZHMMA+HRgp78wCzZGFXZ4oCfm5asz4k84Df1xHOLaEBUeIOoUP53AEMzklFzYOV6U8VhVTRxDP&#10;BeNkDfjZxtvDJILvUAdGjiyf0YTPswhRTBknP6VRehKScELMCHvSJa/iTMcU/HQRALeiD6GPJSEm&#10;NSppxlSPLaKUdsLhwuQIJgMUbvhgYTRQQkWz4kRNDC3VcRVsklqHVjhKiiVI2UxPKgT65Bfcy/Wd&#10;NEz5hHjGpaEHSfHdfsXmOGpZiqT7QCQi14VIjm8TMEk6MdEAHxq26bZxIKnxwimClQA7uDUSXcwX&#10;JE0i5wuSrGLkK0Z/TMMXGv5Z3fw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HkYvJ24AAAAIQEAABkAAABkcnMvX3JlbHMvZTJvRG9jLnhtbC5y&#10;ZWxzhc+xasQwDAbgvdB3MNobJR3KUeJkOQ6ylhRuNY6SmMSysZzSe/t67MHBDRqE0PdLbf/rd/VD&#10;SVxgDU1VgyK2YXK8aPgeL28nUJINT2YPTBpuJNB3ry/tF+0mlyVZXRRVFBYNa87xE1HsSt5IFSJx&#10;mcwheZNLmxaMxm5mIXyv6w9M/w3o7kw1TBrSMDWgxlssyc/tMM/O0jnYwxPnBxFoD8nBX/1eUJMW&#10;yhocb1iqqcqhgF2Ld491f1BLAwQUAAAACACHTuJAAxUp2gUBAAAtAgAAEwAAAFtDb250ZW50X1R5&#10;cGVzXS54bWyVkcFOwzAQRO9I/IPlK0qc9oAQatIDKUdAqHyAZW8Sq/ba8prQ/j1O2l4QpeLgg70z&#10;b0br1XrvLBshkvFY80VZcQaovDbY1/xj+1w8cEZJopbWI9T8AMTXze3NansIQCy7kWo+pBQehSA1&#10;gJNU+gCYJ52PTqZ8jb0IUu1kD2JZVfdCeUyAqUgTgzerFjr5aRPb7PPzsUkES5w9HYVTVs1lCNYo&#10;mXJTMaL+kVKcEsrsnDU0mEB3uQYXvyZMk8sBJ99rXk00GtibjOlFulxD6EhC+y+MMJZ/Q6aWjgrf&#10;dUZB2UZqs+0dxnOrS3RY+tar/8I3s+sa2+BO5LO4Qs8SZ88sMX928w1QSwECFAAUAAAACACHTuJA&#10;AxUp2gUBAAAtAgAAEwAAAAAAAAABACAAAABqCQAAW0NvbnRlbnRfVHlwZXNdLnhtbFBLAQIUAAoA&#10;AAAAAIdO4kAAAAAAAAAAAAAAAAAGAAAAAAAAAAAAEAAAADUHAABfcmVscy9QSwECFAAUAAAACACH&#10;TuJAihRmPNEAAACUAQAACwAAAAAAAAABACAAAABZBwAAX3JlbHMvLnJlbHNQSwECFAAKAAAAAACH&#10;TuJAAAAAAAAAAAAAAAAABAAAAAAAAAAAABAAAAAAAAAAZHJzL1BLAQIUAAoAAAAAAIdO4kAAAAAA&#10;AAAAAAAAAAAKAAAAAAAAAAAAEAAAAFMIAABkcnMvX3JlbHMvUEsBAhQAFAAAAAgAh07iQHkYvJ24&#10;AAAAIQEAABkAAAAAAAAAAQAgAAAAewgAAGRycy9fcmVscy9lMm9Eb2MueG1sLnJlbHNQSwECFAAU&#10;AAAACACHTuJAJydXjNYAAAAJAQAADwAAAAAAAAABACAAAAAiAAAAZHJzL2Rvd25yZXYueG1sUEsB&#10;AhQAFAAAAAgAh07iQB7WF1CdAQAAiwMAAA4AAAAAAAAAAQAgAAAAJQEAAGRycy9lMm9Eb2MueG1s&#10;UEsBAhQACgAAAAAAh07iQAAAAAAAAAAAAAAAAAgAAAAAAAAAAAAQAAAA7gIAAGRycy9pbmsvUEsB&#10;AhQAFAAAAAgAh07iQK6hxV/zAwAALAwAABAAAAAAAAAAAQAgAAAAFAMAAGRycy9pbmsvaW5rMS54&#10;bWxQSwUGAAAAAAoACgBMAgAAoAoAAAAA&#10;">
                            <v:imagedata r:id="rId25" o:title=""/>
                            <o:lock v:ext="edit"/>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1252855</wp:posOffset>
                            </wp:positionH>
                            <wp:positionV relativeFrom="paragraph">
                              <wp:posOffset>10795</wp:posOffset>
                            </wp:positionV>
                            <wp:extent cx="110490" cy="298450"/>
                            <wp:effectExtent l="0" t="0" r="0" b="0"/>
                            <wp:wrapNone/>
                            <wp:docPr id="11" name="墨迹 11"/>
                            <wp:cNvGraphicFramePr/>
                            <a:graphic xmlns:a="http://schemas.openxmlformats.org/drawingml/2006/main">
                              <a:graphicData uri="http://schemas.microsoft.com/office/word/2010/wordprocessingInk">
                                <mc:AlternateContent xmlns:a14="http://schemas.microsoft.com/office/drawing/2010/main">
                                  <mc:Choice Requires="a14">
                                    <w14:contentPart bwMode="clr" r:id="rId26">
                                      <w14:nvContentPartPr>
                                        <w14:cNvPr id="11" name="墨迹 11"/>
                                        <w14:cNvContentPartPr/>
                                      </w14:nvContentPartPr>
                                      <w14:xfrm>
                                        <a:off x="3547110" y="7084060"/>
                                        <a:ext cx="110490" cy="298450"/>
                                      </w14:xfrm>
                                    </w14:contentPart>
                                  </mc:Choice>
                                </mc:AlternateContent>
                              </a:graphicData>
                            </a:graphic>
                          </wp:anchor>
                        </w:drawing>
                      </mc:Choice>
                      <mc:Fallback>
                        <w:pict>
                          <v:shape id="_x0000_s1026" o:spid="_x0000_s1026" o:spt="75" style="position:absolute;left:0pt;margin-left:98.65pt;margin-top:0.85pt;height:23.5pt;width:8.7pt;z-index:251668480;mso-width-relative:page;mso-height-relative:page;" coordsize="21600,21600" o:gfxdata="UEsDBAoAAAAAAIdO4kAAAAAAAAAAAAAAAAAEAAAAZHJzL1BLAwQUAAAACACHTuJAnKX1btYAAAAI&#10;AQAADwAAAGRycy9kb3ducmV2LnhtbE2PzU7DMBCE70i8g7VI3KgdI0gb4vSAxM8BCQg8gBtvk4h4&#10;HdnuH0/PcoLbjmY0+029PvpJ7DGmMZCBYqFAIHXBjdQb+Px4uFqCSNmSs1MgNHDCBOvm/Ky2lQsH&#10;esd9m3vBJZQqa2DIea6kTN2A3qZFmJHY24bobWYZe+miPXC5n6RW6lZ6OxJ/GOyM9wN2X+3OG/DY&#10;tzq8vrxtH5/UadTf8dkPpTGXF4W6A5HxmP/C8IvP6NAw0ybsyCUxsV6V1xzlowTBvi6WKxAbAze6&#10;ANnU8v+A5gdQSwMEFAAAAAgAh07iQDVrRfehAQAAjAMAAA4AAABkcnMvZTJvRG9jLnhtbK1TwY7a&#10;MBC9V+o/WL6XxGwIEBE4LKrEoZRD+wFexybWxnY0NgR+p6f+Qk/9mkr9jE4IKbCrlVarvXnmjd68&#10;Ny+ZLQ6mInsJXjubUzaIKZFWuELbbU6/f/v8aUKJD9wWvHJW5vQoPV3MP36YNXUmh650VSGBIIn1&#10;WVPntAyhzqLIi1Ia7geulhZB5cDwgCVsowJ4g+ymioZxnEaNg6IGJ6T32F12ID0zwmsInVJayKUT&#10;OyNt6FhBVjygJV/q2tP5Sa1SUoSvSnkZSJXTdDoZURL6B65i07RtPeArSeMRjeYznm2B16UWZ0H8&#10;NYKeODRcW5Twn2rJAyc70M+ojBbgvFNhIJyJOlun+6AnFj+51Mo+tr5YInaQCWcDet9wCH0WJ+At&#10;K0yFJ2i+uALTFhW8cxQEMl3kFFYFu8i3+/uLgQ1cbK33GyDtPGOUWG5Q0p8fP//+/kWwgfH09te3&#10;BIhEZ+gl6oMC02aCVyaHnN6NkjFj+PEfczqOJ0mcxl388hCIwAEEkyniAgeG00kyOuH9lo6tr67S&#10;QCE3uV/Xrcirn2j+D1BLAwQKAAAAAACHTuJAAAAAAAAAAAAAAAAACAAAAGRycy9pbmsvUEsDBBQA&#10;AAAIAIdO4kBvF+gPMgMAAHkJAAAQAAAAZHJzL2luay9pbmsxLnhtbLVVTWvbQBC9F/oflu0hF629&#10;u/qIberkUAgUWghNCu3RtTe2qCUFaR0n/76jmdm1nDiBQnuRNfN2vt68lT9ePlZb8eDarmzquTQj&#10;LYWrl82qrNdz+f32Sk2k6PyiXi22Te3m8sl18vLi/buPZf272s7gKSBD3fVv1XYuN97fz8bj/X4/&#10;2qejpl2Prdbp+HP9++sXecFRK3dX1qWHkl1wLZvau0ffJ5uVq7lc+kcdz0Pum2bXLl2Ee0+7PJzw&#10;7WLprpq2WviYcbOoa7cV9aKCvn9I4Z/u4aWEOmvXSrGDDjooVMnx6ZCffx9y9SKkWjwCrVoDr1xw&#10;5R76imMkbPZ649dtc+9aX7oDRzQRA09iSTYOR1O2rmu2u55YKR4W2x3MayejNCuyvCimdmrSLPZh&#10;xidGf5kbWPhvuYGuV3ObQaPHlPHYQ36YzKiTsFBfVg7UW91H4fgONtG7b3yLGrfa5kobpfNbq2e2&#10;mKXng/WwLEO+X+2u28Rcv9qDABGJ7NFU+3LlN3EReqQzYwt7bmxqp4UtDhMOF3Eq0caV643/F5mW&#10;zbYB7bM2PoAue2nGC3Cq+F3pb5tPu/bBxTjzdkS5rpvWXYMYu117iMI6vCksFC/Bie8B3gvB9H9z&#10;d3P5AT8JAiPJgfxn0zwHarUWJs+mqab3NM+TM5Wd98AZus7SSSKL3pZoyzRBVHBAghhbJoEvYZ+y&#10;fyqTqBTNDM0imOhUeaIsomRGlA5nnAlrKZsoSozFVHoEQhkCcyzzCkiR9nnksEFINOhIxPbpTDSx&#10;QaHDYQrRCfFB3Ru2KDJgNKh9HYOkzCoSE6xQcMAtnGQvzmwSroRxx5YeYrCT4cnn2HFOssIuac+h&#10;F9JAmI+wMB956fkGE3FarkOrUaEC/qrpcD5lkB6QA5WaMDg4CklJMtSSIXkqso4xppAxJoYUAAqj&#10;CvQ0RDapGarjyrk1y5ghnjIONNRTNAllbSpDUmWRK4PtRZUHmMUazDQhbmLD/MKrSNikUbNgEgom&#10;88qUUT80CNxEbg/B0BXNXjxby4AXEaZDn8iZCboQUJHJw6TQPM4syDlJ1EBBahpQ3uTRv3z83MHf&#10;1M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HkYvJ24AAAAIQEAABkAAABkcnMvX3JlbHMvZTJvRG9jLnhtbC5yZWxzhc+xasQwDAbgvdB3MNob&#10;JR3KUeJkOQ6ylhRuNY6SmMSysZzSe/t67MHBDRqE0PdLbf/rd/VDSVxgDU1VgyK2YXK8aPgeL28n&#10;UJINT2YPTBpuJNB3ry/tF+0mlyVZXRRVFBYNa87xE1HsSt5IFSJxmcwheZNLmxaMxm5mIXyv6w9M&#10;/w3o7kw1TBrSMDWgxlssyc/tMM/O0jnYwxPnBxFoD8nBX/1eUJMWyhocb1iqqcqhgF2Ld491f1BL&#10;AwQUAAAACACHTuJAAxUp2gUBAAAtAgAAEwAAAFtDb250ZW50X1R5cGVzXS54bWyVkcFOwzAQRO9I&#10;/IPlK0qc9oAQatIDKUdAqHyAZW8Sq/ba8prQ/j1O2l4QpeLgg70zb0br1XrvLBshkvFY80VZcQao&#10;vDbY1/xj+1w8cEZJopbWI9T8AMTXze3NansIQCy7kWo+pBQehSA1gJNU+gCYJ52PTqZ8jb0IUu1k&#10;D2JZVfdCeUyAqUgTgzerFjr5aRPb7PPzsUkES5w9HYVTVs1lCNYomXJTMaL+kVKcEsrsnDU0mEB3&#10;uQYXvyZMk8sBJ99rXk00GtibjOlFulxD6EhC+y+MMJZ/Q6aWjgrfdUZB2UZqs+0dxnOrS3RY+tar&#10;/8I3s+sa2+BO5LO4Qs8SZ88sMX928w1QSwECFAAUAAAACACHTuJAAxUp2gUBAAAtAgAAEwAAAAAA&#10;AAABACAAAACtCAAAW0NvbnRlbnRfVHlwZXNdLnhtbFBLAQIUAAoAAAAAAIdO4kAAAAAAAAAAAAAA&#10;AAAGAAAAAAAAAAAAEAAAAHgGAABfcmVscy9QSwECFAAUAAAACACHTuJAihRmPNEAAACUAQAACwAA&#10;AAAAAAABACAAAACcBgAAX3JlbHMvLnJlbHNQSwECFAAKAAAAAACHTuJAAAAAAAAAAAAAAAAABAAA&#10;AAAAAAAAABAAAAAAAAAAZHJzL1BLAQIUAAoAAAAAAIdO4kAAAAAAAAAAAAAAAAAKAAAAAAAAAAAA&#10;EAAAAJYHAABkcnMvX3JlbHMvUEsBAhQAFAAAAAgAh07iQHkYvJ24AAAAIQEAABkAAAAAAAAAAQAg&#10;AAAAvgcAAGRycy9fcmVscy9lMm9Eb2MueG1sLnJlbHNQSwECFAAUAAAACACHTuJAnKX1btYAAAAI&#10;AQAADwAAAAAAAAABACAAAAAiAAAAZHJzL2Rvd25yZXYueG1sUEsBAhQAFAAAAAgAh07iQDVrRfeh&#10;AQAAjAMAAA4AAAAAAAAAAQAgAAAAJQEAAGRycy9lMm9Eb2MueG1sUEsBAhQACgAAAAAAh07iQAAA&#10;AAAAAAAAAAAAAAgAAAAAAAAAAAAQAAAA8gIAAGRycy9pbmsvUEsBAhQAFAAAAAgAh07iQG8X6A8y&#10;AwAAeQkAABAAAAAAAAAAAQAgAAAAGAMAAGRycy9pbmsvaW5rMS54bWxQSwUGAAAAAAoACgBMAgAA&#10;4wkAAAAA&#10;">
                            <v:imagedata r:id="rId27" o:title=""/>
                            <o:lock v:ext="edit"/>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1533525</wp:posOffset>
                            </wp:positionH>
                            <wp:positionV relativeFrom="paragraph">
                              <wp:posOffset>146685</wp:posOffset>
                            </wp:positionV>
                            <wp:extent cx="101600" cy="149860"/>
                            <wp:effectExtent l="0" t="0" r="0" b="0"/>
                            <wp:wrapNone/>
                            <wp:docPr id="13" name="墨迹 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8">
                                      <w14:nvContentPartPr>
                                        <w14:cNvPr id="13" name="墨迹 13"/>
                                        <w14:cNvContentPartPr/>
                                      </w14:nvContentPartPr>
                                      <w14:xfrm>
                                        <a:off x="3827780" y="7219950"/>
                                        <a:ext cx="101600" cy="149860"/>
                                      </w14:xfrm>
                                    </w14:contentPart>
                                  </mc:Choice>
                                </mc:AlternateContent>
                              </a:graphicData>
                            </a:graphic>
                          </wp:anchor>
                        </w:drawing>
                      </mc:Choice>
                      <mc:Fallback>
                        <w:pict>
                          <v:shape id="_x0000_s1026" o:spid="_x0000_s1026" o:spt="75" style="position:absolute;left:0pt;margin-left:120.75pt;margin-top:11.55pt;height:11.8pt;width:8pt;z-index:251670528;mso-width-relative:page;mso-height-relative:page;" coordsize="21600,21600" o:gfxdata="UEsDBAoAAAAAAIdO4kAAAAAAAAAAAAAAAAAEAAAAZHJzL1BLAwQUAAAACACHTuJAAGjog9oAAAAJ&#10;AQAADwAAAGRycy9kb3ducmV2LnhtbE2PwU7DMAyG70i8Q2QkLoglLe2A0nQSSNxAGgMEx7QxTbUm&#10;qZJs63h6zAlutvzp9/fXq9mObI8hDt5JyBYCGLrO68H1Et5eHy9vgMWknFajdyjhiBFWzelJrSrt&#10;D+4F95vUMwpxsVISTEpTxXnsDFoVF35CR7cvH6xKtIae66AOFG5Hngux5FYNjj4YNeGDwW672VkJ&#10;z+nifv3xJAb8/B7mojTt8X0bpDw/y8QdsIRz+oPhV5/UoSGn1u+cjmyUkBdZSSgNVxkwAvKluAbW&#10;SihuS+BNzf83aH4AUEsDBBQAAAAIAIdO4kBwGWvxnAEAAIwDAAAOAAAAZHJzL2Uyb0RvYy54bWyt&#10;U0tOwzAQ3SNxB8t7mjiFfqKmLKiQWABdwAGMYzcWsR2N3aZchxVXYMVpkDgG06ahH4SEEDvPR2/e&#10;mzcenS9NSRYSvHY2o6wTUyKtcLm2s4ze312eDCjxgducl87KjD5JT8/Hx0ejukpl4gpX5hIIglif&#10;1lVGixCqNIq8KKThvuMqabGoHBgeMIRZlAOvEd2UURLHvah2kFfghPQes5OmSDeI8BtAp5QWcuLE&#10;3EgbGlSQJQ8oyRe68nS8ZquUFOFWKS8DKTPa7yUoNrQPHMWSfoypB3zFrBfTaDzi6Qx4VWixIcR/&#10;Q+hAoeHaIoUvqAkPnMxBf4MyWoDzToWOcCZqZK33g5pYfLCpK/u40sVOxRxS4WxA7VMOofViXfjL&#10;CFPiCuprl6PbooR/toJAqvOMwlXOtvTt4mIrYApbWTeLKZBVP+tSYrlBSu/PLx9vrwQTaE8r/2Yf&#10;ACvRpvQT9FKBWXmCWybLjHYHSb8/QPOf8B4SNhyebeyXy0AENqwvAusCG9jpcNCcRzulQWujHTeQ&#10;yJ7vu/GK5M4nGn8CUEsDBAoAAAAAAIdO4kAAAAAAAAAAAAAAAAAIAAAAZHJzL2luay9QSwMEFAAA&#10;AAgAh07iQHQccGiSAwAA8AoAABAAAABkcnMvaW5rL2luazEueG1stVZLa9tAEL4X+h8W5ZCLZO9K&#10;lvwgTg6FQKGF0KTQHhV5Y4voYaS1nfz7jnZmVrLjFALtRdLsvL/5Zu2rm5eyEHvdtHldLT01kp7Q&#10;VVav8mq99H4+3AYzT7QmrVZpUVd66b3q1ru5/vzpKq+ey2IBTwERqrb7KoultzFmuxiPD4fD6BCN&#10;6mY9DqWMxl+r5+/fvGvyWumnvMoNpGz5KKsro19MF2yRr5ZeZl6ks4fY9/WuybRTdydN1luYJs30&#10;bd2UqXERN2lV6UJUaQl1//KEed3CRw551rrxxA4qaCFR6Y3Pu/z+uMvtG5cyfQFYpQRcKeFK77uM&#10;YwvY4v3C75p6qxuT6x4j7IgUryJD2TaHXTa6rYtdB6wn9mmxg37D2SiaJJM4SebhXEUTV4can2n9&#10;bWxA4b/FBrjeja0GhR5DRm0P8SEwHU94oCYvNbC33DrimBYm0R3fm8ZyPJRhHEgVyPghlIswWUTT&#10;wXiIlhzvsdm1GxfrsekJaDUOPezqkK/Mxg1CjuQkmso4BDbM5sksil2Hw0GcC7TR+Xpj/kWkrC5q&#10;4D5x4wJ42VHTLcC55E+5eai/7Jq9dn7q7x75uqobfQdkbHdN72Xz0KRsIrcEZ+4DuxeC4P+hn5be&#10;hb0ShPXEA4t/HEYSoJVSqDhWU/qOoti/DJJZp7icJPYlfU9Nuy8viO1L+sp+BPZUgGgNUQuiPQ4m&#10;na2IfLgb4Y2pYj8YismR8lhSftQ7BqcSBrdBg9AfSsq3xVDCEItx0lBHlkGIedAvsFkhJjZBNZDO&#10;WoIObSiWj1UgBOGRpE4kTBUoBEP6lExxBSxjfOWz/Ynegt/Bjgh3TwCIkOWKUWmR6ZQIEYHvB0Mc&#10;oI4PiVQNp6WEBCK2QHhDZKIIG8/RzD67kgkJVlve9c5ozThTlQrRCbnqHj00JH3k9FggoymQyx0m&#10;pEAu9zKFIVYhD5SPYQUiCCJywYrAiBOtDYEDgUTYJGOPdOE4Z3SUQ5If4XskcUyaKjKBVwsL50EQ&#10;WRE0WiOiPEucgfDAEZEfV33MH5SYlggYTZoWDs9CWkbWIS6EDi0V3iXu2qCrhTwDvFpAa1MSYXjl&#10;z/bI68nVYeeWSkHMXeH05iyizYyToHZGK8VJp7yvWD8QDN1QhKsN3VCcEP1oKMAuey4QiYRFPGTj&#10;Uy3CDImwF0zniGpFQIZQQGMQ8YMJxhjRVE9FjExrePTnyv3KwL+D6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eRi8nbgAAAAhAQAAGQAAAGRy&#10;cy9fcmVscy9lMm9Eb2MueG1sLnJlbHOFz7FqxDAMBuC90Hcw2hslHcpR4mQ5DrKWFG41jpKYxLKx&#10;nNJ7+3rswcENGoTQ90tt/+t39UNJXGANTVWDIrZhcrxo+B4vbydQkg1PZg9MGm4k0HevL+0X7SaX&#10;JVldFFUUFg1rzvETUexK3kgVInGZzCF5k0ubFozGbmYhfK/rD0z/DejuTDVMGtIwNaDGWyzJz+0w&#10;z87SOdjDE+cHEWgPycFf/V5QkxbKGhxvWKqpyqGAXYt3j3V/UEsDBBQAAAAIAIdO4kADFSnaBQEA&#10;AC0CAAATAAAAW0NvbnRlbnRfVHlwZXNdLnhtbJWRwU7DMBBE70j8g+UrSpz2gBBq0gMpR0CofIBl&#10;bxKr9trymtD+PU7aXhCl4uCDvTNvRuvVeu8sGyGS8VjzRVlxBqi8NtjX/GP7XDxwRkmiltYj1PwA&#10;xNfN7c1qewhALLuRaj6kFB6FIDWAk1T6AJgnnY9OpnyNvQhS7WQPYllV90J5TICpSBODN6sWOvlp&#10;E9vs8/OxSQRLnD0dhVNWzWUI1iiZclMxov6RUpwSyuycNTSYQHe5Bhe/JkyTywEn32teTTQa2JuM&#10;6UW6XEPoSEL7L4wwln9DppaOCt91RkHZRmqz7R3Gc6tLdFj61qv/wjez6xrb4E7ks7hCzxJnzywx&#10;f3bzDVBLAQIUABQAAAAIAIdO4kADFSnaBQEAAC0CAAATAAAAAAAAAAEAIAAAAAwJAABbQ29udGVu&#10;dF9UeXBlc10ueG1sUEsBAhQACgAAAAAAh07iQAAAAAAAAAAAAAAAAAYAAAAAAAAAAAAQAAAA1wYA&#10;AF9yZWxzL1BLAQIUABQAAAAIAIdO4kCKFGY80QAAAJQBAAALAAAAAAAAAAEAIAAAAPsGAABfcmVs&#10;cy8ucmVsc1BLAQIUAAoAAAAAAIdO4kAAAAAAAAAAAAAAAAAEAAAAAAAAAAAAEAAAAAAAAABkcnMv&#10;UEsBAhQACgAAAAAAh07iQAAAAAAAAAAAAAAAAAoAAAAAAAAAAAAQAAAA9QcAAGRycy9fcmVscy9Q&#10;SwECFAAUAAAACACHTuJAeRi8nbgAAAAhAQAAGQAAAAAAAAABACAAAAAdCAAAZHJzL19yZWxzL2Uy&#10;b0RvYy54bWwucmVsc1BLAQIUABQAAAAIAIdO4kAAaOiD2gAAAAkBAAAPAAAAAAAAAAEAIAAAACIA&#10;AABkcnMvZG93bnJldi54bWxQSwECFAAUAAAACACHTuJAcBlr8ZwBAACMAwAADgAAAAAAAAABACAA&#10;AAApAQAAZHJzL2Uyb0RvYy54bWxQSwECFAAKAAAAAACHTuJAAAAAAAAAAAAAAAAACAAAAAAAAAAA&#10;ABAAAADxAgAAZHJzL2luay9QSwECFAAUAAAACACHTuJAdBxwaJIDAADwCgAAEAAAAAAAAAABACAA&#10;AAAXAwAAZHJzL2luay9pbmsxLnhtbFBLBQYAAAAACgAKAEwCAABCCgAAAAA=&#10;">
                            <v:imagedata r:id="rId29" o:title=""/>
                            <o:lock v:ext="edit"/>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1653540</wp:posOffset>
                            </wp:positionH>
                            <wp:positionV relativeFrom="paragraph">
                              <wp:posOffset>161290</wp:posOffset>
                            </wp:positionV>
                            <wp:extent cx="125095" cy="155575"/>
                            <wp:effectExtent l="0" t="0" r="0" b="0"/>
                            <wp:wrapNone/>
                            <wp:docPr id="14" name="墨迹 14"/>
                            <wp:cNvGraphicFramePr/>
                            <a:graphic xmlns:a="http://schemas.openxmlformats.org/drawingml/2006/main">
                              <a:graphicData uri="http://schemas.microsoft.com/office/word/2010/wordprocessingInk">
                                <mc:AlternateContent xmlns:a14="http://schemas.microsoft.com/office/drawing/2010/main">
                                  <mc:Choice Requires="a14">
                                    <w14:contentPart bwMode="clr" r:id="rId30">
                                      <w14:nvContentPartPr>
                                        <w14:cNvPr id="14" name="墨迹 14"/>
                                        <w14:cNvContentPartPr/>
                                      </w14:nvContentPartPr>
                                      <w14:xfrm>
                                        <a:off x="3947795" y="7234555"/>
                                        <a:ext cx="125095" cy="155575"/>
                                      </w14:xfrm>
                                    </w14:contentPart>
                                  </mc:Choice>
                                </mc:AlternateContent>
                              </a:graphicData>
                            </a:graphic>
                          </wp:anchor>
                        </w:drawing>
                      </mc:Choice>
                      <mc:Fallback>
                        <w:pict>
                          <v:shape id="_x0000_s1026" o:spid="_x0000_s1026" o:spt="75" style="position:absolute;left:0pt;margin-left:130.2pt;margin-top:12.7pt;height:12.25pt;width:9.85pt;z-index:251671552;mso-width-relative:page;mso-height-relative:page;" coordsize="21600,21600" o:gfxdata="UEsDBAoAAAAAAIdO4kAAAAAAAAAAAAAAAAAEAAAAZHJzL1BLAwQUAAAACACHTuJAimdW6dkAAAAJ&#10;AQAADwAAAGRycy9kb3ducmV2LnhtbE2PT0vDQBDF74LfYZmCN7ubkJYQsylFEISCYC3W4zS7zcbu&#10;n5jdtvHbO570NG+Yx5vfq1eTs+yix9gHLyGbC2Dat0H1vpOwe3u6L4HFhF6hDV5L+NYRVs3tTY2V&#10;Clf/qi/b1DEK8bFCCSaloeI8tkY7jPMwaE+3YxgdJlrHjqsRrxTuLM+FWHKHvacPBgf9aHR72p6d&#10;BLF/welU2k+zyd7Xm+PXx7hXz1LezTLxACzpKf2Z4Ref0KEhpkM4exWZlZAvRUFWEguaZMjLgsRB&#10;wqLIgTc1/9+g+QFQSwMEFAAAAAgAh07iQO+05iecAQAAjAMAAA4AAABkcnMvZTJvRG9jLnhtbK1T&#10;S07DMBDdI3EHy3uaTxvSRk27oEJiAXQBBzCO3VjEdjR2m3IdVlyBFadB4hhM2oYWEBJC7Dx+ozfv&#10;zbPH07WuyEqAU9bkNOqFlAjDbaHMIqe3N+cnQ0qcZ6ZglTUipw/C0enk+Gjc1JmIbWmrQgBBEuOy&#10;ps5p6X2dBYHjpdDM9WwtDILSgmYeS1gEBbAG2XUVxGF4GjQWihosF87h7WwL0h0j/IbQSqm4mFm+&#10;1ML4LSuIinm05EpVOzrZqJVScH8tpROeVDkdJXFCie8OOCpK0yH6v+tOwWTMsgWwulR8J4j9RtAX&#10;h5opgxI+qGbMM7IE9Y1KKw7WWel73Opga2uzH/QUhV82dWHuW1/RgC8h49Z49D5n4LssNsBfRugK&#10;V9Bc2gLT5hX8cxQEMlXkFC6KaC/frM72Buawt3W1mgNp+6MBJYZplPT6+PT28kzwAuPp7F99JkAk&#10;2EE/Ua8l6DYT3DJZ57Q/GqTpCN/DQ07TuD9IkqTlZ5lYe8KxIYqTsMU5NkSIphu8m7Jl66qDNFDI&#10;p9wP61bkwSeavANQSwMECgAAAAAAh07iQAAAAAAAAAAAAAAAAAgAAABkcnMvaW5rL1BLAwQUAAAA&#10;CACHTuJASSBAYogDAACCCgAAEAAAAGRycy9pbmsvaW5rMS54bWy1VktrGzEQvhf6H8TmkItkS9pH&#10;bBMnh0Kg0EJpUmiPzlqxl+zD7Mp28u87qxnJa8cpFNqLvKN5f99okuvbl6pkO9N2RVPPIzWSETN1&#10;3iyLejWPfjzciUnEOruol4uyqc08ejVddHvz8cN1UT9X5QxOBhHqrv+qynm0tnYzG4/3+/1oH4+a&#10;djXWUsbjz/Xz1y/RDXktzVNRFxZSdv4qb2prXmwfbFYs51FuX2Swh9j3zbbNTVD3N21+sLDtIjd3&#10;TVstbIi4XtS1KVm9qKDunxGzrxv4KCDPyrQR20IFHSSqovF5l19/73L3xqVavACsUgKulHBpdn3G&#10;sQNs9n7h39pmY1pbmANG2BEpXlmOsmsOu2xN15TbHtiI7RblFvrVk1GcZEmaZVM9VXES6lDjM62/&#10;jQ0o/LfYANe7sdWg0GPIqO0hPgRmmBNPqC0qA9NbbcLg2A6Y6K/vbetmXEudCqmETB+0nOlsFl8N&#10;6KGx9PEe2223DrEe28MAOk1AD7vaF0u7DkTIkUxTlU6yq0mSaB1P4WWdmcFzgdamWK3tv4iUN2UD&#10;s0+zcQFz2Y9meADnkj8V9qH5tG13JvipP3sUq7ppzTcYxm7bHrxcHmLKJQqP4Mw+cO+CEfzfzdM8&#10;unArgTlPvHD4p3GWArRSMgXwJhK/dZbyS5FkveIycWfK4R32X4cfjheMfqZ86gLhqSR37gzPhMdO&#10;6U6hTySXgrkTdLq3FLBM4Uw43qIfRREopRhFoH3K0YW5KkXM8Z5dYTSOTliOUF4MWheEfBXHGFQI&#10;SZjU65zEJOmwWI0SNsLIkh35nUjOL1iidBTTZ2BeJxAr7yjSAazQlesHkzDNSYsQKoJLTZyL4gqb&#10;j9FHc+ViiTjoHXUi6CmMU/cIErMeXxSxW0h9Ig5JJfqJIEl1eZyGhENRLjyxQ/jikBJOyFnACZnz&#10;2HvU0MPjgBIy6C19dtR5eAcSdOwkmjLPNdZH2BJLmkYfM2h+TMoANqCIMnlTmlKNRgAjKVzpLAw1&#10;6YEE5D9wSpgqbCf4K4T/IKMe/DEwTkJQ46X02YMx0hBEnBesAIyJYs8VvdKTUgSWAjNP9pja03AE&#10;PEF9rJMEGdaocD8wXDp+r/jFRGuGRD9MmIPiCFpXtD0E2gLZSCy+Bclp6P3saxwFTS+GI/6CZFhh&#10;J3ryc7lERrGJFAWwYzKCSvnkweDo352w9+Hv9c1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HkYvJ24AAAAIQEAABkAAABkcnMvX3JlbHMvZTJv&#10;RG9jLnhtbC5yZWxzhc+xasQwDAbgvdB3MNobJR3KUeJkOQ6ylhRuNY6SmMSysZzSe/t67MHBDRqE&#10;0PdLbf/rd/VDSVxgDU1VgyK2YXK8aPgeL28nUJINT2YPTBpuJNB3ry/tF+0mlyVZXRRVFBYNa87x&#10;E1HsSt5IFSJxmcwheZNLmxaMxm5mIXyv6w9M/w3o7kw1TBrSMDWgxlssyc/tMM/O0jnYwxPnBxFo&#10;D8nBX/1eUJMWyhocb1iqqcqhgF2Ld491f1BLAwQUAAAACACHTuJAAxUp2gUBAAAtAgAAEwAAAFtD&#10;b250ZW50X1R5cGVzXS54bWyVkcFOwzAQRO9I/IPlK0qc9oAQatIDKUdAqHyAZW8Sq/ba8prQ/j1O&#10;2l4QpeLgg70zb0br1XrvLBshkvFY80VZcQaovDbY1/xj+1w8cEZJopbWI9T8AMTXze3NansIQCy7&#10;kWo+pBQehSA1gJNU+gCYJ52PTqZ8jb0IUu1kD2JZVfdCeUyAqUgTgzerFjr5aRPb7PPzsUkES5w9&#10;HYVTVs1lCNYomXJTMaL+kVKcEsrsnDU0mEB3uQYXvyZMk8sBJ99rXk00GtibjOlFulxD6EhC+y+M&#10;MJZ/Q6aWjgrfdUZB2UZqs+0dxnOrS3RY+tar/8I3s+sa2+BO5LO4Qs8SZ88sMX928w1QSwECFAAU&#10;AAAACACHTuJAAxUp2gUBAAAtAgAAEwAAAAAAAAABACAAAAABCQAAW0NvbnRlbnRfVHlwZXNdLnht&#10;bFBLAQIUAAoAAAAAAIdO4kAAAAAAAAAAAAAAAAAGAAAAAAAAAAAAEAAAAMwGAABfcmVscy9QSwEC&#10;FAAUAAAACACHTuJAihRmPNEAAACUAQAACwAAAAAAAAABACAAAADwBgAAX3JlbHMvLnJlbHNQSwEC&#10;FAAKAAAAAACHTuJAAAAAAAAAAAAAAAAABAAAAAAAAAAAABAAAAAAAAAAZHJzL1BLAQIUAAoAAAAA&#10;AIdO4kAAAAAAAAAAAAAAAAAKAAAAAAAAAAAAEAAAAOoHAABkcnMvX3JlbHMvUEsBAhQAFAAAAAgA&#10;h07iQHkYvJ24AAAAIQEAABkAAAAAAAAAAQAgAAAAEggAAGRycy9fcmVscy9lMm9Eb2MueG1sLnJl&#10;bHNQSwECFAAUAAAACACHTuJAimdW6dkAAAAJAQAADwAAAAAAAAABACAAAAAiAAAAZHJzL2Rvd25y&#10;ZXYueG1sUEsBAhQAFAAAAAgAh07iQO+05iecAQAAjAMAAA4AAAAAAAAAAQAgAAAAKAEAAGRycy9l&#10;Mm9Eb2MueG1sUEsBAhQACgAAAAAAh07iQAAAAAAAAAAAAAAAAAgAAAAAAAAAAAAQAAAA8AIAAGRy&#10;cy9pbmsvUEsBAhQAFAAAAAgAh07iQEkgQGKIAwAAggoAABAAAAAAAAAAAQAgAAAAFgMAAGRycy9p&#10;bmsvaW5rMS54bWxQSwUGAAAAAAoACgBMAgAANwoAAAAA&#10;">
                            <v:imagedata r:id="rId31" o:title=""/>
                            <o:lock v:ext="edit"/>
                          </v:shape>
                        </w:pict>
                      </mc:Fallback>
                    </mc:AlternateContent>
                  </w:r>
                </w:p>
              </w:tc>
              <w:tc>
                <w:tcPr>
                  <w:tcW w:w="1414" w:type="dxa"/>
                </w:tcPr>
                <w:p w14:paraId="0475CA85">
                  <w:pPr>
                    <w:rPr>
                      <w:rFonts w:cs="Arial"/>
                      <w:sz w:val="22"/>
                      <w:szCs w:val="22"/>
                    </w:rPr>
                  </w:pPr>
                  <w:r>
                    <w:rPr>
                      <w:rFonts w:cs="Arial"/>
                      <w:sz w:val="22"/>
                      <w:szCs w:val="22"/>
                    </w:rPr>
                    <w:t>Date:</w:t>
                  </w:r>
                </w:p>
                <w:p w14:paraId="15D31CA9">
                  <w:pPr>
                    <w:rPr>
                      <w:rFonts w:hint="default" w:eastAsia="宋体" w:cs="Arial"/>
                      <w:sz w:val="22"/>
                      <w:szCs w:val="22"/>
                      <w:lang w:val="en-US" w:eastAsia="zh-CN"/>
                    </w:rPr>
                  </w:pPr>
                  <w:r>
                    <w:rPr>
                      <w:rFonts w:hint="eastAsia" w:eastAsia="宋体" w:cs="Arial"/>
                      <w:sz w:val="22"/>
                      <w:szCs w:val="22"/>
                      <w:lang w:val="en-US" w:eastAsia="zh-CN"/>
                    </w:rPr>
                    <w:t>06.01.2025</w:t>
                  </w:r>
                </w:p>
              </w:tc>
            </w:tr>
          </w:tbl>
          <w:p w14:paraId="7BAE8739">
            <w:pPr>
              <w:rPr>
                <w:rFonts w:cs="Arial"/>
                <w:sz w:val="22"/>
                <w:szCs w:val="22"/>
              </w:rPr>
            </w:pPr>
          </w:p>
          <w:p w14:paraId="7186971B">
            <w:pPr>
              <w:rPr>
                <w:rFonts w:cs="Arial"/>
                <w:sz w:val="22"/>
                <w:szCs w:val="22"/>
              </w:rPr>
            </w:pPr>
          </w:p>
        </w:tc>
      </w:tr>
    </w:tbl>
    <w:p w14:paraId="1F6DC404">
      <w:pPr>
        <w:rPr>
          <w:rFonts w:cs="Arial"/>
          <w:sz w:val="22"/>
          <w:szCs w:val="22"/>
        </w:rPr>
      </w:pPr>
    </w:p>
    <w:p w14:paraId="51057E28">
      <w:pPr>
        <w:rPr>
          <w:rFonts w:cs="Arial"/>
          <w:sz w:val="22"/>
          <w:szCs w:val="22"/>
        </w:rPr>
      </w:pPr>
      <w:r>
        <w:rPr>
          <w:rFonts w:cs="Arial"/>
          <w:sz w:val="22"/>
          <w:szCs w:val="22"/>
        </w:rPr>
        <w:br w:type="page"/>
      </w:r>
    </w:p>
    <w:p w14:paraId="5AC5A0EB">
      <w:pPr>
        <w:rPr>
          <w:rFonts w:cs="Arial"/>
          <w:sz w:val="22"/>
          <w:szCs w:val="22"/>
        </w:rPr>
      </w:pPr>
    </w:p>
    <w:p w14:paraId="6ABB2FC9">
      <w:pPr>
        <w:rPr>
          <w:rFonts w:cs="Arial"/>
          <w:sz w:val="22"/>
          <w:szCs w:val="22"/>
        </w:rPr>
      </w:pPr>
    </w:p>
    <w:p w14:paraId="2A2518BF">
      <w:pPr>
        <w:ind w:left="-142"/>
        <w:rPr>
          <w:rFonts w:cs="Arial"/>
          <w:sz w:val="22"/>
          <w:szCs w:val="22"/>
        </w:rPr>
      </w:pPr>
      <w:r>
        <w:rPr>
          <w:rFonts w:cs="Arial"/>
          <w:b/>
          <w:bCs/>
          <w:sz w:val="22"/>
          <w:szCs w:val="22"/>
        </w:rPr>
        <w:t>Supervisory Team</w:t>
      </w:r>
    </w:p>
    <w:p w14:paraId="6C333259">
      <w:pPr>
        <w:rPr>
          <w:rFonts w:cs="Arial"/>
          <w:sz w:val="22"/>
          <w:szCs w:val="22"/>
        </w:rPr>
      </w:pPr>
    </w:p>
    <w:p w14:paraId="031F6DCE">
      <w:pPr>
        <w:ind w:left="180"/>
        <w:rPr>
          <w:rFonts w:cs="Arial"/>
          <w:b/>
          <w:sz w:val="22"/>
          <w:szCs w:val="22"/>
        </w:rPr>
      </w:pPr>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7"/>
      </w:tblGrid>
      <w:tr w14:paraId="6DEC1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shd w:val="clear" w:color="auto" w:fill="F1F1F1" w:themeFill="background1" w:themeFillShade="F2"/>
          </w:tcPr>
          <w:p w14:paraId="67C439D8">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14:paraId="2A58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14:paraId="14E0F47B">
            <w:pPr>
              <w:rPr>
                <w:rFonts w:cs="Arial"/>
                <w:b/>
                <w:sz w:val="22"/>
                <w:szCs w:val="22"/>
              </w:rPr>
            </w:pPr>
          </w:p>
          <w:p w14:paraId="150FD3CD">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693492707"/>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14:paraId="1B3D0D08">
            <w:pPr>
              <w:rPr>
                <w:rFonts w:cs="Arial"/>
                <w:b/>
                <w:sz w:val="22"/>
                <w:szCs w:val="22"/>
              </w:rPr>
            </w:pPr>
          </w:p>
          <w:p w14:paraId="1029B02B">
            <w:pPr>
              <w:rPr>
                <w:rFonts w:cs="Arial"/>
                <w:b/>
                <w:sz w:val="22"/>
                <w:szCs w:val="22"/>
              </w:rPr>
            </w:pPr>
          </w:p>
        </w:tc>
      </w:tr>
    </w:tbl>
    <w:p w14:paraId="12E8B255">
      <w:pPr>
        <w:rPr>
          <w:rFonts w:cs="Arial"/>
          <w:sz w:val="22"/>
          <w:szCs w:val="22"/>
        </w:rPr>
      </w:pPr>
    </w:p>
    <w:p w14:paraId="040E15F0">
      <w:pPr>
        <w:rPr>
          <w:rFonts w:cs="Arial"/>
          <w:b/>
          <w:sz w:val="22"/>
          <w:szCs w:val="22"/>
        </w:rPr>
      </w:pPr>
      <w:r>
        <w:rPr>
          <w:rFonts w:cs="Arial"/>
          <w:b/>
          <w:sz w:val="22"/>
          <w:szCs w:val="22"/>
        </w:rPr>
        <w:t>Authorisation</w:t>
      </w:r>
    </w:p>
    <w:p w14:paraId="2B6C4E5D">
      <w:pPr>
        <w:rPr>
          <w:rFonts w:cs="Arial"/>
          <w:sz w:val="22"/>
          <w:szCs w:val="22"/>
        </w:rPr>
      </w:pPr>
    </w:p>
    <w:tbl>
      <w:tblPr>
        <w:tblStyle w:val="14"/>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5387"/>
        <w:gridCol w:w="1842"/>
      </w:tblGrid>
      <w:tr w14:paraId="79010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14:paraId="750705C5">
            <w:pPr>
              <w:rPr>
                <w:rFonts w:cs="Arial"/>
                <w:sz w:val="22"/>
                <w:szCs w:val="22"/>
              </w:rPr>
            </w:pPr>
            <w:r>
              <w:rPr>
                <w:rFonts w:cs="Arial"/>
                <w:sz w:val="22"/>
                <w:szCs w:val="22"/>
              </w:rPr>
              <w:t>Director of Studies</w:t>
            </w:r>
          </w:p>
        </w:tc>
        <w:tc>
          <w:tcPr>
            <w:tcW w:w="5387" w:type="dxa"/>
          </w:tcPr>
          <w:p w14:paraId="29755B6A">
            <w:pPr>
              <w:rPr>
                <w:rFonts w:cs="Arial"/>
                <w:sz w:val="22"/>
                <w:szCs w:val="22"/>
              </w:rPr>
            </w:pPr>
            <w:r>
              <w:rPr>
                <w:rFonts w:cs="Arial"/>
                <w:sz w:val="22"/>
                <w:szCs w:val="22"/>
              </w:rPr>
              <w:t>Signature or Print Name:</w:t>
            </w:r>
          </w:p>
          <w:p w14:paraId="1640CD4C">
            <w:pPr>
              <w:rPr>
                <w:rFonts w:cs="Arial"/>
                <w:sz w:val="22"/>
                <w:szCs w:val="22"/>
              </w:rPr>
            </w:pPr>
          </w:p>
          <w:p w14:paraId="4F10A3A4">
            <w:pPr>
              <w:rPr>
                <w:rFonts w:cs="Arial"/>
                <w:sz w:val="22"/>
                <w:szCs w:val="22"/>
              </w:rPr>
            </w:pPr>
          </w:p>
          <w:p w14:paraId="4C62ABE9">
            <w:pPr>
              <w:rPr>
                <w:rFonts w:cs="Arial"/>
                <w:sz w:val="22"/>
                <w:szCs w:val="22"/>
              </w:rPr>
            </w:pPr>
          </w:p>
        </w:tc>
        <w:tc>
          <w:tcPr>
            <w:tcW w:w="1842" w:type="dxa"/>
          </w:tcPr>
          <w:p w14:paraId="0069E19D">
            <w:pPr>
              <w:rPr>
                <w:rFonts w:cs="Arial"/>
                <w:sz w:val="22"/>
                <w:szCs w:val="22"/>
              </w:rPr>
            </w:pPr>
            <w:r>
              <w:rPr>
                <w:rFonts w:cs="Arial"/>
                <w:sz w:val="22"/>
                <w:szCs w:val="22"/>
              </w:rPr>
              <w:t>Date:</w:t>
            </w:r>
          </w:p>
        </w:tc>
      </w:tr>
      <w:tr w14:paraId="0F512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14:paraId="368E5DF8">
            <w:pPr>
              <w:rPr>
                <w:rFonts w:cs="Arial"/>
                <w:sz w:val="22"/>
                <w:szCs w:val="22"/>
              </w:rPr>
            </w:pPr>
            <w:r>
              <w:rPr>
                <w:rFonts w:cs="Arial"/>
                <w:sz w:val="22"/>
                <w:szCs w:val="22"/>
              </w:rPr>
              <w:t>Institute Manager of Research Degrees</w:t>
            </w:r>
          </w:p>
          <w:p w14:paraId="0EB7C658">
            <w:pPr>
              <w:rPr>
                <w:rFonts w:cs="Arial"/>
                <w:sz w:val="22"/>
                <w:szCs w:val="22"/>
              </w:rPr>
            </w:pPr>
          </w:p>
        </w:tc>
        <w:tc>
          <w:tcPr>
            <w:tcW w:w="5387" w:type="dxa"/>
          </w:tcPr>
          <w:p w14:paraId="3B40C9E1">
            <w:pPr>
              <w:rPr>
                <w:rFonts w:cs="Arial"/>
                <w:sz w:val="22"/>
                <w:szCs w:val="22"/>
              </w:rPr>
            </w:pPr>
            <w:r>
              <w:rPr>
                <w:rFonts w:cs="Arial"/>
                <w:sz w:val="22"/>
                <w:szCs w:val="22"/>
              </w:rPr>
              <w:t>Signature or Print Name:</w:t>
            </w:r>
          </w:p>
          <w:p w14:paraId="3F8D8126">
            <w:pPr>
              <w:rPr>
                <w:rFonts w:cs="Arial"/>
                <w:sz w:val="22"/>
                <w:szCs w:val="22"/>
              </w:rPr>
            </w:pPr>
          </w:p>
          <w:p w14:paraId="32A0626D">
            <w:pPr>
              <w:rPr>
                <w:rFonts w:cs="Arial"/>
                <w:sz w:val="22"/>
                <w:szCs w:val="22"/>
              </w:rPr>
            </w:pPr>
          </w:p>
          <w:p w14:paraId="4DECBE59">
            <w:pPr>
              <w:rPr>
                <w:rFonts w:cs="Arial"/>
                <w:sz w:val="22"/>
                <w:szCs w:val="22"/>
              </w:rPr>
            </w:pPr>
          </w:p>
        </w:tc>
        <w:tc>
          <w:tcPr>
            <w:tcW w:w="1842" w:type="dxa"/>
          </w:tcPr>
          <w:p w14:paraId="0E4F3281">
            <w:pPr>
              <w:rPr>
                <w:rFonts w:cs="Arial"/>
                <w:sz w:val="22"/>
                <w:szCs w:val="22"/>
              </w:rPr>
            </w:pPr>
            <w:r>
              <w:rPr>
                <w:rFonts w:cs="Arial"/>
                <w:sz w:val="22"/>
                <w:szCs w:val="22"/>
              </w:rPr>
              <w:t>Date:</w:t>
            </w:r>
          </w:p>
        </w:tc>
      </w:tr>
    </w:tbl>
    <w:p w14:paraId="385E4CC7">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Helvetica Neue">
    <w:panose1 w:val="02000503000000020004"/>
    <w:charset w:val="00"/>
    <w:family w:val="auto"/>
    <w:pitch w:val="default"/>
    <w:sig w:usb0="80000067"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Agency FB">
    <w:panose1 w:val="020B0503020202020204"/>
    <w:charset w:val="4D"/>
    <w:family w:val="swiss"/>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sdtPr>
    <w:sdtContent>
      <w:p w14:paraId="352D1556">
        <w:pPr>
          <w:pStyle w:val="8"/>
          <w:jc w:val="center"/>
        </w:pPr>
        <w:r>
          <w:fldChar w:fldCharType="begin"/>
        </w:r>
        <w:r>
          <w:instrText xml:space="preserve"> PAGE   \* MERGEFORMAT </w:instrText>
        </w:r>
        <w:r>
          <w:fldChar w:fldCharType="separate"/>
        </w:r>
        <w:r>
          <w:t>1</w:t>
        </w:r>
        <w:r>
          <w:fldChar w:fldCharType="end"/>
        </w:r>
      </w:p>
    </w:sdtContent>
  </w:sdt>
  <w:p w14:paraId="1D984B47">
    <w:pPr>
      <w:pStyle w:val="8"/>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F5B29">
    <w:pPr>
      <w:pStyle w:val="9"/>
    </w:pPr>
    <w:r>
      <w:drawing>
        <wp:anchor distT="0" distB="0" distL="114300" distR="114300" simplePos="0" relativeHeight="251660288"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4A193286">
    <w:pPr>
      <w:pStyle w:val="9"/>
      <w:jc w:val="right"/>
    </w:pPr>
    <w:r>
      <w:tab/>
    </w:r>
    <w:r>
      <w:tab/>
    </w:r>
    <w:r>
      <w:tab/>
    </w:r>
    <w:r>
      <w:tab/>
    </w:r>
    <w:r>
      <w:t>Appendix PG1</w:t>
    </w:r>
  </w:p>
  <w:p w14:paraId="43B41778">
    <w:pPr>
      <w:pStyle w:val="9"/>
    </w:pPr>
  </w:p>
  <w:p w14:paraId="6EF539CC">
    <w:pPr>
      <w:pStyle w:val="9"/>
    </w:pPr>
  </w:p>
  <w:p w14:paraId="50B733D4">
    <w:pPr>
      <w:pStyle w:val="9"/>
    </w:pPr>
  </w:p>
  <w:p w14:paraId="1F4C3B70">
    <w:pPr>
      <w:pStyle w:val="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D8345"/>
    <w:multiLevelType w:val="singleLevel"/>
    <w:tmpl w:val="97CD8345"/>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6"/>
  <w:bordersDoNotSurroundHeader w:val="0"/>
  <w:bordersDoNotSurroundFooter w:val="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25468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annotation text"/>
    <w:basedOn w:val="1"/>
    <w:link w:val="23"/>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unhideWhenUsed/>
    <w:qFormat/>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unhideWhenUsed/>
    <w:qFormat/>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semiHidden/>
    <w:qFormat/>
    <w:uiPriority w:val="99"/>
    <w:rPr>
      <w:rFonts w:ascii="Arial" w:hAnsi="Arial"/>
    </w:rPr>
  </w:style>
  <w:style w:type="character" w:customStyle="1" w:styleId="24">
    <w:name w:val="Comment Subject Char"/>
    <w:link w:val="12"/>
    <w:semiHidden/>
    <w:qFormat/>
    <w:uiPriority w:val="99"/>
    <w:rPr>
      <w:rFonts w:ascii="Arial" w:hAnsi="Arial"/>
      <w:b/>
      <w:bCs/>
    </w:rPr>
  </w:style>
  <w:style w:type="character" w:customStyle="1" w:styleId="25">
    <w:name w:val="Footer Char"/>
    <w:link w:val="8"/>
    <w:qFormat/>
    <w:uiPriority w:val="99"/>
    <w:rPr>
      <w:rFonts w:ascii="Arial" w:hAnsi="Arial"/>
    </w:rPr>
  </w:style>
  <w:style w:type="paragraph" w:customStyle="1" w:styleId="26">
    <w:name w:val="List Paragraph1"/>
    <w:basedOn w:val="1"/>
    <w:qFormat/>
    <w:uiPriority w:val="99"/>
    <w:pPr>
      <w:ind w:left="720"/>
    </w:pPr>
  </w:style>
  <w:style w:type="paragraph" w:customStyle="1" w:styleId="27">
    <w:name w:val="Revision1"/>
    <w:hidden/>
    <w:semiHidden/>
    <w:qFormat/>
    <w:uiPriority w:val="99"/>
    <w:rPr>
      <w:rFonts w:ascii="Arial" w:hAnsi="Arial" w:eastAsia="Times New Roman" w:cs="Times New Roman"/>
      <w:lang w:val="en-GB" w:eastAsia="en-GB" w:bidi="ar-SA"/>
    </w:rPr>
  </w:style>
  <w:style w:type="paragraph" w:customStyle="1" w:styleId="28">
    <w:name w:val="No Spacing1"/>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customXml" Target="ink/ink2.xml"/><Relationship Id="rId7" Type="http://schemas.openxmlformats.org/officeDocument/2006/relationships/image" Target="media/image2.png"/><Relationship Id="rId6" Type="http://schemas.openxmlformats.org/officeDocument/2006/relationships/customXml" Target="ink/ink1.xml"/><Relationship Id="rId5" Type="http://schemas.openxmlformats.org/officeDocument/2006/relationships/theme" Target="theme/theme1.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4.png"/><Relationship Id="rId30" Type="http://schemas.openxmlformats.org/officeDocument/2006/relationships/customXml" Target="ink/ink13.xml"/><Relationship Id="rId3" Type="http://schemas.openxmlformats.org/officeDocument/2006/relationships/header" Target="header1.xml"/><Relationship Id="rId29" Type="http://schemas.openxmlformats.org/officeDocument/2006/relationships/image" Target="media/image13.png"/><Relationship Id="rId28" Type="http://schemas.openxmlformats.org/officeDocument/2006/relationships/customXml" Target="ink/ink12.xml"/><Relationship Id="rId27" Type="http://schemas.openxmlformats.org/officeDocument/2006/relationships/image" Target="media/image12.png"/><Relationship Id="rId26" Type="http://schemas.openxmlformats.org/officeDocument/2006/relationships/customXml" Target="ink/ink11.xml"/><Relationship Id="rId25" Type="http://schemas.openxmlformats.org/officeDocument/2006/relationships/image" Target="media/image11.png"/><Relationship Id="rId24" Type="http://schemas.openxmlformats.org/officeDocument/2006/relationships/customXml" Target="ink/ink10.xml"/><Relationship Id="rId23" Type="http://schemas.openxmlformats.org/officeDocument/2006/relationships/image" Target="media/image10.png"/><Relationship Id="rId22" Type="http://schemas.openxmlformats.org/officeDocument/2006/relationships/customXml" Target="ink/ink9.xml"/><Relationship Id="rId21" Type="http://schemas.openxmlformats.org/officeDocument/2006/relationships/image" Target="media/image9.png"/><Relationship Id="rId20" Type="http://schemas.openxmlformats.org/officeDocument/2006/relationships/customXml" Target="ink/ink8.xml"/><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customXml" Target="ink/ink7.xml"/><Relationship Id="rId17" Type="http://schemas.openxmlformats.org/officeDocument/2006/relationships/image" Target="media/image7.png"/><Relationship Id="rId16" Type="http://schemas.openxmlformats.org/officeDocument/2006/relationships/customXml" Target="ink/ink6.xml"/><Relationship Id="rId15" Type="http://schemas.openxmlformats.org/officeDocument/2006/relationships/image" Target="media/image6.png"/><Relationship Id="rId14" Type="http://schemas.openxmlformats.org/officeDocument/2006/relationships/customXml" Target="ink/ink5.xml"/><Relationship Id="rId13" Type="http://schemas.openxmlformats.org/officeDocument/2006/relationships/image" Target="media/image5.png"/><Relationship Id="rId12" Type="http://schemas.openxmlformats.org/officeDocument/2006/relationships/customXml" Target="ink/ink4.xml"/><Relationship Id="rId11" Type="http://schemas.openxmlformats.org/officeDocument/2006/relationships/image" Target="media/image4.png"/><Relationship Id="rId10" Type="http://schemas.openxmlformats.org/officeDocument/2006/relationships/customXml" Target="ink/ink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40166337043047" units="cm"/>
      <inkml:brushProperty name="height" value="0.040166337043047" units="cm"/>
      <inkml:brushProperty name="color" value="#000000"/>
      <inkml:brushProperty name="fitToCurve" value="1"/>
      <inkml:brushProperty name="ignorePressure" value="0"/>
    </inkml:brush>
  </inkml:definitions>
  <inkml:trace contextRef="#ctx0" brushRef="#br0">40100.000 1549150.000 365,'-46.000'4.000'33,"10.000"10.000"1,10.000 10.000 2,9.000 9.000 1,6.000 6.000 0,3.000 3.000-4,3.000 3.000-3,4.000 4.000-4,1.000 2.000-2,0.000 4.000-4,0.000 3.000-3,0.000 3.000-4,0.000 3.000 0,0.000 3.000 1,0.000 3.000 2,0.000 4.000 1,0.000 2.000 0,0.000 4.000 0,0.000 3.000 0,0.000 3.000-1,0.000 3.000 0,0.000 3.000-2,0.000 3.000-2,0.000 4.000-1,0.000-1.000-2,0.000-3.000 0,0.000-3.000 0,0.000-2.000-1,0.000-5.000-1,0.000-2.000 0,0.000-3.000-1,0.000-3.000-1,-2.000-1.000 0,-3.000 4.000 0,-3.000 3.000-1,-2.000 3.000 0,-3.000-1.000 0,1.000-2.000 0,-1.000-3.000 1,1.000-3.000-1,1.000-4.000 1,3.000-3.000-2,3.000-3.000-1,4.000-2.000-2,1.000-5.000 1,0.000-2.000 0,0.000-3.000 2,0.000-3.000 0,3.000-20.000-1,6.000-33.000-4,7.000-35.000-4,6.000-34.000-3,3.000-16.000 0,0.000 3.000 1,0.000 3.000 3,0.000 4.000 1,-2.000 1.000 1,-3.000 0.000-1,-3.000 0.000-2,-2.000 0.000-1,-1.000 1.000 0,3.000 4.000 1,3.000 3.000 0,4.000 3.000 1,1.000 1.000 0,0.000 1.000-1,0.000-1.000 0,0.000 1.000 0,0.000 2.000 0,0.000 7.000 2,0.000 6.000 0,0.000 7.000 2,0.000 2.000 0,0.000 1.000 2,0.000-1.000-1,0.000 1.000 2,3.000 8.000 0,6.000 20.000 1,7.000 18.000 0,6.000 20.000 1,-1.000 14.000 1,-5.000 14.000-1,-7.000 11.000 1,-5.000 14.000 1,-8.000 2.000-1,-5.000-6.000-1,-7.000-6.000 0,-5.000-6.000-1,-3.000-4.000 0,4.000 1.000 1,3.000-1.000 1,3.000 1.000 0,-1.000-1.000 1,-2.000 1.000-1,-3.000-1.000 1,-3.000 1.000 0,-2.000-3.000-1,0.000-2.000 1,0.000-3.000-1,0.000-3.000 0,0.000 1.000-2,0.000 6.000-1,0.000 7.000-4,0.000 6.000-1,6.000-7.000-17,13.000-18.000-33,12.000-19.000-31,13.000-18.000-32</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419735014438629" units="cm"/>
      <inkml:brushProperty name="height" value="0.0419735014438629" units="cm"/>
      <inkml:brushProperty name="color" value="#000000"/>
      <inkml:brushProperty name="fitToCurve" value="1"/>
      <inkml:brushProperty name="ignorePressure" value="0"/>
    </inkml:brush>
  </inkml:definitions>
  <inkml:trace contextRef="#ctx0" brushRef="#br0">50850.000 1549000.000 349,'-46.000'4.000'6,"10.000"10.000"11,10.000 10.000 13,9.000 9.000 11,6.000 7.000 3,3.000 7.000-5,3.000 6.000-6,4.000 7.000-6,1.000 5.000-3,0.000 7.000-1,0.000 6.000-2,0.000 7.000 0,-2.000 7.000-3,-3.000 9.000-1,-3.000 10.000-3,-2.000 10.000-2,-5.000 4.000-1,-2.000 0.000 0,-3.000 0.000 1,-3.000 0.000-1,-2.000-2.000-1,0.000-3.000 0,0.000-3.000-1,0.000-2.000-1,0.000-3.000-1,0.000 1.000-1,0.000-1.000 1,0.000 1.000-1,-2.000-1.000 0,-3.000 1.000-1,-3.000-1.000 1,-2.000 1.000-1,-1.000-6.000-1,3.000-8.000 1,3.000-10.000-1,4.000-9.000-1,2.000-7.000 0,4.000-3.000 0,3.000-3.000 0,3.000-2.000 0,1.000-5.000 0,1.000-2.000-1,-1.000-3.000 1,1.000-3.000 0,2.000-15.000 0,7.000-24.000-1,6.000-26.000 0,7.000-24.000-1,4.000-15.000 0,3.000-3.000 1,3.000-3.000-1,4.000-2.000 0,2.000-3.000 0,4.000 1.000-1,3.000-1.000-1,3.000 1.000 0,-1.000-3.000-2,-2.000-2.000 1,-3.000-3.000 1,-3.000-3.000-1,1.000-4.000 0,6.000-3.000-2,7.000-3.000 0,6.000-2.000-3,1.000 2.000 1,-3.000 9.000-1,-3.000 10.000 1,-2.000 10.000 1,-5.000 4.000-1,-2.000 0.000 1,-3.000 0.000 0,-3.000 0.000 0,-1.000 1.000 1,4.000 4.000 2,3.000 3.000 2,3.000 3.000 2,4.000 10.000 2,7.000 20.000 2,6.000 18.000 0,7.000 20.000 3,-6.000 10.000-1,-15.000 3.000 0,-15.000 3.000-2,-16.000 4.000-1,-8.000 2.000 0,0.000 4.000 0,0.000 3.000 0,0.000 3.000-1,1.000 3.000 0,4.000 3.000 1,3.000 3.000 0,3.000 4.000 1,-1.000 1.000-1,-2.000 0.000 0,-3.000 0.000 0,-3.000 0.000 0,-4.000 0.000-1,-3.000 0.000 0,-3.000 0.000 0,-2.000 0.000 0,-3.000 0.000-1,1.000 0.000 0,-1.000 0.000 0,1.000 0.000 0,1.000-2.000 0,3.000-3.000-1,3.000-3.000 1,4.000-2.000 0,-1.000-1.000-1,-3.000 3.000 0,-3.000 3.000-1,-2.000 4.000 0,3.000-14.000-5,14.000-27.000-13,11.000-28.000-10,14.000-28.000-12,3.000-17.000-3,-2.000-2.000 4,-3.000-3.000 5,-3.000-3.000 5,-1.000-1.000-1,4.000 4.000-5,3.000 3.000-5,3.000 3.000-5,-2.000 3.000 1,-6.000 3.000 7,-6.000 3.000 8,-6.000 4.000 7,-2.000-1.000 1,3.000-3.000-6,3.000-3.000-5,4.000-2.000-6</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422657355666161" units="cm"/>
      <inkml:brushProperty name="height" value="0.0422657355666161" units="cm"/>
      <inkml:brushProperty name="color" value="#000000"/>
      <inkml:brushProperty name="fitToCurve" value="1"/>
      <inkml:brushProperty name="ignorePressure" value="0"/>
    </inkml:brush>
  </inkml:definitions>
  <inkml:trace contextRef="#ctx0" brushRef="#br0">33650.000 1549900.000 347,'-22.000'-69.000'1,"6.000"13.000"3,7.000 12.000 3,6.000 13.000 2,3.000 4.000 5,0.000-3.000 4,0.000-3.000 4,0.000-2.000 5,1.000 5.000 5,4.000 16.000 5,3.000 15.000 4,3.000 17.000 6,-1.000 8.000-2,-2.000 4.000-8,-3.000 3.000-8,-3.000 3.000-7,-4.000 4.000-6,-3.000 7.000-1,-3.000 6.000-3,-2.000 7.000-2,-3.000 4.000-2,1.000 3.000-1,-1.000 3.000-1,1.000 4.000-2,-3.000 2.000 0,-2.000 4.000 0,-3.000 3.000 1,-3.000 3.000-1,-4.000 3.000-1,-3.000 3.000 0,-3.000 3.000-1,-2.000 4.000-2,-3.000 2.000 0,1.000 4.000 1,-1.000 3.000 0,1.000 3.000 1,-1.000 1.000 0,1.000 1.000-1,-1.000-1.000 0,1.000 1.000 0,-3.000-3.000 0,-2.000-2.000 1,-3.000-3.000 0,-3.000-3.000 0,1.000-6.000 0,6.000-5.000-1,7.000-7.000-1,6.000-5.000-1,3.000-8.000 0,0.000-5.000 0,0.000-7.000 1,0.000-5.000 1,9.000-12.000 2,19.000-16.000 5,19.000-15.000 5,19.000-15.000 4,9.000-9.000 1,0.000 1.000-1,0.000-1.000-3,0.000 1.000-2,3.000 1.000-1,6.000 3.000-3,7.000 3.000-1,6.000 4.000-1,3.000 1.000-3,0.000 0.000 0,0.000 0.000-2,0.000 0.000-2,-2.000 0.000-1,-3.000 0.000-1,-3.000 0.000-2,-2.000 0.000-1,-3.000 1.000-2,1.000 4.000-3,-1.000 3.000-5,1.000 3.000-2</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363585166633129" units="cm"/>
      <inkml:brushProperty name="height" value="0.0363585166633129" units="cm"/>
      <inkml:brushProperty name="color" value="#000000"/>
      <inkml:brushProperty name="fitToCurve" value="1"/>
      <inkml:brushProperty name="ignorePressure" value="0"/>
    </inkml:brush>
  </inkml:definitions>
  <inkml:trace contextRef="#ctx0" brushRef="#br0">34850.000 1551650.000 403,'-40.000'43.000'8,"23.000"-11.000"16,22.000-14.000 15,22.000-11.000 17,8.000-11.000 2,-2.000-5.000-11,-3.000-7.000-12,-3.000-5.000-11,-2.000-4.000-6,0.000 0.000-2,0.000 0.000-2,0.000 0.000-2,1.000-4.000 0,4.000-5.000 1,3.000-7.000 2,3.000-5.000 0,1.000-3.000 2,1.000 4.000 2,-1.000 3.000 2,1.000 3.000 2,-3.000 15.000 0,-2.000 29.000-2,-3.000 28.000-1,-3.000 28.000-2,-6.000 12.000-3,-5.000-3.000-6,-7.000-3.000-5,-5.000-2.000-5,-4.000-3.000-3,0.000 1.000 0,0.000-1.000-2,0.000 1.000-1,-2.000-1.000 1,-3.000 1.000-1,-3.000-1.000 1,-2.000 1.000 0,-1.000-1.000 0,3.000 1.000-1,3.000-1.000 1,4.000 1.000-2,-1.000-3.000-1,-3.000-2.000-3,-3.000-3.000-3,-2.000-3.000-4,-1.000-13.000-6,3.000-22.000-12,3.000-22.000-11,4.000-21.000-10</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164841581135988" units="cm"/>
      <inkml:brushProperty name="height" value="0.0164841581135988" units="cm"/>
      <inkml:brushProperty name="color" value="#000000"/>
      <inkml:brushProperty name="fitToCurve" value="1"/>
      <inkml:brushProperty name="ignorePressure" value="0"/>
    </inkml:brush>
  </inkml:definitions>
  <inkml:trace contextRef="#ctx0" brushRef="#br0">35650.000 1550650.000 889,'-43.000'3.000'79,"17.000"6.000"-47,15.000 7.000-47,16.000 6.000-45</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42622122913599" units="cm"/>
      <inkml:brushProperty name="height" value="0.042622122913599" units="cm"/>
      <inkml:brushProperty name="color" value="#000000"/>
      <inkml:brushProperty name="fitToCurve" value="1"/>
      <inkml:brushProperty name="ignorePressure" value="0"/>
    </inkml:brush>
  </inkml:definitions>
  <inkml:trace contextRef="#ctx0" brushRef="#br0">36650.000 1551200.000 344,'-47.000'-18.000'36,"6.000"17.000"12,7.000 15.000 11,6.000 16.000 12,6.000 7.000-3,6.000 1.000-13,7.000-1.000-14,6.000 1.000-13,1.000 1.000-10,-3.000 3.000-2,-3.000 3.000-3,-2.000 4.000-3,-1.000 2.000-2,3.000 4.000 0,3.000 3.000-2,4.000 3.000 0,1.000 1.000-2,0.000 1.000 1,0.000-1.000-1,0.000 1.000-1,0.000 1.000 1,0.000 3.000-1,0.000 3.000 1,0.000 4.000 0,0.000-3.000 0,0.000-5.000-1,0.000-7.000-1,0.000-5.000-1,0.000-4.000-1,0.000 0.000 1,0.000 0.000 1,0.000 0.000 0,4.000-2.000-1,10.000-3.000-1,10.000-3.000-2,9.000-2.000-1,6.000-12.000-1,3.000-19.000 0,3.000-18.000 0,4.000-19.000 1,-3.000-12.000 0,-5.000-2.000 1,-7.000-3.000 1,-5.000-3.000 0,-3.000-6.000 1,4.000-5.000-1,3.000-7.000 0,3.000-5.000 0,1.000-4.000 0,1.000 0.000 0,-1.000 0.000 1,1.000 0.000-1,-3.000 0.000 1,-2.000 0.000 0,-3.000 0.000-1,-3.000 0.000 0,-2.000 0.000 0,0.000 0.000 0,0.000 0.000 0,0.000 0.000 1,0.000 3.000 0,0.000 6.000-1,0.000 7.000 1,0.000 6.000-2,-2.000 3.000 2,-3.000 0.000 1,-3.000 0.000 2,-2.000 0.000 1,-3.000 12.000 3,1.000 26.000 4,-1.000 24.000 3,1.000 26.000 4,-3.000 15.000 0,-2.000 6.000-3,-3.000 7.000-2,-3.000 6.000-3,-4.000 6.000-2,-3.000 6.000-1,-3.000 7.000-2,-2.000 6.000 0,-3.000 1.000-1,1.000-3.000-1,-1.000-3.000 0,1.000-2.000 0,1.000-3.000-1,3.000 1.000 0,3.000-1.000-1,4.000 1.000 0,4.000-6.000-4,6.000-8.000-11,7.000-10.000-11,6.000-9.000-9</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398303419351578" units="cm"/>
      <inkml:brushProperty name="height" value="0.0398303419351578" units="cm"/>
      <inkml:brushProperty name="color" value="#000000"/>
      <inkml:brushProperty name="fitToCurve" value="1"/>
      <inkml:brushProperty name="ignorePressure" value="0"/>
    </inkml:brush>
  </inkml:definitions>
  <inkml:trace contextRef="#ctx0" brushRef="#br0">39050.000 1551150.000 368,'0.000'-47.000'2,"0.000"6.000"5,0.000 7.000 5,0.000 6.000 6,-4.000 4.000 7,-5.000 4.000 10,-7.000 3.000 8,-5.000 3.000 11,-6.000 9.000 0,-3.000 16.000-5,-3.000 15.000-7,-2.000 17.000-6,-1.000 5.000-6,3.000-3.000-4,3.000-3.000-4,4.000-2.000-6,1.000-1.000-2,0.000 3.000 0,0.000 3.000-1,0.000 4.000-1,1.000 4.000-1,4.000 6.000 0,3.000 7.000-2,3.000 6.000-1,1.000 3.000-1,1.000 0.000 1,-1.000 0.000-1,1.000 0.000-1,1.000 0.000 1,3.000 0.000-1,3.000 0.000 0,4.000 0.000-1,1.000-2.000 0,0.000-3.000-2,0.000-3.000-1,0.000-2.000-1,1.000-5.000 0,4.000-2.000 0,3.000-3.000 0,3.000-3.000 1,6.000-4.000-2,9.000-3.000-2,10.000-3.000-3,10.000-2.000-3,4.000-8.000-5,0.000-8.000-6,0.000-10.000-6,0.000-9.000-6,-4.000-10.000 0,-5.000-9.000 4,-7.000-10.000 4,-5.000-8.000 4,-4.000-6.000 1,0.000 1.000-6,0.000-1.000-4,0.000 1.000-6,0.000-3.000 0,0.000-2.000 4,0.000-3.000 5,0.000-3.000 4,-2.000 1.000 1,-3.000 6.000-2,-3.000 7.000-2,-2.000 6.000-4,-1.000-1.000 0,3.000-5.000-1,3.000-7.000-1,4.000-5.000-1</inkml:trace>
</inkml:ink>
</file>

<file path=word/ink/ink8.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477451272308826" units="cm"/>
      <inkml:brushProperty name="height" value="0.0477451272308826" units="cm"/>
      <inkml:brushProperty name="color" value="#000000"/>
      <inkml:brushProperty name="fitToCurve" value="1"/>
      <inkml:brushProperty name="ignorePressure" value="0"/>
    </inkml:brush>
  </inkml:definitions>
  <inkml:trace contextRef="#ctx0" brushRef="#br0">42200.000 1551100.000 307,'-47.000'0.000'1,"6.000"0.000"3,7.000 0.000 3,6.000 0.000 3,3.000 1.000 4,0.000 4.000 5,0.000 3.000 4,0.000 3.000 5,0.000 3.000 2,0.000 3.000-1,0.000 3.000-2,0.000 4.000-1,-2.000 4.000-2,-3.000 6.000-2,-3.000 7.000-1,-2.000 6.000-2,-3.000 6.000-1,1.000 6.000-1,-1.000 7.000 0,1.000 6.000-1,1.000-2.000-1,3.000-9.000-3,3.000-10.000-2,4.000-8.000-3,2.000-3.000-1,4.000 7.000-1,3.000 6.000 1,3.000 7.000-1,1.000 0.000-1,1.000-2.000 1,-1.000-3.000-1,1.000-3.000 1,-1.000 1.000-1,1.000 6.000 0,-1.000 7.000 0,1.000 6.000 1,7.000-4.000-2,16.000-11.000 0,15.000-14.000-2,17.000-11.000-2,10.000-18.000 0,6.000-22.000 0,7.000-22.000-1,6.000-21.000 0,-2.000-10.000-1,-9.000 3.000 1,-10.000 3.000 0,-8.000 4.000 0,-6.000-1.000 0,1.000-3.000 1,-1.000-3.000 0,1.000-2.000 0,-3.000-1.000 1,-2.000 3.000 1,-3.000 3.000-1,-3.000 4.000 2,-2.000 1.000-1,0.000 0.000 0,0.000 0.000 0,0.000 0.000-1,0.000 0.000 2,0.000 0.000 1,0.000 0.000 2,0.000 0.000 1,-2.000-2.000 3,-3.000-3.000 1,-3.000-3.000 2,-2.000-2.000 1,-3.000 14.000 4,1.000 35.000 2,-1.000 35.000 3,1.000 34.000 4,-3.000 18.000-1,-2.000 4.000-6,-3.000 3.000-4,-3.000 3.000-5,-2.000 1.000-3,0.000 1.000-3,0.000-1.000-1,0.000 1.000-2,1.000-3.000-4,4.000-2.000-2,3.000-3.000-4,3.000-3.000-3,7.000-10.000-8,14.000-16.000-12,11.000-15.000-13,14.000-15.000-11,3.000-15.000-11,-2.000-12.000-7,-3.000-13.000-7,-3.000-12.000-7</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398569032549858" units="cm"/>
      <inkml:brushProperty name="height" value="0.0398569032549858" units="cm"/>
      <inkml:brushProperty name="color" value="#000000"/>
      <inkml:brushProperty name="fitToCurve" value="1"/>
      <inkml:brushProperty name="ignorePressure" value="0"/>
    </inkml:brush>
  </inkml:definitions>
  <inkml:trace contextRef="#ctx0" brushRef="#br0">43100.000 1551250.000 367,'-44.000'-16.000'32,"13.000"19.000"10,12.000 19.000 11,13.000 19.000 10,7.000 7.000 1,4.000-3.000-13,3.000-3.000-11,3.000-2.000-13,-1.000 0.000-6,-2.000 7.000-4,-3.000 6.000-2,-3.000 7.000-3,-2.000 2.000-2,0.000 1.000-1,0.000-1.000-2,0.000 1.000 0,0.000-1.000-2,0.000 1.000 0,0.000-1.000 1,0.000 1.000-1,0.000-3.000 0,0.000-2.000 0,0.000-3.000 0,0.000-3.000-1,-2.000-1.000 1,-3.000 4.000 2,-3.000 3.000 0,-2.000 3.000 1,2.000-18.000 1,9.000-36.000-2,10.000-39.000-1,10.000-36.000-1,2.000-18.000-1,-3.000 3.000 0,-3.000 3.000-2,-2.000 4.000 0,-1.000 1.000-1,3.000 0.000-3,3.000 0.000 0,4.000 0.000-3,1.000 0.000 0,0.000 0.000 1,0.000 0.000 0,0.000 0.000 1,0.000 1.000-1,0.000 4.000 1,0.000 3.000 0,0.000 3.000-1,0.000 4.000 1,0.000 7.000 0,0.000 6.000-1,0.000 7.000 1,1.000 4.000 2,4.000 3.000 3,3.000 3.000 2,3.000 4.000 4,-1.000 10.000 1,-2.000 19.000 0,-3.000 19.000 0,-3.000 19.000 0,-4.000 9.000-1,-3.000 0.000 0,-3.000 0.000-1,-2.000 0.000-2,-3.000 1.000 0,1.000 4.000-1,-1.000 3.000-1,1.000 3.000-1,-3.000 1.000 0,-2.000 1.000 1,-3.000-1.000 0,-3.000 1.000 0,-1.000-1.000-1,4.000 1.000 0,3.000-1.000-2,3.000 1.000-1,-1.000-3.000 0,-2.000-2.000 1,-3.000-3.000 1,-3.000-3.000 0,-1.000-2.000 0,4.000 0.000 0,3.000 0.000-2,3.000 0.000-1,-1.000 1.000-3,-2.000 4.000-2,-3.000 3.000-4,-3.000 3.000-2,4.000-8.000-17,13.000-19.000-28,12.000-18.000-30,13.000-19.000-28</inkml:trace>
</inkml:ink>
</file>

<file path=word/ink/ink10.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510144978761673" units="cm"/>
      <inkml:brushProperty name="height" value="0.0510144978761673" units="cm"/>
      <inkml:brushProperty name="color" value="#000000"/>
      <inkml:brushProperty name="fitToCurve" value="1"/>
      <inkml:brushProperty name="ignorePressure" value="0"/>
    </inkml:brush>
  </inkml:definitions>
  <inkml:trace contextRef="#ctx0" brushRef="#br0">45050.000 1551250.000 287,'-44.000'-25.000'37,"13.000"0.000"-5,12.000 0.000-7,13.000 0.000-5,2.000 6.000 2,-5.000 13.000 7,-7.000 12.000 9,-5.000 13.000 7,-4.000 10.000 1,0.000 10.000-9,0.000 10.000-9,0.000 9.000-8,1.000 2.000-6,4.000-2.000-2,3.000-3.000-3,3.000-3.000-2,-1.000-2.000-1,-2.000 0.000-1,-3.000 0.000 0,-3.000 0.000 0,-1.000 1.000-2,4.000 4.000 0,3.000 3.000 0,3.000 3.000-1,3.000 1.000 0,3.000 1.000 0,3.000-1.000 1,4.000 1.000 0,-1.000-3.000 0,-3.000-2.000-1,-3.000-3.000-2,-2.000-3.000 0,0.000-1.000-1,7.000 4.000-1,6.000 3.000 0,7.000 3.000 0,8.000-8.000-1,14.000-19.000-1,11.000-18.000 0,14.000-19.000-2,0.000-13.000 1,-8.000-6.000 0,-10.000-6.000 2,-9.000-6.000 1,-4.000-7.000 1,4.000-6.000 0,3.000-6.000 0,3.000-6.000 0,-1.000-2.000 1,-2.000 3.000-1,-3.000 3.000 1,-3.000 4.000-1,-1.000-1.000 1,4.000-3.000 0,3.000-3.000 1,3.000-2.000 0,-1.000-3.000 0,-2.000 1.000 0,-3.000-1.000 0,-3.000 1.000-1,-2.000-1.000 1,0.000 1.000 1,0.000-1.000 1,0.000 1.000 1,0.000 1.000 0,0.000 3.000 1,0.000 3.000-1,0.000 4.000 1,-2.000 1.000-1,-3.000 0.000 0,-3.000 0.000 1,-2.000 0.000-1,-5.000 14.000 2,-2.000 28.000 5,-3.000 28.000 5,-3.000 29.000 4,-4.000 21.000 2,-3.000 16.000-4,-3.000 15.000-3,-2.000 17.000-2,-1.000 0.000-3,3.000-11.000-1,3.000-14.000-1,4.000-11.000-1,1.000-7.000-1,0.000 0.000 0,0.000 0.000-1,0.000 0.000-1,-2.000 0.000 0,-3.000 0.000-1,-3.000 0.000 0,-2.000 0.000 0,-1.000 0.000 0,3.000 0.000 0,3.000 0.000 0,4.000 0.000 1,1.000-2.000-1,0.000-3.000 1,0.000-3.000-2,0.000-2.000 1,-2.000-3.000 0,-3.000 1.000 0,-3.000-1.000 0,-2.000 1.000 0,-3.000-1.000 0,1.000 1.000-1,-1.000-1.000 1,1.000 1.000-1,-3.000 4.000-1,-2.000 9.000 0,-3.000 10.000 0,-3.000 10.000 0,-4.000-1.000-2,-3.000-9.000-2,-3.000-10.000-2,-2.000-8.000-2,-6.000-20.000-7,-6.000-28.000-14,-6.000-28.000-12,-6.000-27.000-14,-1.000-15.000-2,7.000 0.000 6,6.000 0.000 7,7.000 0.000 7</inkml:trace>
</inkml:ink>
</file>

<file path=word/ink/ink11.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412627123296261" units="cm"/>
      <inkml:brushProperty name="height" value="0.0412627123296261" units="cm"/>
      <inkml:brushProperty name="color" value="#000000"/>
      <inkml:brushProperty name="fitToCurve" value="1"/>
      <inkml:brushProperty name="ignorePressure" value="0"/>
    </inkml:brush>
  </inkml:definitions>
  <inkml:trace contextRef="#ctx0" brushRef="#br0">49550.000 1549300.000 355,'-47.000'0.000'38,"6.000"0.000"3,7.000 0.000 3,6.000 0.000 1,1.000 1.000-1,-3.000 4.000-6,-3.000 3.000-5,-2.000 3.000-6,-3.000 4.000-4,1.000 7.000-2,-1.000 6.000-3,1.000 7.000-1,-1.000 5.000-3,1.000 7.000-1,-1.000 6.000-2,1.000 7.000-1,-3.000 4.000-1,-2.000 3.000 1,-3.000 3.000 1,-3.000 4.000 0,-2.000 2.000 0,0.000 4.000-1,0.000 3.000 0,0.000 3.000-2,0.000 3.000 0,0.000 3.000 0,0.000 3.000 0,0.000 4.000 0,1.000 1.000 0,4.000 0.000-1,3.000 0.000 1,3.000 0.000 0,3.000 0.000-1,3.000 0.000 0,3.000 0.000-1,4.000 0.000-1,4.000 1.000-1,6.000 4.000 0,7.000 3.000 0,6.000 3.000-2,3.000 3.000 1,0.000 3.000 0,0.000 3.000 0,0.000 4.000 1,1.000-4.000 0,4.000-9.000-1,3.000-10.000-2,3.000-8.000-1,4.000-9.000 0,7.000-6.000 1,6.000-6.000 0,7.000-6.000 0,4.000-6.000 1,3.000-2.000-3,3.000-3.000-1,4.000-3.000-2,2.000-9.000-2,4.000-11.000-4,3.000-14.000-4,3.000-11.000-3,1.000-15.000-4,1.000-16.000-2,-1.000-15.000-2,1.000-15.000-3,-4.000-6.000 1,-6.000 7.000 3,-6.000 6.000 4,-6.000 7.000 4,-4.000 0.000-1,1.000-2.000-5,-1.000-3.000-4,1.000-3.000-6,1.000-4.000 0,3.000-3.000 4,3.000-3.000 5,4.000-2.000 4,-3.000-1.000-3,-5.000 3.000-8,-7.000 3.000-9,-5.000 4.000-9</inkml:trace>
</inkml:ink>
</file>

<file path=word/ink/ink12.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437052100896835" units="cm"/>
      <inkml:brushProperty name="height" value="0.0437052100896835" units="cm"/>
      <inkml:brushProperty name="color" value="#000000"/>
      <inkml:brushProperty name="fitToCurve" value="1"/>
      <inkml:brushProperty name="ignorePressure" value="0"/>
    </inkml:brush>
  </inkml:definitions>
  <inkml:trace contextRef="#ctx0" brushRef="#br0">52300.000 1551700.000 335,'-68.000'46.000'0,"17.000"-5.000"0,15.000-7.000 0,16.000-5.000 0,7.000-4.000 3,1.000 0.000 5,-1.000 0.000 6,1.000 0.000 6,1.000 0.000 1,3.000 0.000-1,3.000 0.000-1,4.000 0.000-2,4.000 0.000-1,6.000 0.000 2,7.000 0.000 2,6.000 0.000 1,6.000-2.000 0,6.000-3.000-2,7.000-3.000 0,6.000-2.000-2,3.000-6.000 0,0.000-6.000-2,0.000-6.000-1,0.000-6.000-1,-2.000-10.000 0,-3.000-12.000 0,-3.000-13.000-1,-2.000-12.000 0,-3.000-5.000 0,1.000 3.000-1,-1.000 3.000 0,1.000 4.000-1,-4.000 1.000 0,-6.000 0.000 0,-6.000 0.000 0,-6.000 0.000 0,-6.000 0.000 0,-2.000 0.000-1,-3.000 0.000 0,-3.000 0.000 0,-7.000 0.000-1,-9.000 0.000 1,-10.000 0.000-1,-8.000 0.000 0,-9.000 6.000 0,-6.000 13.000-2,-6.000 12.000 0,-6.000 13.000-3,-6.000 13.000 1,-2.000 17.000-1,-3.000 15.000-1,-3.000 16.000 1,4.000 7.000-1,13.000 1.000 1,12.000-1.000-2,13.000 1.000 1,6.000-1.000-1,0.000 1.000 0,0.000-1.000 1,0.000 1.000 0,0.000 1.000 0,0.000 3.000 0,0.000 3.000 1,0.000 4.000 1,1.000-1.000 0,4.000-3.000 0,3.000-3.000-1,3.000-2.000 1,3.000-3.000 0,3.000 1.000 0,3.000-1.000 0,4.000 1.000 0,4.000 2.000 0,6.000 7.000 0,7.000 6.000 2,6.000 7.000 0,6.000-6.000-1,6.000-15.000 0,7.000-15.000-2,6.000-16.000 0,4.000-10.000-2,4.000-3.000 0,3.000-3.000-2,3.000-2.000 0,3.000-9.000-5,3.000-12.000-9,3.000-13.000-8,4.000-12.000-8,-1.000-10.000-7,-3.000-6.000-3,-3.000-6.000-5,-2.000-6.000-4,-6.000-1.000 1,-6.000 7.000 6,-6.000 6.000 4,-6.000 7.000 6,-6.000 4.000 3,-2.000 3.000-1,-3.000 3.000 0,-3.000 4.000 0,-4.000 1.000 1,-3.000 0.000 0,-3.000 0.000 0,-2.000 0.000 0</inkml:trace>
</inkml:ink>
</file>

<file path=word/ink/ink13.xml><?xml version="1.0" encoding="utf-8"?>
<inkml:ink xmlns:inkml="http://www.w3.org/2003/InkML">
  <inkml:definitions>
    <inkml:context xml:id="ctx0">
      <inkml:inkSource xml:id="inkSrc0">
        <inkml:traceFormat>
          <inkml:channel name="X" type="integer" units="cm"/>
          <inkml:channel name="Y" type="integer" units="cm"/>
          <inkml:channel name="F" type="integer" max="1000" units="dev"/>
        </inkml:traceFormat>
        <inkml:channelProperties>
          <inkml:channelProperty channel="X" name="resolution" value="28.3464566929134" units="1/cm"/>
          <inkml:channelProperty channel="Y" name="resolution" value="28.3464566929134" units="1/cm"/>
          <inkml:channelProperty channel="F" name="resolution" value="1" units="1/dev"/>
        </inkml:channelProperties>
      </inkml:inkSource>
      <inkml:timestamp xml:id="ts0" timeString="2025-01-05T20:26:37"/>
    </inkml:context>
    <inkml:brush xml:id="br0">
      <inkml:brushProperty name="width" value="0.0551586784422398" units="cm"/>
      <inkml:brushProperty name="height" value="0.0551586784422398" units="cm"/>
      <inkml:brushProperty name="color" value="#000000"/>
      <inkml:brushProperty name="fitToCurve" value="1"/>
      <inkml:brushProperty name="ignorePressure" value="0"/>
    </inkml:brush>
  </inkml:definitions>
  <inkml:trace contextRef="#ctx0" brushRef="#br0">53650.000 1551400.000 265,'-46.000'4.000'5,"10.000"10.000"10,10.000 10.000 9,9.000 9.000 10,6.000 6.000 4,3.000 3.000-2,3.000 3.000-2,4.000 4.000-2,2.000-1.000-4,4.000-3.000-4,3.000-3.000-5,3.000-2.000-5,-1.000 0.000-3,-2.000 7.000-1,-3.000 6.000-1,-3.000 7.000-1,-2.000 0.000-1,0.000-2.000-1,0.000-3.000-1,0.000-3.000 0,0.000-1.000-2,0.000 4.000 1,0.000 3.000-1,0.000 3.000-1,0.000 1.000 1,0.000 1.000 0,0.000-1.000 0,0.000 1.000 0,-4.000 1.000 1,-5.000 3.000-1,-7.000 3.000 2,-5.000 4.000-1,3.000-18.000 1,17.000-37.000 2,15.000-38.000 1,16.000-37.000 2,4.000-18.000-1,-6.000 4.000-1,-6.000 3.000-2,-6.000 3.000-2,-2.000-1.000-2,3.000-2.000 0,3.000-3.000-1,4.000-3.000-2,1.000-2.000 0,0.000 0.000 0,0.000 0.000 0,0.000 0.000-1,0.000 1.000 0,0.000 4.000-1,0.000 3.000 1,0.000 3.000-1,0.000 1.000 1,0.000 1.000-1,0.000-1.000 2,0.000 1.000-1,3.000 1.000 2,6.000 3.000 2,7.000 3.000 2,6.000 4.000 2,1.000 13.000 2,-3.000 26.000 2,-3.000 24.000 3,-2.000 26.000 1,-5.000 18.000 1,-2.000 13.000-2,-3.000 12.000-2,-3.000 13.000-1,-4.000 7.000-2,-3.000 4.000 0,-3.000 3.000-1,-2.000 3.000-1,-5.000-5.000 0,-2.000-12.000 0,-3.000-13.000-2,-3.000-12.000 1,-2.000-7.000-1,0.000 1.000 1,0.000-1.000 1,0.000 1.000 0,1.000 4.000 1,4.000 9.000 2,3.000 10.000 1,3.000 10.000 2,1.000-1.000 0,1.000-9.000 1,-1.000-10.000-1,1.000-8.000 0,8.000-18.000-1,20.000-25.000-3,18.000-25.000-2,20.000-25.000-3,8.000-19.000-6,1.000-12.000-12,-1.000-13.000-11,1.000-12.000-12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UWTSD</Company>
  <Pages>12</Pages>
  <Words>4205</Words>
  <Characters>25058</Characters>
  <Lines>1</Lines>
  <Paragraphs>1</Paragraphs>
  <TotalTime>0</TotalTime>
  <ScaleCrop>false</ScaleCrop>
  <LinksUpToDate>false</LinksUpToDate>
  <CharactersWithSpaces>29043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2020-11-25T01:17:00Z</dcterms:created>
  <dc:creator>Academic Office</dc:creator>
  <cp:lastModifiedBy>微信用户</cp:lastModifiedBy>
  <cp:lastPrinted>2016-11-03T01:01:00Z</cp:lastPrinted>
  <dcterms:modified xsi:type="dcterms:W3CDTF">2025-01-05T20:29:06Z</dcterms:modified>
  <dc:title>PG1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2052-12.1.0.19770</vt:lpwstr>
  </property>
  <property fmtid="{D5CDD505-2E9C-101B-9397-08002B2CF9AE}" pid="7" name="ICV">
    <vt:lpwstr>69DA755B35214D2E88E62BE104E39352_13</vt:lpwstr>
  </property>
  <property fmtid="{D5CDD505-2E9C-101B-9397-08002B2CF9AE}" pid="8" name="KSOTemplateDocerSaveRecord">
    <vt:lpwstr>eyJoZGlkIjoiYzk2YjdmZWIwZjE4Y2YyODk3MWFkMjRjYjlhZDJhZmQiLCJ1c2VySWQiOiIxMjc3MzcwMDU2In0=</vt:lpwstr>
  </property>
</Properties>
</file>