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7BD72" w14:textId="2B472BD7" w:rsidR="00B0723B" w:rsidRDefault="00B0723B">
      <w:pPr>
        <w:rPr>
          <w:rFonts w:ascii="Arial" w:hAnsi="Arial" w:cs="Arial"/>
          <w:b/>
          <w:bCs/>
          <w:sz w:val="24"/>
          <w:szCs w:val="24"/>
        </w:rPr>
      </w:pPr>
      <w:r>
        <w:rPr>
          <w:rFonts w:ascii="Arial" w:hAnsi="Arial" w:cs="Arial"/>
          <w:b/>
          <w:bCs/>
          <w:sz w:val="24"/>
          <w:szCs w:val="24"/>
        </w:rPr>
        <w:t xml:space="preserve">Name : Shivam </w:t>
      </w:r>
      <w:r w:rsidR="00D41F24">
        <w:rPr>
          <w:rFonts w:ascii="Arial" w:hAnsi="Arial" w:cs="Arial"/>
          <w:b/>
          <w:bCs/>
          <w:sz w:val="24"/>
          <w:szCs w:val="24"/>
        </w:rPr>
        <w:t>P</w:t>
      </w:r>
      <w:r>
        <w:rPr>
          <w:rFonts w:ascii="Arial" w:hAnsi="Arial" w:cs="Arial"/>
          <w:b/>
          <w:bCs/>
          <w:sz w:val="24"/>
          <w:szCs w:val="24"/>
        </w:rPr>
        <w:t>atel</w:t>
      </w:r>
    </w:p>
    <w:p w14:paraId="1EB63F11" w14:textId="27B4F42F" w:rsidR="00B0723B" w:rsidRDefault="00B0723B">
      <w:pPr>
        <w:rPr>
          <w:rFonts w:ascii="Arial" w:hAnsi="Arial" w:cs="Arial"/>
          <w:b/>
          <w:bCs/>
          <w:sz w:val="24"/>
          <w:szCs w:val="24"/>
        </w:rPr>
      </w:pPr>
      <w:r>
        <w:rPr>
          <w:rFonts w:ascii="Arial" w:hAnsi="Arial" w:cs="Arial"/>
          <w:b/>
          <w:bCs/>
          <w:sz w:val="24"/>
          <w:szCs w:val="24"/>
        </w:rPr>
        <w:t>Student Id: 2432185</w:t>
      </w:r>
    </w:p>
    <w:p w14:paraId="44E415AA" w14:textId="60EDEBD0" w:rsidR="00B0723B" w:rsidRDefault="00B0723B">
      <w:pPr>
        <w:rPr>
          <w:rFonts w:ascii="Arial" w:hAnsi="Arial" w:cs="Arial"/>
          <w:b/>
          <w:bCs/>
          <w:sz w:val="24"/>
          <w:szCs w:val="24"/>
        </w:rPr>
      </w:pPr>
      <w:r>
        <w:rPr>
          <w:rFonts w:ascii="Arial" w:hAnsi="Arial" w:cs="Arial"/>
          <w:b/>
          <w:bCs/>
          <w:sz w:val="24"/>
          <w:szCs w:val="24"/>
        </w:rPr>
        <w:t>Word count: 4926 words</w:t>
      </w:r>
    </w:p>
    <w:p w14:paraId="0678BCC1" w14:textId="663ABE28" w:rsidR="00B0723B" w:rsidRDefault="00B0723B">
      <w:pPr>
        <w:rPr>
          <w:rFonts w:ascii="Arial" w:hAnsi="Arial" w:cs="Arial"/>
          <w:b/>
          <w:bCs/>
          <w:sz w:val="24"/>
          <w:szCs w:val="24"/>
        </w:rPr>
      </w:pPr>
    </w:p>
    <w:p w14:paraId="4F111694" w14:textId="77777777" w:rsidR="00B0723B" w:rsidRDefault="00B0723B">
      <w:pPr>
        <w:rPr>
          <w:rFonts w:ascii="Arial" w:hAnsi="Arial" w:cs="Arial"/>
          <w:b/>
          <w:bCs/>
          <w:sz w:val="24"/>
          <w:szCs w:val="24"/>
        </w:rPr>
      </w:pPr>
      <w:r>
        <w:rPr>
          <w:rFonts w:ascii="Arial" w:hAnsi="Arial" w:cs="Arial"/>
          <w:b/>
          <w:bCs/>
          <w:sz w:val="24"/>
          <w:szCs w:val="24"/>
        </w:rPr>
        <w:br w:type="page"/>
      </w:r>
    </w:p>
    <w:sdt>
      <w:sdtPr>
        <w:id w:val="-2006113252"/>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458BCC1C" w14:textId="3855875F" w:rsidR="00B0723B" w:rsidRDefault="00B0723B">
          <w:pPr>
            <w:pStyle w:val="TOCHeading"/>
          </w:pPr>
          <w:r>
            <w:t>Contents</w:t>
          </w:r>
        </w:p>
        <w:p w14:paraId="07DB39CF" w14:textId="2F782651" w:rsidR="00B0723B" w:rsidRDefault="00B0723B">
          <w:pPr>
            <w:pStyle w:val="TOC2"/>
            <w:tabs>
              <w:tab w:val="right" w:leader="dot" w:pos="9016"/>
            </w:tabs>
            <w:rPr>
              <w:noProof/>
            </w:rPr>
          </w:pPr>
          <w:r>
            <w:fldChar w:fldCharType="begin"/>
          </w:r>
          <w:r>
            <w:instrText xml:space="preserve"> TOC \o "1-3" \h \z \u </w:instrText>
          </w:r>
          <w:r>
            <w:fldChar w:fldCharType="separate"/>
          </w:r>
          <w:hyperlink w:anchor="_Toc214312882" w:history="1">
            <w:r w:rsidRPr="00E8228F">
              <w:rPr>
                <w:rStyle w:val="Hyperlink"/>
                <w:noProof/>
              </w:rPr>
              <w:t>1. Introduction</w:t>
            </w:r>
            <w:r>
              <w:rPr>
                <w:noProof/>
                <w:webHidden/>
              </w:rPr>
              <w:tab/>
            </w:r>
            <w:r>
              <w:rPr>
                <w:noProof/>
                <w:webHidden/>
              </w:rPr>
              <w:fldChar w:fldCharType="begin"/>
            </w:r>
            <w:r>
              <w:rPr>
                <w:noProof/>
                <w:webHidden/>
              </w:rPr>
              <w:instrText xml:space="preserve"> PAGEREF _Toc214312882 \h </w:instrText>
            </w:r>
            <w:r>
              <w:rPr>
                <w:noProof/>
                <w:webHidden/>
              </w:rPr>
            </w:r>
            <w:r>
              <w:rPr>
                <w:noProof/>
                <w:webHidden/>
              </w:rPr>
              <w:fldChar w:fldCharType="separate"/>
            </w:r>
            <w:r>
              <w:rPr>
                <w:noProof/>
                <w:webHidden/>
              </w:rPr>
              <w:t>3</w:t>
            </w:r>
            <w:r>
              <w:rPr>
                <w:noProof/>
                <w:webHidden/>
              </w:rPr>
              <w:fldChar w:fldCharType="end"/>
            </w:r>
          </w:hyperlink>
        </w:p>
        <w:p w14:paraId="0045631D" w14:textId="77B5F411" w:rsidR="00B0723B" w:rsidRDefault="00B0723B">
          <w:pPr>
            <w:pStyle w:val="TOC2"/>
            <w:tabs>
              <w:tab w:val="right" w:leader="dot" w:pos="9016"/>
            </w:tabs>
            <w:rPr>
              <w:noProof/>
            </w:rPr>
          </w:pPr>
          <w:hyperlink w:anchor="_Toc214312883" w:history="1">
            <w:r w:rsidRPr="00E8228F">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_Toc214312883 \h </w:instrText>
            </w:r>
            <w:r>
              <w:rPr>
                <w:noProof/>
                <w:webHidden/>
              </w:rPr>
            </w:r>
            <w:r>
              <w:rPr>
                <w:noProof/>
                <w:webHidden/>
              </w:rPr>
              <w:fldChar w:fldCharType="separate"/>
            </w:r>
            <w:r>
              <w:rPr>
                <w:noProof/>
                <w:webHidden/>
              </w:rPr>
              <w:t>3</w:t>
            </w:r>
            <w:r>
              <w:rPr>
                <w:noProof/>
                <w:webHidden/>
              </w:rPr>
              <w:fldChar w:fldCharType="end"/>
            </w:r>
          </w:hyperlink>
        </w:p>
        <w:p w14:paraId="00F809C2" w14:textId="1E198485" w:rsidR="00B0723B" w:rsidRDefault="00B0723B">
          <w:pPr>
            <w:pStyle w:val="TOC3"/>
            <w:tabs>
              <w:tab w:val="right" w:leader="dot" w:pos="9016"/>
            </w:tabs>
            <w:rPr>
              <w:noProof/>
            </w:rPr>
          </w:pPr>
          <w:hyperlink w:anchor="_Toc214312884" w:history="1">
            <w:r w:rsidRPr="00E8228F">
              <w:rPr>
                <w:rStyle w:val="Hyperlink"/>
                <w:noProof/>
              </w:rPr>
              <w:t>2a. Why Unilever is Designated an MNC/TNC</w:t>
            </w:r>
            <w:r>
              <w:rPr>
                <w:noProof/>
                <w:webHidden/>
              </w:rPr>
              <w:tab/>
            </w:r>
            <w:r>
              <w:rPr>
                <w:noProof/>
                <w:webHidden/>
              </w:rPr>
              <w:fldChar w:fldCharType="begin"/>
            </w:r>
            <w:r>
              <w:rPr>
                <w:noProof/>
                <w:webHidden/>
              </w:rPr>
              <w:instrText xml:space="preserve"> PAGEREF _Toc214312884 \h </w:instrText>
            </w:r>
            <w:r>
              <w:rPr>
                <w:noProof/>
                <w:webHidden/>
              </w:rPr>
            </w:r>
            <w:r>
              <w:rPr>
                <w:noProof/>
                <w:webHidden/>
              </w:rPr>
              <w:fldChar w:fldCharType="separate"/>
            </w:r>
            <w:r>
              <w:rPr>
                <w:noProof/>
                <w:webHidden/>
              </w:rPr>
              <w:t>3</w:t>
            </w:r>
            <w:r>
              <w:rPr>
                <w:noProof/>
                <w:webHidden/>
              </w:rPr>
              <w:fldChar w:fldCharType="end"/>
            </w:r>
          </w:hyperlink>
        </w:p>
        <w:p w14:paraId="469B1020" w14:textId="47000986" w:rsidR="00B0723B" w:rsidRDefault="00B0723B">
          <w:pPr>
            <w:pStyle w:val="TOC3"/>
            <w:tabs>
              <w:tab w:val="right" w:leader="dot" w:pos="9016"/>
            </w:tabs>
            <w:rPr>
              <w:noProof/>
            </w:rPr>
          </w:pPr>
          <w:hyperlink w:anchor="_Toc214312885" w:history="1">
            <w:r w:rsidRPr="00E8228F">
              <w:rPr>
                <w:rStyle w:val="Hyperlink"/>
                <w:noProof/>
              </w:rPr>
              <w:t>2b. Nature of Unilever’s Global Operations and Value Chain</w:t>
            </w:r>
            <w:r>
              <w:rPr>
                <w:noProof/>
                <w:webHidden/>
              </w:rPr>
              <w:tab/>
            </w:r>
            <w:r>
              <w:rPr>
                <w:noProof/>
                <w:webHidden/>
              </w:rPr>
              <w:fldChar w:fldCharType="begin"/>
            </w:r>
            <w:r>
              <w:rPr>
                <w:noProof/>
                <w:webHidden/>
              </w:rPr>
              <w:instrText xml:space="preserve"> PAGEREF _Toc214312885 \h </w:instrText>
            </w:r>
            <w:r>
              <w:rPr>
                <w:noProof/>
                <w:webHidden/>
              </w:rPr>
            </w:r>
            <w:r>
              <w:rPr>
                <w:noProof/>
                <w:webHidden/>
              </w:rPr>
              <w:fldChar w:fldCharType="separate"/>
            </w:r>
            <w:r>
              <w:rPr>
                <w:noProof/>
                <w:webHidden/>
              </w:rPr>
              <w:t>4</w:t>
            </w:r>
            <w:r>
              <w:rPr>
                <w:noProof/>
                <w:webHidden/>
              </w:rPr>
              <w:fldChar w:fldCharType="end"/>
            </w:r>
          </w:hyperlink>
        </w:p>
        <w:p w14:paraId="45C669C3" w14:textId="5664E37F" w:rsidR="00B0723B" w:rsidRDefault="00B0723B">
          <w:pPr>
            <w:pStyle w:val="TOC3"/>
            <w:tabs>
              <w:tab w:val="right" w:leader="dot" w:pos="9016"/>
            </w:tabs>
            <w:rPr>
              <w:noProof/>
            </w:rPr>
          </w:pPr>
          <w:hyperlink w:anchor="_Toc214312886" w:history="1">
            <w:r w:rsidRPr="00E8228F">
              <w:rPr>
                <w:rStyle w:val="Hyperlink"/>
                <w:noProof/>
              </w:rPr>
              <w:t>2c. Entry Modes Used by Unilever in International Markets and Dominant Mode</w:t>
            </w:r>
            <w:r>
              <w:rPr>
                <w:noProof/>
                <w:webHidden/>
              </w:rPr>
              <w:tab/>
            </w:r>
            <w:r>
              <w:rPr>
                <w:noProof/>
                <w:webHidden/>
              </w:rPr>
              <w:fldChar w:fldCharType="begin"/>
            </w:r>
            <w:r>
              <w:rPr>
                <w:noProof/>
                <w:webHidden/>
              </w:rPr>
              <w:instrText xml:space="preserve"> PAGEREF _Toc214312886 \h </w:instrText>
            </w:r>
            <w:r>
              <w:rPr>
                <w:noProof/>
                <w:webHidden/>
              </w:rPr>
            </w:r>
            <w:r>
              <w:rPr>
                <w:noProof/>
                <w:webHidden/>
              </w:rPr>
              <w:fldChar w:fldCharType="separate"/>
            </w:r>
            <w:r>
              <w:rPr>
                <w:noProof/>
                <w:webHidden/>
              </w:rPr>
              <w:t>6</w:t>
            </w:r>
            <w:r>
              <w:rPr>
                <w:noProof/>
                <w:webHidden/>
              </w:rPr>
              <w:fldChar w:fldCharType="end"/>
            </w:r>
          </w:hyperlink>
        </w:p>
        <w:p w14:paraId="67D43D99" w14:textId="5F7B9AAC" w:rsidR="00B0723B" w:rsidRDefault="00B0723B">
          <w:pPr>
            <w:pStyle w:val="TOC3"/>
            <w:tabs>
              <w:tab w:val="right" w:leader="dot" w:pos="9016"/>
            </w:tabs>
            <w:rPr>
              <w:noProof/>
            </w:rPr>
          </w:pPr>
          <w:hyperlink w:anchor="_Toc214312887" w:history="1">
            <w:r w:rsidRPr="00E8228F">
              <w:rPr>
                <w:rStyle w:val="Hyperlink"/>
                <w:noProof/>
              </w:rPr>
              <w:t>2d. Key Benefits of Unilever’s International Operations</w:t>
            </w:r>
            <w:r>
              <w:rPr>
                <w:noProof/>
                <w:webHidden/>
              </w:rPr>
              <w:tab/>
            </w:r>
            <w:r>
              <w:rPr>
                <w:noProof/>
                <w:webHidden/>
              </w:rPr>
              <w:fldChar w:fldCharType="begin"/>
            </w:r>
            <w:r>
              <w:rPr>
                <w:noProof/>
                <w:webHidden/>
              </w:rPr>
              <w:instrText xml:space="preserve"> PAGEREF _Toc214312887 \h </w:instrText>
            </w:r>
            <w:r>
              <w:rPr>
                <w:noProof/>
                <w:webHidden/>
              </w:rPr>
            </w:r>
            <w:r>
              <w:rPr>
                <w:noProof/>
                <w:webHidden/>
              </w:rPr>
              <w:fldChar w:fldCharType="separate"/>
            </w:r>
            <w:r>
              <w:rPr>
                <w:noProof/>
                <w:webHidden/>
              </w:rPr>
              <w:t>7</w:t>
            </w:r>
            <w:r>
              <w:rPr>
                <w:noProof/>
                <w:webHidden/>
              </w:rPr>
              <w:fldChar w:fldCharType="end"/>
            </w:r>
          </w:hyperlink>
        </w:p>
        <w:p w14:paraId="544BF5AA" w14:textId="5385417A" w:rsidR="00B0723B" w:rsidRDefault="00B0723B">
          <w:pPr>
            <w:pStyle w:val="TOC2"/>
            <w:tabs>
              <w:tab w:val="right" w:leader="dot" w:pos="9016"/>
            </w:tabs>
            <w:rPr>
              <w:noProof/>
            </w:rPr>
          </w:pPr>
          <w:hyperlink w:anchor="_Toc214312888" w:history="1">
            <w:r w:rsidRPr="00E8228F">
              <w:rPr>
                <w:rStyle w:val="Hyperlink"/>
                <w:noProof/>
              </w:rPr>
              <w:t>3. OLI Factors (Ownership, Location, Internalisation) and Their Impact on Entry into India</w:t>
            </w:r>
            <w:r>
              <w:rPr>
                <w:noProof/>
                <w:webHidden/>
              </w:rPr>
              <w:tab/>
            </w:r>
            <w:r>
              <w:rPr>
                <w:noProof/>
                <w:webHidden/>
              </w:rPr>
              <w:fldChar w:fldCharType="begin"/>
            </w:r>
            <w:r>
              <w:rPr>
                <w:noProof/>
                <w:webHidden/>
              </w:rPr>
              <w:instrText xml:space="preserve"> PAGEREF _Toc214312888 \h </w:instrText>
            </w:r>
            <w:r>
              <w:rPr>
                <w:noProof/>
                <w:webHidden/>
              </w:rPr>
            </w:r>
            <w:r>
              <w:rPr>
                <w:noProof/>
                <w:webHidden/>
              </w:rPr>
              <w:fldChar w:fldCharType="separate"/>
            </w:r>
            <w:r>
              <w:rPr>
                <w:noProof/>
                <w:webHidden/>
              </w:rPr>
              <w:t>8</w:t>
            </w:r>
            <w:r>
              <w:rPr>
                <w:noProof/>
                <w:webHidden/>
              </w:rPr>
              <w:fldChar w:fldCharType="end"/>
            </w:r>
          </w:hyperlink>
        </w:p>
        <w:p w14:paraId="011C67DC" w14:textId="0A4FFF72" w:rsidR="00B0723B" w:rsidRDefault="00B0723B">
          <w:pPr>
            <w:pStyle w:val="TOC2"/>
            <w:tabs>
              <w:tab w:val="right" w:leader="dot" w:pos="9016"/>
            </w:tabs>
            <w:rPr>
              <w:noProof/>
            </w:rPr>
          </w:pPr>
          <w:hyperlink w:anchor="_Toc214312889" w:history="1">
            <w:r w:rsidRPr="00E8228F">
              <w:rPr>
                <w:rStyle w:val="Hyperlink"/>
                <w:noProof/>
              </w:rPr>
              <w:t>4. Cultural Differences Between UK/Netherlands and India and Their Impact on Entry Strategy</w:t>
            </w:r>
            <w:r>
              <w:rPr>
                <w:noProof/>
                <w:webHidden/>
              </w:rPr>
              <w:tab/>
            </w:r>
            <w:r>
              <w:rPr>
                <w:noProof/>
                <w:webHidden/>
              </w:rPr>
              <w:fldChar w:fldCharType="begin"/>
            </w:r>
            <w:r>
              <w:rPr>
                <w:noProof/>
                <w:webHidden/>
              </w:rPr>
              <w:instrText xml:space="preserve"> PAGEREF _Toc214312889 \h </w:instrText>
            </w:r>
            <w:r>
              <w:rPr>
                <w:noProof/>
                <w:webHidden/>
              </w:rPr>
            </w:r>
            <w:r>
              <w:rPr>
                <w:noProof/>
                <w:webHidden/>
              </w:rPr>
              <w:fldChar w:fldCharType="separate"/>
            </w:r>
            <w:r>
              <w:rPr>
                <w:noProof/>
                <w:webHidden/>
              </w:rPr>
              <w:t>12</w:t>
            </w:r>
            <w:r>
              <w:rPr>
                <w:noProof/>
                <w:webHidden/>
              </w:rPr>
              <w:fldChar w:fldCharType="end"/>
            </w:r>
          </w:hyperlink>
        </w:p>
        <w:p w14:paraId="39C90205" w14:textId="4B6C485C" w:rsidR="00B0723B" w:rsidRDefault="00B0723B">
          <w:pPr>
            <w:pStyle w:val="TOC2"/>
            <w:tabs>
              <w:tab w:val="right" w:leader="dot" w:pos="9016"/>
            </w:tabs>
            <w:rPr>
              <w:noProof/>
            </w:rPr>
          </w:pPr>
          <w:hyperlink w:anchor="_Toc214312890" w:history="1">
            <w:r w:rsidRPr="00E8228F">
              <w:rPr>
                <w:rStyle w:val="Hyperlink"/>
                <w:noProof/>
              </w:rPr>
              <w:t>5. Recommendations: SOP Adjustments for India</w:t>
            </w:r>
            <w:r>
              <w:rPr>
                <w:noProof/>
                <w:webHidden/>
              </w:rPr>
              <w:tab/>
            </w:r>
            <w:r>
              <w:rPr>
                <w:noProof/>
                <w:webHidden/>
              </w:rPr>
              <w:fldChar w:fldCharType="begin"/>
            </w:r>
            <w:r>
              <w:rPr>
                <w:noProof/>
                <w:webHidden/>
              </w:rPr>
              <w:instrText xml:space="preserve"> PAGEREF _Toc214312890 \h </w:instrText>
            </w:r>
            <w:r>
              <w:rPr>
                <w:noProof/>
                <w:webHidden/>
              </w:rPr>
            </w:r>
            <w:r>
              <w:rPr>
                <w:noProof/>
                <w:webHidden/>
              </w:rPr>
              <w:fldChar w:fldCharType="separate"/>
            </w:r>
            <w:r>
              <w:rPr>
                <w:noProof/>
                <w:webHidden/>
              </w:rPr>
              <w:t>16</w:t>
            </w:r>
            <w:r>
              <w:rPr>
                <w:noProof/>
                <w:webHidden/>
              </w:rPr>
              <w:fldChar w:fldCharType="end"/>
            </w:r>
          </w:hyperlink>
        </w:p>
        <w:p w14:paraId="6F5F3BE7" w14:textId="49A6D510" w:rsidR="00B0723B" w:rsidRDefault="00B0723B">
          <w:pPr>
            <w:pStyle w:val="TOC3"/>
            <w:tabs>
              <w:tab w:val="right" w:leader="dot" w:pos="9016"/>
            </w:tabs>
            <w:rPr>
              <w:noProof/>
            </w:rPr>
          </w:pPr>
          <w:hyperlink w:anchor="_Toc214312891" w:history="1">
            <w:r w:rsidRPr="00E8228F">
              <w:rPr>
                <w:rStyle w:val="Hyperlink"/>
                <w:noProof/>
              </w:rPr>
              <w:t>Recommendation 1: Localised Product Innovation and Agile Product Adaptation SOP</w:t>
            </w:r>
            <w:r>
              <w:rPr>
                <w:noProof/>
                <w:webHidden/>
              </w:rPr>
              <w:tab/>
            </w:r>
            <w:r>
              <w:rPr>
                <w:noProof/>
                <w:webHidden/>
              </w:rPr>
              <w:fldChar w:fldCharType="begin"/>
            </w:r>
            <w:r>
              <w:rPr>
                <w:noProof/>
                <w:webHidden/>
              </w:rPr>
              <w:instrText xml:space="preserve"> PAGEREF _Toc214312891 \h </w:instrText>
            </w:r>
            <w:r>
              <w:rPr>
                <w:noProof/>
                <w:webHidden/>
              </w:rPr>
            </w:r>
            <w:r>
              <w:rPr>
                <w:noProof/>
                <w:webHidden/>
              </w:rPr>
              <w:fldChar w:fldCharType="separate"/>
            </w:r>
            <w:r>
              <w:rPr>
                <w:noProof/>
                <w:webHidden/>
              </w:rPr>
              <w:t>16</w:t>
            </w:r>
            <w:r>
              <w:rPr>
                <w:noProof/>
                <w:webHidden/>
              </w:rPr>
              <w:fldChar w:fldCharType="end"/>
            </w:r>
          </w:hyperlink>
        </w:p>
        <w:p w14:paraId="3389FA2A" w14:textId="1D8CF53D" w:rsidR="00B0723B" w:rsidRDefault="00B0723B">
          <w:pPr>
            <w:pStyle w:val="TOC3"/>
            <w:tabs>
              <w:tab w:val="right" w:leader="dot" w:pos="9016"/>
            </w:tabs>
            <w:rPr>
              <w:noProof/>
            </w:rPr>
          </w:pPr>
          <w:hyperlink w:anchor="_Toc214312892" w:history="1">
            <w:r w:rsidRPr="00E8228F">
              <w:rPr>
                <w:rStyle w:val="Hyperlink"/>
                <w:noProof/>
              </w:rPr>
              <w:t>Recommendation 2: Culturally Adaptive Marketing and Ethical Communication SOP</w:t>
            </w:r>
            <w:r>
              <w:rPr>
                <w:noProof/>
                <w:webHidden/>
              </w:rPr>
              <w:tab/>
            </w:r>
            <w:r>
              <w:rPr>
                <w:noProof/>
                <w:webHidden/>
              </w:rPr>
              <w:fldChar w:fldCharType="begin"/>
            </w:r>
            <w:r>
              <w:rPr>
                <w:noProof/>
                <w:webHidden/>
              </w:rPr>
              <w:instrText xml:space="preserve"> PAGEREF _Toc214312892 \h </w:instrText>
            </w:r>
            <w:r>
              <w:rPr>
                <w:noProof/>
                <w:webHidden/>
              </w:rPr>
            </w:r>
            <w:r>
              <w:rPr>
                <w:noProof/>
                <w:webHidden/>
              </w:rPr>
              <w:fldChar w:fldCharType="separate"/>
            </w:r>
            <w:r>
              <w:rPr>
                <w:noProof/>
                <w:webHidden/>
              </w:rPr>
              <w:t>17</w:t>
            </w:r>
            <w:r>
              <w:rPr>
                <w:noProof/>
                <w:webHidden/>
              </w:rPr>
              <w:fldChar w:fldCharType="end"/>
            </w:r>
          </w:hyperlink>
        </w:p>
        <w:p w14:paraId="4F4EF0CD" w14:textId="41E75BBA" w:rsidR="00B0723B" w:rsidRDefault="00B0723B">
          <w:pPr>
            <w:pStyle w:val="TOC3"/>
            <w:tabs>
              <w:tab w:val="right" w:leader="dot" w:pos="9016"/>
            </w:tabs>
            <w:rPr>
              <w:noProof/>
            </w:rPr>
          </w:pPr>
          <w:hyperlink w:anchor="_Toc214312893" w:history="1">
            <w:r w:rsidRPr="00E8228F">
              <w:rPr>
                <w:rStyle w:val="Hyperlink"/>
                <w:noProof/>
              </w:rPr>
              <w:t>Recommendation 3: Sustainable and Localised Supply Chain SOP</w:t>
            </w:r>
            <w:r>
              <w:rPr>
                <w:noProof/>
                <w:webHidden/>
              </w:rPr>
              <w:tab/>
            </w:r>
            <w:r>
              <w:rPr>
                <w:noProof/>
                <w:webHidden/>
              </w:rPr>
              <w:fldChar w:fldCharType="begin"/>
            </w:r>
            <w:r>
              <w:rPr>
                <w:noProof/>
                <w:webHidden/>
              </w:rPr>
              <w:instrText xml:space="preserve"> PAGEREF _Toc214312893 \h </w:instrText>
            </w:r>
            <w:r>
              <w:rPr>
                <w:noProof/>
                <w:webHidden/>
              </w:rPr>
            </w:r>
            <w:r>
              <w:rPr>
                <w:noProof/>
                <w:webHidden/>
              </w:rPr>
              <w:fldChar w:fldCharType="separate"/>
            </w:r>
            <w:r>
              <w:rPr>
                <w:noProof/>
                <w:webHidden/>
              </w:rPr>
              <w:t>17</w:t>
            </w:r>
            <w:r>
              <w:rPr>
                <w:noProof/>
                <w:webHidden/>
              </w:rPr>
              <w:fldChar w:fldCharType="end"/>
            </w:r>
          </w:hyperlink>
        </w:p>
        <w:p w14:paraId="2278D69F" w14:textId="78AB995D" w:rsidR="00B0723B" w:rsidRDefault="00B0723B">
          <w:pPr>
            <w:pStyle w:val="TOC2"/>
            <w:tabs>
              <w:tab w:val="right" w:leader="dot" w:pos="9016"/>
            </w:tabs>
            <w:rPr>
              <w:noProof/>
            </w:rPr>
          </w:pPr>
          <w:hyperlink w:anchor="_Toc214312894" w:history="1">
            <w:r w:rsidRPr="00E8228F">
              <w:rPr>
                <w:rStyle w:val="Hyperlink"/>
                <w:noProof/>
              </w:rPr>
              <w:t>6. Conclusion</w:t>
            </w:r>
            <w:r>
              <w:rPr>
                <w:noProof/>
                <w:webHidden/>
              </w:rPr>
              <w:tab/>
            </w:r>
            <w:r>
              <w:rPr>
                <w:noProof/>
                <w:webHidden/>
              </w:rPr>
              <w:fldChar w:fldCharType="begin"/>
            </w:r>
            <w:r>
              <w:rPr>
                <w:noProof/>
                <w:webHidden/>
              </w:rPr>
              <w:instrText xml:space="preserve"> PAGEREF _Toc214312894 \h </w:instrText>
            </w:r>
            <w:r>
              <w:rPr>
                <w:noProof/>
                <w:webHidden/>
              </w:rPr>
            </w:r>
            <w:r>
              <w:rPr>
                <w:noProof/>
                <w:webHidden/>
              </w:rPr>
              <w:fldChar w:fldCharType="separate"/>
            </w:r>
            <w:r>
              <w:rPr>
                <w:noProof/>
                <w:webHidden/>
              </w:rPr>
              <w:t>18</w:t>
            </w:r>
            <w:r>
              <w:rPr>
                <w:noProof/>
                <w:webHidden/>
              </w:rPr>
              <w:fldChar w:fldCharType="end"/>
            </w:r>
          </w:hyperlink>
        </w:p>
        <w:p w14:paraId="10CE45B1" w14:textId="05711A57" w:rsidR="00B0723B" w:rsidRDefault="00B0723B">
          <w:pPr>
            <w:pStyle w:val="TOC2"/>
            <w:tabs>
              <w:tab w:val="right" w:leader="dot" w:pos="9016"/>
            </w:tabs>
            <w:rPr>
              <w:noProof/>
            </w:rPr>
          </w:pPr>
          <w:hyperlink w:anchor="_Toc214312895" w:history="1">
            <w:r w:rsidRPr="00E8228F">
              <w:rPr>
                <w:rStyle w:val="Hyperlink"/>
                <w:noProof/>
              </w:rPr>
              <w:t>7. References</w:t>
            </w:r>
            <w:r>
              <w:rPr>
                <w:noProof/>
                <w:webHidden/>
              </w:rPr>
              <w:tab/>
            </w:r>
            <w:r>
              <w:rPr>
                <w:noProof/>
                <w:webHidden/>
              </w:rPr>
              <w:fldChar w:fldCharType="begin"/>
            </w:r>
            <w:r>
              <w:rPr>
                <w:noProof/>
                <w:webHidden/>
              </w:rPr>
              <w:instrText xml:space="preserve"> PAGEREF _Toc214312895 \h </w:instrText>
            </w:r>
            <w:r>
              <w:rPr>
                <w:noProof/>
                <w:webHidden/>
              </w:rPr>
            </w:r>
            <w:r>
              <w:rPr>
                <w:noProof/>
                <w:webHidden/>
              </w:rPr>
              <w:fldChar w:fldCharType="separate"/>
            </w:r>
            <w:r>
              <w:rPr>
                <w:noProof/>
                <w:webHidden/>
              </w:rPr>
              <w:t>20</w:t>
            </w:r>
            <w:r>
              <w:rPr>
                <w:noProof/>
                <w:webHidden/>
              </w:rPr>
              <w:fldChar w:fldCharType="end"/>
            </w:r>
          </w:hyperlink>
        </w:p>
        <w:p w14:paraId="1F221881" w14:textId="5454460E" w:rsidR="00B0723B" w:rsidRDefault="00B0723B">
          <w:r>
            <w:rPr>
              <w:b/>
              <w:bCs/>
              <w:noProof/>
            </w:rPr>
            <w:fldChar w:fldCharType="end"/>
          </w:r>
        </w:p>
      </w:sdtContent>
    </w:sdt>
    <w:p w14:paraId="7204DF89" w14:textId="2376BC85" w:rsidR="00B0723B" w:rsidRDefault="00B0723B">
      <w:pPr>
        <w:rPr>
          <w:rFonts w:ascii="Arial" w:hAnsi="Arial" w:cs="Arial"/>
          <w:b/>
          <w:bCs/>
          <w:sz w:val="24"/>
          <w:szCs w:val="24"/>
        </w:rPr>
      </w:pPr>
      <w:r>
        <w:rPr>
          <w:rFonts w:ascii="Arial" w:hAnsi="Arial" w:cs="Arial"/>
          <w:b/>
          <w:bCs/>
          <w:sz w:val="24"/>
          <w:szCs w:val="24"/>
        </w:rPr>
        <w:br w:type="page"/>
      </w:r>
    </w:p>
    <w:p w14:paraId="1D2AFA88" w14:textId="77777777" w:rsidR="00B0723B" w:rsidRDefault="00B0723B">
      <w:pPr>
        <w:rPr>
          <w:rFonts w:ascii="Arial" w:hAnsi="Arial" w:cs="Arial"/>
          <w:b/>
          <w:bCs/>
          <w:sz w:val="24"/>
          <w:szCs w:val="24"/>
        </w:rPr>
      </w:pPr>
    </w:p>
    <w:p w14:paraId="44297DB9" w14:textId="1BED19D6" w:rsidR="00EF1084" w:rsidRPr="00EF1084" w:rsidRDefault="00EF1084" w:rsidP="00B0723B">
      <w:pPr>
        <w:pStyle w:val="Heading2"/>
      </w:pPr>
      <w:bookmarkStart w:id="0" w:name="_Toc214312882"/>
      <w:r w:rsidRPr="00EF1084">
        <w:t>1. Introduction</w:t>
      </w:r>
      <w:bookmarkEnd w:id="0"/>
      <w:r w:rsidRPr="00EF1084">
        <w:t xml:space="preserve"> </w:t>
      </w:r>
    </w:p>
    <w:p w14:paraId="64A2EAC0" w14:textId="7540C7A2"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Unilever is one of the world’s largest and most diversified fast-moving consumer goods (FMCG) multinationals, with operations spanning over 190 countries and a portfolio of more than 400 brands across personal care, food, beverages, and home care. The company’s extensive global presence, combined with its decentralised organisational model, has enabled it to remain one of the most influential multinational corporations (MNCs) in the global marketplace. This report evaluates Unilever’s international operations through a structured analysis focusing on its benefits and challenges of globalisation, internationalisation strategies, and global value chain activities. A critical OLI (Ownership–Location–Internalisation) analysis is conducted to investigate Unilever’s strategic entry into India, one of its most important emerging markets. The report further explores cultural differences between the company’s home country (United Kingdom/Netherlands) and India, focusing on their impact on market entry and business performance. Finally, strategic recommendations are provided regarding necessary adjustments to Unilever’s Standard Operating Procedures (SOPs) in India to ensure long-term success.</w:t>
      </w:r>
    </w:p>
    <w:p w14:paraId="5914A7F5" w14:textId="26B66F55" w:rsidR="00EF1084" w:rsidRPr="00EF1084" w:rsidRDefault="00EF1084" w:rsidP="00B0723B">
      <w:pPr>
        <w:pStyle w:val="Heading2"/>
      </w:pPr>
      <w:bookmarkStart w:id="1" w:name="_Toc214312883"/>
      <w:r w:rsidRPr="00EF1084">
        <w:t>2. Benefits and Challenges of International Operations</w:t>
      </w:r>
      <w:bookmarkEnd w:id="1"/>
      <w:r w:rsidRPr="00EF1084">
        <w:t xml:space="preserve"> </w:t>
      </w:r>
    </w:p>
    <w:p w14:paraId="3D8FF503" w14:textId="77777777" w:rsidR="00EF1084" w:rsidRPr="00EF1084" w:rsidRDefault="00EF1084" w:rsidP="00B0723B">
      <w:pPr>
        <w:pStyle w:val="Heading3"/>
      </w:pPr>
      <w:bookmarkStart w:id="2" w:name="_Toc214312884"/>
      <w:r w:rsidRPr="00EF1084">
        <w:t>2a. Why Unilever is Designated an MNC/TNC</w:t>
      </w:r>
      <w:bookmarkEnd w:id="2"/>
    </w:p>
    <w:p w14:paraId="56B75B91"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Unilever is widely recognised as both a multinational corporation (MNC) and a transnational corporation (TNC) due to the magnitude, structure, and geographical dispersion of its global operations. An MNC is traditionally defined as an organisation that owns, controls, or coordinates productive assets in more than one country (</w:t>
      </w:r>
      <w:proofErr w:type="spellStart"/>
      <w:r w:rsidRPr="00EF1084">
        <w:rPr>
          <w:rFonts w:ascii="Arial" w:hAnsi="Arial" w:cs="Arial"/>
          <w:sz w:val="24"/>
          <w:szCs w:val="24"/>
        </w:rPr>
        <w:t>Cavusgil</w:t>
      </w:r>
      <w:proofErr w:type="spellEnd"/>
      <w:r w:rsidRPr="00EF1084">
        <w:rPr>
          <w:rFonts w:ascii="Arial" w:hAnsi="Arial" w:cs="Arial"/>
          <w:sz w:val="24"/>
          <w:szCs w:val="24"/>
        </w:rPr>
        <w:t xml:space="preserve"> et al., 2020). Unilever fits this definition clearly, given that it operates in over 190 countries and maintains an extensive array of physical assets including manufacturing plants, research laboratories, and distribution centres across multiple continents (Unilever, 2024). Its operations span regions as diverse as Europe, Africa, North America, South America, and Asia, with major subsidiaries embedded deeply within national markets.</w:t>
      </w:r>
    </w:p>
    <w:p w14:paraId="53409D98"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 xml:space="preserve">However, Unilever’s international presence extends beyond merely maintaining assets abroad, and its operational strategy places it firmly within the category of a transnational corporation. A TNC is characterised by its ability to achieve global </w:t>
      </w:r>
      <w:r w:rsidRPr="00EF1084">
        <w:rPr>
          <w:rFonts w:ascii="Arial" w:hAnsi="Arial" w:cs="Arial"/>
          <w:sz w:val="24"/>
          <w:szCs w:val="24"/>
        </w:rPr>
        <w:lastRenderedPageBreak/>
        <w:t>integration while also granting substantial autonomy to regional or local subsidiaries, enabling them to adapt to local market conditions (Hill and Hult, 2022). Unilever’s corporate structure is decentralised and empowers country-level units such as Hindustan Unilever Limited (HUL) in India to take responsibility for strategic decisions in production, marketing, product adaptation, and distribution. This structure aligns closely with Bartlett and Ghoshal’s (1989) theory of the transnational model, which emphasises the simultaneous pursuit of global efficiency, local responsiveness, and knowledge sharing across units. The combination of global brand stewardship with local operational independence is therefore central to understanding why Unilever is classified not just as an MNC operating internationally, but as a TNC actively coordinating across national markets with both integration and adaptation.</w:t>
      </w:r>
    </w:p>
    <w:p w14:paraId="70EABAD7" w14:textId="77777777" w:rsidR="00EF1084" w:rsidRPr="00EF1084" w:rsidRDefault="00EF1084" w:rsidP="00B0723B">
      <w:pPr>
        <w:pStyle w:val="Heading3"/>
      </w:pPr>
      <w:bookmarkStart w:id="3" w:name="_Toc214312885"/>
      <w:r w:rsidRPr="00EF1084">
        <w:t>2b. Nature of Unilever’s Global Operations and Value Chain</w:t>
      </w:r>
      <w:bookmarkEnd w:id="3"/>
    </w:p>
    <w:p w14:paraId="780EB626"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Unilever’s global operations are supported by one of the most extensive and integrated value chains in the FMCG industry. Its value chain spans research and development, sourcing, manufacturing, logistics, marketing, and financial management, each of which contributes to the company’s long-term competitiveness. The company operates several innovation centres, located in the UK, the Netherlands, India, Singapore, and China, where formulation development, packaging innovation, and research into sustainable materials are conducted. These R&amp;D hubs are interconnected, allowing scientific breakthroughs or new product concepts developed in one centre to be transferred across the global network, ensuring that innovation is shared between markets (Unilever, 2024).</w:t>
      </w:r>
    </w:p>
    <w:p w14:paraId="676ECD4F"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 xml:space="preserve">In terms of sourcing, Unilever relies on more than 150,000 suppliers worldwide, reflecting the scale and diversity of inputs necessary for its production processes. These suppliers provide agricultural commodities such as palm oil, tea, vegetables, dairy products, and herbs, along with chemicals used in cleaning and personal care formulations. Unilever has attempted to increase transparency and sustainability within this vast sourcing system through initiatives such as the Unilever Sustainable Living Plan (USLP), which aims to promote responsible farming, reduce environmental damage, and encourage fair labour practices (Elkington, 2020). India plays a crucial role in this sourcing network, particularly due to its dominance in tea production; Unilever’s brands, such as Brooke Bond and Lipton, obtain significant </w:t>
      </w:r>
      <w:r w:rsidRPr="00EF1084">
        <w:rPr>
          <w:rFonts w:ascii="Arial" w:hAnsi="Arial" w:cs="Arial"/>
          <w:sz w:val="24"/>
          <w:szCs w:val="24"/>
        </w:rPr>
        <w:lastRenderedPageBreak/>
        <w:t>tea supplies from Indian plantations. Furthermore, spices sourced from India contribute to the flavouring profiles of Unilever’s international food brands, including Knorr.</w:t>
      </w:r>
    </w:p>
    <w:p w14:paraId="20C73322"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Unilever’s production strategy is equally globalised. With over 300 manufacturing facilities across numerous countries, the company deliberately distributes production to enhance supply chain resilience and reduce transportation costs. India houses more than 30 factories under Hindustan Unilever Limited, producing a wide range of products such as soaps, detergents, skincare items, beverages, and packaged foods for both the domestic market and export destinations (HUL, 2024). This localised production allows Unilever to adapt its products to local consumer needs, whether through modifying a soap formula for hard water regions or developing food items with spice levels appropriate for Indian palates.</w:t>
      </w:r>
    </w:p>
    <w:p w14:paraId="15015441"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 xml:space="preserve">In terms of marketing and sales, Unilever adopts a localisation strategy that reflects cultural norms, social values, and linguistic diversity within each market. In India, the company uses regionally tailored marketing messages, local celebrities, and culturally symbolic storytelling to enhance brand relevance (Kapur, 2021). Traditional and modern retail coexist in India, and Unilever sells through both </w:t>
      </w:r>
      <w:proofErr w:type="spellStart"/>
      <w:r w:rsidRPr="00EF1084">
        <w:rPr>
          <w:rFonts w:ascii="Arial" w:hAnsi="Arial" w:cs="Arial"/>
          <w:sz w:val="24"/>
          <w:szCs w:val="24"/>
        </w:rPr>
        <w:t>kirana</w:t>
      </w:r>
      <w:proofErr w:type="spellEnd"/>
      <w:r w:rsidRPr="00EF1084">
        <w:rPr>
          <w:rFonts w:ascii="Arial" w:hAnsi="Arial" w:cs="Arial"/>
          <w:sz w:val="24"/>
          <w:szCs w:val="24"/>
        </w:rPr>
        <w:t xml:space="preserve"> (neighbourhood) stores and large supermarket chains, while also expanding its presence on e-commerce platforms. HUL’s Project Shakti, a rural distribution programme, empowers women entrepreneurs in villages to act as direct-to-consumer distributors, giving Unilever deep access to rural markets that are often inaccessible to conventional logistics channels.</w:t>
      </w:r>
    </w:p>
    <w:p w14:paraId="6F09FE3A"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Financially, Unilever employs a hybrid strategy combining global treasury management with local financial autonomy. While capital is raised through global debt and equity markets, subsidiaries like HUL also interact with local financial markets by being publicly listed on the Bombay Stock Exchange and National Stock Exchange of India. This dual approach enhances liquidity, broadens investor reach, and strengthens the reputation of local subsidiaries by embedding them into national capital markets.</w:t>
      </w:r>
    </w:p>
    <w:p w14:paraId="6D6AF53F" w14:textId="77777777" w:rsidR="00EF1084" w:rsidRPr="00EF1084" w:rsidRDefault="00EF1084" w:rsidP="00B0723B">
      <w:pPr>
        <w:pStyle w:val="Heading3"/>
      </w:pPr>
      <w:bookmarkStart w:id="4" w:name="_Toc214312886"/>
      <w:r w:rsidRPr="00EF1084">
        <w:lastRenderedPageBreak/>
        <w:t>2c. Entry Modes Used by Unilever in International Markets and Dominant Mode</w:t>
      </w:r>
      <w:bookmarkEnd w:id="4"/>
    </w:p>
    <w:p w14:paraId="3B4F6D98"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Unilever’s international expansion has historically relied on several entry modes, each selected based on specific regulatory, cultural, and economic conditions in the host country. The most prominent mode has been foreign direct investment (FDI). Unilever’s initial entry into India in 1931 occurred through direct investment in manufacturing facilities, forming the Hindustan Vanaspati Manufacturing Company, which eventually evolved into Hindustan Unilever Limited. The use of FDI allowed Unilever substantial control over production, marketing strategy, and brand management, which was essential for maintaining global standards while adapting products to the Indian context (Dunning, 2000).</w:t>
      </w:r>
    </w:p>
    <w:p w14:paraId="712C35DC"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However, FDI was not the only method used. Unilever has frequently utilised mergers and acquisitions to expand its presence or strengthen its portfolio in targeted markets. For example, the acquisition of the Horlicks brand in India from GlaxoSmithKline significantly boosted Unilever’s nutrition portfolio, complementing its existing brands and enabling rapid entry into the health and wellness segment (HUL, 2020). Similarly, acquisitions such as Dollar Shave Club in the United States and Grom in Italy demonstrate Unilever’s approach of using strategic purchases to access new technologies, markets, or consumer demographics. Joint ventures have also featured in Unilever’s international strategy, particularly in markets historically characterised by complex regulatory environments or where local knowledge was essential. For instance, Unilever entered the Chinese market through a joint venture with Shanghai Toothpaste Company, enabling it to navigate local administrative structures and benefit from an established distribution network.</w:t>
      </w:r>
    </w:p>
    <w:p w14:paraId="481B2A5D"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Licensing and franchising have been employed more selectively, often in cases where regulatory constraints make direct presence difficult or where brand-specific strategies require flexible operational models. For instance, some ice-cream brands within the Unilever portfolio, such as Ben &amp; Jerry’s in certain markets, operate through franchise agreements. Despite this diversity of entry modes, FDI remains the dominant mode in Unilever’s internationalisation. This dominance reflects the company’s preference for long-term commitment, control over its value chain, and ability to ensure product quality and consistency across international markets.</w:t>
      </w:r>
    </w:p>
    <w:p w14:paraId="55350BEC" w14:textId="77777777" w:rsidR="00EF1084" w:rsidRPr="00EF1084" w:rsidRDefault="00EF1084" w:rsidP="00B0723B">
      <w:pPr>
        <w:pStyle w:val="Heading3"/>
      </w:pPr>
      <w:bookmarkStart w:id="5" w:name="_Toc214312887"/>
      <w:r w:rsidRPr="00EF1084">
        <w:lastRenderedPageBreak/>
        <w:t>2d. Key Benefits of Unilever’s International Operations</w:t>
      </w:r>
      <w:bookmarkEnd w:id="5"/>
    </w:p>
    <w:p w14:paraId="6F174A47"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The international scale of Unilever’s operations provides several strategic benefits. One of the most significant is revenue diversification. Operating in nearly every region of the world allows Unilever to reduce its dependence on any single market and buffer itself against localised economic downturns or political instability. This diversification is particularly valuable because emerging markets such as India, Brazil, and Indonesia contribute more than half of the company’s global revenue, providing strong growth potential in contrast to slower growth in mature Western markets (Unilever, 2024).</w:t>
      </w:r>
    </w:p>
    <w:p w14:paraId="6B89750F"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Another major advantage arises from economies of scale. The ability to source raw materials in bulk and apply standardised production technologies across multiple regions enables Unilever to reduce costs and increase operational efficiency. For example, centralised procurement of raw materials such as palm oil, along with standardised formulations for products like detergents and skincare items, allows Unilever to negotiate better prices and streamline manufacturing processes (Grant, 2021). These efficiencies enhance competitiveness in price-sensitive markets such as India.</w:t>
      </w:r>
    </w:p>
    <w:p w14:paraId="135CB69D"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Access to emerging markets constitutes a further benefit. Rising disposable incomes, urbanisation, and changing consumer lifestyles in countries like India create substantial opportunities for growth in categories such as personal care, home care, and packaged foods (</w:t>
      </w:r>
      <w:proofErr w:type="spellStart"/>
      <w:r w:rsidRPr="00EF1084">
        <w:rPr>
          <w:rFonts w:ascii="Arial" w:hAnsi="Arial" w:cs="Arial"/>
          <w:sz w:val="24"/>
          <w:szCs w:val="24"/>
        </w:rPr>
        <w:t>Cavusgil</w:t>
      </w:r>
      <w:proofErr w:type="spellEnd"/>
      <w:r w:rsidRPr="00EF1084">
        <w:rPr>
          <w:rFonts w:ascii="Arial" w:hAnsi="Arial" w:cs="Arial"/>
          <w:sz w:val="24"/>
          <w:szCs w:val="24"/>
        </w:rPr>
        <w:t xml:space="preserve"> et al., 2020). Unilever has capitalised on this by positioning its products across different price tiers, ensuring accessibility to both low-income consumers and middle-class households.</w:t>
      </w:r>
    </w:p>
    <w:p w14:paraId="66D669BE"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Knowledge transfer across subsidiaries also strengthens Unilever’s global operations. Innovations developed in European laboratories may be adapted and implemented in Indian markets, and insights from India—such as the development of single-use sachets—have been replicated globally. This multidirectional flow of knowledge enhances both product relevance and operational efficiency.</w:t>
      </w:r>
    </w:p>
    <w:p w14:paraId="4AA38D84"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 xml:space="preserve">Global brand recognition supports Unilever in achieving rapid entry and acceptance in new markets. Brands such as Dove, Lifebuoy, Lux, Knorr, and Surf Excel enjoy widespread consumer trust, enabling smoother market penetration and reduced marketing costs. Finally, local responsiveness enables Unilever to adapt its </w:t>
      </w:r>
      <w:r w:rsidRPr="00EF1084">
        <w:rPr>
          <w:rFonts w:ascii="Arial" w:hAnsi="Arial" w:cs="Arial"/>
          <w:sz w:val="24"/>
          <w:szCs w:val="24"/>
        </w:rPr>
        <w:lastRenderedPageBreak/>
        <w:t>strategies to cultural norms, climate conditions, and local preferences, contributing to its long-term success in diverse environments.</w:t>
      </w:r>
    </w:p>
    <w:p w14:paraId="7F78E594"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Yet, alongside these benefits, Unilever faces challenges inherent to international operations. Cultural complexity requires careful adaptation of products and marketing messages to avoid misinterpretation or consumer backlash (Hofstede, 2011). Regulatory and political environments also create uncertainty, particularly in countries with complex rules related to foreign investment, environmental compliance, or food safety. Supply chain vulnerabilities expose Unilever to risks such as geopolitical tensions and environmental disruptions. Sustainability pressures continue to increase as stakeholders expect environmentally responsible practices, and Unilever has faced scrutiny regarding plastic waste and environmental impact. Lastly, intense competition from local firms—particularly in price-sensitive and culturally nuanced markets like India—forces Unilever to continuously innovate and adapt to remain competitive.</w:t>
      </w:r>
    </w:p>
    <w:p w14:paraId="324C16FC" w14:textId="750E6E03" w:rsidR="00EF1084" w:rsidRPr="00EF1084" w:rsidRDefault="00EF1084" w:rsidP="00B0723B">
      <w:pPr>
        <w:pStyle w:val="Heading2"/>
      </w:pPr>
      <w:bookmarkStart w:id="6" w:name="_Toc214312888"/>
      <w:r w:rsidRPr="00EF1084">
        <w:t>3. OLI Factors (Ownership, Location, Internalisation) and Their Impact on Entry into India</w:t>
      </w:r>
      <w:bookmarkEnd w:id="6"/>
      <w:r w:rsidRPr="00EF1084">
        <w:t xml:space="preserve"> </w:t>
      </w:r>
    </w:p>
    <w:p w14:paraId="3A5FAD7F"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Dunning’s OLI framework offers a structured and widely accepted method for understanding why multinational enterprises (MNEs) engage in foreign direct investment (FDI) and the factors influencing their choice of market entry strategies (Dunning, 2000). The OLI paradigm, also referred to as the eclectic paradigm, posits that firms decide to internationalise based on three key advantages: Ownership-specific advantages, Location-specific advantages, and Internalisation advantages. In the case of Unilever, these three dimensions played a pivotal role in determining the company’s approach to entering and expanding operations in India, one of the world’s largest and fastest-growing emerging markets. By analysing each component in turn, it is possible to understand why Unilever opted for FDI as its primary entry mode, and how it leveraged its global capabilities while adapting to local conditions.</w:t>
      </w:r>
    </w:p>
    <w:p w14:paraId="038FAF5E"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Ownership advantages refer to the firm-specific assets, capabilities, and resources that provide a competitive edge in foreign markets. For Unilever, these advantages are multidimensional. Foremost among them is the company’s portfolio of strong global brands. Brands such as Dove, Lux, Lifebuoy, Surf Excel, and Knorr are internationally recognised and enjoy a high level of consumer trust. These brands </w:t>
      </w:r>
      <w:r w:rsidRPr="00746A9E">
        <w:rPr>
          <w:rFonts w:ascii="Arial" w:hAnsi="Arial" w:cs="Arial"/>
          <w:sz w:val="24"/>
          <w:szCs w:val="24"/>
        </w:rPr>
        <w:lastRenderedPageBreak/>
        <w:t>carry inherent value that allows Unilever to enter new markets with a competitive advantage, as brand familiarity reduces barriers to market penetration and accelerates acceptance among local consumers (Kapur, 2021). In India, this brand equity was particularly significant because it enabled Unilever to introduce products to a diverse and price-sensitive consumer base without having to rely solely on local brand recognition. Consumers often perceive global brands as synonymous with quality, reliability, and aspirational value, which positioned Unilever favourably against local competitors in both the personal care and food segments.</w:t>
      </w:r>
    </w:p>
    <w:p w14:paraId="3A474E8A"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Another dimension of Unilever’s ownership advantages lies in its technological and research and development (R&amp;D) capabilities. Unilever operates an extensive network of innovation and R&amp;D centres across Europe, Asia, and Africa, which provides the company with a substantial advantage in terms of product development, packaging innovation, and supply chain optimisation (Unilever, 2024). For the Indian market, this capability was critical in adapting products to local needs and environmental conditions. For example, R&amp;D expertise allowed the formulation of soaps and detergents suitable for hard water conditions, and personal care products designed to suit tropical climates. Additionally, innovations such as small-format sachets for shampoos and detergents, first introduced in India, demonstrated the ability of Unilever’s R&amp;D network to tailor products to affordability constraints while maintaining global quality standards.</w:t>
      </w:r>
    </w:p>
    <w:p w14:paraId="5C9CD01C"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Unilever’s organisational structure and managerial expertise further enhanced its ownership advantages. The company employs a transnational structure, allowing subsidiaries such as Hindustan Unilever Limited (HUL) significant autonomy to manage local operations while still coordinating with global strategies and policies. This dual structure of global oversight combined with local decision-making enabled HUL to respond effectively to the specific needs of Indian consumers, navigate regulatory complexities, and implement culturally relevant marketing strategies (Hill and Hult, 2022). The managerial expertise inherent in this system, particularly the ability to train and retain skilled local leaders, has allowed Unilever to maintain consistency in global brand values while ensuring responsiveness to local market dynamics.</w:t>
      </w:r>
    </w:p>
    <w:p w14:paraId="06E8A30F"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lastRenderedPageBreak/>
        <w:t>Financial strength also forms a critical component of Unilever’s ownership advantages. As one of the largest FMCG firms globally, Unilever possesses the capital resources necessary to make substantial investments in manufacturing facilities, marketing campaigns, and strategic acquisitions. In India, this financial capability facilitated the establishment of numerous manufacturing plants and distribution networks, allowing the company to scale operations rapidly and compete effectively with established local players. This capacity to fund high levels of investment is a fundamental reason why FDI, rather than licensing or joint ventures, was the preferred mode of entry, as it ensures that Unilever retains complete control over its assets and brand integrity in a strategically important market.</w:t>
      </w:r>
    </w:p>
    <w:p w14:paraId="25C4249B"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Location-specific advantages explain why a particular foreign market is attractive for investment and production activities. India possesses several location advantages that strongly influenced Unilever’s decision to pursue FDI. The most obvious is the size and growth potential of the consumer market. With a population exceeding 1.4 billion, India offers a massive base for both personal care and home care products, as well as packaged foods and beverages. Rapid urbanisation, rising incomes, and demographic trends such as a young consumer base have further increased demand for FMCG products, creating a fertile environment for a multinational company to expand (Rao, 2022). By locating production and marketing operations within India, Unilever </w:t>
      </w:r>
      <w:proofErr w:type="gramStart"/>
      <w:r w:rsidRPr="00746A9E">
        <w:rPr>
          <w:rFonts w:ascii="Arial" w:hAnsi="Arial" w:cs="Arial"/>
          <w:sz w:val="24"/>
          <w:szCs w:val="24"/>
        </w:rPr>
        <w:t>is able to</w:t>
      </w:r>
      <w:proofErr w:type="gramEnd"/>
      <w:r w:rsidRPr="00746A9E">
        <w:rPr>
          <w:rFonts w:ascii="Arial" w:hAnsi="Arial" w:cs="Arial"/>
          <w:sz w:val="24"/>
          <w:szCs w:val="24"/>
        </w:rPr>
        <w:t xml:space="preserve"> capture these opportunities more effectively than would be possible through exporting from other regions.</w:t>
      </w:r>
    </w:p>
    <w:p w14:paraId="70BD23F3"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Cost advantages are another significant location-specific factor. India offers lower production and labour costs compared to Western markets, enabling multinational firms to achieve substantial operational efficiencies. Labour costs in India are relatively lower, while access to raw materials such as tea, herbs, and other agricultural inputs provides both cost and supply chain benefits. Additionally, India’s abundant natural resources, combined with its growing infrastructure for manufacturing and logistics, make it a cost-effective location for large-scale production. These factors reduce overall production costs, enhance competitiveness, and improve profitability, particularly in a highly price-sensitive market like India.</w:t>
      </w:r>
    </w:p>
    <w:p w14:paraId="231912B9"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India’s strategic geographic location provides further advantages. Positioned at the crossroads of South and Southeast Asia, India offers access to regional markets, </w:t>
      </w:r>
      <w:r w:rsidRPr="00746A9E">
        <w:rPr>
          <w:rFonts w:ascii="Arial" w:hAnsi="Arial" w:cs="Arial"/>
          <w:sz w:val="24"/>
          <w:szCs w:val="24"/>
        </w:rPr>
        <w:lastRenderedPageBreak/>
        <w:t>enabling Unilever to use its Indian operations as a production and distribution hub for neighbouring countries. This regional connectivity enhances the economies of scale and operational efficiency of the company’s Indian operations while facilitating market expansion across Asia.</w:t>
      </w:r>
    </w:p>
    <w:p w14:paraId="13EFF6FC"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Government policy and regulatory factors have also made India a more attractive location for FDI. Over the past few decades, India has gradually liberalised its foreign investment policies, easing restrictions on ownership, repatriation of profits, and regulatory approvals. Initiatives such as “Make in India” and reforms in the ease of doing business framework have created a more conducive environment for multinational enterprises to establish manufacturing operations (Government of India, 2023). These measures, combined with incentives for investment in infrastructure and manufacturing, reinforced India as a highly attractive location for Unilever to establish wholly owned subsidiaries rather than relying on joint ventures or licensing agreements.</w:t>
      </w:r>
    </w:p>
    <w:p w14:paraId="77E2E8BA"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Internalisation advantages complete the OLI framework by explaining why companies choose to internalise certain operations rather than transferring them to local partners or outsourcing. For Unilever, the need for strict control over product quality and brand integrity was a key driver for internalisation. In FMCG sectors, consistent quality is critical to consumer trust and brand equity. By internalising production and distribution processes through wholly owned subsidiaries, Unilever ensures that formulations, sourcing, and production standards meet the high requirements of global operations (Grant, 2021). Internalisation also serves to protect the company’s intellectual property, including proprietary formulations and brand assets, from potential misuse or leakage, which could occur if local partners were granted operational control.</w:t>
      </w:r>
    </w:p>
    <w:p w14:paraId="570716D6"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Moreover, internalisation enables greater efficiency in supply chain integration. In India, HUL operates an integrated supply chain encompassing manufacturing plants, distribution centres, and retail networks, ensuring consistent product availability across urban and rural markets. The company’s control over these operations allows for optimisation of logistics, inventory management, and resource allocation, resulting in cost efficiencies and improved service levels. Another significant advantage is the ability to adapt quickly to changing market conditions. </w:t>
      </w:r>
      <w:r w:rsidRPr="00746A9E">
        <w:rPr>
          <w:rFonts w:ascii="Arial" w:hAnsi="Arial" w:cs="Arial"/>
          <w:sz w:val="24"/>
          <w:szCs w:val="24"/>
        </w:rPr>
        <w:lastRenderedPageBreak/>
        <w:t>Internalisation allows Unilever to implement innovations such as smaller packaging formats and pricing strategies targeted at India’s price-sensitive consumers without waiting for external partner approval.</w:t>
      </w:r>
    </w:p>
    <w:p w14:paraId="460405E7"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Collectively, the interplay of ownership, location, and internalisation advantages explains why FDI emerged as the optimal entry strategy for Unilever in India. Ownership advantages, including strong global brands, technological capabilities, managerial expertise, and financial strength, provided the firm-specific assets necessary to justify long-term direct investment. Location advantages such as a large consumer market, low production costs, strategic geographic positioning, and supportive government policies reinforced the economic rationale for local production. Internalisation advantages, encompassing control over quality, protection of intellectual property, integrated supply chains, and the ability to respond quickly to local needs, ensured that Unilever could fully leverage its ownership and location advantages.</w:t>
      </w:r>
    </w:p>
    <w:p w14:paraId="114240BC" w14:textId="2C858634" w:rsidR="00EF1084" w:rsidRPr="00EF1084" w:rsidRDefault="00746A9E" w:rsidP="00B0723B">
      <w:pPr>
        <w:spacing w:line="360" w:lineRule="auto"/>
        <w:rPr>
          <w:rFonts w:ascii="Arial" w:hAnsi="Arial" w:cs="Arial"/>
          <w:sz w:val="24"/>
          <w:szCs w:val="24"/>
        </w:rPr>
      </w:pPr>
      <w:r w:rsidRPr="00746A9E">
        <w:rPr>
          <w:rFonts w:ascii="Arial" w:hAnsi="Arial" w:cs="Arial"/>
          <w:sz w:val="24"/>
          <w:szCs w:val="24"/>
        </w:rPr>
        <w:t>By aligning these OLI factors, Unilever established a long-term commitment to the Indian market through wholly owned subsidiaries and selective acquisitions. This strategy has allowed the company not only to maintain operational and brand control but also to achieve significant competitive advantage over local and international competitors, establishing HUL as one of the most successful multinational subsidiaries operating in India. The application of the OLI framework in this context demonstrates the enduring relevance of Dunning’s paradigm in explaining strategic internationalisation decisions, particularly in complex and dynamic emerging markets such as India.</w:t>
      </w:r>
    </w:p>
    <w:p w14:paraId="35BA2BD6" w14:textId="590CD127" w:rsidR="00EF1084" w:rsidRPr="00EF1084" w:rsidRDefault="00EF1084" w:rsidP="00B0723B">
      <w:pPr>
        <w:pStyle w:val="Heading2"/>
      </w:pPr>
      <w:bookmarkStart w:id="7" w:name="_Toc214312889"/>
      <w:r w:rsidRPr="00EF1084">
        <w:t>4. Cultural Differences Between UK/Netherlands and India and Their Impact on Entry Strategy</w:t>
      </w:r>
      <w:bookmarkEnd w:id="7"/>
      <w:r w:rsidRPr="00EF1084">
        <w:t xml:space="preserve"> </w:t>
      </w:r>
    </w:p>
    <w:p w14:paraId="76F58FEC"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Cultural differences play a crucial role in shaping the operations, strategies, and success of multinational corporations, particularly in consumer-facing industries such as fast-moving consumer goods (FMCG). Understanding these differences is critical because consumer preferences, purchasing behaviours, and responses to marketing campaigns are all influenced by cultural norms, values, and societal expectations. Hofstede’s cultural dimensions framework offers a robust analytical tool to examine these differences and their implications for business strategy (Hofstede, 2011). In the </w:t>
      </w:r>
      <w:r w:rsidRPr="00746A9E">
        <w:rPr>
          <w:rFonts w:ascii="Arial" w:hAnsi="Arial" w:cs="Arial"/>
          <w:sz w:val="24"/>
          <w:szCs w:val="24"/>
        </w:rPr>
        <w:lastRenderedPageBreak/>
        <w:t>context of Unilever, the contrast between its home countries, the United Kingdom and the Netherlands, and its emerging market operations in India provides a compelling case study of how cultural factors can influence market entry, branding, product adaptation, and management practices.</w:t>
      </w:r>
    </w:p>
    <w:p w14:paraId="459F3FA1"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Power distance, the extent to which less powerful members of society accept hierarchical structures and authority, is significantly higher in India than in the UK and the Netherlands. In India, societal norms traditionally emphasise respect for authority and seniority, and employees expect clear guidance and decision-making from higher levels of management. By contrast, the UK and the Netherlands are characterised by lower power distance, with organisational cultures that promote egalitarianism, participative decision-making, and decentralised authority. Recognising this disparity, Unilever adapted its local management structure through Hindustan Unilever Limited (HUL) to reflect hierarchical norms while maintaining operational effectiveness. Senior leaders at HUL play a clear directive role, providing guidance, oversight, and structured decision-making, which aligns with Indian expectations and facilitates smoother internal communication. This cultural adaptation not only improves employee satisfaction and engagement but also enhances coordination and operational efficiency across the subsidiary’s extensive workforce.</w:t>
      </w:r>
    </w:p>
    <w:p w14:paraId="0958D6BD"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Another significant dimension is individualism versus collectivism. The UK and the Netherlands exhibit high levels of individualism, emphasising personal achievement, autonomy, and individual decision-making. India, in contrast, is more collectivist, prioritising family, community, and social cohesion. This cultural orientation has had a profound impact on Unilever’s marketing strategies in India. Advertising campaigns and brand messaging are designed to resonate with communal values rather than purely individual benefits. For example, Lifebuoy’s “Help a Child Reach Five” campaign emphasises collective health outcomes and community well-being rather than focusing solely on personal hygiene. Similarly, promotional content for other brands often incorporates familial contexts, social responsibility narratives, and culturally familiar themes that reinforce shared community values. By aligning marketing strategies with collectivist values, Unilever </w:t>
      </w:r>
      <w:proofErr w:type="gramStart"/>
      <w:r w:rsidRPr="00746A9E">
        <w:rPr>
          <w:rFonts w:ascii="Arial" w:hAnsi="Arial" w:cs="Arial"/>
          <w:sz w:val="24"/>
          <w:szCs w:val="24"/>
        </w:rPr>
        <w:t>is able to</w:t>
      </w:r>
      <w:proofErr w:type="gramEnd"/>
      <w:r w:rsidRPr="00746A9E">
        <w:rPr>
          <w:rFonts w:ascii="Arial" w:hAnsi="Arial" w:cs="Arial"/>
          <w:sz w:val="24"/>
          <w:szCs w:val="24"/>
        </w:rPr>
        <w:t xml:space="preserve"> strengthen brand loyalty and establish deeper emotional connections with Indian consumers.</w:t>
      </w:r>
    </w:p>
    <w:p w14:paraId="3032BC92"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lastRenderedPageBreak/>
        <w:t>Uncertainty avoidance, which reflects a society’s tolerance for ambiguity and risk, also varies between Unilever’s home countries and India. The Netherlands is known for its high uncertainty avoidance, where consumers and organisations prefer structured, predictable environments and seek security and reliability in products and services. India scores moderately on this dimension, suggesting that while consumers are somewhat tolerant of uncertainty, they still exhibit caution, particularly in relation to product safety and quality. HUL has responded by emphasising brand reliability, long-standing heritage, and safety assurances in its marketing and product development strategies. For example, Ayurvedic ingredients, traditional formulations, and rigorous quality checks are highlighted to build trust with Indian consumers and reduce perceived risk associated with new or unfamiliar products. This strategic adaptation ensures that products are culturally acceptable and trusted, thereby increasing the likelihood of successful market adoption.</w:t>
      </w:r>
    </w:p>
    <w:p w14:paraId="2578F173"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The dimension of masculinity versus femininity further shapes Unilever’s product positioning and marketing approach. India is considered moderately masculine, valuing achievement, success, and aspirational outcomes, whereas the UK shares similar traits, and the Netherlands is comparatively more feminine, prioritising quality of life, cooperation, and work-life balance. These differences influenced Unilever’s positioning of beauty and personal care products in India. Aspirational messaging, which emphasises personal success, confidence, and social recognition, has historically dominated product campaigns, particularly in categories such as fairness creams. Over time, Unilever has shifted towards promoting empowerment and self-confidence, aligning with evolving societal values while still acknowledging the aspirational, achievement-oriented mindset prevalent in Indian society.</w:t>
      </w:r>
    </w:p>
    <w:p w14:paraId="2BD39C66"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 xml:space="preserve">Long-term orientation, which captures a society’s focus on future rewards, perseverance, and strategic planning, is another critical factor. India exhibits a strong long-term orientation, valuing sustained investment, patience, and planning for future benefits. The Netherlands aligns similarly with long-term strategic thinking, whereas the UK is more short-term oriented, focusing on immediate results and returns. This alignment between Unilever’s European home markets and India facilitated strategic investments in local R&amp;D, sustainable supply chains, and infrastructure, reflecting a commitment to long-term value creation rather than short-term profits. Long-term orientation has allowed HUL to experiment with innovative distribution models, </w:t>
      </w:r>
      <w:r w:rsidRPr="00746A9E">
        <w:rPr>
          <w:rFonts w:ascii="Arial" w:hAnsi="Arial" w:cs="Arial"/>
          <w:sz w:val="24"/>
          <w:szCs w:val="24"/>
        </w:rPr>
        <w:lastRenderedPageBreak/>
        <w:t>sustainability initiatives, and product adaptations without the pressure for immediate returns, thereby establishing a strong and resilient market presence.</w:t>
      </w:r>
    </w:p>
    <w:p w14:paraId="7023C3CD"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Cultural differences have had a direct impact on Unilever’s market entry strategy, influencing multiple operational dimensions. In terms of marketing and branding, cultural sensitivity shaped advertising campaigns, linguistic adaptation, and brand positioning. Products were carefully adapted to respect religious norms, climate variations, and cultural preferences. For instance, skincare formulations were adjusted to suit Indian skin types and local environmental conditions, enhancing product relevance and consumer satisfaction. Product adaptation also extended to packaging innovations. The introduction of small-sized sachets for shampoos and detergents was a response to affordability concerns in price-sensitive markets. These sachets not only improved accessibility for lower-income consumers but also reduced financial risk for consumers, a feature that resonated strongly in a collectivist society where household budgets are carefully managed. This innovation, initially developed and popularised in India, has since been implemented in other emerging markets, demonstrating how culturally informed adaptation can drive global innovation.</w:t>
      </w:r>
    </w:p>
    <w:p w14:paraId="271B8C01" w14:textId="77777777" w:rsidR="00746A9E" w:rsidRPr="00746A9E" w:rsidRDefault="00746A9E" w:rsidP="00B0723B">
      <w:pPr>
        <w:spacing w:line="360" w:lineRule="auto"/>
        <w:rPr>
          <w:rFonts w:ascii="Arial" w:hAnsi="Arial" w:cs="Arial"/>
          <w:sz w:val="24"/>
          <w:szCs w:val="24"/>
        </w:rPr>
      </w:pPr>
      <w:r w:rsidRPr="00746A9E">
        <w:rPr>
          <w:rFonts w:ascii="Arial" w:hAnsi="Arial" w:cs="Arial"/>
          <w:sz w:val="24"/>
          <w:szCs w:val="24"/>
        </w:rPr>
        <w:t>Distribution strategies were likewise influenced by cultural norms. India’s collectivist rural communities necessitated relationship-based approaches to product distribution. HUL’s Project Shakti, which empowers local women entrepreneurs to sell products in remote villages, leverages social networks, builds trust, and strengthens community engagement. This culturally aligned approach not only improves market reach but also supports social empowerment, enhancing brand reputation and loyalty. Similarly, management style within HUL incorporates hierarchical structures and collectivist team dynamics, ensuring alignment with Indian cultural expectations and facilitating effective leadership, decision-making, and team collaboration.</w:t>
      </w:r>
    </w:p>
    <w:p w14:paraId="3CCFA5A9" w14:textId="21AD7792" w:rsidR="00EF1084" w:rsidRPr="00EF1084" w:rsidRDefault="00746A9E" w:rsidP="00B0723B">
      <w:pPr>
        <w:spacing w:line="360" w:lineRule="auto"/>
        <w:rPr>
          <w:rFonts w:ascii="Arial" w:hAnsi="Arial" w:cs="Arial"/>
          <w:sz w:val="24"/>
          <w:szCs w:val="24"/>
        </w:rPr>
      </w:pPr>
      <w:r w:rsidRPr="00746A9E">
        <w:rPr>
          <w:rFonts w:ascii="Arial" w:hAnsi="Arial" w:cs="Arial"/>
          <w:sz w:val="24"/>
          <w:szCs w:val="24"/>
        </w:rPr>
        <w:t xml:space="preserve">Overall, the strategic alignment with cultural norms has been a cornerstone of Unilever’s sustained success in India. By recognising and adapting to differences in power distance, individualism, uncertainty avoidance, masculinity, and long-term orientation, Unilever has been able to minimise cultural friction, enhance consumer acceptance, and build operational efficiencies. Failure to account for these </w:t>
      </w:r>
      <w:r w:rsidRPr="00746A9E">
        <w:rPr>
          <w:rFonts w:ascii="Arial" w:hAnsi="Arial" w:cs="Arial"/>
          <w:sz w:val="24"/>
          <w:szCs w:val="24"/>
        </w:rPr>
        <w:lastRenderedPageBreak/>
        <w:t>differences could have resulted in poor market penetration, weak brand loyalty, or reputational risks. The careful integration of cultural understanding into all aspects of Unilever’s market entry strategy, from product design to distribution and management practices, illustrates the critical importance of cultural analysis in international business and demonstrates why Unilever has achieved such enduring success in the Indian market.</w:t>
      </w:r>
    </w:p>
    <w:p w14:paraId="05131E2A" w14:textId="459D6EA1" w:rsidR="00EF1084" w:rsidRPr="00EF1084" w:rsidRDefault="00EF1084" w:rsidP="00B0723B">
      <w:pPr>
        <w:pStyle w:val="Heading2"/>
      </w:pPr>
      <w:bookmarkStart w:id="8" w:name="_Toc214312890"/>
      <w:r w:rsidRPr="00EF1084">
        <w:t>5. Recommendations: SOP Adjustments for India</w:t>
      </w:r>
      <w:bookmarkEnd w:id="8"/>
      <w:r w:rsidRPr="00EF1084">
        <w:t xml:space="preserve"> </w:t>
      </w:r>
    </w:p>
    <w:p w14:paraId="3BA72C18" w14:textId="624DBD0A"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Based on the earlier OLI analysis and cultural evaluation, Unilever must consider several key adjustments to its Standard Operating Procedures (SOPs) to ensure continued success in India. Three major SOP adjustments are recommended:</w:t>
      </w:r>
    </w:p>
    <w:p w14:paraId="17536292" w14:textId="77777777" w:rsidR="00EF1084" w:rsidRPr="00EF1084" w:rsidRDefault="00EF1084" w:rsidP="00B0723B">
      <w:pPr>
        <w:pStyle w:val="Heading3"/>
      </w:pPr>
      <w:bookmarkStart w:id="9" w:name="_Toc214312891"/>
      <w:r w:rsidRPr="00EF1084">
        <w:t>Recommendation 1: Localised Product Innovation and Agile Product Adaptation SOP</w:t>
      </w:r>
      <w:bookmarkEnd w:id="9"/>
    </w:p>
    <w:p w14:paraId="74F94A4F" w14:textId="77777777"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Rationale:</w:t>
      </w:r>
      <w:r w:rsidRPr="00EF1084">
        <w:rPr>
          <w:rFonts w:ascii="Arial" w:hAnsi="Arial" w:cs="Arial"/>
          <w:sz w:val="24"/>
          <w:szCs w:val="24"/>
        </w:rPr>
        <w:br/>
        <w:t>India’s diverse consumer preferences, climate variations, and cultural factors require more frequent product adaptation than Western markets. Although Unilever already practices localisation, SOPs should formalise faster innovation cycles and local R&amp;D empowerment.</w:t>
      </w:r>
    </w:p>
    <w:p w14:paraId="1AA4BFA6" w14:textId="77777777"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Key SOP Adjustments:</w:t>
      </w:r>
    </w:p>
    <w:p w14:paraId="3D58FC07" w14:textId="77777777" w:rsidR="00EF1084" w:rsidRPr="00EF1084" w:rsidRDefault="00EF1084" w:rsidP="00B0723B">
      <w:pPr>
        <w:numPr>
          <w:ilvl w:val="0"/>
          <w:numId w:val="1"/>
        </w:numPr>
        <w:spacing w:line="360" w:lineRule="auto"/>
        <w:rPr>
          <w:rFonts w:ascii="Arial" w:hAnsi="Arial" w:cs="Arial"/>
          <w:sz w:val="24"/>
          <w:szCs w:val="24"/>
        </w:rPr>
      </w:pPr>
      <w:r w:rsidRPr="00EF1084">
        <w:rPr>
          <w:rFonts w:ascii="Arial" w:hAnsi="Arial" w:cs="Arial"/>
          <w:b/>
          <w:bCs/>
          <w:sz w:val="24"/>
          <w:szCs w:val="24"/>
        </w:rPr>
        <w:t>Introduce an “India-First Innovation Protocol”:</w:t>
      </w:r>
      <w:r w:rsidRPr="00EF1084">
        <w:rPr>
          <w:rFonts w:ascii="Arial" w:hAnsi="Arial" w:cs="Arial"/>
          <w:sz w:val="24"/>
          <w:szCs w:val="24"/>
        </w:rPr>
        <w:t xml:space="preserve"> Prioritise India-specific product development cycles, particularly in personal care and food categories.</w:t>
      </w:r>
    </w:p>
    <w:p w14:paraId="19C95F47" w14:textId="77777777" w:rsidR="00EF1084" w:rsidRPr="00EF1084" w:rsidRDefault="00EF1084" w:rsidP="00B0723B">
      <w:pPr>
        <w:numPr>
          <w:ilvl w:val="0"/>
          <w:numId w:val="1"/>
        </w:numPr>
        <w:spacing w:line="360" w:lineRule="auto"/>
        <w:rPr>
          <w:rFonts w:ascii="Arial" w:hAnsi="Arial" w:cs="Arial"/>
          <w:sz w:val="24"/>
          <w:szCs w:val="24"/>
        </w:rPr>
      </w:pPr>
      <w:r w:rsidRPr="00EF1084">
        <w:rPr>
          <w:rFonts w:ascii="Arial" w:hAnsi="Arial" w:cs="Arial"/>
          <w:b/>
          <w:bCs/>
          <w:sz w:val="24"/>
          <w:szCs w:val="24"/>
        </w:rPr>
        <w:t>Expand local R&amp;D autonomy:</w:t>
      </w:r>
      <w:r w:rsidRPr="00EF1084">
        <w:rPr>
          <w:rFonts w:ascii="Arial" w:hAnsi="Arial" w:cs="Arial"/>
          <w:sz w:val="24"/>
          <w:szCs w:val="24"/>
        </w:rPr>
        <w:t xml:space="preserve"> Allow Indian R&amp;D teams more authority to modify formulas, packaging, and product claims.</w:t>
      </w:r>
    </w:p>
    <w:p w14:paraId="5D58EC40" w14:textId="77777777" w:rsidR="00EF1084" w:rsidRPr="00EF1084" w:rsidRDefault="00EF1084" w:rsidP="00B0723B">
      <w:pPr>
        <w:numPr>
          <w:ilvl w:val="0"/>
          <w:numId w:val="1"/>
        </w:numPr>
        <w:spacing w:line="360" w:lineRule="auto"/>
        <w:rPr>
          <w:rFonts w:ascii="Arial" w:hAnsi="Arial" w:cs="Arial"/>
          <w:sz w:val="24"/>
          <w:szCs w:val="24"/>
        </w:rPr>
      </w:pPr>
      <w:r w:rsidRPr="00EF1084">
        <w:rPr>
          <w:rFonts w:ascii="Arial" w:hAnsi="Arial" w:cs="Arial"/>
          <w:b/>
          <w:bCs/>
          <w:sz w:val="24"/>
          <w:szCs w:val="24"/>
        </w:rPr>
        <w:t>Strengthen consumer insight processes:</w:t>
      </w:r>
      <w:r w:rsidRPr="00EF1084">
        <w:rPr>
          <w:rFonts w:ascii="Arial" w:hAnsi="Arial" w:cs="Arial"/>
          <w:sz w:val="24"/>
          <w:szCs w:val="24"/>
        </w:rPr>
        <w:t xml:space="preserve"> Implement structured ethnographic research, rural immersion programmes, and rapid prototyping.</w:t>
      </w:r>
    </w:p>
    <w:p w14:paraId="376C3BB3" w14:textId="77777777" w:rsidR="00EF1084" w:rsidRPr="00EF1084" w:rsidRDefault="00EF1084" w:rsidP="00B0723B">
      <w:pPr>
        <w:numPr>
          <w:ilvl w:val="0"/>
          <w:numId w:val="1"/>
        </w:numPr>
        <w:spacing w:line="360" w:lineRule="auto"/>
        <w:rPr>
          <w:rFonts w:ascii="Arial" w:hAnsi="Arial" w:cs="Arial"/>
          <w:sz w:val="24"/>
          <w:szCs w:val="24"/>
        </w:rPr>
      </w:pPr>
      <w:r w:rsidRPr="00EF1084">
        <w:rPr>
          <w:rFonts w:ascii="Arial" w:hAnsi="Arial" w:cs="Arial"/>
          <w:b/>
          <w:bCs/>
          <w:sz w:val="24"/>
          <w:szCs w:val="24"/>
        </w:rPr>
        <w:t>Accelerate regulatory compliance workflows:</w:t>
      </w:r>
      <w:r w:rsidRPr="00EF1084">
        <w:rPr>
          <w:rFonts w:ascii="Arial" w:hAnsi="Arial" w:cs="Arial"/>
          <w:sz w:val="24"/>
          <w:szCs w:val="24"/>
        </w:rPr>
        <w:t xml:space="preserve"> Harmonise SOPs with India’s FSSAI and BIS requirements to enable faster time-to-market.</w:t>
      </w:r>
    </w:p>
    <w:p w14:paraId="4DD9979C" w14:textId="2B559A34"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Expected Impact:</w:t>
      </w:r>
      <w:r w:rsidRPr="00EF1084">
        <w:rPr>
          <w:rFonts w:ascii="Arial" w:hAnsi="Arial" w:cs="Arial"/>
          <w:sz w:val="24"/>
          <w:szCs w:val="24"/>
        </w:rPr>
        <w:br/>
        <w:t>Faster and more relevant products will strengthen market share, enhance consumer loyalty, and reinforce Unilever’s alignment with local preferences.</w:t>
      </w:r>
    </w:p>
    <w:p w14:paraId="2F9A2C97" w14:textId="77777777" w:rsidR="00EF1084" w:rsidRPr="00EF1084" w:rsidRDefault="00EF1084" w:rsidP="00B0723B">
      <w:pPr>
        <w:pStyle w:val="Heading3"/>
      </w:pPr>
      <w:bookmarkStart w:id="10" w:name="_Toc214312892"/>
      <w:r w:rsidRPr="00EF1084">
        <w:lastRenderedPageBreak/>
        <w:t>Recommendation 2: Culturally Adaptive Marketing and Ethical Communication SOP</w:t>
      </w:r>
      <w:bookmarkEnd w:id="10"/>
    </w:p>
    <w:p w14:paraId="48AD6C6E" w14:textId="77777777"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Rationale:</w:t>
      </w:r>
      <w:r w:rsidRPr="00EF1084">
        <w:rPr>
          <w:rFonts w:ascii="Arial" w:hAnsi="Arial" w:cs="Arial"/>
          <w:sz w:val="24"/>
          <w:szCs w:val="24"/>
        </w:rPr>
        <w:br/>
        <w:t>Cultural differences between India and Unilever’s home countries mean that marketing must consider religious sensitivities, family values, regional linguistic diversity, and social hierarchies. Past controversies (such as fairness cream advertising) illustrate the need for ethical and culturally sensitive messaging.</w:t>
      </w:r>
    </w:p>
    <w:p w14:paraId="40258E0E" w14:textId="77777777"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Key SOP Adjustments:</w:t>
      </w:r>
    </w:p>
    <w:p w14:paraId="7BC77D9C" w14:textId="77777777" w:rsidR="00EF1084" w:rsidRPr="00EF1084" w:rsidRDefault="00EF1084" w:rsidP="00B0723B">
      <w:pPr>
        <w:numPr>
          <w:ilvl w:val="0"/>
          <w:numId w:val="2"/>
        </w:numPr>
        <w:spacing w:line="360" w:lineRule="auto"/>
        <w:rPr>
          <w:rFonts w:ascii="Arial" w:hAnsi="Arial" w:cs="Arial"/>
          <w:sz w:val="24"/>
          <w:szCs w:val="24"/>
        </w:rPr>
      </w:pPr>
      <w:r w:rsidRPr="00EF1084">
        <w:rPr>
          <w:rFonts w:ascii="Arial" w:hAnsi="Arial" w:cs="Arial"/>
          <w:b/>
          <w:bCs/>
          <w:sz w:val="24"/>
          <w:szCs w:val="24"/>
        </w:rPr>
        <w:t>Establish a Cultural Sensitivity Review Panel:</w:t>
      </w:r>
      <w:r w:rsidRPr="00EF1084">
        <w:rPr>
          <w:rFonts w:ascii="Arial" w:hAnsi="Arial" w:cs="Arial"/>
          <w:sz w:val="24"/>
          <w:szCs w:val="24"/>
        </w:rPr>
        <w:t xml:space="preserve"> All advertisements must undergo review for cultural, religious, and regional appropriateness.</w:t>
      </w:r>
    </w:p>
    <w:p w14:paraId="2F2AB14D" w14:textId="77777777" w:rsidR="00EF1084" w:rsidRPr="00EF1084" w:rsidRDefault="00EF1084" w:rsidP="00B0723B">
      <w:pPr>
        <w:numPr>
          <w:ilvl w:val="0"/>
          <w:numId w:val="2"/>
        </w:numPr>
        <w:spacing w:line="360" w:lineRule="auto"/>
        <w:rPr>
          <w:rFonts w:ascii="Arial" w:hAnsi="Arial" w:cs="Arial"/>
          <w:sz w:val="24"/>
          <w:szCs w:val="24"/>
        </w:rPr>
      </w:pPr>
      <w:r w:rsidRPr="00EF1084">
        <w:rPr>
          <w:rFonts w:ascii="Arial" w:hAnsi="Arial" w:cs="Arial"/>
          <w:b/>
          <w:bCs/>
          <w:sz w:val="24"/>
          <w:szCs w:val="24"/>
        </w:rPr>
        <w:t>Implement regionalised marketing frameworks:</w:t>
      </w:r>
      <w:r w:rsidRPr="00EF1084">
        <w:rPr>
          <w:rFonts w:ascii="Arial" w:hAnsi="Arial" w:cs="Arial"/>
          <w:sz w:val="24"/>
          <w:szCs w:val="24"/>
        </w:rPr>
        <w:t xml:space="preserve"> SOPs should mandate language localisation, cultural nuance integration, and use of regional influencers.</w:t>
      </w:r>
    </w:p>
    <w:p w14:paraId="13E0928B" w14:textId="77777777" w:rsidR="00EF1084" w:rsidRPr="00EF1084" w:rsidRDefault="00EF1084" w:rsidP="00B0723B">
      <w:pPr>
        <w:numPr>
          <w:ilvl w:val="0"/>
          <w:numId w:val="2"/>
        </w:numPr>
        <w:spacing w:line="360" w:lineRule="auto"/>
        <w:rPr>
          <w:rFonts w:ascii="Arial" w:hAnsi="Arial" w:cs="Arial"/>
          <w:sz w:val="24"/>
          <w:szCs w:val="24"/>
        </w:rPr>
      </w:pPr>
      <w:r w:rsidRPr="00EF1084">
        <w:rPr>
          <w:rFonts w:ascii="Arial" w:hAnsi="Arial" w:cs="Arial"/>
          <w:b/>
          <w:bCs/>
          <w:sz w:val="24"/>
          <w:szCs w:val="24"/>
        </w:rPr>
        <w:t>Ethical advertising standards:</w:t>
      </w:r>
      <w:r w:rsidRPr="00EF1084">
        <w:rPr>
          <w:rFonts w:ascii="Arial" w:hAnsi="Arial" w:cs="Arial"/>
          <w:sz w:val="24"/>
          <w:szCs w:val="24"/>
        </w:rPr>
        <w:t xml:space="preserve"> Formalise guidelines to avoid stereotypes and socially controversial imagery.</w:t>
      </w:r>
    </w:p>
    <w:p w14:paraId="2962A17C" w14:textId="77777777" w:rsidR="00EF1084" w:rsidRPr="00EF1084" w:rsidRDefault="00EF1084" w:rsidP="00B0723B">
      <w:pPr>
        <w:numPr>
          <w:ilvl w:val="0"/>
          <w:numId w:val="2"/>
        </w:numPr>
        <w:spacing w:line="360" w:lineRule="auto"/>
        <w:rPr>
          <w:rFonts w:ascii="Arial" w:hAnsi="Arial" w:cs="Arial"/>
          <w:sz w:val="24"/>
          <w:szCs w:val="24"/>
        </w:rPr>
      </w:pPr>
      <w:r w:rsidRPr="00EF1084">
        <w:rPr>
          <w:rFonts w:ascii="Arial" w:hAnsi="Arial" w:cs="Arial"/>
          <w:b/>
          <w:bCs/>
          <w:sz w:val="24"/>
          <w:szCs w:val="24"/>
        </w:rPr>
        <w:t>Strengthen feedback loops:</w:t>
      </w:r>
      <w:r w:rsidRPr="00EF1084">
        <w:rPr>
          <w:rFonts w:ascii="Arial" w:hAnsi="Arial" w:cs="Arial"/>
          <w:sz w:val="24"/>
          <w:szCs w:val="24"/>
        </w:rPr>
        <w:t xml:space="preserve"> Collect real-time consumer sentiment via digital analytics to modify campaigns quickly.</w:t>
      </w:r>
    </w:p>
    <w:p w14:paraId="0AB49DC0" w14:textId="6080F7B5"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Expected Impact:</w:t>
      </w:r>
      <w:r w:rsidRPr="00EF1084">
        <w:rPr>
          <w:rFonts w:ascii="Arial" w:hAnsi="Arial" w:cs="Arial"/>
          <w:sz w:val="24"/>
          <w:szCs w:val="24"/>
        </w:rPr>
        <w:br/>
        <w:t>This SOP ensures cultural alignment, reduces reputational risk, and strengthens consumer trust across India’s diverse regions.</w:t>
      </w:r>
    </w:p>
    <w:p w14:paraId="4E14776F" w14:textId="77777777" w:rsidR="00EF1084" w:rsidRPr="00EF1084" w:rsidRDefault="00EF1084" w:rsidP="00B0723B">
      <w:pPr>
        <w:pStyle w:val="Heading3"/>
      </w:pPr>
      <w:bookmarkStart w:id="11" w:name="_Toc214312893"/>
      <w:r w:rsidRPr="00EF1084">
        <w:t>Recommendation 3: Sustainable and Localised Supply Chain SOP</w:t>
      </w:r>
      <w:bookmarkEnd w:id="11"/>
    </w:p>
    <w:p w14:paraId="0236CF5F" w14:textId="77777777"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Rationale:</w:t>
      </w:r>
      <w:r w:rsidRPr="00EF1084">
        <w:rPr>
          <w:rFonts w:ascii="Arial" w:hAnsi="Arial" w:cs="Arial"/>
          <w:sz w:val="24"/>
          <w:szCs w:val="24"/>
        </w:rPr>
        <w:br/>
        <w:t xml:space="preserve">India’s regulatory environment increasingly prioritises sustainability, and Indian consumers are becoming more environmentally conscious. The OLI analysis highlighted India’s location advantages for </w:t>
      </w:r>
      <w:proofErr w:type="gramStart"/>
      <w:r w:rsidRPr="00EF1084">
        <w:rPr>
          <w:rFonts w:ascii="Arial" w:hAnsi="Arial" w:cs="Arial"/>
          <w:sz w:val="24"/>
          <w:szCs w:val="24"/>
        </w:rPr>
        <w:t>sourcing, but</w:t>
      </w:r>
      <w:proofErr w:type="gramEnd"/>
      <w:r w:rsidRPr="00EF1084">
        <w:rPr>
          <w:rFonts w:ascii="Arial" w:hAnsi="Arial" w:cs="Arial"/>
          <w:sz w:val="24"/>
          <w:szCs w:val="24"/>
        </w:rPr>
        <w:t xml:space="preserve"> also noted supply chain vulnerabilities. SOPs must institutionalise sustainable sourcing and risk mitigation.</w:t>
      </w:r>
    </w:p>
    <w:p w14:paraId="0BBE0E29" w14:textId="77777777"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Key SOP Adjustments:</w:t>
      </w:r>
    </w:p>
    <w:p w14:paraId="1531F98A" w14:textId="77777777" w:rsidR="00EF1084" w:rsidRPr="00EF1084" w:rsidRDefault="00EF1084" w:rsidP="00B0723B">
      <w:pPr>
        <w:numPr>
          <w:ilvl w:val="0"/>
          <w:numId w:val="3"/>
        </w:numPr>
        <w:spacing w:line="360" w:lineRule="auto"/>
        <w:rPr>
          <w:rFonts w:ascii="Arial" w:hAnsi="Arial" w:cs="Arial"/>
          <w:sz w:val="24"/>
          <w:szCs w:val="24"/>
        </w:rPr>
      </w:pPr>
      <w:r w:rsidRPr="00EF1084">
        <w:rPr>
          <w:rFonts w:ascii="Arial" w:hAnsi="Arial" w:cs="Arial"/>
          <w:b/>
          <w:bCs/>
          <w:sz w:val="24"/>
          <w:szCs w:val="24"/>
        </w:rPr>
        <w:t>Mandate local supplier development:</w:t>
      </w:r>
      <w:r w:rsidRPr="00EF1084">
        <w:rPr>
          <w:rFonts w:ascii="Arial" w:hAnsi="Arial" w:cs="Arial"/>
          <w:sz w:val="24"/>
          <w:szCs w:val="24"/>
        </w:rPr>
        <w:t xml:space="preserve"> Build supplier capability programmes focusing on quality, sustainability, and ethical compliance.</w:t>
      </w:r>
    </w:p>
    <w:p w14:paraId="393EE7E9" w14:textId="77777777" w:rsidR="00EF1084" w:rsidRPr="00EF1084" w:rsidRDefault="00EF1084" w:rsidP="00B0723B">
      <w:pPr>
        <w:numPr>
          <w:ilvl w:val="0"/>
          <w:numId w:val="3"/>
        </w:numPr>
        <w:spacing w:line="360" w:lineRule="auto"/>
        <w:rPr>
          <w:rFonts w:ascii="Arial" w:hAnsi="Arial" w:cs="Arial"/>
          <w:sz w:val="24"/>
          <w:szCs w:val="24"/>
        </w:rPr>
      </w:pPr>
      <w:r w:rsidRPr="00EF1084">
        <w:rPr>
          <w:rFonts w:ascii="Arial" w:hAnsi="Arial" w:cs="Arial"/>
          <w:b/>
          <w:bCs/>
          <w:sz w:val="24"/>
          <w:szCs w:val="24"/>
        </w:rPr>
        <w:lastRenderedPageBreak/>
        <w:t>Strengthen traceability systems:</w:t>
      </w:r>
      <w:r w:rsidRPr="00EF1084">
        <w:rPr>
          <w:rFonts w:ascii="Arial" w:hAnsi="Arial" w:cs="Arial"/>
          <w:sz w:val="24"/>
          <w:szCs w:val="24"/>
        </w:rPr>
        <w:t xml:space="preserve"> Implement digital tracking for raw materials, especially for high-risk commodities like palm oil and plastics.</w:t>
      </w:r>
    </w:p>
    <w:p w14:paraId="3D53967F" w14:textId="77777777" w:rsidR="00EF1084" w:rsidRPr="00EF1084" w:rsidRDefault="00EF1084" w:rsidP="00B0723B">
      <w:pPr>
        <w:numPr>
          <w:ilvl w:val="0"/>
          <w:numId w:val="3"/>
        </w:numPr>
        <w:spacing w:line="360" w:lineRule="auto"/>
        <w:rPr>
          <w:rFonts w:ascii="Arial" w:hAnsi="Arial" w:cs="Arial"/>
          <w:sz w:val="24"/>
          <w:szCs w:val="24"/>
        </w:rPr>
      </w:pPr>
      <w:r w:rsidRPr="00EF1084">
        <w:rPr>
          <w:rFonts w:ascii="Arial" w:hAnsi="Arial" w:cs="Arial"/>
          <w:b/>
          <w:bCs/>
          <w:sz w:val="24"/>
          <w:szCs w:val="24"/>
        </w:rPr>
        <w:t>Formalise risk assessment procedures:</w:t>
      </w:r>
      <w:r w:rsidRPr="00EF1084">
        <w:rPr>
          <w:rFonts w:ascii="Arial" w:hAnsi="Arial" w:cs="Arial"/>
          <w:sz w:val="24"/>
          <w:szCs w:val="24"/>
        </w:rPr>
        <w:t xml:space="preserve"> Introduce climate-risk assessments for agricultural inputs and develop contingency supply strategies.</w:t>
      </w:r>
    </w:p>
    <w:p w14:paraId="4AC154D0" w14:textId="77777777" w:rsidR="00EF1084" w:rsidRPr="00EF1084" w:rsidRDefault="00EF1084" w:rsidP="00B0723B">
      <w:pPr>
        <w:numPr>
          <w:ilvl w:val="0"/>
          <w:numId w:val="3"/>
        </w:numPr>
        <w:spacing w:line="360" w:lineRule="auto"/>
        <w:rPr>
          <w:rFonts w:ascii="Arial" w:hAnsi="Arial" w:cs="Arial"/>
          <w:sz w:val="24"/>
          <w:szCs w:val="24"/>
        </w:rPr>
      </w:pPr>
      <w:r w:rsidRPr="00EF1084">
        <w:rPr>
          <w:rFonts w:ascii="Arial" w:hAnsi="Arial" w:cs="Arial"/>
          <w:b/>
          <w:bCs/>
          <w:sz w:val="24"/>
          <w:szCs w:val="24"/>
        </w:rPr>
        <w:t>Enhance rural logistics SOPs:</w:t>
      </w:r>
      <w:r w:rsidRPr="00EF1084">
        <w:rPr>
          <w:rFonts w:ascii="Arial" w:hAnsi="Arial" w:cs="Arial"/>
          <w:sz w:val="24"/>
          <w:szCs w:val="24"/>
        </w:rPr>
        <w:t xml:space="preserve"> Ensure distribution networks remain efficient across India’s infrastructure-constrained regions.</w:t>
      </w:r>
    </w:p>
    <w:p w14:paraId="4692BD45" w14:textId="3E096999" w:rsidR="00EF1084" w:rsidRPr="00EF1084" w:rsidRDefault="00EF1084" w:rsidP="00B0723B">
      <w:pPr>
        <w:spacing w:line="360" w:lineRule="auto"/>
        <w:rPr>
          <w:rFonts w:ascii="Arial" w:hAnsi="Arial" w:cs="Arial"/>
          <w:sz w:val="24"/>
          <w:szCs w:val="24"/>
        </w:rPr>
      </w:pPr>
      <w:r w:rsidRPr="00EF1084">
        <w:rPr>
          <w:rFonts w:ascii="Arial" w:hAnsi="Arial" w:cs="Arial"/>
          <w:b/>
          <w:bCs/>
          <w:sz w:val="24"/>
          <w:szCs w:val="24"/>
        </w:rPr>
        <w:t>Expected Impact:</w:t>
      </w:r>
      <w:r w:rsidRPr="00EF1084">
        <w:rPr>
          <w:rFonts w:ascii="Arial" w:hAnsi="Arial" w:cs="Arial"/>
          <w:sz w:val="24"/>
          <w:szCs w:val="24"/>
        </w:rPr>
        <w:br/>
        <w:t>Strengthened supply chains will reduce operational risk, improve sustainability outcomes, and enhance Unilever’s social licence to operate in India.</w:t>
      </w:r>
    </w:p>
    <w:p w14:paraId="0673E5D3"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The recommended SOP adjustments align with OLI insights by strengthening ownership-specific advantages in innovation and brand management, leveraging India’s location advantages through sustainable sourcing, and reinforcing internalisation advantages through stronger operational control.</w:t>
      </w:r>
    </w:p>
    <w:p w14:paraId="27447664" w14:textId="1DFB1D64" w:rsidR="00EF1084" w:rsidRPr="00EF1084" w:rsidRDefault="00EF1084" w:rsidP="00B0723B">
      <w:pPr>
        <w:spacing w:line="360" w:lineRule="auto"/>
        <w:rPr>
          <w:rFonts w:ascii="Arial" w:hAnsi="Arial" w:cs="Arial"/>
          <w:sz w:val="24"/>
          <w:szCs w:val="24"/>
        </w:rPr>
      </w:pPr>
    </w:p>
    <w:p w14:paraId="087EB0A6" w14:textId="6F7D9F69" w:rsidR="00EF1084" w:rsidRPr="00EF1084" w:rsidRDefault="00EF1084" w:rsidP="00B0723B">
      <w:pPr>
        <w:pStyle w:val="Heading2"/>
      </w:pPr>
      <w:bookmarkStart w:id="12" w:name="_Toc214312894"/>
      <w:r w:rsidRPr="00EF1084">
        <w:t>6. Conclusion</w:t>
      </w:r>
      <w:bookmarkEnd w:id="12"/>
    </w:p>
    <w:p w14:paraId="7F4B8D5E"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This report has critically examined Unilever’s international operations with a focus on its entry and expansion in India. Through an analysis of its global value chain activities, market entry strategies, and international organisational structure, the report demonstrated why Unilever qualifies as an MNC/TNC. Using the OLI framework, the report illustrated that FDI was the optimal entry mode for Unilever in India due to its strong ownership advantages, India’s significant location-specific benefits, and the internalisation advantages required for operational control and quality management.</w:t>
      </w:r>
    </w:p>
    <w:p w14:paraId="107B50C7" w14:textId="77777777" w:rsidR="00EF1084" w:rsidRPr="00EF1084" w:rsidRDefault="00EF1084" w:rsidP="00B0723B">
      <w:pPr>
        <w:spacing w:line="360" w:lineRule="auto"/>
        <w:rPr>
          <w:rFonts w:ascii="Arial" w:hAnsi="Arial" w:cs="Arial"/>
          <w:sz w:val="24"/>
          <w:szCs w:val="24"/>
        </w:rPr>
      </w:pPr>
      <w:r w:rsidRPr="00EF1084">
        <w:rPr>
          <w:rFonts w:ascii="Arial" w:hAnsi="Arial" w:cs="Arial"/>
          <w:sz w:val="24"/>
          <w:szCs w:val="24"/>
        </w:rPr>
        <w:t>The cultural analysis highlighted substantial differences between Unilever’s home countries and India, emphasising the need for culturally adaptive marketing, localised product strategies, and region-specific distribution frameworks. Cultural alignment has been central to Unilever’s longstanding success in India and remains crucial in an increasingly competitive market.</w:t>
      </w:r>
    </w:p>
    <w:p w14:paraId="65D69F0F" w14:textId="77777777" w:rsidR="00EF1084" w:rsidRPr="00B0723B" w:rsidRDefault="00EF1084" w:rsidP="00B0723B">
      <w:pPr>
        <w:spacing w:line="360" w:lineRule="auto"/>
        <w:rPr>
          <w:rFonts w:ascii="Arial" w:hAnsi="Arial" w:cs="Arial"/>
          <w:sz w:val="24"/>
          <w:szCs w:val="24"/>
        </w:rPr>
      </w:pPr>
      <w:r w:rsidRPr="00EF1084">
        <w:rPr>
          <w:rFonts w:ascii="Arial" w:hAnsi="Arial" w:cs="Arial"/>
          <w:sz w:val="24"/>
          <w:szCs w:val="24"/>
        </w:rPr>
        <w:lastRenderedPageBreak/>
        <w:t>Based on the findings, three key SOP adjustments were recommended: enhancing localised product innovation, culturally adaptive marketing SOPs, and building sustainable, resilient supply chains. These strategic adjustments will help Unilever sustain competitive advantage, respond to emerging risks, and reinforce its leadership in India’s FMCG sector. Overall, the analysis underscores the importance of combining global capabilities with local responsiveness in navigating the complexities of international business.</w:t>
      </w:r>
    </w:p>
    <w:p w14:paraId="670008C3" w14:textId="075D02C6"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br w:type="page"/>
      </w:r>
    </w:p>
    <w:p w14:paraId="164028EB" w14:textId="1616A75F" w:rsidR="00B0723B" w:rsidRPr="00B0723B" w:rsidRDefault="00B0723B" w:rsidP="00B0723B">
      <w:pPr>
        <w:pStyle w:val="Heading2"/>
      </w:pPr>
      <w:bookmarkStart w:id="13" w:name="_Toc214312895"/>
      <w:r w:rsidRPr="00B0723B">
        <w:lastRenderedPageBreak/>
        <w:t>7. References</w:t>
      </w:r>
      <w:bookmarkEnd w:id="13"/>
    </w:p>
    <w:p w14:paraId="25B56DA9"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Bartlett, C.A. &amp; Ghoshal, S., 1989. </w:t>
      </w:r>
      <w:r w:rsidRPr="00B0723B">
        <w:rPr>
          <w:rFonts w:ascii="Arial" w:hAnsi="Arial" w:cs="Arial"/>
          <w:i/>
          <w:iCs/>
          <w:sz w:val="24"/>
          <w:szCs w:val="24"/>
        </w:rPr>
        <w:t>Managing Across Borders: The Transnational Solution</w:t>
      </w:r>
      <w:r w:rsidRPr="00B0723B">
        <w:rPr>
          <w:rFonts w:ascii="Arial" w:hAnsi="Arial" w:cs="Arial"/>
          <w:sz w:val="24"/>
          <w:szCs w:val="24"/>
        </w:rPr>
        <w:t>. Boston: Harvard Business School Press.</w:t>
      </w:r>
    </w:p>
    <w:p w14:paraId="3C3CC09D" w14:textId="77777777" w:rsidR="00B0723B" w:rsidRPr="00B0723B" w:rsidRDefault="00B0723B" w:rsidP="00B0723B">
      <w:pPr>
        <w:spacing w:line="360" w:lineRule="auto"/>
        <w:rPr>
          <w:rFonts w:ascii="Arial" w:hAnsi="Arial" w:cs="Arial"/>
          <w:sz w:val="24"/>
          <w:szCs w:val="24"/>
        </w:rPr>
      </w:pPr>
      <w:proofErr w:type="spellStart"/>
      <w:r w:rsidRPr="00B0723B">
        <w:rPr>
          <w:rFonts w:ascii="Arial" w:hAnsi="Arial" w:cs="Arial"/>
          <w:sz w:val="24"/>
          <w:szCs w:val="24"/>
        </w:rPr>
        <w:t>Cavusgil</w:t>
      </w:r>
      <w:proofErr w:type="spellEnd"/>
      <w:r w:rsidRPr="00B0723B">
        <w:rPr>
          <w:rFonts w:ascii="Arial" w:hAnsi="Arial" w:cs="Arial"/>
          <w:sz w:val="24"/>
          <w:szCs w:val="24"/>
        </w:rPr>
        <w:t xml:space="preserve">, S.T., Knight, G., Riesenberger, J.R., Rammal, H.G. &amp; Rose, E.L., 2020. </w:t>
      </w:r>
      <w:r w:rsidRPr="00B0723B">
        <w:rPr>
          <w:rFonts w:ascii="Arial" w:hAnsi="Arial" w:cs="Arial"/>
          <w:i/>
          <w:iCs/>
          <w:sz w:val="24"/>
          <w:szCs w:val="24"/>
        </w:rPr>
        <w:t>International Business: The New Realities</w:t>
      </w:r>
      <w:r w:rsidRPr="00B0723B">
        <w:rPr>
          <w:rFonts w:ascii="Arial" w:hAnsi="Arial" w:cs="Arial"/>
          <w:sz w:val="24"/>
          <w:szCs w:val="24"/>
        </w:rPr>
        <w:t>. 5th ed. Harlow: Pearson Education.</w:t>
      </w:r>
    </w:p>
    <w:p w14:paraId="01B6272C"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Dunning, J.H., 2000. </w:t>
      </w:r>
      <w:r w:rsidRPr="00B0723B">
        <w:rPr>
          <w:rFonts w:ascii="Arial" w:hAnsi="Arial" w:cs="Arial"/>
          <w:i/>
          <w:iCs/>
          <w:sz w:val="24"/>
          <w:szCs w:val="24"/>
        </w:rPr>
        <w:t>The Eclectic Paradigm as an Envelope for Economic and Business Theories of MNE Activity</w:t>
      </w:r>
      <w:r w:rsidRPr="00B0723B">
        <w:rPr>
          <w:rFonts w:ascii="Arial" w:hAnsi="Arial" w:cs="Arial"/>
          <w:sz w:val="24"/>
          <w:szCs w:val="24"/>
        </w:rPr>
        <w:t xml:space="preserve">. </w:t>
      </w:r>
      <w:r w:rsidRPr="00B0723B">
        <w:rPr>
          <w:rFonts w:ascii="Arial" w:hAnsi="Arial" w:cs="Arial"/>
          <w:i/>
          <w:iCs/>
          <w:sz w:val="24"/>
          <w:szCs w:val="24"/>
        </w:rPr>
        <w:t>International Business Review</w:t>
      </w:r>
      <w:r w:rsidRPr="00B0723B">
        <w:rPr>
          <w:rFonts w:ascii="Arial" w:hAnsi="Arial" w:cs="Arial"/>
          <w:sz w:val="24"/>
          <w:szCs w:val="24"/>
        </w:rPr>
        <w:t>, 9(2), pp.163–190.</w:t>
      </w:r>
    </w:p>
    <w:p w14:paraId="4409782F"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Elkington, J., 2020. </w:t>
      </w:r>
      <w:r w:rsidRPr="00B0723B">
        <w:rPr>
          <w:rFonts w:ascii="Arial" w:hAnsi="Arial" w:cs="Arial"/>
          <w:i/>
          <w:iCs/>
          <w:sz w:val="24"/>
          <w:szCs w:val="24"/>
        </w:rPr>
        <w:t>Cannibals with Forks: The Triple Bottom Line of 21st Century Business</w:t>
      </w:r>
      <w:r w:rsidRPr="00B0723B">
        <w:rPr>
          <w:rFonts w:ascii="Arial" w:hAnsi="Arial" w:cs="Arial"/>
          <w:sz w:val="24"/>
          <w:szCs w:val="24"/>
        </w:rPr>
        <w:t>. 2nd ed. Gabriola Island: New Society Publishers.</w:t>
      </w:r>
    </w:p>
    <w:p w14:paraId="3A547B91"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Ghemawat, P., 2001. </w:t>
      </w:r>
      <w:r w:rsidRPr="00B0723B">
        <w:rPr>
          <w:rFonts w:ascii="Arial" w:hAnsi="Arial" w:cs="Arial"/>
          <w:i/>
          <w:iCs/>
          <w:sz w:val="24"/>
          <w:szCs w:val="24"/>
        </w:rPr>
        <w:t>Distance Still Matters: The Hard Reality of Global Expansion</w:t>
      </w:r>
      <w:r w:rsidRPr="00B0723B">
        <w:rPr>
          <w:rFonts w:ascii="Arial" w:hAnsi="Arial" w:cs="Arial"/>
          <w:sz w:val="24"/>
          <w:szCs w:val="24"/>
        </w:rPr>
        <w:t xml:space="preserve">. </w:t>
      </w:r>
      <w:r w:rsidRPr="00B0723B">
        <w:rPr>
          <w:rFonts w:ascii="Arial" w:hAnsi="Arial" w:cs="Arial"/>
          <w:i/>
          <w:iCs/>
          <w:sz w:val="24"/>
          <w:szCs w:val="24"/>
        </w:rPr>
        <w:t>Harvard Business Review</w:t>
      </w:r>
      <w:r w:rsidRPr="00B0723B">
        <w:rPr>
          <w:rFonts w:ascii="Arial" w:hAnsi="Arial" w:cs="Arial"/>
          <w:sz w:val="24"/>
          <w:szCs w:val="24"/>
        </w:rPr>
        <w:t>, 79(8), pp.137–147.</w:t>
      </w:r>
    </w:p>
    <w:p w14:paraId="56154802"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Grant, R.M., 2021. </w:t>
      </w:r>
      <w:r w:rsidRPr="00B0723B">
        <w:rPr>
          <w:rFonts w:ascii="Arial" w:hAnsi="Arial" w:cs="Arial"/>
          <w:i/>
          <w:iCs/>
          <w:sz w:val="24"/>
          <w:szCs w:val="24"/>
        </w:rPr>
        <w:t>Contemporary Strategy Analysis: Text and Cases Edition</w:t>
      </w:r>
      <w:r w:rsidRPr="00B0723B">
        <w:rPr>
          <w:rFonts w:ascii="Arial" w:hAnsi="Arial" w:cs="Arial"/>
          <w:sz w:val="24"/>
          <w:szCs w:val="24"/>
        </w:rPr>
        <w:t>. 10th ed. Hoboken: Wiley.</w:t>
      </w:r>
    </w:p>
    <w:p w14:paraId="097868DE" w14:textId="5C17A841"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Government of India, 2023. </w:t>
      </w:r>
      <w:r w:rsidRPr="00B0723B">
        <w:rPr>
          <w:rFonts w:ascii="Arial" w:hAnsi="Arial" w:cs="Arial"/>
          <w:i/>
          <w:iCs/>
          <w:sz w:val="24"/>
          <w:szCs w:val="24"/>
        </w:rPr>
        <w:t>Make in India Initiative</w:t>
      </w:r>
      <w:r w:rsidRPr="00B0723B">
        <w:rPr>
          <w:rFonts w:ascii="Arial" w:hAnsi="Arial" w:cs="Arial"/>
          <w:sz w:val="24"/>
          <w:szCs w:val="24"/>
        </w:rPr>
        <w:t xml:space="preserve">. [online] Available at: </w:t>
      </w:r>
      <w:hyperlink r:id="rId8" w:tgtFrame="_new" w:history="1">
        <w:r w:rsidRPr="00B0723B">
          <w:rPr>
            <w:rStyle w:val="Hyperlink"/>
            <w:rFonts w:ascii="Arial" w:hAnsi="Arial" w:cs="Arial"/>
            <w:sz w:val="24"/>
            <w:szCs w:val="24"/>
          </w:rPr>
          <w:t>https://www.makeinindia.com</w:t>
        </w:r>
      </w:hyperlink>
      <w:r w:rsidRPr="00B0723B">
        <w:rPr>
          <w:rFonts w:ascii="Arial" w:hAnsi="Arial" w:cs="Arial"/>
          <w:sz w:val="24"/>
          <w:szCs w:val="24"/>
        </w:rPr>
        <w:t xml:space="preserve"> [Accessed </w:t>
      </w:r>
      <w:r w:rsidRPr="00B0723B">
        <w:rPr>
          <w:rFonts w:ascii="Arial" w:hAnsi="Arial" w:cs="Arial"/>
          <w:sz w:val="24"/>
          <w:szCs w:val="24"/>
        </w:rPr>
        <w:t>2</w:t>
      </w:r>
      <w:r w:rsidRPr="00B0723B">
        <w:rPr>
          <w:rFonts w:ascii="Arial" w:hAnsi="Arial" w:cs="Arial"/>
          <w:sz w:val="24"/>
          <w:szCs w:val="24"/>
        </w:rPr>
        <w:t xml:space="preserve"> November 2025].</w:t>
      </w:r>
    </w:p>
    <w:p w14:paraId="6B5BD4F4"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Hill, C.W.L. &amp; Hult, G.T.M., 2022. </w:t>
      </w:r>
      <w:r w:rsidRPr="00B0723B">
        <w:rPr>
          <w:rFonts w:ascii="Arial" w:hAnsi="Arial" w:cs="Arial"/>
          <w:i/>
          <w:iCs/>
          <w:sz w:val="24"/>
          <w:szCs w:val="24"/>
        </w:rPr>
        <w:t>International Business: Competing in the Global Marketplace</w:t>
      </w:r>
      <w:r w:rsidRPr="00B0723B">
        <w:rPr>
          <w:rFonts w:ascii="Arial" w:hAnsi="Arial" w:cs="Arial"/>
          <w:sz w:val="24"/>
          <w:szCs w:val="24"/>
        </w:rPr>
        <w:t>. 13th ed. New York: McGraw-Hill Education.</w:t>
      </w:r>
    </w:p>
    <w:p w14:paraId="3D057958" w14:textId="4F54041A"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Hofstede, G., 2011. </w:t>
      </w:r>
      <w:proofErr w:type="spellStart"/>
      <w:r w:rsidRPr="00B0723B">
        <w:rPr>
          <w:rFonts w:ascii="Arial" w:hAnsi="Arial" w:cs="Arial"/>
          <w:i/>
          <w:iCs/>
          <w:sz w:val="24"/>
          <w:szCs w:val="24"/>
        </w:rPr>
        <w:t>Dimensionalizing</w:t>
      </w:r>
      <w:proofErr w:type="spellEnd"/>
      <w:r w:rsidRPr="00B0723B">
        <w:rPr>
          <w:rFonts w:ascii="Arial" w:hAnsi="Arial" w:cs="Arial"/>
          <w:i/>
          <w:iCs/>
          <w:sz w:val="24"/>
          <w:szCs w:val="24"/>
        </w:rPr>
        <w:t xml:space="preserve"> Cultures: The Hofstede Model in Context</w:t>
      </w:r>
      <w:r w:rsidRPr="00B0723B">
        <w:rPr>
          <w:rFonts w:ascii="Arial" w:hAnsi="Arial" w:cs="Arial"/>
          <w:sz w:val="24"/>
          <w:szCs w:val="24"/>
        </w:rPr>
        <w:t xml:space="preserve">. </w:t>
      </w:r>
      <w:r w:rsidRPr="00B0723B">
        <w:rPr>
          <w:rFonts w:ascii="Arial" w:hAnsi="Arial" w:cs="Arial"/>
          <w:i/>
          <w:iCs/>
          <w:sz w:val="24"/>
          <w:szCs w:val="24"/>
        </w:rPr>
        <w:t>Online Readings in Psychology and Culture</w:t>
      </w:r>
      <w:r w:rsidRPr="00B0723B">
        <w:rPr>
          <w:rFonts w:ascii="Arial" w:hAnsi="Arial" w:cs="Arial"/>
          <w:sz w:val="24"/>
          <w:szCs w:val="24"/>
        </w:rPr>
        <w:t xml:space="preserve">, 2(1). Available at: </w:t>
      </w:r>
      <w:hyperlink r:id="rId9" w:tgtFrame="_new" w:history="1">
        <w:r w:rsidRPr="00B0723B">
          <w:rPr>
            <w:rStyle w:val="Hyperlink"/>
            <w:rFonts w:ascii="Arial" w:hAnsi="Arial" w:cs="Arial"/>
            <w:sz w:val="24"/>
            <w:szCs w:val="24"/>
          </w:rPr>
          <w:t>https://doi.org/10.9707/2307-0919.1014</w:t>
        </w:r>
      </w:hyperlink>
      <w:r w:rsidRPr="00B0723B">
        <w:rPr>
          <w:rFonts w:ascii="Arial" w:hAnsi="Arial" w:cs="Arial"/>
          <w:sz w:val="24"/>
          <w:szCs w:val="24"/>
        </w:rPr>
        <w:t xml:space="preserve"> [Accessed 1 November 2025].</w:t>
      </w:r>
    </w:p>
    <w:p w14:paraId="160D039B" w14:textId="19C54346"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HUL (Hindustan Unilever Limited), 2020. </w:t>
      </w:r>
      <w:r w:rsidRPr="00B0723B">
        <w:rPr>
          <w:rFonts w:ascii="Arial" w:hAnsi="Arial" w:cs="Arial"/>
          <w:i/>
          <w:iCs/>
          <w:sz w:val="24"/>
          <w:szCs w:val="24"/>
        </w:rPr>
        <w:t>Annual Report 2020</w:t>
      </w:r>
      <w:r w:rsidRPr="00B0723B">
        <w:rPr>
          <w:rFonts w:ascii="Arial" w:hAnsi="Arial" w:cs="Arial"/>
          <w:sz w:val="24"/>
          <w:szCs w:val="24"/>
        </w:rPr>
        <w:t>. [online] Available at: https://www.hul.co.in/investor-relations/annual-report/ [Accessed 1</w:t>
      </w:r>
      <w:r w:rsidRPr="00B0723B">
        <w:rPr>
          <w:rFonts w:ascii="Arial" w:hAnsi="Arial" w:cs="Arial"/>
          <w:sz w:val="24"/>
          <w:szCs w:val="24"/>
        </w:rPr>
        <w:t>1</w:t>
      </w:r>
      <w:r w:rsidRPr="00B0723B">
        <w:rPr>
          <w:rFonts w:ascii="Arial" w:hAnsi="Arial" w:cs="Arial"/>
          <w:sz w:val="24"/>
          <w:szCs w:val="24"/>
        </w:rPr>
        <w:t xml:space="preserve"> November 2025].</w:t>
      </w:r>
    </w:p>
    <w:p w14:paraId="0C501499" w14:textId="3B100B0F"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HUL (Hindustan Unilever Limited), 2024. </w:t>
      </w:r>
      <w:r w:rsidRPr="00B0723B">
        <w:rPr>
          <w:rFonts w:ascii="Arial" w:hAnsi="Arial" w:cs="Arial"/>
          <w:i/>
          <w:iCs/>
          <w:sz w:val="24"/>
          <w:szCs w:val="24"/>
        </w:rPr>
        <w:t>Company Overview</w:t>
      </w:r>
      <w:r w:rsidRPr="00B0723B">
        <w:rPr>
          <w:rFonts w:ascii="Arial" w:hAnsi="Arial" w:cs="Arial"/>
          <w:sz w:val="24"/>
          <w:szCs w:val="24"/>
        </w:rPr>
        <w:t>. [online] Available at: https://www.hul.co.in/about/who-we-are/ [Accessed 1</w:t>
      </w:r>
      <w:r w:rsidRPr="00B0723B">
        <w:rPr>
          <w:rFonts w:ascii="Arial" w:hAnsi="Arial" w:cs="Arial"/>
          <w:sz w:val="24"/>
          <w:szCs w:val="24"/>
        </w:rPr>
        <w:t>2</w:t>
      </w:r>
      <w:r w:rsidRPr="00B0723B">
        <w:rPr>
          <w:rFonts w:ascii="Arial" w:hAnsi="Arial" w:cs="Arial"/>
          <w:sz w:val="24"/>
          <w:szCs w:val="24"/>
        </w:rPr>
        <w:t xml:space="preserve"> November 2025].</w:t>
      </w:r>
    </w:p>
    <w:p w14:paraId="7732E967"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Johanson, J. &amp; Vahlne, J.-E., 2009. </w:t>
      </w:r>
      <w:r w:rsidRPr="00B0723B">
        <w:rPr>
          <w:rFonts w:ascii="Arial" w:hAnsi="Arial" w:cs="Arial"/>
          <w:i/>
          <w:iCs/>
          <w:sz w:val="24"/>
          <w:szCs w:val="24"/>
        </w:rPr>
        <w:t xml:space="preserve">The Uppsala Internationalization Model Revisited: From Liability of Foreignness to Liability of </w:t>
      </w:r>
      <w:proofErr w:type="spellStart"/>
      <w:r w:rsidRPr="00B0723B">
        <w:rPr>
          <w:rFonts w:ascii="Arial" w:hAnsi="Arial" w:cs="Arial"/>
          <w:i/>
          <w:iCs/>
          <w:sz w:val="24"/>
          <w:szCs w:val="24"/>
        </w:rPr>
        <w:t>Outsidership</w:t>
      </w:r>
      <w:proofErr w:type="spellEnd"/>
      <w:r w:rsidRPr="00B0723B">
        <w:rPr>
          <w:rFonts w:ascii="Arial" w:hAnsi="Arial" w:cs="Arial"/>
          <w:sz w:val="24"/>
          <w:szCs w:val="24"/>
        </w:rPr>
        <w:t xml:space="preserve">. </w:t>
      </w:r>
      <w:r w:rsidRPr="00B0723B">
        <w:rPr>
          <w:rFonts w:ascii="Arial" w:hAnsi="Arial" w:cs="Arial"/>
          <w:i/>
          <w:iCs/>
          <w:sz w:val="24"/>
          <w:szCs w:val="24"/>
        </w:rPr>
        <w:t>Journal of International Business Studies</w:t>
      </w:r>
      <w:r w:rsidRPr="00B0723B">
        <w:rPr>
          <w:rFonts w:ascii="Arial" w:hAnsi="Arial" w:cs="Arial"/>
          <w:sz w:val="24"/>
          <w:szCs w:val="24"/>
        </w:rPr>
        <w:t>, 40(9), pp.1411–1431.</w:t>
      </w:r>
    </w:p>
    <w:p w14:paraId="7730FA9E"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lastRenderedPageBreak/>
        <w:t xml:space="preserve">Kapur, R., 2021. </w:t>
      </w:r>
      <w:r w:rsidRPr="00B0723B">
        <w:rPr>
          <w:rFonts w:ascii="Arial" w:hAnsi="Arial" w:cs="Arial"/>
          <w:i/>
          <w:iCs/>
          <w:sz w:val="24"/>
          <w:szCs w:val="24"/>
        </w:rPr>
        <w:t>Advertising Strategies in Emerging Markets: Lessons from India</w:t>
      </w:r>
      <w:r w:rsidRPr="00B0723B">
        <w:rPr>
          <w:rFonts w:ascii="Arial" w:hAnsi="Arial" w:cs="Arial"/>
          <w:sz w:val="24"/>
          <w:szCs w:val="24"/>
        </w:rPr>
        <w:t xml:space="preserve">. </w:t>
      </w:r>
      <w:r w:rsidRPr="00B0723B">
        <w:rPr>
          <w:rFonts w:ascii="Arial" w:hAnsi="Arial" w:cs="Arial"/>
          <w:i/>
          <w:iCs/>
          <w:sz w:val="24"/>
          <w:szCs w:val="24"/>
        </w:rPr>
        <w:t>Journal of Marketing Communications</w:t>
      </w:r>
      <w:r w:rsidRPr="00B0723B">
        <w:rPr>
          <w:rFonts w:ascii="Arial" w:hAnsi="Arial" w:cs="Arial"/>
          <w:sz w:val="24"/>
          <w:szCs w:val="24"/>
        </w:rPr>
        <w:t>, 27(5), pp.545–563.</w:t>
      </w:r>
    </w:p>
    <w:p w14:paraId="2D0B7650"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Meyer, K.E. &amp; Skak, A., 2002. </w:t>
      </w:r>
      <w:r w:rsidRPr="00B0723B">
        <w:rPr>
          <w:rFonts w:ascii="Arial" w:hAnsi="Arial" w:cs="Arial"/>
          <w:i/>
          <w:iCs/>
          <w:sz w:val="24"/>
          <w:szCs w:val="24"/>
        </w:rPr>
        <w:t>Networks, Serendipity, and SME Entry into Eastern Europe</w:t>
      </w:r>
      <w:r w:rsidRPr="00B0723B">
        <w:rPr>
          <w:rFonts w:ascii="Arial" w:hAnsi="Arial" w:cs="Arial"/>
          <w:sz w:val="24"/>
          <w:szCs w:val="24"/>
        </w:rPr>
        <w:t xml:space="preserve">. </w:t>
      </w:r>
      <w:r w:rsidRPr="00B0723B">
        <w:rPr>
          <w:rFonts w:ascii="Arial" w:hAnsi="Arial" w:cs="Arial"/>
          <w:i/>
          <w:iCs/>
          <w:sz w:val="24"/>
          <w:szCs w:val="24"/>
        </w:rPr>
        <w:t>European Management Journal</w:t>
      </w:r>
      <w:r w:rsidRPr="00B0723B">
        <w:rPr>
          <w:rFonts w:ascii="Arial" w:hAnsi="Arial" w:cs="Arial"/>
          <w:sz w:val="24"/>
          <w:szCs w:val="24"/>
        </w:rPr>
        <w:t>, 20(2), pp.179–188.</w:t>
      </w:r>
    </w:p>
    <w:p w14:paraId="2BC698BB"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Peng, M.W., 2022. </w:t>
      </w:r>
      <w:r w:rsidRPr="00B0723B">
        <w:rPr>
          <w:rFonts w:ascii="Arial" w:hAnsi="Arial" w:cs="Arial"/>
          <w:i/>
          <w:iCs/>
          <w:sz w:val="24"/>
          <w:szCs w:val="24"/>
        </w:rPr>
        <w:t>Global Business</w:t>
      </w:r>
      <w:r w:rsidRPr="00B0723B">
        <w:rPr>
          <w:rFonts w:ascii="Arial" w:hAnsi="Arial" w:cs="Arial"/>
          <w:sz w:val="24"/>
          <w:szCs w:val="24"/>
        </w:rPr>
        <w:t>. 5th ed. Boston: Cengage Learning.</w:t>
      </w:r>
    </w:p>
    <w:p w14:paraId="7CDE0437"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Rao, S., 2022. </w:t>
      </w:r>
      <w:r w:rsidRPr="00B0723B">
        <w:rPr>
          <w:rFonts w:ascii="Arial" w:hAnsi="Arial" w:cs="Arial"/>
          <w:i/>
          <w:iCs/>
          <w:sz w:val="24"/>
          <w:szCs w:val="24"/>
        </w:rPr>
        <w:t>Consumer Trends and Market Potential in India: FMCG Sector Insights</w:t>
      </w:r>
      <w:r w:rsidRPr="00B0723B">
        <w:rPr>
          <w:rFonts w:ascii="Arial" w:hAnsi="Arial" w:cs="Arial"/>
          <w:sz w:val="24"/>
          <w:szCs w:val="24"/>
        </w:rPr>
        <w:t xml:space="preserve">. </w:t>
      </w:r>
      <w:r w:rsidRPr="00B0723B">
        <w:rPr>
          <w:rFonts w:ascii="Arial" w:hAnsi="Arial" w:cs="Arial"/>
          <w:i/>
          <w:iCs/>
          <w:sz w:val="24"/>
          <w:szCs w:val="24"/>
        </w:rPr>
        <w:t>International Journal of Emerging Markets</w:t>
      </w:r>
      <w:r w:rsidRPr="00B0723B">
        <w:rPr>
          <w:rFonts w:ascii="Arial" w:hAnsi="Arial" w:cs="Arial"/>
          <w:sz w:val="24"/>
          <w:szCs w:val="24"/>
        </w:rPr>
        <w:t>, 17(3), pp.567–585.</w:t>
      </w:r>
    </w:p>
    <w:p w14:paraId="6C549A5A"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Root, F.R., 1994. </w:t>
      </w:r>
      <w:r w:rsidRPr="00B0723B">
        <w:rPr>
          <w:rFonts w:ascii="Arial" w:hAnsi="Arial" w:cs="Arial"/>
          <w:i/>
          <w:iCs/>
          <w:sz w:val="24"/>
          <w:szCs w:val="24"/>
        </w:rPr>
        <w:t>Entry Strategies for International Markets</w:t>
      </w:r>
      <w:r w:rsidRPr="00B0723B">
        <w:rPr>
          <w:rFonts w:ascii="Arial" w:hAnsi="Arial" w:cs="Arial"/>
          <w:sz w:val="24"/>
          <w:szCs w:val="24"/>
        </w:rPr>
        <w:t>. 2nd ed. New York: Lexington Books.</w:t>
      </w:r>
    </w:p>
    <w:p w14:paraId="04B26FF3" w14:textId="4F822861"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Unilever, 2024. </w:t>
      </w:r>
      <w:r w:rsidRPr="00B0723B">
        <w:rPr>
          <w:rFonts w:ascii="Arial" w:hAnsi="Arial" w:cs="Arial"/>
          <w:i/>
          <w:iCs/>
          <w:sz w:val="24"/>
          <w:szCs w:val="24"/>
        </w:rPr>
        <w:t>Annual Report 2024</w:t>
      </w:r>
      <w:r w:rsidRPr="00B0723B">
        <w:rPr>
          <w:rFonts w:ascii="Arial" w:hAnsi="Arial" w:cs="Arial"/>
          <w:sz w:val="24"/>
          <w:szCs w:val="24"/>
        </w:rPr>
        <w:t xml:space="preserve">. [online] Available at: </w:t>
      </w:r>
      <w:hyperlink r:id="rId10" w:tgtFrame="_new" w:history="1">
        <w:r w:rsidRPr="00B0723B">
          <w:rPr>
            <w:rStyle w:val="Hyperlink"/>
            <w:rFonts w:ascii="Arial" w:hAnsi="Arial" w:cs="Arial"/>
            <w:sz w:val="24"/>
            <w:szCs w:val="24"/>
          </w:rPr>
          <w:t>https://www.unilever.com/investor-relations/annual-report-and-accounts/</w:t>
        </w:r>
      </w:hyperlink>
      <w:r w:rsidRPr="00B0723B">
        <w:rPr>
          <w:rFonts w:ascii="Arial" w:hAnsi="Arial" w:cs="Arial"/>
          <w:sz w:val="24"/>
          <w:szCs w:val="24"/>
        </w:rPr>
        <w:t xml:space="preserve"> [Accessed 1 November 2025].</w:t>
      </w:r>
    </w:p>
    <w:p w14:paraId="4C7D7D7E"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Verbeke, A. &amp; Kano, L., 2016. </w:t>
      </w:r>
      <w:r w:rsidRPr="00B0723B">
        <w:rPr>
          <w:rFonts w:ascii="Arial" w:hAnsi="Arial" w:cs="Arial"/>
          <w:i/>
          <w:iCs/>
          <w:sz w:val="24"/>
          <w:szCs w:val="24"/>
        </w:rPr>
        <w:t>The Transaction Cost Economics and International Business: Past, Present, and Future</w:t>
      </w:r>
      <w:r w:rsidRPr="00B0723B">
        <w:rPr>
          <w:rFonts w:ascii="Arial" w:hAnsi="Arial" w:cs="Arial"/>
          <w:sz w:val="24"/>
          <w:szCs w:val="24"/>
        </w:rPr>
        <w:t xml:space="preserve">. </w:t>
      </w:r>
      <w:r w:rsidRPr="00B0723B">
        <w:rPr>
          <w:rFonts w:ascii="Arial" w:hAnsi="Arial" w:cs="Arial"/>
          <w:i/>
          <w:iCs/>
          <w:sz w:val="24"/>
          <w:szCs w:val="24"/>
        </w:rPr>
        <w:t>Journal of World Business</w:t>
      </w:r>
      <w:r w:rsidRPr="00B0723B">
        <w:rPr>
          <w:rFonts w:ascii="Arial" w:hAnsi="Arial" w:cs="Arial"/>
          <w:sz w:val="24"/>
          <w:szCs w:val="24"/>
        </w:rPr>
        <w:t>, 51(1), pp.1–8.</w:t>
      </w:r>
    </w:p>
    <w:p w14:paraId="054417CE" w14:textId="77777777" w:rsidR="00B0723B" w:rsidRPr="00B0723B" w:rsidRDefault="00B0723B" w:rsidP="00B0723B">
      <w:pPr>
        <w:spacing w:line="360" w:lineRule="auto"/>
        <w:rPr>
          <w:rFonts w:ascii="Arial" w:hAnsi="Arial" w:cs="Arial"/>
          <w:sz w:val="24"/>
          <w:szCs w:val="24"/>
        </w:rPr>
      </w:pPr>
      <w:r w:rsidRPr="00B0723B">
        <w:rPr>
          <w:rFonts w:ascii="Arial" w:hAnsi="Arial" w:cs="Arial"/>
          <w:sz w:val="24"/>
          <w:szCs w:val="24"/>
        </w:rPr>
        <w:t xml:space="preserve">Yip, G.S., 2003. </w:t>
      </w:r>
      <w:r w:rsidRPr="00B0723B">
        <w:rPr>
          <w:rFonts w:ascii="Arial" w:hAnsi="Arial" w:cs="Arial"/>
          <w:i/>
          <w:iCs/>
          <w:sz w:val="24"/>
          <w:szCs w:val="24"/>
        </w:rPr>
        <w:t>Total Global Strategy: Managing for Worldwide Competitive Advantage</w:t>
      </w:r>
      <w:r w:rsidRPr="00B0723B">
        <w:rPr>
          <w:rFonts w:ascii="Arial" w:hAnsi="Arial" w:cs="Arial"/>
          <w:sz w:val="24"/>
          <w:szCs w:val="24"/>
        </w:rPr>
        <w:t>. 2nd ed. Upper Saddle River: Prentice Hall.</w:t>
      </w:r>
    </w:p>
    <w:p w14:paraId="1F895690" w14:textId="77777777" w:rsidR="00B0723B" w:rsidRPr="00EF1084" w:rsidRDefault="00B0723B" w:rsidP="00B0723B">
      <w:pPr>
        <w:spacing w:line="360" w:lineRule="auto"/>
        <w:rPr>
          <w:rFonts w:ascii="Arial" w:hAnsi="Arial" w:cs="Arial"/>
          <w:sz w:val="24"/>
          <w:szCs w:val="24"/>
        </w:rPr>
      </w:pPr>
    </w:p>
    <w:p w14:paraId="6A2D2090" w14:textId="77777777" w:rsidR="007724F0" w:rsidRPr="00B0723B" w:rsidRDefault="007724F0" w:rsidP="00B0723B">
      <w:pPr>
        <w:spacing w:line="360" w:lineRule="auto"/>
        <w:rPr>
          <w:rFonts w:ascii="Arial" w:hAnsi="Arial" w:cs="Arial"/>
          <w:sz w:val="24"/>
          <w:szCs w:val="24"/>
        </w:rPr>
      </w:pPr>
    </w:p>
    <w:sectPr w:rsidR="007724F0" w:rsidRPr="00B0723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07CEC" w14:textId="77777777" w:rsidR="00B45DC6" w:rsidRDefault="00B45DC6" w:rsidP="00B0723B">
      <w:pPr>
        <w:spacing w:after="0" w:line="240" w:lineRule="auto"/>
      </w:pPr>
      <w:r>
        <w:separator/>
      </w:r>
    </w:p>
  </w:endnote>
  <w:endnote w:type="continuationSeparator" w:id="0">
    <w:p w14:paraId="79A66E43" w14:textId="77777777" w:rsidR="00B45DC6" w:rsidRDefault="00B45DC6" w:rsidP="00B07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92482"/>
      <w:docPartObj>
        <w:docPartGallery w:val="Page Numbers (Bottom of Page)"/>
        <w:docPartUnique/>
      </w:docPartObj>
    </w:sdtPr>
    <w:sdtEndPr>
      <w:rPr>
        <w:noProof/>
      </w:rPr>
    </w:sdtEndPr>
    <w:sdtContent>
      <w:p w14:paraId="695DC912" w14:textId="73E90A30" w:rsidR="00B0723B" w:rsidRDefault="00B0723B">
        <w:pPr>
          <w:pStyle w:val="Footer"/>
        </w:pPr>
        <w:r>
          <w:fldChar w:fldCharType="begin"/>
        </w:r>
        <w:r>
          <w:instrText xml:space="preserve"> PAGE   \* MERGEFORMAT </w:instrText>
        </w:r>
        <w:r>
          <w:fldChar w:fldCharType="separate"/>
        </w:r>
        <w:r>
          <w:rPr>
            <w:noProof/>
          </w:rPr>
          <w:t>2</w:t>
        </w:r>
        <w:r>
          <w:rPr>
            <w:noProof/>
          </w:rPr>
          <w:fldChar w:fldCharType="end"/>
        </w:r>
      </w:p>
    </w:sdtContent>
  </w:sdt>
  <w:p w14:paraId="41477CAE" w14:textId="77777777" w:rsidR="00B0723B" w:rsidRDefault="00B07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4ABF7" w14:textId="77777777" w:rsidR="00B45DC6" w:rsidRDefault="00B45DC6" w:rsidP="00B0723B">
      <w:pPr>
        <w:spacing w:after="0" w:line="240" w:lineRule="auto"/>
      </w:pPr>
      <w:r>
        <w:separator/>
      </w:r>
    </w:p>
  </w:footnote>
  <w:footnote w:type="continuationSeparator" w:id="0">
    <w:p w14:paraId="08BFE8BB" w14:textId="77777777" w:rsidR="00B45DC6" w:rsidRDefault="00B45DC6" w:rsidP="00B07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34A6"/>
    <w:multiLevelType w:val="multilevel"/>
    <w:tmpl w:val="F2A4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1600EE"/>
    <w:multiLevelType w:val="multilevel"/>
    <w:tmpl w:val="AD5C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080A1B"/>
    <w:multiLevelType w:val="multilevel"/>
    <w:tmpl w:val="B738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1080955">
    <w:abstractNumId w:val="2"/>
  </w:num>
  <w:num w:numId="2" w16cid:durableId="456220179">
    <w:abstractNumId w:val="0"/>
  </w:num>
  <w:num w:numId="3" w16cid:durableId="2036690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084"/>
    <w:rsid w:val="00126C1B"/>
    <w:rsid w:val="001F17F6"/>
    <w:rsid w:val="003A27A6"/>
    <w:rsid w:val="00476E04"/>
    <w:rsid w:val="004C7036"/>
    <w:rsid w:val="00617603"/>
    <w:rsid w:val="00685E22"/>
    <w:rsid w:val="00746A9E"/>
    <w:rsid w:val="007724F0"/>
    <w:rsid w:val="00B0723B"/>
    <w:rsid w:val="00B45DC6"/>
    <w:rsid w:val="00B63278"/>
    <w:rsid w:val="00C677EF"/>
    <w:rsid w:val="00D41F24"/>
    <w:rsid w:val="00E70CD3"/>
    <w:rsid w:val="00EF1084"/>
    <w:rsid w:val="00FF59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FC01E"/>
  <w15:chartTrackingRefBased/>
  <w15:docId w15:val="{3108537A-DE54-4ED1-A832-15C28BABC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1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1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1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1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084"/>
    <w:rPr>
      <w:rFonts w:eastAsiaTheme="majorEastAsia" w:cstheme="majorBidi"/>
      <w:color w:val="272727" w:themeColor="text1" w:themeTint="D8"/>
    </w:rPr>
  </w:style>
  <w:style w:type="paragraph" w:styleId="Title">
    <w:name w:val="Title"/>
    <w:basedOn w:val="Normal"/>
    <w:next w:val="Normal"/>
    <w:link w:val="TitleChar"/>
    <w:uiPriority w:val="10"/>
    <w:qFormat/>
    <w:rsid w:val="00EF1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084"/>
    <w:pPr>
      <w:spacing w:before="160"/>
      <w:jc w:val="center"/>
    </w:pPr>
    <w:rPr>
      <w:i/>
      <w:iCs/>
      <w:color w:val="404040" w:themeColor="text1" w:themeTint="BF"/>
    </w:rPr>
  </w:style>
  <w:style w:type="character" w:customStyle="1" w:styleId="QuoteChar">
    <w:name w:val="Quote Char"/>
    <w:basedOn w:val="DefaultParagraphFont"/>
    <w:link w:val="Quote"/>
    <w:uiPriority w:val="29"/>
    <w:rsid w:val="00EF1084"/>
    <w:rPr>
      <w:i/>
      <w:iCs/>
      <w:color w:val="404040" w:themeColor="text1" w:themeTint="BF"/>
    </w:rPr>
  </w:style>
  <w:style w:type="paragraph" w:styleId="ListParagraph">
    <w:name w:val="List Paragraph"/>
    <w:basedOn w:val="Normal"/>
    <w:uiPriority w:val="34"/>
    <w:qFormat/>
    <w:rsid w:val="00EF1084"/>
    <w:pPr>
      <w:ind w:left="720"/>
      <w:contextualSpacing/>
    </w:pPr>
  </w:style>
  <w:style w:type="character" w:styleId="IntenseEmphasis">
    <w:name w:val="Intense Emphasis"/>
    <w:basedOn w:val="DefaultParagraphFont"/>
    <w:uiPriority w:val="21"/>
    <w:qFormat/>
    <w:rsid w:val="00EF1084"/>
    <w:rPr>
      <w:i/>
      <w:iCs/>
      <w:color w:val="0F4761" w:themeColor="accent1" w:themeShade="BF"/>
    </w:rPr>
  </w:style>
  <w:style w:type="paragraph" w:styleId="IntenseQuote">
    <w:name w:val="Intense Quote"/>
    <w:basedOn w:val="Normal"/>
    <w:next w:val="Normal"/>
    <w:link w:val="IntenseQuoteChar"/>
    <w:uiPriority w:val="30"/>
    <w:qFormat/>
    <w:rsid w:val="00EF1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084"/>
    <w:rPr>
      <w:i/>
      <w:iCs/>
      <w:color w:val="0F4761" w:themeColor="accent1" w:themeShade="BF"/>
    </w:rPr>
  </w:style>
  <w:style w:type="character" w:styleId="IntenseReference">
    <w:name w:val="Intense Reference"/>
    <w:basedOn w:val="DefaultParagraphFont"/>
    <w:uiPriority w:val="32"/>
    <w:qFormat/>
    <w:rsid w:val="00EF1084"/>
    <w:rPr>
      <w:b/>
      <w:bCs/>
      <w:smallCaps/>
      <w:color w:val="0F4761" w:themeColor="accent1" w:themeShade="BF"/>
      <w:spacing w:val="5"/>
    </w:rPr>
  </w:style>
  <w:style w:type="character" w:styleId="Hyperlink">
    <w:name w:val="Hyperlink"/>
    <w:basedOn w:val="DefaultParagraphFont"/>
    <w:uiPriority w:val="99"/>
    <w:unhideWhenUsed/>
    <w:rsid w:val="00B0723B"/>
    <w:rPr>
      <w:color w:val="467886" w:themeColor="hyperlink"/>
      <w:u w:val="single"/>
    </w:rPr>
  </w:style>
  <w:style w:type="character" w:styleId="UnresolvedMention">
    <w:name w:val="Unresolved Mention"/>
    <w:basedOn w:val="DefaultParagraphFont"/>
    <w:uiPriority w:val="99"/>
    <w:semiHidden/>
    <w:unhideWhenUsed/>
    <w:rsid w:val="00B0723B"/>
    <w:rPr>
      <w:color w:val="605E5C"/>
      <w:shd w:val="clear" w:color="auto" w:fill="E1DFDD"/>
    </w:rPr>
  </w:style>
  <w:style w:type="paragraph" w:styleId="Header">
    <w:name w:val="header"/>
    <w:basedOn w:val="Normal"/>
    <w:link w:val="HeaderChar"/>
    <w:uiPriority w:val="99"/>
    <w:unhideWhenUsed/>
    <w:rsid w:val="00B07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23B"/>
  </w:style>
  <w:style w:type="paragraph" w:styleId="Footer">
    <w:name w:val="footer"/>
    <w:basedOn w:val="Normal"/>
    <w:link w:val="FooterChar"/>
    <w:uiPriority w:val="99"/>
    <w:unhideWhenUsed/>
    <w:rsid w:val="00B07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23B"/>
  </w:style>
  <w:style w:type="paragraph" w:styleId="TOCHeading">
    <w:name w:val="TOC Heading"/>
    <w:basedOn w:val="Heading1"/>
    <w:next w:val="Normal"/>
    <w:uiPriority w:val="39"/>
    <w:unhideWhenUsed/>
    <w:qFormat/>
    <w:rsid w:val="00B0723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0723B"/>
    <w:pPr>
      <w:spacing w:after="100"/>
      <w:ind w:left="220"/>
    </w:pPr>
  </w:style>
  <w:style w:type="paragraph" w:styleId="TOC3">
    <w:name w:val="toc 3"/>
    <w:basedOn w:val="Normal"/>
    <w:next w:val="Normal"/>
    <w:autoRedefine/>
    <w:uiPriority w:val="39"/>
    <w:unhideWhenUsed/>
    <w:rsid w:val="00B072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einindi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nilever.com/investor-relations/annual-report-and-accounts/" TargetMode="External"/><Relationship Id="rId4" Type="http://schemas.openxmlformats.org/officeDocument/2006/relationships/settings" Target="settings.xml"/><Relationship Id="rId9" Type="http://schemas.openxmlformats.org/officeDocument/2006/relationships/hyperlink" Target="https://doi.org/10.9707/2307-0919.1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B0DA9-24B4-4720-B980-8F56AFB5C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5584</Words>
  <Characters>36969</Characters>
  <Application>Microsoft Office Word</Application>
  <DocSecurity>0</DocSecurity>
  <Lines>596</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 Atulkumar Patel</dc:creator>
  <cp:keywords/>
  <dc:description/>
  <cp:lastModifiedBy>Anchal Atulkumar Patel</cp:lastModifiedBy>
  <cp:revision>12</cp:revision>
  <dcterms:created xsi:type="dcterms:W3CDTF">2025-11-17T22:27:00Z</dcterms:created>
  <dcterms:modified xsi:type="dcterms:W3CDTF">2025-11-17T23:01:00Z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065583d6-1441-4190-9db0-ad92b4a2dd87</vt:lpwstr>
  </property>
</Properties>
</file>