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9253A3" w14:textId="12A8A103" w:rsidR="00675E37" w:rsidRDefault="00E85C96" w:rsidP="00675E37">
      <w:pPr>
        <w:jc w:val="center"/>
        <w:rPr>
          <w:sz w:val="36"/>
          <w:u w:val="single"/>
        </w:rPr>
      </w:pPr>
      <w:r>
        <w:rPr>
          <w:sz w:val="36"/>
          <w:u w:val="single"/>
        </w:rPr>
        <w:t>Field report</w:t>
      </w:r>
      <w:r w:rsidR="00675E37">
        <w:rPr>
          <w:sz w:val="36"/>
          <w:u w:val="single"/>
        </w:rPr>
        <w:t>,</w:t>
      </w:r>
      <w:r>
        <w:rPr>
          <w:sz w:val="36"/>
          <w:u w:val="single"/>
        </w:rPr>
        <w:t xml:space="preserve"> </w:t>
      </w:r>
      <w:r w:rsidR="004F33BE">
        <w:rPr>
          <w:sz w:val="36"/>
          <w:u w:val="single"/>
        </w:rPr>
        <w:t>Semester 2</w:t>
      </w:r>
      <w:r w:rsidR="00675E37">
        <w:rPr>
          <w:sz w:val="36"/>
          <w:u w:val="single"/>
        </w:rPr>
        <w:t>,</w:t>
      </w:r>
      <w:r w:rsidR="004F33BE">
        <w:rPr>
          <w:sz w:val="36"/>
          <w:u w:val="single"/>
        </w:rPr>
        <w:t xml:space="preserve"> 20</w:t>
      </w:r>
      <w:r w:rsidR="001C71D8">
        <w:rPr>
          <w:sz w:val="36"/>
          <w:u w:val="single"/>
        </w:rPr>
        <w:t>17/</w:t>
      </w:r>
      <w:r w:rsidR="004F33BE">
        <w:rPr>
          <w:sz w:val="36"/>
          <w:u w:val="single"/>
        </w:rPr>
        <w:t>18</w:t>
      </w:r>
    </w:p>
    <w:p w14:paraId="0BA79C74" w14:textId="3D1A3290" w:rsidR="00675E37" w:rsidRDefault="00675E37" w:rsidP="002F1E74"/>
    <w:p w14:paraId="3112A4F7" w14:textId="3047477C" w:rsidR="00FA07D6" w:rsidRDefault="00431D9A" w:rsidP="002F1E74">
      <w:r>
        <w:tab/>
        <w:t xml:space="preserve">This report details the subjects covered in the War in History, </w:t>
      </w:r>
      <w:proofErr w:type="gramStart"/>
      <w:r>
        <w:t>Crusading</w:t>
      </w:r>
      <w:proofErr w:type="gramEnd"/>
      <w:r>
        <w:t xml:space="preserve"> in the Middle Ages and Doing History lectures</w:t>
      </w:r>
      <w:r w:rsidR="004E4B62">
        <w:t xml:space="preserve"> during the course of Semester 2 of </w:t>
      </w:r>
      <w:r w:rsidR="00584E53">
        <w:t>the academic year 2017/18</w:t>
      </w:r>
      <w:r w:rsidR="00B4481E">
        <w:t xml:space="preserve"> and explains what was taught, how and </w:t>
      </w:r>
      <w:r w:rsidR="00DA62C5">
        <w:t>what was gained from it</w:t>
      </w:r>
      <w:r w:rsidR="00B4481E">
        <w:t>.</w:t>
      </w:r>
      <w:r w:rsidR="00E55336">
        <w:t xml:space="preserve"> F</w:t>
      </w:r>
      <w:r w:rsidR="00E55336" w:rsidRPr="00E55336">
        <w:t>urther</w:t>
      </w:r>
      <w:r w:rsidR="00E55336">
        <w:t>,</w:t>
      </w:r>
      <w:r w:rsidR="00B4481E">
        <w:t xml:space="preserve"> </w:t>
      </w:r>
      <w:r w:rsidR="00E55336">
        <w:t>i</w:t>
      </w:r>
      <w:r w:rsidR="00B4481E">
        <w:t>t shall explain the Graveyard Survey that was conducted</w:t>
      </w:r>
      <w:r w:rsidR="00584E53">
        <w:t xml:space="preserve"> as a part of the Doing History lectures</w:t>
      </w:r>
      <w:r w:rsidR="00B4481E">
        <w:t xml:space="preserve"> and </w:t>
      </w:r>
      <w:r w:rsidR="00E72FFD">
        <w:t xml:space="preserve">the information that can be gleaned from gravestones and </w:t>
      </w:r>
      <w:r w:rsidR="00A37FD9">
        <w:t>other such monuments</w:t>
      </w:r>
      <w:r w:rsidR="00222C9D">
        <w:t>, both in terms of witting and unwitting testimony</w:t>
      </w:r>
      <w:r w:rsidR="00D1638A">
        <w:t xml:space="preserve"> and provide </w:t>
      </w:r>
      <w:r w:rsidR="00E55336">
        <w:t xml:space="preserve">case studies to help illustrate </w:t>
      </w:r>
      <w:r w:rsidR="00CE00C0">
        <w:t>the use of th</w:t>
      </w:r>
      <w:r w:rsidR="009571F4">
        <w:t>ese</w:t>
      </w:r>
      <w:r w:rsidR="00CE00C0">
        <w:t xml:space="preserve"> </w:t>
      </w:r>
      <w:r w:rsidR="009571F4">
        <w:t>methods</w:t>
      </w:r>
      <w:r w:rsidR="00CE00C0">
        <w:t xml:space="preserve"> in practice</w:t>
      </w:r>
      <w:r w:rsidR="00A37FD9">
        <w:t>.</w:t>
      </w:r>
    </w:p>
    <w:p w14:paraId="53499047" w14:textId="09C48A29" w:rsidR="00A92966" w:rsidRDefault="00A313CE" w:rsidP="002F1E74">
      <w:r>
        <w:tab/>
      </w:r>
      <w:r w:rsidR="00756401">
        <w:t>T</w:t>
      </w:r>
      <w:r w:rsidR="00DA5BDA">
        <w:t>he</w:t>
      </w:r>
      <w:r w:rsidR="00756401">
        <w:t xml:space="preserve"> lectures for the</w:t>
      </w:r>
      <w:r w:rsidR="00DA5BDA">
        <w:t xml:space="preserve"> War in History module</w:t>
      </w:r>
      <w:r w:rsidR="00C37EBE">
        <w:t xml:space="preserve"> were taught in the standard lecture pattern of an interactive discussion </w:t>
      </w:r>
      <w:r w:rsidR="00294144">
        <w:t xml:space="preserve">accompanied by </w:t>
      </w:r>
      <w:r w:rsidR="00C37EBE">
        <w:t>PowerPoint slides</w:t>
      </w:r>
      <w:r w:rsidR="00821669">
        <w:t>.</w:t>
      </w:r>
      <w:r w:rsidR="000A13F6">
        <w:t xml:space="preserve"> In this way</w:t>
      </w:r>
      <w:r w:rsidR="00533588">
        <w:t>,</w:t>
      </w:r>
      <w:r w:rsidR="000A13F6">
        <w:t xml:space="preserve"> the lectures were well presented and conveyed </w:t>
      </w:r>
      <w:r w:rsidR="00FB59C6">
        <w:t xml:space="preserve">useful and intriguing information that made the subject </w:t>
      </w:r>
      <w:r w:rsidR="00533588">
        <w:t>quite enjoyable to learn</w:t>
      </w:r>
      <w:r w:rsidR="0012740C">
        <w:t>.</w:t>
      </w:r>
      <w:r w:rsidR="001D6E43">
        <w:t xml:space="preserve"> </w:t>
      </w:r>
      <w:r w:rsidR="0014683C">
        <w:t>However, while the lecture ‘Warfare in the Ancient World’ was presented in this manner</w:t>
      </w:r>
      <w:r w:rsidR="002E16BA">
        <w:t>—as were most—there are notable exceptions</w:t>
      </w:r>
      <w:r w:rsidR="006628DB">
        <w:t>.</w:t>
      </w:r>
      <w:r w:rsidR="002E16BA">
        <w:t xml:space="preserve"> </w:t>
      </w:r>
      <w:r w:rsidR="006628DB">
        <w:t>C</w:t>
      </w:r>
      <w:r w:rsidR="002E16BA">
        <w:t xml:space="preserve">ourtesy of the </w:t>
      </w:r>
      <w:r w:rsidR="00C35E69">
        <w:t>re-enactment societies of the University,</w:t>
      </w:r>
      <w:r w:rsidR="00BF1F47">
        <w:t xml:space="preserve"> further background information was </w:t>
      </w:r>
      <w:r w:rsidR="00592732">
        <w:t>proffered</w:t>
      </w:r>
      <w:r w:rsidR="00BF1F47">
        <w:t xml:space="preserve"> on the </w:t>
      </w:r>
      <w:r w:rsidR="00500C93">
        <w:t>equipment used in both the Napoleonic Wars and the medieval era with replica equipment provided as part of the demonstrations</w:t>
      </w:r>
      <w:r w:rsidR="005E6436">
        <w:t>.</w:t>
      </w:r>
      <w:r w:rsidR="00A164DE">
        <w:t xml:space="preserve"> Included </w:t>
      </w:r>
      <w:r w:rsidR="003C15A7">
        <w:t>in</w:t>
      </w:r>
      <w:r w:rsidR="00B06F67">
        <w:t xml:space="preserve"> </w:t>
      </w:r>
      <w:r w:rsidR="003C15A7">
        <w:t>the</w:t>
      </w:r>
      <w:r w:rsidR="007456B9">
        <w:t xml:space="preserve"> </w:t>
      </w:r>
      <w:r w:rsidR="007456B9" w:rsidRPr="007456B9">
        <w:t>equipment</w:t>
      </w:r>
      <w:r w:rsidR="003C15A7">
        <w:t xml:space="preserve"> demonstrat</w:t>
      </w:r>
      <w:r w:rsidR="00B06F67">
        <w:t xml:space="preserve">ed </w:t>
      </w:r>
      <w:r w:rsidR="003C15A7">
        <w:t xml:space="preserve">for the Napoleonic Wars </w:t>
      </w:r>
      <w:r w:rsidR="00A164DE">
        <w:t xml:space="preserve">were a soldiers’ </w:t>
      </w:r>
      <w:r w:rsidR="00217CBE">
        <w:t>uniform, flintlock musket, the various bags that the victims who had to wear them were afflicted with</w:t>
      </w:r>
      <w:r w:rsidR="003918BD">
        <w:rPr>
          <w:rStyle w:val="FootnoteReference"/>
          <w:vertAlign w:val="baseline"/>
        </w:rPr>
        <w:t>—</w:t>
      </w:r>
      <w:r w:rsidR="00BE3DA0">
        <w:rPr>
          <w:rStyle w:val="FootnoteReference"/>
          <w:vertAlign w:val="baseline"/>
        </w:rPr>
        <w:t xml:space="preserve">many </w:t>
      </w:r>
      <w:r w:rsidR="00984E54">
        <w:rPr>
          <w:rStyle w:val="FootnoteReference"/>
          <w:vertAlign w:val="baseline"/>
        </w:rPr>
        <w:t>w</w:t>
      </w:r>
      <w:r w:rsidR="00984E54">
        <w:t xml:space="preserve">ith the result of </w:t>
      </w:r>
      <w:r w:rsidR="00984E54">
        <w:rPr>
          <w:rStyle w:val="FootnoteReference"/>
          <w:vertAlign w:val="baseline"/>
        </w:rPr>
        <w:t>s</w:t>
      </w:r>
      <w:r w:rsidR="00984E54">
        <w:t xml:space="preserve">uffering </w:t>
      </w:r>
      <w:r w:rsidR="00BE3DA0">
        <w:rPr>
          <w:rStyle w:val="FootnoteReference"/>
          <w:vertAlign w:val="baseline"/>
        </w:rPr>
        <w:t>Bell’s Palsy</w:t>
      </w:r>
      <w:r w:rsidR="003918BD">
        <w:rPr>
          <w:rStyle w:val="FootnoteReference"/>
          <w:vertAlign w:val="baseline"/>
        </w:rPr>
        <w:t>—</w:t>
      </w:r>
      <w:r w:rsidR="00585C46">
        <w:t>and a replica bayonet</w:t>
      </w:r>
      <w:r w:rsidR="00B971E7">
        <w:t xml:space="preserve">. Fascinating as this all is, more was still to come when the re-enactors </w:t>
      </w:r>
      <w:r w:rsidR="008E4920">
        <w:t xml:space="preserve">again volunteered </w:t>
      </w:r>
      <w:r w:rsidR="00715DE8">
        <w:t>to help demonstrate the intricacies of medieval warfare</w:t>
      </w:r>
      <w:r w:rsidR="000B1701">
        <w:t>,</w:t>
      </w:r>
      <w:r w:rsidR="00715DE8">
        <w:t xml:space="preserve"> </w:t>
      </w:r>
      <w:r w:rsidR="00F34F54">
        <w:t xml:space="preserve">including the </w:t>
      </w:r>
      <w:r w:rsidR="00715DE8">
        <w:t xml:space="preserve">various </w:t>
      </w:r>
      <w:r w:rsidR="009256E2">
        <w:t xml:space="preserve">forms of weapons that were available and the methods </w:t>
      </w:r>
      <w:r w:rsidR="00C67040">
        <w:t>of keeping those tools of agony out of the human body.</w:t>
      </w:r>
      <w:r w:rsidR="00B971E7">
        <w:t xml:space="preserve"> </w:t>
      </w:r>
      <w:r w:rsidR="005E6436">
        <w:t>Th</w:t>
      </w:r>
      <w:r w:rsidR="000B1701">
        <w:t>ese</w:t>
      </w:r>
      <w:r w:rsidR="005E6436">
        <w:t xml:space="preserve"> demonstration</w:t>
      </w:r>
      <w:r w:rsidR="000B1701">
        <w:t>s</w:t>
      </w:r>
      <w:r w:rsidR="005E6436">
        <w:t xml:space="preserve"> helped to provide an experience that was both thoroughly enjoyable and </w:t>
      </w:r>
      <w:r w:rsidR="00A42B3E">
        <w:t>gave a</w:t>
      </w:r>
      <w:r w:rsidR="0096474E">
        <w:t xml:space="preserve">n </w:t>
      </w:r>
      <w:r w:rsidR="00A42B3E">
        <w:t>insight into the past</w:t>
      </w:r>
      <w:r w:rsidR="0096474E">
        <w:t xml:space="preserve"> that books</w:t>
      </w:r>
      <w:r w:rsidR="00CF6D32">
        <w:t>, although informative, probably are not the best medium to communicate</w:t>
      </w:r>
      <w:r w:rsidR="003918BD">
        <w:t xml:space="preserve"> when</w:t>
      </w:r>
      <w:r w:rsidR="00B11E8D">
        <w:t xml:space="preserve"> compared to experience</w:t>
      </w:r>
      <w:r w:rsidR="00A42B3E">
        <w:t>.</w:t>
      </w:r>
    </w:p>
    <w:p w14:paraId="0155A3A7" w14:textId="0D24F13C" w:rsidR="004D648A" w:rsidRDefault="00B76363" w:rsidP="00A92966">
      <w:pPr>
        <w:ind w:firstLine="720"/>
      </w:pPr>
      <w:r>
        <w:t xml:space="preserve">In these various manners the eras of history from the Ancient World to the modern era were covered, </w:t>
      </w:r>
      <w:r w:rsidR="00B51F5A">
        <w:t>from the fighting styles of the Ancient Greeks</w:t>
      </w:r>
      <w:r w:rsidR="008B1227">
        <w:t xml:space="preserve"> </w:t>
      </w:r>
      <w:r w:rsidR="008B1227" w:rsidRPr="008B1227">
        <w:t>(or, more specifically, Athenian</w:t>
      </w:r>
      <w:r w:rsidR="00F507F9">
        <w:t>s</w:t>
      </w:r>
      <w:r w:rsidR="008B1227" w:rsidRPr="008B1227">
        <w:t>)</w:t>
      </w:r>
      <w:r w:rsidR="00B51F5A">
        <w:t xml:space="preserve"> and the debate about what the evidence </w:t>
      </w:r>
      <w:r w:rsidR="00090031">
        <w:t xml:space="preserve">for the use of the phalanx by </w:t>
      </w:r>
      <w:r w:rsidR="005D6A31">
        <w:t>Athenian</w:t>
      </w:r>
      <w:r w:rsidR="00090031">
        <w:t xml:space="preserve"> soldiers.</w:t>
      </w:r>
      <w:r w:rsidR="00E7605F">
        <w:t xml:space="preserve"> </w:t>
      </w:r>
      <w:r w:rsidR="00BB46EB">
        <w:t>After this</w:t>
      </w:r>
      <w:r w:rsidR="00121A23">
        <w:t>,</w:t>
      </w:r>
      <w:r w:rsidR="00C94DCE">
        <w:t xml:space="preserve"> the order of events </w:t>
      </w:r>
      <w:r w:rsidR="00121A23">
        <w:t xml:space="preserve">shifted to the development of military stratagems and </w:t>
      </w:r>
      <w:r w:rsidR="005D6A31">
        <w:t>equipment</w:t>
      </w:r>
      <w:r w:rsidR="00121A23">
        <w:t xml:space="preserve"> f</w:t>
      </w:r>
      <w:r w:rsidR="00A40553">
        <w:t>ro</w:t>
      </w:r>
      <w:r w:rsidR="00121A23">
        <w:t>m the 17</w:t>
      </w:r>
      <w:r w:rsidR="00121A23" w:rsidRPr="00121A23">
        <w:rPr>
          <w:vertAlign w:val="superscript"/>
        </w:rPr>
        <w:t>th</w:t>
      </w:r>
      <w:r w:rsidR="00121A23">
        <w:t xml:space="preserve"> to 18</w:t>
      </w:r>
      <w:r w:rsidR="00121A23" w:rsidRPr="00121A23">
        <w:rPr>
          <w:vertAlign w:val="superscript"/>
        </w:rPr>
        <w:t>th</w:t>
      </w:r>
      <w:r w:rsidR="00121A23">
        <w:t xml:space="preserve"> centuries and </w:t>
      </w:r>
      <w:r w:rsidR="00A40553">
        <w:t xml:space="preserve">the repercussions this had on the nations of Europe and </w:t>
      </w:r>
      <w:r w:rsidR="000A0492">
        <w:t>the wars that were the catalyst for this, particularly the War of the Grand Alliance</w:t>
      </w:r>
      <w:r w:rsidR="00D91A21">
        <w:t xml:space="preserve"> and the War of the Spanish Succession that was covered over the course of several lectures.</w:t>
      </w:r>
      <w:r w:rsidR="00FF2E40">
        <w:t xml:space="preserve"> </w:t>
      </w:r>
      <w:r w:rsidR="0066088B">
        <w:t>Included in this was an overview of the career of John Churchill the First Duke of Marlborough, a commander who—while not innovative</w:t>
      </w:r>
      <w:r w:rsidR="009474EB">
        <w:t xml:space="preserve"> in terms of strategy or technology used</w:t>
      </w:r>
      <w:r w:rsidR="00E00517">
        <w:t>—</w:t>
      </w:r>
      <w:r w:rsidR="0066088B">
        <w:t>did have a highly impactful career</w:t>
      </w:r>
      <w:r w:rsidR="00E00517">
        <w:t xml:space="preserve"> that started in the Monmouth</w:t>
      </w:r>
      <w:r w:rsidR="009474EB">
        <w:t xml:space="preserve"> Rebellion </w:t>
      </w:r>
      <w:r w:rsidR="00EF115C">
        <w:t xml:space="preserve">led by </w:t>
      </w:r>
      <w:r w:rsidR="00BE3350">
        <w:t>James Scott,</w:t>
      </w:r>
      <w:r w:rsidR="009474EB">
        <w:t xml:space="preserve"> the illegitimate son of King Charles II</w:t>
      </w:r>
      <w:r w:rsidR="004C7690">
        <w:t>.</w:t>
      </w:r>
      <w:r w:rsidR="0022533A">
        <w:t xml:space="preserve"> From there, Marlborough’s career extended </w:t>
      </w:r>
      <w:r w:rsidR="00A84617">
        <w:t xml:space="preserve">throughout the </w:t>
      </w:r>
      <w:r w:rsidR="00880825">
        <w:t xml:space="preserve">War of the Spanish Succession and </w:t>
      </w:r>
      <w:r w:rsidR="00066077">
        <w:t xml:space="preserve">took him over much of Western Europe, </w:t>
      </w:r>
      <w:r w:rsidR="00163DDC">
        <w:t>ultimately joining the Duke of Savoy and defeating the Bavarians in the Battle of Blenheim.</w:t>
      </w:r>
    </w:p>
    <w:p w14:paraId="6CF5926A" w14:textId="5DD21B4C" w:rsidR="00B11E8D" w:rsidRDefault="000B5105" w:rsidP="00F4601E">
      <w:pPr>
        <w:ind w:firstLine="720"/>
      </w:pPr>
      <w:r>
        <w:t>W</w:t>
      </w:r>
      <w:r w:rsidR="00543D1E">
        <w:t xml:space="preserve">hile the armies and leaders of the War of the Spanish Succession </w:t>
      </w:r>
      <w:r w:rsidR="009551D9">
        <w:t>were covered</w:t>
      </w:r>
      <w:r w:rsidR="004D648A">
        <w:t xml:space="preserve"> in as</w:t>
      </w:r>
      <w:r w:rsidR="002C0BC5">
        <w:t xml:space="preserve"> </w:t>
      </w:r>
      <w:r w:rsidR="004D648A">
        <w:t xml:space="preserve">much detail as an overview can afford, </w:t>
      </w:r>
      <w:r w:rsidR="00752AF6">
        <w:t xml:space="preserve">one very interesting aspect that was covered were the fortresses used in the </w:t>
      </w:r>
      <w:r w:rsidR="00E764B8">
        <w:t>War</w:t>
      </w:r>
      <w:r w:rsidR="00ED59F8">
        <w:t>. B</w:t>
      </w:r>
      <w:r w:rsidR="00E764B8">
        <w:t>uilt at the same time as the English Civil War</w:t>
      </w:r>
      <w:r w:rsidR="00F41801">
        <w:t xml:space="preserve">, these Star Forts were </w:t>
      </w:r>
      <w:r w:rsidR="00C73A95">
        <w:t xml:space="preserve">constructed under the oversight of </w:t>
      </w:r>
      <w:r w:rsidR="00D24499">
        <w:t>the French siege engineer Vauban.</w:t>
      </w:r>
      <w:r w:rsidR="00CB55FD">
        <w:t xml:space="preserve"> </w:t>
      </w:r>
      <w:r w:rsidR="00BA10F8">
        <w:t xml:space="preserve">For illustrating this section of the lectures, </w:t>
      </w:r>
      <w:r w:rsidR="000E713A">
        <w:t>aerial</w:t>
      </w:r>
      <w:r w:rsidR="00081F93">
        <w:t xml:space="preserve"> photography and </w:t>
      </w:r>
      <w:r w:rsidR="00D501F9">
        <w:t xml:space="preserve">illustrations of the fortresses in question—particularly the specimen at Lille—were used to demonstrate </w:t>
      </w:r>
      <w:r w:rsidR="0089567D">
        <w:t>how these impressive structures were put together and how they functioned</w:t>
      </w:r>
      <w:r w:rsidR="00A74C44">
        <w:t>, while the wider historiographical context explained why these structures were required</w:t>
      </w:r>
      <w:r w:rsidR="0089567D">
        <w:t>.</w:t>
      </w:r>
      <w:r w:rsidR="00CB5C0C">
        <w:t xml:space="preserve"> </w:t>
      </w:r>
      <w:r w:rsidR="009E209F">
        <w:t xml:space="preserve">Further explained was the emergence of guerrilla warfare and its use in </w:t>
      </w:r>
      <w:r w:rsidR="00270AA9">
        <w:t>the Peninsula War</w:t>
      </w:r>
      <w:r w:rsidR="008673CD">
        <w:t xml:space="preserve">, with </w:t>
      </w:r>
      <w:r w:rsidR="00AD73E0">
        <w:t xml:space="preserve">a more expanded case study in the form of the </w:t>
      </w:r>
      <w:r w:rsidR="00AF573B">
        <w:t xml:space="preserve">Irish War of Independence and the effectiveness of the </w:t>
      </w:r>
      <w:r w:rsidR="00AF573B">
        <w:lastRenderedPageBreak/>
        <w:t>tactics against the British Army.</w:t>
      </w:r>
      <w:r w:rsidR="00F4601E">
        <w:t xml:space="preserve"> </w:t>
      </w:r>
      <w:r w:rsidR="00011C27">
        <w:t>Noteworthy as these are</w:t>
      </w:r>
      <w:r w:rsidR="00F413F5">
        <w:t>, however</w:t>
      </w:r>
      <w:r w:rsidR="0089567D">
        <w:t xml:space="preserve">, </w:t>
      </w:r>
      <w:r w:rsidR="000D1E0B">
        <w:t>it wa</w:t>
      </w:r>
      <w:r w:rsidR="00DF11F1">
        <w:t>s</w:t>
      </w:r>
      <w:r w:rsidR="000D1E0B">
        <w:t xml:space="preserve"> not just the strongholds of the </w:t>
      </w:r>
      <w:r w:rsidR="001F61AE">
        <w:t>18</w:t>
      </w:r>
      <w:r w:rsidR="001F61AE" w:rsidRPr="001F61AE">
        <w:rPr>
          <w:vertAlign w:val="superscript"/>
        </w:rPr>
        <w:t>th</w:t>
      </w:r>
      <w:r w:rsidR="001F61AE">
        <w:t xml:space="preserve"> century that were covered</w:t>
      </w:r>
      <w:r w:rsidR="002E1E57">
        <w:t xml:space="preserve"> in the lectures of this </w:t>
      </w:r>
      <w:r w:rsidR="00DF11F1">
        <w:t>semester</w:t>
      </w:r>
      <w:r w:rsidR="002E1E57">
        <w:t>, but also the strongholds</w:t>
      </w:r>
      <w:r w:rsidR="00930BF0">
        <w:t xml:space="preserve"> of the </w:t>
      </w:r>
      <w:r w:rsidR="00CE2F4F">
        <w:t>crusader orders in Palestine</w:t>
      </w:r>
      <w:r w:rsidR="007D45B0">
        <w:t xml:space="preserve"> as a </w:t>
      </w:r>
      <w:r w:rsidR="00421FCF">
        <w:t>part of the lectures on warfare in the Middle Ag</w:t>
      </w:r>
      <w:r w:rsidR="00E40095">
        <w:t>es</w:t>
      </w:r>
      <w:r w:rsidR="002B7CC0">
        <w:t>, although these were not in the context of War in History, but of the Crusades.</w:t>
      </w:r>
    </w:p>
    <w:p w14:paraId="05D6D995" w14:textId="602241DF" w:rsidR="0069177A" w:rsidRDefault="00877D58" w:rsidP="0069177A">
      <w:r>
        <w:tab/>
        <w:t xml:space="preserve">The second Module of the Semester was Crusading in the Middle Ages and covered in this were the </w:t>
      </w:r>
      <w:r w:rsidR="003C2DFA">
        <w:t xml:space="preserve">Reconquista, the Albigensian Crusade, </w:t>
      </w:r>
      <w:r w:rsidR="00CE68CF">
        <w:t xml:space="preserve">all nine Crusades </w:t>
      </w:r>
      <w:r w:rsidR="00522F93">
        <w:t xml:space="preserve">to the Holy Land </w:t>
      </w:r>
      <w:r w:rsidR="00CE68CF">
        <w:t>(depending o</w:t>
      </w:r>
      <w:r w:rsidR="00522F93">
        <w:t>n</w:t>
      </w:r>
      <w:r w:rsidR="00CE68CF">
        <w:t xml:space="preserve"> the numbering system used), </w:t>
      </w:r>
      <w:r w:rsidR="00522F93">
        <w:t>the Wendish Crusade and various miscellaneous other conflicts that could be described as Crusades</w:t>
      </w:r>
      <w:r w:rsidR="00E33530">
        <w:t>, depending on the definitions used.</w:t>
      </w:r>
      <w:r w:rsidR="00334FD1">
        <w:t xml:space="preserve"> </w:t>
      </w:r>
      <w:r w:rsidR="007E125F">
        <w:t xml:space="preserve">Expanded on this were the benefits that the mixing of cultures in the East from European colonization of </w:t>
      </w:r>
      <w:r w:rsidR="00C63C1A">
        <w:t xml:space="preserve">Palestine and the Muslim locals brought to the West, hospitals and many classical texts preserved in Arabic, to name a few. </w:t>
      </w:r>
      <w:r w:rsidR="00AF5CBC">
        <w:t>Particularly interesting (and somewhat amusingly) was</w:t>
      </w:r>
      <w:r w:rsidR="004B24C7">
        <w:t xml:space="preserve"> the description of how the Crusaders captured a </w:t>
      </w:r>
      <w:r w:rsidR="006273E8">
        <w:t>city</w:t>
      </w:r>
      <w:r w:rsidR="004B24C7">
        <w:t xml:space="preserve"> in the Nile Delta called </w:t>
      </w:r>
      <w:r w:rsidR="000A675C">
        <w:t xml:space="preserve">Damietta, </w:t>
      </w:r>
      <w:r w:rsidR="00B62139">
        <w:t>having first used a makeshift floating castle to capture the Tower of Damietta that protected the river leading to the city</w:t>
      </w:r>
      <w:r w:rsidR="00FE0431">
        <w:t xml:space="preserve"> </w:t>
      </w:r>
      <w:proofErr w:type="gramStart"/>
      <w:r w:rsidR="00FE0431">
        <w:t>during the course of</w:t>
      </w:r>
      <w:proofErr w:type="gramEnd"/>
      <w:r w:rsidR="00FE0431">
        <w:t xml:space="preserve"> the Fifth Crusade… And how the Muslim forces retook the city after it fell</w:t>
      </w:r>
      <w:r w:rsidR="000772AF">
        <w:t xml:space="preserve"> unexpectedly quickly</w:t>
      </w:r>
      <w:r w:rsidR="00FE0431">
        <w:t xml:space="preserve"> to the Crusader forces again in the </w:t>
      </w:r>
      <w:r w:rsidR="00EB5E3A">
        <w:t>Ninth</w:t>
      </w:r>
      <w:r w:rsidR="001C0678">
        <w:t xml:space="preserve"> Crusade</w:t>
      </w:r>
      <w:r w:rsidR="000772AF">
        <w:t xml:space="preserve"> by</w:t>
      </w:r>
      <w:r w:rsidR="00EB5E3A">
        <w:t xml:space="preserve"> using </w:t>
      </w:r>
      <w:r w:rsidR="00245D90">
        <w:t>river boats carried across the wilderness on the backs of camel</w:t>
      </w:r>
      <w:r w:rsidR="00F3652D">
        <w:t>s</w:t>
      </w:r>
      <w:r w:rsidR="000772AF">
        <w:t xml:space="preserve"> to cut off the Crusaders’ retreat</w:t>
      </w:r>
      <w:r w:rsidR="00245D90">
        <w:t>.</w:t>
      </w:r>
    </w:p>
    <w:p w14:paraId="02D4B771" w14:textId="526D550F" w:rsidR="00D56FFD" w:rsidRDefault="00E416A7" w:rsidP="0069177A">
      <w:r>
        <w:tab/>
      </w:r>
      <w:r w:rsidR="00F356A2">
        <w:t xml:space="preserve">The third module of the Semester probably was the most intriguing </w:t>
      </w:r>
      <w:r w:rsidR="000C1E0B">
        <w:t>in that it covered, not history directly, but how we can learn about</w:t>
      </w:r>
      <w:r w:rsidR="00CC37B2">
        <w:t xml:space="preserve"> the events that make up</w:t>
      </w:r>
      <w:r w:rsidR="000C1E0B">
        <w:t xml:space="preserve"> history, both in terms of exhibits and research from primary sources and witting and unwitting testimony. </w:t>
      </w:r>
      <w:r w:rsidR="00180C2C">
        <w:t>In terms of witting testimony, t</w:t>
      </w:r>
      <w:r w:rsidR="00313B74">
        <w:t>his was c</w:t>
      </w:r>
      <w:r w:rsidR="0004075B">
        <w:t xml:space="preserve">entred around what can be learned from </w:t>
      </w:r>
      <w:r w:rsidR="00180C2C">
        <w:t>direct accounts and eyewitness descriptions of the time</w:t>
      </w:r>
      <w:r w:rsidR="00762AB7">
        <w:t>, an example being letters that people sent one another at that time</w:t>
      </w:r>
      <w:r w:rsidR="005B6C96">
        <w:t xml:space="preserve"> or </w:t>
      </w:r>
      <w:r w:rsidR="00E9445B">
        <w:t>articles in newspapers and other such publications. In these cases, the reader would have to be careful to account for the biases of the writer</w:t>
      </w:r>
      <w:r w:rsidR="00D3023B">
        <w:t xml:space="preserve"> (what a jilted wife might write about her husband, for instance). </w:t>
      </w:r>
      <w:r w:rsidR="001D31E7">
        <w:t xml:space="preserve">Unwitting testimony is somewhat different in that it is not someone </w:t>
      </w:r>
      <w:r w:rsidR="008E03D2">
        <w:t xml:space="preserve">actively discussing their own experiences but </w:t>
      </w:r>
      <w:r w:rsidR="002E485F">
        <w:t>other factors, such as census and immigration or emigration records and what conclusions can be drawn from the</w:t>
      </w:r>
      <w:r w:rsidR="00A46589">
        <w:t>m</w:t>
      </w:r>
      <w:r w:rsidR="002E485F">
        <w:t xml:space="preserve"> by the historian</w:t>
      </w:r>
      <w:r w:rsidR="00591E8D">
        <w:t>, a population increase could be testament to a period of bounty not otherwise recorded</w:t>
      </w:r>
      <w:r w:rsidR="00F936D2">
        <w:t xml:space="preserve"> </w:t>
      </w:r>
      <w:r w:rsidR="00CC4156">
        <w:t>in available docu</w:t>
      </w:r>
      <w:r w:rsidR="00F936D2">
        <w:t>ments</w:t>
      </w:r>
      <w:r w:rsidR="00B532B2">
        <w:t xml:space="preserve"> or a sudden wave of immigration</w:t>
      </w:r>
      <w:r w:rsidR="0073362A">
        <w:t xml:space="preserve"> to a specific region</w:t>
      </w:r>
      <w:r w:rsidR="00811E77">
        <w:t>.</w:t>
      </w:r>
    </w:p>
    <w:p w14:paraId="1575C6D5" w14:textId="673157F0" w:rsidR="00656459" w:rsidRDefault="00417029" w:rsidP="0069177A">
      <w:r>
        <w:tab/>
        <w:t>History, however, still needs to be presented</w:t>
      </w:r>
      <w:r w:rsidR="002E24B7">
        <w:t xml:space="preserve"> and </w:t>
      </w:r>
      <w:r w:rsidR="003C2530">
        <w:t>by</w:t>
      </w:r>
      <w:r w:rsidR="002E24B7">
        <w:t xml:space="preserve"> doing so,</w:t>
      </w:r>
      <w:r w:rsidR="003C2530">
        <w:t xml:space="preserve"> it can be</w:t>
      </w:r>
      <w:r w:rsidR="002E24B7">
        <w:t xml:space="preserve"> taught. As such, how history has been </w:t>
      </w:r>
      <w:r w:rsidR="00A10C31">
        <w:t>showcased</w:t>
      </w:r>
      <w:r w:rsidR="002E24B7">
        <w:t xml:space="preserve"> was </w:t>
      </w:r>
      <w:r w:rsidR="00023749">
        <w:t>also covered</w:t>
      </w:r>
      <w:r w:rsidR="00552B27">
        <w:t xml:space="preserve"> in lectures</w:t>
      </w:r>
      <w:r w:rsidR="00023749">
        <w:t xml:space="preserve">. </w:t>
      </w:r>
      <w:r w:rsidR="00DA6127">
        <w:t>From relics in the Middle Ages to 19</w:t>
      </w:r>
      <w:r w:rsidR="00DA6127" w:rsidRPr="00DA6127">
        <w:rPr>
          <w:vertAlign w:val="superscript"/>
        </w:rPr>
        <w:t>th</w:t>
      </w:r>
      <w:r w:rsidR="00DA6127">
        <w:t xml:space="preserve"> century museums, both the presentation of artefacts and the wider context of the</w:t>
      </w:r>
      <w:r w:rsidR="00BC43EF">
        <w:t xml:space="preserve"> museums were </w:t>
      </w:r>
      <w:r w:rsidR="00D41F32">
        <w:t xml:space="preserve">explored </w:t>
      </w:r>
      <w:r w:rsidR="00E872C6">
        <w:t xml:space="preserve">and why, from the medieval practice of touching relics for a miraculous healing to </w:t>
      </w:r>
      <w:r w:rsidR="00151A7B">
        <w:t>appeasing the public’s curiosity, educating the masses and</w:t>
      </w:r>
      <w:r w:rsidR="00257AEE">
        <w:t xml:space="preserve">—in the case of one </w:t>
      </w:r>
      <w:r w:rsidR="00FC709E">
        <w:t>Liverpool museum—keeping them out of the pubs</w:t>
      </w:r>
      <w:r w:rsidR="00CD7E9B">
        <w:t>.</w:t>
      </w:r>
      <w:r w:rsidR="008276E3">
        <w:t xml:space="preserve"> Display the nation</w:t>
      </w:r>
      <w:r w:rsidR="002F1C3C">
        <w:t>’</w:t>
      </w:r>
      <w:r w:rsidR="008276E3">
        <w:t xml:space="preserve">s heritage as they were supposed to, </w:t>
      </w:r>
      <w:r w:rsidR="00A03552">
        <w:t>this sadly did not always work out as expected</w:t>
      </w:r>
      <w:r w:rsidR="00D86A6B">
        <w:t>, as</w:t>
      </w:r>
      <w:r w:rsidR="00967525">
        <w:t xml:space="preserve"> </w:t>
      </w:r>
      <w:r w:rsidR="00EB672F">
        <w:t xml:space="preserve">in the case of one exhibit, </w:t>
      </w:r>
      <w:r w:rsidR="005C3054">
        <w:t xml:space="preserve">curators were being pestered </w:t>
      </w:r>
      <w:r w:rsidR="00222177">
        <w:t xml:space="preserve">to allow an artefact to be used as a </w:t>
      </w:r>
      <w:r w:rsidR="00E51FCC">
        <w:t>relic as in the medieval era</w:t>
      </w:r>
      <w:r w:rsidR="00E77490">
        <w:t xml:space="preserve"> </w:t>
      </w:r>
      <w:r w:rsidR="002F1C3C">
        <w:t>until</w:t>
      </w:r>
      <w:r w:rsidR="00233467">
        <w:t xml:space="preserve">, </w:t>
      </w:r>
      <w:r w:rsidR="00F452DB">
        <w:t>‘</w:t>
      </w:r>
      <w:r w:rsidR="00233467" w:rsidRPr="00233467">
        <w:t>As their faith in the efficacy of the Stone could not be shaken, and they were loath to go away without being allowed to try this, in their behalf, unfailing remedy, opposition was finally, and not without some hesitation, withdrawn, and the ancient implement placed in their hands.</w:t>
      </w:r>
      <w:r w:rsidR="00F452DB">
        <w:t>’</w:t>
      </w:r>
      <w:r w:rsidR="00233467">
        <w:rPr>
          <w:rStyle w:val="FootnoteReference"/>
        </w:rPr>
        <w:footnoteReference w:id="1"/>
      </w:r>
    </w:p>
    <w:p w14:paraId="495B844F" w14:textId="422AC3CA" w:rsidR="009F5D38" w:rsidRDefault="009F5D38" w:rsidP="0069177A">
      <w:r>
        <w:rPr>
          <w:noProof/>
        </w:rPr>
        <w:lastRenderedPageBreak/>
        <mc:AlternateContent>
          <mc:Choice Requires="wps">
            <w:drawing>
              <wp:anchor distT="0" distB="0" distL="114300" distR="114300" simplePos="0" relativeHeight="251663360" behindDoc="0" locked="0" layoutInCell="1" allowOverlap="1" wp14:anchorId="20D2C21E" wp14:editId="5FD02C33">
                <wp:simplePos x="0" y="0"/>
                <wp:positionH relativeFrom="column">
                  <wp:posOffset>-47625</wp:posOffset>
                </wp:positionH>
                <wp:positionV relativeFrom="page">
                  <wp:posOffset>7038975</wp:posOffset>
                </wp:positionV>
                <wp:extent cx="2724150" cy="40576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2724150" cy="405765"/>
                        </a:xfrm>
                        <a:prstGeom prst="rect">
                          <a:avLst/>
                        </a:prstGeom>
                        <a:solidFill>
                          <a:prstClr val="white"/>
                        </a:solidFill>
                        <a:ln>
                          <a:noFill/>
                        </a:ln>
                      </wps:spPr>
                      <wps:txbx>
                        <w:txbxContent>
                          <w:p w14:paraId="02BC880F" w14:textId="2D76DFB5" w:rsidR="009F5D38" w:rsidRPr="00A876B4" w:rsidRDefault="009F5D38" w:rsidP="009F5D38">
                            <w:pPr>
                              <w:pStyle w:val="Caption"/>
                              <w:rPr>
                                <w:noProof/>
                              </w:rPr>
                            </w:pPr>
                            <w:r>
                              <w:t xml:space="preserve">Figure </w:t>
                            </w:r>
                            <w:r w:rsidR="006E4162">
                              <w:t>2</w:t>
                            </w:r>
                            <w:r>
                              <w:t xml:space="preserve"> </w:t>
                            </w:r>
                            <w:r>
                              <w:rPr>
                                <w:i w:val="0"/>
                              </w:rPr>
                              <w:t>Gravestone of Benjamin Davi</w:t>
                            </w:r>
                            <w:r w:rsidR="0019124F">
                              <w:rPr>
                                <w:i w:val="0"/>
                              </w:rPr>
                              <w:t>e</w:t>
                            </w:r>
                            <w:r>
                              <w:rPr>
                                <w:i w:val="0"/>
                              </w:rPr>
                              <w:t>s, top section</w:t>
                            </w:r>
                            <w:r>
                              <w:rPr>
                                <w:i w:val="0"/>
                                <w:noProof/>
                              </w:rPr>
                              <w:t>, taken in St. Peter's Church Graveyard</w:t>
                            </w:r>
                            <w:r w:rsidR="00BD1F0C">
                              <w:rPr>
                                <w:i w:val="0"/>
                                <w:noProof/>
                              </w:rPr>
                              <w:t>, Lampeter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0D2C21E" id="_x0000_t202" coordsize="21600,21600" o:spt="202" path="m,l,21600r21600,l21600,xe">
                <v:stroke joinstyle="miter"/>
                <v:path gradientshapeok="t" o:connecttype="rect"/>
              </v:shapetype>
              <v:shape id="Text Box 5" o:spid="_x0000_s1026" type="#_x0000_t202" style="position:absolute;margin-left:-3.75pt;margin-top:554.25pt;width:214.5pt;height:31.95pt;z-index:251663360;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" stroked="f">
                <v:textbox style="mso-fit-shape-to-text:t" inset="0,0,0,0">
                  <w:txbxContent>
                    <w:p w14:paraId="02BC880F" w14:textId="2D76DFB5" w:rsidR="009F5D38" w:rsidRPr="00A876B4" w:rsidRDefault="009F5D38" w:rsidP="009F5D38">
                      <w:pPr>
                        <w:pStyle w:val="Caption"/>
                        <w:rPr>
                          <w:noProof/>
                        </w:rPr>
                      </w:pPr>
                      <w:r>
                        <w:t xml:space="preserve">Figure </w:t>
                      </w:r>
                      <w:r w:rsidR="006E4162">
                        <w:t>2</w:t>
                      </w:r>
                      <w:r>
                        <w:t xml:space="preserve"> </w:t>
                      </w:r>
                      <w:r>
                        <w:rPr>
                          <w:i w:val="0"/>
                        </w:rPr>
                        <w:t>Gravestone of Benjamin Davi</w:t>
                      </w:r>
                      <w:r w:rsidR="0019124F">
                        <w:rPr>
                          <w:i w:val="0"/>
                        </w:rPr>
                        <w:t>e</w:t>
                      </w:r>
                      <w:r>
                        <w:rPr>
                          <w:i w:val="0"/>
                        </w:rPr>
                        <w:t>s, top section</w:t>
                      </w:r>
                      <w:r>
                        <w:rPr>
                          <w:i w:val="0"/>
                          <w:noProof/>
                        </w:rPr>
                        <w:t>, taken in St. Peter's Church Graveyard</w:t>
                      </w:r>
                      <w:r w:rsidR="00BD1F0C">
                        <w:rPr>
                          <w:i w:val="0"/>
                          <w:noProof/>
                        </w:rPr>
                        <w:t>, Lampeter</w:t>
                      </w:r>
                    </w:p>
                  </w:txbxContent>
                </v:textbox>
                <w10:wrap type="square" anchory="page"/>
              </v:shape>
            </w:pict>
          </mc:Fallback>
        </mc:AlternateContent>
      </w:r>
      <w:r w:rsidR="006F167E">
        <w:rPr>
          <w:noProof/>
        </w:rPr>
        <w:drawing>
          <wp:anchor distT="0" distB="0" distL="114300" distR="114300" simplePos="0" relativeHeight="251660288" behindDoc="0" locked="0" layoutInCell="1" allowOverlap="1" wp14:anchorId="4A6876D5" wp14:editId="756F0A30">
            <wp:simplePos x="0" y="0"/>
            <wp:positionH relativeFrom="column">
              <wp:posOffset>-47625</wp:posOffset>
            </wp:positionH>
            <wp:positionV relativeFrom="page">
              <wp:posOffset>4257675</wp:posOffset>
            </wp:positionV>
            <wp:extent cx="2724150" cy="27241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ssignment photo 3.jpg"/>
                    <pic:cNvPicPr/>
                  </pic:nvPicPr>
                  <pic:blipFill>
                    <a:blip r:embed="rId8">
                      <a:extLst>
                        <a:ext uri="{28A0092B-C50C-407E-A947-70E740481C1C}">
                          <a14:useLocalDpi xmlns:a14="http://schemas.microsoft.com/office/drawing/2010/main" val="0"/>
                        </a:ext>
                      </a:extLst>
                    </a:blip>
                    <a:stretch>
                      <a:fillRect/>
                    </a:stretch>
                  </pic:blipFill>
                  <pic:spPr>
                    <a:xfrm>
                      <a:off x="0" y="0"/>
                      <a:ext cx="2724150" cy="2724150"/>
                    </a:xfrm>
                    <a:prstGeom prst="rect">
                      <a:avLst/>
                    </a:prstGeom>
                  </pic:spPr>
                </pic:pic>
              </a:graphicData>
            </a:graphic>
          </wp:anchor>
        </w:drawing>
      </w:r>
      <w:r w:rsidR="00BD1F0C">
        <w:rPr>
          <w:noProof/>
        </w:rPr>
        <mc:AlternateContent>
          <mc:Choice Requires="wps">
            <w:drawing>
              <wp:anchor distT="0" distB="0" distL="114300" distR="114300" simplePos="0" relativeHeight="251665408" behindDoc="0" locked="0" layoutInCell="1" allowOverlap="1" wp14:anchorId="507B308E" wp14:editId="100197E6">
                <wp:simplePos x="0" y="0"/>
                <wp:positionH relativeFrom="column">
                  <wp:posOffset>2952750</wp:posOffset>
                </wp:positionH>
                <wp:positionV relativeFrom="page">
                  <wp:posOffset>7077075</wp:posOffset>
                </wp:positionV>
                <wp:extent cx="2771775" cy="405765"/>
                <wp:effectExtent l="0" t="0" r="9525" b="0"/>
                <wp:wrapSquare wrapText="bothSides"/>
                <wp:docPr id="6" name="Text Box 6"/>
                <wp:cNvGraphicFramePr/>
                <a:graphic xmlns:a="http://schemas.openxmlformats.org/drawingml/2006/main">
                  <a:graphicData uri="http://schemas.microsoft.com/office/word/2010/wordprocessingShape">
                    <wps:wsp>
                      <wps:cNvSpPr txBox="1"/>
                      <wps:spPr>
                        <a:xfrm>
                          <a:off x="0" y="0"/>
                          <a:ext cx="2771775" cy="405765"/>
                        </a:xfrm>
                        <a:prstGeom prst="rect">
                          <a:avLst/>
                        </a:prstGeom>
                        <a:solidFill>
                          <a:prstClr val="white"/>
                        </a:solidFill>
                        <a:ln>
                          <a:noFill/>
                        </a:ln>
                      </wps:spPr>
                      <wps:txbx>
                        <w:txbxContent>
                          <w:p w14:paraId="23EA8271" w14:textId="38C03CA1" w:rsidR="00BD1F0C" w:rsidRPr="0019545B" w:rsidRDefault="00BD1F0C" w:rsidP="00BD1F0C">
                            <w:pPr>
                              <w:pStyle w:val="Caption"/>
                              <w:rPr>
                                <w:noProof/>
                              </w:rPr>
                            </w:pPr>
                            <w:r>
                              <w:t xml:space="preserve">Figure </w:t>
                            </w:r>
                            <w:r w:rsidR="006E4162">
                              <w:t>3</w:t>
                            </w:r>
                            <w:r>
                              <w:rPr>
                                <w:i w:val="0"/>
                              </w:rPr>
                              <w:t xml:space="preserve"> Gravestone of John Davi</w:t>
                            </w:r>
                            <w:r w:rsidR="0019124F">
                              <w:rPr>
                                <w:i w:val="0"/>
                              </w:rPr>
                              <w:t>e</w:t>
                            </w:r>
                            <w:r>
                              <w:rPr>
                                <w:i w:val="0"/>
                              </w:rPr>
                              <w:t>s, top section, photo taken in St. Peter's Church Graveyard, Lampeter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7B308E" id="Text Box 6" o:spid="_x0000_s1027" type="#_x0000_t202" style="position:absolute;margin-left:232.5pt;margin-top:557.25pt;width:218.25pt;height:31.95pt;z-index:251665408;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" stroked="f">
                <v:textbox style="mso-fit-shape-to-text:t" inset="0,0,0,0">
                  <w:txbxContent>
                    <w:p w14:paraId="23EA8271" w14:textId="38C03CA1" w:rsidR="00BD1F0C" w:rsidRPr="0019545B" w:rsidRDefault="00BD1F0C" w:rsidP="00BD1F0C">
                      <w:pPr>
                        <w:pStyle w:val="Caption"/>
                        <w:rPr>
                          <w:noProof/>
                        </w:rPr>
                      </w:pPr>
                      <w:r>
                        <w:t xml:space="preserve">Figure </w:t>
                      </w:r>
                      <w:r w:rsidR="006E4162">
                        <w:t>3</w:t>
                      </w:r>
                      <w:r>
                        <w:rPr>
                          <w:i w:val="0"/>
                        </w:rPr>
                        <w:t xml:space="preserve"> Gravestone of John Davi</w:t>
                      </w:r>
                      <w:r w:rsidR="0019124F">
                        <w:rPr>
                          <w:i w:val="0"/>
                        </w:rPr>
                        <w:t>e</w:t>
                      </w:r>
                      <w:r>
                        <w:rPr>
                          <w:i w:val="0"/>
                        </w:rPr>
                        <w:t>s, top section, photo taken in St. Peter's Church Graveyard, Lampeter</w:t>
                      </w:r>
                    </w:p>
                  </w:txbxContent>
                </v:textbox>
                <w10:wrap type="square" anchory="page"/>
              </v:shape>
            </w:pict>
          </mc:Fallback>
        </mc:AlternateContent>
      </w:r>
      <w:r w:rsidR="006F167E">
        <w:rPr>
          <w:noProof/>
        </w:rPr>
        <w:drawing>
          <wp:anchor distT="0" distB="0" distL="114300" distR="114300" simplePos="0" relativeHeight="251661312" behindDoc="0" locked="0" layoutInCell="1" allowOverlap="1" wp14:anchorId="7793AD8C" wp14:editId="49FEB0FD">
            <wp:simplePos x="0" y="0"/>
            <wp:positionH relativeFrom="margin">
              <wp:posOffset>2952750</wp:posOffset>
            </wp:positionH>
            <wp:positionV relativeFrom="page">
              <wp:posOffset>4248150</wp:posOffset>
            </wp:positionV>
            <wp:extent cx="2771775" cy="277177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ssignment photo 4.jpg"/>
                    <pic:cNvPicPr/>
                  </pic:nvPicPr>
                  <pic:blipFill>
                    <a:blip r:embed="rId9">
                      <a:extLst>
                        <a:ext uri="{28A0092B-C50C-407E-A947-70E740481C1C}">
                          <a14:useLocalDpi xmlns:a14="http://schemas.microsoft.com/office/drawing/2010/main" val="0"/>
                        </a:ext>
                      </a:extLst>
                    </a:blip>
                    <a:stretch>
                      <a:fillRect/>
                    </a:stretch>
                  </pic:blipFill>
                  <pic:spPr>
                    <a:xfrm>
                      <a:off x="0" y="0"/>
                      <a:ext cx="2771775" cy="2771775"/>
                    </a:xfrm>
                    <a:prstGeom prst="rect">
                      <a:avLst/>
                    </a:prstGeom>
                  </pic:spPr>
                </pic:pic>
              </a:graphicData>
            </a:graphic>
          </wp:anchor>
        </w:drawing>
      </w:r>
      <w:r w:rsidR="00491485">
        <w:tab/>
      </w:r>
      <w:r w:rsidR="003730A5">
        <w:t>As the significance of arte</w:t>
      </w:r>
      <w:r w:rsidR="000F375D">
        <w:t xml:space="preserve">facts, monuments and other such </w:t>
      </w:r>
      <w:r w:rsidR="00486196">
        <w:t xml:space="preserve">objects can be of </w:t>
      </w:r>
      <w:proofErr w:type="gramStart"/>
      <w:r w:rsidR="00486196">
        <w:t>great importance</w:t>
      </w:r>
      <w:proofErr w:type="gramEnd"/>
      <w:r w:rsidR="00486196">
        <w:t xml:space="preserve"> to the historian, one of the final parts of the module was a tour of the local graveyard to demonstrate how such monuments can be read and </w:t>
      </w:r>
      <w:r w:rsidR="007A0B50">
        <w:t>what can be learned from them.</w:t>
      </w:r>
      <w:r w:rsidR="00305350">
        <w:t xml:space="preserve"> Below are the gravestones of Benjamin Davies</w:t>
      </w:r>
      <w:r w:rsidR="0019124F">
        <w:t xml:space="preserve"> (</w:t>
      </w:r>
      <w:r w:rsidR="0019124F">
        <w:rPr>
          <w:i/>
        </w:rPr>
        <w:t xml:space="preserve">Figs. 1 and </w:t>
      </w:r>
      <w:r w:rsidR="006E4162">
        <w:rPr>
          <w:i/>
        </w:rPr>
        <w:t>2</w:t>
      </w:r>
      <w:r w:rsidR="0019124F">
        <w:t>) and John Davies (</w:t>
      </w:r>
      <w:r w:rsidR="0019124F">
        <w:rPr>
          <w:i/>
        </w:rPr>
        <w:t xml:space="preserve">Figs. </w:t>
      </w:r>
      <w:r w:rsidR="006E4162">
        <w:rPr>
          <w:i/>
        </w:rPr>
        <w:t>3</w:t>
      </w:r>
      <w:r w:rsidR="0019124F">
        <w:rPr>
          <w:i/>
        </w:rPr>
        <w:t xml:space="preserve"> and 4</w:t>
      </w:r>
      <w:r w:rsidR="0019124F">
        <w:t>)</w:t>
      </w:r>
      <w:r w:rsidR="003F3EB1">
        <w:t xml:space="preserve">. These two gravestones </w:t>
      </w:r>
      <w:r w:rsidR="00194991">
        <w:t xml:space="preserve">were singled out as examples on the tour and for good reason: while not </w:t>
      </w:r>
      <w:r w:rsidR="00EA63E5">
        <w:t xml:space="preserve">representative of </w:t>
      </w:r>
      <w:proofErr w:type="gramStart"/>
      <w:r w:rsidR="00EA63E5">
        <w:t>the majority of</w:t>
      </w:r>
      <w:proofErr w:type="gramEnd"/>
      <w:r w:rsidR="00EA63E5">
        <w:t xml:space="preserve"> the graves, many of which are carved on what appears to be slate, both men were of wealthy stock and as such could afford to </w:t>
      </w:r>
      <w:r w:rsidR="00F140F0">
        <w:t>make their gravestones much more expressive in terms of art work than was possible for most</w:t>
      </w:r>
      <w:r w:rsidR="00F25B0D">
        <w:t xml:space="preserve"> an</w:t>
      </w:r>
      <w:r w:rsidR="001F297B">
        <w:t xml:space="preserve">d use them as status symbols. What these gravestones represent can be more fully understood by examining the carvings on them, particularly the flowers engraved on them and the </w:t>
      </w:r>
      <w:r w:rsidR="00B1154E">
        <w:t>styling of the cross at the top of the monument.</w:t>
      </w:r>
      <w:r w:rsidR="00146312">
        <w:t xml:space="preserve"> </w:t>
      </w:r>
      <w:r w:rsidR="003F2162">
        <w:t>Gravestones like these testify not only to the cultural trends of the era, but also the personal beliefs of the individual (or, more accurately, how they wished to be remembered)</w:t>
      </w:r>
      <w:r w:rsidR="00B26A37">
        <w:t>.</w:t>
      </w:r>
      <w:r w:rsidR="00D067EC">
        <w:t xml:space="preserve"> </w:t>
      </w:r>
      <w:r w:rsidR="00457EE6">
        <w:t xml:space="preserve">In contrast, John Davies chose to be interred with an urn on his grave, advertising his </w:t>
      </w:r>
      <w:r w:rsidR="003D19DC">
        <w:t>desire to be remembered as an academic</w:t>
      </w:r>
      <w:r w:rsidR="00641803">
        <w:t xml:space="preserve">. One thing both have in common is that both men, </w:t>
      </w:r>
      <w:r w:rsidR="00F519B6">
        <w:t xml:space="preserve">despite </w:t>
      </w:r>
      <w:r w:rsidR="00231EB6">
        <w:rPr>
          <w:noProof/>
        </w:rPr>
        <w:drawing>
          <wp:anchor distT="0" distB="0" distL="114300" distR="114300" simplePos="0" relativeHeight="251658240" behindDoc="0" locked="0" layoutInCell="1" allowOverlap="1" wp14:anchorId="6DBC586A" wp14:editId="28289C5E">
            <wp:simplePos x="0" y="0"/>
            <wp:positionH relativeFrom="margin">
              <wp:posOffset>228600</wp:posOffset>
            </wp:positionH>
            <wp:positionV relativeFrom="page">
              <wp:posOffset>1476375</wp:posOffset>
            </wp:positionV>
            <wp:extent cx="2486025" cy="248602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ssignment photo 1.jpg"/>
                    <pic:cNvPicPr/>
                  </pic:nvPicPr>
                  <pic:blipFill>
                    <a:blip r:embed="rId10">
                      <a:extLst>
                        <a:ext uri="{28A0092B-C50C-407E-A947-70E740481C1C}">
                          <a14:useLocalDpi xmlns:a14="http://schemas.microsoft.com/office/drawing/2010/main" val="0"/>
                        </a:ext>
                      </a:extLst>
                    </a:blip>
                    <a:stretch>
                      <a:fillRect/>
                    </a:stretch>
                  </pic:blipFill>
                  <pic:spPr>
                    <a:xfrm>
                      <a:off x="0" y="0"/>
                      <a:ext cx="2486025" cy="2486025"/>
                    </a:xfrm>
                    <a:prstGeom prst="rect">
                      <a:avLst/>
                    </a:prstGeom>
                  </pic:spPr>
                </pic:pic>
              </a:graphicData>
            </a:graphic>
            <wp14:sizeRelH relativeFrom="margin">
              <wp14:pctWidth>0</wp14:pctWidth>
            </wp14:sizeRelH>
            <wp14:sizeRelV relativeFrom="margin">
              <wp14:pctHeight>0</wp14:pctHeight>
            </wp14:sizeRelV>
          </wp:anchor>
        </w:drawing>
      </w:r>
      <w:r w:rsidR="00F519B6">
        <w:t>being predeceased by their wives were both given priority over them in the epitaphs</w:t>
      </w:r>
      <w:r w:rsidR="00A47785">
        <w:t>.</w:t>
      </w:r>
    </w:p>
    <w:p w14:paraId="3B0167C6" w14:textId="68EBD56A" w:rsidR="00A47785" w:rsidRDefault="00051BA8" w:rsidP="0069177A">
      <w:r>
        <w:rPr>
          <w:noProof/>
        </w:rPr>
        <mc:AlternateContent>
          <mc:Choice Requires="wps">
            <w:drawing>
              <wp:anchor distT="0" distB="0" distL="114300" distR="114300" simplePos="0" relativeHeight="251667456" behindDoc="0" locked="0" layoutInCell="1" allowOverlap="1" wp14:anchorId="7678C6EE" wp14:editId="243EEA14">
                <wp:simplePos x="0" y="0"/>
                <wp:positionH relativeFrom="column">
                  <wp:posOffset>219075</wp:posOffset>
                </wp:positionH>
                <wp:positionV relativeFrom="page">
                  <wp:posOffset>3990975</wp:posOffset>
                </wp:positionV>
                <wp:extent cx="2486025" cy="405765"/>
                <wp:effectExtent l="0" t="0" r="9525" b="0"/>
                <wp:wrapSquare wrapText="bothSides"/>
                <wp:docPr id="7" name="Text Box 7"/>
                <wp:cNvGraphicFramePr/>
                <a:graphic xmlns:a="http://schemas.openxmlformats.org/drawingml/2006/main">
                  <a:graphicData uri="http://schemas.microsoft.com/office/word/2010/wordprocessingShape">
                    <wps:wsp>
                      <wps:cNvSpPr txBox="1"/>
                      <wps:spPr>
                        <a:xfrm>
                          <a:off x="0" y="0"/>
                          <a:ext cx="2486025" cy="405765"/>
                        </a:xfrm>
                        <a:prstGeom prst="rect">
                          <a:avLst/>
                        </a:prstGeom>
                        <a:solidFill>
                          <a:prstClr val="white"/>
                        </a:solidFill>
                        <a:ln>
                          <a:noFill/>
                        </a:ln>
                      </wps:spPr>
                      <wps:txbx>
                        <w:txbxContent>
                          <w:p w14:paraId="212A73D9" w14:textId="4361BBD0" w:rsidR="0019124F" w:rsidRPr="003F1150" w:rsidRDefault="0019124F" w:rsidP="0019124F">
                            <w:pPr>
                              <w:pStyle w:val="Caption"/>
                              <w:rPr>
                                <w:noProof/>
                              </w:rPr>
                            </w:pPr>
                            <w:r>
                              <w:t xml:space="preserve">Figure </w:t>
                            </w:r>
                            <w:r w:rsidR="0004455F">
                              <w:t>1</w:t>
                            </w:r>
                            <w:r w:rsidR="003F3EB1">
                              <w:t xml:space="preserve"> </w:t>
                            </w:r>
                            <w:r>
                              <w:rPr>
                                <w:i w:val="0"/>
                              </w:rPr>
                              <w:t>Benjamin Davies' Grave, St. Peter's, Lampeter.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7678C6EE" id="Text Box 7" o:spid="_x0000_s1028" type="#_x0000_t202" style="position:absolute;margin-left:17.25pt;margin-top:314.25pt;width:195.75pt;height:31.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" stroked="f">
                <v:textbox style="mso-fit-shape-to-text:t" inset="0,0,0,0">
                  <w:txbxContent>
                    <w:p w14:paraId="212A73D9" w14:textId="4361BBD0" w:rsidR="0019124F" w:rsidRPr="003F1150" w:rsidRDefault="0019124F" w:rsidP="0019124F">
                      <w:pPr>
                        <w:pStyle w:val="Caption"/>
                        <w:rPr>
                          <w:noProof/>
                        </w:rPr>
                      </w:pPr>
                      <w:r>
                        <w:t xml:space="preserve">Figure </w:t>
                      </w:r>
                      <w:r w:rsidR="0004455F">
                        <w:t>1</w:t>
                      </w:r>
                      <w:r w:rsidR="003F3EB1">
                        <w:t xml:space="preserve"> </w:t>
                      </w:r>
                      <w:r>
                        <w:rPr>
                          <w:i w:val="0"/>
                        </w:rPr>
                        <w:t>Benjamin Davies' Grave, St. Peter's, Lampeter.</w:t>
                      </w:r>
                    </w:p>
                  </w:txbxContent>
                </v:textbox>
                <w10:wrap type="square" anchory="page"/>
              </v:shape>
            </w:pict>
          </mc:Fallback>
        </mc:AlternateContent>
      </w:r>
    </w:p>
    <w:p w14:paraId="701433B4" w14:textId="7750F471" w:rsidR="00A47785" w:rsidRDefault="00A47785" w:rsidP="001E326C">
      <w:pPr>
        <w:ind w:firstLine="720"/>
      </w:pPr>
      <w:r>
        <w:t>While th</w:t>
      </w:r>
      <w:r w:rsidR="00781379">
        <w:t>is</w:t>
      </w:r>
      <w:r>
        <w:t xml:space="preserve"> practice </w:t>
      </w:r>
      <w:r w:rsidR="00781379">
        <w:t xml:space="preserve">of </w:t>
      </w:r>
      <w:r w:rsidR="00231EB6">
        <w:t xml:space="preserve">assessing </w:t>
      </w:r>
      <w:r w:rsidR="00781379">
        <w:t xml:space="preserve">monuments </w:t>
      </w:r>
      <w:r>
        <w:t xml:space="preserve">as one would </w:t>
      </w:r>
      <w:r w:rsidR="00231EB6">
        <w:t>any other primary source</w:t>
      </w:r>
      <w:r w:rsidR="00AC0AD4">
        <w:t xml:space="preserve"> was demonstrated on graves, the scrutiny that would reveal this sort of information is applicable elsewhere. Memorials from the First World War</w:t>
      </w:r>
      <w:r w:rsidR="001E326C">
        <w:t xml:space="preserve">, cathedrals, </w:t>
      </w:r>
      <w:r w:rsidR="00F300C2">
        <w:t xml:space="preserve">banks and other such structures can say much about the times they were built in and more than just what a plaque on a wall might have written on it. </w:t>
      </w:r>
      <w:r w:rsidR="00994B57">
        <w:t xml:space="preserve">One good example of this is the National Library of Wales, </w:t>
      </w:r>
      <w:r w:rsidR="006E0FDF">
        <w:t xml:space="preserve">which with its </w:t>
      </w:r>
      <w:r w:rsidR="00433A00">
        <w:t xml:space="preserve">grey, yet </w:t>
      </w:r>
      <w:r w:rsidR="00433A00">
        <w:lastRenderedPageBreak/>
        <w:t xml:space="preserve">artistic facing harks back to the days of the British Empire, </w:t>
      </w:r>
      <w:r w:rsidR="00077E6C">
        <w:t xml:space="preserve">which is fitting as the original charter was </w:t>
      </w:r>
      <w:bookmarkStart w:id="0" w:name="_GoBack"/>
      <w:bookmarkEnd w:id="0"/>
      <w:r w:rsidR="00077E6C">
        <w:t>issued in 1907</w:t>
      </w:r>
      <w:r w:rsidR="00801DEF">
        <w:t xml:space="preserve"> and the sight first occupied in 1916</w:t>
      </w:r>
      <w:r w:rsidR="00077E6C">
        <w:rPr>
          <w:rStyle w:val="FootnoteReference"/>
        </w:rPr>
        <w:footnoteReference w:id="2"/>
      </w:r>
      <w:r w:rsidR="00B24B1A">
        <w:t xml:space="preserve">. </w:t>
      </w:r>
      <w:r w:rsidR="00801DEF">
        <w:t xml:space="preserve">Later renovations </w:t>
      </w:r>
      <w:r w:rsidR="0079533E">
        <w:t xml:space="preserve">alone make it obvious that the building was important enough the not only maintain, but to expand and prepare for newer collections and provide expanded </w:t>
      </w:r>
      <w:r w:rsidR="002008BD">
        <w:t>storage.</w:t>
      </w:r>
    </w:p>
    <w:p w14:paraId="041C537B" w14:textId="77BE8577" w:rsidR="006F167E" w:rsidRDefault="006E4162" w:rsidP="0069177A">
      <w:r>
        <w:rPr>
          <w:noProof/>
        </w:rPr>
        <mc:AlternateContent>
          <mc:Choice Requires="wps">
            <w:drawing>
              <wp:anchor distT="0" distB="0" distL="114300" distR="114300" simplePos="0" relativeHeight="251669504" behindDoc="0" locked="0" layoutInCell="1" allowOverlap="1" wp14:anchorId="31AC7692" wp14:editId="29AB3424">
                <wp:simplePos x="0" y="0"/>
                <wp:positionH relativeFrom="column">
                  <wp:posOffset>3038475</wp:posOffset>
                </wp:positionH>
                <wp:positionV relativeFrom="page">
                  <wp:posOffset>3981450</wp:posOffset>
                </wp:positionV>
                <wp:extent cx="2524125" cy="266700"/>
                <wp:effectExtent l="0" t="0" r="9525" b="0"/>
                <wp:wrapSquare wrapText="bothSides"/>
                <wp:docPr id="8" name="Text Box 8"/>
                <wp:cNvGraphicFramePr/>
                <a:graphic xmlns:a="http://schemas.openxmlformats.org/drawingml/2006/main">
                  <a:graphicData uri="http://schemas.microsoft.com/office/word/2010/wordprocessingShape">
                    <wps:wsp>
                      <wps:cNvSpPr txBox="1"/>
                      <wps:spPr>
                        <a:xfrm>
                          <a:off x="0" y="0"/>
                          <a:ext cx="2524125" cy="266700"/>
                        </a:xfrm>
                        <a:prstGeom prst="rect">
                          <a:avLst/>
                        </a:prstGeom>
                        <a:solidFill>
                          <a:prstClr val="white"/>
                        </a:solidFill>
                        <a:ln>
                          <a:noFill/>
                        </a:ln>
                      </wps:spPr>
                      <wps:txbx>
                        <w:txbxContent>
                          <w:p w14:paraId="52C8779A" w14:textId="714836C9" w:rsidR="003F3EB1" w:rsidRPr="00F77CBD" w:rsidRDefault="003F3EB1" w:rsidP="003F3EB1">
                            <w:pPr>
                              <w:pStyle w:val="Caption"/>
                              <w:rPr>
                                <w:noProof/>
                              </w:rPr>
                            </w:pPr>
                            <w:r>
                              <w:t xml:space="preserve">Figure </w:t>
                            </w:r>
                            <w:r>
                              <w:fldChar w:fldCharType="begin"/>
                            </w:r>
                            <w:r>
                              <w:instrText xml:space="preserve"> SEQ Figure \* ARABIC </w:instrText>
                            </w:r>
                            <w:r>
                              <w:fldChar w:fldCharType="separate"/>
                            </w:r>
                            <w:r>
                              <w:rPr>
                                <w:noProof/>
                              </w:rPr>
                              <w:t>4</w:t>
                            </w:r>
                            <w:r>
                              <w:fldChar w:fldCharType="end"/>
                            </w:r>
                            <w:r>
                              <w:t xml:space="preserve"> </w:t>
                            </w:r>
                            <w:r>
                              <w:rPr>
                                <w:i w:val="0"/>
                              </w:rPr>
                              <w:t>John Davies' Grave, St. Peter's, Lampeter.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AC7692" id="Text Box 8" o:spid="_x0000_s1029" type="#_x0000_t202" style="position:absolute;margin-left:239.25pt;margin-top:313.5pt;width:198.75pt;height:21pt;z-index:251669504;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" stroked="f">
                <v:textbox style="mso-fit-shape-to-text:t" inset="0,0,0,0">
                  <w:txbxContent>
                    <w:p w14:paraId="52C8779A" w14:textId="714836C9" w:rsidR="003F3EB1" w:rsidRPr="00F77CBD" w:rsidRDefault="003F3EB1" w:rsidP="003F3EB1">
                      <w:pPr>
                        <w:pStyle w:val="Caption"/>
                        <w:rPr>
                          <w:noProof/>
                        </w:rPr>
                      </w:pPr>
                      <w:r>
                        <w:t xml:space="preserve">Figure </w:t>
                      </w:r>
                      <w:r>
                        <w:fldChar w:fldCharType="begin"/>
                      </w:r>
                      <w:r>
                        <w:instrText xml:space="preserve"> SEQ Figure \* ARABIC </w:instrText>
                      </w:r>
                      <w:r>
                        <w:fldChar w:fldCharType="separate"/>
                      </w:r>
                      <w:r>
                        <w:rPr>
                          <w:noProof/>
                        </w:rPr>
                        <w:t>4</w:t>
                      </w:r>
                      <w:r>
                        <w:fldChar w:fldCharType="end"/>
                      </w:r>
                      <w:r>
                        <w:t xml:space="preserve"> </w:t>
                      </w:r>
                      <w:r>
                        <w:rPr>
                          <w:i w:val="0"/>
                        </w:rPr>
                        <w:t>John Davies' Grave, St. Peter's, Lampeter.</w:t>
                      </w:r>
                    </w:p>
                  </w:txbxContent>
                </v:textbox>
                <w10:wrap type="square" anchory="page"/>
              </v:shape>
            </w:pict>
          </mc:Fallback>
        </mc:AlternateContent>
      </w:r>
      <w:r w:rsidR="00114E2E">
        <w:tab/>
      </w:r>
      <w:r w:rsidR="00B5195F">
        <w:t>In summary,</w:t>
      </w:r>
      <w:r w:rsidR="00CE4174">
        <w:t xml:space="preserve"> o</w:t>
      </w:r>
      <w:r w:rsidR="00F760C2">
        <w:t xml:space="preserve">ver the course of the past Semester </w:t>
      </w:r>
      <w:r w:rsidR="00E00689">
        <w:t xml:space="preserve">new topics have been covered </w:t>
      </w:r>
      <w:r w:rsidR="00896929">
        <w:t xml:space="preserve">from the War of the Spanish Succession to the </w:t>
      </w:r>
      <w:r w:rsidR="00134E03">
        <w:t>Peninsula War and from the First Crusade to the end of the Reconquista</w:t>
      </w:r>
      <w:r w:rsidR="00386E5E">
        <w:t xml:space="preserve"> and this report has attempted to outline what has been taught in the lectures and seminars that the tuition for these were</w:t>
      </w:r>
      <w:r w:rsidR="000C0C86">
        <w:t xml:space="preserve"> mainly</w:t>
      </w:r>
      <w:r w:rsidR="00386E5E">
        <w:t xml:space="preserve"> set in. </w:t>
      </w:r>
      <w:r w:rsidR="00A24B59">
        <w:t xml:space="preserve">With these were taught the methods of conducting independent research into topics via primary source appraisal and how to read monuments and other such structures as primary </w:t>
      </w:r>
      <w:proofErr w:type="gramStart"/>
      <w:r w:rsidR="00A24B59">
        <w:t>sources in their own right</w:t>
      </w:r>
      <w:proofErr w:type="gramEnd"/>
      <w:r w:rsidR="00A24B59">
        <w:t>.</w:t>
      </w:r>
    </w:p>
    <w:p w14:paraId="0BDCFA56" w14:textId="7E6D50B0" w:rsidR="006F167E" w:rsidRDefault="006F167E" w:rsidP="0069177A">
      <w:r>
        <w:rPr>
          <w:noProof/>
        </w:rPr>
        <w:drawing>
          <wp:anchor distT="0" distB="0" distL="114300" distR="114300" simplePos="0" relativeHeight="251659264" behindDoc="0" locked="0" layoutInCell="1" allowOverlap="1" wp14:anchorId="58D856D1" wp14:editId="1A55BC11">
            <wp:simplePos x="0" y="0"/>
            <wp:positionH relativeFrom="column">
              <wp:posOffset>3038475</wp:posOffset>
            </wp:positionH>
            <wp:positionV relativeFrom="page">
              <wp:posOffset>1447800</wp:posOffset>
            </wp:positionV>
            <wp:extent cx="2524125" cy="2524125"/>
            <wp:effectExtent l="0" t="0" r="952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ssignment photo 2.jpg"/>
                    <pic:cNvPicPr/>
                  </pic:nvPicPr>
                  <pic:blipFill>
                    <a:blip r:embed="rId11">
                      <a:extLst>
                        <a:ext uri="{28A0092B-C50C-407E-A947-70E740481C1C}">
                          <a14:useLocalDpi xmlns:a14="http://schemas.microsoft.com/office/drawing/2010/main" val="0"/>
                        </a:ext>
                      </a:extLst>
                    </a:blip>
                    <a:stretch>
                      <a:fillRect/>
                    </a:stretch>
                  </pic:blipFill>
                  <pic:spPr>
                    <a:xfrm>
                      <a:off x="0" y="0"/>
                      <a:ext cx="2524125" cy="2524125"/>
                    </a:xfrm>
                    <a:prstGeom prst="rect">
                      <a:avLst/>
                    </a:prstGeom>
                  </pic:spPr>
                </pic:pic>
              </a:graphicData>
            </a:graphic>
          </wp:anchor>
        </w:drawing>
      </w:r>
    </w:p>
    <w:p w14:paraId="3ACD0C63" w14:textId="05D79946" w:rsidR="006F167E" w:rsidRDefault="006F167E" w:rsidP="0069177A"/>
    <w:p w14:paraId="105F5766" w14:textId="224C2105" w:rsidR="006F167E" w:rsidRPr="00675E37" w:rsidRDefault="006F167E" w:rsidP="0069177A"/>
    <w:sdt>
      <w:sdtPr>
        <w:id w:val="-175258244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AD9735D" w14:textId="0ECB750C" w:rsidR="00980924" w:rsidRDefault="00980924">
          <w:pPr>
            <w:pStyle w:val="Heading1"/>
          </w:pPr>
          <w:r>
            <w:t>Bibliography</w:t>
          </w:r>
        </w:p>
        <w:sdt>
          <w:sdtPr>
            <w:id w:val="111145805"/>
            <w:bibliography/>
          </w:sdtPr>
          <w:sdtContent>
            <w:p w14:paraId="7DFE07CD" w14:textId="77777777" w:rsidR="00051BA8" w:rsidRDefault="00980924" w:rsidP="00051BA8">
              <w:pPr>
                <w:pStyle w:val="Bibliography"/>
                <w:ind w:left="720" w:hanging="720"/>
                <w:rPr>
                  <w:noProof/>
                  <w:sz w:val="24"/>
                  <w:szCs w:val="24"/>
                  <w:lang w:val="en-US"/>
                </w:rPr>
              </w:pPr>
              <w:r>
                <w:fldChar w:fldCharType="begin"/>
              </w:r>
              <w:r>
                <w:instrText xml:space="preserve"> BIBLIOGRAPHY </w:instrText>
              </w:r>
              <w:r>
                <w:fldChar w:fldCharType="separate"/>
              </w:r>
              <w:r w:rsidR="00051BA8">
                <w:rPr>
                  <w:noProof/>
                  <w:lang w:val="en-US"/>
                </w:rPr>
                <w:t xml:space="preserve">'Medicine at the Museums'. (1897). </w:t>
              </w:r>
              <w:r w:rsidR="00051BA8">
                <w:rPr>
                  <w:i/>
                  <w:iCs/>
                  <w:noProof/>
                  <w:lang w:val="en-US"/>
                </w:rPr>
                <w:t>Bulletin of the Liverpool Museums</w:t>
              </w:r>
              <w:r w:rsidR="00051BA8">
                <w:rPr>
                  <w:noProof/>
                  <w:lang w:val="en-US"/>
                </w:rPr>
                <w:t>. Henry Young and Sons.</w:t>
              </w:r>
            </w:p>
            <w:p w14:paraId="157E2CAD" w14:textId="77777777" w:rsidR="00051BA8" w:rsidRDefault="00051BA8" w:rsidP="00051BA8">
              <w:pPr>
                <w:pStyle w:val="Bibliography"/>
                <w:ind w:left="720" w:hanging="720"/>
                <w:rPr>
                  <w:noProof/>
                  <w:lang w:val="en-US"/>
                </w:rPr>
              </w:pPr>
              <w:r>
                <w:rPr>
                  <w:i/>
                  <w:iCs/>
                  <w:noProof/>
                  <w:lang w:val="en-US"/>
                </w:rPr>
                <w:t>National Library of Wales</w:t>
              </w:r>
              <w:r>
                <w:rPr>
                  <w:noProof/>
                  <w:lang w:val="en-US"/>
                </w:rPr>
                <w:t>. (n.d.). Retrieved 05 24, 2018, from About the National Library of Wales: https://www.library.wales/about-nlw/about-us/about-nlw/</w:t>
              </w:r>
            </w:p>
            <w:p w14:paraId="3C817024" w14:textId="7ACE57F5" w:rsidR="00417029" w:rsidRPr="00675E37" w:rsidRDefault="00980924" w:rsidP="00051BA8">
              <w:pPr>
                <w:pStyle w:val="Bibliography"/>
              </w:pPr>
              <w:r>
                <w:rPr>
                  <w:b/>
                  <w:bCs/>
                  <w:noProof/>
                </w:rPr>
                <w:fldChar w:fldCharType="end"/>
              </w:r>
            </w:p>
          </w:sdtContent>
        </w:sdt>
      </w:sdtContent>
    </w:sdt>
    <w:sectPr w:rsidR="00417029" w:rsidRPr="00675E37">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A6CAA8" w14:textId="77777777" w:rsidR="00ED3E8D" w:rsidRDefault="00ED3E8D" w:rsidP="00942A3D">
      <w:pPr>
        <w:spacing w:after="0" w:line="240" w:lineRule="auto"/>
      </w:pPr>
      <w:r>
        <w:separator/>
      </w:r>
    </w:p>
  </w:endnote>
  <w:endnote w:type="continuationSeparator" w:id="0">
    <w:p w14:paraId="107A5EDE" w14:textId="77777777" w:rsidR="00ED3E8D" w:rsidRDefault="00ED3E8D" w:rsidP="00942A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7599632"/>
      <w:docPartObj>
        <w:docPartGallery w:val="Page Numbers (Bottom of Page)"/>
        <w:docPartUnique/>
      </w:docPartObj>
    </w:sdtPr>
    <w:sdtEndPr>
      <w:rPr>
        <w:noProof/>
      </w:rPr>
    </w:sdtEndPr>
    <w:sdtContent>
      <w:p w14:paraId="1B06A60E" w14:textId="1DC18A47" w:rsidR="00942A3D" w:rsidRDefault="00942A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51D73D" w14:textId="77777777" w:rsidR="00942A3D" w:rsidRDefault="00942A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2BCB6E" w14:textId="77777777" w:rsidR="00ED3E8D" w:rsidRDefault="00ED3E8D" w:rsidP="00942A3D">
      <w:pPr>
        <w:spacing w:after="0" w:line="240" w:lineRule="auto"/>
      </w:pPr>
      <w:r>
        <w:separator/>
      </w:r>
    </w:p>
  </w:footnote>
  <w:footnote w:type="continuationSeparator" w:id="0">
    <w:p w14:paraId="416A17E7" w14:textId="77777777" w:rsidR="00ED3E8D" w:rsidRDefault="00ED3E8D" w:rsidP="00942A3D">
      <w:pPr>
        <w:spacing w:after="0" w:line="240" w:lineRule="auto"/>
      </w:pPr>
      <w:r>
        <w:continuationSeparator/>
      </w:r>
    </w:p>
  </w:footnote>
  <w:footnote w:id="1">
    <w:p w14:paraId="5DD76358" w14:textId="5086A76E" w:rsidR="00233467" w:rsidRDefault="00233467">
      <w:pPr>
        <w:pStyle w:val="FootnoteText"/>
      </w:pPr>
      <w:r>
        <w:rPr>
          <w:rStyle w:val="FootnoteReference"/>
        </w:rPr>
        <w:footnoteRef/>
      </w:r>
      <w:r>
        <w:t xml:space="preserve"> </w:t>
      </w:r>
      <w:r w:rsidR="00F626C2" w:rsidRPr="00F626C2">
        <w:t>‘Medicine’ at the Museums,’ Bulletin of the Liverpool Museums</w:t>
      </w:r>
      <w:r w:rsidR="00F626C2">
        <w:t xml:space="preserve">, </w:t>
      </w:r>
      <w:r w:rsidR="00F626C2" w:rsidRPr="00F626C2">
        <w:t>(Vol. 1, No. 1</w:t>
      </w:r>
      <w:r w:rsidR="00F626C2">
        <w:t>)</w:t>
      </w:r>
      <w:r w:rsidR="00F626C2" w:rsidRPr="00F626C2">
        <w:t>, Henry Young &amp; Sons: Liverpool</w:t>
      </w:r>
      <w:r w:rsidR="00EE43ED">
        <w:t>,</w:t>
      </w:r>
      <w:r w:rsidR="00F626C2" w:rsidRPr="00F626C2">
        <w:t xml:space="preserve"> </w:t>
      </w:r>
      <w:r w:rsidR="00EE43ED">
        <w:t>(</w:t>
      </w:r>
      <w:r w:rsidR="00F626C2" w:rsidRPr="00F626C2">
        <w:t>1897) p. 28</w:t>
      </w:r>
    </w:p>
  </w:footnote>
  <w:footnote w:id="2">
    <w:p w14:paraId="5B307896" w14:textId="74218160" w:rsidR="00077E6C" w:rsidRDefault="00077E6C">
      <w:pPr>
        <w:pStyle w:val="FootnoteText"/>
      </w:pPr>
      <w:r>
        <w:rPr>
          <w:rStyle w:val="FootnoteReference"/>
        </w:rPr>
        <w:footnoteRef/>
      </w:r>
      <w:r>
        <w:t xml:space="preserve"> </w:t>
      </w:r>
      <w:r w:rsidR="00B24B1A">
        <w:t xml:space="preserve">National Library of Wales, ‘About the National Library of Wales’, </w:t>
      </w:r>
      <w:hyperlink r:id="rId1" w:history="1">
        <w:r w:rsidR="00B24B1A" w:rsidRPr="00EE7467">
          <w:rPr>
            <w:rStyle w:val="Hyperlink"/>
          </w:rPr>
          <w:t>https://www.library.wales/about-nlw/about-us/about-nlw/</w:t>
        </w:r>
      </w:hyperlink>
      <w:r w:rsidR="00B24B1A">
        <w:t xml:space="preserve"> (Accessed: 24/05/2018)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B54183" w14:textId="4C0BBE45" w:rsidR="00942A3D" w:rsidRDefault="00942A3D">
    <w:pPr>
      <w:pStyle w:val="Header"/>
    </w:pPr>
    <w:r>
      <w:t>Jonathan Goddard</w:t>
    </w:r>
    <w:r>
      <w:ptab w:relativeTo="margin" w:alignment="center" w:leader="none"/>
    </w:r>
    <w:r>
      <w:t>HPHI4001</w:t>
    </w:r>
    <w:r>
      <w:ptab w:relativeTo="margin" w:alignment="right" w:leader="none"/>
    </w:r>
    <w:r>
      <w:fldChar w:fldCharType="begin"/>
    </w:r>
    <w:r>
      <w:instrText xml:space="preserve"> DATE \@ "dd/MM/yyyy" </w:instrText>
    </w:r>
    <w:r>
      <w:fldChar w:fldCharType="separate"/>
    </w:r>
    <w:r w:rsidR="00C636FE">
      <w:rPr>
        <w:noProof/>
      </w:rPr>
      <w:t>24/05/2018</w:t>
    </w:r>
    <w:r>
      <w:fldChar w:fldCharType="end"/>
    </w:r>
  </w:p>
  <w:p w14:paraId="1659DD5E" w14:textId="1D083C51" w:rsidR="00942A3D" w:rsidRDefault="00942A3D">
    <w:pPr>
      <w:pStyle w:val="Header"/>
    </w:pPr>
    <w:r>
      <w:t>1601793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CA0FAE"/>
    <w:multiLevelType w:val="hybridMultilevel"/>
    <w:tmpl w:val="6AA0E9F6"/>
    <w:lvl w:ilvl="0" w:tplc="CB8EA20E">
      <w:start w:val="1"/>
      <w:numFmt w:val="upperRoman"/>
      <w:lvlText w:val="%1."/>
      <w:lvlJc w:val="left"/>
      <w:pPr>
        <w:ind w:left="1080" w:hanging="72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8F1C3B"/>
    <w:multiLevelType w:val="hybridMultilevel"/>
    <w:tmpl w:val="EA18373A"/>
    <w:lvl w:ilvl="0" w:tplc="4BB0F9A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2A3"/>
    <w:rsid w:val="00011C27"/>
    <w:rsid w:val="00017F69"/>
    <w:rsid w:val="00023749"/>
    <w:rsid w:val="0002682E"/>
    <w:rsid w:val="0004075B"/>
    <w:rsid w:val="0004455F"/>
    <w:rsid w:val="00045AC9"/>
    <w:rsid w:val="00051BA8"/>
    <w:rsid w:val="00051FF8"/>
    <w:rsid w:val="00066077"/>
    <w:rsid w:val="000772AF"/>
    <w:rsid w:val="00077E6C"/>
    <w:rsid w:val="00081F93"/>
    <w:rsid w:val="00090031"/>
    <w:rsid w:val="000A0492"/>
    <w:rsid w:val="000A13F6"/>
    <w:rsid w:val="000A675C"/>
    <w:rsid w:val="000B1701"/>
    <w:rsid w:val="000B5105"/>
    <w:rsid w:val="000B5E9D"/>
    <w:rsid w:val="000C0C86"/>
    <w:rsid w:val="000C1E0B"/>
    <w:rsid w:val="000D1E0B"/>
    <w:rsid w:val="000D7289"/>
    <w:rsid w:val="000E713A"/>
    <w:rsid w:val="000E736C"/>
    <w:rsid w:val="000F3707"/>
    <w:rsid w:val="000F375D"/>
    <w:rsid w:val="00100D55"/>
    <w:rsid w:val="00111E5F"/>
    <w:rsid w:val="00114E2E"/>
    <w:rsid w:val="00121A23"/>
    <w:rsid w:val="0012740C"/>
    <w:rsid w:val="00134E03"/>
    <w:rsid w:val="00146312"/>
    <w:rsid w:val="0014683C"/>
    <w:rsid w:val="00151A7B"/>
    <w:rsid w:val="00154C6D"/>
    <w:rsid w:val="00163DDC"/>
    <w:rsid w:val="00166745"/>
    <w:rsid w:val="00180C2C"/>
    <w:rsid w:val="00184EB0"/>
    <w:rsid w:val="00187480"/>
    <w:rsid w:val="0019124F"/>
    <w:rsid w:val="00194991"/>
    <w:rsid w:val="001A4FDF"/>
    <w:rsid w:val="001B40E1"/>
    <w:rsid w:val="001C0678"/>
    <w:rsid w:val="001C142F"/>
    <w:rsid w:val="001C71D8"/>
    <w:rsid w:val="001D31E7"/>
    <w:rsid w:val="001D6E43"/>
    <w:rsid w:val="001E0123"/>
    <w:rsid w:val="001E0C89"/>
    <w:rsid w:val="001E326C"/>
    <w:rsid w:val="001E537F"/>
    <w:rsid w:val="001F21E3"/>
    <w:rsid w:val="001F297B"/>
    <w:rsid w:val="001F61AE"/>
    <w:rsid w:val="001F7999"/>
    <w:rsid w:val="002008BD"/>
    <w:rsid w:val="00205081"/>
    <w:rsid w:val="00216DE4"/>
    <w:rsid w:val="002173AD"/>
    <w:rsid w:val="00217CBE"/>
    <w:rsid w:val="00220253"/>
    <w:rsid w:val="00222177"/>
    <w:rsid w:val="00222C9D"/>
    <w:rsid w:val="0022533A"/>
    <w:rsid w:val="00231EB6"/>
    <w:rsid w:val="00233467"/>
    <w:rsid w:val="00236253"/>
    <w:rsid w:val="00245D90"/>
    <w:rsid w:val="00257AEE"/>
    <w:rsid w:val="00270AA9"/>
    <w:rsid w:val="00273C13"/>
    <w:rsid w:val="00287ACE"/>
    <w:rsid w:val="00294144"/>
    <w:rsid w:val="002B7CC0"/>
    <w:rsid w:val="002C0BC5"/>
    <w:rsid w:val="002E16BA"/>
    <w:rsid w:val="002E1E57"/>
    <w:rsid w:val="002E24B7"/>
    <w:rsid w:val="002E485F"/>
    <w:rsid w:val="002F1141"/>
    <w:rsid w:val="002F1C3C"/>
    <w:rsid w:val="002F1E74"/>
    <w:rsid w:val="00305350"/>
    <w:rsid w:val="00313B74"/>
    <w:rsid w:val="003208E1"/>
    <w:rsid w:val="00326777"/>
    <w:rsid w:val="00334FD1"/>
    <w:rsid w:val="00341DC4"/>
    <w:rsid w:val="00351AD3"/>
    <w:rsid w:val="003730A5"/>
    <w:rsid w:val="003736DB"/>
    <w:rsid w:val="00386E5E"/>
    <w:rsid w:val="003918BD"/>
    <w:rsid w:val="003942C3"/>
    <w:rsid w:val="003C15A7"/>
    <w:rsid w:val="003C2279"/>
    <w:rsid w:val="003C24F9"/>
    <w:rsid w:val="003C2530"/>
    <w:rsid w:val="003C2DFA"/>
    <w:rsid w:val="003D19DC"/>
    <w:rsid w:val="003F2162"/>
    <w:rsid w:val="003F34D2"/>
    <w:rsid w:val="003F3EB1"/>
    <w:rsid w:val="003F5193"/>
    <w:rsid w:val="0040331D"/>
    <w:rsid w:val="00417029"/>
    <w:rsid w:val="00421FCF"/>
    <w:rsid w:val="004251CA"/>
    <w:rsid w:val="00431D9A"/>
    <w:rsid w:val="00433A00"/>
    <w:rsid w:val="00457EE6"/>
    <w:rsid w:val="0046237A"/>
    <w:rsid w:val="00467CE5"/>
    <w:rsid w:val="00476FBE"/>
    <w:rsid w:val="00486196"/>
    <w:rsid w:val="00491485"/>
    <w:rsid w:val="00491FC7"/>
    <w:rsid w:val="004B24C7"/>
    <w:rsid w:val="004C7690"/>
    <w:rsid w:val="004D648A"/>
    <w:rsid w:val="004E4B62"/>
    <w:rsid w:val="004F33BE"/>
    <w:rsid w:val="004F4D7C"/>
    <w:rsid w:val="00500C93"/>
    <w:rsid w:val="0050784B"/>
    <w:rsid w:val="00522F93"/>
    <w:rsid w:val="005329C1"/>
    <w:rsid w:val="00533588"/>
    <w:rsid w:val="00536D7C"/>
    <w:rsid w:val="00543D1E"/>
    <w:rsid w:val="00552B27"/>
    <w:rsid w:val="00570705"/>
    <w:rsid w:val="0058215C"/>
    <w:rsid w:val="00584E53"/>
    <w:rsid w:val="00585C46"/>
    <w:rsid w:val="00591E8D"/>
    <w:rsid w:val="00592732"/>
    <w:rsid w:val="005B6C96"/>
    <w:rsid w:val="005C0746"/>
    <w:rsid w:val="005C3054"/>
    <w:rsid w:val="005C4666"/>
    <w:rsid w:val="005C69A4"/>
    <w:rsid w:val="005D400E"/>
    <w:rsid w:val="005D6A31"/>
    <w:rsid w:val="005E6436"/>
    <w:rsid w:val="006136A3"/>
    <w:rsid w:val="00616EC4"/>
    <w:rsid w:val="006273E8"/>
    <w:rsid w:val="00641803"/>
    <w:rsid w:val="00656459"/>
    <w:rsid w:val="0066088B"/>
    <w:rsid w:val="006628DB"/>
    <w:rsid w:val="006673CB"/>
    <w:rsid w:val="00675E37"/>
    <w:rsid w:val="00682BB9"/>
    <w:rsid w:val="00686E8D"/>
    <w:rsid w:val="0069177A"/>
    <w:rsid w:val="006A5832"/>
    <w:rsid w:val="006C6A80"/>
    <w:rsid w:val="006E0579"/>
    <w:rsid w:val="006E0FDF"/>
    <w:rsid w:val="006E4162"/>
    <w:rsid w:val="006F167E"/>
    <w:rsid w:val="007154DB"/>
    <w:rsid w:val="00715DE8"/>
    <w:rsid w:val="0072690D"/>
    <w:rsid w:val="0073362A"/>
    <w:rsid w:val="007456B9"/>
    <w:rsid w:val="00752AF6"/>
    <w:rsid w:val="00756401"/>
    <w:rsid w:val="00762AB7"/>
    <w:rsid w:val="00781379"/>
    <w:rsid w:val="0079533E"/>
    <w:rsid w:val="00797B13"/>
    <w:rsid w:val="007A0B50"/>
    <w:rsid w:val="007C7F3C"/>
    <w:rsid w:val="007D45B0"/>
    <w:rsid w:val="007E125F"/>
    <w:rsid w:val="007E720A"/>
    <w:rsid w:val="007F3AA3"/>
    <w:rsid w:val="00801DEF"/>
    <w:rsid w:val="00811E77"/>
    <w:rsid w:val="00812744"/>
    <w:rsid w:val="00817606"/>
    <w:rsid w:val="00821669"/>
    <w:rsid w:val="008276E3"/>
    <w:rsid w:val="008360C7"/>
    <w:rsid w:val="00843120"/>
    <w:rsid w:val="008673CD"/>
    <w:rsid w:val="00877D58"/>
    <w:rsid w:val="00880825"/>
    <w:rsid w:val="00892F3C"/>
    <w:rsid w:val="0089567D"/>
    <w:rsid w:val="00896929"/>
    <w:rsid w:val="008B1227"/>
    <w:rsid w:val="008C0868"/>
    <w:rsid w:val="008E03D2"/>
    <w:rsid w:val="008E4920"/>
    <w:rsid w:val="008F3486"/>
    <w:rsid w:val="009130D1"/>
    <w:rsid w:val="009256E2"/>
    <w:rsid w:val="00930BF0"/>
    <w:rsid w:val="00940751"/>
    <w:rsid w:val="00942A3D"/>
    <w:rsid w:val="009474EB"/>
    <w:rsid w:val="00954760"/>
    <w:rsid w:val="009551D9"/>
    <w:rsid w:val="009571F4"/>
    <w:rsid w:val="00961B51"/>
    <w:rsid w:val="0096474E"/>
    <w:rsid w:val="00967525"/>
    <w:rsid w:val="00977F48"/>
    <w:rsid w:val="00980924"/>
    <w:rsid w:val="00980CE7"/>
    <w:rsid w:val="00984E54"/>
    <w:rsid w:val="00985473"/>
    <w:rsid w:val="00994B57"/>
    <w:rsid w:val="009A78ED"/>
    <w:rsid w:val="009C70A2"/>
    <w:rsid w:val="009E209F"/>
    <w:rsid w:val="009F54E5"/>
    <w:rsid w:val="009F5D38"/>
    <w:rsid w:val="00A03552"/>
    <w:rsid w:val="00A10C31"/>
    <w:rsid w:val="00A117CA"/>
    <w:rsid w:val="00A150CB"/>
    <w:rsid w:val="00A164DE"/>
    <w:rsid w:val="00A24B59"/>
    <w:rsid w:val="00A313CE"/>
    <w:rsid w:val="00A353DE"/>
    <w:rsid w:val="00A37FD9"/>
    <w:rsid w:val="00A40553"/>
    <w:rsid w:val="00A414B0"/>
    <w:rsid w:val="00A42B3E"/>
    <w:rsid w:val="00A46589"/>
    <w:rsid w:val="00A47785"/>
    <w:rsid w:val="00A65FD8"/>
    <w:rsid w:val="00A6736C"/>
    <w:rsid w:val="00A74C44"/>
    <w:rsid w:val="00A84617"/>
    <w:rsid w:val="00A85645"/>
    <w:rsid w:val="00A92966"/>
    <w:rsid w:val="00A9688B"/>
    <w:rsid w:val="00AA799C"/>
    <w:rsid w:val="00AC0AD4"/>
    <w:rsid w:val="00AD73E0"/>
    <w:rsid w:val="00AF573B"/>
    <w:rsid w:val="00AF5CBC"/>
    <w:rsid w:val="00B06F67"/>
    <w:rsid w:val="00B1154E"/>
    <w:rsid w:val="00B11E8D"/>
    <w:rsid w:val="00B14443"/>
    <w:rsid w:val="00B24B1A"/>
    <w:rsid w:val="00B26A37"/>
    <w:rsid w:val="00B4481E"/>
    <w:rsid w:val="00B5195F"/>
    <w:rsid w:val="00B51F5A"/>
    <w:rsid w:val="00B532B2"/>
    <w:rsid w:val="00B62139"/>
    <w:rsid w:val="00B732EE"/>
    <w:rsid w:val="00B76363"/>
    <w:rsid w:val="00B971E7"/>
    <w:rsid w:val="00BA10F8"/>
    <w:rsid w:val="00BA54D9"/>
    <w:rsid w:val="00BB0247"/>
    <w:rsid w:val="00BB46EB"/>
    <w:rsid w:val="00BC34D7"/>
    <w:rsid w:val="00BC43EF"/>
    <w:rsid w:val="00BD1F0C"/>
    <w:rsid w:val="00BE3350"/>
    <w:rsid w:val="00BE3DA0"/>
    <w:rsid w:val="00BE4184"/>
    <w:rsid w:val="00BE6180"/>
    <w:rsid w:val="00BF1F47"/>
    <w:rsid w:val="00BF20F5"/>
    <w:rsid w:val="00C005AA"/>
    <w:rsid w:val="00C046F6"/>
    <w:rsid w:val="00C06125"/>
    <w:rsid w:val="00C16EF4"/>
    <w:rsid w:val="00C20275"/>
    <w:rsid w:val="00C35E69"/>
    <w:rsid w:val="00C37EBE"/>
    <w:rsid w:val="00C62322"/>
    <w:rsid w:val="00C636FE"/>
    <w:rsid w:val="00C63C1A"/>
    <w:rsid w:val="00C67040"/>
    <w:rsid w:val="00C73A95"/>
    <w:rsid w:val="00C94DCE"/>
    <w:rsid w:val="00CA2137"/>
    <w:rsid w:val="00CB3F68"/>
    <w:rsid w:val="00CB55FD"/>
    <w:rsid w:val="00CB5C0C"/>
    <w:rsid w:val="00CC37B2"/>
    <w:rsid w:val="00CC4156"/>
    <w:rsid w:val="00CD16EF"/>
    <w:rsid w:val="00CD61A7"/>
    <w:rsid w:val="00CD7E9B"/>
    <w:rsid w:val="00CE00C0"/>
    <w:rsid w:val="00CE2F4F"/>
    <w:rsid w:val="00CE4174"/>
    <w:rsid w:val="00CE68CF"/>
    <w:rsid w:val="00CF6D32"/>
    <w:rsid w:val="00CF7B3C"/>
    <w:rsid w:val="00D067EC"/>
    <w:rsid w:val="00D1638A"/>
    <w:rsid w:val="00D24499"/>
    <w:rsid w:val="00D3023B"/>
    <w:rsid w:val="00D41F32"/>
    <w:rsid w:val="00D501F9"/>
    <w:rsid w:val="00D56FFD"/>
    <w:rsid w:val="00D86A6B"/>
    <w:rsid w:val="00D91A21"/>
    <w:rsid w:val="00D933DA"/>
    <w:rsid w:val="00DA5BDA"/>
    <w:rsid w:val="00DA6127"/>
    <w:rsid w:val="00DA62C5"/>
    <w:rsid w:val="00DA651B"/>
    <w:rsid w:val="00DB51C4"/>
    <w:rsid w:val="00DC42A3"/>
    <w:rsid w:val="00DE000C"/>
    <w:rsid w:val="00DF11F1"/>
    <w:rsid w:val="00E00517"/>
    <w:rsid w:val="00E00689"/>
    <w:rsid w:val="00E17716"/>
    <w:rsid w:val="00E25185"/>
    <w:rsid w:val="00E25BC8"/>
    <w:rsid w:val="00E33530"/>
    <w:rsid w:val="00E40095"/>
    <w:rsid w:val="00E416A7"/>
    <w:rsid w:val="00E51FCC"/>
    <w:rsid w:val="00E55336"/>
    <w:rsid w:val="00E7083D"/>
    <w:rsid w:val="00E721A5"/>
    <w:rsid w:val="00E72FFD"/>
    <w:rsid w:val="00E7605F"/>
    <w:rsid w:val="00E764B8"/>
    <w:rsid w:val="00E77490"/>
    <w:rsid w:val="00E85C96"/>
    <w:rsid w:val="00E86FB9"/>
    <w:rsid w:val="00E872C6"/>
    <w:rsid w:val="00E92E52"/>
    <w:rsid w:val="00E9445B"/>
    <w:rsid w:val="00E950D2"/>
    <w:rsid w:val="00E963AA"/>
    <w:rsid w:val="00EA63E5"/>
    <w:rsid w:val="00EB5E3A"/>
    <w:rsid w:val="00EB672F"/>
    <w:rsid w:val="00EC10F3"/>
    <w:rsid w:val="00ED08C6"/>
    <w:rsid w:val="00ED3E8D"/>
    <w:rsid w:val="00ED52C1"/>
    <w:rsid w:val="00ED59F8"/>
    <w:rsid w:val="00EE43ED"/>
    <w:rsid w:val="00EF115C"/>
    <w:rsid w:val="00F02098"/>
    <w:rsid w:val="00F11F99"/>
    <w:rsid w:val="00F140F0"/>
    <w:rsid w:val="00F2021F"/>
    <w:rsid w:val="00F25B0D"/>
    <w:rsid w:val="00F300C2"/>
    <w:rsid w:val="00F34F54"/>
    <w:rsid w:val="00F356A2"/>
    <w:rsid w:val="00F3652D"/>
    <w:rsid w:val="00F413F5"/>
    <w:rsid w:val="00F41801"/>
    <w:rsid w:val="00F452DB"/>
    <w:rsid w:val="00F4601E"/>
    <w:rsid w:val="00F47D08"/>
    <w:rsid w:val="00F507F9"/>
    <w:rsid w:val="00F519B6"/>
    <w:rsid w:val="00F571AB"/>
    <w:rsid w:val="00F626C2"/>
    <w:rsid w:val="00F760C2"/>
    <w:rsid w:val="00F936D2"/>
    <w:rsid w:val="00FA07D6"/>
    <w:rsid w:val="00FB59C6"/>
    <w:rsid w:val="00FC6340"/>
    <w:rsid w:val="00FC709E"/>
    <w:rsid w:val="00FD3850"/>
    <w:rsid w:val="00FE0431"/>
    <w:rsid w:val="00FF2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E2371"/>
  <w15:chartTrackingRefBased/>
  <w15:docId w15:val="{DBC4302B-25C0-4F49-8FAD-F4ACFD883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43E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2A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2A3D"/>
  </w:style>
  <w:style w:type="paragraph" w:styleId="Footer">
    <w:name w:val="footer"/>
    <w:basedOn w:val="Normal"/>
    <w:link w:val="FooterChar"/>
    <w:uiPriority w:val="99"/>
    <w:unhideWhenUsed/>
    <w:rsid w:val="00942A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A3D"/>
  </w:style>
  <w:style w:type="paragraph" w:styleId="ListParagraph">
    <w:name w:val="List Paragraph"/>
    <w:basedOn w:val="Normal"/>
    <w:uiPriority w:val="34"/>
    <w:qFormat/>
    <w:rsid w:val="001E0C89"/>
    <w:pPr>
      <w:ind w:left="720"/>
      <w:contextualSpacing/>
    </w:pPr>
  </w:style>
  <w:style w:type="paragraph" w:styleId="FootnoteText">
    <w:name w:val="footnote text"/>
    <w:basedOn w:val="Normal"/>
    <w:link w:val="FootnoteTextChar"/>
    <w:uiPriority w:val="99"/>
    <w:semiHidden/>
    <w:unhideWhenUsed/>
    <w:rsid w:val="00217CB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7CBE"/>
    <w:rPr>
      <w:sz w:val="20"/>
      <w:szCs w:val="20"/>
    </w:rPr>
  </w:style>
  <w:style w:type="character" w:styleId="FootnoteReference">
    <w:name w:val="footnote reference"/>
    <w:basedOn w:val="DefaultParagraphFont"/>
    <w:uiPriority w:val="99"/>
    <w:semiHidden/>
    <w:unhideWhenUsed/>
    <w:rsid w:val="00217CBE"/>
    <w:rPr>
      <w:vertAlign w:val="superscript"/>
    </w:rPr>
  </w:style>
  <w:style w:type="character" w:customStyle="1" w:styleId="Heading1Char">
    <w:name w:val="Heading 1 Char"/>
    <w:basedOn w:val="DefaultParagraphFont"/>
    <w:link w:val="Heading1"/>
    <w:uiPriority w:val="9"/>
    <w:rsid w:val="00EE43E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E43ED"/>
  </w:style>
  <w:style w:type="paragraph" w:styleId="Caption">
    <w:name w:val="caption"/>
    <w:basedOn w:val="Normal"/>
    <w:next w:val="Normal"/>
    <w:uiPriority w:val="35"/>
    <w:unhideWhenUsed/>
    <w:qFormat/>
    <w:rsid w:val="009F5D38"/>
    <w:pPr>
      <w:spacing w:after="200" w:line="240" w:lineRule="auto"/>
    </w:pPr>
    <w:rPr>
      <w:i/>
      <w:iCs/>
      <w:color w:val="44546A" w:themeColor="text2"/>
      <w:sz w:val="18"/>
      <w:szCs w:val="18"/>
    </w:rPr>
  </w:style>
  <w:style w:type="character" w:styleId="Hyperlink">
    <w:name w:val="Hyperlink"/>
    <w:basedOn w:val="DefaultParagraphFont"/>
    <w:uiPriority w:val="99"/>
    <w:unhideWhenUsed/>
    <w:rsid w:val="00B24B1A"/>
    <w:rPr>
      <w:color w:val="0563C1" w:themeColor="hyperlink"/>
      <w:u w:val="single"/>
    </w:rPr>
  </w:style>
  <w:style w:type="character" w:styleId="UnresolvedMention">
    <w:name w:val="Unresolved Mention"/>
    <w:basedOn w:val="DefaultParagraphFont"/>
    <w:uiPriority w:val="99"/>
    <w:semiHidden/>
    <w:unhideWhenUsed/>
    <w:rsid w:val="00B24B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88880">
      <w:bodyDiv w:val="1"/>
      <w:marLeft w:val="0"/>
      <w:marRight w:val="0"/>
      <w:marTop w:val="0"/>
      <w:marBottom w:val="0"/>
      <w:divBdr>
        <w:top w:val="none" w:sz="0" w:space="0" w:color="auto"/>
        <w:left w:val="none" w:sz="0" w:space="0" w:color="auto"/>
        <w:bottom w:val="none" w:sz="0" w:space="0" w:color="auto"/>
        <w:right w:val="none" w:sz="0" w:space="0" w:color="auto"/>
      </w:divBdr>
    </w:div>
    <w:div w:id="210074630">
      <w:bodyDiv w:val="1"/>
      <w:marLeft w:val="0"/>
      <w:marRight w:val="0"/>
      <w:marTop w:val="0"/>
      <w:marBottom w:val="0"/>
      <w:divBdr>
        <w:top w:val="none" w:sz="0" w:space="0" w:color="auto"/>
        <w:left w:val="none" w:sz="0" w:space="0" w:color="auto"/>
        <w:bottom w:val="none" w:sz="0" w:space="0" w:color="auto"/>
        <w:right w:val="none" w:sz="0" w:space="0" w:color="auto"/>
      </w:divBdr>
    </w:div>
    <w:div w:id="885919020">
      <w:bodyDiv w:val="1"/>
      <w:marLeft w:val="0"/>
      <w:marRight w:val="0"/>
      <w:marTop w:val="0"/>
      <w:marBottom w:val="0"/>
      <w:divBdr>
        <w:top w:val="none" w:sz="0" w:space="0" w:color="auto"/>
        <w:left w:val="none" w:sz="0" w:space="0" w:color="auto"/>
        <w:bottom w:val="none" w:sz="0" w:space="0" w:color="auto"/>
        <w:right w:val="none" w:sz="0" w:space="0" w:color="auto"/>
      </w:divBdr>
    </w:div>
    <w:div w:id="912661254">
      <w:bodyDiv w:val="1"/>
      <w:marLeft w:val="0"/>
      <w:marRight w:val="0"/>
      <w:marTop w:val="0"/>
      <w:marBottom w:val="0"/>
      <w:divBdr>
        <w:top w:val="none" w:sz="0" w:space="0" w:color="auto"/>
        <w:left w:val="none" w:sz="0" w:space="0" w:color="auto"/>
        <w:bottom w:val="none" w:sz="0" w:space="0" w:color="auto"/>
        <w:right w:val="none" w:sz="0" w:space="0" w:color="auto"/>
      </w:divBdr>
    </w:div>
    <w:div w:id="1164517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library.wales/about-nlw/about-us/about-nl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Med97</b:Tag>
    <b:SourceType>Misc</b:SourceType>
    <b:Guid>{5D73502A-CD7D-44B2-BCE7-A4E15292040A}</b:Guid>
    <b:Title>'Medicine at the Museums'</b:Title>
    <b:Year>1897</b:Year>
    <b:PublicationTitle>Bulletin of the Liverpool Museums</b:PublicationTitle>
    <b:Publisher>Henry Young and Sons</b:Publisher>
    <b:RefOrder>1</b:RefOrder>
  </b:Source>
  <b:Source>
    <b:Tag>Nat18</b:Tag>
    <b:SourceType>InternetSite</b:SourceType>
    <b:Guid>{19854A02-9AD5-4F99-AFDE-CAC256467024}</b:Guid>
    <b:Title>National Library of Wales</b:Title>
    <b:InternetSiteTitle>About the National Library of Wales</b:InternetSiteTitle>
    <b:URL>https://www.library.wales/about-nlw/about-us/about-nlw/</b:URL>
    <b:YearAccessed>2018</b:YearAccessed>
    <b:MonthAccessed>05</b:MonthAccessed>
    <b:DayAccessed>24</b:DayAccessed>
    <b:RefOrder>2</b:RefOrder>
  </b:Source>
</b:Sources>
</file>

<file path=customXml/itemProps1.xml><?xml version="1.0" encoding="utf-8"?>
<ds:datastoreItem xmlns:ds="http://schemas.openxmlformats.org/officeDocument/2006/customXml" ds:itemID="{588C0E60-50E7-4543-A00F-689493BC3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1320</TotalTime>
  <Pages>4</Pages>
  <Words>1595</Words>
  <Characters>9095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Goddard</dc:creator>
  <cp:keywords/>
  <dc:description/>
  <cp:lastModifiedBy>Jonathan Goddard</cp:lastModifiedBy>
  <cp:revision>56</cp:revision>
  <dcterms:created xsi:type="dcterms:W3CDTF">2018-04-24T13:22:00Z</dcterms:created>
  <dcterms:modified xsi:type="dcterms:W3CDTF">2018-05-24T22:47:00Z</dcterms:modified>
</cp:coreProperties>
</file>