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61625" w14:textId="472F1BE4" w:rsidR="00D27FC8" w:rsidRDefault="009D0076" w:rsidP="00D27FC8">
      <w:r>
        <w:rPr>
          <w:noProof/>
          <w:color w:val="000000"/>
          <w:sz w:val="18"/>
          <w:szCs w:val="18"/>
          <w:lang w:eastAsia="en-GB"/>
        </w:rPr>
        <w:drawing>
          <wp:anchor distT="0" distB="0" distL="114300" distR="114300" simplePos="0" relativeHeight="251658240" behindDoc="0" locked="0" layoutInCell="1" allowOverlap="1" wp14:anchorId="1D472B87" wp14:editId="4F01BCDF">
            <wp:simplePos x="0" y="0"/>
            <wp:positionH relativeFrom="column">
              <wp:posOffset>-542925</wp:posOffset>
            </wp:positionH>
            <wp:positionV relativeFrom="paragraph">
              <wp:posOffset>3810</wp:posOffset>
            </wp:positionV>
            <wp:extent cx="3155950" cy="1234440"/>
            <wp:effectExtent l="0" t="0" r="6350" b="3810"/>
            <wp:wrapSquare wrapText="bothSides"/>
            <wp:docPr id="4" name="Picture 4" descr="University of Wales Trinity Saint Davi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Swansea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595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4C077" w14:textId="1F70D885" w:rsidR="009D0076" w:rsidRDefault="009D0076" w:rsidP="00D27FC8"/>
    <w:p w14:paraId="5421DD96" w14:textId="3DC4817E" w:rsidR="009D0076" w:rsidRDefault="009D0076" w:rsidP="00D27FC8"/>
    <w:p w14:paraId="2A489378" w14:textId="77777777" w:rsidR="009D0076" w:rsidRDefault="009D0076" w:rsidP="00D27FC8"/>
    <w:p w14:paraId="7D8B1ED4" w14:textId="77777777" w:rsidR="009D0076" w:rsidRDefault="009D0076" w:rsidP="00D27FC8"/>
    <w:tbl>
      <w:tblPr>
        <w:tblpPr w:leftFromText="187" w:rightFromText="187" w:vertAnchor="page" w:horzAnchor="page" w:tblpXSpec="center" w:tblpYSpec="center"/>
        <w:tblW w:w="5770" w:type="pct"/>
        <w:shd w:val="clear" w:color="auto" w:fill="95DCF7" w:themeFill="accent4" w:themeFillTint="66"/>
        <w:tblCellMar>
          <w:top w:w="216" w:type="dxa"/>
          <w:left w:w="216" w:type="dxa"/>
          <w:bottom w:w="216" w:type="dxa"/>
          <w:right w:w="216" w:type="dxa"/>
        </w:tblCellMar>
        <w:tblLook w:val="0000" w:firstRow="0" w:lastRow="0" w:firstColumn="0" w:lastColumn="0" w:noHBand="0" w:noVBand="0"/>
      </w:tblPr>
      <w:tblGrid>
        <w:gridCol w:w="5161"/>
        <w:gridCol w:w="1580"/>
        <w:gridCol w:w="4060"/>
      </w:tblGrid>
      <w:tr w:rsidR="009D0076" w14:paraId="6500D38E" w14:textId="77777777" w:rsidTr="0026574F">
        <w:trPr>
          <w:trHeight w:val="3021"/>
        </w:trPr>
        <w:tc>
          <w:tcPr>
            <w:tcW w:w="4977" w:type="dxa"/>
            <w:tcBorders>
              <w:top w:val="nil"/>
              <w:left w:val="nil"/>
              <w:bottom w:val="single" w:sz="18" w:space="0" w:color="808080"/>
              <w:right w:val="single" w:sz="18" w:space="0" w:color="808080"/>
            </w:tcBorders>
            <w:shd w:val="clear" w:color="auto" w:fill="95DCF7" w:themeFill="accent4" w:themeFillTint="66"/>
            <w:vAlign w:val="center"/>
          </w:tcPr>
          <w:p w14:paraId="2DDE5D66" w14:textId="41B63025" w:rsidR="009D0076" w:rsidRPr="00CA5A09" w:rsidRDefault="009D0076" w:rsidP="0026574F">
            <w:pPr>
              <w:pStyle w:val="NoSpacing"/>
              <w:rPr>
                <w:rFonts w:ascii="Arial" w:hAnsi="Arial" w:cs="Arial"/>
                <w:spacing w:val="20"/>
                <w:sz w:val="52"/>
                <w:szCs w:val="52"/>
              </w:rPr>
            </w:pPr>
            <w:r>
              <w:rPr>
                <w:rFonts w:ascii="Arial" w:hAnsi="Arial" w:cs="Arial"/>
                <w:spacing w:val="20"/>
                <w:sz w:val="52"/>
                <w:szCs w:val="52"/>
              </w:rPr>
              <w:t>Reflective Essay</w:t>
            </w:r>
          </w:p>
        </w:tc>
        <w:tc>
          <w:tcPr>
            <w:tcW w:w="5439" w:type="dxa"/>
            <w:gridSpan w:val="2"/>
            <w:tcBorders>
              <w:top w:val="nil"/>
              <w:left w:val="single" w:sz="18" w:space="0" w:color="808080"/>
              <w:bottom w:val="single" w:sz="18" w:space="0" w:color="808080"/>
              <w:right w:val="nil"/>
            </w:tcBorders>
            <w:shd w:val="clear" w:color="auto" w:fill="95DCF7" w:themeFill="accent4" w:themeFillTint="66"/>
            <w:vAlign w:val="center"/>
          </w:tcPr>
          <w:p w14:paraId="46B1DD95" w14:textId="7AED1078" w:rsidR="009D0076" w:rsidRPr="006D2BF2" w:rsidRDefault="00175CC1" w:rsidP="0026574F">
            <w:pPr>
              <w:pStyle w:val="NoSpacing"/>
              <w:rPr>
                <w:rFonts w:ascii="Arial" w:hAnsi="Arial" w:cs="Arial"/>
                <w:spacing w:val="20"/>
                <w:sz w:val="36"/>
                <w:szCs w:val="36"/>
              </w:rPr>
            </w:pPr>
            <w:r>
              <w:rPr>
                <w:rFonts w:ascii="Arial" w:hAnsi="Arial" w:cs="Arial"/>
                <w:spacing w:val="20"/>
                <w:sz w:val="36"/>
                <w:szCs w:val="36"/>
              </w:rPr>
              <w:t>July</w:t>
            </w:r>
            <w:r w:rsidR="009D0076">
              <w:rPr>
                <w:rFonts w:ascii="Arial" w:hAnsi="Arial" w:cs="Arial"/>
                <w:spacing w:val="20"/>
                <w:sz w:val="36"/>
                <w:szCs w:val="36"/>
              </w:rPr>
              <w:t xml:space="preserve"> </w:t>
            </w:r>
            <w:r>
              <w:rPr>
                <w:rFonts w:ascii="Arial" w:hAnsi="Arial" w:cs="Arial"/>
                <w:spacing w:val="20"/>
                <w:sz w:val="36"/>
                <w:szCs w:val="36"/>
              </w:rPr>
              <w:t>22</w:t>
            </w:r>
            <w:r w:rsidR="009D0076">
              <w:rPr>
                <w:rFonts w:ascii="Arial" w:hAnsi="Arial" w:cs="Arial"/>
                <w:spacing w:val="20"/>
                <w:sz w:val="36"/>
                <w:szCs w:val="36"/>
              </w:rPr>
              <w:t>th</w:t>
            </w:r>
          </w:p>
          <w:p w14:paraId="308E7A91" w14:textId="06BA2D35" w:rsidR="009D0076" w:rsidRPr="00350DEE" w:rsidRDefault="009D0076" w:rsidP="0026574F">
            <w:pPr>
              <w:pStyle w:val="NoSpacing"/>
              <w:rPr>
                <w:rFonts w:ascii="Arial" w:hAnsi="Arial" w:cs="Arial"/>
                <w:color w:val="4F81BD"/>
                <w:spacing w:val="20"/>
                <w:sz w:val="200"/>
                <w:szCs w:val="200"/>
              </w:rPr>
            </w:pPr>
            <w:r>
              <w:rPr>
                <w:rFonts w:ascii="Arial" w:hAnsi="Arial" w:cs="Arial"/>
                <w:color w:val="4F81BD"/>
                <w:spacing w:val="20"/>
                <w:sz w:val="200"/>
                <w:szCs w:val="200"/>
              </w:rPr>
              <w:t>202</w:t>
            </w:r>
            <w:r w:rsidR="00175CC1">
              <w:rPr>
                <w:rFonts w:ascii="Arial" w:hAnsi="Arial" w:cs="Arial"/>
                <w:color w:val="4F81BD"/>
                <w:spacing w:val="20"/>
                <w:sz w:val="200"/>
                <w:szCs w:val="200"/>
              </w:rPr>
              <w:t>5</w:t>
            </w:r>
          </w:p>
        </w:tc>
      </w:tr>
      <w:tr w:rsidR="009D0076" w14:paraId="2D222E08" w14:textId="77777777" w:rsidTr="0026574F">
        <w:trPr>
          <w:trHeight w:val="2916"/>
        </w:trPr>
        <w:tc>
          <w:tcPr>
            <w:tcW w:w="6501" w:type="dxa"/>
            <w:gridSpan w:val="2"/>
            <w:tcBorders>
              <w:top w:val="single" w:sz="18" w:space="0" w:color="808080"/>
              <w:left w:val="nil"/>
              <w:bottom w:val="nil"/>
              <w:right w:val="nil"/>
            </w:tcBorders>
            <w:shd w:val="clear" w:color="auto" w:fill="95DCF7" w:themeFill="accent4" w:themeFillTint="66"/>
            <w:vAlign w:val="center"/>
          </w:tcPr>
          <w:p w14:paraId="6BC0E858" w14:textId="77777777" w:rsidR="009D0076" w:rsidRPr="00AA5F29" w:rsidRDefault="009D0076" w:rsidP="0026574F">
            <w:pPr>
              <w:pStyle w:val="NoSpacing"/>
              <w:rPr>
                <w:rFonts w:ascii="Arial" w:hAnsi="Arial" w:cs="Arial"/>
                <w:b/>
                <w:color w:val="002060"/>
                <w:spacing w:val="20"/>
                <w:sz w:val="32"/>
                <w:szCs w:val="32"/>
              </w:rPr>
            </w:pPr>
            <w:r w:rsidRPr="00AA5F29">
              <w:rPr>
                <w:rFonts w:ascii="Arial" w:hAnsi="Arial" w:cs="Arial"/>
                <w:b/>
                <w:color w:val="002060"/>
                <w:spacing w:val="20"/>
                <w:sz w:val="32"/>
                <w:szCs w:val="32"/>
              </w:rPr>
              <w:t xml:space="preserve">Mark Bamford </w:t>
            </w:r>
          </w:p>
          <w:p w14:paraId="629E582D" w14:textId="77777777" w:rsidR="009D0076" w:rsidRPr="00B71CCC" w:rsidRDefault="009D0076" w:rsidP="0026574F">
            <w:pPr>
              <w:pStyle w:val="NoSpacing"/>
              <w:rPr>
                <w:spacing w:val="20"/>
              </w:rPr>
            </w:pPr>
            <w:r w:rsidRPr="00AA5F29">
              <w:rPr>
                <w:rFonts w:ascii="Arial" w:hAnsi="Arial" w:cs="Arial"/>
                <w:b/>
                <w:color w:val="002060"/>
                <w:spacing w:val="20"/>
                <w:sz w:val="32"/>
                <w:szCs w:val="32"/>
              </w:rPr>
              <w:t xml:space="preserve">    </w:t>
            </w:r>
            <w:r>
              <w:rPr>
                <w:rFonts w:ascii="Arial" w:hAnsi="Arial" w:cs="Arial"/>
                <w:b/>
                <w:color w:val="0070C0"/>
                <w:spacing w:val="20"/>
                <w:sz w:val="32"/>
                <w:szCs w:val="32"/>
              </w:rPr>
              <w:t>1350176</w:t>
            </w:r>
          </w:p>
        </w:tc>
        <w:tc>
          <w:tcPr>
            <w:tcW w:w="3914" w:type="dxa"/>
            <w:tcBorders>
              <w:top w:val="single" w:sz="18" w:space="0" w:color="808080"/>
              <w:left w:val="nil"/>
              <w:bottom w:val="nil"/>
              <w:right w:val="nil"/>
            </w:tcBorders>
            <w:shd w:val="clear" w:color="auto" w:fill="95DCF7" w:themeFill="accent4" w:themeFillTint="66"/>
            <w:vAlign w:val="center"/>
          </w:tcPr>
          <w:p w14:paraId="6FA998E0" w14:textId="7D455EAA" w:rsidR="009D0076" w:rsidRPr="00C130E0" w:rsidRDefault="00C130E0" w:rsidP="0026574F">
            <w:pPr>
              <w:pStyle w:val="NoSpacing"/>
              <w:rPr>
                <w:rFonts w:ascii="Arial" w:hAnsi="Arial" w:cs="Arial"/>
                <w:b/>
                <w:color w:val="002060"/>
                <w:spacing w:val="20"/>
                <w:sz w:val="28"/>
                <w:szCs w:val="28"/>
              </w:rPr>
            </w:pPr>
            <w:r w:rsidRPr="00C130E0">
              <w:rPr>
                <w:rFonts w:ascii="Arial" w:hAnsi="Arial" w:cs="Arial"/>
                <w:b/>
                <w:color w:val="002060"/>
                <w:spacing w:val="20"/>
                <w:sz w:val="28"/>
                <w:szCs w:val="28"/>
              </w:rPr>
              <w:t>Design for Industry 4.0</w:t>
            </w:r>
          </w:p>
          <w:p w14:paraId="585AC41B" w14:textId="6592681F" w:rsidR="009D0076" w:rsidRPr="00C130E0" w:rsidRDefault="009D0076" w:rsidP="0026574F">
            <w:pPr>
              <w:pStyle w:val="NoSpacing"/>
              <w:rPr>
                <w:rFonts w:ascii="Arial" w:hAnsi="Arial" w:cs="Arial"/>
                <w:spacing w:val="20"/>
                <w:sz w:val="28"/>
                <w:szCs w:val="28"/>
              </w:rPr>
            </w:pPr>
            <w:r w:rsidRPr="00C130E0">
              <w:rPr>
                <w:rFonts w:ascii="Arial" w:hAnsi="Arial" w:cs="Arial"/>
                <w:spacing w:val="20"/>
                <w:sz w:val="28"/>
                <w:szCs w:val="28"/>
              </w:rPr>
              <w:t>Mr.</w:t>
            </w:r>
            <w:r w:rsidR="00C130E0" w:rsidRPr="00C130E0">
              <w:rPr>
                <w:rFonts w:ascii="Arial" w:hAnsi="Arial" w:cs="Arial"/>
                <w:spacing w:val="20"/>
                <w:sz w:val="28"/>
                <w:szCs w:val="28"/>
              </w:rPr>
              <w:t xml:space="preserve"> Richard Morgan</w:t>
            </w:r>
          </w:p>
        </w:tc>
      </w:tr>
    </w:tbl>
    <w:p w14:paraId="05297F86" w14:textId="076F3470" w:rsidR="009D0076" w:rsidRDefault="009D0076" w:rsidP="00D27FC8"/>
    <w:p w14:paraId="47421556" w14:textId="77777777" w:rsidR="009D0076" w:rsidRDefault="009D0076" w:rsidP="00D27FC8"/>
    <w:p w14:paraId="2FC0BBF0" w14:textId="77777777" w:rsidR="009D0076" w:rsidRDefault="009D0076" w:rsidP="00D27FC8"/>
    <w:p w14:paraId="04044E54" w14:textId="77777777" w:rsidR="009D0076" w:rsidRDefault="009D0076" w:rsidP="00D27FC8"/>
    <w:p w14:paraId="3AE4E84F" w14:textId="77777777" w:rsidR="009D0076" w:rsidRDefault="009D0076" w:rsidP="00D27FC8"/>
    <w:p w14:paraId="46A5F945" w14:textId="77777777" w:rsidR="009D0076" w:rsidRDefault="009D0076" w:rsidP="00D27FC8"/>
    <w:p w14:paraId="29FE9CAE" w14:textId="77777777" w:rsidR="009D0076" w:rsidRDefault="009D0076" w:rsidP="00D27FC8"/>
    <w:p w14:paraId="15A91712" w14:textId="77777777" w:rsidR="009D0076" w:rsidRPr="00D27FC8" w:rsidRDefault="009D0076" w:rsidP="00D27FC8"/>
    <w:p w14:paraId="1996E8DF" w14:textId="5E228D2B" w:rsidR="00D27FC8" w:rsidRPr="00D27FC8" w:rsidRDefault="00D27FC8" w:rsidP="00290B5A">
      <w:pPr>
        <w:jc w:val="both"/>
      </w:pPr>
      <w:r w:rsidRPr="00D27FC8">
        <w:lastRenderedPageBreak/>
        <w:t>The integration of Industry 4.0 technologies has significantly transformed the landscape of product design and manufacturing. The fourth industrial revolution is characterized by the fusion of cyber-physical systems, IoT (Internet of Things), artificial intelligence (AI), and robotics into manufacturing environments. This evolution not only promises enhanced efficiency and automation but also allows for mass customization, advanced quality control, and real-time decision-making based on big data analytics.</w:t>
      </w:r>
    </w:p>
    <w:p w14:paraId="70378B9E" w14:textId="42B613CE" w:rsidR="00D27FC8" w:rsidRPr="00D27FC8" w:rsidRDefault="00D27FC8" w:rsidP="00290B5A">
      <w:pPr>
        <w:jc w:val="both"/>
      </w:pPr>
      <w:r w:rsidRPr="00D27FC8">
        <w:t>Manufacturing-related considerations have become increasingly complex in this context. Product development today is shaped by the need for cost-effectiveness, sustainability, quality assurance, and supply chain efficiency. At the same time, new manufacturing technologies offer innovative design solutions that must be critically evaluated to realize their full potential. This essay will critically appraise the manufacturing considerations involved in product design and production, assess the application of emerging Industry 4.0 technologies, and explore factors necessary to capture full value from these advancements.</w:t>
      </w:r>
    </w:p>
    <w:p w14:paraId="25418806" w14:textId="77777777" w:rsidR="00A52713" w:rsidRPr="00A52713" w:rsidRDefault="00A52713" w:rsidP="00A52713">
      <w:pPr>
        <w:jc w:val="both"/>
      </w:pPr>
      <w:r w:rsidRPr="00A52713">
        <w:t>Material selection remains a fundamental pillar in the engineering design process, significantly influencing a product’s function, performance, lifecycle cost, and environmental impact. In the context of Industry 4.0, the integration of smart technologies into manufacturing processes elevates material decisions beyond mechanical properties alone, requiring designers and engineers to consider compatibility with advanced manufacturing techniques, recyclability, digital traceability, and real-time process feedback.</w:t>
      </w:r>
    </w:p>
    <w:p w14:paraId="5E0C0F71" w14:textId="77777777" w:rsidR="00A52713" w:rsidRPr="00A52713" w:rsidRDefault="00A52713" w:rsidP="00A52713">
      <w:pPr>
        <w:jc w:val="both"/>
      </w:pPr>
      <w:r w:rsidRPr="00A52713">
        <w:t>The choice of materials directly affects a product's manufacturability and performance under service conditions. Traditional selection approaches—based on strength, weight, corrosion resistance, and thermal properties—must now also account for parameters such as digital compatibility (e.g. sensor embedding), additive manufacturability, and sustainability metrics. Ashby’s material selection methodology remains foundational, using material indices to balance conflicting performance requirements (Ashby, 2011), but modern practices now supplement this with lifecycle assessment (LCA) tools and digital design systems.</w:t>
      </w:r>
    </w:p>
    <w:p w14:paraId="0FB943E9" w14:textId="1D0A4A13" w:rsidR="00A52713" w:rsidRPr="00A52713" w:rsidRDefault="00A52713" w:rsidP="00A52713">
      <w:pPr>
        <w:jc w:val="both"/>
      </w:pPr>
      <w:r w:rsidRPr="00A52713">
        <w:t xml:space="preserve">In the Industry 4.0 era, sustainability-driven design is a growing imperative. Research by </w:t>
      </w:r>
      <w:proofErr w:type="spellStart"/>
      <w:r w:rsidRPr="00A52713">
        <w:t>Geissdoerfer</w:t>
      </w:r>
      <w:proofErr w:type="spellEnd"/>
      <w:r w:rsidRPr="00A52713">
        <w:t xml:space="preserve"> et al. (2017) identifies the synergy between material selection and circular economy models, which aim to minimize waste, extend product life, and promote closed-loop recycling. Materials such as bio-based polymers, </w:t>
      </w:r>
      <w:r w:rsidR="000A34D0" w:rsidRPr="00A52713">
        <w:t>aluminium</w:t>
      </w:r>
      <w:r w:rsidRPr="00A52713">
        <w:t xml:space="preserve"> alloys with high recyclability, and composite materials with reduced environmental footprints are increasingly </w:t>
      </w:r>
      <w:r w:rsidR="000A34D0" w:rsidRPr="00A52713">
        <w:t>favoured</w:t>
      </w:r>
      <w:r w:rsidRPr="00A52713">
        <w:t xml:space="preserve">. For example, automotive manufacturers now routinely replace steel with lightweight </w:t>
      </w:r>
      <w:r w:rsidR="000A34D0" w:rsidRPr="00A52713">
        <w:t>aluminium</w:t>
      </w:r>
      <w:r w:rsidRPr="00A52713">
        <w:t xml:space="preserve"> or polymer composites to meet regulatory emission targets while maintaining structural integrity (Bauer et al., 2020).</w:t>
      </w:r>
    </w:p>
    <w:p w14:paraId="516EFDA9" w14:textId="1765EC35" w:rsidR="00A52713" w:rsidRPr="00A52713" w:rsidRDefault="00A52713" w:rsidP="00A52713">
      <w:pPr>
        <w:jc w:val="both"/>
      </w:pPr>
      <w:r w:rsidRPr="00A52713">
        <w:t xml:space="preserve">Additive manufacturing (AM) has transformed the criteria </w:t>
      </w:r>
      <w:r w:rsidR="005D1A3F">
        <w:t xml:space="preserve">currently set out </w:t>
      </w:r>
      <w:r w:rsidRPr="00A52713">
        <w:t>for material suitability. Unlike subtractive techniques, AM requires materials that exhibit precise flowability, thermal stability, and layer adhesion properties. High-performance polymers like PEEK (polyether ether ketone) and metals such as titanium alloys (e.g., Ti-6Al-4V) are widely used in aerospace and medical sectors for their strength-to-weight ratio, biocompatibility, and suitability for complex geometries (Gao et al., 2015; Frazier, 2014). Moreover, AM allows for material efficiency by eliminating tooling waste and enabling topology-optimized designs that were previously unfeasible.</w:t>
      </w:r>
    </w:p>
    <w:p w14:paraId="2A062931" w14:textId="73FC548E" w:rsidR="00A52713" w:rsidRPr="00A52713" w:rsidRDefault="00A52F44" w:rsidP="00A52713">
      <w:pPr>
        <w:jc w:val="both"/>
      </w:pPr>
      <w:r w:rsidRPr="00A52713">
        <w:lastRenderedPageBreak/>
        <w:t>The</w:t>
      </w:r>
      <w:r>
        <w:t>refore,</w:t>
      </w:r>
      <w:r w:rsidR="00D44EA3">
        <w:t xml:space="preserve"> the</w:t>
      </w:r>
      <w:r w:rsidR="00A52713" w:rsidRPr="00A52713">
        <w:t xml:space="preserve"> role of Industry 4.0 technologies in material management cannot be overstated. Cyber-physical systems (CPS), IoT-enabled sensors, and AI-driven analytics now provide real-time monitoring of material </w:t>
      </w:r>
      <w:r w:rsidR="00CF7A60" w:rsidRPr="00A52713">
        <w:t>behaviour</w:t>
      </w:r>
      <w:r w:rsidR="00A52713" w:rsidRPr="00A52713">
        <w:t xml:space="preserve"> during processing. This allows manufacturers to optimize process parameters such as temperature, pressure, and material deposition rates, improving both product quality and resource efficiency (Lu, 2017). Digital twins—virtual models of physical systems—can simulate material interactions and performance under varying conditions before actual production, reducing design errors and material waste (Tao et al., 2018).</w:t>
      </w:r>
    </w:p>
    <w:p w14:paraId="49670CC0" w14:textId="12E2F07F" w:rsidR="00A52713" w:rsidRPr="00A52713" w:rsidRDefault="00A52713" w:rsidP="00A52713">
      <w:pPr>
        <w:jc w:val="both"/>
      </w:pPr>
      <w:r w:rsidRPr="00A52713">
        <w:t xml:space="preserve">Material traceability is </w:t>
      </w:r>
      <w:r w:rsidR="00575632">
        <w:t xml:space="preserve">also </w:t>
      </w:r>
      <w:r w:rsidRPr="00A52713">
        <w:t>another critical aspect enhanced by Industry 4.0. Using blockchain and IoT technologies, manufacturers can now track materials from raw extraction to end-of-life recycling, supporting ethical sourcing and environmental compliance (</w:t>
      </w:r>
      <w:proofErr w:type="spellStart"/>
      <w:r w:rsidRPr="00A52713">
        <w:t>Kouhizadeh</w:t>
      </w:r>
      <w:proofErr w:type="spellEnd"/>
      <w:r w:rsidRPr="00A52713">
        <w:t xml:space="preserve"> et al., 2021). This transparency is particularly important in regulated industries such as aerospace, electronics, and healthcare, where certification and accountability are legally mandated.</w:t>
      </w:r>
    </w:p>
    <w:p w14:paraId="1160F453" w14:textId="12AADCCF" w:rsidR="00A52713" w:rsidRPr="00A52713" w:rsidRDefault="000762B7" w:rsidP="00A52713">
      <w:pPr>
        <w:jc w:val="both"/>
      </w:pPr>
      <w:r>
        <w:t>Although d</w:t>
      </w:r>
      <w:r w:rsidR="00A52713" w:rsidRPr="00A52713">
        <w:t xml:space="preserve">espite these advances, </w:t>
      </w:r>
      <w:r>
        <w:t xml:space="preserve">significant </w:t>
      </w:r>
      <w:r w:rsidR="00A52713" w:rsidRPr="00A52713">
        <w:t>challenges remain. The adoption of new materials often requires retooling, new supplier networks, and extensive testing, which can increase upfront costs and lead times. Furthermore, while composites offer high performance, their recyclability remains limited compared to metals, posing a conflict with circular economy goals (Pickering, 2006). Thus, the material selection process must balance technical performance with economic viability and environmental responsibility.</w:t>
      </w:r>
    </w:p>
    <w:p w14:paraId="4F89CE12" w14:textId="09782844" w:rsidR="00A52713" w:rsidRPr="00A52713" w:rsidRDefault="00A52713" w:rsidP="00A52713">
      <w:pPr>
        <w:jc w:val="both"/>
      </w:pPr>
      <w:r>
        <w:t>M</w:t>
      </w:r>
      <w:r w:rsidRPr="00A52713">
        <w:t>aterial selection in Industry 4.0 is no longer a standalone engineering decision, but a strategic consideration shaped by digital integration, sustainability imperatives, and advanced manufacturing capabilities. As smart manufacturing continues to evolve, the ability to holistically evaluate materials based on both traditional and emerging criteria will be critical to delivering innovative, cost-effective, and environmentally sound products.</w:t>
      </w:r>
    </w:p>
    <w:p w14:paraId="79D6DCB6" w14:textId="7848F17C" w:rsidR="00A52713" w:rsidRPr="00A52713" w:rsidRDefault="005613A3" w:rsidP="00A52713">
      <w:pPr>
        <w:jc w:val="both"/>
      </w:pPr>
      <w:r>
        <w:t>While optimization of materials is key t</w:t>
      </w:r>
      <w:r w:rsidR="000A34D0">
        <w:t>he c</w:t>
      </w:r>
      <w:r w:rsidR="00A52713" w:rsidRPr="00A52713">
        <w:t>ost efficiency</w:t>
      </w:r>
      <w:r w:rsidR="00E56084">
        <w:t xml:space="preserve"> also</w:t>
      </w:r>
      <w:r w:rsidR="00A52713" w:rsidRPr="00A52713">
        <w:t xml:space="preserve"> remains a core objective in manufacturing operations, where firms strive to maintain high-quality outputs while minimizing waste, energy use, and downtime. The advent of Industry 4.0 has introduced powerful tools that enable more precise, data-driven decision-making, allowing manufacturers to improve productivity and reduce operating costs without compromising quality.</w:t>
      </w:r>
    </w:p>
    <w:p w14:paraId="42DE1ED7" w14:textId="3302F758" w:rsidR="00A52713" w:rsidRPr="00CF7A60" w:rsidRDefault="00A52713" w:rsidP="00A52713">
      <w:pPr>
        <w:jc w:val="both"/>
      </w:pPr>
      <w:r w:rsidRPr="00CF7A60">
        <w:t xml:space="preserve">One of the most significant advancements in this regard is the implementation of AI-driven predictive maintenance systems. These systems, such as those developed by Siemens and Bosch, utilize machine learning algorithms and sensor data to anticipate equipment failures before they occur, enabling just-in-time servicing and reducing unplanned downtime (Lee et al., 2015). This proactive approach not only lowers repair and </w:t>
      </w:r>
      <w:r w:rsidR="000A34D0" w:rsidRPr="00CF7A60">
        <w:t>labour</w:t>
      </w:r>
      <w:r w:rsidRPr="00CF7A60">
        <w:t xml:space="preserve"> costs but also extends equipment lifespan and ensures higher process reliability.</w:t>
      </w:r>
    </w:p>
    <w:p w14:paraId="5E51E729" w14:textId="6A21E5A7" w:rsidR="00A52713" w:rsidRPr="00CF7A60" w:rsidRDefault="00436327" w:rsidP="00A52713">
      <w:pPr>
        <w:jc w:val="both"/>
      </w:pPr>
      <w:r w:rsidRPr="00CF7A60">
        <w:t xml:space="preserve">Traditional </w:t>
      </w:r>
      <w:r w:rsidR="00A52713" w:rsidRPr="00CF7A60">
        <w:t>lean manufacturing principles</w:t>
      </w:r>
      <w:r w:rsidRPr="00CF7A60">
        <w:t xml:space="preserve"> are</w:t>
      </w:r>
      <w:r w:rsidR="00A52713" w:rsidRPr="00CF7A60">
        <w:t xml:space="preserve"> based on reducing waste, improving flow, and increasing responsiveness</w:t>
      </w:r>
      <w:r w:rsidRPr="00CF7A60">
        <w:t xml:space="preserve"> although these </w:t>
      </w:r>
      <w:r w:rsidR="00A52713" w:rsidRPr="00CF7A60">
        <w:t xml:space="preserve">have been significantly enhanced through the use of Industry 4.0 technologies. The integration of IoT-enabled sensors, RFID tracking, and real-time analytics allows manufacturers to monitor inventory, machine performance, and process flow in real time, supporting dynamic adjustments and just-in-time production (Moyne, </w:t>
      </w:r>
      <w:proofErr w:type="spellStart"/>
      <w:r w:rsidR="00A52713" w:rsidRPr="00CF7A60">
        <w:t>Qamsaneh</w:t>
      </w:r>
      <w:proofErr w:type="spellEnd"/>
      <w:r w:rsidR="00A52713" w:rsidRPr="00CF7A60">
        <w:t xml:space="preserve"> and </w:t>
      </w:r>
      <w:proofErr w:type="spellStart"/>
      <w:r w:rsidR="00A52713" w:rsidRPr="00CF7A60">
        <w:t>Arinez</w:t>
      </w:r>
      <w:proofErr w:type="spellEnd"/>
      <w:r w:rsidR="00A52713" w:rsidRPr="00CF7A60">
        <w:t>, 2020). This digital augmentation helps identify inefficiencies as they emerge, reducing overproduction, idle time, and unnecessary material movement.</w:t>
      </w:r>
    </w:p>
    <w:p w14:paraId="071DED8F" w14:textId="77777777" w:rsidR="00A52713" w:rsidRPr="00CF7A60" w:rsidRDefault="00A52713" w:rsidP="00A52713">
      <w:pPr>
        <w:jc w:val="both"/>
      </w:pPr>
      <w:r w:rsidRPr="00CF7A60">
        <w:lastRenderedPageBreak/>
        <w:t>For example, smart supply chain management tools can synchronize inventory levels with demand forecasts using big data analytics and cloud computing. According to Wagner et al. (2021), such integrations—when applied alongside traditional lean strategies—can reduce operational costs by up to 30%, especially in sectors with complex, multi-tiered supply chains such as automotive and electronics.</w:t>
      </w:r>
    </w:p>
    <w:p w14:paraId="222F3C60" w14:textId="77777777" w:rsidR="00A52713" w:rsidRPr="00CF7A60" w:rsidRDefault="00A52713" w:rsidP="00A52713">
      <w:pPr>
        <w:jc w:val="both"/>
      </w:pPr>
      <w:r w:rsidRPr="00CF7A60">
        <w:t>Moreover, digital twins and simulation software provide manufacturers with virtual environments to model production processes, identify bottlenecks, and test cost-reduction strategies before physical implementation. This reduces the cost of trial-and-error approaches and allows for more informed capital investment decisions (Tao et al., 2018).</w:t>
      </w:r>
    </w:p>
    <w:p w14:paraId="092BF5E9" w14:textId="77777777" w:rsidR="00A52713" w:rsidRPr="00CF7A60" w:rsidRDefault="00A52713" w:rsidP="00A52713">
      <w:pPr>
        <w:jc w:val="both"/>
      </w:pPr>
      <w:r w:rsidRPr="00CF7A60">
        <w:t>While the initial investment in Industry 4.0 infrastructure can be substantial—particularly for SMEs—the long-term returns in operational efficiency and cost savings are compelling. Strategic implementation of these technologies, aligned with business objectives and supported by workforce upskilling, is crucial to fully realizing their cost-saving potential (</w:t>
      </w:r>
      <w:proofErr w:type="spellStart"/>
      <w:r w:rsidRPr="00CF7A60">
        <w:t>Kagermann</w:t>
      </w:r>
      <w:proofErr w:type="spellEnd"/>
      <w:r w:rsidRPr="00CF7A60">
        <w:t xml:space="preserve"> et al., 2013).</w:t>
      </w:r>
    </w:p>
    <w:p w14:paraId="71B9AA9B" w14:textId="6AD13B96" w:rsidR="00A52713" w:rsidRPr="00CF7A60" w:rsidRDefault="00A52713" w:rsidP="00A52713">
      <w:pPr>
        <w:jc w:val="both"/>
      </w:pPr>
      <w:r w:rsidRPr="00CF7A60">
        <w:t>Quality control (QC) has long been a cornerstone of manufacturing, underpinning customer satisfaction, product reliability, and compliance with safety and regulatory standards. However, traditional QC methods—such as manual inspections, statistical process control (SPC), and post-production testing—are often reactive, labour-intensive, and susceptible to human error. The transition to Industry 4.0 represents a fundamental shift in how quality is managed, moving from retrospective inspection to predictive and prescriptive quality management systems powered by data and automation.</w:t>
      </w:r>
    </w:p>
    <w:p w14:paraId="7AD2F996" w14:textId="77777777" w:rsidR="00A52713" w:rsidRPr="00CF7A60" w:rsidRDefault="00A52713" w:rsidP="00A52713">
      <w:pPr>
        <w:jc w:val="both"/>
      </w:pPr>
      <w:r w:rsidRPr="00CF7A60">
        <w:t>Recent developments in AI, machine learning (ML), edge computing, and sensor fusion have introduced unprecedented capabilities into quality assurance processes. These technologies facilitate real-time fault detection, pattern recognition, and automated decision-making, enabling manufacturers to intervene during, rather than after, production. For instance, AI-based visual inspection systems using convolutional neural networks (CNNs) can now detect surface defects at microscopic resolutions across high-speed production lines, significantly outperforming human inspectors (</w:t>
      </w:r>
      <w:proofErr w:type="spellStart"/>
      <w:r w:rsidRPr="00CF7A60">
        <w:t>Bousdekis</w:t>
      </w:r>
      <w:proofErr w:type="spellEnd"/>
      <w:r w:rsidRPr="00CF7A60">
        <w:t xml:space="preserve"> et al., 2021).</w:t>
      </w:r>
    </w:p>
    <w:p w14:paraId="0ABDE44F" w14:textId="77777777" w:rsidR="00A52713" w:rsidRPr="00CF7A60" w:rsidRDefault="00A52713" w:rsidP="00A52713">
      <w:pPr>
        <w:jc w:val="both"/>
      </w:pPr>
      <w:r w:rsidRPr="00CF7A60">
        <w:t>The rise of digital twin technology represents another transformative advancement. Digital twins use real-time data from IoT-enabled devices to simulate the behaviour of physical products and processes, allowing manufacturers to forecast quality issues under different production scenarios. These simulations help reduce the need for physical prototyping, speed up development cycles, and support "first-time-right" production strategies (Tao et al., 2019). This is particularly vital in industries like aerospace, automotive, and semiconductor fabrication, where dimensional precision and performance tolerances are extremely tight.</w:t>
      </w:r>
    </w:p>
    <w:p w14:paraId="54EE2A1F" w14:textId="1BBB5FFE" w:rsidR="00A52713" w:rsidRPr="00CF7A60" w:rsidRDefault="00A52713" w:rsidP="00A52713">
      <w:pPr>
        <w:jc w:val="both"/>
      </w:pPr>
      <w:r w:rsidRPr="00CF7A60">
        <w:t>Edge computing is increasingly being integrated with QC tools to support real-time analysis on the production floor. Unlike cloud computing, edge devices process data locally, significantly reducing latency. This enables instant quality feedback and closed-loop control, where process parameters are dynamically adjusted in response to deviations detected in the product (Zhang et al., 2022). Such capabilities are essential for maintaining quality in high-velocity, high-mix production environments.</w:t>
      </w:r>
    </w:p>
    <w:p w14:paraId="4FD2C525" w14:textId="3CB07C08" w:rsidR="00A52713" w:rsidRPr="00CF7A60" w:rsidRDefault="00A52713" w:rsidP="00A52713">
      <w:pPr>
        <w:jc w:val="both"/>
      </w:pPr>
      <w:r w:rsidRPr="00CF7A60">
        <w:lastRenderedPageBreak/>
        <w:t>These advancements bring several key implications</w:t>
      </w:r>
      <w:r w:rsidR="000A34D0" w:rsidRPr="00CF7A60">
        <w:t xml:space="preserve"> which include product consistency and reduced defects, faster time to market, cost reduction, enhanced regulatory compliance and greater customization without compromising quality. </w:t>
      </w:r>
    </w:p>
    <w:p w14:paraId="721EB262" w14:textId="0EC3FAAC" w:rsidR="00A52713" w:rsidRPr="00CF7A60" w:rsidRDefault="00A52713" w:rsidP="000A34D0">
      <w:pPr>
        <w:jc w:val="both"/>
      </w:pPr>
      <w:r w:rsidRPr="00CF7A60">
        <w:t>The implementation of AI-driven quality monitoring systems has been shown to reduce defect rates by up to 70%, according to Birkel et al. (2023). This translates into fewer recalls, lower warranty costs, and improved customer satisfaction.</w:t>
      </w:r>
      <w:r w:rsidR="00910596">
        <w:t xml:space="preserve"> </w:t>
      </w:r>
      <w:r w:rsidR="00A52F44">
        <w:t>Therefore,</w:t>
      </w:r>
      <w:r w:rsidR="00910596">
        <w:t xml:space="preserve"> by </w:t>
      </w:r>
      <w:r w:rsidRPr="00CF7A60">
        <w:t>using digital twins to predict quality issues before physical prototypes are produced, manufacturers can significantly accelerate product development cycles. This is especially advantageous in industries with short innovation cycles, such as consumer electronics and electric vehicles.</w:t>
      </w:r>
    </w:p>
    <w:p w14:paraId="1D42D901" w14:textId="23DB98EB" w:rsidR="00A52713" w:rsidRPr="00CF7A60" w:rsidRDefault="00A52713" w:rsidP="000A34D0">
      <w:pPr>
        <w:jc w:val="both"/>
      </w:pPr>
      <w:r w:rsidRPr="00CF7A60">
        <w:t xml:space="preserve">Proactive quality control reduces the financial impact of defects, rework, and downtime. </w:t>
      </w:r>
      <w:proofErr w:type="spellStart"/>
      <w:r w:rsidRPr="00CF7A60">
        <w:t>Bousdekis</w:t>
      </w:r>
      <w:proofErr w:type="spellEnd"/>
      <w:r w:rsidRPr="00CF7A60">
        <w:t xml:space="preserve"> et al. (2021) estimate that integrating AI and real-time data analytics in quality control systems can reduce total quality costs by 20–35%.</w:t>
      </w:r>
      <w:r w:rsidR="00183AA8">
        <w:t xml:space="preserve"> </w:t>
      </w:r>
      <w:r w:rsidRPr="00CF7A60">
        <w:t>Automated QC systems with digital traceability ensure that all quality-related data is logged, timestamped, and archived. This facilitates compliance with industry standards such as ISO 9001, IATF 16949 (automotive), or AS9100 (aerospace).</w:t>
      </w:r>
    </w:p>
    <w:p w14:paraId="288BAEC4" w14:textId="3963FCC1" w:rsidR="00A52713" w:rsidRPr="00CF7A60" w:rsidRDefault="00A52713" w:rsidP="000A34D0">
      <w:pPr>
        <w:jc w:val="both"/>
      </w:pPr>
      <w:r w:rsidRPr="00CF7A60">
        <w:t>Industry 4.0 supports mass customization, enabling manufacturers to produce individualized products at scale. Real-time quality assurance tools ensure that increasing product variability does not result in higher defect rates or inconsistencies (</w:t>
      </w:r>
      <w:proofErr w:type="spellStart"/>
      <w:r w:rsidRPr="00CF7A60">
        <w:t>Mourtzis</w:t>
      </w:r>
      <w:proofErr w:type="spellEnd"/>
      <w:r w:rsidRPr="00CF7A60">
        <w:t>, 2020).</w:t>
      </w:r>
    </w:p>
    <w:p w14:paraId="11BC5FE9" w14:textId="77777777" w:rsidR="00A52713" w:rsidRPr="00CF7A60" w:rsidRDefault="00A52713" w:rsidP="00A52713">
      <w:pPr>
        <w:jc w:val="both"/>
      </w:pPr>
      <w:r w:rsidRPr="00CF7A60">
        <w:t>However, these benefits are not automatic. Successful adoption depends on the availability of high-quality datasets, skilled personnel capable of interpreting machine learning outputs, and robust data governance frameworks. Smaller firms may struggle to access the necessary infrastructure or talent, underscoring the need for scalable, modular solutions and public-private investment in workforce development.</w:t>
      </w:r>
    </w:p>
    <w:p w14:paraId="46237391" w14:textId="57E1F270" w:rsidR="00D27FC8" w:rsidRPr="00CF7A60" w:rsidRDefault="00D27FC8" w:rsidP="00290B5A">
      <w:pPr>
        <w:jc w:val="both"/>
      </w:pPr>
      <w:r w:rsidRPr="00CF7A60">
        <w:t>Environmental sustainability is increasingly a priority for manufacturers, driven by regulatory pressure and growing consumer awareness. Traditional manufacturing processes often result in high levels of waste and energy consumption. Industry 4.0 technologies present a solution through smarter resource management and more efficient production systems.</w:t>
      </w:r>
      <w:r w:rsidR="00F66ECA" w:rsidRPr="00CF7A60">
        <w:t xml:space="preserve"> </w:t>
      </w:r>
      <w:r w:rsidRPr="00CF7A60">
        <w:t>Additive manufacturing, in particular, plays a crucial role in reducing material waste. Unlike subtractive processes (e.g., machining), AM builds products layer by layer, using only the necessary amount of material. Furthermore, IoT-enabled devices can monitor energy consumption in real-time, optimizing machine usage to reduce carbon footprints. Research by Choi et al. (2020) demonstrates that companies integrating IoT-based energy management systems reduced their energy consumption by up to 25%</w:t>
      </w:r>
      <w:r w:rsidR="00F66ECA" w:rsidRPr="00CF7A60">
        <w:t>.</w:t>
      </w:r>
    </w:p>
    <w:p w14:paraId="154346F3" w14:textId="1172E2B8" w:rsidR="00436327" w:rsidRPr="00CF7A60" w:rsidRDefault="00436327" w:rsidP="00436327">
      <w:pPr>
        <w:jc w:val="both"/>
      </w:pPr>
      <w:r w:rsidRPr="00CF7A60">
        <w:t xml:space="preserve">The global supply chain is a vital pillar of modern manufacturing, directly influencing production efficiency, cost structures, and market responsiveness. However, recent events such as the COVID-19 pandemic, geopolitical tensions, and raw material shortages have exposed the vulnerability of globalized supply networks. Disruptions in logistics and supplier availability have led to severe delays, increased costs, and significant production backlogs across various industries (Ivanov and </w:t>
      </w:r>
      <w:proofErr w:type="spellStart"/>
      <w:r w:rsidRPr="00CF7A60">
        <w:t>Dolgui</w:t>
      </w:r>
      <w:proofErr w:type="spellEnd"/>
      <w:r w:rsidRPr="00CF7A60">
        <w:t>, 2020). These challenges have heightened the urgency for resilient, transparent, and digitally integrated supply chains.</w:t>
      </w:r>
    </w:p>
    <w:p w14:paraId="51058D7A" w14:textId="77777777" w:rsidR="00436327" w:rsidRPr="00CF7A60" w:rsidRDefault="00436327" w:rsidP="00436327">
      <w:pPr>
        <w:jc w:val="both"/>
      </w:pPr>
      <w:r w:rsidRPr="00CF7A60">
        <w:t xml:space="preserve">Industry 4.0 technologies, particularly the integration of IoT, AI, and blockchain, offer transformative capabilities for supply chain visibility and responsiveness. IoT devices—such as RFID tags, GPS </w:t>
      </w:r>
      <w:r w:rsidRPr="00CF7A60">
        <w:lastRenderedPageBreak/>
        <w:t>trackers, and condition-monitoring sensors—can provide real-time status updates on goods-in-transit, inventory levels, and machine conditions, enabling more agile decision-making and reducing lead times (Wang et al., 2016). When combined with advanced analytics and cloud-based platforms, this data can be synthesized into predictive models for demand forecasting, logistics planning, and inventory optimization.</w:t>
      </w:r>
    </w:p>
    <w:p w14:paraId="5D1159CF" w14:textId="77777777" w:rsidR="00436327" w:rsidRPr="00CF7A60" w:rsidRDefault="00436327" w:rsidP="00436327">
      <w:pPr>
        <w:jc w:val="both"/>
      </w:pPr>
      <w:r w:rsidRPr="00CF7A60">
        <w:t>Blockchain technology has emerged as a key enabler of secure, transparent, and tamper-proof supply chain documentation. Each transaction or event—whether raw material procurement, quality certification, or shipment confirmation—is stored on an immutable ledger, accessible to all authorized stakeholders. This prevents data manipulation, supports ethical sourcing claims, and ensures regulatory compliance. Research by Queiroz and Wamba (2019) suggests that blockchain adoption could improve supply chain transparency by up to 40%, enhancing both trust and operational efficiency across partner networks.</w:t>
      </w:r>
    </w:p>
    <w:p w14:paraId="4865F308" w14:textId="32C25AAF" w:rsidR="00436327" w:rsidRPr="00CF7A60" w:rsidRDefault="00436327" w:rsidP="00436327">
      <w:pPr>
        <w:jc w:val="both"/>
      </w:pPr>
      <w:r w:rsidRPr="00CF7A60">
        <w:t xml:space="preserve">Industries such as pharmaceuticals, aerospace, and luxury goods are already leveraging blockchain-IoT integration to detect counterfeit products, ensure compliance with quality standards, and track high-value components throughout the lifecycle. For example, IBM and Maersk’s </w:t>
      </w:r>
      <w:proofErr w:type="spellStart"/>
      <w:r w:rsidRPr="00CF7A60">
        <w:t>TradeLens</w:t>
      </w:r>
      <w:proofErr w:type="spellEnd"/>
      <w:r w:rsidRPr="00CF7A60">
        <w:t xml:space="preserve"> platform uses blockchain to digitize and streamline global shipping operations, improving end-to-end visibility and reducing paperwork delays (Murray et al., 2020).</w:t>
      </w:r>
    </w:p>
    <w:p w14:paraId="0A2967D4" w14:textId="77777777" w:rsidR="00436327" w:rsidRPr="00CF7A60" w:rsidRDefault="00436327" w:rsidP="00436327">
      <w:pPr>
        <w:jc w:val="both"/>
      </w:pPr>
      <w:r w:rsidRPr="00CF7A60">
        <w:t>At the same time, consumer demand is shifting towards individualized products, requiring manufacturers to adopt mass customization strategies. Unlike traditional mass production—which prioritizes economies of scale—mass customization focuses on flexibility and responsiveness, delivering tailored products at or near the cost of standard goods. This paradigm shift is made possible through technologies such as additive manufacturing (AM), digital design tools, cyber-physical systems (CPS), and modular production systems.</w:t>
      </w:r>
    </w:p>
    <w:p w14:paraId="7180F566" w14:textId="77777777" w:rsidR="00436327" w:rsidRPr="00CF7A60" w:rsidRDefault="00436327" w:rsidP="00436327">
      <w:pPr>
        <w:jc w:val="both"/>
      </w:pPr>
      <w:r w:rsidRPr="00CF7A60">
        <w:t xml:space="preserve">Additive manufacturing allows companies to create complex, customized parts without the need for retooling or dedicated </w:t>
      </w:r>
      <w:proofErr w:type="spellStart"/>
      <w:r w:rsidRPr="00CF7A60">
        <w:t>molds</w:t>
      </w:r>
      <w:proofErr w:type="spellEnd"/>
      <w:r w:rsidRPr="00CF7A60">
        <w:t>. For instance, Nike uses AM to produce tailored footwear midsoles for athletes, adapting design parameters based on individual performance data. Similarly, BMW enables customers to personalize interior trim, nameplates, and control surfaces through on-demand 3D printing (BMW Group, 2021). These approaches would be prohibitively expensive using conventional manufacturing methods.</w:t>
      </w:r>
    </w:p>
    <w:p w14:paraId="40BA0CBF" w14:textId="754845C6" w:rsidR="00436327" w:rsidRPr="00CF7A60" w:rsidRDefault="00436327" w:rsidP="00436327">
      <w:pPr>
        <w:jc w:val="both"/>
      </w:pPr>
      <w:r w:rsidRPr="00CF7A60">
        <w:t>To support this level of customization, manufacturers are deploying flexible production systems, enabled by smart factories and machine-to-machine communication. Intelligent production lines can automatically adapt to different product configurations, update production schedules in real-time, and reallocate resources based on incoming order specifications (</w:t>
      </w:r>
      <w:proofErr w:type="spellStart"/>
      <w:r w:rsidRPr="00CF7A60">
        <w:t>Mourtzis</w:t>
      </w:r>
      <w:proofErr w:type="spellEnd"/>
      <w:r w:rsidRPr="00CF7A60">
        <w:t xml:space="preserve"> et al., 2016). This not only reduces inventory overhead but also minimizes waste and shortens delivery times.</w:t>
      </w:r>
    </w:p>
    <w:p w14:paraId="3F6043A4" w14:textId="64A214CB" w:rsidR="00436327" w:rsidRPr="00CF7A60" w:rsidRDefault="00436327" w:rsidP="00A23FC9">
      <w:pPr>
        <w:jc w:val="both"/>
      </w:pPr>
      <w:r w:rsidRPr="00CF7A60">
        <w:t>The convergence of digital supply chains and customized production models presents several strategic advantages</w:t>
      </w:r>
      <w:r w:rsidR="00A23FC9" w:rsidRPr="00CF7A60">
        <w:t xml:space="preserve"> which include resilience and risk management, customer engagement and loyalty, sustainability and compliance and a competitive advantage. The r</w:t>
      </w:r>
      <w:r w:rsidRPr="00CF7A60">
        <w:t>eal-time visibility improves responsiveness to disruptions, allowing for proactive risk mitigation strategies, such as rerouting shipments or switching suppliers.</w:t>
      </w:r>
      <w:r w:rsidR="00A23FC9" w:rsidRPr="00CF7A60">
        <w:t xml:space="preserve"> By o</w:t>
      </w:r>
      <w:r w:rsidRPr="00CF7A60">
        <w:t>ffering tailored products</w:t>
      </w:r>
      <w:r w:rsidR="00A23FC9" w:rsidRPr="00CF7A60">
        <w:t xml:space="preserve"> this</w:t>
      </w:r>
      <w:r w:rsidRPr="00CF7A60">
        <w:t xml:space="preserve"> enhances perceived value, strengthens brand loyalty, and creates new revenue streams through premium pricing.</w:t>
      </w:r>
      <w:r w:rsidR="00A23FC9" w:rsidRPr="00CF7A60">
        <w:t xml:space="preserve"> Having t</w:t>
      </w:r>
      <w:r w:rsidRPr="00CF7A60">
        <w:t>ransparent supply chains improve</w:t>
      </w:r>
      <w:r w:rsidR="00A23FC9" w:rsidRPr="00CF7A60">
        <w:t>s</w:t>
      </w:r>
      <w:r w:rsidRPr="00CF7A60">
        <w:t xml:space="preserve"> sustainability reporting and reduce</w:t>
      </w:r>
      <w:r w:rsidR="00A23FC9" w:rsidRPr="00CF7A60">
        <w:t>s</w:t>
      </w:r>
      <w:r w:rsidRPr="00CF7A60">
        <w:t xml:space="preserve"> the risk of unethical </w:t>
      </w:r>
      <w:r w:rsidRPr="00CF7A60">
        <w:lastRenderedPageBreak/>
        <w:t>practices or sourcing violations.</w:t>
      </w:r>
      <w:r w:rsidR="00A23FC9" w:rsidRPr="00CF7A60">
        <w:t xml:space="preserve"> </w:t>
      </w:r>
      <w:r w:rsidRPr="00CF7A60">
        <w:t>Firms that adopt integrated Industry 4.0 platforms gain superior operational agility, a critical differentiator in volatile global markets.</w:t>
      </w:r>
    </w:p>
    <w:p w14:paraId="6B0FB368" w14:textId="77777777" w:rsidR="00436327" w:rsidRPr="00CF7A60" w:rsidRDefault="00436327" w:rsidP="00436327">
      <w:pPr>
        <w:jc w:val="both"/>
      </w:pPr>
      <w:r w:rsidRPr="00CF7A60">
        <w:t>Nonetheless, full realization of these benefits requires cross-functional integration, interoperability standards, and substantial investment in digital infrastructure and workforce upskilling.</w:t>
      </w:r>
    </w:p>
    <w:p w14:paraId="1C1D7076" w14:textId="7915E8BC" w:rsidR="00D27FC8" w:rsidRPr="00CF7A60" w:rsidRDefault="00A23FC9" w:rsidP="00290B5A">
      <w:pPr>
        <w:jc w:val="both"/>
      </w:pPr>
      <w:r w:rsidRPr="00CF7A60">
        <w:t>A h</w:t>
      </w:r>
      <w:r w:rsidR="00D27FC8" w:rsidRPr="00CF7A60">
        <w:t xml:space="preserve">uman-centric design is critical for ensuring usability and safety. Ergonomics must be considered during product development to ensure that the product fits human needs and reduces the risk of user error or discomfort. Industry 4.0 technologies, particularly digital twins and VR simulations, allow manufacturers to model human interactions with products in a virtual environment before they are physically produced. This enables designers to optimize product ergonomics and usability early in the development process, improving both safety and user </w:t>
      </w:r>
      <w:r w:rsidR="00F66ECA" w:rsidRPr="00CF7A60">
        <w:t>satisfaction.</w:t>
      </w:r>
    </w:p>
    <w:p w14:paraId="4FC19362" w14:textId="0379CD12" w:rsidR="00D27FC8" w:rsidRPr="00CF7A60" w:rsidRDefault="00D27FC8" w:rsidP="00290B5A">
      <w:pPr>
        <w:jc w:val="both"/>
      </w:pPr>
      <w:r w:rsidRPr="00CF7A60">
        <w:t xml:space="preserve">The fourth industrial revolution is defined by the integration of cutting-edge technologies that enable smart, interconnected, and highly flexible production systems. The </w:t>
      </w:r>
      <w:r w:rsidR="00F66ECA" w:rsidRPr="00CF7A60">
        <w:t>Internet of Things (IoT) and Cyber-Physical Systems (CPS)</w:t>
      </w:r>
      <w:r w:rsidRPr="00CF7A60">
        <w:t xml:space="preserve"> form the backbone of Industry 4.0 by connecting physical manufacturing systems with digital networks. These technologies allow for real-time data collection from machines, enabling manufacturers to monitor performance, predict maintenance needs, and optimize production schedules.</w:t>
      </w:r>
      <w:r w:rsidR="00F66ECA" w:rsidRPr="00CF7A60">
        <w:t xml:space="preserve"> </w:t>
      </w:r>
      <w:r w:rsidRPr="00CF7A60">
        <w:t>IoT devices embedded in factory equipment can continuously track parameters such as temperature, vibration, and energy usage. This data is then processed by AI algorithms to identify patterns that signal potential equipment failures or inefficiencies. A 2021 study by Hermawan et al. demonstrated that implementing IoT and CPS systems could increase overall equipment efficiency (OEE) by 15%</w:t>
      </w:r>
      <w:r w:rsidR="00F66ECA" w:rsidRPr="00CF7A60">
        <w:t>.</w:t>
      </w:r>
    </w:p>
    <w:p w14:paraId="327F54FB" w14:textId="77777777" w:rsidR="00A32510" w:rsidRPr="00CF7A60" w:rsidRDefault="00A32510" w:rsidP="00A32510">
      <w:pPr>
        <w:jc w:val="both"/>
      </w:pPr>
      <w:r w:rsidRPr="00CF7A60">
        <w:t>Artificial Intelligence (AI) and Machine Learning (ML) are essential enablers in the data-rich environments of Industry 4.0, especially within smart factories. These technologies facilitate the real-time processing and analysis of the massive volumes of data generated by Internet of Things (IoT) devices. One of the most impactful applications is predictive maintenance. By continuously monitoring equipment conditions, AI can detect anomalies and predict failures before they occur, significantly reducing unplanned downtime and maintenance costs (Lee, Bagheri and Kao, 2015). For instance, Toyota has implemented AI-powered systems to optimize its production schedules, leading to a 20% reduction in lead times and a notable increase in overall operational efficiency (Wagner, Küpper and Schneider, 2021).</w:t>
      </w:r>
    </w:p>
    <w:p w14:paraId="59EBF554" w14:textId="77777777" w:rsidR="00A32510" w:rsidRPr="00CF7A60" w:rsidRDefault="00A32510" w:rsidP="00A32510">
      <w:pPr>
        <w:jc w:val="both"/>
      </w:pPr>
      <w:r w:rsidRPr="00CF7A60">
        <w:t>Beyond operational enhancements, AI also plays a critical role in mass customization. By leveraging data from customer preferences, usage patterns, and historical sales, AI algorithms can automatically generate product configurations that align with individual customer needs while maintaining production scalability. This level of personalization—previously achievable only at high cost—is now feasible at scale due to the flexibility offered by smart manufacturing platforms (Gao et al., 2015).</w:t>
      </w:r>
    </w:p>
    <w:p w14:paraId="4C2F70AE" w14:textId="77777777" w:rsidR="00A32510" w:rsidRPr="00A32510" w:rsidRDefault="00A32510" w:rsidP="00A32510">
      <w:pPr>
        <w:jc w:val="both"/>
      </w:pPr>
      <w:r w:rsidRPr="00CF7A60">
        <w:t>Additive Manufacturing (AM), often referred to as 3D printing, is another transformative technology within Industry 4.0. Unlike traditional subtractive manufacturing, which removes material to form objects, AM builds components layer by layer using thermoplastics, metal powders, or composite</w:t>
      </w:r>
      <w:r w:rsidRPr="00A32510">
        <w:t xml:space="preserve"> materials. This approach enables the creation of complex, lightweight, and highly customized parts with minimal material waste. Sectors such as aerospace and healthcare have been early adopters; for example, AM is used to produce intricate turbine blades and patient-specific implants that would </w:t>
      </w:r>
      <w:r w:rsidRPr="00A32510">
        <w:lastRenderedPageBreak/>
        <w:t>be difficult or impossible to fabricate with conventional techniques (Frazier, 2014). Nevertheless, challenges remain. According to Bogue (2019), barriers such as high material costs, limited throughput, and the need for post-processing inhibit the scalability of AM for high-volume production lines. As a result, while AM is ideal for prototyping and low-volume bespoke production, its role in mass manufacturing continues to evolve.</w:t>
      </w:r>
    </w:p>
    <w:p w14:paraId="72E884E3" w14:textId="402363FE" w:rsidR="00A32510" w:rsidRPr="00CF7A60" w:rsidRDefault="00A32510" w:rsidP="00A32510">
      <w:pPr>
        <w:jc w:val="both"/>
      </w:pPr>
      <w:r w:rsidRPr="00CF7A60">
        <w:t>Automation lies at the core of Industry 4.0, underpinned by the integration of advanced robotics, artificial intelligence (AI), and machine learning (ML). Modern industrial robots are no longer confined to repetitive tasks in isolated settings; instead, they are increasingly capable of performing complex, adaptive operations with high degrees of precision. Collaborative robots</w:t>
      </w:r>
      <w:r w:rsidR="004F3F65">
        <w:t xml:space="preserve"> </w:t>
      </w:r>
      <w:r w:rsidRPr="00CF7A60">
        <w:t>or “</w:t>
      </w:r>
      <w:proofErr w:type="spellStart"/>
      <w:r w:rsidRPr="00CF7A60">
        <w:t>cobots</w:t>
      </w:r>
      <w:proofErr w:type="spellEnd"/>
      <w:r w:rsidRPr="00CF7A60">
        <w:t>”</w:t>
      </w:r>
      <w:r w:rsidR="004F3F65">
        <w:t xml:space="preserve"> </w:t>
      </w:r>
      <w:r w:rsidRPr="00CF7A60">
        <w:t xml:space="preserve">are a prime example of this shift. Designed to safely operate alongside human workers, </w:t>
      </w:r>
      <w:proofErr w:type="spellStart"/>
      <w:r w:rsidRPr="00CF7A60">
        <w:t>cobots</w:t>
      </w:r>
      <w:proofErr w:type="spellEnd"/>
      <w:r w:rsidRPr="00CF7A60">
        <w:t xml:space="preserve"> merge human problem-solving skills with robotic consistency and speed. This synergy enhances productivity while maintaining workplace safety. Weyer et al. (2017) report that production lines incorporating </w:t>
      </w:r>
      <w:proofErr w:type="spellStart"/>
      <w:r w:rsidRPr="00CF7A60">
        <w:t>cobots</w:t>
      </w:r>
      <w:proofErr w:type="spellEnd"/>
      <w:r w:rsidRPr="00CF7A60">
        <w:t xml:space="preserve"> achieved a 30% increase in output and a 50% reduction in occupational injuries. The use of </w:t>
      </w:r>
      <w:proofErr w:type="spellStart"/>
      <w:r w:rsidRPr="00CF7A60">
        <w:t>cobots</w:t>
      </w:r>
      <w:proofErr w:type="spellEnd"/>
      <w:r w:rsidRPr="00CF7A60">
        <w:t xml:space="preserve"> is particularly valuable in environments requiring frequent reconfiguration, such as electronics or automotive manufacturing, where flexibility and responsiveness are critical (Bogue, 2018).</w:t>
      </w:r>
    </w:p>
    <w:p w14:paraId="5D3EEEDA" w14:textId="02AB801C" w:rsidR="00A32510" w:rsidRPr="00CF7A60" w:rsidRDefault="00A32510" w:rsidP="00A32510">
      <w:pPr>
        <w:jc w:val="both"/>
      </w:pPr>
      <w:r w:rsidRPr="00CF7A60">
        <w:t>Recent advancements in robot dexterity and sensory feedback, such as force-torque sensing and vision systems, have further expanded their application in delicate or highly variable tasks</w:t>
      </w:r>
      <w:r w:rsidR="003264EC">
        <w:t xml:space="preserve"> </w:t>
      </w:r>
      <w:r w:rsidRPr="00CF7A60">
        <w:t xml:space="preserve">such as component assembly or quality inspection (Kamble, Gunasekaran and </w:t>
      </w:r>
      <w:proofErr w:type="spellStart"/>
      <w:r w:rsidRPr="00CF7A60">
        <w:t>Gawankar</w:t>
      </w:r>
      <w:proofErr w:type="spellEnd"/>
      <w:r w:rsidRPr="00CF7A60">
        <w:t>, 2018). As AI models improve, robots can also learn from historical production data to autonomously adjust their behaviour in response to real-time performance metrics.</w:t>
      </w:r>
    </w:p>
    <w:p w14:paraId="525DFABC" w14:textId="77777777" w:rsidR="00A32510" w:rsidRPr="00CF7A60" w:rsidRDefault="00A32510" w:rsidP="00A32510">
      <w:pPr>
        <w:jc w:val="both"/>
      </w:pPr>
      <w:r w:rsidRPr="00CF7A60">
        <w:t>In tandem with robotics, Big Data and analytics enable manufacturers to collect, process, and derive actionable insights from massive volumes of operational data. The fusion of data from IoT sensors, enterprise systems, and customer feedback allows for comprehensive visibility into production performance, predictive maintenance, supply chain dynamics, and even market demand. General Electric (GE), for instance, employs big data analytics in its aviation division to monitor jet engine health. Through real-time data collected from thousands of embedded sensors, GE is able to predict component failures, optimise maintenance schedules, and reduce service disruptions (Lee, Bagheri and Kao, 2015).</w:t>
      </w:r>
    </w:p>
    <w:p w14:paraId="7A68DA75" w14:textId="77777777" w:rsidR="00A32510" w:rsidRPr="00CF7A60" w:rsidRDefault="00A32510" w:rsidP="00A32510">
      <w:pPr>
        <w:jc w:val="both"/>
      </w:pPr>
      <w:r w:rsidRPr="00CF7A60">
        <w:t xml:space="preserve">The application of big data extends to demand forecasting and product development. By analysing consumer purchasing behaviour and usage trends, companies can tailor their offerings more precisely to customer needs—an approach that not only supports mass customization but also reduces waste and unsold inventory (Ivanov, </w:t>
      </w:r>
      <w:proofErr w:type="spellStart"/>
      <w:r w:rsidRPr="00CF7A60">
        <w:t>Dolgui</w:t>
      </w:r>
      <w:proofErr w:type="spellEnd"/>
      <w:r w:rsidRPr="00CF7A60">
        <w:t xml:space="preserve"> and Sokolov, 2019).</w:t>
      </w:r>
    </w:p>
    <w:p w14:paraId="2391A461" w14:textId="77777777" w:rsidR="00A32510" w:rsidRPr="00CF7A60" w:rsidRDefault="00A32510" w:rsidP="00A32510">
      <w:pPr>
        <w:jc w:val="both"/>
      </w:pPr>
      <w:r w:rsidRPr="00CF7A60">
        <w:t>Perhaps one of the most transformative tools of Industry 4.0 is digital twin technology. A digital twin is a dynamic virtual replica of a physical object, system, or process, continuously updated through real-time data streams. This allows engineers and designers to test and refine models in simulated environments before real-world deployment. In sectors such as aerospace, automotive, and heavy machinery, digital twins enable early fault detection, performance optimization, and improved maintenance planning. In the automotive industry, for example, digital twins can simulate a vehicle’s behaviour under various driving conditions, enhancing both safety and fuel efficiency.</w:t>
      </w:r>
    </w:p>
    <w:p w14:paraId="255BEA0B" w14:textId="77777777" w:rsidR="00A32510" w:rsidRPr="00CF7A60" w:rsidRDefault="00A32510" w:rsidP="00A32510">
      <w:pPr>
        <w:jc w:val="both"/>
      </w:pPr>
      <w:r w:rsidRPr="00CF7A60">
        <w:t xml:space="preserve">A recent study by Qi et al. (2021) indicates that the use of digital twins in automotive manufacturing has led to a 15% reduction in development costs and a 25% acceleration in time-to-market. </w:t>
      </w:r>
      <w:r w:rsidRPr="00CF7A60">
        <w:lastRenderedPageBreak/>
        <w:t>Furthermore, by integrating digital twins with AI and big data, manufacturers can create closed-loop systems where real-world performance continuously informs and improves future design iterations (Tao et al., 2018). As computational power and connectivity improve, the scope of digital twin applications is expected to expand into areas such as sustainability monitoring and lifecycle analysis.</w:t>
      </w:r>
    </w:p>
    <w:p w14:paraId="1CB68231" w14:textId="36AA40E3" w:rsidR="00D27FC8" w:rsidRPr="00CF7A60" w:rsidRDefault="00D27FC8" w:rsidP="00290B5A">
      <w:pPr>
        <w:jc w:val="both"/>
      </w:pPr>
      <w:r w:rsidRPr="00CF7A60">
        <w:t>While Industry 4.0 technologies offer immense potential for improving product design and manufacturing processes, several challenges must be addressed to capture their full value.</w:t>
      </w:r>
      <w:r w:rsidR="00F66ECA" w:rsidRPr="00CF7A60">
        <w:t xml:space="preserve"> </w:t>
      </w:r>
      <w:r w:rsidRPr="00CF7A60">
        <w:t xml:space="preserve">The initial investment required to implement Industry 4.0 technologies can be prohibitively high for many companies, particularly small and medium-sized enterprises (SMEs). The costs of acquiring new machinery, training employees, and integrating these systems into existing production lines can outweigh the immediate benefits. According to a study by Müller et al. (2020), over 40% of SMEs cited high costs as a significant barrier to adopting Industry 4.0 </w:t>
      </w:r>
      <w:r w:rsidR="00F66ECA" w:rsidRPr="00CF7A60">
        <w:t xml:space="preserve">technologies. </w:t>
      </w:r>
      <w:r w:rsidRPr="00CF7A60">
        <w:t>However, the long-term benefits, such as reduced downtime, lower maintenance costs, and increased production efficiency, often justify the investment. Companies that take a strategic approach to implementing Industry 4.0, focusing on incremental adoption rather than large-scale overhauls, are more likely to see positive returns on investment.</w:t>
      </w:r>
    </w:p>
    <w:p w14:paraId="258DC504" w14:textId="6ABD0AE7" w:rsidR="00C2095F" w:rsidRPr="00CF7A60" w:rsidRDefault="00C2095F" w:rsidP="00C2095F">
      <w:pPr>
        <w:jc w:val="both"/>
      </w:pPr>
      <w:r w:rsidRPr="00CF7A60">
        <w:t>Predictive maintenance (</w:t>
      </w:r>
      <w:proofErr w:type="spellStart"/>
      <w:r w:rsidRPr="00CF7A60">
        <w:t>PdM</w:t>
      </w:r>
      <w:proofErr w:type="spellEnd"/>
      <w:r w:rsidRPr="00CF7A60">
        <w:t xml:space="preserve">) is one of the most impactful Industry 4.0 applications, leveraging AI, machine learning, and IoT to forecast equipment failures before they occur. Unlike reactive maintenance, which addresses breakdowns after failure, or preventive maintenance, which follows fixed schedules regardless of equipment condition, </w:t>
      </w:r>
      <w:proofErr w:type="spellStart"/>
      <w:r w:rsidRPr="00CF7A60">
        <w:t>PdM</w:t>
      </w:r>
      <w:proofErr w:type="spellEnd"/>
      <w:r w:rsidRPr="00CF7A60">
        <w:t xml:space="preserve"> dynamically schedules interventions based on real-time equipment health data. This approach optimizes maintenance resources, minimizes unplanned downtime, and extends asset life (Lee, Bagheri and Kao, 2015).</w:t>
      </w:r>
    </w:p>
    <w:p w14:paraId="4ACC01D2" w14:textId="5F844F3F" w:rsidR="00C2095F" w:rsidRPr="00CF7A60" w:rsidRDefault="00C2095F" w:rsidP="00C2095F">
      <w:pPr>
        <w:jc w:val="both"/>
      </w:pPr>
      <w:r w:rsidRPr="00CF7A60">
        <w:t xml:space="preserve">Siemens provides a leading example of </w:t>
      </w:r>
      <w:proofErr w:type="spellStart"/>
      <w:r w:rsidRPr="00CF7A60">
        <w:t>PdM</w:t>
      </w:r>
      <w:proofErr w:type="spellEnd"/>
      <w:r w:rsidRPr="00CF7A60">
        <w:t xml:space="preserve"> in practice with its gas turbine fleet. Equipped with thousands of embedded sensors, each turbine continuously streams data on vibration, temperature, pressure, and other critical parameters to a centralized cloud platform. Advanced machine learning models analyse this data to detect subtle anomalies indicative of potential failures, such as bearing wear or blade fatigue.</w:t>
      </w:r>
    </w:p>
    <w:p w14:paraId="0F6EA730" w14:textId="77777777" w:rsidR="00C2095F" w:rsidRPr="00CF7A60" w:rsidRDefault="00C2095F" w:rsidP="00C2095F">
      <w:pPr>
        <w:jc w:val="both"/>
      </w:pPr>
      <w:r w:rsidRPr="00CF7A60">
        <w:t>This early detection enables maintenance teams to schedule repairs during planned outages rather than in response to unexpected failures, significantly improving operational uptime. According to Siemens (2019), predictive maintenance for gas turbines has resulted in up to 20% reduction in maintenance costs and a 30% increase in turbine availability. Furthermore, the data-driven approach supports root cause analysis and continuous improvement by revealing underlying degradation mechanisms that were previously undetectable.</w:t>
      </w:r>
    </w:p>
    <w:p w14:paraId="507E925F" w14:textId="445484B2" w:rsidR="00C2095F" w:rsidRPr="00CF7A60" w:rsidRDefault="00C2095F" w:rsidP="00C2095F">
      <w:pPr>
        <w:jc w:val="both"/>
      </w:pPr>
      <w:r w:rsidRPr="00CF7A60">
        <w:t xml:space="preserve">While the benefits of </w:t>
      </w:r>
      <w:proofErr w:type="spellStart"/>
      <w:r w:rsidRPr="00CF7A60">
        <w:t>PdM</w:t>
      </w:r>
      <w:proofErr w:type="spellEnd"/>
      <w:r w:rsidRPr="00CF7A60">
        <w:t xml:space="preserve"> are well-documented, practical implementation requires overcoming multiple challenges which include data quality and integration, algorithm development and training, organisational change management, cybersecurity and data privacy, cost benefit and </w:t>
      </w:r>
      <w:proofErr w:type="spellStart"/>
      <w:r w:rsidRPr="00CF7A60">
        <w:t>trade offs</w:t>
      </w:r>
      <w:proofErr w:type="spellEnd"/>
      <w:r w:rsidRPr="00CF7A60">
        <w:t>.</w:t>
      </w:r>
    </w:p>
    <w:p w14:paraId="55129636" w14:textId="77777777" w:rsidR="00C2095F" w:rsidRPr="00CF7A60" w:rsidRDefault="00C2095F" w:rsidP="00C2095F">
      <w:pPr>
        <w:jc w:val="both"/>
      </w:pPr>
      <w:r w:rsidRPr="00CF7A60">
        <w:t xml:space="preserve">Successful </w:t>
      </w:r>
      <w:proofErr w:type="spellStart"/>
      <w:r w:rsidRPr="00CF7A60">
        <w:t>PdM</w:t>
      </w:r>
      <w:proofErr w:type="spellEnd"/>
      <w:r w:rsidRPr="00CF7A60">
        <w:t xml:space="preserve"> depends on high-quality, continuous sensor data. In many existing plants, legacy equipment may lack sufficient instrumentation or connectivity, requiring costly retrofitting or IoT upgrades (</w:t>
      </w:r>
      <w:proofErr w:type="spellStart"/>
      <w:r w:rsidRPr="00CF7A60">
        <w:t>Mourtzis</w:t>
      </w:r>
      <w:proofErr w:type="spellEnd"/>
      <w:r w:rsidRPr="00CF7A60">
        <w:t xml:space="preserve"> et al., 2019). Moreover, data from disparate sources (machines, MES, ERP) must be integrated seamlessly for meaningful analysis.</w:t>
      </w:r>
    </w:p>
    <w:p w14:paraId="102E6287" w14:textId="32CF483A" w:rsidR="00C2095F" w:rsidRPr="00CF7A60" w:rsidRDefault="00C2095F" w:rsidP="00C2095F">
      <w:pPr>
        <w:jc w:val="both"/>
      </w:pPr>
      <w:r w:rsidRPr="00CF7A60">
        <w:lastRenderedPageBreak/>
        <w:t>Machine learning models need extensive historical data to accurately predict failures. Initial deployment often involves a “cold start” problem, where limited failure examples reduce model effectiveness. Continuous learning and human expert validation are essential to improve predictive accuracy over time (Wang et al., 2018).</w:t>
      </w:r>
    </w:p>
    <w:p w14:paraId="5E869E79" w14:textId="039DA2D3" w:rsidR="00C2095F" w:rsidRPr="00CF7A60" w:rsidRDefault="00C2095F" w:rsidP="00C2095F">
      <w:pPr>
        <w:jc w:val="both"/>
      </w:pPr>
      <w:proofErr w:type="spellStart"/>
      <w:r w:rsidRPr="00CF7A60">
        <w:t>PdM</w:t>
      </w:r>
      <w:proofErr w:type="spellEnd"/>
      <w:r w:rsidRPr="00CF7A60">
        <w:t xml:space="preserve"> transforms traditional maintenance roles, requiring upskilling of personnel in data analytics and interpretation. Resistance from staff accustomed to reactive maintenance can hinder adoption. Clear communication of benefits, training programs, and leadership support are critical (</w:t>
      </w:r>
      <w:proofErr w:type="spellStart"/>
      <w:r w:rsidRPr="00CF7A60">
        <w:t>Kagermann</w:t>
      </w:r>
      <w:proofErr w:type="spellEnd"/>
      <w:r w:rsidRPr="00CF7A60">
        <w:t xml:space="preserve"> et al., 2013).</w:t>
      </w:r>
    </w:p>
    <w:p w14:paraId="6D7A6218" w14:textId="1C1A7B58" w:rsidR="00C2095F" w:rsidRPr="00CF7A60" w:rsidRDefault="00C2095F" w:rsidP="00C2095F">
      <w:pPr>
        <w:jc w:val="both"/>
      </w:pPr>
      <w:r w:rsidRPr="00CF7A60">
        <w:t>Connecting operational technology (OT) to IT networks exposes systems to cyber risks. Implementing robust security protocols, including data encryption and network segmentation, is vital to protect sensitive production data (</w:t>
      </w:r>
      <w:proofErr w:type="spellStart"/>
      <w:r w:rsidRPr="00CF7A60">
        <w:t>Kouhizadeh</w:t>
      </w:r>
      <w:proofErr w:type="spellEnd"/>
      <w:r w:rsidRPr="00CF7A60">
        <w:t xml:space="preserve"> et al., 2021).</w:t>
      </w:r>
    </w:p>
    <w:p w14:paraId="0B122044" w14:textId="0B9764DF" w:rsidR="00C2095F" w:rsidRPr="00CF7A60" w:rsidRDefault="00C2095F" w:rsidP="00C2095F">
      <w:pPr>
        <w:jc w:val="both"/>
      </w:pPr>
      <w:r w:rsidRPr="00CF7A60">
        <w:t xml:space="preserve">The upfront investment in sensors, cloud infrastructure, and AI tools can be substantial, especially for small and medium enterprises (SMEs). Careful pilot projects and phased rollouts help quantify ROI before full-scale implementation (Hermawan, Rizal and </w:t>
      </w:r>
      <w:proofErr w:type="spellStart"/>
      <w:r w:rsidRPr="00CF7A60">
        <w:t>Nugraha</w:t>
      </w:r>
      <w:proofErr w:type="spellEnd"/>
      <w:r w:rsidRPr="00CF7A60">
        <w:t>, 2021).</w:t>
      </w:r>
    </w:p>
    <w:p w14:paraId="4E538523" w14:textId="77777777" w:rsidR="00C2095F" w:rsidRPr="00CF7A60" w:rsidRDefault="00C2095F" w:rsidP="00C2095F">
      <w:pPr>
        <w:jc w:val="both"/>
      </w:pPr>
      <w:r w:rsidRPr="00CF7A60">
        <w:t xml:space="preserve">Emerging technologies such as edge computing are addressing latency and bandwidth constraints by processing sensor data locally, allowing for near-instantaneous anomaly detection and response (Zhang et al., 2022). Integration of digital twins with </w:t>
      </w:r>
      <w:proofErr w:type="spellStart"/>
      <w:r w:rsidRPr="00CF7A60">
        <w:t>PdM</w:t>
      </w:r>
      <w:proofErr w:type="spellEnd"/>
      <w:r w:rsidRPr="00CF7A60">
        <w:t xml:space="preserve"> systems further enhances predictive capabilities by simulating equipment behaviour under varied operational scenarios. These advances are expected to drive wider </w:t>
      </w:r>
      <w:proofErr w:type="spellStart"/>
      <w:r w:rsidRPr="00CF7A60">
        <w:t>PdM</w:t>
      </w:r>
      <w:proofErr w:type="spellEnd"/>
      <w:r w:rsidRPr="00CF7A60">
        <w:t xml:space="preserve"> adoption across industries, from manufacturing and energy to transportation and healthcare.</w:t>
      </w:r>
    </w:p>
    <w:p w14:paraId="309841F4" w14:textId="77777777" w:rsidR="00C2095F" w:rsidRPr="00CF7A60" w:rsidRDefault="00C2095F" w:rsidP="00C2095F">
      <w:pPr>
        <w:jc w:val="both"/>
      </w:pPr>
      <w:r w:rsidRPr="00CF7A60">
        <w:t>One of the most pressing challenges in adopting Industry 4.0 technologies is the integration of advanced digital systems with existing legacy infrastructure. Many manufacturing environments still rely on decades-old equipment that lacks built-in digital interfaces, making them incompatible with IoT connectivity, real-time analytics, and cloud-based systems (Weyer et al., 2017). Retrofitting legacy machinery with sensors and communication modules presents several technical and financial hurdles, including data latency, limited computing capacity, and physical design constraints (Lee, Bagheri and Jin, 2018). Moreover, full replacement of legacy equipment is often cost-prohibitive and operationally disruptive.</w:t>
      </w:r>
    </w:p>
    <w:p w14:paraId="5C2703CF" w14:textId="77777777" w:rsidR="00C2095F" w:rsidRPr="00CF7A60" w:rsidRDefault="00C2095F" w:rsidP="00C2095F">
      <w:pPr>
        <w:jc w:val="both"/>
      </w:pPr>
      <w:r w:rsidRPr="00CF7A60">
        <w:t>To navigate these challenges, hybrid transformation models have gained traction. These involve gradual retrofitting, modular upgrades, and middleware systems that facilitate communication between old and new technologies. One major enabler in this domain is artificial intelligence (AI), which offers a flexible and powerful toolkit for mitigating integration complexity. Through AI-based data harmonization techniques, such as anomaly detection, sensor fusion, and machine learning-driven signal conversion, legacy systems can be "translated" into actionable data streams compatible with Industry 4.0 platforms (Zhou et al., 2020; Liu et al., 2023).</w:t>
      </w:r>
    </w:p>
    <w:p w14:paraId="5FC9F1B1" w14:textId="77777777" w:rsidR="00C2095F" w:rsidRPr="00CF7A60" w:rsidRDefault="00C2095F" w:rsidP="00C2095F">
      <w:pPr>
        <w:jc w:val="both"/>
      </w:pPr>
      <w:r w:rsidRPr="00CF7A60">
        <w:t>Recent advancements in edge AI—where machine learning algorithms run directly on edge devices close to the machinery—have significantly reduced the dependency on full system upgrades. These smart edge devices can be attached to legacy machines, collecting and analysing data in real-time without requiring expensive rewiring or cloud connectivity. For example, Bosch has developed AI-</w:t>
      </w:r>
      <w:r w:rsidRPr="00CF7A60">
        <w:lastRenderedPageBreak/>
        <w:t>enabled retrofit kits that use vibration data from old motors to detect maintenance needs, helping extend the lifespan of legacy assets while minimizing operational disruptions (Bosch, 2023).</w:t>
      </w:r>
    </w:p>
    <w:p w14:paraId="6149F6CE" w14:textId="77777777" w:rsidR="00C2095F" w:rsidRPr="00CF7A60" w:rsidRDefault="00C2095F" w:rsidP="00C2095F">
      <w:pPr>
        <w:jc w:val="both"/>
      </w:pPr>
      <w:r w:rsidRPr="00CF7A60">
        <w:t>Furthermore, generative AI and reinforcement learning are being applied to develop adaptive control systems that dynamically optimize legacy equipment performance based on predictive modelling and continuous feedback loops (Kamble, Gunasekaran and Sharma, 2019). Such systems allow older machines to be part of a smart production line, participating in advanced scheduling, load balancing, and quality assurance processes without being fully digitized.</w:t>
      </w:r>
    </w:p>
    <w:p w14:paraId="6D8E1F11" w14:textId="77777777" w:rsidR="00C2095F" w:rsidRPr="00CF7A60" w:rsidRDefault="00C2095F" w:rsidP="00C2095F">
      <w:pPr>
        <w:jc w:val="both"/>
      </w:pPr>
      <w:r w:rsidRPr="00CF7A60">
        <w:t>Despite these advancements, integration is not solely a technical issue. Workforce readiness, cybersecurity, and strategic planning also play crucial roles. Many manufacturers lack in-house expertise in AI and digital systems, requiring external support or substantial investment in training programs (Müller, Buliga and Voigt, 2020). In addition, integrating AI into legacy systems raises concerns about data privacy and system vulnerabilities, particularly when older infrastructure lacks built-in protections.</w:t>
      </w:r>
    </w:p>
    <w:p w14:paraId="004AAE0A" w14:textId="77777777" w:rsidR="00C2095F" w:rsidRPr="00CF7A60" w:rsidRDefault="00C2095F" w:rsidP="00C2095F">
      <w:pPr>
        <w:jc w:val="both"/>
      </w:pPr>
      <w:r w:rsidRPr="00CF7A60">
        <w:t>Nonetheless, AI's capacity to analyse heterogeneous data, optimize retrofitted systems, and provide scalable solutions offers a pragmatic path forward. As AI technologies mature, their role in enabling seamless Industry 4.0 integration—especially in brownfield manufacturing contexts—will become increasingly indispensable.</w:t>
      </w:r>
    </w:p>
    <w:p w14:paraId="48F0B17D" w14:textId="35FF45F4" w:rsidR="00D27FC8" w:rsidRPr="00CF7A60" w:rsidRDefault="00D27FC8" w:rsidP="00290B5A">
      <w:pPr>
        <w:jc w:val="both"/>
      </w:pPr>
      <w:r w:rsidRPr="00CF7A60">
        <w:t>The adoption of Industry 4.0 technologies requires a highly skilled workforce capable of managing, operating, and maintaining these advanced systems. However, there is a growing skills gap in the manufacturing sector, with many workers lacking the technical expertise needed to work with AI, robotics, and data analytics tools.</w:t>
      </w:r>
      <w:r w:rsidR="009D0076" w:rsidRPr="00CF7A60">
        <w:t xml:space="preserve"> </w:t>
      </w:r>
      <w:r w:rsidRPr="00CF7A60">
        <w:t xml:space="preserve">Addressing this skills gap requires significant investment in education and training programs. According to a 2020 study by Deloitte, upskilling the workforce is one of the top priorities for manufacturers seeking to implement Industry 4.0 technologies. Companies must invest in continuous learning opportunities for their employees to ensure they have the skills needed to thrive in a rapidly evolving </w:t>
      </w:r>
      <w:r w:rsidR="009D0076" w:rsidRPr="00CF7A60">
        <w:t>industry.</w:t>
      </w:r>
    </w:p>
    <w:p w14:paraId="3A8B0CDC" w14:textId="0D807F07" w:rsidR="00D27FC8" w:rsidRPr="00CF7A60" w:rsidRDefault="00D27FC8" w:rsidP="00290B5A">
      <w:pPr>
        <w:jc w:val="both"/>
      </w:pPr>
      <w:r w:rsidRPr="00CF7A60">
        <w:t xml:space="preserve"> As manufacturing systems become more interconnected and reliant on data-driven processes, the risk of cyberattacks increases. A 2023 report by the World Economic Forum highlighted that 80% of manufacturing firms experienced a cybersecurity incident in the past year, with many attacks targeting IoT devices and automated </w:t>
      </w:r>
      <w:r w:rsidR="009D0076" w:rsidRPr="00CF7A60">
        <w:t xml:space="preserve">systems. </w:t>
      </w:r>
      <w:r w:rsidRPr="00CF7A60">
        <w:t>To mitigate these risks, manufacturers must invest in robust cybersecurity protocols, including encryption, network segmentation, and continuous monitoring. Furthermore, adopting blockchain technology for secure data sharing across supply chains can reduce the risk of data breaches and tampering</w:t>
      </w:r>
      <w:r w:rsidR="009D0076" w:rsidRPr="00CF7A60">
        <w:t>.</w:t>
      </w:r>
    </w:p>
    <w:p w14:paraId="4C41C497" w14:textId="36408BF1" w:rsidR="00D27FC8" w:rsidRPr="00CF7A60" w:rsidRDefault="00D27FC8" w:rsidP="00290B5A">
      <w:pPr>
        <w:jc w:val="both"/>
      </w:pPr>
      <w:r w:rsidRPr="00CF7A60">
        <w:t>While Industry 4.0 technologies offer significant opportunities for improving sustainability, they also raise ethical concerns. The automation of manufacturing processes can lead to job displacement, particularly for low-skilled workers. A study by Frey and Osborne (2017) predicted that up to 47% of jobs in manufacturing could be automated within the next two decades.</w:t>
      </w:r>
      <w:r w:rsidR="009D0076" w:rsidRPr="00CF7A60">
        <w:t xml:space="preserve"> </w:t>
      </w:r>
      <w:r w:rsidRPr="00CF7A60">
        <w:t>To address these concerns, manufacturers must adopt a responsible approach to automation, ensuring that displaced workers are retrained and provided with opportunities in new roles created by Industry 4.0 technologies. Additionally, manufacturers must consider the environmental impact of new technologies, such as the energy consumption of IoT devices and the disposal of obsolete equipment.</w:t>
      </w:r>
    </w:p>
    <w:p w14:paraId="4DD6E131" w14:textId="3D15F85A" w:rsidR="00D27FC8" w:rsidRPr="00CF7A60" w:rsidRDefault="00D27FC8" w:rsidP="00290B5A">
      <w:pPr>
        <w:jc w:val="both"/>
      </w:pPr>
      <w:r w:rsidRPr="00CF7A60">
        <w:lastRenderedPageBreak/>
        <w:t> </w:t>
      </w:r>
      <w:r w:rsidR="009D0076" w:rsidRPr="00CF7A60">
        <w:t>In Conclusion t</w:t>
      </w:r>
      <w:r w:rsidRPr="00CF7A60">
        <w:t>he integration of Industry 4.0 technologies into product design and manufacturing presents both challenges and opportunities. By leveraging advanced tools such as AI, IoT, additive manufacturing, and digital twins, manufacturers can optimize their production processes, reduce costs, and offer greater customization to consumers. However, capturing the full value of these technologies requires overcoming significant barriers, including high implementation costs, integration with legacy systems, and workforce upskilling.</w:t>
      </w:r>
      <w:r w:rsidR="009D0076" w:rsidRPr="00CF7A60">
        <w:t xml:space="preserve"> </w:t>
      </w:r>
      <w:r w:rsidRPr="00CF7A60">
        <w:t>Ultimately, the successful adoption of Industry 4.0 technologies will depend on a strategic approach that balances technological innovation with sustainability and ethical considerations. As research and real-world examples show, the potential benefits of Industry 4.0 are vast, but realizing these benefits requires a careful and thoughtful approach to both product design and manufacturing processes.</w:t>
      </w:r>
    </w:p>
    <w:p w14:paraId="691D8046" w14:textId="77777777" w:rsidR="00CF7A60" w:rsidRDefault="00D27FC8" w:rsidP="00D27FC8">
      <w:r w:rsidRPr="00CF7A60">
        <w:t> </w:t>
      </w:r>
    </w:p>
    <w:p w14:paraId="1EF9CA54" w14:textId="7746905F" w:rsidR="00D27FC8" w:rsidRPr="00CF7A60" w:rsidRDefault="00D27FC8" w:rsidP="00D27FC8">
      <w:pPr>
        <w:rPr>
          <w:b/>
          <w:bCs/>
          <w:color w:val="0B769F" w:themeColor="accent4" w:themeShade="BF"/>
        </w:rPr>
      </w:pPr>
      <w:r w:rsidRPr="00CF7A60">
        <w:rPr>
          <w:b/>
          <w:bCs/>
          <w:color w:val="0B769F" w:themeColor="accent4" w:themeShade="BF"/>
        </w:rPr>
        <w:t>References </w:t>
      </w:r>
    </w:p>
    <w:p w14:paraId="07D5717D" w14:textId="77777777" w:rsidR="00C65C4A" w:rsidRPr="00C65C4A" w:rsidRDefault="00C65C4A" w:rsidP="00C65C4A">
      <w:r w:rsidRPr="00C65C4A">
        <w:t xml:space="preserve">Ashby, M.F., 2011. </w:t>
      </w:r>
      <w:r w:rsidRPr="00C65C4A">
        <w:rPr>
          <w:i/>
          <w:iCs/>
        </w:rPr>
        <w:t>Materials Selection in Mechanical Design</w:t>
      </w:r>
      <w:r w:rsidRPr="00C65C4A">
        <w:t>. 4th ed. Oxford: Butterworth-Heinemann.</w:t>
      </w:r>
    </w:p>
    <w:p w14:paraId="226F81CF" w14:textId="77777777" w:rsidR="00C65C4A" w:rsidRPr="00C65C4A" w:rsidRDefault="00C65C4A" w:rsidP="00C65C4A">
      <w:r w:rsidRPr="00C65C4A">
        <w:t xml:space="preserve">Birat, J.P., 2019. The sustainability of metals. </w:t>
      </w:r>
      <w:r w:rsidRPr="00C65C4A">
        <w:rPr>
          <w:i/>
          <w:iCs/>
        </w:rPr>
        <w:t>Metallurgical Research &amp; Technology</w:t>
      </w:r>
      <w:r w:rsidRPr="00C65C4A">
        <w:t>, 116(6), pp.612–618.</w:t>
      </w:r>
    </w:p>
    <w:p w14:paraId="2AD39AEC" w14:textId="77777777" w:rsidR="00C65C4A" w:rsidRPr="00C65C4A" w:rsidRDefault="00C65C4A" w:rsidP="00C65C4A">
      <w:r w:rsidRPr="00C65C4A">
        <w:t xml:space="preserve">Birkel, H., Veile, J.W., Müller, J.M., Hartmann, E. and Voigt, K.I., 2023. Smart manufacturing for sustainable quality management: empirical insights from Industry 4.0 pioneers. </w:t>
      </w:r>
      <w:r w:rsidRPr="00C65C4A">
        <w:rPr>
          <w:i/>
          <w:iCs/>
        </w:rPr>
        <w:t>Journal of Manufacturing Technology Management</w:t>
      </w:r>
      <w:r w:rsidRPr="00C65C4A">
        <w:t>, 34(3), pp.528–548.</w:t>
      </w:r>
    </w:p>
    <w:p w14:paraId="12EB1678" w14:textId="77777777" w:rsidR="00C65C4A" w:rsidRPr="00C65C4A" w:rsidRDefault="00C65C4A" w:rsidP="00C65C4A">
      <w:r w:rsidRPr="00C65C4A">
        <w:t xml:space="preserve">Birkel, H., Veile, J.W., Müller, J.M., Hartmann, E. and Voigt, K.I., 2023. Industrie 4.0 and quality management: A meta-review of literature and implications for practice. </w:t>
      </w:r>
      <w:r w:rsidRPr="00C65C4A">
        <w:rPr>
          <w:i/>
          <w:iCs/>
        </w:rPr>
        <w:t>Technological Forecasting and Social Change</w:t>
      </w:r>
      <w:r w:rsidRPr="00C65C4A">
        <w:t>, 185, p.122015.</w:t>
      </w:r>
    </w:p>
    <w:p w14:paraId="5FC9BF0D" w14:textId="77777777" w:rsidR="00C65C4A" w:rsidRPr="00C65C4A" w:rsidRDefault="00C65C4A" w:rsidP="00C65C4A">
      <w:r w:rsidRPr="00C65C4A">
        <w:t xml:space="preserve">Bogue, R., 2019. 3D printing: the current state of the art. </w:t>
      </w:r>
      <w:r w:rsidRPr="00C65C4A">
        <w:rPr>
          <w:i/>
          <w:iCs/>
        </w:rPr>
        <w:t>Industrial Robot: An International Journal</w:t>
      </w:r>
      <w:r w:rsidRPr="00C65C4A">
        <w:t>, 46(3), pp.305–309.</w:t>
      </w:r>
    </w:p>
    <w:p w14:paraId="59B33E2C" w14:textId="77777777" w:rsidR="00C65C4A" w:rsidRPr="00C65C4A" w:rsidRDefault="00C65C4A" w:rsidP="00C65C4A">
      <w:r w:rsidRPr="00C65C4A">
        <w:t xml:space="preserve">Bogue, R., 2019. 3D printing: the dawn of a new era in manufacturing? </w:t>
      </w:r>
      <w:r w:rsidRPr="00C65C4A">
        <w:rPr>
          <w:i/>
          <w:iCs/>
        </w:rPr>
        <w:t>Assembly Automation</w:t>
      </w:r>
      <w:r w:rsidRPr="00C65C4A">
        <w:t>, 39(1), pp.8–17.</w:t>
      </w:r>
    </w:p>
    <w:p w14:paraId="4C64FFC4" w14:textId="77777777" w:rsidR="00C65C4A" w:rsidRPr="00C65C4A" w:rsidRDefault="00C65C4A" w:rsidP="00C65C4A">
      <w:r w:rsidRPr="00C65C4A">
        <w:t xml:space="preserve">Frazier, W.E., 2014. Metal additive manufacturing: a review. </w:t>
      </w:r>
      <w:r w:rsidRPr="00C65C4A">
        <w:rPr>
          <w:i/>
          <w:iCs/>
        </w:rPr>
        <w:t>Journal of Materials Engineering and Performance</w:t>
      </w:r>
      <w:r w:rsidRPr="00C65C4A">
        <w:t>, 23(6), pp.1917–1928.</w:t>
      </w:r>
    </w:p>
    <w:p w14:paraId="59B4DD9D" w14:textId="77777777" w:rsidR="00C65C4A" w:rsidRPr="00C65C4A" w:rsidRDefault="00C65C4A" w:rsidP="00C65C4A">
      <w:r w:rsidRPr="00C65C4A">
        <w:t xml:space="preserve">Gao, W., Zhang, Y., Ramanujan, D., Ramani, K., Chen, Y., Williams, C.B., Wang, C.C.L., Shin, Y.C., Zhang, S. and Zavattieri, P.D., 2015. The status, challenges, and future of additive manufacturing in engineering. </w:t>
      </w:r>
      <w:r w:rsidRPr="00C65C4A">
        <w:rPr>
          <w:i/>
          <w:iCs/>
        </w:rPr>
        <w:t>Computer-Aided Design</w:t>
      </w:r>
      <w:r w:rsidRPr="00C65C4A">
        <w:t>, 69, pp.65–89.</w:t>
      </w:r>
    </w:p>
    <w:p w14:paraId="0AA6C0F5" w14:textId="77777777" w:rsidR="00C65C4A" w:rsidRPr="00C65C4A" w:rsidRDefault="00C65C4A" w:rsidP="00C65C4A">
      <w:proofErr w:type="spellStart"/>
      <w:r w:rsidRPr="00C65C4A">
        <w:t>Geissdoerfer</w:t>
      </w:r>
      <w:proofErr w:type="spellEnd"/>
      <w:r w:rsidRPr="00C65C4A">
        <w:t xml:space="preserve">, M., </w:t>
      </w:r>
      <w:proofErr w:type="spellStart"/>
      <w:r w:rsidRPr="00C65C4A">
        <w:t>Savaget</w:t>
      </w:r>
      <w:proofErr w:type="spellEnd"/>
      <w:r w:rsidRPr="00C65C4A">
        <w:t xml:space="preserve">, P., </w:t>
      </w:r>
      <w:proofErr w:type="spellStart"/>
      <w:r w:rsidRPr="00C65C4A">
        <w:t>Bocken</w:t>
      </w:r>
      <w:proofErr w:type="spellEnd"/>
      <w:r w:rsidRPr="00C65C4A">
        <w:t xml:space="preserve">, N.M.P. and </w:t>
      </w:r>
      <w:proofErr w:type="spellStart"/>
      <w:r w:rsidRPr="00C65C4A">
        <w:t>Hultink</w:t>
      </w:r>
      <w:proofErr w:type="spellEnd"/>
      <w:r w:rsidRPr="00C65C4A">
        <w:t xml:space="preserve">, E.J., 2017. The Circular Economy – A new sustainability paradigm? </w:t>
      </w:r>
      <w:r w:rsidRPr="00C65C4A">
        <w:rPr>
          <w:i/>
          <w:iCs/>
        </w:rPr>
        <w:t>Journal of Cleaner Production</w:t>
      </w:r>
      <w:r w:rsidRPr="00C65C4A">
        <w:t>, 143, pp.757–768.</w:t>
      </w:r>
    </w:p>
    <w:p w14:paraId="3A452037" w14:textId="77777777" w:rsidR="00C65C4A" w:rsidRPr="00C65C4A" w:rsidRDefault="00C65C4A" w:rsidP="00C65C4A">
      <w:r w:rsidRPr="00C65C4A">
        <w:t xml:space="preserve">Hauschild, M.Z., Rosenbaum, R.K. and Olsen, S.I., 2018. </w:t>
      </w:r>
      <w:r w:rsidRPr="00C65C4A">
        <w:rPr>
          <w:i/>
          <w:iCs/>
        </w:rPr>
        <w:t>Life Cycle Assessment: Theory and Practice</w:t>
      </w:r>
      <w:r w:rsidRPr="00C65C4A">
        <w:t>. Cham: Springer.</w:t>
      </w:r>
    </w:p>
    <w:p w14:paraId="08F1B414" w14:textId="77777777" w:rsidR="00C65C4A" w:rsidRPr="00C65C4A" w:rsidRDefault="00C65C4A" w:rsidP="00C65C4A">
      <w:r w:rsidRPr="00C65C4A">
        <w:lastRenderedPageBreak/>
        <w:t xml:space="preserve">Hermawan, R., Rizal, M. and </w:t>
      </w:r>
      <w:proofErr w:type="spellStart"/>
      <w:r w:rsidRPr="00C65C4A">
        <w:t>Nugraha</w:t>
      </w:r>
      <w:proofErr w:type="spellEnd"/>
      <w:r w:rsidRPr="00C65C4A">
        <w:t xml:space="preserve">, D., 2021. Cost–Benefit Analysis of Predictive Maintenance in Smart Manufacturing: Challenges and Strategies. </w:t>
      </w:r>
      <w:r w:rsidRPr="00C65C4A">
        <w:rPr>
          <w:i/>
          <w:iCs/>
        </w:rPr>
        <w:t>International Journal of Advanced Manufacturing Technology</w:t>
      </w:r>
      <w:r w:rsidRPr="00C65C4A">
        <w:t>, 117, pp.1277–1289.</w:t>
      </w:r>
    </w:p>
    <w:p w14:paraId="3B960B6E" w14:textId="77777777" w:rsidR="00C65C4A" w:rsidRPr="00C65C4A" w:rsidRDefault="00C65C4A" w:rsidP="00C65C4A">
      <w:proofErr w:type="spellStart"/>
      <w:r w:rsidRPr="00C65C4A">
        <w:t>Kagermann</w:t>
      </w:r>
      <w:proofErr w:type="spellEnd"/>
      <w:r w:rsidRPr="00C65C4A">
        <w:t xml:space="preserve">, H., </w:t>
      </w:r>
      <w:proofErr w:type="spellStart"/>
      <w:r w:rsidRPr="00C65C4A">
        <w:t>Wahlster</w:t>
      </w:r>
      <w:proofErr w:type="spellEnd"/>
      <w:r w:rsidRPr="00C65C4A">
        <w:t xml:space="preserve">, W. and Helbig, J., 2013. </w:t>
      </w:r>
      <w:r w:rsidRPr="00C65C4A">
        <w:rPr>
          <w:i/>
          <w:iCs/>
        </w:rPr>
        <w:t>Recommendations for implementing the strategic initiative INDUSTRIE 4.0: Final report of the Industrie 4.0 Working Group</w:t>
      </w:r>
      <w:r w:rsidRPr="00C65C4A">
        <w:t>. Federal Ministry for Education and Research, Germany.</w:t>
      </w:r>
    </w:p>
    <w:p w14:paraId="06413C3A" w14:textId="77777777" w:rsidR="00C65C4A" w:rsidRPr="00C65C4A" w:rsidRDefault="00C65C4A" w:rsidP="00C65C4A">
      <w:proofErr w:type="spellStart"/>
      <w:r w:rsidRPr="00C65C4A">
        <w:t>Kalpakjian</w:t>
      </w:r>
      <w:proofErr w:type="spellEnd"/>
      <w:r w:rsidRPr="00C65C4A">
        <w:t xml:space="preserve">, S., Schmid, S.R. and Sekar, K., 2022. </w:t>
      </w:r>
      <w:r w:rsidRPr="00C65C4A">
        <w:rPr>
          <w:i/>
          <w:iCs/>
        </w:rPr>
        <w:t>Manufacturing Processes for Engineering Materials</w:t>
      </w:r>
      <w:r w:rsidRPr="00C65C4A">
        <w:t>. 7th ed. Pearson Education.</w:t>
      </w:r>
    </w:p>
    <w:p w14:paraId="0FB03891" w14:textId="77777777" w:rsidR="00C65C4A" w:rsidRPr="00C65C4A" w:rsidRDefault="00C65C4A" w:rsidP="00C65C4A">
      <w:proofErr w:type="spellStart"/>
      <w:r w:rsidRPr="00C65C4A">
        <w:t>Kouhizadeh</w:t>
      </w:r>
      <w:proofErr w:type="spellEnd"/>
      <w:r w:rsidRPr="00C65C4A">
        <w:t xml:space="preserve">, M., Saberi, S. and Sarkis, J., 2021. Blockchain technology and the sustainable supply chain: Theoretically exploring adoption barriers. </w:t>
      </w:r>
      <w:r w:rsidRPr="00C65C4A">
        <w:rPr>
          <w:i/>
          <w:iCs/>
        </w:rPr>
        <w:t>International Journal of Production Economics</w:t>
      </w:r>
      <w:r w:rsidRPr="00C65C4A">
        <w:t>, 231, 107831.</w:t>
      </w:r>
    </w:p>
    <w:p w14:paraId="7676CEB1" w14:textId="77777777" w:rsidR="00C65C4A" w:rsidRPr="00C65C4A" w:rsidRDefault="00C65C4A" w:rsidP="00C65C4A">
      <w:proofErr w:type="spellStart"/>
      <w:r w:rsidRPr="00C65C4A">
        <w:t>Kouhizadeh</w:t>
      </w:r>
      <w:proofErr w:type="spellEnd"/>
      <w:r w:rsidRPr="00C65C4A">
        <w:t xml:space="preserve">, M., Sarkis, J. and Gupta, S., 2021. Digitally enabled sustainable supply chains and blockchain: A critical review and the future research agenda. </w:t>
      </w:r>
      <w:r w:rsidRPr="00C65C4A">
        <w:rPr>
          <w:i/>
          <w:iCs/>
        </w:rPr>
        <w:t>Journal of Cleaner Production</w:t>
      </w:r>
      <w:r w:rsidRPr="00C65C4A">
        <w:t>, 254, p.120947.</w:t>
      </w:r>
    </w:p>
    <w:p w14:paraId="46E44919" w14:textId="77777777" w:rsidR="00C65C4A" w:rsidRPr="00C65C4A" w:rsidRDefault="00C65C4A" w:rsidP="00C65C4A">
      <w:r w:rsidRPr="00C65C4A">
        <w:t xml:space="preserve">Kumar, P., Saini, H. and Singh, H., 2023. Smart materials for Industry 4.0: Applications and trends. </w:t>
      </w:r>
      <w:r w:rsidRPr="00C65C4A">
        <w:rPr>
          <w:i/>
          <w:iCs/>
        </w:rPr>
        <w:t>Materials Today: Proceedings</w:t>
      </w:r>
      <w:r w:rsidRPr="00C65C4A">
        <w:t>, 69, pp.1225–1232.</w:t>
      </w:r>
    </w:p>
    <w:p w14:paraId="3ED51408" w14:textId="77777777" w:rsidR="00C65C4A" w:rsidRPr="00C65C4A" w:rsidRDefault="00C65C4A" w:rsidP="00C65C4A">
      <w:r w:rsidRPr="00C65C4A">
        <w:t xml:space="preserve">Lee, J., Bagheri, B. and Kao, H.A., 2015. A cyber-physical systems architecture for Industry 4.0-based manufacturing systems. </w:t>
      </w:r>
      <w:r w:rsidRPr="00C65C4A">
        <w:rPr>
          <w:i/>
          <w:iCs/>
        </w:rPr>
        <w:t>Manufacturing Letters</w:t>
      </w:r>
      <w:r w:rsidRPr="00C65C4A">
        <w:t>, 3, pp.18–23.</w:t>
      </w:r>
    </w:p>
    <w:p w14:paraId="0F6E497B" w14:textId="77777777" w:rsidR="00C65C4A" w:rsidRPr="00C65C4A" w:rsidRDefault="00C65C4A" w:rsidP="00C65C4A">
      <w:r w:rsidRPr="00C65C4A">
        <w:t xml:space="preserve">Lee, J., Davari, H., Singh, J. and </w:t>
      </w:r>
      <w:proofErr w:type="spellStart"/>
      <w:r w:rsidRPr="00C65C4A">
        <w:t>Pandhare</w:t>
      </w:r>
      <w:proofErr w:type="spellEnd"/>
      <w:r w:rsidRPr="00C65C4A">
        <w:t xml:space="preserve">, V., 2018. Industrial Artificial Intelligence for Industry 4.0-based manufacturing systems. </w:t>
      </w:r>
      <w:r w:rsidRPr="00C65C4A">
        <w:rPr>
          <w:i/>
          <w:iCs/>
        </w:rPr>
        <w:t>Manufacturing Letters</w:t>
      </w:r>
      <w:r w:rsidRPr="00C65C4A">
        <w:t>, 18, pp.20–23.</w:t>
      </w:r>
    </w:p>
    <w:p w14:paraId="1505AD9B" w14:textId="77777777" w:rsidR="00C65C4A" w:rsidRPr="00C65C4A" w:rsidRDefault="00C65C4A" w:rsidP="00C65C4A">
      <w:r w:rsidRPr="00C65C4A">
        <w:t xml:space="preserve">Lufthansa Technik, 2022. </w:t>
      </w:r>
      <w:r w:rsidRPr="00C65C4A">
        <w:rPr>
          <w:i/>
          <w:iCs/>
        </w:rPr>
        <w:t>AVIATAR: Digital Fleet Solutions</w:t>
      </w:r>
      <w:r w:rsidRPr="00C65C4A">
        <w:t xml:space="preserve">. [online] Available at: </w:t>
      </w:r>
      <w:hyperlink r:id="rId8" w:tgtFrame="_new" w:history="1">
        <w:r w:rsidRPr="00C65C4A">
          <w:rPr>
            <w:rStyle w:val="Hyperlink"/>
          </w:rPr>
          <w:t>https://www.lufthansa-technik.com/aviatar</w:t>
        </w:r>
      </w:hyperlink>
      <w:r w:rsidRPr="00C65C4A">
        <w:t xml:space="preserve"> [Accessed 1 Aug. 2025].</w:t>
      </w:r>
    </w:p>
    <w:p w14:paraId="15E1D672" w14:textId="77777777" w:rsidR="00C65C4A" w:rsidRPr="00C65C4A" w:rsidRDefault="00C65C4A" w:rsidP="00C65C4A">
      <w:proofErr w:type="spellStart"/>
      <w:r w:rsidRPr="00C65C4A">
        <w:t>Mourtzis</w:t>
      </w:r>
      <w:proofErr w:type="spellEnd"/>
      <w:r w:rsidRPr="00C65C4A">
        <w:t xml:space="preserve">, D., </w:t>
      </w:r>
      <w:proofErr w:type="spellStart"/>
      <w:r w:rsidRPr="00C65C4A">
        <w:t>Vlachou</w:t>
      </w:r>
      <w:proofErr w:type="spellEnd"/>
      <w:r w:rsidRPr="00C65C4A">
        <w:t xml:space="preserve">, E., Dimitrakopoulos, G. and Zogopoulos, V., 2019. Cyber-Physical Systems and Education 4.0—The Teaching Factory 4.0 Concept. </w:t>
      </w:r>
      <w:r w:rsidRPr="00C65C4A">
        <w:rPr>
          <w:i/>
          <w:iCs/>
        </w:rPr>
        <w:t>Procedia Manufacturing</w:t>
      </w:r>
      <w:r w:rsidRPr="00C65C4A">
        <w:t>, 23, pp.129–134.</w:t>
      </w:r>
    </w:p>
    <w:p w14:paraId="13ECA3AA" w14:textId="77777777" w:rsidR="00C65C4A" w:rsidRPr="00C65C4A" w:rsidRDefault="00C65C4A" w:rsidP="00C65C4A">
      <w:r w:rsidRPr="00C65C4A">
        <w:t xml:space="preserve">Pickering, S.J., 2006. Recycling of carbon fibre composites. </w:t>
      </w:r>
      <w:r w:rsidRPr="00C65C4A">
        <w:rPr>
          <w:i/>
          <w:iCs/>
        </w:rPr>
        <w:t>Composites Part A: Applied Science and Manufacturing</w:t>
      </w:r>
      <w:r w:rsidRPr="00C65C4A">
        <w:t>, 37(8), pp.1206–1215.</w:t>
      </w:r>
    </w:p>
    <w:p w14:paraId="784F78D6" w14:textId="77777777" w:rsidR="00C65C4A" w:rsidRPr="00C65C4A" w:rsidRDefault="00C65C4A" w:rsidP="00C65C4A">
      <w:r w:rsidRPr="00C65C4A">
        <w:t xml:space="preserve">Qi, Q., Tao, F., Zuo, Y., Zhao, D., Wang, T. and Nee, A.Y.C., 2021. Digital Twin Service towards Smart Manufacturing. </w:t>
      </w:r>
      <w:r w:rsidRPr="00C65C4A">
        <w:rPr>
          <w:i/>
          <w:iCs/>
        </w:rPr>
        <w:t>International Journal of Production Research</w:t>
      </w:r>
      <w:r w:rsidRPr="00C65C4A">
        <w:t>, 59(20), pp.6153–6176.</w:t>
      </w:r>
    </w:p>
    <w:p w14:paraId="1BDB9FE8" w14:textId="77777777" w:rsidR="00C65C4A" w:rsidRPr="00C65C4A" w:rsidRDefault="00C65C4A" w:rsidP="00C65C4A">
      <w:r w:rsidRPr="00C65C4A">
        <w:t xml:space="preserve">Queiroz, M.M. and Wamba, S.F., 2019. Blockchain adoption challenges in supply chain: An empirical investigation of the main drivers in India and the USA. </w:t>
      </w:r>
      <w:r w:rsidRPr="00C65C4A">
        <w:rPr>
          <w:i/>
          <w:iCs/>
        </w:rPr>
        <w:t>International Journal of Information Management</w:t>
      </w:r>
      <w:r w:rsidRPr="00C65C4A">
        <w:t>, 46, pp.70–82.</w:t>
      </w:r>
    </w:p>
    <w:p w14:paraId="53924BFD" w14:textId="77777777" w:rsidR="00C65C4A" w:rsidRPr="00C65C4A" w:rsidRDefault="00C65C4A" w:rsidP="00C65C4A">
      <w:r w:rsidRPr="00C65C4A">
        <w:t xml:space="preserve">Siemens, 2019. </w:t>
      </w:r>
      <w:r w:rsidRPr="00C65C4A">
        <w:rPr>
          <w:i/>
          <w:iCs/>
        </w:rPr>
        <w:t>Predictive Services for Drive Systems</w:t>
      </w:r>
      <w:r w:rsidRPr="00C65C4A">
        <w:t xml:space="preserve">. [online] Available at: </w:t>
      </w:r>
      <w:hyperlink r:id="rId9" w:tgtFrame="_new" w:history="1">
        <w:r w:rsidRPr="00C65C4A">
          <w:rPr>
            <w:rStyle w:val="Hyperlink"/>
          </w:rPr>
          <w:t>https://new.siemens.com/global/en/products/services/predictive-services.html</w:t>
        </w:r>
      </w:hyperlink>
      <w:r w:rsidRPr="00C65C4A">
        <w:t xml:space="preserve"> [Accessed 1 Aug. 2025].</w:t>
      </w:r>
    </w:p>
    <w:p w14:paraId="2E7A1868" w14:textId="77777777" w:rsidR="00C65C4A" w:rsidRPr="00C65C4A" w:rsidRDefault="00C65C4A" w:rsidP="00C65C4A">
      <w:r w:rsidRPr="00C65C4A">
        <w:t xml:space="preserve">Tao, F., Zhang, M., Liu, Y. and Nee, A.Y.C., 2018. Digital twin in industry: State-of-the-art. </w:t>
      </w:r>
      <w:r w:rsidRPr="00C65C4A">
        <w:rPr>
          <w:i/>
          <w:iCs/>
        </w:rPr>
        <w:t>IEEE Transactions on Industrial Informatics</w:t>
      </w:r>
      <w:r w:rsidRPr="00C65C4A">
        <w:t>, 15(4), pp.2405–2415.</w:t>
      </w:r>
    </w:p>
    <w:p w14:paraId="1D070C0D" w14:textId="77777777" w:rsidR="00C65C4A" w:rsidRPr="00C65C4A" w:rsidRDefault="00C65C4A" w:rsidP="00C65C4A">
      <w:r w:rsidRPr="00C65C4A">
        <w:lastRenderedPageBreak/>
        <w:t xml:space="preserve">Wagner, S.M., Bode, C. and </w:t>
      </w:r>
      <w:proofErr w:type="spellStart"/>
      <w:r w:rsidRPr="00C65C4A">
        <w:t>Koźlak</w:t>
      </w:r>
      <w:proofErr w:type="spellEnd"/>
      <w:r w:rsidRPr="00C65C4A">
        <w:t xml:space="preserve">, A., 2021. Managing disruption risks in global supply chains: The role of digitalization. </w:t>
      </w:r>
      <w:r w:rsidRPr="00C65C4A">
        <w:rPr>
          <w:i/>
          <w:iCs/>
        </w:rPr>
        <w:t>Journal of Supply Chain Management</w:t>
      </w:r>
      <w:r w:rsidRPr="00C65C4A">
        <w:t>, 57(1), pp.64–73.</w:t>
      </w:r>
    </w:p>
    <w:p w14:paraId="32660007" w14:textId="77777777" w:rsidR="00C65C4A" w:rsidRPr="00C65C4A" w:rsidRDefault="00C65C4A" w:rsidP="00C65C4A">
      <w:r w:rsidRPr="00C65C4A">
        <w:t xml:space="preserve">Wagner, S.M., Küpper, D. and Schneider, R., 2021. How smart supply chains give manufacturers a competitive edge. </w:t>
      </w:r>
      <w:r w:rsidRPr="00C65C4A">
        <w:rPr>
          <w:i/>
          <w:iCs/>
        </w:rPr>
        <w:t>Harvard Business Review</w:t>
      </w:r>
      <w:r w:rsidRPr="00C65C4A">
        <w:t xml:space="preserve">, [online] Available at: </w:t>
      </w:r>
      <w:hyperlink r:id="rId10" w:tgtFrame="_new" w:history="1">
        <w:r w:rsidRPr="00C65C4A">
          <w:rPr>
            <w:rStyle w:val="Hyperlink"/>
          </w:rPr>
          <w:t>https://hbr.org/2021/01/how-smart-supply-chains-give-manufacturers-a-competitive-edge</w:t>
        </w:r>
      </w:hyperlink>
      <w:r w:rsidRPr="00C65C4A">
        <w:t xml:space="preserve"> [Accessed 1 Aug. 2025].</w:t>
      </w:r>
    </w:p>
    <w:p w14:paraId="0E1BD3F4" w14:textId="77777777" w:rsidR="00C65C4A" w:rsidRPr="00C65C4A" w:rsidRDefault="00C65C4A" w:rsidP="00C65C4A">
      <w:r w:rsidRPr="00C65C4A">
        <w:t xml:space="preserve">Wang, K., Wang, Y., Sun, Y. and Li, X., 2018. Fault prediction-based predictive maintenance for production equipment using data-driven method. </w:t>
      </w:r>
      <w:r w:rsidRPr="00C65C4A">
        <w:rPr>
          <w:i/>
          <w:iCs/>
        </w:rPr>
        <w:t>Journal of Intelligent Manufacturing</w:t>
      </w:r>
      <w:r w:rsidRPr="00C65C4A">
        <w:t>, 29(6), pp.1307–1317.</w:t>
      </w:r>
    </w:p>
    <w:p w14:paraId="5C9EEF16" w14:textId="77777777" w:rsidR="00C65C4A" w:rsidRPr="00C65C4A" w:rsidRDefault="00C65C4A" w:rsidP="00C65C4A">
      <w:r w:rsidRPr="00C65C4A">
        <w:t xml:space="preserve">Weyer, S., Schmitt, M., Ohmer, M. and </w:t>
      </w:r>
      <w:proofErr w:type="spellStart"/>
      <w:r w:rsidRPr="00C65C4A">
        <w:t>Gorecky</w:t>
      </w:r>
      <w:proofErr w:type="spellEnd"/>
      <w:r w:rsidRPr="00C65C4A">
        <w:t xml:space="preserve">, D., 2017. Towards Industry 4.0 – Standardization as the crucial challenge for highly modular, multi-vendor production systems. </w:t>
      </w:r>
      <w:r w:rsidRPr="00C65C4A">
        <w:rPr>
          <w:i/>
          <w:iCs/>
        </w:rPr>
        <w:t>IFAC-</w:t>
      </w:r>
      <w:proofErr w:type="spellStart"/>
      <w:r w:rsidRPr="00C65C4A">
        <w:rPr>
          <w:i/>
          <w:iCs/>
        </w:rPr>
        <w:t>PapersOnLine</w:t>
      </w:r>
      <w:proofErr w:type="spellEnd"/>
      <w:r w:rsidRPr="00C65C4A">
        <w:t>, 50(1), pp.12240–12245.</w:t>
      </w:r>
    </w:p>
    <w:p w14:paraId="223D3731" w14:textId="77777777" w:rsidR="00A23FC9" w:rsidRDefault="00A23FC9"/>
    <w:sectPr w:rsidR="00A23FC9" w:rsidSect="007C4DD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ECF6B" w14:textId="77777777" w:rsidR="003E2B0D" w:rsidRDefault="003E2B0D" w:rsidP="009D0076">
      <w:pPr>
        <w:spacing w:after="0" w:line="240" w:lineRule="auto"/>
      </w:pPr>
      <w:r>
        <w:separator/>
      </w:r>
    </w:p>
  </w:endnote>
  <w:endnote w:type="continuationSeparator" w:id="0">
    <w:p w14:paraId="30F898A9" w14:textId="77777777" w:rsidR="003E2B0D" w:rsidRDefault="003E2B0D" w:rsidP="009D0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AFA3D" w14:textId="40526771" w:rsidR="009D0076" w:rsidRDefault="00C130E0">
    <w:pPr>
      <w:pStyle w:val="Footer"/>
    </w:pPr>
    <w:r>
      <w:rPr>
        <w:noProof/>
      </w:rPr>
      <mc:AlternateContent>
        <mc:Choice Requires="wps">
          <w:drawing>
            <wp:anchor distT="0" distB="0" distL="114300" distR="114300" simplePos="0" relativeHeight="251659264" behindDoc="0" locked="0" layoutInCell="1" allowOverlap="1" wp14:anchorId="15AF290D" wp14:editId="3A99FB81">
              <wp:simplePos x="0" y="0"/>
              <wp:positionH relativeFrom="page">
                <wp:align>center</wp:align>
              </wp:positionH>
              <wp:positionV relativeFrom="page">
                <wp:align>center</wp:align>
              </wp:positionV>
              <wp:extent cx="7357110" cy="9530715"/>
              <wp:effectExtent l="0" t="0" r="7620" b="7620"/>
              <wp:wrapNone/>
              <wp:docPr id="176847699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57110" cy="953071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69F384" id="Rectangle 1" o:spid="_x0000_s1026" style="position:absolute;margin-left:0;margin-top:0;width:579.3pt;height:750.4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" filled="f" strokecolor="#737373 [1614]" strokeweight="1.25pt">
              <v:path arrowok="t"/>
              <w10:wrap anchorx="page" anchory="page"/>
            </v:rect>
          </w:pict>
        </mc:Fallback>
      </mc:AlternateContent>
    </w:r>
    <w:r w:rsidR="009D0076">
      <w:rPr>
        <w:color w:val="156082" w:themeColor="accent1"/>
      </w:rPr>
      <w:t xml:space="preserve"> </w:t>
    </w:r>
    <w:r w:rsidR="009D0076">
      <w:rPr>
        <w:rFonts w:asciiTheme="majorHAnsi" w:eastAsiaTheme="majorEastAsia" w:hAnsiTheme="majorHAnsi" w:cstheme="majorBidi"/>
        <w:color w:val="156082" w:themeColor="accent1"/>
        <w:sz w:val="20"/>
        <w:szCs w:val="20"/>
      </w:rPr>
      <w:t xml:space="preserve">pg. </w:t>
    </w:r>
    <w:r w:rsidR="009D0076">
      <w:rPr>
        <w:rFonts w:eastAsiaTheme="minorEastAsia"/>
        <w:color w:val="156082" w:themeColor="accent1"/>
        <w:sz w:val="20"/>
        <w:szCs w:val="20"/>
      </w:rPr>
      <w:fldChar w:fldCharType="begin"/>
    </w:r>
    <w:r w:rsidR="009D0076">
      <w:rPr>
        <w:color w:val="156082" w:themeColor="accent1"/>
        <w:sz w:val="20"/>
        <w:szCs w:val="20"/>
      </w:rPr>
      <w:instrText xml:space="preserve"> PAGE    \* MERGEFORMAT </w:instrText>
    </w:r>
    <w:r w:rsidR="009D0076">
      <w:rPr>
        <w:rFonts w:eastAsiaTheme="minorEastAsia"/>
        <w:color w:val="156082" w:themeColor="accent1"/>
        <w:sz w:val="20"/>
        <w:szCs w:val="20"/>
      </w:rPr>
      <w:fldChar w:fldCharType="separate"/>
    </w:r>
    <w:r w:rsidR="009D0076">
      <w:rPr>
        <w:rFonts w:asciiTheme="majorHAnsi" w:eastAsiaTheme="majorEastAsia" w:hAnsiTheme="majorHAnsi" w:cstheme="majorBidi"/>
        <w:noProof/>
        <w:color w:val="156082" w:themeColor="accent1"/>
        <w:sz w:val="20"/>
        <w:szCs w:val="20"/>
      </w:rPr>
      <w:t>2</w:t>
    </w:r>
    <w:r w:rsidR="009D0076">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0FB6" w14:textId="77777777" w:rsidR="003E2B0D" w:rsidRDefault="003E2B0D" w:rsidP="009D0076">
      <w:pPr>
        <w:spacing w:after="0" w:line="240" w:lineRule="auto"/>
      </w:pPr>
      <w:r>
        <w:separator/>
      </w:r>
    </w:p>
  </w:footnote>
  <w:footnote w:type="continuationSeparator" w:id="0">
    <w:p w14:paraId="0CF9CBC1" w14:textId="77777777" w:rsidR="003E2B0D" w:rsidRDefault="003E2B0D" w:rsidP="009D0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8147A" w14:textId="22D42552" w:rsidR="009D0076" w:rsidRDefault="009D0076">
    <w:pPr>
      <w:pStyle w:val="Header"/>
    </w:pPr>
    <w:r>
      <w:t>Mark Bamford 1350176</w:t>
    </w:r>
    <w:r>
      <w:tab/>
    </w:r>
    <w:r>
      <w:tab/>
      <w:t>Design for Industry 4.0</w:t>
    </w:r>
    <w:r>
      <w:tab/>
    </w:r>
    <w:r>
      <w:tab/>
    </w:r>
  </w:p>
  <w:p w14:paraId="32308020" w14:textId="77777777" w:rsidR="009D0076" w:rsidRDefault="009D0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722FF"/>
    <w:multiLevelType w:val="multilevel"/>
    <w:tmpl w:val="A23A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D95B50"/>
    <w:multiLevelType w:val="multilevel"/>
    <w:tmpl w:val="B8C88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246511"/>
    <w:multiLevelType w:val="multilevel"/>
    <w:tmpl w:val="05284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8045139">
    <w:abstractNumId w:val="2"/>
  </w:num>
  <w:num w:numId="2" w16cid:durableId="1646662586">
    <w:abstractNumId w:val="0"/>
  </w:num>
  <w:num w:numId="3" w16cid:durableId="1593195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C8"/>
    <w:rsid w:val="00030A8D"/>
    <w:rsid w:val="00047811"/>
    <w:rsid w:val="00055C8D"/>
    <w:rsid w:val="000762B7"/>
    <w:rsid w:val="0008083B"/>
    <w:rsid w:val="00085973"/>
    <w:rsid w:val="000947B4"/>
    <w:rsid w:val="000A34D0"/>
    <w:rsid w:val="000D5D3F"/>
    <w:rsid w:val="000F65E0"/>
    <w:rsid w:val="001079A2"/>
    <w:rsid w:val="0012001D"/>
    <w:rsid w:val="0012408B"/>
    <w:rsid w:val="00175CC1"/>
    <w:rsid w:val="00183AA8"/>
    <w:rsid w:val="001859B7"/>
    <w:rsid w:val="0019641C"/>
    <w:rsid w:val="001C49DF"/>
    <w:rsid w:val="00204BD1"/>
    <w:rsid w:val="00241598"/>
    <w:rsid w:val="00290B5A"/>
    <w:rsid w:val="00312A9E"/>
    <w:rsid w:val="003264EC"/>
    <w:rsid w:val="0033203A"/>
    <w:rsid w:val="00351AAD"/>
    <w:rsid w:val="003B20ED"/>
    <w:rsid w:val="003B56F0"/>
    <w:rsid w:val="003E2B0D"/>
    <w:rsid w:val="003E426D"/>
    <w:rsid w:val="0043338C"/>
    <w:rsid w:val="004342B2"/>
    <w:rsid w:val="00436327"/>
    <w:rsid w:val="004F3F65"/>
    <w:rsid w:val="00520CD0"/>
    <w:rsid w:val="00524183"/>
    <w:rsid w:val="005613A3"/>
    <w:rsid w:val="00565DE0"/>
    <w:rsid w:val="00570FB1"/>
    <w:rsid w:val="00575632"/>
    <w:rsid w:val="00584FFD"/>
    <w:rsid w:val="005C2C97"/>
    <w:rsid w:val="005D1A3F"/>
    <w:rsid w:val="005D2851"/>
    <w:rsid w:val="005E1775"/>
    <w:rsid w:val="005F1136"/>
    <w:rsid w:val="00646868"/>
    <w:rsid w:val="0066355B"/>
    <w:rsid w:val="00676BFF"/>
    <w:rsid w:val="006A1995"/>
    <w:rsid w:val="006A4617"/>
    <w:rsid w:val="006D2EE0"/>
    <w:rsid w:val="006E3980"/>
    <w:rsid w:val="007136AB"/>
    <w:rsid w:val="00761039"/>
    <w:rsid w:val="00772760"/>
    <w:rsid w:val="0078740D"/>
    <w:rsid w:val="007B1612"/>
    <w:rsid w:val="007B2C30"/>
    <w:rsid w:val="007C4DD7"/>
    <w:rsid w:val="007E13C1"/>
    <w:rsid w:val="00836FE3"/>
    <w:rsid w:val="00863A5A"/>
    <w:rsid w:val="0086538A"/>
    <w:rsid w:val="008E6639"/>
    <w:rsid w:val="00910596"/>
    <w:rsid w:val="009142C9"/>
    <w:rsid w:val="009577FC"/>
    <w:rsid w:val="009A3CD8"/>
    <w:rsid w:val="009A516D"/>
    <w:rsid w:val="009D0076"/>
    <w:rsid w:val="00A23FC9"/>
    <w:rsid w:val="00A32510"/>
    <w:rsid w:val="00A52713"/>
    <w:rsid w:val="00A52F44"/>
    <w:rsid w:val="00A55C7B"/>
    <w:rsid w:val="00A82AD9"/>
    <w:rsid w:val="00A94F92"/>
    <w:rsid w:val="00AC3D8E"/>
    <w:rsid w:val="00B06F57"/>
    <w:rsid w:val="00B75AC7"/>
    <w:rsid w:val="00BA10D8"/>
    <w:rsid w:val="00BA5A96"/>
    <w:rsid w:val="00BC762D"/>
    <w:rsid w:val="00C00587"/>
    <w:rsid w:val="00C130E0"/>
    <w:rsid w:val="00C20878"/>
    <w:rsid w:val="00C2095F"/>
    <w:rsid w:val="00C6354B"/>
    <w:rsid w:val="00C65C4A"/>
    <w:rsid w:val="00C71EB5"/>
    <w:rsid w:val="00C76D8A"/>
    <w:rsid w:val="00CC43C5"/>
    <w:rsid w:val="00CD7853"/>
    <w:rsid w:val="00CF7A60"/>
    <w:rsid w:val="00D00338"/>
    <w:rsid w:val="00D27FC8"/>
    <w:rsid w:val="00D44EA3"/>
    <w:rsid w:val="00E162CD"/>
    <w:rsid w:val="00E32D49"/>
    <w:rsid w:val="00E56084"/>
    <w:rsid w:val="00EA4FEC"/>
    <w:rsid w:val="00EB2F4A"/>
    <w:rsid w:val="00F32D56"/>
    <w:rsid w:val="00F66ECA"/>
    <w:rsid w:val="00FB2F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ADEEA"/>
  <w15:chartTrackingRefBased/>
  <w15:docId w15:val="{AE588690-B6AA-4E62-AA2D-FB61041C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C8"/>
    <w:rPr>
      <w:rFonts w:eastAsiaTheme="majorEastAsia" w:cstheme="majorBidi"/>
      <w:color w:val="272727" w:themeColor="text1" w:themeTint="D8"/>
    </w:rPr>
  </w:style>
  <w:style w:type="paragraph" w:styleId="Title">
    <w:name w:val="Title"/>
    <w:basedOn w:val="Normal"/>
    <w:next w:val="Normal"/>
    <w:link w:val="TitleChar"/>
    <w:uiPriority w:val="10"/>
    <w:qFormat/>
    <w:rsid w:val="00D27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C8"/>
    <w:pPr>
      <w:spacing w:before="160"/>
      <w:jc w:val="center"/>
    </w:pPr>
    <w:rPr>
      <w:i/>
      <w:iCs/>
      <w:color w:val="404040" w:themeColor="text1" w:themeTint="BF"/>
    </w:rPr>
  </w:style>
  <w:style w:type="character" w:customStyle="1" w:styleId="QuoteChar">
    <w:name w:val="Quote Char"/>
    <w:basedOn w:val="DefaultParagraphFont"/>
    <w:link w:val="Quote"/>
    <w:uiPriority w:val="29"/>
    <w:rsid w:val="00D27FC8"/>
    <w:rPr>
      <w:i/>
      <w:iCs/>
      <w:color w:val="404040" w:themeColor="text1" w:themeTint="BF"/>
    </w:rPr>
  </w:style>
  <w:style w:type="paragraph" w:styleId="ListParagraph">
    <w:name w:val="List Paragraph"/>
    <w:basedOn w:val="Normal"/>
    <w:uiPriority w:val="34"/>
    <w:qFormat/>
    <w:rsid w:val="00D27FC8"/>
    <w:pPr>
      <w:ind w:left="720"/>
      <w:contextualSpacing/>
    </w:pPr>
  </w:style>
  <w:style w:type="character" w:styleId="IntenseEmphasis">
    <w:name w:val="Intense Emphasis"/>
    <w:basedOn w:val="DefaultParagraphFont"/>
    <w:uiPriority w:val="21"/>
    <w:qFormat/>
    <w:rsid w:val="00D27FC8"/>
    <w:rPr>
      <w:i/>
      <w:iCs/>
      <w:color w:val="0F4761" w:themeColor="accent1" w:themeShade="BF"/>
    </w:rPr>
  </w:style>
  <w:style w:type="paragraph" w:styleId="IntenseQuote">
    <w:name w:val="Intense Quote"/>
    <w:basedOn w:val="Normal"/>
    <w:next w:val="Normal"/>
    <w:link w:val="IntenseQuoteChar"/>
    <w:uiPriority w:val="30"/>
    <w:qFormat/>
    <w:rsid w:val="00D27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C8"/>
    <w:rPr>
      <w:i/>
      <w:iCs/>
      <w:color w:val="0F4761" w:themeColor="accent1" w:themeShade="BF"/>
    </w:rPr>
  </w:style>
  <w:style w:type="character" w:styleId="IntenseReference">
    <w:name w:val="Intense Reference"/>
    <w:basedOn w:val="DefaultParagraphFont"/>
    <w:uiPriority w:val="32"/>
    <w:qFormat/>
    <w:rsid w:val="00D27FC8"/>
    <w:rPr>
      <w:b/>
      <w:bCs/>
      <w:smallCaps/>
      <w:color w:val="0F4761" w:themeColor="accent1" w:themeShade="BF"/>
      <w:spacing w:val="5"/>
    </w:rPr>
  </w:style>
  <w:style w:type="paragraph" w:styleId="NoSpacing">
    <w:name w:val="No Spacing"/>
    <w:qFormat/>
    <w:rsid w:val="009D0076"/>
    <w:pPr>
      <w:spacing w:after="0" w:line="240" w:lineRule="auto"/>
    </w:pPr>
    <w:rPr>
      <w:rFonts w:ascii="Calibri" w:eastAsia="Times New Roman" w:hAnsi="Calibri" w:cs="Times New Roman"/>
      <w:kern w:val="0"/>
      <w:lang w:val="en-US" w:eastAsia="ja-JP"/>
    </w:rPr>
  </w:style>
  <w:style w:type="paragraph" w:styleId="Header">
    <w:name w:val="header"/>
    <w:basedOn w:val="Normal"/>
    <w:link w:val="HeaderChar"/>
    <w:uiPriority w:val="99"/>
    <w:unhideWhenUsed/>
    <w:rsid w:val="009D0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076"/>
  </w:style>
  <w:style w:type="paragraph" w:styleId="Footer">
    <w:name w:val="footer"/>
    <w:basedOn w:val="Normal"/>
    <w:link w:val="FooterChar"/>
    <w:uiPriority w:val="99"/>
    <w:unhideWhenUsed/>
    <w:rsid w:val="009D0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076"/>
  </w:style>
  <w:style w:type="character" w:styleId="Hyperlink">
    <w:name w:val="Hyperlink"/>
    <w:basedOn w:val="DefaultParagraphFont"/>
    <w:uiPriority w:val="99"/>
    <w:unhideWhenUsed/>
    <w:rsid w:val="00A23FC9"/>
    <w:rPr>
      <w:color w:val="467886" w:themeColor="hyperlink"/>
      <w:u w:val="single"/>
    </w:rPr>
  </w:style>
  <w:style w:type="character" w:styleId="UnresolvedMention">
    <w:name w:val="Unresolved Mention"/>
    <w:basedOn w:val="DefaultParagraphFont"/>
    <w:uiPriority w:val="99"/>
    <w:semiHidden/>
    <w:unhideWhenUsed/>
    <w:rsid w:val="00A23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10847">
      <w:bodyDiv w:val="1"/>
      <w:marLeft w:val="0"/>
      <w:marRight w:val="0"/>
      <w:marTop w:val="0"/>
      <w:marBottom w:val="0"/>
      <w:divBdr>
        <w:top w:val="none" w:sz="0" w:space="0" w:color="auto"/>
        <w:left w:val="none" w:sz="0" w:space="0" w:color="auto"/>
        <w:bottom w:val="none" w:sz="0" w:space="0" w:color="auto"/>
        <w:right w:val="none" w:sz="0" w:space="0" w:color="auto"/>
      </w:divBdr>
    </w:div>
    <w:div w:id="262303629">
      <w:bodyDiv w:val="1"/>
      <w:marLeft w:val="0"/>
      <w:marRight w:val="0"/>
      <w:marTop w:val="0"/>
      <w:marBottom w:val="0"/>
      <w:divBdr>
        <w:top w:val="none" w:sz="0" w:space="0" w:color="auto"/>
        <w:left w:val="none" w:sz="0" w:space="0" w:color="auto"/>
        <w:bottom w:val="none" w:sz="0" w:space="0" w:color="auto"/>
        <w:right w:val="none" w:sz="0" w:space="0" w:color="auto"/>
      </w:divBdr>
    </w:div>
    <w:div w:id="516231170">
      <w:bodyDiv w:val="1"/>
      <w:marLeft w:val="0"/>
      <w:marRight w:val="0"/>
      <w:marTop w:val="0"/>
      <w:marBottom w:val="0"/>
      <w:divBdr>
        <w:top w:val="none" w:sz="0" w:space="0" w:color="auto"/>
        <w:left w:val="none" w:sz="0" w:space="0" w:color="auto"/>
        <w:bottom w:val="none" w:sz="0" w:space="0" w:color="auto"/>
        <w:right w:val="none" w:sz="0" w:space="0" w:color="auto"/>
      </w:divBdr>
    </w:div>
    <w:div w:id="551036835">
      <w:bodyDiv w:val="1"/>
      <w:marLeft w:val="0"/>
      <w:marRight w:val="0"/>
      <w:marTop w:val="0"/>
      <w:marBottom w:val="0"/>
      <w:divBdr>
        <w:top w:val="none" w:sz="0" w:space="0" w:color="auto"/>
        <w:left w:val="none" w:sz="0" w:space="0" w:color="auto"/>
        <w:bottom w:val="none" w:sz="0" w:space="0" w:color="auto"/>
        <w:right w:val="none" w:sz="0" w:space="0" w:color="auto"/>
      </w:divBdr>
    </w:div>
    <w:div w:id="575633952">
      <w:bodyDiv w:val="1"/>
      <w:marLeft w:val="0"/>
      <w:marRight w:val="0"/>
      <w:marTop w:val="0"/>
      <w:marBottom w:val="0"/>
      <w:divBdr>
        <w:top w:val="none" w:sz="0" w:space="0" w:color="auto"/>
        <w:left w:val="none" w:sz="0" w:space="0" w:color="auto"/>
        <w:bottom w:val="none" w:sz="0" w:space="0" w:color="auto"/>
        <w:right w:val="none" w:sz="0" w:space="0" w:color="auto"/>
      </w:divBdr>
    </w:div>
    <w:div w:id="740444273">
      <w:bodyDiv w:val="1"/>
      <w:marLeft w:val="0"/>
      <w:marRight w:val="0"/>
      <w:marTop w:val="0"/>
      <w:marBottom w:val="0"/>
      <w:divBdr>
        <w:top w:val="none" w:sz="0" w:space="0" w:color="auto"/>
        <w:left w:val="none" w:sz="0" w:space="0" w:color="auto"/>
        <w:bottom w:val="none" w:sz="0" w:space="0" w:color="auto"/>
        <w:right w:val="none" w:sz="0" w:space="0" w:color="auto"/>
      </w:divBdr>
    </w:div>
    <w:div w:id="803738913">
      <w:bodyDiv w:val="1"/>
      <w:marLeft w:val="0"/>
      <w:marRight w:val="0"/>
      <w:marTop w:val="0"/>
      <w:marBottom w:val="0"/>
      <w:divBdr>
        <w:top w:val="none" w:sz="0" w:space="0" w:color="auto"/>
        <w:left w:val="none" w:sz="0" w:space="0" w:color="auto"/>
        <w:bottom w:val="none" w:sz="0" w:space="0" w:color="auto"/>
        <w:right w:val="none" w:sz="0" w:space="0" w:color="auto"/>
      </w:divBdr>
    </w:div>
    <w:div w:id="881360832">
      <w:bodyDiv w:val="1"/>
      <w:marLeft w:val="0"/>
      <w:marRight w:val="0"/>
      <w:marTop w:val="0"/>
      <w:marBottom w:val="0"/>
      <w:divBdr>
        <w:top w:val="none" w:sz="0" w:space="0" w:color="auto"/>
        <w:left w:val="none" w:sz="0" w:space="0" w:color="auto"/>
        <w:bottom w:val="none" w:sz="0" w:space="0" w:color="auto"/>
        <w:right w:val="none" w:sz="0" w:space="0" w:color="auto"/>
      </w:divBdr>
    </w:div>
    <w:div w:id="908344816">
      <w:bodyDiv w:val="1"/>
      <w:marLeft w:val="0"/>
      <w:marRight w:val="0"/>
      <w:marTop w:val="0"/>
      <w:marBottom w:val="0"/>
      <w:divBdr>
        <w:top w:val="none" w:sz="0" w:space="0" w:color="auto"/>
        <w:left w:val="none" w:sz="0" w:space="0" w:color="auto"/>
        <w:bottom w:val="none" w:sz="0" w:space="0" w:color="auto"/>
        <w:right w:val="none" w:sz="0" w:space="0" w:color="auto"/>
      </w:divBdr>
    </w:div>
    <w:div w:id="1151603783">
      <w:bodyDiv w:val="1"/>
      <w:marLeft w:val="0"/>
      <w:marRight w:val="0"/>
      <w:marTop w:val="0"/>
      <w:marBottom w:val="0"/>
      <w:divBdr>
        <w:top w:val="none" w:sz="0" w:space="0" w:color="auto"/>
        <w:left w:val="none" w:sz="0" w:space="0" w:color="auto"/>
        <w:bottom w:val="none" w:sz="0" w:space="0" w:color="auto"/>
        <w:right w:val="none" w:sz="0" w:space="0" w:color="auto"/>
      </w:divBdr>
    </w:div>
    <w:div w:id="1270435843">
      <w:bodyDiv w:val="1"/>
      <w:marLeft w:val="0"/>
      <w:marRight w:val="0"/>
      <w:marTop w:val="0"/>
      <w:marBottom w:val="0"/>
      <w:divBdr>
        <w:top w:val="none" w:sz="0" w:space="0" w:color="auto"/>
        <w:left w:val="none" w:sz="0" w:space="0" w:color="auto"/>
        <w:bottom w:val="none" w:sz="0" w:space="0" w:color="auto"/>
        <w:right w:val="none" w:sz="0" w:space="0" w:color="auto"/>
      </w:divBdr>
    </w:div>
    <w:div w:id="1310864999">
      <w:bodyDiv w:val="1"/>
      <w:marLeft w:val="0"/>
      <w:marRight w:val="0"/>
      <w:marTop w:val="0"/>
      <w:marBottom w:val="0"/>
      <w:divBdr>
        <w:top w:val="none" w:sz="0" w:space="0" w:color="auto"/>
        <w:left w:val="none" w:sz="0" w:space="0" w:color="auto"/>
        <w:bottom w:val="none" w:sz="0" w:space="0" w:color="auto"/>
        <w:right w:val="none" w:sz="0" w:space="0" w:color="auto"/>
      </w:divBdr>
    </w:div>
    <w:div w:id="1462767820">
      <w:bodyDiv w:val="1"/>
      <w:marLeft w:val="0"/>
      <w:marRight w:val="0"/>
      <w:marTop w:val="0"/>
      <w:marBottom w:val="0"/>
      <w:divBdr>
        <w:top w:val="none" w:sz="0" w:space="0" w:color="auto"/>
        <w:left w:val="none" w:sz="0" w:space="0" w:color="auto"/>
        <w:bottom w:val="none" w:sz="0" w:space="0" w:color="auto"/>
        <w:right w:val="none" w:sz="0" w:space="0" w:color="auto"/>
      </w:divBdr>
    </w:div>
    <w:div w:id="1686783135">
      <w:bodyDiv w:val="1"/>
      <w:marLeft w:val="0"/>
      <w:marRight w:val="0"/>
      <w:marTop w:val="0"/>
      <w:marBottom w:val="0"/>
      <w:divBdr>
        <w:top w:val="none" w:sz="0" w:space="0" w:color="auto"/>
        <w:left w:val="none" w:sz="0" w:space="0" w:color="auto"/>
        <w:bottom w:val="none" w:sz="0" w:space="0" w:color="auto"/>
        <w:right w:val="none" w:sz="0" w:space="0" w:color="auto"/>
      </w:divBdr>
    </w:div>
    <w:div w:id="1758163336">
      <w:bodyDiv w:val="1"/>
      <w:marLeft w:val="0"/>
      <w:marRight w:val="0"/>
      <w:marTop w:val="0"/>
      <w:marBottom w:val="0"/>
      <w:divBdr>
        <w:top w:val="none" w:sz="0" w:space="0" w:color="auto"/>
        <w:left w:val="none" w:sz="0" w:space="0" w:color="auto"/>
        <w:bottom w:val="none" w:sz="0" w:space="0" w:color="auto"/>
        <w:right w:val="none" w:sz="0" w:space="0" w:color="auto"/>
      </w:divBdr>
    </w:div>
    <w:div w:id="1793207821">
      <w:bodyDiv w:val="1"/>
      <w:marLeft w:val="0"/>
      <w:marRight w:val="0"/>
      <w:marTop w:val="0"/>
      <w:marBottom w:val="0"/>
      <w:divBdr>
        <w:top w:val="none" w:sz="0" w:space="0" w:color="auto"/>
        <w:left w:val="none" w:sz="0" w:space="0" w:color="auto"/>
        <w:bottom w:val="none" w:sz="0" w:space="0" w:color="auto"/>
        <w:right w:val="none" w:sz="0" w:space="0" w:color="auto"/>
      </w:divBdr>
    </w:div>
    <w:div w:id="1824153918">
      <w:bodyDiv w:val="1"/>
      <w:marLeft w:val="0"/>
      <w:marRight w:val="0"/>
      <w:marTop w:val="0"/>
      <w:marBottom w:val="0"/>
      <w:divBdr>
        <w:top w:val="none" w:sz="0" w:space="0" w:color="auto"/>
        <w:left w:val="none" w:sz="0" w:space="0" w:color="auto"/>
        <w:bottom w:val="none" w:sz="0" w:space="0" w:color="auto"/>
        <w:right w:val="none" w:sz="0" w:space="0" w:color="auto"/>
      </w:divBdr>
    </w:div>
    <w:div w:id="1835946698">
      <w:bodyDiv w:val="1"/>
      <w:marLeft w:val="0"/>
      <w:marRight w:val="0"/>
      <w:marTop w:val="0"/>
      <w:marBottom w:val="0"/>
      <w:divBdr>
        <w:top w:val="none" w:sz="0" w:space="0" w:color="auto"/>
        <w:left w:val="none" w:sz="0" w:space="0" w:color="auto"/>
        <w:bottom w:val="none" w:sz="0" w:space="0" w:color="auto"/>
        <w:right w:val="none" w:sz="0" w:space="0" w:color="auto"/>
      </w:divBdr>
    </w:div>
    <w:div w:id="1891064530">
      <w:bodyDiv w:val="1"/>
      <w:marLeft w:val="0"/>
      <w:marRight w:val="0"/>
      <w:marTop w:val="0"/>
      <w:marBottom w:val="0"/>
      <w:divBdr>
        <w:top w:val="none" w:sz="0" w:space="0" w:color="auto"/>
        <w:left w:val="none" w:sz="0" w:space="0" w:color="auto"/>
        <w:bottom w:val="none" w:sz="0" w:space="0" w:color="auto"/>
        <w:right w:val="none" w:sz="0" w:space="0" w:color="auto"/>
      </w:divBdr>
    </w:div>
    <w:div w:id="1921138036">
      <w:bodyDiv w:val="1"/>
      <w:marLeft w:val="0"/>
      <w:marRight w:val="0"/>
      <w:marTop w:val="0"/>
      <w:marBottom w:val="0"/>
      <w:divBdr>
        <w:top w:val="none" w:sz="0" w:space="0" w:color="auto"/>
        <w:left w:val="none" w:sz="0" w:space="0" w:color="auto"/>
        <w:bottom w:val="none" w:sz="0" w:space="0" w:color="auto"/>
        <w:right w:val="none" w:sz="0" w:space="0" w:color="auto"/>
      </w:divBdr>
    </w:div>
    <w:div w:id="1925913344">
      <w:bodyDiv w:val="1"/>
      <w:marLeft w:val="0"/>
      <w:marRight w:val="0"/>
      <w:marTop w:val="0"/>
      <w:marBottom w:val="0"/>
      <w:divBdr>
        <w:top w:val="none" w:sz="0" w:space="0" w:color="auto"/>
        <w:left w:val="none" w:sz="0" w:space="0" w:color="auto"/>
        <w:bottom w:val="none" w:sz="0" w:space="0" w:color="auto"/>
        <w:right w:val="none" w:sz="0" w:space="0" w:color="auto"/>
      </w:divBdr>
    </w:div>
    <w:div w:id="1975407912">
      <w:bodyDiv w:val="1"/>
      <w:marLeft w:val="0"/>
      <w:marRight w:val="0"/>
      <w:marTop w:val="0"/>
      <w:marBottom w:val="0"/>
      <w:divBdr>
        <w:top w:val="none" w:sz="0" w:space="0" w:color="auto"/>
        <w:left w:val="none" w:sz="0" w:space="0" w:color="auto"/>
        <w:bottom w:val="none" w:sz="0" w:space="0" w:color="auto"/>
        <w:right w:val="none" w:sz="0" w:space="0" w:color="auto"/>
      </w:divBdr>
    </w:div>
    <w:div w:id="2081169174">
      <w:bodyDiv w:val="1"/>
      <w:marLeft w:val="0"/>
      <w:marRight w:val="0"/>
      <w:marTop w:val="0"/>
      <w:marBottom w:val="0"/>
      <w:divBdr>
        <w:top w:val="none" w:sz="0" w:space="0" w:color="auto"/>
        <w:left w:val="none" w:sz="0" w:space="0" w:color="auto"/>
        <w:bottom w:val="none" w:sz="0" w:space="0" w:color="auto"/>
        <w:right w:val="none" w:sz="0" w:space="0" w:color="auto"/>
      </w:divBdr>
    </w:div>
    <w:div w:id="210711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fthansa-technik.com/aviata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br.org/2021/01/how-smart-supply-chains-give-manufacturers-a-competitive-edge" TargetMode="External"/><Relationship Id="rId4" Type="http://schemas.openxmlformats.org/officeDocument/2006/relationships/webSettings" Target="webSettings.xml"/><Relationship Id="rId9" Type="http://schemas.openxmlformats.org/officeDocument/2006/relationships/hyperlink" Target="https://new.siemens.com/global/en/products/services/predictive-servic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6346</Words>
  <Characters>36177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Mark</dc:creator>
  <cp:keywords/>
  <dc:description/>
  <cp:lastModifiedBy>Bamford, Mark</cp:lastModifiedBy>
  <cp:revision>15</cp:revision>
  <dcterms:created xsi:type="dcterms:W3CDTF">2025-08-01T09:53:00Z</dcterms:created>
  <dcterms:modified xsi:type="dcterms:W3CDTF">2025-08-01T10:16:00Z</dcterms:modified>
</cp:coreProperties>
</file>