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95514" w14:textId="7B348921" w:rsidR="00B06EBB" w:rsidRPr="00692C87" w:rsidRDefault="008742C0" w:rsidP="00692C87">
      <w:pPr>
        <w:spacing w:after="0" w:line="360" w:lineRule="auto"/>
        <w:jc w:val="center"/>
        <w:rPr>
          <w:rFonts w:ascii="Calibri" w:hAnsi="Calibri" w:cs="Calibri"/>
          <w:sz w:val="24"/>
        </w:rPr>
      </w:pPr>
      <w:r>
        <w:rPr>
          <w:noProof/>
          <w:lang w:val="en-US"/>
        </w:rPr>
        <w:drawing>
          <wp:inline distT="0" distB="0" distL="0" distR="0" wp14:anchorId="2607B9D0" wp14:editId="117031B7">
            <wp:extent cx="2141220" cy="857358"/>
            <wp:effectExtent l="0" t="0" r="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1271" cy="869391"/>
                    </a:xfrm>
                    <a:prstGeom prst="rect">
                      <a:avLst/>
                    </a:prstGeom>
                    <a:noFill/>
                    <a:ln>
                      <a:noFill/>
                    </a:ln>
                  </pic:spPr>
                </pic:pic>
              </a:graphicData>
            </a:graphic>
          </wp:inline>
        </w:drawing>
      </w:r>
    </w:p>
    <w:p w14:paraId="3791A760" w14:textId="7487076B" w:rsidR="00B06EBB" w:rsidRPr="003A48F1" w:rsidRDefault="00692C87" w:rsidP="00692C87">
      <w:pPr>
        <w:spacing w:after="0" w:line="360" w:lineRule="auto"/>
        <w:jc w:val="center"/>
        <w:rPr>
          <w:rFonts w:ascii="Arial" w:hAnsi="Arial" w:cs="Arial"/>
          <w:b/>
          <w:bCs/>
          <w:color w:val="1F3864" w:themeColor="accent5" w:themeShade="80"/>
          <w:sz w:val="28"/>
          <w:szCs w:val="26"/>
        </w:rPr>
      </w:pPr>
      <w:r w:rsidRPr="003A48F1">
        <w:rPr>
          <w:rFonts w:ascii="Arial" w:hAnsi="Arial" w:cs="Arial"/>
          <w:b/>
          <w:bCs/>
          <w:color w:val="1F3864" w:themeColor="accent5" w:themeShade="80"/>
          <w:sz w:val="40"/>
          <w:szCs w:val="38"/>
        </w:rPr>
        <w:t>Module: LCMB7003 Strategic Management</w:t>
      </w:r>
      <w:r w:rsidRPr="003A48F1">
        <w:rPr>
          <w:rFonts w:ascii="Arial" w:hAnsi="Arial" w:cs="Arial"/>
          <w:b/>
          <w:bCs/>
          <w:color w:val="1F3864" w:themeColor="accent5" w:themeShade="80"/>
          <w:sz w:val="24"/>
        </w:rPr>
        <w:br/>
      </w:r>
      <w:r w:rsidRPr="003A48F1">
        <w:rPr>
          <w:rFonts w:ascii="Arial" w:hAnsi="Arial" w:cs="Arial"/>
          <w:b/>
          <w:bCs/>
          <w:color w:val="1F3864" w:themeColor="accent5" w:themeShade="80"/>
          <w:sz w:val="28"/>
          <w:szCs w:val="26"/>
        </w:rPr>
        <w:t>Programme: Master of Business Administration (MBA)</w:t>
      </w:r>
    </w:p>
    <w:p w14:paraId="1B5571D4" w14:textId="77777777" w:rsidR="00692C87" w:rsidRPr="003A48F1" w:rsidRDefault="00692C87" w:rsidP="00692C87">
      <w:pPr>
        <w:spacing w:after="0" w:line="360" w:lineRule="auto"/>
        <w:jc w:val="center"/>
        <w:rPr>
          <w:rFonts w:ascii="Arial" w:hAnsi="Arial" w:cs="Arial"/>
          <w:sz w:val="24"/>
        </w:rPr>
      </w:pPr>
    </w:p>
    <w:p w14:paraId="5B8CBD6E" w14:textId="77777777" w:rsidR="00692C87" w:rsidRPr="003A48F1" w:rsidRDefault="00B06EBB" w:rsidP="008742C0">
      <w:pPr>
        <w:spacing w:after="0" w:line="240" w:lineRule="auto"/>
        <w:jc w:val="center"/>
        <w:rPr>
          <w:rFonts w:ascii="Arial" w:hAnsi="Arial" w:cs="Arial"/>
          <w:b/>
          <w:bCs/>
          <w:color w:val="1F3864" w:themeColor="accent5" w:themeShade="80"/>
          <w:sz w:val="32"/>
          <w:szCs w:val="14"/>
          <w:lang w:val="en-US"/>
        </w:rPr>
      </w:pPr>
      <w:r w:rsidRPr="003A48F1">
        <w:rPr>
          <w:rFonts w:ascii="Arial" w:hAnsi="Arial" w:cs="Arial"/>
          <w:b/>
          <w:bCs/>
          <w:color w:val="1F3864" w:themeColor="accent5" w:themeShade="80"/>
          <w:sz w:val="32"/>
          <w:szCs w:val="14"/>
          <w:lang w:val="en-US"/>
        </w:rPr>
        <w:t xml:space="preserve">Strategic Management Analysis and Reflective Report: </w:t>
      </w:r>
    </w:p>
    <w:p w14:paraId="69CECFCF" w14:textId="4E4F8421" w:rsidR="00B06EBB" w:rsidRPr="003A48F1" w:rsidRDefault="00B06EBB" w:rsidP="008742C0">
      <w:pPr>
        <w:spacing w:after="0" w:line="240" w:lineRule="auto"/>
        <w:jc w:val="center"/>
        <w:rPr>
          <w:rFonts w:ascii="Arial" w:hAnsi="Arial" w:cs="Arial"/>
          <w:b/>
          <w:bCs/>
          <w:color w:val="1F3864" w:themeColor="accent5" w:themeShade="80"/>
          <w:sz w:val="32"/>
          <w:szCs w:val="14"/>
          <w:lang w:val="en-US"/>
        </w:rPr>
      </w:pPr>
      <w:r w:rsidRPr="003A48F1">
        <w:rPr>
          <w:rFonts w:ascii="Arial" w:hAnsi="Arial" w:cs="Arial"/>
          <w:b/>
          <w:bCs/>
          <w:color w:val="1F3864" w:themeColor="accent5" w:themeShade="80"/>
          <w:sz w:val="32"/>
          <w:szCs w:val="14"/>
          <w:lang w:val="en-US"/>
        </w:rPr>
        <w:t>ASDA Group Ltd.</w:t>
      </w:r>
    </w:p>
    <w:p w14:paraId="10D2B72D" w14:textId="77777777" w:rsidR="00B36A1D" w:rsidRPr="003A48F1" w:rsidRDefault="00B36A1D" w:rsidP="008742C0">
      <w:pPr>
        <w:spacing w:after="0" w:line="240" w:lineRule="auto"/>
        <w:jc w:val="center"/>
        <w:rPr>
          <w:rFonts w:ascii="Arial" w:hAnsi="Arial" w:cs="Arial"/>
          <w:b/>
          <w:bCs/>
          <w:color w:val="1F3864" w:themeColor="accent5" w:themeShade="80"/>
          <w:sz w:val="32"/>
          <w:szCs w:val="14"/>
          <w:lang w:val="en-US"/>
        </w:rPr>
      </w:pPr>
    </w:p>
    <w:p w14:paraId="26FEC4C1" w14:textId="00C9B1B7" w:rsidR="00B36A1D" w:rsidRPr="003A48F1" w:rsidRDefault="00B36A1D" w:rsidP="008742C0">
      <w:pPr>
        <w:spacing w:after="0" w:line="240" w:lineRule="auto"/>
        <w:jc w:val="center"/>
        <w:rPr>
          <w:rFonts w:ascii="Arial" w:hAnsi="Arial" w:cs="Arial"/>
          <w:b/>
          <w:bCs/>
          <w:color w:val="1F3864" w:themeColor="accent5" w:themeShade="80"/>
          <w:sz w:val="32"/>
          <w:szCs w:val="14"/>
          <w:lang w:val="en-US"/>
        </w:rPr>
      </w:pPr>
      <w:r w:rsidRPr="003A48F1">
        <w:rPr>
          <w:rFonts w:ascii="Arial" w:hAnsi="Arial" w:cs="Arial"/>
          <w:b/>
          <w:bCs/>
          <w:color w:val="1F3864" w:themeColor="accent5" w:themeShade="80"/>
          <w:sz w:val="32"/>
          <w:szCs w:val="14"/>
          <w:lang w:val="en-US"/>
        </w:rPr>
        <w:t xml:space="preserve">Lecturer’s name: </w:t>
      </w:r>
      <w:proofErr w:type="spellStart"/>
      <w:r w:rsidRPr="003A48F1">
        <w:rPr>
          <w:rFonts w:ascii="Arial" w:hAnsi="Arial" w:cs="Arial"/>
          <w:b/>
          <w:bCs/>
          <w:color w:val="1F3864" w:themeColor="accent5" w:themeShade="80"/>
          <w:sz w:val="32"/>
          <w:szCs w:val="14"/>
          <w:lang w:val="en-US"/>
        </w:rPr>
        <w:t>Balendran</w:t>
      </w:r>
      <w:proofErr w:type="spellEnd"/>
      <w:r w:rsidRPr="003A48F1">
        <w:rPr>
          <w:rFonts w:ascii="Arial" w:hAnsi="Arial" w:cs="Arial"/>
          <w:b/>
          <w:bCs/>
          <w:color w:val="1F3864" w:themeColor="accent5" w:themeShade="80"/>
          <w:sz w:val="32"/>
          <w:szCs w:val="14"/>
          <w:lang w:val="en-US"/>
        </w:rPr>
        <w:t xml:space="preserve"> Kandasamy</w:t>
      </w:r>
    </w:p>
    <w:p w14:paraId="796DBD63" w14:textId="652C6E0E" w:rsidR="008742C0" w:rsidRPr="003A48F1" w:rsidRDefault="008742C0" w:rsidP="00692C87">
      <w:pPr>
        <w:spacing w:line="276" w:lineRule="auto"/>
        <w:rPr>
          <w:rFonts w:ascii="Arial" w:hAnsi="Arial" w:cs="Arial"/>
          <w:b/>
          <w:bCs/>
          <w:color w:val="1F3864" w:themeColor="accent5" w:themeShade="80"/>
          <w:sz w:val="24"/>
        </w:rPr>
      </w:pPr>
      <w:r w:rsidRPr="003A48F1">
        <w:rPr>
          <w:rFonts w:ascii="Arial" w:hAnsi="Arial" w:cs="Arial"/>
          <w:b/>
          <w:bCs/>
          <w:color w:val="1F3864" w:themeColor="accent5" w:themeShade="80"/>
          <w:sz w:val="24"/>
        </w:rPr>
        <w:br/>
      </w:r>
    </w:p>
    <w:p w14:paraId="02077E46" w14:textId="77777777" w:rsidR="008742C0" w:rsidRPr="003A48F1" w:rsidRDefault="008742C0" w:rsidP="008742C0">
      <w:pPr>
        <w:spacing w:line="276" w:lineRule="auto"/>
        <w:jc w:val="center"/>
        <w:rPr>
          <w:rFonts w:ascii="Arial" w:hAnsi="Arial" w:cs="Arial"/>
          <w:b/>
          <w:bCs/>
          <w:color w:val="1F3864" w:themeColor="accent5" w:themeShade="80"/>
          <w:sz w:val="24"/>
        </w:rPr>
      </w:pPr>
    </w:p>
    <w:p w14:paraId="754F47EF" w14:textId="77777777" w:rsidR="00B36A1D" w:rsidRPr="003A48F1" w:rsidRDefault="008742C0" w:rsidP="00692C87">
      <w:pPr>
        <w:spacing w:line="276" w:lineRule="auto"/>
        <w:ind w:left="2880"/>
        <w:rPr>
          <w:rFonts w:ascii="Arial" w:hAnsi="Arial" w:cs="Arial"/>
          <w:b/>
          <w:bCs/>
          <w:color w:val="1F3864" w:themeColor="accent5" w:themeShade="80"/>
          <w:sz w:val="28"/>
          <w:szCs w:val="26"/>
        </w:rPr>
      </w:pPr>
      <w:r w:rsidRPr="003A48F1">
        <w:rPr>
          <w:rFonts w:ascii="Arial" w:hAnsi="Arial" w:cs="Arial"/>
          <w:b/>
          <w:bCs/>
          <w:color w:val="1F3864" w:themeColor="accent5" w:themeShade="80"/>
          <w:sz w:val="28"/>
          <w:szCs w:val="26"/>
        </w:rPr>
        <w:t>Student Name</w:t>
      </w:r>
      <w:r w:rsidR="00692C87" w:rsidRPr="003A48F1">
        <w:rPr>
          <w:rFonts w:ascii="Arial" w:hAnsi="Arial" w:cs="Arial"/>
          <w:b/>
          <w:bCs/>
          <w:color w:val="1F3864" w:themeColor="accent5" w:themeShade="80"/>
          <w:sz w:val="28"/>
          <w:szCs w:val="26"/>
        </w:rPr>
        <w:tab/>
      </w:r>
      <w:r w:rsidRPr="003A48F1">
        <w:rPr>
          <w:rFonts w:ascii="Arial" w:hAnsi="Arial" w:cs="Arial"/>
          <w:b/>
          <w:bCs/>
          <w:color w:val="1F3864" w:themeColor="accent5" w:themeShade="80"/>
          <w:sz w:val="28"/>
          <w:szCs w:val="26"/>
        </w:rPr>
        <w:t xml:space="preserve">: </w:t>
      </w:r>
      <w:r w:rsidR="00B36A1D" w:rsidRPr="003A48F1">
        <w:rPr>
          <w:rFonts w:ascii="Arial" w:hAnsi="Arial" w:cs="Arial"/>
          <w:b/>
          <w:bCs/>
          <w:color w:val="1F3864" w:themeColor="accent5" w:themeShade="80"/>
          <w:sz w:val="28"/>
          <w:szCs w:val="26"/>
        </w:rPr>
        <w:t xml:space="preserve">Maame </w:t>
      </w:r>
      <w:proofErr w:type="spellStart"/>
      <w:r w:rsidR="00B36A1D" w:rsidRPr="003A48F1">
        <w:rPr>
          <w:rFonts w:ascii="Arial" w:hAnsi="Arial" w:cs="Arial"/>
          <w:b/>
          <w:bCs/>
          <w:color w:val="1F3864" w:themeColor="accent5" w:themeShade="80"/>
          <w:sz w:val="28"/>
          <w:szCs w:val="26"/>
        </w:rPr>
        <w:t>Pinamang</w:t>
      </w:r>
      <w:proofErr w:type="spellEnd"/>
      <w:r w:rsidR="00B36A1D" w:rsidRPr="003A48F1">
        <w:rPr>
          <w:rFonts w:ascii="Arial" w:hAnsi="Arial" w:cs="Arial"/>
          <w:b/>
          <w:bCs/>
          <w:color w:val="1F3864" w:themeColor="accent5" w:themeShade="80"/>
          <w:sz w:val="28"/>
          <w:szCs w:val="26"/>
        </w:rPr>
        <w:t xml:space="preserve"> Bonsu</w:t>
      </w:r>
      <w:r w:rsidRPr="003A48F1">
        <w:rPr>
          <w:rFonts w:ascii="Arial" w:hAnsi="Arial" w:cs="Arial"/>
          <w:b/>
          <w:bCs/>
          <w:color w:val="1F3864" w:themeColor="accent5" w:themeShade="80"/>
          <w:sz w:val="28"/>
          <w:szCs w:val="26"/>
        </w:rPr>
        <w:br/>
        <w:t>Student ID</w:t>
      </w:r>
      <w:r w:rsidR="00692C87" w:rsidRPr="003A48F1">
        <w:rPr>
          <w:rFonts w:ascii="Arial" w:hAnsi="Arial" w:cs="Arial"/>
          <w:b/>
          <w:bCs/>
          <w:color w:val="1F3864" w:themeColor="accent5" w:themeShade="80"/>
          <w:sz w:val="28"/>
          <w:szCs w:val="26"/>
        </w:rPr>
        <w:tab/>
      </w:r>
      <w:r w:rsidR="00692C87" w:rsidRPr="003A48F1">
        <w:rPr>
          <w:rFonts w:ascii="Arial" w:hAnsi="Arial" w:cs="Arial"/>
          <w:b/>
          <w:bCs/>
          <w:color w:val="1F3864" w:themeColor="accent5" w:themeShade="80"/>
          <w:sz w:val="28"/>
          <w:szCs w:val="26"/>
        </w:rPr>
        <w:tab/>
      </w:r>
      <w:r w:rsidRPr="003A48F1">
        <w:rPr>
          <w:rFonts w:ascii="Arial" w:hAnsi="Arial" w:cs="Arial"/>
          <w:b/>
          <w:bCs/>
          <w:color w:val="1F3864" w:themeColor="accent5" w:themeShade="80"/>
          <w:sz w:val="28"/>
          <w:szCs w:val="26"/>
        </w:rPr>
        <w:t xml:space="preserve">: </w:t>
      </w:r>
      <w:r w:rsidR="00B36A1D" w:rsidRPr="003A48F1">
        <w:rPr>
          <w:rFonts w:ascii="Arial" w:hAnsi="Arial" w:cs="Arial"/>
          <w:b/>
          <w:bCs/>
          <w:color w:val="1F3864" w:themeColor="accent5" w:themeShade="80"/>
          <w:sz w:val="28"/>
          <w:szCs w:val="26"/>
        </w:rPr>
        <w:t>2217127</w:t>
      </w:r>
    </w:p>
    <w:p w14:paraId="56D00DF9" w14:textId="63BA3E60" w:rsidR="008742C0" w:rsidRPr="003A48F1" w:rsidRDefault="00B36A1D" w:rsidP="00692C87">
      <w:pPr>
        <w:spacing w:line="276" w:lineRule="auto"/>
        <w:ind w:left="2880"/>
        <w:rPr>
          <w:rFonts w:ascii="Arial" w:hAnsi="Arial" w:cs="Arial"/>
          <w:b/>
          <w:bCs/>
          <w:color w:val="1F3864" w:themeColor="accent5" w:themeShade="80"/>
          <w:sz w:val="28"/>
          <w:szCs w:val="26"/>
        </w:rPr>
      </w:pPr>
      <w:r w:rsidRPr="003A48F1">
        <w:rPr>
          <w:rFonts w:ascii="Arial" w:hAnsi="Arial" w:cs="Arial"/>
          <w:b/>
          <w:bCs/>
          <w:color w:val="1F3864" w:themeColor="accent5" w:themeShade="80"/>
          <w:sz w:val="28"/>
          <w:szCs w:val="26"/>
        </w:rPr>
        <w:t>Date of Submission: 12</w:t>
      </w:r>
      <w:r w:rsidRPr="003A48F1">
        <w:rPr>
          <w:rFonts w:ascii="Arial" w:hAnsi="Arial" w:cs="Arial"/>
          <w:b/>
          <w:bCs/>
          <w:color w:val="1F3864" w:themeColor="accent5" w:themeShade="80"/>
          <w:sz w:val="28"/>
          <w:szCs w:val="26"/>
          <w:vertAlign w:val="superscript"/>
        </w:rPr>
        <w:t>th</w:t>
      </w:r>
      <w:r w:rsidRPr="003A48F1">
        <w:rPr>
          <w:rFonts w:ascii="Arial" w:hAnsi="Arial" w:cs="Arial"/>
          <w:b/>
          <w:bCs/>
          <w:color w:val="1F3864" w:themeColor="accent5" w:themeShade="80"/>
          <w:sz w:val="28"/>
          <w:szCs w:val="26"/>
        </w:rPr>
        <w:t xml:space="preserve"> August 2026</w:t>
      </w:r>
      <w:r w:rsidR="008742C0" w:rsidRPr="003A48F1">
        <w:rPr>
          <w:rFonts w:ascii="Arial" w:hAnsi="Arial" w:cs="Arial"/>
          <w:b/>
          <w:bCs/>
          <w:color w:val="1F3864" w:themeColor="accent5" w:themeShade="80"/>
          <w:sz w:val="28"/>
          <w:szCs w:val="26"/>
        </w:rPr>
        <w:br/>
      </w:r>
      <w:r w:rsidR="00692C87" w:rsidRPr="003A48F1">
        <w:rPr>
          <w:rFonts w:ascii="Arial" w:hAnsi="Arial" w:cs="Arial"/>
          <w:b/>
          <w:bCs/>
          <w:color w:val="1F3864" w:themeColor="accent5" w:themeShade="80"/>
          <w:sz w:val="28"/>
          <w:szCs w:val="26"/>
        </w:rPr>
        <w:t xml:space="preserve"> </w:t>
      </w:r>
    </w:p>
    <w:p w14:paraId="06B4FDC0" w14:textId="77777777" w:rsidR="008742C0" w:rsidRPr="003A48F1" w:rsidRDefault="008742C0" w:rsidP="008742C0">
      <w:pPr>
        <w:spacing w:line="276" w:lineRule="auto"/>
        <w:jc w:val="center"/>
        <w:rPr>
          <w:rFonts w:ascii="Arial" w:hAnsi="Arial" w:cs="Arial"/>
          <w:b/>
          <w:bCs/>
          <w:color w:val="1F3864" w:themeColor="accent5" w:themeShade="80"/>
          <w:sz w:val="24"/>
        </w:rPr>
      </w:pPr>
    </w:p>
    <w:p w14:paraId="669DA1FB" w14:textId="77777777" w:rsidR="003A48F1" w:rsidRDefault="003A48F1" w:rsidP="008742C0">
      <w:pPr>
        <w:spacing w:line="276" w:lineRule="auto"/>
        <w:jc w:val="center"/>
        <w:rPr>
          <w:rFonts w:ascii="Arial" w:hAnsi="Arial" w:cs="Arial"/>
          <w:b/>
          <w:bCs/>
          <w:color w:val="1F3864" w:themeColor="accent5" w:themeShade="80"/>
          <w:sz w:val="24"/>
          <w:lang w:val="en-US"/>
        </w:rPr>
      </w:pPr>
    </w:p>
    <w:p w14:paraId="0F59260E" w14:textId="77777777" w:rsidR="003A48F1" w:rsidRDefault="003A48F1">
      <w:pPr>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br w:type="page"/>
      </w:r>
    </w:p>
    <w:p w14:paraId="5B920411" w14:textId="1C420BE9" w:rsidR="003A48F1" w:rsidRDefault="003A48F1" w:rsidP="008742C0">
      <w:pPr>
        <w:spacing w:line="276" w:lineRule="auto"/>
        <w:jc w:val="center"/>
        <w:rPr>
          <w:rFonts w:ascii="Arial" w:hAnsi="Arial" w:cs="Arial"/>
          <w:b/>
          <w:bCs/>
          <w:color w:val="1F3864" w:themeColor="accent5" w:themeShade="80"/>
          <w:sz w:val="24"/>
          <w:lang w:val="en-US"/>
        </w:rPr>
      </w:pPr>
      <w:r>
        <w:rPr>
          <w:rFonts w:ascii="Arial" w:hAnsi="Arial" w:cs="Arial"/>
          <w:b/>
          <w:bCs/>
          <w:noProof/>
          <w:color w:val="1F3864" w:themeColor="accent5" w:themeShade="80"/>
          <w:sz w:val="24"/>
          <w:lang w:val="en-US"/>
        </w:rPr>
        <w:lastRenderedPageBreak/>
        <w:drawing>
          <wp:inline distT="0" distB="0" distL="0" distR="0" wp14:anchorId="2CCFB819" wp14:editId="5145F736">
            <wp:extent cx="6438900" cy="7124700"/>
            <wp:effectExtent l="0" t="0" r="0" b="0"/>
            <wp:docPr id="182540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04210" name="Picture 1825404210"/>
                    <pic:cNvPicPr/>
                  </pic:nvPicPr>
                  <pic:blipFill>
                    <a:blip r:embed="rId9">
                      <a:extLst>
                        <a:ext uri="{28A0092B-C50C-407E-A947-70E740481C1C}">
                          <a14:useLocalDpi xmlns:a14="http://schemas.microsoft.com/office/drawing/2010/main" val="0"/>
                        </a:ext>
                      </a:extLst>
                    </a:blip>
                    <a:stretch>
                      <a:fillRect/>
                    </a:stretch>
                  </pic:blipFill>
                  <pic:spPr>
                    <a:xfrm>
                      <a:off x="0" y="0"/>
                      <a:ext cx="6439341" cy="7125188"/>
                    </a:xfrm>
                    <a:prstGeom prst="rect">
                      <a:avLst/>
                    </a:prstGeom>
                  </pic:spPr>
                </pic:pic>
              </a:graphicData>
            </a:graphic>
          </wp:inline>
        </w:drawing>
      </w:r>
    </w:p>
    <w:p w14:paraId="69F1FFA3" w14:textId="77777777" w:rsidR="003A48F1" w:rsidRDefault="003A48F1">
      <w:pPr>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br w:type="page"/>
      </w:r>
    </w:p>
    <w:p w14:paraId="0B3DDAD1" w14:textId="77777777" w:rsidR="003A48F1" w:rsidRDefault="003A48F1" w:rsidP="008742C0">
      <w:pPr>
        <w:spacing w:line="276" w:lineRule="auto"/>
        <w:jc w:val="center"/>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Ai Acknowledgement</w:t>
      </w:r>
    </w:p>
    <w:p w14:paraId="6B599985" w14:textId="77777777" w:rsidR="00A35963" w:rsidRDefault="00A35963" w:rsidP="008742C0">
      <w:pPr>
        <w:spacing w:line="276" w:lineRule="auto"/>
        <w:jc w:val="center"/>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acknowledge the use of Grammarly (</w:t>
      </w:r>
      <w:hyperlink r:id="rId10" w:history="1">
        <w:r w:rsidRPr="00771F25">
          <w:rPr>
            <w:rStyle w:val="Hyperlink"/>
            <w:rFonts w:ascii="Arial" w:hAnsi="Arial" w:cs="Arial"/>
            <w:b/>
            <w:bCs/>
            <w:sz w:val="24"/>
            <w:lang w:val="en-US"/>
          </w:rPr>
          <w:t>https://www.grammarly.com</w:t>
        </w:r>
      </w:hyperlink>
      <w:r>
        <w:rPr>
          <w:rFonts w:ascii="Arial" w:hAnsi="Arial" w:cs="Arial"/>
          <w:b/>
          <w:bCs/>
          <w:color w:val="1F3864" w:themeColor="accent5" w:themeShade="80"/>
          <w:sz w:val="24"/>
          <w:lang w:val="en-US"/>
        </w:rPr>
        <w:t xml:space="preserve">) on the </w:t>
      </w:r>
      <w:proofErr w:type="gramStart"/>
      <w:r>
        <w:rPr>
          <w:rFonts w:ascii="Arial" w:hAnsi="Arial" w:cs="Arial"/>
          <w:b/>
          <w:bCs/>
          <w:color w:val="1F3864" w:themeColor="accent5" w:themeShade="80"/>
          <w:sz w:val="24"/>
          <w:lang w:val="en-US"/>
        </w:rPr>
        <w:t>3</w:t>
      </w:r>
      <w:r w:rsidRPr="00A35963">
        <w:rPr>
          <w:rFonts w:ascii="Arial" w:hAnsi="Arial" w:cs="Arial"/>
          <w:b/>
          <w:bCs/>
          <w:color w:val="1F3864" w:themeColor="accent5" w:themeShade="80"/>
          <w:sz w:val="24"/>
          <w:vertAlign w:val="superscript"/>
          <w:lang w:val="en-US"/>
        </w:rPr>
        <w:t>rd</w:t>
      </w:r>
      <w:proofErr w:type="gramEnd"/>
      <w:r>
        <w:rPr>
          <w:rFonts w:ascii="Arial" w:hAnsi="Arial" w:cs="Arial"/>
          <w:b/>
          <w:bCs/>
          <w:color w:val="1F3864" w:themeColor="accent5" w:themeShade="80"/>
          <w:sz w:val="24"/>
          <w:lang w:val="en-US"/>
        </w:rPr>
        <w:t xml:space="preserve"> August 2026 to check my work using the prompt(s):</w:t>
      </w:r>
    </w:p>
    <w:p w14:paraId="0B227588" w14:textId="77777777" w:rsidR="00415BB1" w:rsidRDefault="00415BB1" w:rsidP="008742C0">
      <w:pPr>
        <w:spacing w:line="276" w:lineRule="auto"/>
        <w:jc w:val="center"/>
        <w:rPr>
          <w:rFonts w:ascii="Arial" w:hAnsi="Arial" w:cs="Arial"/>
          <w:b/>
          <w:bCs/>
          <w:color w:val="1F3864" w:themeColor="accent5" w:themeShade="80"/>
          <w:sz w:val="24"/>
          <w:lang w:val="en-US"/>
        </w:rPr>
      </w:pPr>
    </w:p>
    <w:p w14:paraId="7A83C7E0" w14:textId="3E089E05" w:rsidR="00A35963" w:rsidRDefault="00A35963"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used the prompt:</w:t>
      </w:r>
    </w:p>
    <w:p w14:paraId="568048F5" w14:textId="77777777" w:rsidR="00415BB1" w:rsidRDefault="00415BB1" w:rsidP="00A35963">
      <w:pPr>
        <w:spacing w:line="276" w:lineRule="auto"/>
        <w:rPr>
          <w:rFonts w:ascii="Arial" w:hAnsi="Arial" w:cs="Arial"/>
          <w:b/>
          <w:bCs/>
          <w:color w:val="1F3864" w:themeColor="accent5" w:themeShade="80"/>
          <w:sz w:val="24"/>
          <w:lang w:val="en-US"/>
        </w:rPr>
      </w:pPr>
    </w:p>
    <w:p w14:paraId="02F65977" w14:textId="77777777" w:rsidR="00A35963" w:rsidRDefault="00A35963"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1.check the following text for readability, grammar and syntax.</w:t>
      </w:r>
    </w:p>
    <w:p w14:paraId="2431D63C" w14:textId="4BE8B410" w:rsidR="00A35963" w:rsidRDefault="00415BB1"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2.Review citation formatting and referencing consistency (Harvard style)</w:t>
      </w:r>
      <w:r w:rsidR="008F1A7A">
        <w:rPr>
          <w:rFonts w:ascii="Arial" w:hAnsi="Arial" w:cs="Arial"/>
          <w:b/>
          <w:bCs/>
          <w:color w:val="1F3864" w:themeColor="accent5" w:themeShade="80"/>
          <w:sz w:val="24"/>
          <w:lang w:val="en-US"/>
        </w:rPr>
        <w:t>.</w:t>
      </w:r>
    </w:p>
    <w:p w14:paraId="3EA50224" w14:textId="77777777" w:rsidR="00415BB1" w:rsidRDefault="00415BB1" w:rsidP="00A35963">
      <w:pPr>
        <w:spacing w:line="276" w:lineRule="auto"/>
        <w:rPr>
          <w:rFonts w:ascii="Arial" w:hAnsi="Arial" w:cs="Arial"/>
          <w:b/>
          <w:bCs/>
          <w:color w:val="1F3864" w:themeColor="accent5" w:themeShade="80"/>
          <w:sz w:val="24"/>
          <w:lang w:val="en-US"/>
        </w:rPr>
      </w:pPr>
    </w:p>
    <w:p w14:paraId="4E5EA791" w14:textId="77777777" w:rsidR="00415BB1" w:rsidRDefault="00A35963"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confirm that I have not presented any AI generated text as my own work. I confirm I have copies of my drafts, notes, and other resources I used before</w:t>
      </w:r>
      <w:r w:rsidR="00415BB1">
        <w:rPr>
          <w:rFonts w:ascii="Arial" w:hAnsi="Arial" w:cs="Arial"/>
          <w:b/>
          <w:bCs/>
          <w:color w:val="1F3864" w:themeColor="accent5" w:themeShade="80"/>
          <w:sz w:val="24"/>
          <w:lang w:val="en-US"/>
        </w:rPr>
        <w:t>, and after the use of AI tools which I may be asked to provide in evidence.</w:t>
      </w:r>
    </w:p>
    <w:p w14:paraId="1BF3D4BD" w14:textId="77777777" w:rsidR="00415BB1" w:rsidRDefault="00415BB1" w:rsidP="00A35963">
      <w:pPr>
        <w:spacing w:line="276" w:lineRule="auto"/>
        <w:rPr>
          <w:rFonts w:ascii="Arial" w:hAnsi="Arial" w:cs="Arial"/>
          <w:b/>
          <w:bCs/>
          <w:color w:val="1F3864" w:themeColor="accent5" w:themeShade="80"/>
          <w:sz w:val="24"/>
          <w:lang w:val="en-US"/>
        </w:rPr>
      </w:pPr>
    </w:p>
    <w:p w14:paraId="69D13C27" w14:textId="77777777" w:rsidR="00415BB1" w:rsidRDefault="00415BB1"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acknowledge the use of Microsoft 365 Copilot (</w:t>
      </w:r>
      <w:hyperlink r:id="rId11" w:history="1">
        <w:r w:rsidRPr="00771F25">
          <w:rPr>
            <w:rStyle w:val="Hyperlink"/>
            <w:rFonts w:ascii="Arial" w:hAnsi="Arial" w:cs="Arial"/>
            <w:b/>
            <w:bCs/>
            <w:sz w:val="24"/>
            <w:lang w:val="en-US"/>
          </w:rPr>
          <w:t>https://www.microsoft.com</w:t>
        </w:r>
      </w:hyperlink>
      <w:r>
        <w:rPr>
          <w:rFonts w:ascii="Arial" w:hAnsi="Arial" w:cs="Arial"/>
          <w:b/>
          <w:bCs/>
          <w:color w:val="1F3864" w:themeColor="accent5" w:themeShade="80"/>
          <w:sz w:val="24"/>
          <w:lang w:val="en-US"/>
        </w:rPr>
        <w:t>) on 3</w:t>
      </w:r>
      <w:r w:rsidRPr="00415BB1">
        <w:rPr>
          <w:rFonts w:ascii="Arial" w:hAnsi="Arial" w:cs="Arial"/>
          <w:b/>
          <w:bCs/>
          <w:color w:val="1F3864" w:themeColor="accent5" w:themeShade="80"/>
          <w:sz w:val="24"/>
          <w:vertAlign w:val="superscript"/>
          <w:lang w:val="en-US"/>
        </w:rPr>
        <w:t>rd</w:t>
      </w:r>
      <w:r>
        <w:rPr>
          <w:rFonts w:ascii="Arial" w:hAnsi="Arial" w:cs="Arial"/>
          <w:b/>
          <w:bCs/>
          <w:color w:val="1F3864" w:themeColor="accent5" w:themeShade="80"/>
          <w:sz w:val="24"/>
          <w:lang w:val="en-US"/>
        </w:rPr>
        <w:t xml:space="preserve"> August 2026 to support my research using the prompt(s):</w:t>
      </w:r>
    </w:p>
    <w:p w14:paraId="2FDF2319" w14:textId="77777777" w:rsidR="00415BB1" w:rsidRDefault="00415BB1" w:rsidP="00A35963">
      <w:pPr>
        <w:spacing w:line="276" w:lineRule="auto"/>
        <w:rPr>
          <w:rFonts w:ascii="Arial" w:hAnsi="Arial" w:cs="Arial"/>
          <w:b/>
          <w:bCs/>
          <w:color w:val="1F3864" w:themeColor="accent5" w:themeShade="80"/>
          <w:sz w:val="24"/>
          <w:lang w:val="en-US"/>
        </w:rPr>
      </w:pPr>
    </w:p>
    <w:p w14:paraId="546067B7" w14:textId="2DD651A2" w:rsidR="00415BB1" w:rsidRDefault="00415BB1"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used the prompt(s):</w:t>
      </w:r>
    </w:p>
    <w:p w14:paraId="1D09D86B" w14:textId="77777777" w:rsidR="00415BB1" w:rsidRDefault="00415BB1" w:rsidP="00A35963">
      <w:pPr>
        <w:spacing w:line="276" w:lineRule="auto"/>
        <w:rPr>
          <w:rFonts w:ascii="Arial" w:hAnsi="Arial" w:cs="Arial"/>
          <w:b/>
          <w:bCs/>
          <w:color w:val="1F3864" w:themeColor="accent5" w:themeShade="80"/>
          <w:sz w:val="24"/>
          <w:lang w:val="en-US"/>
        </w:rPr>
      </w:pPr>
    </w:p>
    <w:p w14:paraId="75F7BA36" w14:textId="6DD99DDA" w:rsidR="00415BB1" w:rsidRDefault="00415BB1"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1.Provide me with materials on ASDA</w:t>
      </w:r>
    </w:p>
    <w:p w14:paraId="331A9A9C" w14:textId="77777777" w:rsidR="008F1A7A" w:rsidRDefault="008F1A7A" w:rsidP="00A35963">
      <w:pPr>
        <w:spacing w:line="276" w:lineRule="auto"/>
        <w:rPr>
          <w:rFonts w:ascii="Arial" w:hAnsi="Arial" w:cs="Arial"/>
          <w:b/>
          <w:bCs/>
          <w:color w:val="1F3864" w:themeColor="accent5" w:themeShade="80"/>
          <w:sz w:val="24"/>
          <w:lang w:val="en-US"/>
        </w:rPr>
      </w:pPr>
    </w:p>
    <w:p w14:paraId="7E559378" w14:textId="4E676332" w:rsidR="008F1A7A" w:rsidRDefault="008F1A7A" w:rsidP="00A35963">
      <w:pPr>
        <w:spacing w:line="276" w:lineRule="auto"/>
        <w:rPr>
          <w:rFonts w:ascii="Arial" w:hAnsi="Arial" w:cs="Arial"/>
          <w:b/>
          <w:bCs/>
          <w:color w:val="1F3864" w:themeColor="accent5" w:themeShade="80"/>
          <w:sz w:val="24"/>
          <w:lang w:val="en-US"/>
        </w:rPr>
      </w:pPr>
      <w:r>
        <w:rPr>
          <w:rFonts w:ascii="Arial" w:hAnsi="Arial" w:cs="Arial"/>
          <w:b/>
          <w:bCs/>
          <w:color w:val="1F3864" w:themeColor="accent5" w:themeShade="80"/>
          <w:sz w:val="24"/>
          <w:lang w:val="en-US"/>
        </w:rPr>
        <w:t>I confirm that I have not presented any AI generated text as my own work. I confirm I have copies of my drafts, notes, and other resources I used before, and after the use of AI tools which I may be asked to provide in evidence.</w:t>
      </w:r>
    </w:p>
    <w:p w14:paraId="68775EA1" w14:textId="07D3F7AC" w:rsidR="004F60BD" w:rsidRPr="00A35963" w:rsidRDefault="004F60BD" w:rsidP="00A35963">
      <w:pPr>
        <w:spacing w:line="276" w:lineRule="auto"/>
        <w:rPr>
          <w:rFonts w:ascii="Arial" w:hAnsi="Arial" w:cs="Arial"/>
          <w:b/>
          <w:bCs/>
          <w:color w:val="1F3864" w:themeColor="accent5" w:themeShade="80"/>
          <w:sz w:val="24"/>
          <w:lang w:val="en-US"/>
        </w:rPr>
      </w:pPr>
      <w:r w:rsidRPr="00A35963">
        <w:rPr>
          <w:rFonts w:ascii="Arial" w:hAnsi="Arial" w:cs="Arial"/>
          <w:b/>
          <w:bCs/>
          <w:color w:val="1F3864" w:themeColor="accent5" w:themeShade="80"/>
          <w:sz w:val="24"/>
          <w:lang w:val="en-US"/>
        </w:rPr>
        <w:br w:type="page"/>
      </w:r>
    </w:p>
    <w:p w14:paraId="467622F3" w14:textId="77777777" w:rsidR="00B06EBB" w:rsidRPr="003A48F1" w:rsidRDefault="00B06EBB" w:rsidP="004F60BD">
      <w:pPr>
        <w:pStyle w:val="Heading1"/>
        <w:rPr>
          <w:rFonts w:ascii="Arial" w:hAnsi="Arial" w:cs="Arial"/>
          <w:lang w:val="en-US"/>
        </w:rPr>
      </w:pPr>
      <w:bookmarkStart w:id="0" w:name="_Toc237261672"/>
      <w:r w:rsidRPr="003A48F1">
        <w:rPr>
          <w:rFonts w:ascii="Arial" w:hAnsi="Arial" w:cs="Arial"/>
          <w:lang w:val="en-US"/>
        </w:rPr>
        <w:t>Executive Summary</w:t>
      </w:r>
      <w:bookmarkEnd w:id="0"/>
    </w:p>
    <w:p w14:paraId="3D27A3A9" w14:textId="04506EB2" w:rsidR="000C5B2A" w:rsidRPr="003A48F1" w:rsidRDefault="000C5B2A" w:rsidP="000C5B2A">
      <w:pPr>
        <w:spacing w:after="0" w:line="360" w:lineRule="auto"/>
        <w:jc w:val="both"/>
        <w:rPr>
          <w:rFonts w:ascii="Arial" w:hAnsi="Arial" w:cs="Arial"/>
          <w:sz w:val="24"/>
          <w:lang w:val="en-US"/>
        </w:rPr>
      </w:pPr>
      <w:r w:rsidRPr="003A48F1">
        <w:rPr>
          <w:rFonts w:ascii="Arial" w:hAnsi="Arial" w:cs="Arial"/>
          <w:sz w:val="24"/>
          <w:lang w:val="en-US"/>
        </w:rPr>
        <w:t xml:space="preserve">This report critically evaluates the strategic position of the ASDA Group Ltd within the highly competitive UK-based grocery store market. The context of the organisational environment, competitive environment, internal resources, and the future strategic capabilities and strategic options of the ASDA are </w:t>
      </w:r>
      <w:r w:rsidR="00B36A1D" w:rsidRPr="003A48F1">
        <w:rPr>
          <w:rFonts w:ascii="Arial" w:hAnsi="Arial" w:cs="Arial"/>
          <w:sz w:val="24"/>
          <w:lang w:val="en-US"/>
        </w:rPr>
        <w:t>analyzed</w:t>
      </w:r>
      <w:r w:rsidRPr="003A48F1">
        <w:rPr>
          <w:rFonts w:ascii="Arial" w:hAnsi="Arial" w:cs="Arial"/>
          <w:sz w:val="24"/>
          <w:lang w:val="en-US"/>
        </w:rPr>
        <w:t>. The UK grocery market is highly competitive with a constantly changing consumer expectation, undergoing digital transformation, inflation and more discount options such as Aldi and Lidl that present a number of challenges to supermarket chains (Syed, 2020; Rashid, 2023).</w:t>
      </w:r>
    </w:p>
    <w:p w14:paraId="34BE6D00" w14:textId="77777777" w:rsidR="000C5B2A" w:rsidRPr="003A48F1" w:rsidRDefault="000C5B2A" w:rsidP="000C5B2A">
      <w:pPr>
        <w:spacing w:after="0" w:line="360" w:lineRule="auto"/>
        <w:jc w:val="both"/>
        <w:rPr>
          <w:rFonts w:ascii="Arial" w:hAnsi="Arial" w:cs="Arial"/>
          <w:sz w:val="24"/>
          <w:lang w:val="en-US"/>
        </w:rPr>
      </w:pPr>
      <w:r w:rsidRPr="003A48F1">
        <w:rPr>
          <w:rFonts w:ascii="Arial" w:hAnsi="Arial" w:cs="Arial"/>
          <w:sz w:val="24"/>
          <w:lang w:val="en-US"/>
        </w:rPr>
        <w:t>The findings indicate that the principal competitive advantages of ASDA will be Everyday Low Price, the presence of the extensive network of stores, the brand awareness, and the growing potential of the omni-channel strategy (Henry, 2021; Statista, 2023). However, sales of the company stagnated, expenses increased and it experienced the increasing competition with both higher-end and low-end stores, which has undermined its market standing in relation to Tesco and Sainsbury (Statista, 2026; Xiao, Chen and Yu, 2021). There are also identified opportunities concerning digital transformation, customer relationship management, convenience retailing and sustainability efforts, as well as some threats posed by economic uncertainty and availability shortages in the supply chain and evolving consumer patterns (Chapman, 2026; Yang et al., 2024).</w:t>
      </w:r>
    </w:p>
    <w:p w14:paraId="08687457" w14:textId="77777777" w:rsidR="00B06EBB" w:rsidRPr="003A48F1" w:rsidRDefault="000C5B2A" w:rsidP="000C5B2A">
      <w:pPr>
        <w:spacing w:after="0" w:line="360" w:lineRule="auto"/>
        <w:jc w:val="both"/>
        <w:rPr>
          <w:rFonts w:ascii="Arial" w:hAnsi="Arial" w:cs="Arial"/>
          <w:sz w:val="24"/>
          <w:lang w:val="en-US"/>
        </w:rPr>
      </w:pPr>
      <w:r w:rsidRPr="003A48F1">
        <w:rPr>
          <w:rFonts w:ascii="Arial" w:hAnsi="Arial" w:cs="Arial"/>
          <w:sz w:val="24"/>
          <w:lang w:val="en-US"/>
        </w:rPr>
        <w:t>It is recommended that the company implements a market development and digital differentiation approach, which is aimed at enhancing customer experience, improving online capabilities, and more convenience formats. This will aim at creating greater long-term competitiveness and still focus on value in ASDA. The reflective section explores the research and analytical process undertaken with a focus on the requirement of strategic frameworks, critical thinking and evidence-based decision making in the modern strategic management practice.</w:t>
      </w:r>
    </w:p>
    <w:p w14:paraId="2A43F131" w14:textId="77777777" w:rsidR="000C5B2A" w:rsidRPr="003A48F1" w:rsidRDefault="000C5B2A">
      <w:pPr>
        <w:rPr>
          <w:rFonts w:ascii="Arial" w:hAnsi="Arial" w:cs="Arial"/>
          <w:sz w:val="24"/>
          <w:lang w:val="en-US"/>
        </w:rPr>
      </w:pPr>
      <w:r w:rsidRPr="003A48F1">
        <w:rPr>
          <w:rFonts w:ascii="Arial" w:hAnsi="Arial" w:cs="Arial"/>
          <w:sz w:val="24"/>
          <w:lang w:val="en-US"/>
        </w:rPr>
        <w:br w:type="page"/>
      </w:r>
    </w:p>
    <w:sdt>
      <w:sdtPr>
        <w:rPr>
          <w:rFonts w:ascii="Arial" w:eastAsiaTheme="minorHAnsi" w:hAnsi="Arial" w:cs="Arial"/>
          <w:b/>
          <w:color w:val="1F3864" w:themeColor="accent5" w:themeShade="80"/>
          <w:sz w:val="22"/>
          <w:szCs w:val="22"/>
          <w:lang w:val="en-GB"/>
        </w:rPr>
        <w:id w:val="2111689348"/>
        <w:docPartObj>
          <w:docPartGallery w:val="Table of Contents"/>
          <w:docPartUnique/>
        </w:docPartObj>
      </w:sdtPr>
      <w:sdtEndPr>
        <w:rPr>
          <w:bCs/>
          <w:noProof/>
          <w:color w:val="auto"/>
        </w:rPr>
      </w:sdtEndPr>
      <w:sdtContent>
        <w:p w14:paraId="0B88B880" w14:textId="77777777" w:rsidR="00F82749" w:rsidRPr="003A48F1" w:rsidRDefault="00F82749" w:rsidP="00F82749">
          <w:pPr>
            <w:pStyle w:val="TOCHeading"/>
            <w:spacing w:line="360" w:lineRule="auto"/>
            <w:jc w:val="center"/>
            <w:rPr>
              <w:rFonts w:ascii="Arial" w:hAnsi="Arial" w:cs="Arial"/>
              <w:b/>
              <w:color w:val="1F3864" w:themeColor="accent5" w:themeShade="80"/>
            </w:rPr>
          </w:pPr>
          <w:r w:rsidRPr="003A48F1">
            <w:rPr>
              <w:rFonts w:ascii="Arial" w:hAnsi="Arial" w:cs="Arial"/>
              <w:b/>
              <w:color w:val="1F3864" w:themeColor="accent5" w:themeShade="80"/>
            </w:rPr>
            <w:t>Table of Contents</w:t>
          </w:r>
        </w:p>
        <w:p w14:paraId="171AB5DC" w14:textId="667835CB" w:rsidR="00D833C8" w:rsidRPr="003A48F1" w:rsidRDefault="00F82749">
          <w:pPr>
            <w:pStyle w:val="TOC1"/>
            <w:tabs>
              <w:tab w:val="right" w:leader="dot" w:pos="9350"/>
            </w:tabs>
            <w:rPr>
              <w:rFonts w:ascii="Arial" w:eastAsiaTheme="minorEastAsia" w:hAnsi="Arial" w:cs="Arial"/>
              <w:noProof/>
              <w:sz w:val="24"/>
              <w:szCs w:val="24"/>
              <w:lang w:val="en-US"/>
            </w:rPr>
          </w:pPr>
          <w:r w:rsidRPr="003A48F1">
            <w:rPr>
              <w:rFonts w:ascii="Arial" w:hAnsi="Arial" w:cs="Arial"/>
            </w:rPr>
            <w:fldChar w:fldCharType="begin"/>
          </w:r>
          <w:r w:rsidRPr="003A48F1">
            <w:rPr>
              <w:rFonts w:ascii="Arial" w:hAnsi="Arial" w:cs="Arial"/>
            </w:rPr>
            <w:instrText xml:space="preserve"> TOC \o "1-3" \h \z \u </w:instrText>
          </w:r>
          <w:r w:rsidRPr="003A48F1">
            <w:rPr>
              <w:rFonts w:ascii="Arial" w:hAnsi="Arial" w:cs="Arial"/>
            </w:rPr>
            <w:fldChar w:fldCharType="separate"/>
          </w:r>
          <w:hyperlink w:anchor="_Toc237261672" w:history="1">
            <w:r w:rsidR="00D833C8" w:rsidRPr="003A48F1">
              <w:rPr>
                <w:rStyle w:val="Hyperlink"/>
                <w:rFonts w:ascii="Arial" w:hAnsi="Arial" w:cs="Arial"/>
                <w:noProof/>
                <w:sz w:val="24"/>
                <w:szCs w:val="24"/>
                <w:lang w:val="en-US"/>
              </w:rPr>
              <w:t>Executive Summary</w:t>
            </w:r>
            <w:r w:rsidR="00D833C8" w:rsidRPr="003A48F1">
              <w:rPr>
                <w:rFonts w:ascii="Arial" w:hAnsi="Arial" w:cs="Arial"/>
                <w:noProof/>
                <w:webHidden/>
                <w:sz w:val="24"/>
                <w:szCs w:val="24"/>
              </w:rPr>
              <w:tab/>
            </w:r>
            <w:r w:rsidR="00D833C8" w:rsidRPr="003A48F1">
              <w:rPr>
                <w:rFonts w:ascii="Arial" w:hAnsi="Arial" w:cs="Arial"/>
                <w:noProof/>
                <w:webHidden/>
                <w:sz w:val="24"/>
                <w:szCs w:val="24"/>
              </w:rPr>
              <w:fldChar w:fldCharType="begin"/>
            </w:r>
            <w:r w:rsidR="00D833C8" w:rsidRPr="003A48F1">
              <w:rPr>
                <w:rFonts w:ascii="Arial" w:hAnsi="Arial" w:cs="Arial"/>
                <w:noProof/>
                <w:webHidden/>
                <w:sz w:val="24"/>
                <w:szCs w:val="24"/>
              </w:rPr>
              <w:instrText xml:space="preserve"> PAGEREF _Toc237261672 \h </w:instrText>
            </w:r>
            <w:r w:rsidR="00D833C8" w:rsidRPr="003A48F1">
              <w:rPr>
                <w:rFonts w:ascii="Arial" w:hAnsi="Arial" w:cs="Arial"/>
                <w:noProof/>
                <w:webHidden/>
                <w:sz w:val="24"/>
                <w:szCs w:val="24"/>
              </w:rPr>
            </w:r>
            <w:r w:rsidR="00D833C8" w:rsidRPr="003A48F1">
              <w:rPr>
                <w:rFonts w:ascii="Arial" w:hAnsi="Arial" w:cs="Arial"/>
                <w:noProof/>
                <w:webHidden/>
                <w:sz w:val="24"/>
                <w:szCs w:val="24"/>
              </w:rPr>
              <w:fldChar w:fldCharType="separate"/>
            </w:r>
            <w:r w:rsidR="008F1A7A">
              <w:rPr>
                <w:rFonts w:ascii="Arial" w:hAnsi="Arial" w:cs="Arial"/>
                <w:noProof/>
                <w:webHidden/>
                <w:sz w:val="24"/>
                <w:szCs w:val="24"/>
              </w:rPr>
              <w:t>4</w:t>
            </w:r>
            <w:r w:rsidR="00D833C8" w:rsidRPr="003A48F1">
              <w:rPr>
                <w:rFonts w:ascii="Arial" w:hAnsi="Arial" w:cs="Arial"/>
                <w:noProof/>
                <w:webHidden/>
                <w:sz w:val="24"/>
                <w:szCs w:val="24"/>
              </w:rPr>
              <w:fldChar w:fldCharType="end"/>
            </w:r>
          </w:hyperlink>
        </w:p>
        <w:p w14:paraId="76BF649A" w14:textId="14C05A52" w:rsidR="00D833C8" w:rsidRPr="003A48F1" w:rsidRDefault="00D833C8">
          <w:pPr>
            <w:pStyle w:val="TOC1"/>
            <w:tabs>
              <w:tab w:val="right" w:leader="dot" w:pos="9350"/>
            </w:tabs>
            <w:rPr>
              <w:rFonts w:ascii="Arial" w:eastAsiaTheme="minorEastAsia" w:hAnsi="Arial" w:cs="Arial"/>
              <w:noProof/>
              <w:sz w:val="24"/>
              <w:szCs w:val="24"/>
              <w:lang w:val="en-US"/>
            </w:rPr>
          </w:pPr>
          <w:hyperlink w:anchor="_Toc237261673" w:history="1">
            <w:r w:rsidRPr="003A48F1">
              <w:rPr>
                <w:rStyle w:val="Hyperlink"/>
                <w:rFonts w:ascii="Arial" w:hAnsi="Arial" w:cs="Arial"/>
                <w:noProof/>
                <w:sz w:val="24"/>
                <w:szCs w:val="24"/>
                <w:lang w:val="en-US"/>
              </w:rPr>
              <w:t>Section 1: Strategic Analysis and Choices</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_Toc237261673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6</w:t>
            </w:r>
            <w:r w:rsidRPr="003A48F1">
              <w:rPr>
                <w:rFonts w:ascii="Arial" w:hAnsi="Arial" w:cs="Arial"/>
                <w:noProof/>
                <w:webHidden/>
                <w:sz w:val="24"/>
                <w:szCs w:val="24"/>
              </w:rPr>
              <w:fldChar w:fldCharType="end"/>
            </w:r>
          </w:hyperlink>
        </w:p>
        <w:p w14:paraId="2783642E" w14:textId="7B71707A" w:rsidR="00D833C8" w:rsidRPr="003A48F1" w:rsidRDefault="00D833C8">
          <w:pPr>
            <w:pStyle w:val="TOC1"/>
            <w:tabs>
              <w:tab w:val="right" w:leader="dot" w:pos="9350"/>
            </w:tabs>
            <w:rPr>
              <w:rFonts w:ascii="Arial" w:eastAsiaTheme="minorEastAsia" w:hAnsi="Arial" w:cs="Arial"/>
              <w:noProof/>
              <w:sz w:val="24"/>
              <w:szCs w:val="24"/>
              <w:lang w:val="en-US"/>
            </w:rPr>
          </w:pPr>
          <w:hyperlink w:anchor="_Toc237261674" w:history="1">
            <w:r w:rsidRPr="003A48F1">
              <w:rPr>
                <w:rStyle w:val="Hyperlink"/>
                <w:rFonts w:ascii="Arial" w:hAnsi="Arial" w:cs="Arial"/>
                <w:noProof/>
                <w:sz w:val="24"/>
                <w:szCs w:val="24"/>
                <w:lang w:val="en-US"/>
              </w:rPr>
              <w:t>1. Introduction and Organisational Context</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_Toc237261674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6</w:t>
            </w:r>
            <w:r w:rsidRPr="003A48F1">
              <w:rPr>
                <w:rFonts w:ascii="Arial" w:hAnsi="Arial" w:cs="Arial"/>
                <w:noProof/>
                <w:webHidden/>
                <w:sz w:val="24"/>
                <w:szCs w:val="24"/>
              </w:rPr>
              <w:fldChar w:fldCharType="end"/>
            </w:r>
          </w:hyperlink>
        </w:p>
        <w:p w14:paraId="76A6F27A" w14:textId="04930C80" w:rsidR="00D833C8" w:rsidRPr="003A48F1" w:rsidRDefault="00D833C8">
          <w:pPr>
            <w:pStyle w:val="TOC1"/>
            <w:tabs>
              <w:tab w:val="right" w:leader="dot" w:pos="9350"/>
            </w:tabs>
            <w:rPr>
              <w:rFonts w:ascii="Arial" w:eastAsiaTheme="minorEastAsia" w:hAnsi="Arial" w:cs="Arial"/>
              <w:noProof/>
              <w:sz w:val="24"/>
              <w:szCs w:val="24"/>
              <w:lang w:val="en-US"/>
            </w:rPr>
          </w:pPr>
          <w:hyperlink w:anchor="_Toc237261675" w:history="1">
            <w:r w:rsidRPr="003A48F1">
              <w:rPr>
                <w:rStyle w:val="Hyperlink"/>
                <w:rFonts w:ascii="Arial" w:hAnsi="Arial" w:cs="Arial"/>
                <w:noProof/>
                <w:sz w:val="24"/>
                <w:szCs w:val="24"/>
                <w:lang w:val="en-US"/>
              </w:rPr>
              <w:t>2. External and Internal Analysis</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_Toc237261675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7</w:t>
            </w:r>
            <w:r w:rsidRPr="003A48F1">
              <w:rPr>
                <w:rFonts w:ascii="Arial" w:hAnsi="Arial" w:cs="Arial"/>
                <w:noProof/>
                <w:webHidden/>
                <w:sz w:val="24"/>
                <w:szCs w:val="24"/>
              </w:rPr>
              <w:fldChar w:fldCharType="end"/>
            </w:r>
          </w:hyperlink>
        </w:p>
        <w:p w14:paraId="7DB1343E" w14:textId="44613BC9" w:rsidR="00D833C8" w:rsidRPr="003A48F1" w:rsidRDefault="00D833C8">
          <w:pPr>
            <w:pStyle w:val="TOC2"/>
            <w:tabs>
              <w:tab w:val="right" w:leader="dot" w:pos="9350"/>
            </w:tabs>
            <w:rPr>
              <w:rFonts w:ascii="Arial" w:eastAsiaTheme="minorEastAsia" w:hAnsi="Arial" w:cs="Arial"/>
              <w:noProof/>
              <w:sz w:val="24"/>
              <w:szCs w:val="24"/>
              <w:lang w:val="en-US"/>
            </w:rPr>
          </w:pPr>
          <w:hyperlink w:anchor="_Toc237261676" w:history="1">
            <w:r w:rsidRPr="003A48F1">
              <w:rPr>
                <w:rStyle w:val="Hyperlink"/>
                <w:rFonts w:ascii="Arial" w:hAnsi="Arial" w:cs="Arial"/>
                <w:noProof/>
                <w:sz w:val="24"/>
                <w:szCs w:val="24"/>
                <w:lang w:val="en-US"/>
              </w:rPr>
              <w:t>2.1 External Analysis (PESTEL)</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_Toc237261676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7</w:t>
            </w:r>
            <w:r w:rsidRPr="003A48F1">
              <w:rPr>
                <w:rFonts w:ascii="Arial" w:hAnsi="Arial" w:cs="Arial"/>
                <w:noProof/>
                <w:webHidden/>
                <w:sz w:val="24"/>
                <w:szCs w:val="24"/>
              </w:rPr>
              <w:fldChar w:fldCharType="end"/>
            </w:r>
          </w:hyperlink>
        </w:p>
        <w:p w14:paraId="122E2D88" w14:textId="33A37258" w:rsidR="00D833C8" w:rsidRPr="003A48F1" w:rsidRDefault="00D833C8">
          <w:pPr>
            <w:pStyle w:val="TOC2"/>
            <w:tabs>
              <w:tab w:val="right" w:leader="dot" w:pos="9350"/>
            </w:tabs>
            <w:rPr>
              <w:rFonts w:ascii="Arial" w:eastAsiaTheme="minorEastAsia" w:hAnsi="Arial" w:cs="Arial"/>
              <w:noProof/>
              <w:sz w:val="24"/>
              <w:szCs w:val="24"/>
              <w:lang w:val="en-US"/>
            </w:rPr>
          </w:pPr>
          <w:hyperlink w:anchor="_Toc237261677" w:history="1">
            <w:r w:rsidRPr="003A48F1">
              <w:rPr>
                <w:rStyle w:val="Hyperlink"/>
                <w:rFonts w:ascii="Arial" w:hAnsi="Arial" w:cs="Arial"/>
                <w:noProof/>
                <w:sz w:val="24"/>
                <w:szCs w:val="24"/>
                <w:lang w:val="en-US"/>
              </w:rPr>
              <w:t>2.2 Internal Analysis (VRIO)</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_Toc237261677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10</w:t>
            </w:r>
            <w:r w:rsidRPr="003A48F1">
              <w:rPr>
                <w:rFonts w:ascii="Arial" w:hAnsi="Arial" w:cs="Arial"/>
                <w:noProof/>
                <w:webHidden/>
                <w:sz w:val="24"/>
                <w:szCs w:val="24"/>
              </w:rPr>
              <w:fldChar w:fldCharType="end"/>
            </w:r>
          </w:hyperlink>
        </w:p>
        <w:p w14:paraId="10956964" w14:textId="2B84A676" w:rsidR="00D833C8" w:rsidRPr="003A48F1" w:rsidRDefault="00D833C8">
          <w:pPr>
            <w:pStyle w:val="TOC2"/>
            <w:tabs>
              <w:tab w:val="right" w:leader="dot" w:pos="9350"/>
            </w:tabs>
            <w:rPr>
              <w:rFonts w:ascii="Arial" w:eastAsiaTheme="minorEastAsia" w:hAnsi="Arial" w:cs="Arial"/>
              <w:noProof/>
              <w:sz w:val="24"/>
              <w:szCs w:val="24"/>
              <w:lang w:val="en-US"/>
            </w:rPr>
          </w:pPr>
          <w:hyperlink w:anchor="_Toc237261678" w:history="1">
            <w:r w:rsidRPr="003A48F1">
              <w:rPr>
                <w:rStyle w:val="Hyperlink"/>
                <w:rFonts w:ascii="Arial" w:hAnsi="Arial" w:cs="Arial"/>
                <w:noProof/>
                <w:sz w:val="24"/>
                <w:szCs w:val="24"/>
                <w:lang w:val="en-US"/>
              </w:rPr>
              <w:t>2.3 SWOT Matrix Synthesis</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_Toc237261678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12</w:t>
            </w:r>
            <w:r w:rsidRPr="003A48F1">
              <w:rPr>
                <w:rFonts w:ascii="Arial" w:hAnsi="Arial" w:cs="Arial"/>
                <w:noProof/>
                <w:webHidden/>
                <w:sz w:val="24"/>
                <w:szCs w:val="24"/>
              </w:rPr>
              <w:fldChar w:fldCharType="end"/>
            </w:r>
          </w:hyperlink>
        </w:p>
        <w:p w14:paraId="4EF8D088" w14:textId="13F3DEDF" w:rsidR="00D833C8" w:rsidRPr="003A48F1" w:rsidRDefault="00D833C8">
          <w:pPr>
            <w:pStyle w:val="TOC1"/>
            <w:tabs>
              <w:tab w:val="right" w:leader="dot" w:pos="9350"/>
            </w:tabs>
            <w:rPr>
              <w:rFonts w:ascii="Arial" w:eastAsiaTheme="minorEastAsia" w:hAnsi="Arial" w:cs="Arial"/>
              <w:noProof/>
              <w:lang w:val="en-US"/>
            </w:rPr>
          </w:pPr>
          <w:hyperlink w:anchor="_Toc237261679" w:history="1">
            <w:r w:rsidRPr="003A48F1">
              <w:rPr>
                <w:rStyle w:val="Hyperlink"/>
                <w:rFonts w:ascii="Arial" w:hAnsi="Arial" w:cs="Arial"/>
                <w:noProof/>
                <w:sz w:val="24"/>
                <w:szCs w:val="24"/>
                <w:lang w:val="en-US"/>
              </w:rPr>
              <w:t>3. Comprehensive and Holistic View of the Organisation</w:t>
            </w:r>
            <w:r w:rsidRPr="003A48F1">
              <w:rPr>
                <w:rFonts w:ascii="Arial" w:hAnsi="Arial" w:cs="Arial"/>
                <w:noProof/>
                <w:webHidden/>
                <w:sz w:val="24"/>
                <w:szCs w:val="24"/>
              </w:rPr>
              <w:tab/>
            </w:r>
            <w:r w:rsidRPr="003A48F1">
              <w:rPr>
                <w:rFonts w:ascii="Arial" w:hAnsi="Arial" w:cs="Arial"/>
                <w:noProof/>
                <w:webHidden/>
                <w:sz w:val="24"/>
                <w:szCs w:val="24"/>
              </w:rPr>
              <w:fldChar w:fldCharType="begin"/>
            </w:r>
            <w:r w:rsidRPr="003A48F1">
              <w:rPr>
                <w:rFonts w:ascii="Arial" w:hAnsi="Arial" w:cs="Arial"/>
                <w:noProof/>
                <w:webHidden/>
                <w:sz w:val="24"/>
                <w:szCs w:val="24"/>
              </w:rPr>
              <w:instrText xml:space="preserve"> PAGEREF _Toc237261679 \h </w:instrText>
            </w:r>
            <w:r w:rsidRPr="003A48F1">
              <w:rPr>
                <w:rFonts w:ascii="Arial" w:hAnsi="Arial" w:cs="Arial"/>
                <w:noProof/>
                <w:webHidden/>
                <w:sz w:val="24"/>
                <w:szCs w:val="24"/>
              </w:rPr>
            </w:r>
            <w:r w:rsidRPr="003A48F1">
              <w:rPr>
                <w:rFonts w:ascii="Arial" w:hAnsi="Arial" w:cs="Arial"/>
                <w:noProof/>
                <w:webHidden/>
                <w:sz w:val="24"/>
                <w:szCs w:val="24"/>
              </w:rPr>
              <w:fldChar w:fldCharType="separate"/>
            </w:r>
            <w:r w:rsidR="008F1A7A">
              <w:rPr>
                <w:rFonts w:ascii="Arial" w:hAnsi="Arial" w:cs="Arial"/>
                <w:noProof/>
                <w:webHidden/>
                <w:sz w:val="24"/>
                <w:szCs w:val="24"/>
              </w:rPr>
              <w:t>13</w:t>
            </w:r>
            <w:r w:rsidRPr="003A48F1">
              <w:rPr>
                <w:rFonts w:ascii="Arial" w:hAnsi="Arial" w:cs="Arial"/>
                <w:noProof/>
                <w:webHidden/>
                <w:sz w:val="24"/>
                <w:szCs w:val="24"/>
              </w:rPr>
              <w:fldChar w:fldCharType="end"/>
            </w:r>
          </w:hyperlink>
        </w:p>
        <w:p w14:paraId="3A64DBE1" w14:textId="49D5753B" w:rsidR="00D833C8" w:rsidRPr="003A48F1" w:rsidRDefault="00D833C8">
          <w:pPr>
            <w:pStyle w:val="TOC2"/>
            <w:tabs>
              <w:tab w:val="right" w:leader="dot" w:pos="9350"/>
            </w:tabs>
            <w:rPr>
              <w:rFonts w:ascii="Arial" w:eastAsiaTheme="minorEastAsia" w:hAnsi="Arial" w:cs="Arial"/>
              <w:noProof/>
              <w:lang w:val="en-US"/>
            </w:rPr>
          </w:pPr>
          <w:hyperlink w:anchor="_Toc237261680" w:history="1">
            <w:r w:rsidRPr="003A48F1">
              <w:rPr>
                <w:rStyle w:val="Hyperlink"/>
                <w:rFonts w:ascii="Arial" w:hAnsi="Arial" w:cs="Arial"/>
                <w:noProof/>
                <w:lang w:val="en-US"/>
              </w:rPr>
              <w:t>3.1 CSR Strategy Evaluation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_Toc237261680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13</w:t>
            </w:r>
            <w:r w:rsidRPr="003A48F1">
              <w:rPr>
                <w:rFonts w:ascii="Arial" w:hAnsi="Arial" w:cs="Arial"/>
                <w:noProof/>
                <w:webHidden/>
              </w:rPr>
              <w:fldChar w:fldCharType="end"/>
            </w:r>
          </w:hyperlink>
        </w:p>
        <w:p w14:paraId="4A5424D9" w14:textId="055ABF49" w:rsidR="00D833C8" w:rsidRPr="003A48F1" w:rsidRDefault="00D833C8">
          <w:pPr>
            <w:pStyle w:val="TOC2"/>
            <w:tabs>
              <w:tab w:val="right" w:leader="dot" w:pos="9350"/>
            </w:tabs>
            <w:rPr>
              <w:rFonts w:ascii="Arial" w:eastAsiaTheme="minorEastAsia" w:hAnsi="Arial" w:cs="Arial"/>
              <w:noProof/>
              <w:lang w:val="en-US"/>
            </w:rPr>
          </w:pPr>
          <w:hyperlink w:anchor="_Toc237261681" w:history="1">
            <w:r w:rsidRPr="003A48F1">
              <w:rPr>
                <w:rStyle w:val="Hyperlink"/>
                <w:rFonts w:ascii="Arial" w:hAnsi="Arial" w:cs="Arial"/>
                <w:noProof/>
                <w:lang w:val="en-US"/>
              </w:rPr>
              <w:t>3.2 Balanced Scorecard Framework for ASDA</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_Toc237261681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14</w:t>
            </w:r>
            <w:r w:rsidRPr="003A48F1">
              <w:rPr>
                <w:rFonts w:ascii="Arial" w:hAnsi="Arial" w:cs="Arial"/>
                <w:noProof/>
                <w:webHidden/>
              </w:rPr>
              <w:fldChar w:fldCharType="end"/>
            </w:r>
          </w:hyperlink>
        </w:p>
        <w:p w14:paraId="19167812" w14:textId="59E598FE" w:rsidR="00D833C8" w:rsidRPr="003A48F1" w:rsidRDefault="00D833C8">
          <w:pPr>
            <w:pStyle w:val="TOC1"/>
            <w:tabs>
              <w:tab w:val="right" w:leader="dot" w:pos="9350"/>
            </w:tabs>
            <w:rPr>
              <w:rFonts w:ascii="Arial" w:eastAsiaTheme="minorEastAsia" w:hAnsi="Arial" w:cs="Arial"/>
              <w:noProof/>
              <w:lang w:val="en-US"/>
            </w:rPr>
          </w:pPr>
          <w:hyperlink w:anchor="_Toc237261682" w:history="1">
            <w:r w:rsidRPr="003A48F1">
              <w:rPr>
                <w:rStyle w:val="Hyperlink"/>
                <w:rFonts w:ascii="Arial" w:hAnsi="Arial" w:cs="Arial"/>
                <w:noProof/>
                <w:lang w:val="en-US"/>
              </w:rPr>
              <w:t>4. Strategic Choices, Implementation and Section Conclusion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_Toc237261682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17</w:t>
            </w:r>
            <w:r w:rsidRPr="003A48F1">
              <w:rPr>
                <w:rFonts w:ascii="Arial" w:hAnsi="Arial" w:cs="Arial"/>
                <w:noProof/>
                <w:webHidden/>
              </w:rPr>
              <w:fldChar w:fldCharType="end"/>
            </w:r>
          </w:hyperlink>
        </w:p>
        <w:p w14:paraId="0E08F8D9" w14:textId="69687FAD" w:rsidR="00D833C8" w:rsidRPr="003A48F1" w:rsidRDefault="00D833C8">
          <w:pPr>
            <w:pStyle w:val="TOC2"/>
            <w:tabs>
              <w:tab w:val="right" w:leader="dot" w:pos="9350"/>
            </w:tabs>
            <w:rPr>
              <w:rFonts w:ascii="Arial" w:eastAsiaTheme="minorEastAsia" w:hAnsi="Arial" w:cs="Arial"/>
              <w:noProof/>
              <w:lang w:val="en-US"/>
            </w:rPr>
          </w:pPr>
          <w:hyperlink w:anchor="_Toc237261683" w:history="1">
            <w:r w:rsidRPr="003A48F1">
              <w:rPr>
                <w:rStyle w:val="Hyperlink"/>
                <w:rFonts w:ascii="Arial" w:hAnsi="Arial" w:cs="Arial"/>
                <w:noProof/>
                <w:lang w:val="en-US"/>
              </w:rPr>
              <w:t>4.1 Business-Level Strategy</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_Toc237261683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17</w:t>
            </w:r>
            <w:r w:rsidRPr="003A48F1">
              <w:rPr>
                <w:rFonts w:ascii="Arial" w:hAnsi="Arial" w:cs="Arial"/>
                <w:noProof/>
                <w:webHidden/>
              </w:rPr>
              <w:fldChar w:fldCharType="end"/>
            </w:r>
          </w:hyperlink>
        </w:p>
        <w:p w14:paraId="093F5A0D" w14:textId="771E77DF" w:rsidR="00D833C8" w:rsidRPr="003A48F1" w:rsidRDefault="00D833C8">
          <w:pPr>
            <w:pStyle w:val="TOC2"/>
            <w:tabs>
              <w:tab w:val="right" w:leader="dot" w:pos="9350"/>
            </w:tabs>
            <w:rPr>
              <w:rFonts w:ascii="Arial" w:eastAsiaTheme="minorEastAsia" w:hAnsi="Arial" w:cs="Arial"/>
              <w:noProof/>
              <w:lang w:val="en-US"/>
            </w:rPr>
          </w:pPr>
          <w:hyperlink w:anchor="_Toc237261684" w:history="1">
            <w:r w:rsidRPr="003A48F1">
              <w:rPr>
                <w:rStyle w:val="Hyperlink"/>
                <w:rFonts w:ascii="Arial" w:hAnsi="Arial" w:cs="Arial"/>
                <w:noProof/>
                <w:lang w:val="en-US"/>
              </w:rPr>
              <w:t>4.2 Strategy Selection and Validation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_Toc237261684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18</w:t>
            </w:r>
            <w:r w:rsidRPr="003A48F1">
              <w:rPr>
                <w:rFonts w:ascii="Arial" w:hAnsi="Arial" w:cs="Arial"/>
                <w:noProof/>
                <w:webHidden/>
              </w:rPr>
              <w:fldChar w:fldCharType="end"/>
            </w:r>
          </w:hyperlink>
        </w:p>
        <w:p w14:paraId="5E6E678F" w14:textId="4E145461" w:rsidR="00D833C8" w:rsidRPr="003A48F1" w:rsidRDefault="00D833C8">
          <w:pPr>
            <w:pStyle w:val="TOC2"/>
            <w:tabs>
              <w:tab w:val="right" w:leader="dot" w:pos="9350"/>
            </w:tabs>
            <w:rPr>
              <w:rFonts w:ascii="Arial" w:eastAsiaTheme="minorEastAsia" w:hAnsi="Arial" w:cs="Arial"/>
              <w:noProof/>
              <w:lang w:val="en-US"/>
            </w:rPr>
          </w:pPr>
          <w:hyperlink w:anchor="_Toc237261685" w:history="1">
            <w:r w:rsidRPr="003A48F1">
              <w:rPr>
                <w:rStyle w:val="Hyperlink"/>
                <w:rFonts w:ascii="Arial" w:hAnsi="Arial" w:cs="Arial"/>
                <w:noProof/>
                <w:lang w:val="en-US"/>
              </w:rPr>
              <w:t>4.3 Gap Analysis</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_Toc237261685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19</w:t>
            </w:r>
            <w:r w:rsidRPr="003A48F1">
              <w:rPr>
                <w:rFonts w:ascii="Arial" w:hAnsi="Arial" w:cs="Arial"/>
                <w:noProof/>
                <w:webHidden/>
              </w:rPr>
              <w:fldChar w:fldCharType="end"/>
            </w:r>
          </w:hyperlink>
        </w:p>
        <w:p w14:paraId="4C87B3B0" w14:textId="6930F051" w:rsidR="00D833C8" w:rsidRPr="003A48F1" w:rsidRDefault="00D833C8">
          <w:pPr>
            <w:pStyle w:val="TOC2"/>
            <w:tabs>
              <w:tab w:val="right" w:leader="dot" w:pos="9350"/>
            </w:tabs>
            <w:rPr>
              <w:rFonts w:ascii="Arial" w:eastAsiaTheme="minorEastAsia" w:hAnsi="Arial" w:cs="Arial"/>
              <w:noProof/>
              <w:lang w:val="en-US"/>
            </w:rPr>
          </w:pPr>
          <w:hyperlink w:anchor="_Toc237261686" w:history="1">
            <w:r w:rsidRPr="003A48F1">
              <w:rPr>
                <w:rStyle w:val="Hyperlink"/>
                <w:rFonts w:ascii="Arial" w:hAnsi="Arial" w:cs="Arial"/>
                <w:noProof/>
                <w:lang w:val="en-US"/>
              </w:rPr>
              <w:t>4.4 McKinsey 7S Framework</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_Toc237261686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20</w:t>
            </w:r>
            <w:r w:rsidRPr="003A48F1">
              <w:rPr>
                <w:rFonts w:ascii="Arial" w:hAnsi="Arial" w:cs="Arial"/>
                <w:noProof/>
                <w:webHidden/>
              </w:rPr>
              <w:fldChar w:fldCharType="end"/>
            </w:r>
          </w:hyperlink>
        </w:p>
        <w:p w14:paraId="0D053F82" w14:textId="587033AA" w:rsidR="00D833C8" w:rsidRPr="003A48F1" w:rsidRDefault="00D833C8">
          <w:pPr>
            <w:pStyle w:val="TOC2"/>
            <w:tabs>
              <w:tab w:val="right" w:leader="dot" w:pos="9350"/>
            </w:tabs>
            <w:rPr>
              <w:rFonts w:ascii="Arial" w:eastAsiaTheme="minorEastAsia" w:hAnsi="Arial" w:cs="Arial"/>
              <w:noProof/>
              <w:lang w:val="en-US"/>
            </w:rPr>
          </w:pPr>
          <w:hyperlink w:anchor="_Toc237261687" w:history="1">
            <w:r w:rsidRPr="003A48F1">
              <w:rPr>
                <w:rStyle w:val="Hyperlink"/>
                <w:rFonts w:ascii="Arial" w:hAnsi="Arial" w:cs="Arial"/>
                <w:noProof/>
                <w:lang w:val="en-US"/>
              </w:rPr>
              <w:t>4.5 Strategic Implementation and Risk Mitigation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_Toc237261687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21</w:t>
            </w:r>
            <w:r w:rsidRPr="003A48F1">
              <w:rPr>
                <w:rFonts w:ascii="Arial" w:hAnsi="Arial" w:cs="Arial"/>
                <w:noProof/>
                <w:webHidden/>
              </w:rPr>
              <w:fldChar w:fldCharType="end"/>
            </w:r>
          </w:hyperlink>
        </w:p>
        <w:p w14:paraId="1D62062A" w14:textId="245AF933" w:rsidR="00D833C8" w:rsidRPr="003A48F1" w:rsidRDefault="00D833C8">
          <w:pPr>
            <w:pStyle w:val="TOC2"/>
            <w:tabs>
              <w:tab w:val="right" w:leader="dot" w:pos="9350"/>
            </w:tabs>
            <w:rPr>
              <w:rFonts w:ascii="Arial" w:eastAsiaTheme="minorEastAsia" w:hAnsi="Arial" w:cs="Arial"/>
              <w:noProof/>
              <w:lang w:val="en-US"/>
            </w:rPr>
          </w:pPr>
          <w:hyperlink w:anchor="_Toc237261688" w:history="1">
            <w:r w:rsidRPr="003A48F1">
              <w:rPr>
                <w:rStyle w:val="Hyperlink"/>
                <w:rFonts w:ascii="Arial" w:hAnsi="Arial" w:cs="Arial"/>
                <w:noProof/>
                <w:lang w:val="en-US"/>
              </w:rPr>
              <w:t>4.6 Section Conclusion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_Toc237261688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21</w:t>
            </w:r>
            <w:r w:rsidRPr="003A48F1">
              <w:rPr>
                <w:rFonts w:ascii="Arial" w:hAnsi="Arial" w:cs="Arial"/>
                <w:noProof/>
                <w:webHidden/>
              </w:rPr>
              <w:fldChar w:fldCharType="end"/>
            </w:r>
          </w:hyperlink>
        </w:p>
        <w:p w14:paraId="54934BFA" w14:textId="1B2859BA" w:rsidR="00D833C8" w:rsidRPr="003A48F1" w:rsidRDefault="00D833C8">
          <w:pPr>
            <w:pStyle w:val="TOC1"/>
            <w:tabs>
              <w:tab w:val="right" w:leader="dot" w:pos="9350"/>
            </w:tabs>
            <w:rPr>
              <w:rFonts w:ascii="Arial" w:eastAsiaTheme="minorEastAsia" w:hAnsi="Arial" w:cs="Arial"/>
              <w:noProof/>
              <w:lang w:val="en-US"/>
            </w:rPr>
          </w:pPr>
          <w:hyperlink w:anchor="_Toc237261689" w:history="1">
            <w:r w:rsidRPr="003A48F1">
              <w:rPr>
                <w:rStyle w:val="Hyperlink"/>
                <w:rFonts w:ascii="Arial" w:hAnsi="Arial" w:cs="Arial"/>
                <w:noProof/>
                <w:lang w:val="en-US"/>
              </w:rPr>
              <w:t>5. Conclusion</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_Toc237261689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22</w:t>
            </w:r>
            <w:r w:rsidRPr="003A48F1">
              <w:rPr>
                <w:rFonts w:ascii="Arial" w:hAnsi="Arial" w:cs="Arial"/>
                <w:noProof/>
                <w:webHidden/>
              </w:rPr>
              <w:fldChar w:fldCharType="end"/>
            </w:r>
          </w:hyperlink>
        </w:p>
        <w:p w14:paraId="31D6A40B" w14:textId="5BC9CA49" w:rsidR="00D833C8" w:rsidRPr="003A48F1" w:rsidRDefault="00D833C8">
          <w:pPr>
            <w:pStyle w:val="TOC1"/>
            <w:tabs>
              <w:tab w:val="right" w:leader="dot" w:pos="9350"/>
            </w:tabs>
            <w:rPr>
              <w:rFonts w:ascii="Arial" w:eastAsiaTheme="minorEastAsia" w:hAnsi="Arial" w:cs="Arial"/>
              <w:noProof/>
              <w:lang w:val="en-US"/>
            </w:rPr>
          </w:pPr>
          <w:hyperlink w:anchor="_Toc237261690" w:history="1">
            <w:r w:rsidRPr="003A48F1">
              <w:rPr>
                <w:rStyle w:val="Hyperlink"/>
                <w:rFonts w:ascii="Arial" w:hAnsi="Arial" w:cs="Arial"/>
                <w:noProof/>
                <w:lang w:val="en-US"/>
              </w:rPr>
              <w:t>Section 2: Reflective Account</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_Toc237261690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23</w:t>
            </w:r>
            <w:r w:rsidRPr="003A48F1">
              <w:rPr>
                <w:rFonts w:ascii="Arial" w:hAnsi="Arial" w:cs="Arial"/>
                <w:noProof/>
                <w:webHidden/>
              </w:rPr>
              <w:fldChar w:fldCharType="end"/>
            </w:r>
          </w:hyperlink>
        </w:p>
        <w:p w14:paraId="125FF4E5" w14:textId="17A89B77" w:rsidR="00D833C8" w:rsidRPr="003A48F1" w:rsidRDefault="00D833C8">
          <w:pPr>
            <w:pStyle w:val="TOC1"/>
            <w:tabs>
              <w:tab w:val="right" w:leader="dot" w:pos="9350"/>
            </w:tabs>
            <w:rPr>
              <w:rFonts w:ascii="Arial" w:eastAsiaTheme="minorEastAsia" w:hAnsi="Arial" w:cs="Arial"/>
              <w:noProof/>
              <w:lang w:val="en-US"/>
            </w:rPr>
          </w:pPr>
          <w:hyperlink w:anchor="_Toc237261691" w:history="1">
            <w:r w:rsidRPr="003A48F1">
              <w:rPr>
                <w:rStyle w:val="Hyperlink"/>
                <w:rFonts w:ascii="Arial" w:hAnsi="Arial" w:cs="Arial"/>
                <w:noProof/>
                <w:lang w:val="en-US"/>
              </w:rPr>
              <w:t>References</w:t>
            </w:r>
            <w:r w:rsidRPr="003A48F1">
              <w:rPr>
                <w:rFonts w:ascii="Arial" w:hAnsi="Arial" w:cs="Arial"/>
                <w:noProof/>
                <w:webHidden/>
              </w:rPr>
              <w:tab/>
            </w:r>
            <w:r w:rsidRPr="003A48F1">
              <w:rPr>
                <w:rFonts w:ascii="Arial" w:hAnsi="Arial" w:cs="Arial"/>
                <w:noProof/>
                <w:webHidden/>
              </w:rPr>
              <w:fldChar w:fldCharType="begin"/>
            </w:r>
            <w:r w:rsidRPr="003A48F1">
              <w:rPr>
                <w:rFonts w:ascii="Arial" w:hAnsi="Arial" w:cs="Arial"/>
                <w:noProof/>
                <w:webHidden/>
              </w:rPr>
              <w:instrText xml:space="preserve"> PAGEREF _Toc237261691 \h </w:instrText>
            </w:r>
            <w:r w:rsidRPr="003A48F1">
              <w:rPr>
                <w:rFonts w:ascii="Arial" w:hAnsi="Arial" w:cs="Arial"/>
                <w:noProof/>
                <w:webHidden/>
              </w:rPr>
            </w:r>
            <w:r w:rsidRPr="003A48F1">
              <w:rPr>
                <w:rFonts w:ascii="Arial" w:hAnsi="Arial" w:cs="Arial"/>
                <w:noProof/>
                <w:webHidden/>
              </w:rPr>
              <w:fldChar w:fldCharType="separate"/>
            </w:r>
            <w:r w:rsidR="008F1A7A">
              <w:rPr>
                <w:rFonts w:ascii="Arial" w:hAnsi="Arial" w:cs="Arial"/>
                <w:noProof/>
                <w:webHidden/>
              </w:rPr>
              <w:t>26</w:t>
            </w:r>
            <w:r w:rsidRPr="003A48F1">
              <w:rPr>
                <w:rFonts w:ascii="Arial" w:hAnsi="Arial" w:cs="Arial"/>
                <w:noProof/>
                <w:webHidden/>
              </w:rPr>
              <w:fldChar w:fldCharType="end"/>
            </w:r>
          </w:hyperlink>
        </w:p>
        <w:p w14:paraId="06429FD4" w14:textId="77777777" w:rsidR="00F82749" w:rsidRPr="003A48F1" w:rsidRDefault="00F82749">
          <w:pPr>
            <w:rPr>
              <w:rFonts w:ascii="Arial" w:hAnsi="Arial" w:cs="Arial"/>
              <w:b/>
              <w:bCs/>
              <w:noProof/>
            </w:rPr>
          </w:pPr>
          <w:r w:rsidRPr="003A48F1">
            <w:rPr>
              <w:rFonts w:ascii="Arial" w:hAnsi="Arial" w:cs="Arial"/>
              <w:b/>
              <w:bCs/>
              <w:noProof/>
            </w:rPr>
            <w:fldChar w:fldCharType="end"/>
          </w:r>
        </w:p>
      </w:sdtContent>
    </w:sdt>
    <w:p w14:paraId="44FA490E" w14:textId="77777777" w:rsidR="000C5B2A" w:rsidRPr="003A48F1" w:rsidRDefault="000C5B2A">
      <w:pPr>
        <w:rPr>
          <w:rFonts w:ascii="Arial" w:hAnsi="Arial" w:cs="Arial"/>
        </w:rPr>
      </w:pPr>
      <w:r w:rsidRPr="003A48F1">
        <w:rPr>
          <w:rFonts w:ascii="Arial" w:hAnsi="Arial" w:cs="Arial"/>
          <w:b/>
          <w:bCs/>
          <w:sz w:val="24"/>
          <w:lang w:val="en-US"/>
        </w:rPr>
        <w:br w:type="page"/>
      </w:r>
    </w:p>
    <w:p w14:paraId="50D16B09" w14:textId="77777777" w:rsidR="00B06EBB" w:rsidRPr="003A48F1" w:rsidRDefault="00B06EBB" w:rsidP="000C5B2A">
      <w:pPr>
        <w:pStyle w:val="Heading1"/>
        <w:rPr>
          <w:rFonts w:ascii="Arial" w:hAnsi="Arial" w:cs="Arial"/>
          <w:lang w:val="en-US"/>
        </w:rPr>
      </w:pPr>
      <w:bookmarkStart w:id="1" w:name="_Toc237261673"/>
      <w:r w:rsidRPr="003A48F1">
        <w:rPr>
          <w:rFonts w:ascii="Arial" w:hAnsi="Arial" w:cs="Arial"/>
          <w:lang w:val="en-US"/>
        </w:rPr>
        <w:t>Section 1: Strategic Analysis and Choices</w:t>
      </w:r>
      <w:bookmarkEnd w:id="1"/>
    </w:p>
    <w:p w14:paraId="0D042704" w14:textId="77777777" w:rsidR="00B06EBB" w:rsidRPr="003A48F1" w:rsidRDefault="00B06EBB" w:rsidP="00F82749">
      <w:pPr>
        <w:pStyle w:val="Heading1"/>
        <w:rPr>
          <w:rFonts w:ascii="Arial" w:hAnsi="Arial" w:cs="Arial"/>
          <w:lang w:val="en-US"/>
        </w:rPr>
      </w:pPr>
      <w:bookmarkStart w:id="2" w:name="_Toc237261674"/>
      <w:r w:rsidRPr="003A48F1">
        <w:rPr>
          <w:rFonts w:ascii="Arial" w:hAnsi="Arial" w:cs="Arial"/>
          <w:lang w:val="en-US"/>
        </w:rPr>
        <w:t>1. Introduction and Organisational Context</w:t>
      </w:r>
      <w:bookmarkEnd w:id="2"/>
    </w:p>
    <w:p w14:paraId="735989C2" w14:textId="6B9C74E3" w:rsidR="00F27747" w:rsidRPr="003A48F1" w:rsidRDefault="00F27747" w:rsidP="00F27747">
      <w:pPr>
        <w:spacing w:after="0" w:line="360" w:lineRule="auto"/>
        <w:jc w:val="both"/>
        <w:rPr>
          <w:rFonts w:ascii="Arial" w:hAnsi="Arial" w:cs="Arial"/>
          <w:sz w:val="24"/>
          <w:lang w:val="en-US"/>
        </w:rPr>
      </w:pPr>
      <w:r w:rsidRPr="003A48F1">
        <w:rPr>
          <w:rFonts w:ascii="Arial" w:hAnsi="Arial" w:cs="Arial"/>
          <w:sz w:val="24"/>
          <w:lang w:val="en-US"/>
        </w:rPr>
        <w:t xml:space="preserve">ASDA Group Ltd is one of the </w:t>
      </w:r>
      <w:r w:rsidR="00D6542E" w:rsidRPr="003A48F1">
        <w:rPr>
          <w:rFonts w:ascii="Arial" w:hAnsi="Arial" w:cs="Arial"/>
          <w:sz w:val="24"/>
          <w:lang w:val="en-US"/>
        </w:rPr>
        <w:t>largest</w:t>
      </w:r>
      <w:r w:rsidRPr="003A48F1">
        <w:rPr>
          <w:rFonts w:ascii="Arial" w:hAnsi="Arial" w:cs="Arial"/>
          <w:sz w:val="24"/>
          <w:lang w:val="en-US"/>
        </w:rPr>
        <w:t xml:space="preserve"> supermarket groups in the United Kingdom and the grocery retail sector is a very competitive one.</w:t>
      </w:r>
      <w:r w:rsidR="00DF6A17" w:rsidRPr="003A48F1">
        <w:rPr>
          <w:rFonts w:ascii="Arial" w:hAnsi="Arial" w:cs="Arial"/>
          <w:sz w:val="24"/>
          <w:lang w:val="en-US"/>
        </w:rPr>
        <w:t xml:space="preserve"> Asda’s background draws back</w:t>
      </w:r>
      <w:r w:rsidR="00CD3CF0" w:rsidRPr="003A48F1">
        <w:rPr>
          <w:rFonts w:ascii="Arial" w:hAnsi="Arial" w:cs="Arial"/>
          <w:sz w:val="24"/>
          <w:lang w:val="en-US"/>
        </w:rPr>
        <w:t xml:space="preserve"> to</w:t>
      </w:r>
      <w:r w:rsidR="00DF6A17" w:rsidRPr="003A48F1">
        <w:rPr>
          <w:rFonts w:ascii="Arial" w:hAnsi="Arial" w:cs="Arial"/>
          <w:sz w:val="24"/>
          <w:lang w:val="en-US"/>
        </w:rPr>
        <w:t xml:space="preserve"> </w:t>
      </w:r>
      <w:r w:rsidR="00CD3CF0" w:rsidRPr="003A48F1">
        <w:rPr>
          <w:rFonts w:ascii="Arial" w:hAnsi="Arial" w:cs="Arial"/>
          <w:sz w:val="24"/>
          <w:lang w:val="en-US"/>
        </w:rPr>
        <w:t>1949 when</w:t>
      </w:r>
      <w:r w:rsidR="00DF6A17" w:rsidRPr="003A48F1">
        <w:rPr>
          <w:rFonts w:ascii="Arial" w:hAnsi="Arial" w:cs="Arial"/>
          <w:sz w:val="24"/>
          <w:lang w:val="en-US"/>
        </w:rPr>
        <w:t xml:space="preserve"> Yorkshire</w:t>
      </w:r>
      <w:r w:rsidR="00CD3CF0" w:rsidRPr="003A48F1">
        <w:rPr>
          <w:rFonts w:ascii="Arial" w:hAnsi="Arial" w:cs="Arial"/>
          <w:sz w:val="24"/>
          <w:lang w:val="en-US"/>
        </w:rPr>
        <w:t xml:space="preserve"> dairy farmers formed Association Dairies and Farm Stores Limited which later merged with the Asquith brothers’ retail operations to create ASDA in 1965 (ASDA, 2026). </w:t>
      </w:r>
      <w:r w:rsidRPr="003A48F1">
        <w:rPr>
          <w:rFonts w:ascii="Arial" w:hAnsi="Arial" w:cs="Arial"/>
          <w:sz w:val="24"/>
          <w:lang w:val="en-US"/>
        </w:rPr>
        <w:t xml:space="preserve"> </w:t>
      </w:r>
      <w:r w:rsidR="00CD3CF0" w:rsidRPr="003A48F1">
        <w:rPr>
          <w:rFonts w:ascii="Arial" w:hAnsi="Arial" w:cs="Arial"/>
          <w:sz w:val="24"/>
          <w:lang w:val="en-US"/>
        </w:rPr>
        <w:t>It has</w:t>
      </w:r>
      <w:r w:rsidRPr="003A48F1">
        <w:rPr>
          <w:rFonts w:ascii="Arial" w:hAnsi="Arial" w:cs="Arial"/>
          <w:sz w:val="24"/>
          <w:lang w:val="en-US"/>
        </w:rPr>
        <w:t xml:space="preserve"> expanded from a regional store to national brand in value. The acquisition of ASDA by Walmart in 1999 and the subsequent sell to Issa brothers and TDR Capital in 2021 </w:t>
      </w:r>
      <w:r w:rsidR="004C1D1A" w:rsidRPr="003A48F1">
        <w:rPr>
          <w:rFonts w:ascii="Arial" w:hAnsi="Arial" w:cs="Arial"/>
          <w:sz w:val="24"/>
          <w:lang w:val="en-US"/>
        </w:rPr>
        <w:t xml:space="preserve">change of ownership </w:t>
      </w:r>
      <w:r w:rsidRPr="003A48F1">
        <w:rPr>
          <w:rFonts w:ascii="Arial" w:hAnsi="Arial" w:cs="Arial"/>
          <w:sz w:val="24"/>
          <w:lang w:val="en-US"/>
        </w:rPr>
        <w:t>ushered in a critical turning point in ASDA's history, shifting it towards strong strategic autonomy</w:t>
      </w:r>
      <w:r w:rsidR="004C1D1A" w:rsidRPr="003A48F1">
        <w:rPr>
          <w:rFonts w:ascii="Arial" w:hAnsi="Arial" w:cs="Arial"/>
          <w:sz w:val="24"/>
          <w:lang w:val="en-US"/>
        </w:rPr>
        <w:t>,</w:t>
      </w:r>
      <w:r w:rsidRPr="003A48F1">
        <w:rPr>
          <w:rFonts w:ascii="Arial" w:hAnsi="Arial" w:cs="Arial"/>
          <w:sz w:val="24"/>
          <w:lang w:val="en-US"/>
        </w:rPr>
        <w:t xml:space="preserve"> transformation</w:t>
      </w:r>
      <w:r w:rsidR="004C1D1A" w:rsidRPr="003A48F1">
        <w:rPr>
          <w:rFonts w:ascii="Arial" w:hAnsi="Arial" w:cs="Arial"/>
          <w:sz w:val="24"/>
          <w:lang w:val="en-US"/>
        </w:rPr>
        <w:t xml:space="preserve"> and market recovery. </w:t>
      </w:r>
      <w:r w:rsidRPr="003A48F1">
        <w:rPr>
          <w:rFonts w:ascii="Arial" w:hAnsi="Arial" w:cs="Arial"/>
          <w:sz w:val="24"/>
          <w:lang w:val="en-US"/>
        </w:rPr>
        <w:t xml:space="preserve"> (</w:t>
      </w:r>
      <w:proofErr w:type="spellStart"/>
      <w:r w:rsidRPr="003A48F1">
        <w:rPr>
          <w:rFonts w:ascii="Arial" w:hAnsi="Arial" w:cs="Arial"/>
          <w:sz w:val="24"/>
          <w:lang w:val="en-US"/>
        </w:rPr>
        <w:t>Ologunebi</w:t>
      </w:r>
      <w:proofErr w:type="spellEnd"/>
      <w:r w:rsidRPr="003A48F1">
        <w:rPr>
          <w:rFonts w:ascii="Arial" w:hAnsi="Arial" w:cs="Arial"/>
          <w:sz w:val="24"/>
          <w:lang w:val="en-US"/>
        </w:rPr>
        <w:t xml:space="preserve"> and Taiwo, 2023). ASDA's mission is to provide affordable products to </w:t>
      </w:r>
      <w:r w:rsidR="004C1D1A" w:rsidRPr="003A48F1">
        <w:rPr>
          <w:rFonts w:ascii="Arial" w:hAnsi="Arial" w:cs="Arial"/>
          <w:sz w:val="24"/>
          <w:lang w:val="en-US"/>
        </w:rPr>
        <w:t>customers,</w:t>
      </w:r>
      <w:r w:rsidRPr="003A48F1">
        <w:rPr>
          <w:rFonts w:ascii="Arial" w:hAnsi="Arial" w:cs="Arial"/>
          <w:sz w:val="24"/>
          <w:lang w:val="en-US"/>
        </w:rPr>
        <w:t xml:space="preserve"> and their strategic vision is accessibility and convenience to customers with their physical and digital retail channels putting the customer's value at the </w:t>
      </w:r>
      <w:r w:rsidR="00CD3CF0" w:rsidRPr="003A48F1">
        <w:rPr>
          <w:rFonts w:ascii="Arial" w:hAnsi="Arial" w:cs="Arial"/>
          <w:sz w:val="24"/>
          <w:lang w:val="en-US"/>
        </w:rPr>
        <w:t>forefront (ASDA, 2026)</w:t>
      </w:r>
      <w:r w:rsidRPr="003A48F1">
        <w:rPr>
          <w:rFonts w:ascii="Arial" w:hAnsi="Arial" w:cs="Arial"/>
          <w:sz w:val="24"/>
          <w:lang w:val="en-US"/>
        </w:rPr>
        <w:t>.</w:t>
      </w:r>
      <w:r w:rsidR="004C1D1A" w:rsidRPr="003A48F1">
        <w:rPr>
          <w:rFonts w:ascii="Arial" w:hAnsi="Arial" w:cs="Arial"/>
          <w:sz w:val="24"/>
          <w:lang w:val="en-US"/>
        </w:rPr>
        <w:t xml:space="preserve"> </w:t>
      </w:r>
    </w:p>
    <w:p w14:paraId="4D06D85A" w14:textId="77777777" w:rsidR="00D6542E" w:rsidRPr="003A48F1" w:rsidRDefault="00D6542E" w:rsidP="00D6542E">
      <w:pPr>
        <w:spacing w:after="0" w:line="360" w:lineRule="auto"/>
        <w:jc w:val="center"/>
        <w:rPr>
          <w:rFonts w:ascii="Arial" w:hAnsi="Arial" w:cs="Arial"/>
          <w:sz w:val="24"/>
          <w:lang w:val="en-US"/>
        </w:rPr>
      </w:pPr>
      <w:r w:rsidRPr="003A48F1">
        <w:rPr>
          <w:rFonts w:ascii="Arial" w:hAnsi="Arial" w:cs="Arial"/>
          <w:noProof/>
          <w:lang w:val="en-US"/>
        </w:rPr>
        <w:drawing>
          <wp:inline distT="0" distB="0" distL="0" distR="0" wp14:anchorId="701ED121" wp14:editId="6949DA18">
            <wp:extent cx="3021123" cy="1495425"/>
            <wp:effectExtent l="0" t="0" r="8255" b="0"/>
            <wp:docPr id="7" name="Picture 7" descr="ASDA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Logo, symbol, meaning, history, PNG, bran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428" b="3335"/>
                    <a:stretch/>
                  </pic:blipFill>
                  <pic:spPr bwMode="auto">
                    <a:xfrm>
                      <a:off x="0" y="0"/>
                      <a:ext cx="3030239" cy="1499937"/>
                    </a:xfrm>
                    <a:prstGeom prst="rect">
                      <a:avLst/>
                    </a:prstGeom>
                    <a:noFill/>
                    <a:ln>
                      <a:noFill/>
                    </a:ln>
                    <a:extLst>
                      <a:ext uri="{53640926-AAD7-44D8-BBD7-CCE9431645EC}">
                        <a14:shadowObscured xmlns:a14="http://schemas.microsoft.com/office/drawing/2010/main"/>
                      </a:ext>
                    </a:extLst>
                  </pic:spPr>
                </pic:pic>
              </a:graphicData>
            </a:graphic>
          </wp:inline>
        </w:drawing>
      </w:r>
    </w:p>
    <w:p w14:paraId="1AA6DEB9" w14:textId="3DB669B3" w:rsidR="00F27747" w:rsidRPr="003A48F1" w:rsidRDefault="00F27747" w:rsidP="00F27747">
      <w:pPr>
        <w:spacing w:after="0" w:line="360" w:lineRule="auto"/>
        <w:jc w:val="both"/>
        <w:rPr>
          <w:rFonts w:ascii="Arial" w:hAnsi="Arial" w:cs="Arial"/>
          <w:sz w:val="24"/>
          <w:lang w:val="en-US"/>
        </w:rPr>
      </w:pPr>
      <w:r w:rsidRPr="003A48F1">
        <w:rPr>
          <w:rFonts w:ascii="Arial" w:hAnsi="Arial" w:cs="Arial"/>
          <w:sz w:val="24"/>
          <w:lang w:val="en-US"/>
        </w:rPr>
        <w:t xml:space="preserve">ASDA's business </w:t>
      </w:r>
      <w:r w:rsidR="001E5AB9" w:rsidRPr="003A48F1">
        <w:rPr>
          <w:rFonts w:ascii="Arial" w:hAnsi="Arial" w:cs="Arial"/>
          <w:sz w:val="24"/>
          <w:lang w:val="en-US"/>
        </w:rPr>
        <w:t>model</w:t>
      </w:r>
      <w:r w:rsidRPr="003A48F1">
        <w:rPr>
          <w:rFonts w:ascii="Arial" w:hAnsi="Arial" w:cs="Arial"/>
          <w:sz w:val="24"/>
          <w:lang w:val="en-US"/>
        </w:rPr>
        <w:t xml:space="preserve"> EDLP (Everyday Low Prices) which </w:t>
      </w:r>
      <w:r w:rsidR="00B36A1D" w:rsidRPr="003A48F1">
        <w:rPr>
          <w:rFonts w:ascii="Arial" w:hAnsi="Arial" w:cs="Arial"/>
          <w:sz w:val="24"/>
          <w:lang w:val="en-US"/>
        </w:rPr>
        <w:t>prioritizes</w:t>
      </w:r>
      <w:r w:rsidRPr="003A48F1">
        <w:rPr>
          <w:rFonts w:ascii="Arial" w:hAnsi="Arial" w:cs="Arial"/>
          <w:sz w:val="24"/>
          <w:lang w:val="en-US"/>
        </w:rPr>
        <w:t xml:space="preserve"> low pricing over </w:t>
      </w:r>
      <w:r w:rsidR="00B36A1D" w:rsidRPr="003A48F1">
        <w:rPr>
          <w:rFonts w:ascii="Arial" w:hAnsi="Arial" w:cs="Arial"/>
          <w:sz w:val="24"/>
          <w:lang w:val="en-US"/>
        </w:rPr>
        <w:t>heavily</w:t>
      </w:r>
      <w:r w:rsidRPr="003A48F1">
        <w:rPr>
          <w:rFonts w:ascii="Arial" w:hAnsi="Arial" w:cs="Arial"/>
          <w:sz w:val="24"/>
          <w:lang w:val="en-US"/>
        </w:rPr>
        <w:t xml:space="preserve"> </w:t>
      </w:r>
      <w:r w:rsidR="00B36A1D" w:rsidRPr="003A48F1">
        <w:rPr>
          <w:rFonts w:ascii="Arial" w:hAnsi="Arial" w:cs="Arial"/>
          <w:sz w:val="24"/>
          <w:lang w:val="en-US"/>
        </w:rPr>
        <w:t>discount</w:t>
      </w:r>
      <w:r w:rsidRPr="003A48F1">
        <w:rPr>
          <w:rFonts w:ascii="Arial" w:hAnsi="Arial" w:cs="Arial"/>
          <w:sz w:val="24"/>
          <w:lang w:val="en-US"/>
        </w:rPr>
        <w:t xml:space="preserve"> prices through promotions from time to time. Its revenue streams are from a broad-based retail system comprising a number of large format supermarkets, online home delivery, petrol and a fast growing number of Asda Express convenience stores. Value is achieved via cost efficiency, supply chain </w:t>
      </w:r>
      <w:r w:rsidR="00B36A1D" w:rsidRPr="003A48F1">
        <w:rPr>
          <w:rFonts w:ascii="Arial" w:hAnsi="Arial" w:cs="Arial"/>
          <w:sz w:val="24"/>
          <w:lang w:val="en-US"/>
        </w:rPr>
        <w:t>optimization</w:t>
      </w:r>
      <w:r w:rsidRPr="003A48F1">
        <w:rPr>
          <w:rFonts w:ascii="Arial" w:hAnsi="Arial" w:cs="Arial"/>
          <w:sz w:val="24"/>
          <w:lang w:val="en-US"/>
        </w:rPr>
        <w:t xml:space="preserve"> and scale, helping ASDA appeal to the needs of price-driven consumers with its wide variety of products (</w:t>
      </w:r>
      <w:proofErr w:type="spellStart"/>
      <w:r w:rsidRPr="003A48F1">
        <w:rPr>
          <w:rFonts w:ascii="Arial" w:hAnsi="Arial" w:cs="Arial"/>
          <w:sz w:val="24"/>
          <w:lang w:val="en-US"/>
        </w:rPr>
        <w:t>Ritzu</w:t>
      </w:r>
      <w:proofErr w:type="spellEnd"/>
      <w:r w:rsidRPr="003A48F1">
        <w:rPr>
          <w:rFonts w:ascii="Arial" w:hAnsi="Arial" w:cs="Arial"/>
          <w:sz w:val="24"/>
          <w:lang w:val="en-US"/>
        </w:rPr>
        <w:t>, 2025).</w:t>
      </w:r>
    </w:p>
    <w:p w14:paraId="0EBB1383" w14:textId="77777777" w:rsidR="00F27747" w:rsidRPr="003A48F1" w:rsidRDefault="00F27747" w:rsidP="00F27747">
      <w:pPr>
        <w:spacing w:after="0" w:line="360" w:lineRule="auto"/>
        <w:jc w:val="both"/>
        <w:rPr>
          <w:rFonts w:ascii="Arial" w:hAnsi="Arial" w:cs="Arial"/>
          <w:sz w:val="24"/>
          <w:lang w:val="en-US"/>
        </w:rPr>
      </w:pPr>
      <w:r w:rsidRPr="003A48F1">
        <w:rPr>
          <w:rFonts w:ascii="Arial" w:hAnsi="Arial" w:cs="Arial"/>
          <w:sz w:val="24"/>
          <w:lang w:val="en-US"/>
        </w:rPr>
        <w:t>The UK grocery retail sector is highly competitive, mature and suffers from low margins and price wars. Tesco, Sainsbury's, Aldi and Lidl are the main players with varying attributes, such as size, cost, quality, convenience and technological features (Xiao, Chen and Yu, 2021). High brand equity and the more advanced data-driven loyalty programs offered by its competitors put Tesco ahead of the pack in the eyes of the consumer, while discount retailers such as Aldi and Lidl are making progress by offering customers lower prices and more efficient cost structures (Sarisa, 2021). The market share of ASDA is 11.5 per cent, which is decreasing due to growing competition and consumer preferences (Statista, 2026).</w:t>
      </w:r>
    </w:p>
    <w:p w14:paraId="39E833D3" w14:textId="77777777" w:rsidR="00B06EBB" w:rsidRPr="003A48F1" w:rsidRDefault="00F27747" w:rsidP="000C5B2A">
      <w:pPr>
        <w:spacing w:after="0" w:line="360" w:lineRule="auto"/>
        <w:jc w:val="both"/>
        <w:rPr>
          <w:rFonts w:ascii="Arial" w:hAnsi="Arial" w:cs="Arial"/>
          <w:sz w:val="24"/>
          <w:lang w:val="en-US"/>
        </w:rPr>
      </w:pPr>
      <w:r w:rsidRPr="003A48F1">
        <w:rPr>
          <w:rFonts w:ascii="Arial" w:hAnsi="Arial" w:cs="Arial"/>
          <w:sz w:val="24"/>
          <w:lang w:val="en-US"/>
        </w:rPr>
        <w:t>ASDA's core competitive edge is being able to bring low price at scale using efficient logistical systems and procurement processes. But the era of this type of “benefit” is coming to an end, as cheaper “discounters” and those better versed in their digital and customer engagement abilities are putting pressure. As a result, ASDA's current strategic posture is to strengthen and build new potential competitive advantages, especially in the area of convenience re</w:t>
      </w:r>
      <w:r w:rsidR="00D6542E" w:rsidRPr="003A48F1">
        <w:rPr>
          <w:rFonts w:ascii="Arial" w:hAnsi="Arial" w:cs="Arial"/>
          <w:sz w:val="24"/>
          <w:lang w:val="en-US"/>
        </w:rPr>
        <w:t>tailing and digital engagement.</w:t>
      </w:r>
    </w:p>
    <w:p w14:paraId="1C18F813" w14:textId="77777777" w:rsidR="00B06EBB" w:rsidRPr="003A48F1" w:rsidRDefault="00B06EBB" w:rsidP="00B06EBB">
      <w:pPr>
        <w:spacing w:after="0" w:line="360" w:lineRule="auto"/>
        <w:jc w:val="both"/>
        <w:rPr>
          <w:rFonts w:ascii="Arial" w:hAnsi="Arial" w:cs="Arial"/>
          <w:sz w:val="24"/>
          <w:lang w:val="en-US"/>
        </w:rPr>
      </w:pPr>
      <w:r w:rsidRPr="003A48F1">
        <w:rPr>
          <w:rFonts w:ascii="Arial" w:hAnsi="Arial" w:cs="Arial"/>
          <w:b/>
          <w:bCs/>
          <w:sz w:val="24"/>
          <w:lang w:val="en-US"/>
        </w:rPr>
        <w:t>Table 1: ASDA Organisational Overview</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85"/>
        <w:gridCol w:w="7470"/>
      </w:tblGrid>
      <w:tr w:rsidR="00462249" w:rsidRPr="003A48F1" w14:paraId="209BA4FD" w14:textId="77777777" w:rsidTr="00462249">
        <w:trPr>
          <w:trHeight w:val="315"/>
        </w:trPr>
        <w:tc>
          <w:tcPr>
            <w:tcW w:w="1885" w:type="dxa"/>
            <w:shd w:val="clear" w:color="auto" w:fill="1F3864" w:themeFill="accent5" w:themeFillShade="80"/>
            <w:tcMar>
              <w:top w:w="30" w:type="dxa"/>
              <w:left w:w="45" w:type="dxa"/>
              <w:bottom w:w="30" w:type="dxa"/>
              <w:right w:w="45" w:type="dxa"/>
            </w:tcMar>
            <w:vAlign w:val="bottom"/>
            <w:hideMark/>
          </w:tcPr>
          <w:p w14:paraId="04F1C341" w14:textId="77777777" w:rsidR="00462249" w:rsidRPr="003A48F1" w:rsidRDefault="00462249" w:rsidP="00462249">
            <w:pPr>
              <w:spacing w:after="0" w:line="360" w:lineRule="auto"/>
              <w:jc w:val="center"/>
              <w:rPr>
                <w:rFonts w:ascii="Arial" w:hAnsi="Arial" w:cs="Arial"/>
                <w:b/>
                <w:bCs/>
                <w:iCs/>
                <w:sz w:val="24"/>
                <w:lang w:val="en-US"/>
              </w:rPr>
            </w:pPr>
            <w:r w:rsidRPr="003A48F1">
              <w:rPr>
                <w:rFonts w:ascii="Arial" w:hAnsi="Arial" w:cs="Arial"/>
                <w:b/>
                <w:bCs/>
                <w:iCs/>
                <w:sz w:val="24"/>
                <w:lang w:val="en-US"/>
              </w:rPr>
              <w:t>Element</w:t>
            </w:r>
          </w:p>
        </w:tc>
        <w:tc>
          <w:tcPr>
            <w:tcW w:w="7470" w:type="dxa"/>
            <w:shd w:val="clear" w:color="auto" w:fill="1F3864" w:themeFill="accent5" w:themeFillShade="80"/>
            <w:tcMar>
              <w:top w:w="30" w:type="dxa"/>
              <w:left w:w="45" w:type="dxa"/>
              <w:bottom w:w="30" w:type="dxa"/>
              <w:right w:w="45" w:type="dxa"/>
            </w:tcMar>
            <w:vAlign w:val="bottom"/>
            <w:hideMark/>
          </w:tcPr>
          <w:p w14:paraId="49DC39A1" w14:textId="77777777" w:rsidR="00462249" w:rsidRPr="003A48F1" w:rsidRDefault="00462249" w:rsidP="00462249">
            <w:pPr>
              <w:spacing w:after="0" w:line="360" w:lineRule="auto"/>
              <w:jc w:val="center"/>
              <w:rPr>
                <w:rFonts w:ascii="Arial" w:hAnsi="Arial" w:cs="Arial"/>
                <w:b/>
                <w:bCs/>
                <w:iCs/>
                <w:sz w:val="24"/>
                <w:lang w:val="en-US"/>
              </w:rPr>
            </w:pPr>
            <w:r w:rsidRPr="003A48F1">
              <w:rPr>
                <w:rFonts w:ascii="Arial" w:hAnsi="Arial" w:cs="Arial"/>
                <w:b/>
                <w:bCs/>
                <w:iCs/>
                <w:sz w:val="24"/>
                <w:lang w:val="en-US"/>
              </w:rPr>
              <w:t>Description</w:t>
            </w:r>
          </w:p>
        </w:tc>
      </w:tr>
      <w:tr w:rsidR="00462249" w:rsidRPr="003A48F1" w14:paraId="454A0C42" w14:textId="77777777" w:rsidTr="00462249">
        <w:trPr>
          <w:trHeight w:val="315"/>
        </w:trPr>
        <w:tc>
          <w:tcPr>
            <w:tcW w:w="1885" w:type="dxa"/>
            <w:tcMar>
              <w:top w:w="30" w:type="dxa"/>
              <w:left w:w="45" w:type="dxa"/>
              <w:bottom w:w="30" w:type="dxa"/>
              <w:right w:w="45" w:type="dxa"/>
            </w:tcMar>
            <w:vAlign w:val="bottom"/>
            <w:hideMark/>
          </w:tcPr>
          <w:p w14:paraId="0E154D0A"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Founded</w:t>
            </w:r>
          </w:p>
        </w:tc>
        <w:tc>
          <w:tcPr>
            <w:tcW w:w="7470" w:type="dxa"/>
            <w:tcMar>
              <w:top w:w="30" w:type="dxa"/>
              <w:left w:w="45" w:type="dxa"/>
              <w:bottom w:w="30" w:type="dxa"/>
              <w:right w:w="45" w:type="dxa"/>
            </w:tcMar>
            <w:vAlign w:val="bottom"/>
            <w:hideMark/>
          </w:tcPr>
          <w:p w14:paraId="623924EA"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1949</w:t>
            </w:r>
          </w:p>
        </w:tc>
      </w:tr>
      <w:tr w:rsidR="00462249" w:rsidRPr="003A48F1" w14:paraId="06EFD223" w14:textId="77777777" w:rsidTr="00462249">
        <w:trPr>
          <w:trHeight w:val="315"/>
        </w:trPr>
        <w:tc>
          <w:tcPr>
            <w:tcW w:w="1885" w:type="dxa"/>
            <w:tcMar>
              <w:top w:w="30" w:type="dxa"/>
              <w:left w:w="45" w:type="dxa"/>
              <w:bottom w:w="30" w:type="dxa"/>
              <w:right w:w="45" w:type="dxa"/>
            </w:tcMar>
            <w:vAlign w:val="bottom"/>
            <w:hideMark/>
          </w:tcPr>
          <w:p w14:paraId="44C5255B"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Headquarters</w:t>
            </w:r>
          </w:p>
        </w:tc>
        <w:tc>
          <w:tcPr>
            <w:tcW w:w="7470" w:type="dxa"/>
            <w:tcMar>
              <w:top w:w="30" w:type="dxa"/>
              <w:left w:w="0" w:type="dxa"/>
              <w:bottom w:w="30" w:type="dxa"/>
              <w:right w:w="0" w:type="dxa"/>
            </w:tcMar>
            <w:vAlign w:val="bottom"/>
            <w:hideMark/>
          </w:tcPr>
          <w:p w14:paraId="5A36E4AE"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Leeds, United Kingdom</w:t>
            </w:r>
          </w:p>
        </w:tc>
      </w:tr>
      <w:tr w:rsidR="00462249" w:rsidRPr="003A48F1" w14:paraId="715C9715" w14:textId="77777777" w:rsidTr="00462249">
        <w:trPr>
          <w:trHeight w:val="315"/>
        </w:trPr>
        <w:tc>
          <w:tcPr>
            <w:tcW w:w="1885" w:type="dxa"/>
            <w:tcMar>
              <w:top w:w="30" w:type="dxa"/>
              <w:left w:w="45" w:type="dxa"/>
              <w:bottom w:w="30" w:type="dxa"/>
              <w:right w:w="45" w:type="dxa"/>
            </w:tcMar>
            <w:vAlign w:val="bottom"/>
            <w:hideMark/>
          </w:tcPr>
          <w:p w14:paraId="395D43E9"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Industry</w:t>
            </w:r>
          </w:p>
        </w:tc>
        <w:tc>
          <w:tcPr>
            <w:tcW w:w="7470" w:type="dxa"/>
            <w:tcMar>
              <w:top w:w="30" w:type="dxa"/>
              <w:left w:w="45" w:type="dxa"/>
              <w:bottom w:w="30" w:type="dxa"/>
              <w:right w:w="45" w:type="dxa"/>
            </w:tcMar>
            <w:vAlign w:val="bottom"/>
            <w:hideMark/>
          </w:tcPr>
          <w:p w14:paraId="4A030827"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Grocery Retail</w:t>
            </w:r>
          </w:p>
        </w:tc>
      </w:tr>
      <w:tr w:rsidR="00462249" w:rsidRPr="003A48F1" w14:paraId="6C567599" w14:textId="77777777" w:rsidTr="00462249">
        <w:trPr>
          <w:trHeight w:val="315"/>
        </w:trPr>
        <w:tc>
          <w:tcPr>
            <w:tcW w:w="1885" w:type="dxa"/>
            <w:tcMar>
              <w:top w:w="30" w:type="dxa"/>
              <w:left w:w="45" w:type="dxa"/>
              <w:bottom w:w="30" w:type="dxa"/>
              <w:right w:w="45" w:type="dxa"/>
            </w:tcMar>
            <w:vAlign w:val="bottom"/>
            <w:hideMark/>
          </w:tcPr>
          <w:p w14:paraId="081CF572"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Business Model</w:t>
            </w:r>
          </w:p>
        </w:tc>
        <w:tc>
          <w:tcPr>
            <w:tcW w:w="7470" w:type="dxa"/>
            <w:tcMar>
              <w:top w:w="30" w:type="dxa"/>
              <w:left w:w="0" w:type="dxa"/>
              <w:bottom w:w="30" w:type="dxa"/>
              <w:right w:w="0" w:type="dxa"/>
            </w:tcMar>
            <w:vAlign w:val="bottom"/>
            <w:hideMark/>
          </w:tcPr>
          <w:p w14:paraId="5A00D0C8"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Everyday Low Prices (EDLP)</w:t>
            </w:r>
          </w:p>
        </w:tc>
      </w:tr>
      <w:tr w:rsidR="00462249" w:rsidRPr="003A48F1" w14:paraId="5C8423A8" w14:textId="77777777" w:rsidTr="00462249">
        <w:trPr>
          <w:trHeight w:val="315"/>
        </w:trPr>
        <w:tc>
          <w:tcPr>
            <w:tcW w:w="1885" w:type="dxa"/>
            <w:tcMar>
              <w:top w:w="30" w:type="dxa"/>
              <w:left w:w="45" w:type="dxa"/>
              <w:bottom w:w="30" w:type="dxa"/>
              <w:right w:w="45" w:type="dxa"/>
            </w:tcMar>
            <w:vAlign w:val="bottom"/>
            <w:hideMark/>
          </w:tcPr>
          <w:p w14:paraId="4BEA72D4"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Main Channels</w:t>
            </w:r>
          </w:p>
        </w:tc>
        <w:tc>
          <w:tcPr>
            <w:tcW w:w="7470" w:type="dxa"/>
            <w:tcMar>
              <w:top w:w="30" w:type="dxa"/>
              <w:left w:w="0" w:type="dxa"/>
              <w:bottom w:w="30" w:type="dxa"/>
              <w:right w:w="0" w:type="dxa"/>
            </w:tcMar>
            <w:vAlign w:val="bottom"/>
            <w:hideMark/>
          </w:tcPr>
          <w:p w14:paraId="7C441FC8"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Superstores, Online Delivery, Asda Express</w:t>
            </w:r>
          </w:p>
        </w:tc>
      </w:tr>
      <w:tr w:rsidR="00462249" w:rsidRPr="003A48F1" w14:paraId="70911567" w14:textId="77777777" w:rsidTr="00462249">
        <w:trPr>
          <w:trHeight w:val="315"/>
        </w:trPr>
        <w:tc>
          <w:tcPr>
            <w:tcW w:w="1885" w:type="dxa"/>
            <w:tcMar>
              <w:top w:w="30" w:type="dxa"/>
              <w:left w:w="45" w:type="dxa"/>
              <w:bottom w:w="30" w:type="dxa"/>
              <w:right w:w="45" w:type="dxa"/>
            </w:tcMar>
            <w:vAlign w:val="bottom"/>
            <w:hideMark/>
          </w:tcPr>
          <w:p w14:paraId="5458C25D" w14:textId="77777777" w:rsidR="00462249" w:rsidRPr="003A48F1" w:rsidRDefault="00462249" w:rsidP="00462249">
            <w:pPr>
              <w:spacing w:after="0" w:line="360" w:lineRule="auto"/>
              <w:jc w:val="both"/>
              <w:rPr>
                <w:rFonts w:ascii="Arial" w:hAnsi="Arial" w:cs="Arial"/>
                <w:iCs/>
                <w:sz w:val="24"/>
                <w:lang w:val="en-US"/>
              </w:rPr>
            </w:pPr>
            <w:r w:rsidRPr="003A48F1">
              <w:rPr>
                <w:rFonts w:ascii="Arial" w:hAnsi="Arial" w:cs="Arial"/>
                <w:iCs/>
                <w:sz w:val="24"/>
                <w:lang w:val="en-US"/>
              </w:rPr>
              <w:t>Key Competitors</w:t>
            </w:r>
          </w:p>
        </w:tc>
        <w:tc>
          <w:tcPr>
            <w:tcW w:w="7470" w:type="dxa"/>
            <w:tcMar>
              <w:top w:w="30" w:type="dxa"/>
              <w:left w:w="0" w:type="dxa"/>
              <w:bottom w:w="30" w:type="dxa"/>
              <w:right w:w="0" w:type="dxa"/>
            </w:tcMar>
            <w:vAlign w:val="bottom"/>
            <w:hideMark/>
          </w:tcPr>
          <w:p w14:paraId="6C255DEC" w14:textId="77777777" w:rsidR="00462249" w:rsidRPr="003A48F1" w:rsidRDefault="00462249" w:rsidP="00462249">
            <w:pPr>
              <w:spacing w:after="0" w:line="360" w:lineRule="auto"/>
              <w:jc w:val="center"/>
              <w:rPr>
                <w:rFonts w:ascii="Arial" w:hAnsi="Arial" w:cs="Arial"/>
                <w:iCs/>
                <w:sz w:val="24"/>
                <w:lang w:val="en-US"/>
              </w:rPr>
            </w:pPr>
            <w:r w:rsidRPr="003A48F1">
              <w:rPr>
                <w:rFonts w:ascii="Arial" w:hAnsi="Arial" w:cs="Arial"/>
                <w:iCs/>
                <w:sz w:val="24"/>
                <w:lang w:val="en-US"/>
              </w:rPr>
              <w:t>Tesco, Sainsbury's, Aldi, Lidl</w:t>
            </w:r>
          </w:p>
        </w:tc>
      </w:tr>
    </w:tbl>
    <w:p w14:paraId="41EC520B" w14:textId="5C3B7B4D" w:rsidR="00973F54" w:rsidRDefault="00B06EBB" w:rsidP="00B06EBB">
      <w:pPr>
        <w:spacing w:after="0" w:line="360" w:lineRule="auto"/>
        <w:jc w:val="both"/>
        <w:rPr>
          <w:rFonts w:ascii="Arial" w:hAnsi="Arial" w:cs="Arial"/>
          <w:i/>
          <w:iCs/>
          <w:sz w:val="24"/>
          <w:lang w:val="en-US"/>
        </w:rPr>
      </w:pPr>
      <w:r w:rsidRPr="003A48F1">
        <w:rPr>
          <w:rFonts w:ascii="Arial" w:hAnsi="Arial" w:cs="Arial"/>
          <w:i/>
          <w:iCs/>
          <w:sz w:val="24"/>
          <w:lang w:val="en-US"/>
        </w:rPr>
        <w:t xml:space="preserve">Source: Statista (2023), </w:t>
      </w:r>
      <w:proofErr w:type="spellStart"/>
      <w:r w:rsidRPr="003A48F1">
        <w:rPr>
          <w:rFonts w:ascii="Arial" w:hAnsi="Arial" w:cs="Arial"/>
          <w:i/>
          <w:iCs/>
          <w:sz w:val="24"/>
          <w:lang w:val="en-US"/>
        </w:rPr>
        <w:t>Ologunebi</w:t>
      </w:r>
      <w:proofErr w:type="spellEnd"/>
      <w:r w:rsidRPr="003A48F1">
        <w:rPr>
          <w:rFonts w:ascii="Arial" w:hAnsi="Arial" w:cs="Arial"/>
          <w:i/>
          <w:iCs/>
          <w:sz w:val="24"/>
          <w:lang w:val="en-US"/>
        </w:rPr>
        <w:t xml:space="preserve"> (2023), and Henry (2021).</w:t>
      </w:r>
    </w:p>
    <w:p w14:paraId="5886716E" w14:textId="77777777" w:rsidR="00686280" w:rsidRDefault="00686280" w:rsidP="00B06EBB">
      <w:pPr>
        <w:spacing w:after="0" w:line="360" w:lineRule="auto"/>
        <w:jc w:val="both"/>
        <w:rPr>
          <w:rFonts w:ascii="Arial" w:hAnsi="Arial" w:cs="Arial"/>
          <w:i/>
          <w:iCs/>
          <w:sz w:val="24"/>
          <w:lang w:val="en-US"/>
        </w:rPr>
      </w:pPr>
    </w:p>
    <w:p w14:paraId="1E6A41F0" w14:textId="65A14E72" w:rsidR="00686280" w:rsidRPr="00686280" w:rsidRDefault="00171397" w:rsidP="00B06EBB">
      <w:pPr>
        <w:spacing w:after="0" w:line="360" w:lineRule="auto"/>
        <w:jc w:val="both"/>
        <w:rPr>
          <w:rFonts w:ascii="Arial" w:hAnsi="Arial" w:cs="Arial"/>
          <w:b/>
          <w:bCs/>
          <w:sz w:val="24"/>
          <w:lang w:val="en-US"/>
        </w:rPr>
      </w:pPr>
      <w:r>
        <w:rPr>
          <w:rFonts w:ascii="Arial" w:hAnsi="Arial" w:cs="Arial"/>
          <w:b/>
          <w:bCs/>
          <w:sz w:val="24"/>
          <w:lang w:val="en-US"/>
        </w:rPr>
        <w:t xml:space="preserve">Asda’s </w:t>
      </w:r>
      <w:r w:rsidR="00686280" w:rsidRPr="00686280">
        <w:rPr>
          <w:rFonts w:ascii="Arial" w:hAnsi="Arial" w:cs="Arial"/>
          <w:b/>
          <w:bCs/>
          <w:sz w:val="24"/>
          <w:lang w:val="en-US"/>
        </w:rPr>
        <w:t xml:space="preserve">Financial Structure </w:t>
      </w:r>
    </w:p>
    <w:p w14:paraId="334346E3" w14:textId="1D891A99" w:rsidR="00973F54" w:rsidRPr="00E875D8" w:rsidRDefault="00686280" w:rsidP="00B06EBB">
      <w:pPr>
        <w:spacing w:after="0" w:line="360" w:lineRule="auto"/>
        <w:jc w:val="both"/>
        <w:rPr>
          <w:rFonts w:ascii="Arial" w:hAnsi="Arial" w:cs="Arial"/>
          <w:b/>
          <w:bCs/>
          <w:sz w:val="24"/>
          <w:lang w:val="en-US"/>
        </w:rPr>
      </w:pPr>
      <w:r w:rsidRPr="00E875D8">
        <w:rPr>
          <w:rFonts w:ascii="Arial" w:hAnsi="Arial" w:cs="Arial"/>
          <w:b/>
          <w:bCs/>
          <w:sz w:val="24"/>
          <w:lang w:val="en-US"/>
        </w:rPr>
        <w:t>1.Asda’s Ownership Allocation</w:t>
      </w:r>
    </w:p>
    <w:tbl>
      <w:tblPr>
        <w:tblStyle w:val="TableGrid"/>
        <w:tblW w:w="0" w:type="auto"/>
        <w:tblLook w:val="04A0" w:firstRow="1" w:lastRow="0" w:firstColumn="1" w:lastColumn="0" w:noHBand="0" w:noVBand="1"/>
      </w:tblPr>
      <w:tblGrid>
        <w:gridCol w:w="3116"/>
        <w:gridCol w:w="3117"/>
        <w:gridCol w:w="3117"/>
      </w:tblGrid>
      <w:tr w:rsidR="00686280" w14:paraId="32382468" w14:textId="77777777" w:rsidTr="00686280">
        <w:tc>
          <w:tcPr>
            <w:tcW w:w="3116" w:type="dxa"/>
          </w:tcPr>
          <w:p w14:paraId="4ED88BCD" w14:textId="654DEC53" w:rsidR="00686280" w:rsidRDefault="00686280" w:rsidP="00B06EBB">
            <w:pPr>
              <w:spacing w:line="360" w:lineRule="auto"/>
              <w:jc w:val="both"/>
              <w:rPr>
                <w:rFonts w:ascii="Arial" w:hAnsi="Arial" w:cs="Arial"/>
                <w:sz w:val="24"/>
                <w:lang w:val="en-US"/>
              </w:rPr>
            </w:pPr>
            <w:r>
              <w:rPr>
                <w:rFonts w:ascii="Arial" w:hAnsi="Arial" w:cs="Arial"/>
                <w:sz w:val="24"/>
                <w:lang w:val="en-US"/>
              </w:rPr>
              <w:t xml:space="preserve">Shareholder </w:t>
            </w:r>
          </w:p>
        </w:tc>
        <w:tc>
          <w:tcPr>
            <w:tcW w:w="3117" w:type="dxa"/>
          </w:tcPr>
          <w:p w14:paraId="64780EC3" w14:textId="3F0D8C5F" w:rsidR="00686280" w:rsidRDefault="00686280" w:rsidP="00B06EBB">
            <w:pPr>
              <w:spacing w:line="360" w:lineRule="auto"/>
              <w:jc w:val="both"/>
              <w:rPr>
                <w:rFonts w:ascii="Arial" w:hAnsi="Arial" w:cs="Arial"/>
                <w:sz w:val="24"/>
                <w:lang w:val="en-US"/>
              </w:rPr>
            </w:pPr>
            <w:r>
              <w:rPr>
                <w:rFonts w:ascii="Arial" w:hAnsi="Arial" w:cs="Arial"/>
                <w:sz w:val="24"/>
                <w:lang w:val="en-US"/>
              </w:rPr>
              <w:t>Ownership Stake</w:t>
            </w:r>
          </w:p>
        </w:tc>
        <w:tc>
          <w:tcPr>
            <w:tcW w:w="3117" w:type="dxa"/>
          </w:tcPr>
          <w:p w14:paraId="6CDB4021" w14:textId="2120717C" w:rsidR="00686280" w:rsidRDefault="00686280" w:rsidP="00B06EBB">
            <w:pPr>
              <w:spacing w:line="360" w:lineRule="auto"/>
              <w:jc w:val="both"/>
              <w:rPr>
                <w:rFonts w:ascii="Arial" w:hAnsi="Arial" w:cs="Arial"/>
                <w:sz w:val="24"/>
                <w:lang w:val="en-US"/>
              </w:rPr>
            </w:pPr>
            <w:r>
              <w:rPr>
                <w:rFonts w:ascii="Arial" w:hAnsi="Arial" w:cs="Arial"/>
                <w:sz w:val="24"/>
                <w:lang w:val="en-US"/>
              </w:rPr>
              <w:t>Role / Status</w:t>
            </w:r>
          </w:p>
        </w:tc>
      </w:tr>
      <w:tr w:rsidR="00686280" w14:paraId="72B88402" w14:textId="77777777" w:rsidTr="00686280">
        <w:tc>
          <w:tcPr>
            <w:tcW w:w="3116" w:type="dxa"/>
          </w:tcPr>
          <w:p w14:paraId="2ED96B58" w14:textId="09B75722" w:rsidR="00686280" w:rsidRDefault="00686280" w:rsidP="00B06EBB">
            <w:pPr>
              <w:spacing w:line="360" w:lineRule="auto"/>
              <w:jc w:val="both"/>
              <w:rPr>
                <w:rFonts w:ascii="Arial" w:hAnsi="Arial" w:cs="Arial"/>
                <w:sz w:val="24"/>
                <w:lang w:val="en-US"/>
              </w:rPr>
            </w:pPr>
            <w:r>
              <w:rPr>
                <w:rFonts w:ascii="Arial" w:hAnsi="Arial" w:cs="Arial"/>
                <w:sz w:val="24"/>
                <w:lang w:val="en-US"/>
              </w:rPr>
              <w:t>TDR Capital</w:t>
            </w:r>
          </w:p>
        </w:tc>
        <w:tc>
          <w:tcPr>
            <w:tcW w:w="3117" w:type="dxa"/>
          </w:tcPr>
          <w:p w14:paraId="65F7E655" w14:textId="01704508" w:rsidR="00686280" w:rsidRDefault="00686280" w:rsidP="00E875D8">
            <w:pPr>
              <w:spacing w:line="360" w:lineRule="auto"/>
              <w:jc w:val="center"/>
              <w:rPr>
                <w:rFonts w:ascii="Arial" w:hAnsi="Arial" w:cs="Arial"/>
                <w:sz w:val="24"/>
                <w:lang w:val="en-US"/>
              </w:rPr>
            </w:pPr>
            <w:r>
              <w:rPr>
                <w:rFonts w:ascii="Arial" w:hAnsi="Arial" w:cs="Arial"/>
                <w:sz w:val="24"/>
                <w:lang w:val="en-US"/>
              </w:rPr>
              <w:t>67.5%</w:t>
            </w:r>
          </w:p>
        </w:tc>
        <w:tc>
          <w:tcPr>
            <w:tcW w:w="3117" w:type="dxa"/>
          </w:tcPr>
          <w:p w14:paraId="724C4323" w14:textId="0A9E8CDC" w:rsidR="00686280" w:rsidRDefault="00686280" w:rsidP="00B06EBB">
            <w:pPr>
              <w:spacing w:line="360" w:lineRule="auto"/>
              <w:jc w:val="both"/>
              <w:rPr>
                <w:rFonts w:ascii="Arial" w:hAnsi="Arial" w:cs="Arial"/>
                <w:sz w:val="24"/>
                <w:lang w:val="en-US"/>
              </w:rPr>
            </w:pPr>
            <w:r>
              <w:rPr>
                <w:rFonts w:ascii="Arial" w:hAnsi="Arial" w:cs="Arial"/>
                <w:sz w:val="24"/>
                <w:lang w:val="en-US"/>
              </w:rPr>
              <w:t>Controlling Majority Private Equity Firm</w:t>
            </w:r>
          </w:p>
        </w:tc>
      </w:tr>
      <w:tr w:rsidR="00686280" w14:paraId="06559942" w14:textId="77777777" w:rsidTr="00686280">
        <w:tc>
          <w:tcPr>
            <w:tcW w:w="3116" w:type="dxa"/>
          </w:tcPr>
          <w:p w14:paraId="2BAD28F4" w14:textId="151B45E1" w:rsidR="00686280" w:rsidRDefault="00686280" w:rsidP="00B06EBB">
            <w:pPr>
              <w:spacing w:line="360" w:lineRule="auto"/>
              <w:jc w:val="both"/>
              <w:rPr>
                <w:rFonts w:ascii="Arial" w:hAnsi="Arial" w:cs="Arial"/>
                <w:sz w:val="24"/>
                <w:lang w:val="en-US"/>
              </w:rPr>
            </w:pPr>
            <w:r>
              <w:rPr>
                <w:rFonts w:ascii="Arial" w:hAnsi="Arial" w:cs="Arial"/>
                <w:sz w:val="24"/>
                <w:lang w:val="en-US"/>
              </w:rPr>
              <w:t>Mohsin Issa</w:t>
            </w:r>
          </w:p>
        </w:tc>
        <w:tc>
          <w:tcPr>
            <w:tcW w:w="3117" w:type="dxa"/>
          </w:tcPr>
          <w:p w14:paraId="2D08E598" w14:textId="414BCACD" w:rsidR="00686280" w:rsidRDefault="00686280" w:rsidP="00E875D8">
            <w:pPr>
              <w:spacing w:line="360" w:lineRule="auto"/>
              <w:jc w:val="center"/>
              <w:rPr>
                <w:rFonts w:ascii="Arial" w:hAnsi="Arial" w:cs="Arial"/>
                <w:sz w:val="24"/>
                <w:lang w:val="en-US"/>
              </w:rPr>
            </w:pPr>
            <w:r>
              <w:rPr>
                <w:rFonts w:ascii="Arial" w:hAnsi="Arial" w:cs="Arial"/>
                <w:sz w:val="24"/>
                <w:lang w:val="en-US"/>
              </w:rPr>
              <w:t>22.5%</w:t>
            </w:r>
          </w:p>
        </w:tc>
        <w:tc>
          <w:tcPr>
            <w:tcW w:w="3117" w:type="dxa"/>
          </w:tcPr>
          <w:p w14:paraId="495CC099" w14:textId="04C90800" w:rsidR="00686280" w:rsidRDefault="00686280" w:rsidP="00B06EBB">
            <w:pPr>
              <w:spacing w:line="360" w:lineRule="auto"/>
              <w:jc w:val="both"/>
              <w:rPr>
                <w:rFonts w:ascii="Arial" w:hAnsi="Arial" w:cs="Arial"/>
                <w:sz w:val="24"/>
                <w:lang w:val="en-US"/>
              </w:rPr>
            </w:pPr>
            <w:r>
              <w:rPr>
                <w:rFonts w:ascii="Arial" w:hAnsi="Arial" w:cs="Arial"/>
                <w:sz w:val="24"/>
                <w:lang w:val="en-US"/>
              </w:rPr>
              <w:t>Co-founder / personal Investor</w:t>
            </w:r>
          </w:p>
        </w:tc>
      </w:tr>
      <w:tr w:rsidR="00686280" w14:paraId="22AC8BB1" w14:textId="77777777" w:rsidTr="00E875D8">
        <w:trPr>
          <w:trHeight w:val="699"/>
        </w:trPr>
        <w:tc>
          <w:tcPr>
            <w:tcW w:w="3116" w:type="dxa"/>
          </w:tcPr>
          <w:p w14:paraId="1CE52D21" w14:textId="2E8DBD62" w:rsidR="00686280" w:rsidRDefault="00686280" w:rsidP="00B06EBB">
            <w:pPr>
              <w:spacing w:line="360" w:lineRule="auto"/>
              <w:jc w:val="both"/>
              <w:rPr>
                <w:rFonts w:ascii="Arial" w:hAnsi="Arial" w:cs="Arial"/>
                <w:sz w:val="24"/>
                <w:lang w:val="en-US"/>
              </w:rPr>
            </w:pPr>
            <w:r>
              <w:rPr>
                <w:rFonts w:ascii="Arial" w:hAnsi="Arial" w:cs="Arial"/>
                <w:sz w:val="24"/>
                <w:lang w:val="en-US"/>
              </w:rPr>
              <w:t xml:space="preserve">Walmart </w:t>
            </w:r>
          </w:p>
        </w:tc>
        <w:tc>
          <w:tcPr>
            <w:tcW w:w="3117" w:type="dxa"/>
          </w:tcPr>
          <w:p w14:paraId="1F010EA7" w14:textId="1475D9B5" w:rsidR="00686280" w:rsidRDefault="00686280" w:rsidP="00E875D8">
            <w:pPr>
              <w:spacing w:line="360" w:lineRule="auto"/>
              <w:jc w:val="center"/>
              <w:rPr>
                <w:rFonts w:ascii="Arial" w:hAnsi="Arial" w:cs="Arial"/>
                <w:sz w:val="24"/>
                <w:lang w:val="en-US"/>
              </w:rPr>
            </w:pPr>
            <w:r>
              <w:rPr>
                <w:rFonts w:ascii="Arial" w:hAnsi="Arial" w:cs="Arial"/>
                <w:sz w:val="24"/>
                <w:lang w:val="en-US"/>
              </w:rPr>
              <w:t>10.0%</w:t>
            </w:r>
          </w:p>
        </w:tc>
        <w:tc>
          <w:tcPr>
            <w:tcW w:w="3117" w:type="dxa"/>
          </w:tcPr>
          <w:p w14:paraId="069BD0F9" w14:textId="1F5AC6E6" w:rsidR="00686280" w:rsidRDefault="00686280" w:rsidP="00B06EBB">
            <w:pPr>
              <w:spacing w:line="360" w:lineRule="auto"/>
              <w:jc w:val="both"/>
              <w:rPr>
                <w:rFonts w:ascii="Arial" w:hAnsi="Arial" w:cs="Arial"/>
                <w:sz w:val="24"/>
                <w:lang w:val="en-US"/>
              </w:rPr>
            </w:pPr>
            <w:r>
              <w:rPr>
                <w:rFonts w:ascii="Arial" w:hAnsi="Arial" w:cs="Arial"/>
                <w:sz w:val="24"/>
                <w:lang w:val="en-US"/>
              </w:rPr>
              <w:t>Former Owner / Minority Stakeholder</w:t>
            </w:r>
          </w:p>
        </w:tc>
      </w:tr>
      <w:tr w:rsidR="00E875D8" w14:paraId="35AE5047" w14:textId="77777777" w:rsidTr="00E875D8">
        <w:trPr>
          <w:trHeight w:val="699"/>
        </w:trPr>
        <w:tc>
          <w:tcPr>
            <w:tcW w:w="3116" w:type="dxa"/>
          </w:tcPr>
          <w:p w14:paraId="49B1DFF4" w14:textId="73965472" w:rsidR="00E875D8" w:rsidRPr="00E875D8" w:rsidRDefault="00E875D8" w:rsidP="00E875D8">
            <w:pPr>
              <w:spacing w:line="360" w:lineRule="auto"/>
              <w:jc w:val="center"/>
              <w:rPr>
                <w:rFonts w:ascii="Arial" w:hAnsi="Arial" w:cs="Arial"/>
                <w:b/>
                <w:bCs/>
                <w:sz w:val="24"/>
                <w:lang w:val="en-US"/>
              </w:rPr>
            </w:pPr>
            <w:r w:rsidRPr="00E875D8">
              <w:rPr>
                <w:rFonts w:ascii="Arial" w:hAnsi="Arial" w:cs="Arial"/>
                <w:b/>
                <w:bCs/>
                <w:sz w:val="24"/>
                <w:lang w:val="en-US"/>
              </w:rPr>
              <w:t>2. Core Financial Metrics</w:t>
            </w:r>
          </w:p>
        </w:tc>
        <w:tc>
          <w:tcPr>
            <w:tcW w:w="3117" w:type="dxa"/>
          </w:tcPr>
          <w:p w14:paraId="47E96FA7" w14:textId="77777777" w:rsidR="00E875D8" w:rsidRDefault="00E875D8" w:rsidP="00E875D8">
            <w:pPr>
              <w:spacing w:line="360" w:lineRule="auto"/>
              <w:jc w:val="center"/>
              <w:rPr>
                <w:rFonts w:ascii="Arial" w:hAnsi="Arial" w:cs="Arial"/>
                <w:sz w:val="24"/>
                <w:lang w:val="en-US"/>
              </w:rPr>
            </w:pPr>
          </w:p>
        </w:tc>
        <w:tc>
          <w:tcPr>
            <w:tcW w:w="3117" w:type="dxa"/>
          </w:tcPr>
          <w:p w14:paraId="616D359A" w14:textId="77777777" w:rsidR="00E875D8" w:rsidRDefault="00E875D8" w:rsidP="00B06EBB">
            <w:pPr>
              <w:spacing w:line="360" w:lineRule="auto"/>
              <w:jc w:val="both"/>
              <w:rPr>
                <w:rFonts w:ascii="Arial" w:hAnsi="Arial" w:cs="Arial"/>
                <w:sz w:val="24"/>
                <w:lang w:val="en-US"/>
              </w:rPr>
            </w:pPr>
          </w:p>
        </w:tc>
      </w:tr>
      <w:tr w:rsidR="00E875D8" w14:paraId="2E0DC161" w14:textId="77777777" w:rsidTr="00E875D8">
        <w:trPr>
          <w:trHeight w:val="699"/>
        </w:trPr>
        <w:tc>
          <w:tcPr>
            <w:tcW w:w="3116" w:type="dxa"/>
          </w:tcPr>
          <w:p w14:paraId="43CC76FA" w14:textId="68A304EA" w:rsidR="00E875D8" w:rsidRDefault="00E875D8" w:rsidP="00E875D8">
            <w:pPr>
              <w:spacing w:line="360" w:lineRule="auto"/>
              <w:jc w:val="center"/>
              <w:rPr>
                <w:rFonts w:ascii="Arial" w:hAnsi="Arial" w:cs="Arial"/>
                <w:sz w:val="24"/>
                <w:lang w:val="en-US"/>
              </w:rPr>
            </w:pPr>
            <w:r>
              <w:rPr>
                <w:rFonts w:ascii="Arial" w:hAnsi="Arial" w:cs="Arial"/>
                <w:sz w:val="24"/>
                <w:lang w:val="en-US"/>
              </w:rPr>
              <w:t xml:space="preserve">Metrics </w:t>
            </w:r>
          </w:p>
        </w:tc>
        <w:tc>
          <w:tcPr>
            <w:tcW w:w="3117" w:type="dxa"/>
          </w:tcPr>
          <w:p w14:paraId="15FD2B5E" w14:textId="4F977060" w:rsidR="00E875D8" w:rsidRDefault="00E875D8" w:rsidP="00E875D8">
            <w:pPr>
              <w:spacing w:line="360" w:lineRule="auto"/>
              <w:jc w:val="center"/>
              <w:rPr>
                <w:rFonts w:ascii="Arial" w:hAnsi="Arial" w:cs="Arial"/>
                <w:sz w:val="24"/>
                <w:lang w:val="en-US"/>
              </w:rPr>
            </w:pPr>
            <w:r>
              <w:rPr>
                <w:rFonts w:ascii="Arial" w:hAnsi="Arial" w:cs="Arial"/>
                <w:sz w:val="24"/>
                <w:lang w:val="en-US"/>
              </w:rPr>
              <w:t xml:space="preserve">Amount </w:t>
            </w:r>
          </w:p>
        </w:tc>
        <w:tc>
          <w:tcPr>
            <w:tcW w:w="3117" w:type="dxa"/>
          </w:tcPr>
          <w:p w14:paraId="2C7560C2" w14:textId="6CA1307E" w:rsidR="00E875D8" w:rsidRDefault="00E875D8" w:rsidP="00B06EBB">
            <w:pPr>
              <w:spacing w:line="360" w:lineRule="auto"/>
              <w:jc w:val="both"/>
              <w:rPr>
                <w:rFonts w:ascii="Arial" w:hAnsi="Arial" w:cs="Arial"/>
                <w:sz w:val="24"/>
                <w:lang w:val="en-US"/>
              </w:rPr>
            </w:pPr>
            <w:r>
              <w:rPr>
                <w:rFonts w:ascii="Arial" w:hAnsi="Arial" w:cs="Arial"/>
                <w:sz w:val="24"/>
                <w:lang w:val="en-US"/>
              </w:rPr>
              <w:t>Financial Impact</w:t>
            </w:r>
          </w:p>
        </w:tc>
      </w:tr>
      <w:tr w:rsidR="00E875D8" w14:paraId="515A9673" w14:textId="77777777" w:rsidTr="00E875D8">
        <w:trPr>
          <w:trHeight w:val="699"/>
        </w:trPr>
        <w:tc>
          <w:tcPr>
            <w:tcW w:w="3116" w:type="dxa"/>
          </w:tcPr>
          <w:p w14:paraId="4CAAA6FB" w14:textId="217DADDC" w:rsidR="00E875D8" w:rsidRDefault="00E875D8" w:rsidP="00B06EBB">
            <w:pPr>
              <w:spacing w:line="360" w:lineRule="auto"/>
              <w:jc w:val="both"/>
              <w:rPr>
                <w:rFonts w:ascii="Arial" w:hAnsi="Arial" w:cs="Arial"/>
                <w:sz w:val="24"/>
                <w:lang w:val="en-US"/>
              </w:rPr>
            </w:pPr>
            <w:r>
              <w:rPr>
                <w:rFonts w:ascii="Arial" w:hAnsi="Arial" w:cs="Arial"/>
                <w:sz w:val="24"/>
                <w:lang w:val="en-US"/>
              </w:rPr>
              <w:t>Cash Reserves</w:t>
            </w:r>
          </w:p>
        </w:tc>
        <w:tc>
          <w:tcPr>
            <w:tcW w:w="3117" w:type="dxa"/>
          </w:tcPr>
          <w:p w14:paraId="49D4CD57" w14:textId="4EE0CF21" w:rsidR="00E875D8" w:rsidRDefault="00E875D8" w:rsidP="00171397">
            <w:pPr>
              <w:spacing w:line="360" w:lineRule="auto"/>
              <w:jc w:val="center"/>
              <w:rPr>
                <w:rFonts w:ascii="Arial" w:hAnsi="Arial" w:cs="Arial"/>
                <w:sz w:val="24"/>
                <w:lang w:val="en-US"/>
              </w:rPr>
            </w:pPr>
            <w:r>
              <w:rPr>
                <w:rFonts w:ascii="Arial" w:hAnsi="Arial" w:cs="Arial"/>
                <w:sz w:val="24"/>
                <w:lang w:val="en-US"/>
              </w:rPr>
              <w:t>£1.3 Billion</w:t>
            </w:r>
          </w:p>
        </w:tc>
        <w:tc>
          <w:tcPr>
            <w:tcW w:w="3117" w:type="dxa"/>
          </w:tcPr>
          <w:p w14:paraId="03D65A80" w14:textId="08F7DBC6" w:rsidR="00E875D8" w:rsidRDefault="00171397" w:rsidP="00B06EBB">
            <w:pPr>
              <w:spacing w:line="360" w:lineRule="auto"/>
              <w:jc w:val="both"/>
              <w:rPr>
                <w:rFonts w:ascii="Arial" w:hAnsi="Arial" w:cs="Arial"/>
                <w:sz w:val="24"/>
                <w:lang w:val="en-US"/>
              </w:rPr>
            </w:pPr>
            <w:r>
              <w:rPr>
                <w:rFonts w:ascii="Arial" w:hAnsi="Arial" w:cs="Arial"/>
                <w:sz w:val="24"/>
                <w:lang w:val="en-US"/>
              </w:rPr>
              <w:t>High cash availability for operations</w:t>
            </w:r>
          </w:p>
        </w:tc>
      </w:tr>
      <w:tr w:rsidR="00E875D8" w14:paraId="13E398B9" w14:textId="77777777" w:rsidTr="00E875D8">
        <w:trPr>
          <w:trHeight w:val="699"/>
        </w:trPr>
        <w:tc>
          <w:tcPr>
            <w:tcW w:w="3116" w:type="dxa"/>
          </w:tcPr>
          <w:p w14:paraId="4C6754E0" w14:textId="70CCBA5A" w:rsidR="00E875D8" w:rsidRDefault="00E875D8" w:rsidP="00B06EBB">
            <w:pPr>
              <w:spacing w:line="360" w:lineRule="auto"/>
              <w:jc w:val="both"/>
              <w:rPr>
                <w:rFonts w:ascii="Arial" w:hAnsi="Arial" w:cs="Arial"/>
                <w:sz w:val="24"/>
                <w:lang w:val="en-US"/>
              </w:rPr>
            </w:pPr>
            <w:r>
              <w:rPr>
                <w:rFonts w:ascii="Arial" w:hAnsi="Arial" w:cs="Arial"/>
                <w:sz w:val="24"/>
                <w:lang w:val="en-US"/>
              </w:rPr>
              <w:t>Total Liquidity</w:t>
            </w:r>
          </w:p>
        </w:tc>
        <w:tc>
          <w:tcPr>
            <w:tcW w:w="3117" w:type="dxa"/>
          </w:tcPr>
          <w:p w14:paraId="332FF9EF" w14:textId="6E361763" w:rsidR="00E875D8" w:rsidRDefault="00E875D8" w:rsidP="00171397">
            <w:pPr>
              <w:spacing w:line="360" w:lineRule="auto"/>
              <w:jc w:val="center"/>
              <w:rPr>
                <w:rFonts w:ascii="Arial" w:hAnsi="Arial" w:cs="Arial"/>
                <w:sz w:val="24"/>
                <w:lang w:val="en-US"/>
              </w:rPr>
            </w:pPr>
            <w:r>
              <w:rPr>
                <w:rFonts w:ascii="Arial" w:hAnsi="Arial" w:cs="Arial"/>
                <w:sz w:val="24"/>
                <w:lang w:val="en-US"/>
              </w:rPr>
              <w:t>£2.1Billion</w:t>
            </w:r>
          </w:p>
        </w:tc>
        <w:tc>
          <w:tcPr>
            <w:tcW w:w="3117" w:type="dxa"/>
          </w:tcPr>
          <w:p w14:paraId="52940729" w14:textId="5E6AF7C2" w:rsidR="00E875D8" w:rsidRDefault="00171397" w:rsidP="00B06EBB">
            <w:pPr>
              <w:spacing w:line="360" w:lineRule="auto"/>
              <w:jc w:val="both"/>
              <w:rPr>
                <w:rFonts w:ascii="Arial" w:hAnsi="Arial" w:cs="Arial"/>
                <w:sz w:val="24"/>
                <w:lang w:val="en-US"/>
              </w:rPr>
            </w:pPr>
            <w:r>
              <w:rPr>
                <w:rFonts w:ascii="Arial" w:hAnsi="Arial" w:cs="Arial"/>
                <w:sz w:val="24"/>
                <w:lang w:val="en-US"/>
              </w:rPr>
              <w:t>Includes available credit lines and cash</w:t>
            </w:r>
          </w:p>
        </w:tc>
      </w:tr>
      <w:tr w:rsidR="00E875D8" w14:paraId="3AD76ABE" w14:textId="77777777" w:rsidTr="00E875D8">
        <w:trPr>
          <w:trHeight w:val="699"/>
        </w:trPr>
        <w:tc>
          <w:tcPr>
            <w:tcW w:w="3116" w:type="dxa"/>
          </w:tcPr>
          <w:p w14:paraId="3758D146" w14:textId="57341AB7" w:rsidR="00E875D8" w:rsidRDefault="00E875D8" w:rsidP="00B06EBB">
            <w:pPr>
              <w:spacing w:line="360" w:lineRule="auto"/>
              <w:jc w:val="both"/>
              <w:rPr>
                <w:rFonts w:ascii="Arial" w:hAnsi="Arial" w:cs="Arial"/>
                <w:sz w:val="24"/>
                <w:lang w:val="en-US"/>
              </w:rPr>
            </w:pPr>
            <w:r>
              <w:rPr>
                <w:rFonts w:ascii="Arial" w:hAnsi="Arial" w:cs="Arial"/>
                <w:sz w:val="24"/>
                <w:lang w:val="en-US"/>
              </w:rPr>
              <w:t>Adjusted Earnings</w:t>
            </w:r>
          </w:p>
        </w:tc>
        <w:tc>
          <w:tcPr>
            <w:tcW w:w="3117" w:type="dxa"/>
          </w:tcPr>
          <w:p w14:paraId="65612DDD" w14:textId="4DB093C9" w:rsidR="00E875D8" w:rsidRDefault="00E875D8" w:rsidP="00171397">
            <w:pPr>
              <w:spacing w:line="360" w:lineRule="auto"/>
              <w:jc w:val="center"/>
              <w:rPr>
                <w:rFonts w:ascii="Arial" w:hAnsi="Arial" w:cs="Arial"/>
                <w:sz w:val="24"/>
                <w:lang w:val="en-US"/>
              </w:rPr>
            </w:pPr>
            <w:r>
              <w:rPr>
                <w:rFonts w:ascii="Arial" w:hAnsi="Arial" w:cs="Arial"/>
                <w:sz w:val="24"/>
                <w:lang w:val="en-US"/>
              </w:rPr>
              <w:t>£761 Million</w:t>
            </w:r>
          </w:p>
        </w:tc>
        <w:tc>
          <w:tcPr>
            <w:tcW w:w="3117" w:type="dxa"/>
          </w:tcPr>
          <w:p w14:paraId="5C296368" w14:textId="5A259189" w:rsidR="00E875D8" w:rsidRDefault="00171397" w:rsidP="00B06EBB">
            <w:pPr>
              <w:spacing w:line="360" w:lineRule="auto"/>
              <w:jc w:val="both"/>
              <w:rPr>
                <w:rFonts w:ascii="Arial" w:hAnsi="Arial" w:cs="Arial"/>
                <w:sz w:val="24"/>
                <w:lang w:val="en-US"/>
              </w:rPr>
            </w:pPr>
            <w:r>
              <w:rPr>
                <w:rFonts w:ascii="Arial" w:hAnsi="Arial" w:cs="Arial"/>
                <w:sz w:val="24"/>
                <w:lang w:val="en-US"/>
              </w:rPr>
              <w:t>Solid underlying operation profit</w:t>
            </w:r>
          </w:p>
        </w:tc>
      </w:tr>
      <w:tr w:rsidR="00E875D8" w14:paraId="1EACC40F" w14:textId="77777777" w:rsidTr="00E875D8">
        <w:trPr>
          <w:trHeight w:val="699"/>
        </w:trPr>
        <w:tc>
          <w:tcPr>
            <w:tcW w:w="3116" w:type="dxa"/>
          </w:tcPr>
          <w:p w14:paraId="6194E83C" w14:textId="40A79093" w:rsidR="00E875D8" w:rsidRDefault="00E875D8" w:rsidP="00B06EBB">
            <w:pPr>
              <w:spacing w:line="360" w:lineRule="auto"/>
              <w:jc w:val="both"/>
              <w:rPr>
                <w:rFonts w:ascii="Arial" w:hAnsi="Arial" w:cs="Arial"/>
                <w:sz w:val="24"/>
                <w:lang w:val="en-US"/>
              </w:rPr>
            </w:pPr>
            <w:r>
              <w:rPr>
                <w:rFonts w:ascii="Arial" w:hAnsi="Arial" w:cs="Arial"/>
                <w:sz w:val="24"/>
                <w:lang w:val="en-US"/>
              </w:rPr>
              <w:t>Pre-tax Loss</w:t>
            </w:r>
          </w:p>
        </w:tc>
        <w:tc>
          <w:tcPr>
            <w:tcW w:w="3117" w:type="dxa"/>
          </w:tcPr>
          <w:p w14:paraId="289E3FB5" w14:textId="329EF9F7" w:rsidR="00E875D8" w:rsidRDefault="00E875D8" w:rsidP="00171397">
            <w:pPr>
              <w:spacing w:line="360" w:lineRule="auto"/>
              <w:jc w:val="center"/>
              <w:rPr>
                <w:rFonts w:ascii="Arial" w:hAnsi="Arial" w:cs="Arial"/>
                <w:sz w:val="24"/>
                <w:lang w:val="en-US"/>
              </w:rPr>
            </w:pPr>
            <w:r>
              <w:rPr>
                <w:rFonts w:ascii="Arial" w:hAnsi="Arial" w:cs="Arial"/>
                <w:sz w:val="24"/>
                <w:lang w:val="en-US"/>
              </w:rPr>
              <w:t>£989 Million</w:t>
            </w:r>
          </w:p>
        </w:tc>
        <w:tc>
          <w:tcPr>
            <w:tcW w:w="3117" w:type="dxa"/>
          </w:tcPr>
          <w:p w14:paraId="59FECA89" w14:textId="54E61D79" w:rsidR="00E875D8" w:rsidRDefault="00171397" w:rsidP="00B06EBB">
            <w:pPr>
              <w:spacing w:line="360" w:lineRule="auto"/>
              <w:jc w:val="both"/>
              <w:rPr>
                <w:rFonts w:ascii="Arial" w:hAnsi="Arial" w:cs="Arial"/>
                <w:sz w:val="24"/>
                <w:lang w:val="en-US"/>
              </w:rPr>
            </w:pPr>
            <w:r>
              <w:rPr>
                <w:rFonts w:ascii="Arial" w:hAnsi="Arial" w:cs="Arial"/>
                <w:sz w:val="24"/>
                <w:lang w:val="en-US"/>
              </w:rPr>
              <w:t>Driven by price cuts and Walmart IT exit costs</w:t>
            </w:r>
          </w:p>
        </w:tc>
      </w:tr>
      <w:tr w:rsidR="00E875D8" w14:paraId="28D49263" w14:textId="77777777" w:rsidTr="00E875D8">
        <w:trPr>
          <w:trHeight w:val="699"/>
        </w:trPr>
        <w:tc>
          <w:tcPr>
            <w:tcW w:w="3116" w:type="dxa"/>
          </w:tcPr>
          <w:p w14:paraId="3BE4B5C3" w14:textId="558B70F7" w:rsidR="00E875D8" w:rsidRDefault="00E875D8" w:rsidP="00B06EBB">
            <w:pPr>
              <w:spacing w:line="360" w:lineRule="auto"/>
              <w:jc w:val="both"/>
              <w:rPr>
                <w:rFonts w:ascii="Arial" w:hAnsi="Arial" w:cs="Arial"/>
                <w:sz w:val="24"/>
                <w:lang w:val="en-US"/>
              </w:rPr>
            </w:pPr>
            <w:r>
              <w:rPr>
                <w:rFonts w:ascii="Arial" w:hAnsi="Arial" w:cs="Arial"/>
                <w:sz w:val="24"/>
                <w:lang w:val="en-US"/>
              </w:rPr>
              <w:t>Debt Profile</w:t>
            </w:r>
          </w:p>
        </w:tc>
        <w:tc>
          <w:tcPr>
            <w:tcW w:w="3117" w:type="dxa"/>
          </w:tcPr>
          <w:p w14:paraId="501DDD58" w14:textId="35F40A26" w:rsidR="00E875D8" w:rsidRDefault="00E875D8" w:rsidP="00171397">
            <w:pPr>
              <w:spacing w:line="360" w:lineRule="auto"/>
              <w:jc w:val="center"/>
              <w:rPr>
                <w:rFonts w:ascii="Arial" w:hAnsi="Arial" w:cs="Arial"/>
                <w:sz w:val="24"/>
                <w:lang w:val="en-US"/>
              </w:rPr>
            </w:pPr>
            <w:r>
              <w:rPr>
                <w:rFonts w:ascii="Arial" w:hAnsi="Arial" w:cs="Arial"/>
                <w:sz w:val="24"/>
                <w:lang w:val="en-US"/>
              </w:rPr>
              <w:t>Secured into 2030</w:t>
            </w:r>
            <w:r w:rsidR="00171397">
              <w:rPr>
                <w:rFonts w:ascii="Arial" w:hAnsi="Arial" w:cs="Arial"/>
                <w:sz w:val="24"/>
                <w:lang w:val="en-US"/>
              </w:rPr>
              <w:t>s</w:t>
            </w:r>
          </w:p>
        </w:tc>
        <w:tc>
          <w:tcPr>
            <w:tcW w:w="3117" w:type="dxa"/>
          </w:tcPr>
          <w:p w14:paraId="24C15B34" w14:textId="460FEDFF" w:rsidR="00E875D8" w:rsidRDefault="00171397" w:rsidP="00B06EBB">
            <w:pPr>
              <w:spacing w:line="360" w:lineRule="auto"/>
              <w:jc w:val="both"/>
              <w:rPr>
                <w:rFonts w:ascii="Arial" w:hAnsi="Arial" w:cs="Arial"/>
                <w:sz w:val="24"/>
                <w:lang w:val="en-US"/>
              </w:rPr>
            </w:pPr>
            <w:r>
              <w:rPr>
                <w:rFonts w:ascii="Arial" w:hAnsi="Arial" w:cs="Arial"/>
                <w:sz w:val="24"/>
                <w:lang w:val="en-US"/>
              </w:rPr>
              <w:t>High leverage, but repayments are pushed far out</w:t>
            </w:r>
          </w:p>
        </w:tc>
      </w:tr>
    </w:tbl>
    <w:p w14:paraId="59846860" w14:textId="433F485A" w:rsidR="00686280" w:rsidRPr="00171397" w:rsidRDefault="00171397" w:rsidP="00171397">
      <w:pPr>
        <w:spacing w:after="0" w:line="360" w:lineRule="auto"/>
        <w:jc w:val="center"/>
        <w:rPr>
          <w:rFonts w:ascii="Arial" w:hAnsi="Arial" w:cs="Arial"/>
          <w:i/>
          <w:iCs/>
          <w:sz w:val="24"/>
          <w:lang w:val="en-US"/>
        </w:rPr>
      </w:pPr>
      <w:r w:rsidRPr="00171397">
        <w:rPr>
          <w:rFonts w:ascii="Arial" w:hAnsi="Arial" w:cs="Arial"/>
          <w:i/>
          <w:iCs/>
          <w:sz w:val="24"/>
          <w:lang w:val="en-US"/>
        </w:rPr>
        <w:t>(Asda</w:t>
      </w:r>
      <w:r>
        <w:rPr>
          <w:rFonts w:ascii="Arial" w:hAnsi="Arial" w:cs="Arial"/>
          <w:i/>
          <w:iCs/>
          <w:sz w:val="24"/>
          <w:lang w:val="en-US"/>
        </w:rPr>
        <w:t xml:space="preserve"> Corporate</w:t>
      </w:r>
      <w:r w:rsidRPr="00171397">
        <w:rPr>
          <w:rFonts w:ascii="Arial" w:hAnsi="Arial" w:cs="Arial"/>
          <w:i/>
          <w:iCs/>
          <w:sz w:val="24"/>
          <w:lang w:val="en-US"/>
        </w:rPr>
        <w:t>, 2026)</w:t>
      </w:r>
    </w:p>
    <w:p w14:paraId="524164D7" w14:textId="77777777" w:rsidR="00B06EBB" w:rsidRPr="003A48F1" w:rsidRDefault="00B06EBB" w:rsidP="00462249">
      <w:pPr>
        <w:pStyle w:val="Heading1"/>
        <w:rPr>
          <w:rFonts w:ascii="Arial" w:hAnsi="Arial" w:cs="Arial"/>
          <w:lang w:val="en-US"/>
        </w:rPr>
      </w:pPr>
      <w:bookmarkStart w:id="3" w:name="_Toc237261675"/>
      <w:r w:rsidRPr="003A48F1">
        <w:rPr>
          <w:rFonts w:ascii="Arial" w:hAnsi="Arial" w:cs="Arial"/>
          <w:lang w:val="en-US"/>
        </w:rPr>
        <w:t>2. External and Internal Analysis</w:t>
      </w:r>
      <w:bookmarkEnd w:id="3"/>
    </w:p>
    <w:p w14:paraId="31C6789A" w14:textId="77777777" w:rsidR="00B06EBB" w:rsidRPr="003A48F1" w:rsidRDefault="00B06EBB" w:rsidP="00462249">
      <w:pPr>
        <w:pStyle w:val="Heading2"/>
        <w:rPr>
          <w:rFonts w:ascii="Arial" w:hAnsi="Arial" w:cs="Arial"/>
          <w:lang w:val="en-US"/>
        </w:rPr>
      </w:pPr>
      <w:bookmarkStart w:id="4" w:name="_Toc237261676"/>
      <w:r w:rsidRPr="003A48F1">
        <w:rPr>
          <w:rFonts w:ascii="Arial" w:hAnsi="Arial" w:cs="Arial"/>
          <w:lang w:val="en-US"/>
        </w:rPr>
        <w:t>2.1 External Analysis (PESTEL)</w:t>
      </w:r>
      <w:bookmarkEnd w:id="4"/>
    </w:p>
    <w:p w14:paraId="260D8663" w14:textId="53B20D9A"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The macro-environment faced by ASDA is highly dynamic and it has a strong impact on its strategic decision-making. A combination of political, economic, social, technological, environmental, and legal (PESTEL) influences the competitive environment in the UK grocery retail market, both of which are </w:t>
      </w:r>
      <w:r w:rsidR="00B36A1D" w:rsidRPr="003A48F1">
        <w:rPr>
          <w:rFonts w:ascii="Arial" w:hAnsi="Arial" w:cs="Arial"/>
          <w:sz w:val="24"/>
          <w:lang w:val="en-US"/>
        </w:rPr>
        <w:t>characterized</w:t>
      </w:r>
      <w:r w:rsidRPr="003A48F1">
        <w:rPr>
          <w:rFonts w:ascii="Arial" w:hAnsi="Arial" w:cs="Arial"/>
          <w:sz w:val="24"/>
          <w:lang w:val="en-US"/>
        </w:rPr>
        <w:t xml:space="preserve"> by low margins and high competitiveness (Henry, 2021).</w:t>
      </w:r>
    </w:p>
    <w:p w14:paraId="6FE940A7"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Economic conditions are one of the factors that are most crucial. The inflationary pressures and the impact on the supply chain on pricing, higher operation costs have reinforced the importance of implementing cost leadership in operations and the importance of price sensitivity among consumers (Arrieta-Paredes et al., 2020). Though ASDA continues to use its Everyday Low Prices (EDLP) strategy, the structurally lower-cost competitors such as Aldi and Lidl gradually undermine it, thus limiting its effectiveness as a competitive advantage in itself (Syed, 2020). What this means is that cost leadership is no longer effective to sustain position in the market.</w:t>
      </w:r>
    </w:p>
    <w:p w14:paraId="62624BD0" w14:textId="0E6106FA"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Customer taste, socially is shifting towards convenience, speed and internet communication. The emergence of online shopping and </w:t>
      </w:r>
      <w:r w:rsidR="004C1D1A" w:rsidRPr="003A48F1">
        <w:rPr>
          <w:rFonts w:ascii="Arial" w:hAnsi="Arial" w:cs="Arial"/>
          <w:sz w:val="24"/>
          <w:lang w:val="en-US"/>
        </w:rPr>
        <w:t>customization</w:t>
      </w:r>
      <w:r w:rsidRPr="003A48F1">
        <w:rPr>
          <w:rFonts w:ascii="Arial" w:hAnsi="Arial" w:cs="Arial"/>
          <w:sz w:val="24"/>
          <w:lang w:val="en-US"/>
        </w:rPr>
        <w:t xml:space="preserve"> experiences drive retailers to invest in an omnichannel and customer relationship management platform (Mkansi and </w:t>
      </w:r>
      <w:proofErr w:type="spellStart"/>
      <w:r w:rsidRPr="003A48F1">
        <w:rPr>
          <w:rFonts w:ascii="Arial" w:hAnsi="Arial" w:cs="Arial"/>
          <w:sz w:val="24"/>
          <w:lang w:val="en-US"/>
        </w:rPr>
        <w:t>Nsakanda</w:t>
      </w:r>
      <w:proofErr w:type="spellEnd"/>
      <w:r w:rsidRPr="003A48F1">
        <w:rPr>
          <w:rFonts w:ascii="Arial" w:hAnsi="Arial" w:cs="Arial"/>
          <w:sz w:val="24"/>
          <w:lang w:val="en-US"/>
        </w:rPr>
        <w:t>, 2021; Wang, 2023). The Rewards application of ASDA can be viewed as an improvement in the field, but the competitors have more developed digital ecosystems, and there is a relative lack of skills.</w:t>
      </w:r>
    </w:p>
    <w:p w14:paraId="70036238"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There are opportunities and threats associated with technological advancements. Operational efficiency, improved decision making that is data-driven, and customer retention can be improved with the help of digital transformation (</w:t>
      </w:r>
      <w:proofErr w:type="spellStart"/>
      <w:r w:rsidRPr="003A48F1">
        <w:rPr>
          <w:rFonts w:ascii="Arial" w:hAnsi="Arial" w:cs="Arial"/>
          <w:sz w:val="24"/>
          <w:lang w:val="en-US"/>
        </w:rPr>
        <w:t>Ologunebi</w:t>
      </w:r>
      <w:proofErr w:type="spellEnd"/>
      <w:r w:rsidRPr="003A48F1">
        <w:rPr>
          <w:rFonts w:ascii="Arial" w:hAnsi="Arial" w:cs="Arial"/>
          <w:sz w:val="24"/>
          <w:lang w:val="en-US"/>
        </w:rPr>
        <w:t xml:space="preserve"> and Taiwo, 2023). The quick change in technology, however, requires the continuous investment as well, which puts a heavier and heavier financial burden, given the leveraged Financing structure of ASDA (Chapman, 2026).</w:t>
      </w:r>
    </w:p>
    <w:p w14:paraId="4CDC019E"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Environmental and legal factors are coming to the forefront. The sustainability needs that are transforming industry practices are the reduction of food waste, carbon emission, and ethical sourcing (Yang et al., 2024). The additional costs in compliance and business realignments are simultaneously accompanied by regulatory changes such as High Fat, Sugar and Salt (HFSS) restrictions, which demand additional compliance costs and realignment of the business (</w:t>
      </w:r>
      <w:proofErr w:type="spellStart"/>
      <w:r w:rsidRPr="003A48F1">
        <w:rPr>
          <w:rFonts w:ascii="Arial" w:hAnsi="Arial" w:cs="Arial"/>
          <w:sz w:val="24"/>
          <w:lang w:val="en-US"/>
        </w:rPr>
        <w:t>Eastmure</w:t>
      </w:r>
      <w:proofErr w:type="spellEnd"/>
      <w:r w:rsidRPr="003A48F1">
        <w:rPr>
          <w:rFonts w:ascii="Arial" w:hAnsi="Arial" w:cs="Arial"/>
          <w:sz w:val="24"/>
          <w:lang w:val="en-US"/>
        </w:rPr>
        <w:t>, 2022). As much as these are triggers of problems, they can be adopted to avail differentiation opportunities accompanied by responsible and sustainable practices.</w:t>
      </w:r>
    </w:p>
    <w:p w14:paraId="2F36ED3B" w14:textId="77777777" w:rsidR="00D6542E" w:rsidRPr="003A48F1" w:rsidRDefault="00D6542E" w:rsidP="00D6542E">
      <w:pPr>
        <w:spacing w:after="0" w:line="360" w:lineRule="auto"/>
        <w:jc w:val="both"/>
        <w:rPr>
          <w:rFonts w:ascii="Arial" w:hAnsi="Arial" w:cs="Arial"/>
          <w:b/>
          <w:bCs/>
          <w:sz w:val="24"/>
          <w:lang w:val="en-US"/>
        </w:rPr>
      </w:pPr>
      <w:r w:rsidRPr="003A48F1">
        <w:rPr>
          <w:rFonts w:ascii="Arial" w:hAnsi="Arial" w:cs="Arial"/>
          <w:b/>
          <w:bCs/>
          <w:sz w:val="24"/>
          <w:lang w:val="en-US"/>
        </w:rPr>
        <w:t>Table 2: PESTEL Summary for ASDA</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795"/>
        <w:gridCol w:w="7560"/>
      </w:tblGrid>
      <w:tr w:rsidR="00D6542E" w:rsidRPr="003A48F1" w14:paraId="2A9BF120" w14:textId="77777777" w:rsidTr="002A7245">
        <w:trPr>
          <w:trHeight w:val="315"/>
        </w:trPr>
        <w:tc>
          <w:tcPr>
            <w:tcW w:w="1795" w:type="dxa"/>
            <w:shd w:val="clear" w:color="auto" w:fill="1F3864" w:themeFill="accent5" w:themeFillShade="80"/>
            <w:tcMar>
              <w:top w:w="30" w:type="dxa"/>
              <w:left w:w="45" w:type="dxa"/>
              <w:bottom w:w="30" w:type="dxa"/>
              <w:right w:w="45" w:type="dxa"/>
            </w:tcMar>
            <w:vAlign w:val="bottom"/>
            <w:hideMark/>
          </w:tcPr>
          <w:p w14:paraId="6937BA50"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Factor</w:t>
            </w:r>
          </w:p>
        </w:tc>
        <w:tc>
          <w:tcPr>
            <w:tcW w:w="7560" w:type="dxa"/>
            <w:shd w:val="clear" w:color="auto" w:fill="1F3864" w:themeFill="accent5" w:themeFillShade="80"/>
            <w:tcMar>
              <w:top w:w="30" w:type="dxa"/>
              <w:left w:w="45" w:type="dxa"/>
              <w:bottom w:w="30" w:type="dxa"/>
              <w:right w:w="45" w:type="dxa"/>
            </w:tcMar>
            <w:vAlign w:val="bottom"/>
            <w:hideMark/>
          </w:tcPr>
          <w:p w14:paraId="19F36CA7"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Key Impact on ASDA</w:t>
            </w:r>
          </w:p>
        </w:tc>
      </w:tr>
      <w:tr w:rsidR="00D6542E" w:rsidRPr="003A48F1" w14:paraId="430BF4BD" w14:textId="77777777" w:rsidTr="002A7245">
        <w:trPr>
          <w:trHeight w:val="315"/>
        </w:trPr>
        <w:tc>
          <w:tcPr>
            <w:tcW w:w="1795" w:type="dxa"/>
            <w:tcMar>
              <w:top w:w="30" w:type="dxa"/>
              <w:left w:w="45" w:type="dxa"/>
              <w:bottom w:w="30" w:type="dxa"/>
              <w:right w:w="45" w:type="dxa"/>
            </w:tcMar>
            <w:vAlign w:val="bottom"/>
            <w:hideMark/>
          </w:tcPr>
          <w:p w14:paraId="3B7E23C7"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Political</w:t>
            </w:r>
          </w:p>
        </w:tc>
        <w:tc>
          <w:tcPr>
            <w:tcW w:w="7560" w:type="dxa"/>
            <w:tcMar>
              <w:top w:w="30" w:type="dxa"/>
              <w:left w:w="0" w:type="dxa"/>
              <w:bottom w:w="30" w:type="dxa"/>
              <w:right w:w="0" w:type="dxa"/>
            </w:tcMar>
            <w:vAlign w:val="bottom"/>
            <w:hideMark/>
          </w:tcPr>
          <w:p w14:paraId="712F6A3F"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Regulatory scrutiny and food standards</w:t>
            </w:r>
          </w:p>
        </w:tc>
      </w:tr>
      <w:tr w:rsidR="00D6542E" w:rsidRPr="003A48F1" w14:paraId="221D4167" w14:textId="77777777" w:rsidTr="002A7245">
        <w:trPr>
          <w:trHeight w:val="315"/>
        </w:trPr>
        <w:tc>
          <w:tcPr>
            <w:tcW w:w="1795" w:type="dxa"/>
            <w:tcMar>
              <w:top w:w="30" w:type="dxa"/>
              <w:left w:w="45" w:type="dxa"/>
              <w:bottom w:w="30" w:type="dxa"/>
              <w:right w:w="45" w:type="dxa"/>
            </w:tcMar>
            <w:vAlign w:val="bottom"/>
            <w:hideMark/>
          </w:tcPr>
          <w:p w14:paraId="3CB8C842"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Economic</w:t>
            </w:r>
          </w:p>
        </w:tc>
        <w:tc>
          <w:tcPr>
            <w:tcW w:w="7560" w:type="dxa"/>
            <w:tcMar>
              <w:top w:w="30" w:type="dxa"/>
              <w:left w:w="0" w:type="dxa"/>
              <w:bottom w:w="30" w:type="dxa"/>
              <w:right w:w="0" w:type="dxa"/>
            </w:tcMar>
            <w:vAlign w:val="bottom"/>
            <w:hideMark/>
          </w:tcPr>
          <w:p w14:paraId="17E75E67"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Inflation, cost pressures, consumer spending constraints</w:t>
            </w:r>
          </w:p>
        </w:tc>
      </w:tr>
      <w:tr w:rsidR="00D6542E" w:rsidRPr="003A48F1" w14:paraId="68A23BCB" w14:textId="77777777" w:rsidTr="002A7245">
        <w:trPr>
          <w:trHeight w:val="315"/>
        </w:trPr>
        <w:tc>
          <w:tcPr>
            <w:tcW w:w="1795" w:type="dxa"/>
            <w:tcMar>
              <w:top w:w="30" w:type="dxa"/>
              <w:left w:w="45" w:type="dxa"/>
              <w:bottom w:w="30" w:type="dxa"/>
              <w:right w:w="45" w:type="dxa"/>
            </w:tcMar>
            <w:vAlign w:val="bottom"/>
            <w:hideMark/>
          </w:tcPr>
          <w:p w14:paraId="5762D7CB"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Social</w:t>
            </w:r>
          </w:p>
        </w:tc>
        <w:tc>
          <w:tcPr>
            <w:tcW w:w="7560" w:type="dxa"/>
            <w:tcMar>
              <w:top w:w="30" w:type="dxa"/>
              <w:left w:w="0" w:type="dxa"/>
              <w:bottom w:w="30" w:type="dxa"/>
              <w:right w:w="0" w:type="dxa"/>
            </w:tcMar>
            <w:vAlign w:val="bottom"/>
            <w:hideMark/>
          </w:tcPr>
          <w:p w14:paraId="05FD7C9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Demand for convenience, health and digital engagement</w:t>
            </w:r>
          </w:p>
        </w:tc>
      </w:tr>
      <w:tr w:rsidR="00D6542E" w:rsidRPr="003A48F1" w14:paraId="12C7272B" w14:textId="77777777" w:rsidTr="002A7245">
        <w:trPr>
          <w:trHeight w:val="315"/>
        </w:trPr>
        <w:tc>
          <w:tcPr>
            <w:tcW w:w="1795" w:type="dxa"/>
            <w:tcMar>
              <w:top w:w="30" w:type="dxa"/>
              <w:left w:w="45" w:type="dxa"/>
              <w:bottom w:w="30" w:type="dxa"/>
              <w:right w:w="45" w:type="dxa"/>
            </w:tcMar>
            <w:vAlign w:val="bottom"/>
            <w:hideMark/>
          </w:tcPr>
          <w:p w14:paraId="32DCD3C2"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Technological</w:t>
            </w:r>
          </w:p>
        </w:tc>
        <w:tc>
          <w:tcPr>
            <w:tcW w:w="7560" w:type="dxa"/>
            <w:tcMar>
              <w:top w:w="30" w:type="dxa"/>
              <w:left w:w="0" w:type="dxa"/>
              <w:bottom w:w="30" w:type="dxa"/>
              <w:right w:w="0" w:type="dxa"/>
            </w:tcMar>
            <w:vAlign w:val="bottom"/>
            <w:hideMark/>
          </w:tcPr>
          <w:p w14:paraId="5CB47A5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Digital retailing and loyalty systems</w:t>
            </w:r>
          </w:p>
        </w:tc>
      </w:tr>
      <w:tr w:rsidR="00D6542E" w:rsidRPr="003A48F1" w14:paraId="026E0508" w14:textId="77777777" w:rsidTr="002A7245">
        <w:trPr>
          <w:trHeight w:val="315"/>
        </w:trPr>
        <w:tc>
          <w:tcPr>
            <w:tcW w:w="1795" w:type="dxa"/>
            <w:tcMar>
              <w:top w:w="30" w:type="dxa"/>
              <w:left w:w="45" w:type="dxa"/>
              <w:bottom w:w="30" w:type="dxa"/>
              <w:right w:w="45" w:type="dxa"/>
            </w:tcMar>
            <w:vAlign w:val="bottom"/>
            <w:hideMark/>
          </w:tcPr>
          <w:p w14:paraId="7D3646E1"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Environmental</w:t>
            </w:r>
          </w:p>
        </w:tc>
        <w:tc>
          <w:tcPr>
            <w:tcW w:w="7560" w:type="dxa"/>
            <w:tcMar>
              <w:top w:w="30" w:type="dxa"/>
              <w:left w:w="0" w:type="dxa"/>
              <w:bottom w:w="30" w:type="dxa"/>
              <w:right w:w="0" w:type="dxa"/>
            </w:tcMar>
            <w:vAlign w:val="bottom"/>
            <w:hideMark/>
          </w:tcPr>
          <w:p w14:paraId="264A10AA"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Food waste reduction and sustainability requirements</w:t>
            </w:r>
          </w:p>
        </w:tc>
      </w:tr>
      <w:tr w:rsidR="00D6542E" w:rsidRPr="003A48F1" w14:paraId="2F9EB9DD" w14:textId="77777777" w:rsidTr="002A7245">
        <w:trPr>
          <w:trHeight w:val="315"/>
        </w:trPr>
        <w:tc>
          <w:tcPr>
            <w:tcW w:w="1795" w:type="dxa"/>
            <w:tcMar>
              <w:top w:w="30" w:type="dxa"/>
              <w:left w:w="45" w:type="dxa"/>
              <w:bottom w:w="30" w:type="dxa"/>
              <w:right w:w="45" w:type="dxa"/>
            </w:tcMar>
            <w:vAlign w:val="bottom"/>
            <w:hideMark/>
          </w:tcPr>
          <w:p w14:paraId="51C3AB05" w14:textId="77777777" w:rsidR="00D6542E" w:rsidRPr="003A48F1" w:rsidRDefault="00D6542E" w:rsidP="002A7245">
            <w:pPr>
              <w:spacing w:after="0" w:line="360" w:lineRule="auto"/>
              <w:jc w:val="both"/>
              <w:rPr>
                <w:rFonts w:ascii="Arial" w:hAnsi="Arial" w:cs="Arial"/>
                <w:sz w:val="24"/>
                <w:lang w:val="en-US"/>
              </w:rPr>
            </w:pPr>
            <w:r w:rsidRPr="003A48F1">
              <w:rPr>
                <w:rFonts w:ascii="Arial" w:hAnsi="Arial" w:cs="Arial"/>
                <w:sz w:val="24"/>
                <w:lang w:val="en-US"/>
              </w:rPr>
              <w:t>Legal</w:t>
            </w:r>
          </w:p>
        </w:tc>
        <w:tc>
          <w:tcPr>
            <w:tcW w:w="7560" w:type="dxa"/>
            <w:tcMar>
              <w:top w:w="30" w:type="dxa"/>
              <w:left w:w="0" w:type="dxa"/>
              <w:bottom w:w="30" w:type="dxa"/>
              <w:right w:w="0" w:type="dxa"/>
            </w:tcMar>
            <w:vAlign w:val="bottom"/>
            <w:hideMark/>
          </w:tcPr>
          <w:p w14:paraId="5A84B19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HFSS regulations and consumer protection laws</w:t>
            </w:r>
          </w:p>
        </w:tc>
      </w:tr>
    </w:tbl>
    <w:p w14:paraId="774D275A" w14:textId="77777777" w:rsidR="00D6542E" w:rsidRPr="003A48F1" w:rsidRDefault="00D6542E" w:rsidP="00D6542E">
      <w:pPr>
        <w:spacing w:after="0" w:line="360" w:lineRule="auto"/>
        <w:jc w:val="both"/>
        <w:rPr>
          <w:rFonts w:ascii="Arial" w:hAnsi="Arial" w:cs="Arial"/>
          <w:i/>
          <w:sz w:val="24"/>
          <w:lang w:val="en-US"/>
        </w:rPr>
      </w:pPr>
      <w:r w:rsidRPr="003A48F1">
        <w:rPr>
          <w:rFonts w:ascii="Arial" w:hAnsi="Arial" w:cs="Arial"/>
          <w:i/>
          <w:sz w:val="24"/>
          <w:lang w:val="en-US"/>
        </w:rPr>
        <w:t xml:space="preserve">Source: Rashid (2023), </w:t>
      </w:r>
      <w:proofErr w:type="spellStart"/>
      <w:r w:rsidRPr="003A48F1">
        <w:rPr>
          <w:rFonts w:ascii="Arial" w:hAnsi="Arial" w:cs="Arial"/>
          <w:i/>
          <w:sz w:val="24"/>
          <w:lang w:val="en-US"/>
        </w:rPr>
        <w:t>Eastmure</w:t>
      </w:r>
      <w:proofErr w:type="spellEnd"/>
      <w:r w:rsidRPr="003A48F1">
        <w:rPr>
          <w:rFonts w:ascii="Arial" w:hAnsi="Arial" w:cs="Arial"/>
          <w:i/>
          <w:sz w:val="24"/>
          <w:lang w:val="en-US"/>
        </w:rPr>
        <w:t xml:space="preserve"> (2022), Yang et al. (2024), and Chapman (2026).</w:t>
      </w:r>
    </w:p>
    <w:p w14:paraId="65EBA041" w14:textId="77777777" w:rsidR="00D6542E" w:rsidRPr="003A48F1" w:rsidRDefault="00D6542E" w:rsidP="00D6542E">
      <w:pPr>
        <w:spacing w:after="0" w:line="360" w:lineRule="auto"/>
        <w:jc w:val="center"/>
        <w:rPr>
          <w:rFonts w:ascii="Arial" w:hAnsi="Arial" w:cs="Arial"/>
          <w:bCs/>
          <w:sz w:val="24"/>
          <w:lang w:val="en-US"/>
        </w:rPr>
      </w:pPr>
      <w:r w:rsidRPr="003A48F1">
        <w:rPr>
          <w:rFonts w:ascii="Arial" w:hAnsi="Arial" w:cs="Arial"/>
          <w:bCs/>
          <w:noProof/>
          <w:sz w:val="24"/>
          <w:lang w:val="en-US"/>
        </w:rPr>
        <w:drawing>
          <wp:inline distT="0" distB="0" distL="0" distR="0" wp14:anchorId="5140B557" wp14:editId="3A79B6A7">
            <wp:extent cx="5943600" cy="34753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75355"/>
                    </a:xfrm>
                    <a:prstGeom prst="rect">
                      <a:avLst/>
                    </a:prstGeom>
                  </pic:spPr>
                </pic:pic>
              </a:graphicData>
            </a:graphic>
          </wp:inline>
        </w:drawing>
      </w:r>
    </w:p>
    <w:p w14:paraId="1B6FC17F" w14:textId="77777777" w:rsidR="00D6542E" w:rsidRPr="003A48F1" w:rsidRDefault="00D6542E" w:rsidP="00D6542E">
      <w:pPr>
        <w:spacing w:after="0" w:line="360" w:lineRule="auto"/>
        <w:jc w:val="center"/>
        <w:rPr>
          <w:rFonts w:ascii="Arial" w:hAnsi="Arial" w:cs="Arial"/>
          <w:b/>
          <w:bCs/>
          <w:i/>
          <w:sz w:val="20"/>
          <w:lang w:val="en-US"/>
        </w:rPr>
      </w:pPr>
      <w:r w:rsidRPr="003A48F1">
        <w:rPr>
          <w:rFonts w:ascii="Arial" w:hAnsi="Arial" w:cs="Arial"/>
          <w:b/>
          <w:bCs/>
          <w:i/>
          <w:sz w:val="20"/>
        </w:rPr>
        <w:t>Figure 1: Declining ASDA Market Share in the UK Grocery Sector (2021-2026) (</w:t>
      </w:r>
      <w:r w:rsidRPr="003A48F1">
        <w:rPr>
          <w:rFonts w:ascii="Arial" w:hAnsi="Arial" w:cs="Arial"/>
          <w:b/>
          <w:bCs/>
          <w:i/>
          <w:sz w:val="20"/>
          <w:lang w:val="en-US"/>
        </w:rPr>
        <w:t>self-created)</w:t>
      </w:r>
    </w:p>
    <w:p w14:paraId="295EDD7C" w14:textId="77777777" w:rsidR="00D6542E" w:rsidRPr="003A48F1" w:rsidRDefault="00D6542E" w:rsidP="00D6542E">
      <w:pPr>
        <w:spacing w:after="0" w:line="360" w:lineRule="auto"/>
        <w:jc w:val="center"/>
        <w:rPr>
          <w:rFonts w:ascii="Arial" w:hAnsi="Arial" w:cs="Arial"/>
          <w:bCs/>
          <w:i/>
          <w:sz w:val="20"/>
          <w:lang w:val="en-US"/>
        </w:rPr>
      </w:pPr>
      <w:r w:rsidRPr="003A48F1">
        <w:rPr>
          <w:rFonts w:ascii="Arial" w:hAnsi="Arial" w:cs="Arial"/>
          <w:bCs/>
          <w:i/>
          <w:sz w:val="20"/>
          <w:lang w:val="en-US"/>
        </w:rPr>
        <w:t>(Source: Statista, 2026)</w:t>
      </w:r>
    </w:p>
    <w:p w14:paraId="3763A84D" w14:textId="77777777" w:rsidR="00D6542E" w:rsidRPr="003A48F1" w:rsidRDefault="00D6542E" w:rsidP="00D6542E">
      <w:pPr>
        <w:spacing w:after="0" w:line="360" w:lineRule="auto"/>
        <w:jc w:val="both"/>
        <w:rPr>
          <w:rFonts w:ascii="Arial" w:hAnsi="Arial" w:cs="Arial"/>
          <w:bCs/>
          <w:sz w:val="24"/>
          <w:lang w:val="en-US"/>
        </w:rPr>
      </w:pPr>
    </w:p>
    <w:p w14:paraId="053C6C0A" w14:textId="77777777" w:rsidR="00D6542E" w:rsidRPr="003A48F1" w:rsidRDefault="00D6542E" w:rsidP="00D6542E">
      <w:pPr>
        <w:spacing w:after="0" w:line="360" w:lineRule="auto"/>
        <w:jc w:val="both"/>
        <w:rPr>
          <w:rFonts w:ascii="Arial" w:hAnsi="Arial" w:cs="Arial"/>
          <w:b/>
          <w:bCs/>
          <w:sz w:val="24"/>
          <w:lang w:val="en-US"/>
        </w:rPr>
      </w:pPr>
      <w:r w:rsidRPr="003A48F1">
        <w:rPr>
          <w:rFonts w:ascii="Arial" w:hAnsi="Arial" w:cs="Arial"/>
          <w:b/>
          <w:bCs/>
          <w:sz w:val="24"/>
          <w:lang w:val="en-US"/>
        </w:rPr>
        <w:t>Critical Success Factors (CSFs)</w:t>
      </w:r>
    </w:p>
    <w:p w14:paraId="7A097BD8"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external environment brings to the fore some crucial success factors that ASDA needs in order to be competitive:</w:t>
      </w:r>
    </w:p>
    <w:p w14:paraId="58E100DB" w14:textId="77777777" w:rsidR="00D6542E" w:rsidRPr="003A48F1" w:rsidRDefault="00D6542E" w:rsidP="00D6542E">
      <w:pPr>
        <w:numPr>
          <w:ilvl w:val="0"/>
          <w:numId w:val="5"/>
        </w:numPr>
        <w:spacing w:after="0" w:line="360" w:lineRule="auto"/>
        <w:jc w:val="both"/>
        <w:rPr>
          <w:rFonts w:ascii="Arial" w:hAnsi="Arial" w:cs="Arial"/>
          <w:sz w:val="24"/>
          <w:lang w:val="en-US"/>
        </w:rPr>
      </w:pPr>
      <w:r w:rsidRPr="003A48F1">
        <w:rPr>
          <w:rFonts w:ascii="Arial" w:hAnsi="Arial" w:cs="Arial"/>
          <w:sz w:val="24"/>
          <w:lang w:val="en-US"/>
        </w:rPr>
        <w:t>Maintaining cost efficiency through effective supply chain management</w:t>
      </w:r>
    </w:p>
    <w:p w14:paraId="4AEAC745" w14:textId="77777777" w:rsidR="00D6542E" w:rsidRPr="003A48F1" w:rsidRDefault="00D6542E" w:rsidP="00D6542E">
      <w:pPr>
        <w:numPr>
          <w:ilvl w:val="0"/>
          <w:numId w:val="5"/>
        </w:numPr>
        <w:spacing w:after="0" w:line="360" w:lineRule="auto"/>
        <w:jc w:val="both"/>
        <w:rPr>
          <w:rFonts w:ascii="Arial" w:hAnsi="Arial" w:cs="Arial"/>
          <w:sz w:val="24"/>
          <w:lang w:val="en-US"/>
        </w:rPr>
      </w:pPr>
      <w:r w:rsidRPr="003A48F1">
        <w:rPr>
          <w:rFonts w:ascii="Arial" w:hAnsi="Arial" w:cs="Arial"/>
          <w:sz w:val="24"/>
          <w:lang w:val="en-US"/>
        </w:rPr>
        <w:t>Developing strong supplier relationships to ensure product availability and pricing stability</w:t>
      </w:r>
    </w:p>
    <w:p w14:paraId="2BEB899E" w14:textId="77777777" w:rsidR="00D6542E" w:rsidRPr="003A48F1" w:rsidRDefault="00D6542E" w:rsidP="00D6542E">
      <w:pPr>
        <w:numPr>
          <w:ilvl w:val="0"/>
          <w:numId w:val="5"/>
        </w:numPr>
        <w:spacing w:after="0" w:line="360" w:lineRule="auto"/>
        <w:jc w:val="both"/>
        <w:rPr>
          <w:rFonts w:ascii="Arial" w:hAnsi="Arial" w:cs="Arial"/>
          <w:sz w:val="24"/>
          <w:lang w:val="en-US"/>
        </w:rPr>
      </w:pPr>
      <w:r w:rsidRPr="003A48F1">
        <w:rPr>
          <w:rFonts w:ascii="Arial" w:hAnsi="Arial" w:cs="Arial"/>
          <w:sz w:val="24"/>
          <w:lang w:val="en-US"/>
        </w:rPr>
        <w:t>Delivering seamless omnichannel experiences integrating physical and digital platforms</w:t>
      </w:r>
    </w:p>
    <w:p w14:paraId="060B4D4A" w14:textId="358E1ECC" w:rsidR="00D6542E" w:rsidRPr="003A48F1" w:rsidRDefault="00D6542E" w:rsidP="00D6542E">
      <w:pPr>
        <w:numPr>
          <w:ilvl w:val="0"/>
          <w:numId w:val="5"/>
        </w:numPr>
        <w:spacing w:after="0" w:line="360" w:lineRule="auto"/>
        <w:jc w:val="both"/>
        <w:rPr>
          <w:rFonts w:ascii="Arial" w:hAnsi="Arial" w:cs="Arial"/>
          <w:sz w:val="24"/>
          <w:lang w:val="en-US"/>
        </w:rPr>
      </w:pPr>
      <w:r w:rsidRPr="003A48F1">
        <w:rPr>
          <w:rFonts w:ascii="Arial" w:hAnsi="Arial" w:cs="Arial"/>
          <w:sz w:val="24"/>
          <w:lang w:val="en-US"/>
        </w:rPr>
        <w:t xml:space="preserve">Leveraging customer data for </w:t>
      </w:r>
      <w:r w:rsidR="001E5AB9" w:rsidRPr="003A48F1">
        <w:rPr>
          <w:rFonts w:ascii="Arial" w:hAnsi="Arial" w:cs="Arial"/>
          <w:sz w:val="24"/>
          <w:lang w:val="en-US"/>
        </w:rPr>
        <w:t>personalized</w:t>
      </w:r>
      <w:r w:rsidRPr="003A48F1">
        <w:rPr>
          <w:rFonts w:ascii="Arial" w:hAnsi="Arial" w:cs="Arial"/>
          <w:sz w:val="24"/>
          <w:lang w:val="en-US"/>
        </w:rPr>
        <w:t xml:space="preserve"> marketing and retention strategies</w:t>
      </w:r>
    </w:p>
    <w:p w14:paraId="7AA0D005" w14:textId="77777777" w:rsidR="00D6542E" w:rsidRPr="003A48F1" w:rsidRDefault="00D6542E" w:rsidP="00D6542E">
      <w:pPr>
        <w:numPr>
          <w:ilvl w:val="0"/>
          <w:numId w:val="5"/>
        </w:numPr>
        <w:spacing w:after="0" w:line="360" w:lineRule="auto"/>
        <w:jc w:val="both"/>
        <w:rPr>
          <w:rFonts w:ascii="Arial" w:hAnsi="Arial" w:cs="Arial"/>
          <w:sz w:val="24"/>
          <w:lang w:val="en-US"/>
        </w:rPr>
      </w:pPr>
      <w:r w:rsidRPr="003A48F1">
        <w:rPr>
          <w:rFonts w:ascii="Arial" w:hAnsi="Arial" w:cs="Arial"/>
          <w:sz w:val="24"/>
          <w:lang w:val="en-US"/>
        </w:rPr>
        <w:t>Adapting quickly to regulatory and economic changes</w:t>
      </w:r>
    </w:p>
    <w:p w14:paraId="06593C3E"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These factors are very significant in a sector where achieving operational efficiency and customer-focused competencies have become key factors in establishing competitive advantage (Rashid, 2023).</w:t>
      </w:r>
    </w:p>
    <w:p w14:paraId="2868C3B5" w14:textId="77777777" w:rsidR="00D6542E" w:rsidRPr="003A48F1" w:rsidRDefault="00D6542E" w:rsidP="00D6542E">
      <w:pPr>
        <w:spacing w:after="0" w:line="360" w:lineRule="auto"/>
        <w:jc w:val="both"/>
        <w:rPr>
          <w:rFonts w:ascii="Arial" w:hAnsi="Arial" w:cs="Arial"/>
          <w:b/>
          <w:sz w:val="24"/>
          <w:lang w:val="en-US"/>
        </w:rPr>
      </w:pPr>
      <w:r w:rsidRPr="003A48F1">
        <w:rPr>
          <w:rFonts w:ascii="Arial" w:hAnsi="Arial" w:cs="Arial"/>
          <w:b/>
          <w:sz w:val="24"/>
          <w:lang w:val="en-US"/>
        </w:rPr>
        <w:t>Strategic Challenges</w:t>
      </w:r>
    </w:p>
    <w:p w14:paraId="5628BE89"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ASDA is confronted with a number of strategic challenges that are brought about by the external environment:</w:t>
      </w:r>
    </w:p>
    <w:p w14:paraId="7422680E" w14:textId="77777777" w:rsidR="00D6542E" w:rsidRPr="003A48F1" w:rsidRDefault="00D6542E" w:rsidP="00D6542E">
      <w:pPr>
        <w:numPr>
          <w:ilvl w:val="0"/>
          <w:numId w:val="6"/>
        </w:numPr>
        <w:spacing w:after="0" w:line="360" w:lineRule="auto"/>
        <w:jc w:val="both"/>
        <w:rPr>
          <w:rFonts w:ascii="Arial" w:hAnsi="Arial" w:cs="Arial"/>
          <w:sz w:val="24"/>
          <w:lang w:val="en-US"/>
        </w:rPr>
      </w:pPr>
      <w:r w:rsidRPr="003A48F1">
        <w:rPr>
          <w:rFonts w:ascii="Arial" w:hAnsi="Arial" w:cs="Arial"/>
          <w:sz w:val="24"/>
          <w:lang w:val="en-US"/>
        </w:rPr>
        <w:t>Intensifying price competition from discount retailers, reducing the effectiveness of cost leadership (Sarisa, 2021)</w:t>
      </w:r>
    </w:p>
    <w:p w14:paraId="66FEDC91" w14:textId="77777777" w:rsidR="00D6542E" w:rsidRPr="003A48F1" w:rsidRDefault="00D6542E" w:rsidP="00D6542E">
      <w:pPr>
        <w:numPr>
          <w:ilvl w:val="0"/>
          <w:numId w:val="6"/>
        </w:numPr>
        <w:spacing w:after="0" w:line="360" w:lineRule="auto"/>
        <w:jc w:val="both"/>
        <w:rPr>
          <w:rFonts w:ascii="Arial" w:hAnsi="Arial" w:cs="Arial"/>
          <w:sz w:val="24"/>
          <w:lang w:val="en-US"/>
        </w:rPr>
      </w:pPr>
      <w:r w:rsidRPr="003A48F1">
        <w:rPr>
          <w:rFonts w:ascii="Arial" w:hAnsi="Arial" w:cs="Arial"/>
          <w:sz w:val="24"/>
          <w:lang w:val="en-US"/>
        </w:rPr>
        <w:t xml:space="preserve">Increasing digital competition from technologically advanced retailers, creating pressure for continuous innovation (Mkansi and </w:t>
      </w:r>
      <w:proofErr w:type="spellStart"/>
      <w:r w:rsidRPr="003A48F1">
        <w:rPr>
          <w:rFonts w:ascii="Arial" w:hAnsi="Arial" w:cs="Arial"/>
          <w:sz w:val="24"/>
          <w:lang w:val="en-US"/>
        </w:rPr>
        <w:t>Nsakanda</w:t>
      </w:r>
      <w:proofErr w:type="spellEnd"/>
      <w:r w:rsidRPr="003A48F1">
        <w:rPr>
          <w:rFonts w:ascii="Arial" w:hAnsi="Arial" w:cs="Arial"/>
          <w:sz w:val="24"/>
          <w:lang w:val="en-US"/>
        </w:rPr>
        <w:t>, 2021)</w:t>
      </w:r>
    </w:p>
    <w:p w14:paraId="5A608DB3" w14:textId="77777777" w:rsidR="00D6542E" w:rsidRPr="003A48F1" w:rsidRDefault="00D6542E" w:rsidP="00D6542E">
      <w:pPr>
        <w:numPr>
          <w:ilvl w:val="0"/>
          <w:numId w:val="6"/>
        </w:numPr>
        <w:spacing w:after="0" w:line="360" w:lineRule="auto"/>
        <w:jc w:val="both"/>
        <w:rPr>
          <w:rFonts w:ascii="Arial" w:hAnsi="Arial" w:cs="Arial"/>
          <w:sz w:val="24"/>
          <w:lang w:val="en-US"/>
        </w:rPr>
      </w:pPr>
      <w:r w:rsidRPr="003A48F1">
        <w:rPr>
          <w:rFonts w:ascii="Arial" w:hAnsi="Arial" w:cs="Arial"/>
          <w:sz w:val="24"/>
          <w:lang w:val="en-US"/>
        </w:rPr>
        <w:t>Rising operational and compliance costs due to inflation and regulatory requirements (Chapman, 2026)</w:t>
      </w:r>
    </w:p>
    <w:p w14:paraId="452902DD" w14:textId="16E6FB1F" w:rsidR="00D6542E" w:rsidRPr="003A48F1" w:rsidRDefault="00D6542E" w:rsidP="00D6542E">
      <w:pPr>
        <w:numPr>
          <w:ilvl w:val="0"/>
          <w:numId w:val="6"/>
        </w:numPr>
        <w:spacing w:after="0" w:line="360" w:lineRule="auto"/>
        <w:jc w:val="both"/>
        <w:rPr>
          <w:rFonts w:ascii="Arial" w:hAnsi="Arial" w:cs="Arial"/>
          <w:sz w:val="24"/>
          <w:lang w:val="en-US"/>
        </w:rPr>
      </w:pPr>
      <w:r w:rsidRPr="003A48F1">
        <w:rPr>
          <w:rFonts w:ascii="Arial" w:hAnsi="Arial" w:cs="Arial"/>
          <w:sz w:val="24"/>
          <w:lang w:val="en-US"/>
        </w:rPr>
        <w:t xml:space="preserve">Changing consumer expectations towards convenience, speed, and </w:t>
      </w:r>
      <w:r w:rsidR="00171397" w:rsidRPr="003A48F1">
        <w:rPr>
          <w:rFonts w:ascii="Arial" w:hAnsi="Arial" w:cs="Arial"/>
          <w:sz w:val="24"/>
          <w:lang w:val="en-US"/>
        </w:rPr>
        <w:t>personalized</w:t>
      </w:r>
      <w:r w:rsidRPr="003A48F1">
        <w:rPr>
          <w:rFonts w:ascii="Arial" w:hAnsi="Arial" w:cs="Arial"/>
          <w:sz w:val="24"/>
          <w:lang w:val="en-US"/>
        </w:rPr>
        <w:t xml:space="preserve"> services (</w:t>
      </w:r>
      <w:proofErr w:type="spellStart"/>
      <w:r w:rsidRPr="003A48F1">
        <w:rPr>
          <w:rFonts w:ascii="Arial" w:hAnsi="Arial" w:cs="Arial"/>
          <w:sz w:val="24"/>
          <w:lang w:val="en-US"/>
        </w:rPr>
        <w:t>Mogaji</w:t>
      </w:r>
      <w:proofErr w:type="spellEnd"/>
      <w:r w:rsidRPr="003A48F1">
        <w:rPr>
          <w:rFonts w:ascii="Arial" w:hAnsi="Arial" w:cs="Arial"/>
          <w:sz w:val="24"/>
          <w:lang w:val="en-US"/>
        </w:rPr>
        <w:t>, 2025)</w:t>
      </w:r>
    </w:p>
    <w:p w14:paraId="515FB545"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These issues point to the necessity of ASDA developing further than a price-based strategy to be more integrated and differentiated.</w:t>
      </w:r>
    </w:p>
    <w:p w14:paraId="5FBA01DD" w14:textId="77777777" w:rsidR="00D6542E" w:rsidRPr="003A48F1" w:rsidRDefault="00D6542E" w:rsidP="00D6542E">
      <w:pPr>
        <w:pStyle w:val="Heading2"/>
        <w:rPr>
          <w:rFonts w:ascii="Arial" w:hAnsi="Arial" w:cs="Arial"/>
          <w:lang w:val="en-US"/>
        </w:rPr>
      </w:pPr>
      <w:bookmarkStart w:id="5" w:name="_Toc237261677"/>
      <w:r w:rsidRPr="003A48F1">
        <w:rPr>
          <w:rFonts w:ascii="Arial" w:hAnsi="Arial" w:cs="Arial"/>
          <w:lang w:val="en-US"/>
        </w:rPr>
        <w:t>2.2 Internal Analysis (VRIO)</w:t>
      </w:r>
      <w:bookmarkEnd w:id="5"/>
    </w:p>
    <w:p w14:paraId="7DE66767"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VRIO framework assists in the assessment of ASDA based on its internal resources and capabilities in terms of the capabilities to establish sustainable competitive advantage (Henry, 2021).</w:t>
      </w:r>
    </w:p>
    <w:p w14:paraId="0B19DEBF"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network of stores of which ASDA is a holder, constitutes a strong asset, which supports the retailing operations (physically) and fulfilment online. It enhances availability and results in economies of scale. However, it is not the only one with its rivals such as Tesco also possessing a similar network, curtailing its sustainability in establishing a competitive advantage (de Moura, 2021). Thus, it only gives a short-term benefit.</w:t>
      </w:r>
    </w:p>
    <w:p w14:paraId="7A82F078"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Integrated Procurement Logistics (IPL) system has a higher strategic level. It enhances procurement, inventory and distribution efficiencies, thereby enabling ASDA to control its costs and deliver its EDLP strategy (</w:t>
      </w:r>
      <w:proofErr w:type="spellStart"/>
      <w:r w:rsidRPr="003A48F1">
        <w:rPr>
          <w:rFonts w:ascii="Arial" w:hAnsi="Arial" w:cs="Arial"/>
          <w:sz w:val="24"/>
          <w:lang w:val="en-US"/>
        </w:rPr>
        <w:t>Ritzu</w:t>
      </w:r>
      <w:proofErr w:type="spellEnd"/>
      <w:r w:rsidRPr="003A48F1">
        <w:rPr>
          <w:rFonts w:ascii="Arial" w:hAnsi="Arial" w:cs="Arial"/>
          <w:sz w:val="24"/>
          <w:lang w:val="en-US"/>
        </w:rPr>
        <w:t>, 2025). Though the logistics are also being invested in by competitors, the degree of integration and operational efficiency in ASDA makes it comparatively hard to copy, which offers a greater competitive advantage (Pérez-Mesa et al., 2021).</w:t>
      </w:r>
    </w:p>
    <w:p w14:paraId="0C501672" w14:textId="4FDD85DA"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Asda Rewards </w:t>
      </w:r>
      <w:proofErr w:type="spellStart"/>
      <w:r w:rsidRPr="003A48F1">
        <w:rPr>
          <w:rFonts w:ascii="Arial" w:hAnsi="Arial" w:cs="Arial"/>
          <w:sz w:val="24"/>
          <w:lang w:val="en-US"/>
        </w:rPr>
        <w:t>programme</w:t>
      </w:r>
      <w:proofErr w:type="spellEnd"/>
      <w:r w:rsidRPr="003A48F1">
        <w:rPr>
          <w:rFonts w:ascii="Arial" w:hAnsi="Arial" w:cs="Arial"/>
          <w:sz w:val="24"/>
          <w:lang w:val="en-US"/>
        </w:rPr>
        <w:t xml:space="preserve"> is a great intangible asset that allows gathering and exploiting customer data. This aids in </w:t>
      </w:r>
      <w:r w:rsidR="001E5AB9" w:rsidRPr="003A48F1">
        <w:rPr>
          <w:rFonts w:ascii="Arial" w:hAnsi="Arial" w:cs="Arial"/>
          <w:sz w:val="24"/>
          <w:lang w:val="en-US"/>
        </w:rPr>
        <w:t>customized</w:t>
      </w:r>
      <w:r w:rsidRPr="003A48F1">
        <w:rPr>
          <w:rFonts w:ascii="Arial" w:hAnsi="Arial" w:cs="Arial"/>
          <w:sz w:val="24"/>
          <w:lang w:val="en-US"/>
        </w:rPr>
        <w:t xml:space="preserve"> marketing, improved customer engagement and retention (</w:t>
      </w:r>
      <w:proofErr w:type="spellStart"/>
      <w:r w:rsidRPr="003A48F1">
        <w:rPr>
          <w:rFonts w:ascii="Arial" w:hAnsi="Arial" w:cs="Arial"/>
          <w:sz w:val="24"/>
          <w:lang w:val="en-US"/>
        </w:rPr>
        <w:t>Ologunebi</w:t>
      </w:r>
      <w:proofErr w:type="spellEnd"/>
      <w:r w:rsidRPr="003A48F1">
        <w:rPr>
          <w:rFonts w:ascii="Arial" w:hAnsi="Arial" w:cs="Arial"/>
          <w:sz w:val="24"/>
          <w:lang w:val="en-US"/>
        </w:rPr>
        <w:t>, 2023; Wang, 2023). This, together with an increasingly data-driven retail space, have the potential to bring about a sustainable competitive advantage, but it has to be leveraged.</w:t>
      </w:r>
    </w:p>
    <w:p w14:paraId="7779C7C9"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reputation of the brand has been a strength in the past, linked with affordability and accessibility. This is an advantage but it is getting increased since the competition is also providing the same prices with a better understanding of the quality (Sarisa, 2021). That has resulted in ASDA brand achieving a competitive parity as opposed to differentiation.</w:t>
      </w:r>
    </w:p>
    <w:p w14:paraId="15F268F3" w14:textId="47668DE5"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As part of the significant internal weaknesses, one can mention the financial structure of ASDA. When the debt after the acquisition is high, then it decreases the strategic flexibility and ability of the </w:t>
      </w:r>
      <w:r w:rsidR="001E5AB9" w:rsidRPr="003A48F1">
        <w:rPr>
          <w:rFonts w:ascii="Arial" w:hAnsi="Arial" w:cs="Arial"/>
          <w:sz w:val="24"/>
          <w:lang w:val="en-US"/>
        </w:rPr>
        <w:t>organization</w:t>
      </w:r>
      <w:r w:rsidRPr="003A48F1">
        <w:rPr>
          <w:rFonts w:ascii="Arial" w:hAnsi="Arial" w:cs="Arial"/>
          <w:sz w:val="24"/>
          <w:lang w:val="en-US"/>
        </w:rPr>
        <w:t xml:space="preserve"> to invest in innovation and transformation (Osei, 2025). This poses a major risk to the long run competitiveness in a capital intensive industry (Chapman, 2026).</w:t>
      </w:r>
    </w:p>
    <w:p w14:paraId="0FB100BB"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Connecting Internal on Competitive Advantage.</w:t>
      </w:r>
    </w:p>
    <w:p w14:paraId="1475C03B"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The main source of cost leadership that will be implemented in ASDA is its internal resources which enable the firm to be a leader in terms of its effectiveness and scale of its operations. Its logistics system and network of stores also make it easy to control its costs and distribution are also very important in maintaining its low prices. Nevertheless, these benefits are being counterbalanced by competitors, especially the ones operating a leaner operating model (Syed, 2020).</w:t>
      </w:r>
    </w:p>
    <w:p w14:paraId="045C570D" w14:textId="610AE1FC"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Data-driven capabilities of ASDA have the highest competitive advantage in terms of sustainable competitive advantage. The Asda Rewards </w:t>
      </w:r>
      <w:proofErr w:type="spellStart"/>
      <w:r w:rsidRPr="003A48F1">
        <w:rPr>
          <w:rFonts w:ascii="Arial" w:hAnsi="Arial" w:cs="Arial"/>
          <w:sz w:val="24"/>
          <w:lang w:val="en-US"/>
        </w:rPr>
        <w:t>programme</w:t>
      </w:r>
      <w:proofErr w:type="spellEnd"/>
      <w:r w:rsidRPr="003A48F1">
        <w:rPr>
          <w:rFonts w:ascii="Arial" w:hAnsi="Arial" w:cs="Arial"/>
          <w:sz w:val="24"/>
          <w:lang w:val="en-US"/>
        </w:rPr>
        <w:t xml:space="preserve"> helps the </w:t>
      </w:r>
      <w:r w:rsidR="001E5AB9" w:rsidRPr="003A48F1">
        <w:rPr>
          <w:rFonts w:ascii="Arial" w:hAnsi="Arial" w:cs="Arial"/>
          <w:sz w:val="24"/>
          <w:lang w:val="en-US"/>
        </w:rPr>
        <w:t>organization</w:t>
      </w:r>
      <w:r w:rsidRPr="003A48F1">
        <w:rPr>
          <w:rFonts w:ascii="Arial" w:hAnsi="Arial" w:cs="Arial"/>
          <w:sz w:val="24"/>
          <w:lang w:val="en-US"/>
        </w:rPr>
        <w:t xml:space="preserve"> to go beyond price competition and provide </w:t>
      </w:r>
      <w:r w:rsidR="001E5AB9" w:rsidRPr="003A48F1">
        <w:rPr>
          <w:rFonts w:ascii="Arial" w:hAnsi="Arial" w:cs="Arial"/>
          <w:sz w:val="24"/>
          <w:lang w:val="en-US"/>
        </w:rPr>
        <w:t>personalized</w:t>
      </w:r>
      <w:r w:rsidRPr="003A48F1">
        <w:rPr>
          <w:rFonts w:ascii="Arial" w:hAnsi="Arial" w:cs="Arial"/>
          <w:sz w:val="24"/>
          <w:lang w:val="en-US"/>
        </w:rPr>
        <w:t xml:space="preserve"> value to its customers, fostering loyalty and increasing its long-term profitability (</w:t>
      </w:r>
      <w:proofErr w:type="spellStart"/>
      <w:r w:rsidRPr="003A48F1">
        <w:rPr>
          <w:rFonts w:ascii="Arial" w:hAnsi="Arial" w:cs="Arial"/>
          <w:sz w:val="24"/>
          <w:lang w:val="en-US"/>
        </w:rPr>
        <w:t>Piricz</w:t>
      </w:r>
      <w:proofErr w:type="spellEnd"/>
      <w:r w:rsidRPr="003A48F1">
        <w:rPr>
          <w:rFonts w:ascii="Arial" w:hAnsi="Arial" w:cs="Arial"/>
          <w:sz w:val="24"/>
          <w:lang w:val="en-US"/>
        </w:rPr>
        <w:t>, 2025). The relocation is critical in a context whereby customer experience is becoming relevant in regard to differentiation.</w:t>
      </w:r>
    </w:p>
    <w:p w14:paraId="6584495D" w14:textId="77777777" w:rsidR="00D6542E" w:rsidRPr="003A48F1" w:rsidRDefault="00D6542E" w:rsidP="00D6542E">
      <w:pPr>
        <w:spacing w:after="0" w:line="360" w:lineRule="auto"/>
        <w:jc w:val="both"/>
        <w:rPr>
          <w:rFonts w:ascii="Arial" w:hAnsi="Arial" w:cs="Arial"/>
          <w:b/>
          <w:bCs/>
          <w:sz w:val="24"/>
          <w:lang w:val="en-US"/>
        </w:rPr>
      </w:pPr>
      <w:r w:rsidRPr="003A48F1">
        <w:rPr>
          <w:rFonts w:ascii="Arial" w:hAnsi="Arial" w:cs="Arial"/>
          <w:b/>
          <w:bCs/>
          <w:sz w:val="24"/>
          <w:lang w:val="en-US"/>
        </w:rPr>
        <w:t>Table 3: VRIO Analysis of Key Resources</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17"/>
        <w:gridCol w:w="1078"/>
        <w:gridCol w:w="1104"/>
        <w:gridCol w:w="1619"/>
        <w:gridCol w:w="1277"/>
        <w:gridCol w:w="2355"/>
      </w:tblGrid>
      <w:tr w:rsidR="00D6542E" w:rsidRPr="003A48F1" w14:paraId="3814E435" w14:textId="77777777" w:rsidTr="002A7245">
        <w:trPr>
          <w:trHeight w:val="315"/>
        </w:trPr>
        <w:tc>
          <w:tcPr>
            <w:tcW w:w="0" w:type="auto"/>
            <w:shd w:val="clear" w:color="auto" w:fill="1F3864" w:themeFill="accent5" w:themeFillShade="80"/>
            <w:tcMar>
              <w:top w:w="30" w:type="dxa"/>
              <w:left w:w="45" w:type="dxa"/>
              <w:bottom w:w="30" w:type="dxa"/>
              <w:right w:w="45" w:type="dxa"/>
            </w:tcMar>
            <w:vAlign w:val="bottom"/>
            <w:hideMark/>
          </w:tcPr>
          <w:p w14:paraId="1EFF651B"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Resource</w:t>
            </w:r>
          </w:p>
        </w:tc>
        <w:tc>
          <w:tcPr>
            <w:tcW w:w="0" w:type="auto"/>
            <w:shd w:val="clear" w:color="auto" w:fill="1F3864" w:themeFill="accent5" w:themeFillShade="80"/>
            <w:tcMar>
              <w:top w:w="30" w:type="dxa"/>
              <w:left w:w="45" w:type="dxa"/>
              <w:bottom w:w="30" w:type="dxa"/>
              <w:right w:w="45" w:type="dxa"/>
            </w:tcMar>
            <w:vAlign w:val="bottom"/>
            <w:hideMark/>
          </w:tcPr>
          <w:p w14:paraId="46D67B00"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Valuable</w:t>
            </w:r>
          </w:p>
        </w:tc>
        <w:tc>
          <w:tcPr>
            <w:tcW w:w="0" w:type="auto"/>
            <w:shd w:val="clear" w:color="auto" w:fill="1F3864" w:themeFill="accent5" w:themeFillShade="80"/>
            <w:tcMar>
              <w:top w:w="30" w:type="dxa"/>
              <w:left w:w="45" w:type="dxa"/>
              <w:bottom w:w="30" w:type="dxa"/>
              <w:right w:w="45" w:type="dxa"/>
            </w:tcMar>
            <w:vAlign w:val="bottom"/>
            <w:hideMark/>
          </w:tcPr>
          <w:p w14:paraId="2D397FB3"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Rare</w:t>
            </w:r>
          </w:p>
        </w:tc>
        <w:tc>
          <w:tcPr>
            <w:tcW w:w="0" w:type="auto"/>
            <w:shd w:val="clear" w:color="auto" w:fill="1F3864" w:themeFill="accent5" w:themeFillShade="80"/>
            <w:tcMar>
              <w:top w:w="30" w:type="dxa"/>
              <w:left w:w="45" w:type="dxa"/>
              <w:bottom w:w="30" w:type="dxa"/>
              <w:right w:w="45" w:type="dxa"/>
            </w:tcMar>
            <w:vAlign w:val="bottom"/>
            <w:hideMark/>
          </w:tcPr>
          <w:p w14:paraId="11E4C18F"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Difficult to Imitate</w:t>
            </w:r>
          </w:p>
        </w:tc>
        <w:tc>
          <w:tcPr>
            <w:tcW w:w="0" w:type="auto"/>
            <w:shd w:val="clear" w:color="auto" w:fill="1F3864" w:themeFill="accent5" w:themeFillShade="80"/>
            <w:tcMar>
              <w:top w:w="30" w:type="dxa"/>
              <w:left w:w="45" w:type="dxa"/>
              <w:bottom w:w="30" w:type="dxa"/>
              <w:right w:w="45" w:type="dxa"/>
            </w:tcMar>
            <w:vAlign w:val="bottom"/>
            <w:hideMark/>
          </w:tcPr>
          <w:p w14:paraId="0FE24206" w14:textId="77777777" w:rsidR="00D6542E" w:rsidRPr="003A48F1" w:rsidRDefault="00D6542E" w:rsidP="002A7245">
            <w:pPr>
              <w:spacing w:after="0" w:line="360" w:lineRule="auto"/>
              <w:jc w:val="center"/>
              <w:rPr>
                <w:rFonts w:ascii="Arial" w:hAnsi="Arial" w:cs="Arial"/>
                <w:b/>
                <w:bCs/>
                <w:sz w:val="24"/>
                <w:lang w:val="en-US"/>
              </w:rPr>
            </w:pPr>
            <w:proofErr w:type="spellStart"/>
            <w:r w:rsidRPr="003A48F1">
              <w:rPr>
                <w:rFonts w:ascii="Arial" w:hAnsi="Arial" w:cs="Arial"/>
                <w:b/>
                <w:bCs/>
                <w:sz w:val="24"/>
                <w:lang w:val="en-US"/>
              </w:rPr>
              <w:t>Organised</w:t>
            </w:r>
            <w:proofErr w:type="spellEnd"/>
          </w:p>
        </w:tc>
        <w:tc>
          <w:tcPr>
            <w:tcW w:w="0" w:type="auto"/>
            <w:shd w:val="clear" w:color="auto" w:fill="1F3864" w:themeFill="accent5" w:themeFillShade="80"/>
            <w:tcMar>
              <w:top w:w="30" w:type="dxa"/>
              <w:left w:w="0" w:type="dxa"/>
              <w:bottom w:w="30" w:type="dxa"/>
              <w:right w:w="0" w:type="dxa"/>
            </w:tcMar>
            <w:vAlign w:val="bottom"/>
            <w:hideMark/>
          </w:tcPr>
          <w:p w14:paraId="760BA70F" w14:textId="77777777" w:rsidR="00D6542E" w:rsidRPr="003A48F1" w:rsidRDefault="00D6542E" w:rsidP="002A7245">
            <w:pPr>
              <w:spacing w:after="0" w:line="360" w:lineRule="auto"/>
              <w:jc w:val="center"/>
              <w:rPr>
                <w:rFonts w:ascii="Arial" w:hAnsi="Arial" w:cs="Arial"/>
                <w:b/>
                <w:bCs/>
                <w:sz w:val="24"/>
                <w:lang w:val="en-US"/>
              </w:rPr>
            </w:pPr>
            <w:r w:rsidRPr="003A48F1">
              <w:rPr>
                <w:rFonts w:ascii="Arial" w:hAnsi="Arial" w:cs="Arial"/>
                <w:b/>
                <w:bCs/>
                <w:sz w:val="24"/>
                <w:lang w:val="en-US"/>
              </w:rPr>
              <w:t>Competitive Implication</w:t>
            </w:r>
          </w:p>
        </w:tc>
      </w:tr>
      <w:tr w:rsidR="00D6542E" w:rsidRPr="003A48F1" w14:paraId="3E647EBE" w14:textId="77777777" w:rsidTr="002A7245">
        <w:trPr>
          <w:trHeight w:val="315"/>
        </w:trPr>
        <w:tc>
          <w:tcPr>
            <w:tcW w:w="0" w:type="auto"/>
            <w:tcMar>
              <w:top w:w="30" w:type="dxa"/>
              <w:left w:w="45" w:type="dxa"/>
              <w:bottom w:w="30" w:type="dxa"/>
              <w:right w:w="45" w:type="dxa"/>
            </w:tcMar>
            <w:vAlign w:val="bottom"/>
            <w:hideMark/>
          </w:tcPr>
          <w:p w14:paraId="1483A58A"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National Store Network</w:t>
            </w:r>
          </w:p>
        </w:tc>
        <w:tc>
          <w:tcPr>
            <w:tcW w:w="0" w:type="auto"/>
            <w:tcMar>
              <w:top w:w="30" w:type="dxa"/>
              <w:left w:w="45" w:type="dxa"/>
              <w:bottom w:w="30" w:type="dxa"/>
              <w:right w:w="45" w:type="dxa"/>
            </w:tcMar>
            <w:vAlign w:val="bottom"/>
            <w:hideMark/>
          </w:tcPr>
          <w:p w14:paraId="19726245"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5430C150"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6D750881"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Moderate</w:t>
            </w:r>
          </w:p>
        </w:tc>
        <w:tc>
          <w:tcPr>
            <w:tcW w:w="0" w:type="auto"/>
            <w:tcMar>
              <w:top w:w="30" w:type="dxa"/>
              <w:left w:w="45" w:type="dxa"/>
              <w:bottom w:w="30" w:type="dxa"/>
              <w:right w:w="45" w:type="dxa"/>
            </w:tcMar>
            <w:vAlign w:val="bottom"/>
            <w:hideMark/>
          </w:tcPr>
          <w:p w14:paraId="3DD43307"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0" w:type="dxa"/>
              <w:bottom w:w="30" w:type="dxa"/>
              <w:right w:w="0" w:type="dxa"/>
            </w:tcMar>
            <w:vAlign w:val="bottom"/>
            <w:hideMark/>
          </w:tcPr>
          <w:p w14:paraId="10B65841"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Temporary Advantage</w:t>
            </w:r>
          </w:p>
        </w:tc>
      </w:tr>
      <w:tr w:rsidR="00D6542E" w:rsidRPr="003A48F1" w14:paraId="6BCD1C11" w14:textId="77777777" w:rsidTr="002A7245">
        <w:trPr>
          <w:trHeight w:val="315"/>
        </w:trPr>
        <w:tc>
          <w:tcPr>
            <w:tcW w:w="0" w:type="auto"/>
            <w:tcMar>
              <w:top w:w="30" w:type="dxa"/>
              <w:left w:w="45" w:type="dxa"/>
              <w:bottom w:w="30" w:type="dxa"/>
              <w:right w:w="45" w:type="dxa"/>
            </w:tcMar>
            <w:vAlign w:val="bottom"/>
            <w:hideMark/>
          </w:tcPr>
          <w:p w14:paraId="305F23A7"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IPL Logistics System</w:t>
            </w:r>
          </w:p>
        </w:tc>
        <w:tc>
          <w:tcPr>
            <w:tcW w:w="0" w:type="auto"/>
            <w:tcMar>
              <w:top w:w="30" w:type="dxa"/>
              <w:left w:w="45" w:type="dxa"/>
              <w:bottom w:w="30" w:type="dxa"/>
              <w:right w:w="45" w:type="dxa"/>
            </w:tcMar>
            <w:vAlign w:val="bottom"/>
            <w:hideMark/>
          </w:tcPr>
          <w:p w14:paraId="4CE79555"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6B58CBA6"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Moderate</w:t>
            </w:r>
          </w:p>
        </w:tc>
        <w:tc>
          <w:tcPr>
            <w:tcW w:w="0" w:type="auto"/>
            <w:tcMar>
              <w:top w:w="30" w:type="dxa"/>
              <w:left w:w="45" w:type="dxa"/>
              <w:bottom w:w="30" w:type="dxa"/>
              <w:right w:w="45" w:type="dxa"/>
            </w:tcMar>
            <w:vAlign w:val="bottom"/>
            <w:hideMark/>
          </w:tcPr>
          <w:p w14:paraId="48897D1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5D91AB42"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0" w:type="dxa"/>
              <w:bottom w:w="30" w:type="dxa"/>
              <w:right w:w="0" w:type="dxa"/>
            </w:tcMar>
            <w:vAlign w:val="bottom"/>
            <w:hideMark/>
          </w:tcPr>
          <w:p w14:paraId="3863E821"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Strong Competitive Advantage</w:t>
            </w:r>
          </w:p>
        </w:tc>
      </w:tr>
      <w:tr w:rsidR="00D6542E" w:rsidRPr="003A48F1" w14:paraId="199D8757" w14:textId="77777777" w:rsidTr="002A7245">
        <w:trPr>
          <w:trHeight w:val="315"/>
        </w:trPr>
        <w:tc>
          <w:tcPr>
            <w:tcW w:w="0" w:type="auto"/>
            <w:tcMar>
              <w:top w:w="30" w:type="dxa"/>
              <w:left w:w="45" w:type="dxa"/>
              <w:bottom w:w="30" w:type="dxa"/>
              <w:right w:w="45" w:type="dxa"/>
            </w:tcMar>
            <w:vAlign w:val="bottom"/>
            <w:hideMark/>
          </w:tcPr>
          <w:p w14:paraId="36BAAF76"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Asda Rewards Data</w:t>
            </w:r>
          </w:p>
        </w:tc>
        <w:tc>
          <w:tcPr>
            <w:tcW w:w="0" w:type="auto"/>
            <w:tcMar>
              <w:top w:w="30" w:type="dxa"/>
              <w:left w:w="45" w:type="dxa"/>
              <w:bottom w:w="30" w:type="dxa"/>
              <w:right w:w="45" w:type="dxa"/>
            </w:tcMar>
            <w:vAlign w:val="bottom"/>
            <w:hideMark/>
          </w:tcPr>
          <w:p w14:paraId="32EA224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5B32B50B"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Moderate</w:t>
            </w:r>
          </w:p>
        </w:tc>
        <w:tc>
          <w:tcPr>
            <w:tcW w:w="0" w:type="auto"/>
            <w:tcMar>
              <w:top w:w="30" w:type="dxa"/>
              <w:left w:w="45" w:type="dxa"/>
              <w:bottom w:w="30" w:type="dxa"/>
              <w:right w:w="45" w:type="dxa"/>
            </w:tcMar>
            <w:vAlign w:val="bottom"/>
            <w:hideMark/>
          </w:tcPr>
          <w:p w14:paraId="4358555E"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2ECFBFFB"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0" w:type="dxa"/>
              <w:bottom w:w="30" w:type="dxa"/>
              <w:right w:w="0" w:type="dxa"/>
            </w:tcMar>
            <w:vAlign w:val="bottom"/>
            <w:hideMark/>
          </w:tcPr>
          <w:p w14:paraId="7304C8F0"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Potential Sustained Advantage</w:t>
            </w:r>
          </w:p>
        </w:tc>
      </w:tr>
      <w:tr w:rsidR="00D6542E" w:rsidRPr="003A48F1" w14:paraId="258FC89B" w14:textId="77777777" w:rsidTr="002A7245">
        <w:trPr>
          <w:trHeight w:val="315"/>
        </w:trPr>
        <w:tc>
          <w:tcPr>
            <w:tcW w:w="0" w:type="auto"/>
            <w:tcMar>
              <w:top w:w="30" w:type="dxa"/>
              <w:left w:w="45" w:type="dxa"/>
              <w:bottom w:w="30" w:type="dxa"/>
              <w:right w:w="45" w:type="dxa"/>
            </w:tcMar>
            <w:vAlign w:val="bottom"/>
            <w:hideMark/>
          </w:tcPr>
          <w:p w14:paraId="4B5DDAAA"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Brand Reputation</w:t>
            </w:r>
          </w:p>
        </w:tc>
        <w:tc>
          <w:tcPr>
            <w:tcW w:w="0" w:type="auto"/>
            <w:tcMar>
              <w:top w:w="30" w:type="dxa"/>
              <w:left w:w="45" w:type="dxa"/>
              <w:bottom w:w="30" w:type="dxa"/>
              <w:right w:w="45" w:type="dxa"/>
            </w:tcMar>
            <w:vAlign w:val="bottom"/>
            <w:hideMark/>
          </w:tcPr>
          <w:p w14:paraId="6A9A7F3A"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45" w:type="dxa"/>
              <w:bottom w:w="30" w:type="dxa"/>
              <w:right w:w="45" w:type="dxa"/>
            </w:tcMar>
            <w:vAlign w:val="bottom"/>
            <w:hideMark/>
          </w:tcPr>
          <w:p w14:paraId="440FBB3F"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2A8F3E4C"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5455BE5A"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Yes</w:t>
            </w:r>
          </w:p>
        </w:tc>
        <w:tc>
          <w:tcPr>
            <w:tcW w:w="0" w:type="auto"/>
            <w:tcMar>
              <w:top w:w="30" w:type="dxa"/>
              <w:left w:w="0" w:type="dxa"/>
              <w:bottom w:w="30" w:type="dxa"/>
              <w:right w:w="0" w:type="dxa"/>
            </w:tcMar>
            <w:vAlign w:val="bottom"/>
            <w:hideMark/>
          </w:tcPr>
          <w:p w14:paraId="78746D3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Competitive Parity</w:t>
            </w:r>
          </w:p>
        </w:tc>
      </w:tr>
      <w:tr w:rsidR="00D6542E" w:rsidRPr="003A48F1" w14:paraId="53EE7BA7" w14:textId="77777777" w:rsidTr="002A7245">
        <w:trPr>
          <w:trHeight w:val="315"/>
        </w:trPr>
        <w:tc>
          <w:tcPr>
            <w:tcW w:w="0" w:type="auto"/>
            <w:tcMar>
              <w:top w:w="30" w:type="dxa"/>
              <w:left w:w="45" w:type="dxa"/>
              <w:bottom w:w="30" w:type="dxa"/>
              <w:right w:w="45" w:type="dxa"/>
            </w:tcMar>
            <w:vAlign w:val="bottom"/>
            <w:hideMark/>
          </w:tcPr>
          <w:p w14:paraId="180F9723"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Financial Structure</w:t>
            </w:r>
          </w:p>
        </w:tc>
        <w:tc>
          <w:tcPr>
            <w:tcW w:w="0" w:type="auto"/>
            <w:tcMar>
              <w:top w:w="30" w:type="dxa"/>
              <w:left w:w="45" w:type="dxa"/>
              <w:bottom w:w="30" w:type="dxa"/>
              <w:right w:w="45" w:type="dxa"/>
            </w:tcMar>
            <w:vAlign w:val="bottom"/>
            <w:hideMark/>
          </w:tcPr>
          <w:p w14:paraId="2925CF5D"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2A90FEB9"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1788D42E"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45" w:type="dxa"/>
              <w:bottom w:w="30" w:type="dxa"/>
              <w:right w:w="45" w:type="dxa"/>
            </w:tcMar>
            <w:vAlign w:val="bottom"/>
            <w:hideMark/>
          </w:tcPr>
          <w:p w14:paraId="77409B6F"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No</w:t>
            </w:r>
          </w:p>
        </w:tc>
        <w:tc>
          <w:tcPr>
            <w:tcW w:w="0" w:type="auto"/>
            <w:tcMar>
              <w:top w:w="30" w:type="dxa"/>
              <w:left w:w="0" w:type="dxa"/>
              <w:bottom w:w="30" w:type="dxa"/>
              <w:right w:w="0" w:type="dxa"/>
            </w:tcMar>
            <w:vAlign w:val="bottom"/>
            <w:hideMark/>
          </w:tcPr>
          <w:p w14:paraId="0497F068" w14:textId="77777777" w:rsidR="00D6542E" w:rsidRPr="003A48F1" w:rsidRDefault="00D6542E" w:rsidP="002A7245">
            <w:pPr>
              <w:spacing w:after="0" w:line="360" w:lineRule="auto"/>
              <w:jc w:val="center"/>
              <w:rPr>
                <w:rFonts w:ascii="Arial" w:hAnsi="Arial" w:cs="Arial"/>
                <w:sz w:val="24"/>
                <w:lang w:val="en-US"/>
              </w:rPr>
            </w:pPr>
            <w:r w:rsidRPr="003A48F1">
              <w:rPr>
                <w:rFonts w:ascii="Arial" w:hAnsi="Arial" w:cs="Arial"/>
                <w:sz w:val="24"/>
                <w:lang w:val="en-US"/>
              </w:rPr>
              <w:t>Competitive Weakness</w:t>
            </w:r>
          </w:p>
        </w:tc>
      </w:tr>
    </w:tbl>
    <w:p w14:paraId="7F0AA682" w14:textId="77777777" w:rsidR="00D6542E" w:rsidRPr="003A48F1" w:rsidRDefault="00D6542E" w:rsidP="00D6542E">
      <w:pPr>
        <w:spacing w:after="0" w:line="360" w:lineRule="auto"/>
        <w:jc w:val="both"/>
        <w:rPr>
          <w:rFonts w:ascii="Arial" w:hAnsi="Arial" w:cs="Arial"/>
          <w:i/>
          <w:sz w:val="24"/>
          <w:lang w:val="en-US"/>
        </w:rPr>
      </w:pPr>
      <w:r w:rsidRPr="003A48F1">
        <w:rPr>
          <w:rFonts w:ascii="Arial" w:hAnsi="Arial" w:cs="Arial"/>
          <w:i/>
          <w:sz w:val="24"/>
          <w:lang w:val="en-US"/>
        </w:rPr>
        <w:t>Source: Henry (2021), Rodrigo (2023), Wang (2023), and Hiller (2023).</w:t>
      </w:r>
    </w:p>
    <w:p w14:paraId="56A2B832" w14:textId="77777777" w:rsidR="00D6542E" w:rsidRPr="003A48F1" w:rsidRDefault="00D6542E" w:rsidP="00D6542E">
      <w:pPr>
        <w:pStyle w:val="Heading2"/>
        <w:rPr>
          <w:rFonts w:ascii="Arial" w:hAnsi="Arial" w:cs="Arial"/>
          <w:lang w:val="en-US"/>
        </w:rPr>
      </w:pPr>
      <w:bookmarkStart w:id="6" w:name="_Toc237261678"/>
      <w:r w:rsidRPr="003A48F1">
        <w:rPr>
          <w:rFonts w:ascii="Arial" w:hAnsi="Arial" w:cs="Arial"/>
          <w:lang w:val="en-US"/>
        </w:rPr>
        <w:t>2.3 SWOT Matrix Synthesis</w:t>
      </w:r>
      <w:bookmarkEnd w:id="6"/>
    </w:p>
    <w:p w14:paraId="3B813074" w14:textId="77777777"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The SWOT analysis indicates that ASDA is strong in operation particularly in logistics, size and customer data. These capabilities offer a basis to strategic growth, especially in online interactions and convenience stores (Mkansi and </w:t>
      </w:r>
      <w:proofErr w:type="spellStart"/>
      <w:r w:rsidRPr="003A48F1">
        <w:rPr>
          <w:rFonts w:ascii="Arial" w:hAnsi="Arial" w:cs="Arial"/>
          <w:sz w:val="24"/>
          <w:lang w:val="en-US"/>
        </w:rPr>
        <w:t>Nsakanda</w:t>
      </w:r>
      <w:proofErr w:type="spellEnd"/>
      <w:r w:rsidRPr="003A48F1">
        <w:rPr>
          <w:rFonts w:ascii="Arial" w:hAnsi="Arial" w:cs="Arial"/>
          <w:sz w:val="24"/>
          <w:lang w:val="en-US"/>
        </w:rPr>
        <w:t>, 2021).</w:t>
      </w:r>
    </w:p>
    <w:p w14:paraId="662CA742" w14:textId="6FFD115A" w:rsidR="00D6542E"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However, its drawbacks such as high rates of debts and declining market share reduce the strategic flexibility and limit the </w:t>
      </w:r>
      <w:r w:rsidR="00973F54" w:rsidRPr="003A48F1">
        <w:rPr>
          <w:rFonts w:ascii="Arial" w:hAnsi="Arial" w:cs="Arial"/>
          <w:sz w:val="24"/>
          <w:lang w:val="en-US"/>
        </w:rPr>
        <w:t>organizations’</w:t>
      </w:r>
      <w:r w:rsidRPr="003A48F1">
        <w:rPr>
          <w:rFonts w:ascii="Arial" w:hAnsi="Arial" w:cs="Arial"/>
          <w:sz w:val="24"/>
          <w:lang w:val="en-US"/>
        </w:rPr>
        <w:t xml:space="preserve"> ability to provide aggressive actions against market rivals (Statista, 2026). The opportunity in digital transformation, sustainability and growth of convenience stores exists externally; whereas the threats are the growing competition, the forces of regulation, and economic uncertainties (Chapman, 2026).</w:t>
      </w:r>
    </w:p>
    <w:p w14:paraId="5A197600" w14:textId="77777777" w:rsidR="00D6542E" w:rsidRPr="003A48F1" w:rsidRDefault="00D6542E" w:rsidP="00D6542E">
      <w:pPr>
        <w:spacing w:after="0" w:line="360" w:lineRule="auto"/>
        <w:jc w:val="both"/>
        <w:rPr>
          <w:rFonts w:ascii="Arial" w:hAnsi="Arial" w:cs="Arial"/>
          <w:bCs/>
          <w:sz w:val="24"/>
          <w:lang w:val="en-US"/>
        </w:rPr>
      </w:pPr>
      <w:r w:rsidRPr="003A48F1">
        <w:rPr>
          <w:rFonts w:ascii="Arial" w:hAnsi="Arial" w:cs="Arial"/>
          <w:bCs/>
          <w:noProof/>
          <w:sz w:val="24"/>
          <w:lang w:val="en-US"/>
        </w:rPr>
        <w:drawing>
          <wp:inline distT="0" distB="0" distL="0" distR="0" wp14:anchorId="6A60FBA8" wp14:editId="25A357D1">
            <wp:extent cx="5943600" cy="4210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210050"/>
                    </a:xfrm>
                    <a:prstGeom prst="rect">
                      <a:avLst/>
                    </a:prstGeom>
                  </pic:spPr>
                </pic:pic>
              </a:graphicData>
            </a:graphic>
          </wp:inline>
        </w:drawing>
      </w:r>
    </w:p>
    <w:p w14:paraId="1DD0D4D7" w14:textId="77777777" w:rsidR="00D6542E" w:rsidRPr="003A48F1" w:rsidRDefault="00D6542E" w:rsidP="00D6542E">
      <w:pPr>
        <w:spacing w:after="0" w:line="360" w:lineRule="auto"/>
        <w:jc w:val="center"/>
        <w:rPr>
          <w:rFonts w:ascii="Arial" w:hAnsi="Arial" w:cs="Arial"/>
          <w:b/>
          <w:bCs/>
          <w:i/>
          <w:sz w:val="20"/>
          <w:lang w:val="en-US"/>
        </w:rPr>
      </w:pPr>
      <w:r w:rsidRPr="003A48F1">
        <w:rPr>
          <w:rFonts w:ascii="Arial" w:hAnsi="Arial" w:cs="Arial"/>
          <w:b/>
          <w:bCs/>
          <w:i/>
          <w:sz w:val="20"/>
          <w:lang w:val="en-US"/>
        </w:rPr>
        <w:t>Figure 2: SWOT Matrix for ASDA (self-created)</w:t>
      </w:r>
    </w:p>
    <w:p w14:paraId="6F81F2BA" w14:textId="77777777" w:rsidR="00D6542E" w:rsidRPr="003A48F1" w:rsidRDefault="00D6542E" w:rsidP="00D6542E">
      <w:pPr>
        <w:spacing w:after="0" w:line="360" w:lineRule="auto"/>
        <w:jc w:val="both"/>
        <w:rPr>
          <w:rFonts w:ascii="Arial" w:hAnsi="Arial" w:cs="Arial"/>
          <w:sz w:val="24"/>
          <w:lang w:val="en-US"/>
        </w:rPr>
      </w:pPr>
    </w:p>
    <w:p w14:paraId="6749B35E" w14:textId="384A2500" w:rsidR="006959F3" w:rsidRPr="003A48F1" w:rsidRDefault="00D6542E" w:rsidP="00D6542E">
      <w:pPr>
        <w:spacing w:after="0" w:line="360" w:lineRule="auto"/>
        <w:jc w:val="both"/>
        <w:rPr>
          <w:rFonts w:ascii="Arial" w:hAnsi="Arial" w:cs="Arial"/>
          <w:sz w:val="24"/>
          <w:lang w:val="en-US"/>
        </w:rPr>
      </w:pPr>
      <w:r w:rsidRPr="003A48F1">
        <w:rPr>
          <w:rFonts w:ascii="Arial" w:hAnsi="Arial" w:cs="Arial"/>
          <w:sz w:val="24"/>
          <w:lang w:val="en-US"/>
        </w:rPr>
        <w:t xml:space="preserve">Overall, the SWOT analysis depicts a key strategic challenge: the cost leadership strategy can still be applied to ASDA but it is quickly becoming less and less effective on its own. As the </w:t>
      </w:r>
      <w:r w:rsidR="00973F54" w:rsidRPr="003A48F1">
        <w:rPr>
          <w:rFonts w:ascii="Arial" w:hAnsi="Arial" w:cs="Arial"/>
          <w:sz w:val="24"/>
          <w:lang w:val="en-US"/>
        </w:rPr>
        <w:t>organization</w:t>
      </w:r>
      <w:r w:rsidRPr="003A48F1">
        <w:rPr>
          <w:rFonts w:ascii="Arial" w:hAnsi="Arial" w:cs="Arial"/>
          <w:sz w:val="24"/>
          <w:lang w:val="en-US"/>
        </w:rPr>
        <w:t xml:space="preserve"> needs to maintain its competitive edge, it needs to use its internal strengths- especially data and logistics- to generate other sources of value in addition to price competition.</w:t>
      </w:r>
    </w:p>
    <w:p w14:paraId="11730946" w14:textId="105E903C" w:rsidR="00B06EBB" w:rsidRPr="003A48F1" w:rsidRDefault="00B06EBB" w:rsidP="00D643B3">
      <w:pPr>
        <w:pStyle w:val="Heading1"/>
        <w:rPr>
          <w:rFonts w:ascii="Arial" w:hAnsi="Arial" w:cs="Arial"/>
          <w:lang w:val="en-US"/>
        </w:rPr>
      </w:pPr>
      <w:bookmarkStart w:id="7" w:name="_Toc237261679"/>
      <w:r w:rsidRPr="003A48F1">
        <w:rPr>
          <w:rFonts w:ascii="Arial" w:hAnsi="Arial" w:cs="Arial"/>
          <w:lang w:val="en-US"/>
        </w:rPr>
        <w:t xml:space="preserve">3. Comprehensive and Holistic View of </w:t>
      </w:r>
      <w:bookmarkEnd w:id="7"/>
      <w:r w:rsidR="00973F54" w:rsidRPr="003A48F1">
        <w:rPr>
          <w:rFonts w:ascii="Arial" w:hAnsi="Arial" w:cs="Arial"/>
          <w:lang w:val="en-US"/>
        </w:rPr>
        <w:t>Organization</w:t>
      </w:r>
    </w:p>
    <w:p w14:paraId="05377A08" w14:textId="77777777" w:rsidR="00B06EBB" w:rsidRPr="003A48F1" w:rsidRDefault="00B06EBB" w:rsidP="00D643B3">
      <w:pPr>
        <w:pStyle w:val="Heading2"/>
        <w:rPr>
          <w:rFonts w:ascii="Arial" w:hAnsi="Arial" w:cs="Arial"/>
          <w:lang w:val="en-US"/>
        </w:rPr>
      </w:pPr>
      <w:bookmarkStart w:id="8" w:name="_Toc237261680"/>
      <w:r w:rsidRPr="003A48F1">
        <w:rPr>
          <w:rFonts w:ascii="Arial" w:hAnsi="Arial" w:cs="Arial"/>
          <w:lang w:val="en-US"/>
        </w:rPr>
        <w:t>3.1 CSR Strategy Evaluation</w:t>
      </w:r>
      <w:bookmarkEnd w:id="8"/>
    </w:p>
    <w:p w14:paraId="3C512FD7" w14:textId="3438B2D1" w:rsidR="00D643B3" w:rsidRPr="003A48F1" w:rsidRDefault="00D643B3" w:rsidP="00D643B3">
      <w:pPr>
        <w:spacing w:after="0" w:line="360" w:lineRule="auto"/>
        <w:jc w:val="both"/>
        <w:rPr>
          <w:rFonts w:ascii="Arial" w:hAnsi="Arial" w:cs="Arial"/>
          <w:sz w:val="24"/>
          <w:lang w:val="en-US"/>
        </w:rPr>
      </w:pPr>
      <w:r w:rsidRPr="003A48F1">
        <w:rPr>
          <w:rFonts w:ascii="Arial" w:hAnsi="Arial" w:cs="Arial"/>
          <w:sz w:val="24"/>
          <w:lang w:val="en-US"/>
        </w:rPr>
        <w:t xml:space="preserve">The UK grocery industry has seen increased importance of corporate social responsibility being influenced by the consumer, regulators, and investor requirements that require the retailers to exhibit a sense of environmental and social responsibility (Yang et al., 2024). The ASDA CSR plan is aimed at cutting down carbon emission, removing superfluous plastic packaging, </w:t>
      </w:r>
      <w:r w:rsidR="00973F54" w:rsidRPr="003A48F1">
        <w:rPr>
          <w:rFonts w:ascii="Arial" w:hAnsi="Arial" w:cs="Arial"/>
          <w:sz w:val="24"/>
          <w:lang w:val="en-US"/>
        </w:rPr>
        <w:t>minimizing</w:t>
      </w:r>
      <w:r w:rsidRPr="003A48F1">
        <w:rPr>
          <w:rFonts w:ascii="Arial" w:hAnsi="Arial" w:cs="Arial"/>
          <w:sz w:val="24"/>
          <w:lang w:val="en-US"/>
        </w:rPr>
        <w:t xml:space="preserve"> food waste, and contributing to the local communities with charitable activities and community investment </w:t>
      </w:r>
      <w:proofErr w:type="spellStart"/>
      <w:r w:rsidRPr="003A48F1">
        <w:rPr>
          <w:rFonts w:ascii="Arial" w:hAnsi="Arial" w:cs="Arial"/>
          <w:sz w:val="24"/>
          <w:lang w:val="en-US"/>
        </w:rPr>
        <w:t>programmes</w:t>
      </w:r>
      <w:proofErr w:type="spellEnd"/>
      <w:r w:rsidRPr="003A48F1">
        <w:rPr>
          <w:rFonts w:ascii="Arial" w:hAnsi="Arial" w:cs="Arial"/>
          <w:sz w:val="24"/>
          <w:lang w:val="en-US"/>
        </w:rPr>
        <w:t xml:space="preserve"> (Sandilands, 2024). These types of activities actively work on the greater sustainability agendas and meet the increasing stakeholder expectations as environmental performance agendas (Achterberg, 2024).</w:t>
      </w:r>
    </w:p>
    <w:p w14:paraId="11A52805" w14:textId="77777777" w:rsidR="00D643B3" w:rsidRPr="003A48F1" w:rsidRDefault="00D643B3" w:rsidP="00D643B3">
      <w:pPr>
        <w:spacing w:after="0" w:line="360" w:lineRule="auto"/>
        <w:jc w:val="both"/>
        <w:rPr>
          <w:rFonts w:ascii="Arial" w:hAnsi="Arial" w:cs="Arial"/>
          <w:sz w:val="24"/>
          <w:lang w:val="en-US"/>
        </w:rPr>
      </w:pPr>
      <w:r w:rsidRPr="003A48F1">
        <w:rPr>
          <w:rFonts w:ascii="Arial" w:hAnsi="Arial" w:cs="Arial"/>
          <w:sz w:val="24"/>
          <w:lang w:val="en-US"/>
        </w:rPr>
        <w:t xml:space="preserve">Advertisement strategy of low-cost business strategy is somewhat in compliance with the CSR strategy of ASDA. Food waste reduction </w:t>
      </w:r>
      <w:proofErr w:type="spellStart"/>
      <w:r w:rsidRPr="003A48F1">
        <w:rPr>
          <w:rFonts w:ascii="Arial" w:hAnsi="Arial" w:cs="Arial"/>
          <w:sz w:val="24"/>
          <w:lang w:val="en-US"/>
        </w:rPr>
        <w:t>programmes</w:t>
      </w:r>
      <w:proofErr w:type="spellEnd"/>
      <w:r w:rsidRPr="003A48F1">
        <w:rPr>
          <w:rFonts w:ascii="Arial" w:hAnsi="Arial" w:cs="Arial"/>
          <w:sz w:val="24"/>
          <w:lang w:val="en-US"/>
        </w:rPr>
        <w:t xml:space="preserve"> improve the effectiveness of the processes and decrease the disposal cost and encourage sustainability objectives (Pérez-Mesa et al., 2021). Similarly, the value-based positioning can be backed by supply chain improvements and package-cutting that can establish the low cost over the long-term and potentially save the company some money (Yang et al., 2024). Sustainability investments can, however, entail a lot of upfront cost, which creates a conflict between the short-term profitability and environmental long-term commitment (Rodrigo, 2023).</w:t>
      </w:r>
    </w:p>
    <w:p w14:paraId="07FD044A" w14:textId="77777777" w:rsidR="00D643B3" w:rsidRPr="003A48F1" w:rsidRDefault="00D643B3" w:rsidP="00D643B3">
      <w:pPr>
        <w:spacing w:after="0" w:line="360" w:lineRule="auto"/>
        <w:jc w:val="both"/>
        <w:rPr>
          <w:rFonts w:ascii="Arial" w:hAnsi="Arial" w:cs="Arial"/>
          <w:sz w:val="24"/>
          <w:lang w:val="en-US"/>
        </w:rPr>
      </w:pPr>
      <w:r w:rsidRPr="003A48F1">
        <w:rPr>
          <w:rFonts w:ascii="Arial" w:hAnsi="Arial" w:cs="Arial"/>
          <w:sz w:val="24"/>
          <w:lang w:val="en-US"/>
        </w:rPr>
        <w:t>Among the aspects in which the company has been improving is in the area of responsible sourcing and reduction of waste which have been the trend but the rivals such as Tesco and Sainsbury have been perceived to be more sustainable (de Moura, 2021). CSR thus should not be considered as a mere compliance issue. Instead, ASDA needs to use sustainability initiatives as a strategic tool, which contributes to customer trust, efficiency, and competitive stance and complies with its strategy of Everyday Low Prices (</w:t>
      </w:r>
      <w:proofErr w:type="spellStart"/>
      <w:r w:rsidRPr="003A48F1">
        <w:rPr>
          <w:rFonts w:ascii="Arial" w:hAnsi="Arial" w:cs="Arial"/>
          <w:sz w:val="24"/>
          <w:lang w:val="en-US"/>
        </w:rPr>
        <w:t>Piricz</w:t>
      </w:r>
      <w:proofErr w:type="spellEnd"/>
      <w:r w:rsidRPr="003A48F1">
        <w:rPr>
          <w:rFonts w:ascii="Arial" w:hAnsi="Arial" w:cs="Arial"/>
          <w:sz w:val="24"/>
          <w:lang w:val="en-US"/>
        </w:rPr>
        <w:t>, 2025).</w:t>
      </w:r>
    </w:p>
    <w:p w14:paraId="109A2E67" w14:textId="77777777" w:rsidR="00D643B3" w:rsidRPr="003A48F1" w:rsidRDefault="00D643B3" w:rsidP="00D643B3">
      <w:pPr>
        <w:pStyle w:val="Heading2"/>
        <w:rPr>
          <w:rFonts w:ascii="Arial" w:hAnsi="Arial" w:cs="Arial"/>
          <w:lang w:val="en-US"/>
        </w:rPr>
      </w:pPr>
      <w:bookmarkStart w:id="9" w:name="_Toc237261681"/>
      <w:r w:rsidRPr="003A48F1">
        <w:rPr>
          <w:rFonts w:ascii="Arial" w:hAnsi="Arial" w:cs="Arial"/>
          <w:lang w:val="en-US"/>
        </w:rPr>
        <w:t>3.2 Balanced Scorecard Framework for ASDA</w:t>
      </w:r>
      <w:bookmarkEnd w:id="9"/>
    </w:p>
    <w:p w14:paraId="05F2DCA5" w14:textId="42504FB1" w:rsidR="00B06EBB" w:rsidRPr="003A48F1" w:rsidRDefault="00D643B3" w:rsidP="00D643B3">
      <w:pPr>
        <w:spacing w:after="0" w:line="360" w:lineRule="auto"/>
        <w:jc w:val="both"/>
        <w:rPr>
          <w:rFonts w:ascii="Arial" w:hAnsi="Arial" w:cs="Arial"/>
          <w:sz w:val="24"/>
          <w:lang w:val="en-US"/>
        </w:rPr>
      </w:pPr>
      <w:r w:rsidRPr="003A48F1">
        <w:rPr>
          <w:rFonts w:ascii="Arial" w:hAnsi="Arial" w:cs="Arial"/>
          <w:sz w:val="24"/>
          <w:lang w:val="en-US"/>
        </w:rPr>
        <w:t xml:space="preserve">Balanced Scorecard refers to a set of principles that provide specific tools in transforming organisational strategy into concrete goals both in financial and non-financial terms (Henry, 2021). When applied to ASDA, the framework leads to the introduction of </w:t>
      </w:r>
      <w:proofErr w:type="gramStart"/>
      <w:r w:rsidRPr="003A48F1">
        <w:rPr>
          <w:rFonts w:ascii="Arial" w:hAnsi="Arial" w:cs="Arial"/>
          <w:sz w:val="24"/>
          <w:lang w:val="en-US"/>
        </w:rPr>
        <w:t>the cost</w:t>
      </w:r>
      <w:proofErr w:type="gramEnd"/>
      <w:r w:rsidRPr="003A48F1">
        <w:rPr>
          <w:rFonts w:ascii="Arial" w:hAnsi="Arial" w:cs="Arial"/>
          <w:sz w:val="24"/>
          <w:lang w:val="en-US"/>
        </w:rPr>
        <w:t xml:space="preserve"> leadership, </w:t>
      </w:r>
      <w:r w:rsidR="00973F54" w:rsidRPr="003A48F1">
        <w:rPr>
          <w:rFonts w:ascii="Arial" w:hAnsi="Arial" w:cs="Arial"/>
          <w:sz w:val="24"/>
          <w:lang w:val="en-US"/>
        </w:rPr>
        <w:t>digitalization</w:t>
      </w:r>
      <w:r w:rsidRPr="003A48F1">
        <w:rPr>
          <w:rFonts w:ascii="Arial" w:hAnsi="Arial" w:cs="Arial"/>
          <w:sz w:val="24"/>
          <w:lang w:val="en-US"/>
        </w:rPr>
        <w:t>, customer retention, and operational efficiency goals.</w:t>
      </w:r>
    </w:p>
    <w:p w14:paraId="51075465" w14:textId="77777777" w:rsidR="00B1738E" w:rsidRPr="003A48F1" w:rsidRDefault="00B1738E" w:rsidP="00B06EBB">
      <w:pPr>
        <w:spacing w:after="0" w:line="360" w:lineRule="auto"/>
        <w:jc w:val="both"/>
        <w:rPr>
          <w:rFonts w:ascii="Arial" w:hAnsi="Arial" w:cs="Arial"/>
          <w:sz w:val="24"/>
          <w:lang w:val="en-US"/>
        </w:rPr>
      </w:pPr>
      <w:r w:rsidRPr="003A48F1">
        <w:rPr>
          <w:rFonts w:ascii="Arial" w:hAnsi="Arial" w:cs="Arial"/>
          <w:noProof/>
          <w:sz w:val="24"/>
          <w:lang w:val="en-US"/>
        </w:rPr>
        <w:drawing>
          <wp:inline distT="0" distB="0" distL="0" distR="0" wp14:anchorId="066CA31A" wp14:editId="10B9DC70">
            <wp:extent cx="5943600" cy="3971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2994"/>
                    <a:stretch/>
                  </pic:blipFill>
                  <pic:spPr bwMode="auto">
                    <a:xfrm>
                      <a:off x="0" y="0"/>
                      <a:ext cx="5943600" cy="3971925"/>
                    </a:xfrm>
                    <a:prstGeom prst="rect">
                      <a:avLst/>
                    </a:prstGeom>
                    <a:ln>
                      <a:noFill/>
                    </a:ln>
                    <a:extLst>
                      <a:ext uri="{53640926-AAD7-44D8-BBD7-CCE9431645EC}">
                        <a14:shadowObscured xmlns:a14="http://schemas.microsoft.com/office/drawing/2010/main"/>
                      </a:ext>
                    </a:extLst>
                  </pic:spPr>
                </pic:pic>
              </a:graphicData>
            </a:graphic>
          </wp:inline>
        </w:drawing>
      </w:r>
    </w:p>
    <w:p w14:paraId="213D9836" w14:textId="77777777" w:rsidR="00B1738E" w:rsidRPr="003A48F1" w:rsidRDefault="00B1738E" w:rsidP="00B06EBB">
      <w:pPr>
        <w:spacing w:after="0" w:line="360" w:lineRule="auto"/>
        <w:jc w:val="both"/>
        <w:rPr>
          <w:rFonts w:ascii="Arial" w:hAnsi="Arial" w:cs="Arial"/>
          <w:sz w:val="24"/>
          <w:lang w:val="en-US"/>
        </w:rPr>
      </w:pPr>
    </w:p>
    <w:p w14:paraId="53050A36" w14:textId="77777777" w:rsidR="00B06EBB" w:rsidRPr="003A48F1" w:rsidRDefault="00B06EBB" w:rsidP="00D643B3">
      <w:pPr>
        <w:spacing w:after="0" w:line="360" w:lineRule="auto"/>
        <w:jc w:val="center"/>
        <w:rPr>
          <w:rFonts w:ascii="Arial" w:hAnsi="Arial" w:cs="Arial"/>
          <w:b/>
          <w:bCs/>
          <w:i/>
          <w:sz w:val="20"/>
          <w:lang w:val="en-US"/>
        </w:rPr>
      </w:pPr>
      <w:r w:rsidRPr="003A48F1">
        <w:rPr>
          <w:rFonts w:ascii="Arial" w:hAnsi="Arial" w:cs="Arial"/>
          <w:b/>
          <w:bCs/>
          <w:i/>
          <w:sz w:val="20"/>
          <w:lang w:val="en-US"/>
        </w:rPr>
        <w:t>Figure 3: Balanced Scorecard for ASDA Group Ltd</w:t>
      </w:r>
      <w:r w:rsidR="00D643B3" w:rsidRPr="003A48F1">
        <w:rPr>
          <w:rFonts w:ascii="Arial" w:hAnsi="Arial" w:cs="Arial"/>
          <w:b/>
          <w:bCs/>
          <w:i/>
          <w:sz w:val="20"/>
          <w:lang w:val="en-US"/>
        </w:rPr>
        <w:t xml:space="preserve"> (self-created)</w:t>
      </w:r>
    </w:p>
    <w:p w14:paraId="0365951C" w14:textId="77777777" w:rsidR="00B06EBB" w:rsidRPr="003A48F1" w:rsidRDefault="00B06EBB" w:rsidP="00D643B3">
      <w:pPr>
        <w:spacing w:after="0" w:line="360" w:lineRule="auto"/>
        <w:jc w:val="center"/>
        <w:rPr>
          <w:rFonts w:ascii="Arial" w:hAnsi="Arial" w:cs="Arial"/>
          <w:i/>
          <w:sz w:val="20"/>
          <w:lang w:val="en-US"/>
        </w:rPr>
      </w:pPr>
      <w:r w:rsidRPr="003A48F1">
        <w:rPr>
          <w:rFonts w:ascii="Arial" w:hAnsi="Arial" w:cs="Arial"/>
          <w:i/>
          <w:sz w:val="20"/>
          <w:lang w:val="en-US"/>
        </w:rPr>
        <w:t xml:space="preserve">Source: Kaplan and Norton (1992), Henry (2021), Wang (2023), and Mkansi and </w:t>
      </w:r>
      <w:proofErr w:type="spellStart"/>
      <w:r w:rsidRPr="003A48F1">
        <w:rPr>
          <w:rFonts w:ascii="Arial" w:hAnsi="Arial" w:cs="Arial"/>
          <w:i/>
          <w:sz w:val="20"/>
          <w:lang w:val="en-US"/>
        </w:rPr>
        <w:t>Nsakanda</w:t>
      </w:r>
      <w:proofErr w:type="spellEnd"/>
      <w:r w:rsidRPr="003A48F1">
        <w:rPr>
          <w:rFonts w:ascii="Arial" w:hAnsi="Arial" w:cs="Arial"/>
          <w:i/>
          <w:sz w:val="20"/>
          <w:lang w:val="en-US"/>
        </w:rPr>
        <w:t xml:space="preserve"> (2021).</w:t>
      </w:r>
    </w:p>
    <w:p w14:paraId="6B15FE54" w14:textId="77777777" w:rsidR="00B1738E" w:rsidRPr="003A48F1" w:rsidRDefault="00B1738E" w:rsidP="00B06EBB">
      <w:pPr>
        <w:spacing w:after="0" w:line="360" w:lineRule="auto"/>
        <w:jc w:val="both"/>
        <w:rPr>
          <w:rFonts w:ascii="Arial" w:hAnsi="Arial" w:cs="Arial"/>
          <w:b/>
          <w:bCs/>
          <w:sz w:val="24"/>
          <w:lang w:val="en-US"/>
        </w:rPr>
      </w:pPr>
    </w:p>
    <w:p w14:paraId="45CACE55" w14:textId="77777777" w:rsidR="00B06EBB" w:rsidRPr="003A48F1" w:rsidRDefault="00B06EBB" w:rsidP="00B06EBB">
      <w:pPr>
        <w:spacing w:after="0" w:line="360" w:lineRule="auto"/>
        <w:jc w:val="both"/>
        <w:rPr>
          <w:rFonts w:ascii="Arial" w:hAnsi="Arial" w:cs="Arial"/>
          <w:b/>
          <w:bCs/>
          <w:sz w:val="24"/>
          <w:lang w:val="en-US"/>
        </w:rPr>
      </w:pPr>
      <w:r w:rsidRPr="003A48F1">
        <w:rPr>
          <w:rFonts w:ascii="Arial" w:hAnsi="Arial" w:cs="Arial"/>
          <w:b/>
          <w:bCs/>
          <w:sz w:val="24"/>
          <w:lang w:val="en-US"/>
        </w:rPr>
        <w:t>Financial Perspective</w:t>
      </w:r>
    </w:p>
    <w:p w14:paraId="105A696D" w14:textId="77777777" w:rsidR="00AC6CB2" w:rsidRPr="003A48F1" w:rsidRDefault="00B06EBB" w:rsidP="00AC6CB2">
      <w:pPr>
        <w:spacing w:after="0" w:line="360" w:lineRule="auto"/>
        <w:jc w:val="both"/>
        <w:rPr>
          <w:rFonts w:ascii="Arial" w:hAnsi="Arial" w:cs="Arial"/>
          <w:sz w:val="24"/>
          <w:lang w:val="en-US"/>
        </w:rPr>
      </w:pPr>
      <w:r w:rsidRPr="003A48F1">
        <w:rPr>
          <w:rFonts w:ascii="Arial" w:hAnsi="Arial" w:cs="Arial"/>
          <w:sz w:val="24"/>
          <w:lang w:val="en-US"/>
        </w:rPr>
        <w:t xml:space="preserve">Financial performance remains the primary concern for </w:t>
      </w:r>
      <w:r w:rsidR="00AC6CB2" w:rsidRPr="003A48F1">
        <w:rPr>
          <w:rFonts w:ascii="Arial" w:hAnsi="Arial" w:cs="Arial"/>
          <w:sz w:val="24"/>
          <w:lang w:val="en-US"/>
        </w:rPr>
        <w:t>The main issue facing ASDA is financial performance since deteriorating sales and debts have put a strain on profitability and sustainability (Statista, 2026). According to the latest financial performance, the company has lost market share and intense price wars have impacted earnings performance adversely (Chapman, 2026). As a result, ASDA has to work on the revenue diversification by further extending the Asda Express stores and non-food outcomes like George clothing (</w:t>
      </w:r>
      <w:proofErr w:type="spellStart"/>
      <w:r w:rsidR="00AC6CB2" w:rsidRPr="003A48F1">
        <w:rPr>
          <w:rFonts w:ascii="Arial" w:hAnsi="Arial" w:cs="Arial"/>
          <w:sz w:val="24"/>
          <w:lang w:val="en-US"/>
        </w:rPr>
        <w:t>Mogaji</w:t>
      </w:r>
      <w:proofErr w:type="spellEnd"/>
      <w:r w:rsidR="00AC6CB2" w:rsidRPr="003A48F1">
        <w:rPr>
          <w:rFonts w:ascii="Arial" w:hAnsi="Arial" w:cs="Arial"/>
          <w:sz w:val="24"/>
          <w:lang w:val="en-US"/>
        </w:rPr>
        <w:t>, 2025). The convenience segment has shown great growth and Asda Express out-performs the greater convenience market and reaches over 500 stores across the country by early 2026, which means that it can generate a significant source of future revenue growth.</w:t>
      </w:r>
    </w:p>
    <w:p w14:paraId="778B2634" w14:textId="77777777" w:rsidR="00AC6CB2" w:rsidRPr="003A48F1" w:rsidRDefault="00AC6CB2" w:rsidP="00AC6CB2">
      <w:pPr>
        <w:spacing w:after="0" w:line="360" w:lineRule="auto"/>
        <w:jc w:val="both"/>
        <w:rPr>
          <w:rFonts w:ascii="Arial" w:hAnsi="Arial" w:cs="Arial"/>
          <w:b/>
          <w:sz w:val="24"/>
          <w:lang w:val="en-US"/>
        </w:rPr>
      </w:pPr>
      <w:r w:rsidRPr="003A48F1">
        <w:rPr>
          <w:rFonts w:ascii="Arial" w:hAnsi="Arial" w:cs="Arial"/>
          <w:b/>
          <w:sz w:val="24"/>
          <w:lang w:val="en-US"/>
        </w:rPr>
        <w:t>Customer Perspective</w:t>
      </w:r>
    </w:p>
    <w:p w14:paraId="30458E28" w14:textId="0EC5B7AC" w:rsidR="00AC6CB2" w:rsidRPr="003A48F1" w:rsidRDefault="00AC6CB2" w:rsidP="00AC6CB2">
      <w:pPr>
        <w:spacing w:after="0" w:line="360" w:lineRule="auto"/>
        <w:jc w:val="both"/>
        <w:rPr>
          <w:rFonts w:ascii="Arial" w:hAnsi="Arial" w:cs="Arial"/>
          <w:sz w:val="24"/>
          <w:lang w:val="en-US"/>
        </w:rPr>
      </w:pPr>
      <w:r w:rsidRPr="003A48F1">
        <w:rPr>
          <w:rFonts w:ascii="Arial" w:hAnsi="Arial" w:cs="Arial"/>
          <w:sz w:val="24"/>
          <w:lang w:val="en-US"/>
        </w:rPr>
        <w:t xml:space="preserve">ASDA competitive strategy includes customer value as one of its key components. The </w:t>
      </w:r>
      <w:r w:rsidR="001E5AB9" w:rsidRPr="003A48F1">
        <w:rPr>
          <w:rFonts w:ascii="Arial" w:hAnsi="Arial" w:cs="Arial"/>
          <w:sz w:val="24"/>
          <w:lang w:val="en-US"/>
        </w:rPr>
        <w:t>organization</w:t>
      </w:r>
      <w:r w:rsidRPr="003A48F1">
        <w:rPr>
          <w:rFonts w:ascii="Arial" w:hAnsi="Arial" w:cs="Arial"/>
          <w:sz w:val="24"/>
          <w:lang w:val="en-US"/>
        </w:rPr>
        <w:t xml:space="preserve"> will need to retain the image of affordability and increase </w:t>
      </w:r>
      <w:r w:rsidR="001E5AB9" w:rsidRPr="003A48F1">
        <w:rPr>
          <w:rFonts w:ascii="Arial" w:hAnsi="Arial" w:cs="Arial"/>
          <w:sz w:val="24"/>
          <w:lang w:val="en-US"/>
        </w:rPr>
        <w:t>customer</w:t>
      </w:r>
      <w:r w:rsidRPr="003A48F1">
        <w:rPr>
          <w:rFonts w:ascii="Arial" w:hAnsi="Arial" w:cs="Arial"/>
          <w:sz w:val="24"/>
          <w:lang w:val="en-US"/>
        </w:rPr>
        <w:t xml:space="preserve"> loyalty by assisting them to become more digital to be successful (Syed, 2020). The Asda Rewards program has already given rise to a wealth of customer interaction and provides valuable </w:t>
      </w:r>
      <w:r w:rsidR="001E5AB9" w:rsidRPr="003A48F1">
        <w:rPr>
          <w:rFonts w:ascii="Arial" w:hAnsi="Arial" w:cs="Arial"/>
          <w:sz w:val="24"/>
          <w:lang w:val="en-US"/>
        </w:rPr>
        <w:t>behavioral</w:t>
      </w:r>
      <w:r w:rsidRPr="003A48F1">
        <w:rPr>
          <w:rFonts w:ascii="Arial" w:hAnsi="Arial" w:cs="Arial"/>
          <w:sz w:val="24"/>
          <w:lang w:val="en-US"/>
        </w:rPr>
        <w:t xml:space="preserve"> data, which can be leveraged to pursue </w:t>
      </w:r>
      <w:r w:rsidR="001E5AB9" w:rsidRPr="003A48F1">
        <w:rPr>
          <w:rFonts w:ascii="Arial" w:hAnsi="Arial" w:cs="Arial"/>
          <w:sz w:val="24"/>
          <w:lang w:val="en-US"/>
        </w:rPr>
        <w:t>customized</w:t>
      </w:r>
      <w:r w:rsidRPr="003A48F1">
        <w:rPr>
          <w:rFonts w:ascii="Arial" w:hAnsi="Arial" w:cs="Arial"/>
          <w:sz w:val="24"/>
          <w:lang w:val="en-US"/>
        </w:rPr>
        <w:t xml:space="preserve"> marketing strategies (</w:t>
      </w:r>
      <w:proofErr w:type="spellStart"/>
      <w:r w:rsidRPr="003A48F1">
        <w:rPr>
          <w:rFonts w:ascii="Arial" w:hAnsi="Arial" w:cs="Arial"/>
          <w:sz w:val="24"/>
          <w:lang w:val="en-US"/>
        </w:rPr>
        <w:t>Ologunebi</w:t>
      </w:r>
      <w:proofErr w:type="spellEnd"/>
      <w:r w:rsidRPr="003A48F1">
        <w:rPr>
          <w:rFonts w:ascii="Arial" w:hAnsi="Arial" w:cs="Arial"/>
          <w:sz w:val="24"/>
          <w:lang w:val="en-US"/>
        </w:rPr>
        <w:t xml:space="preserve">, 2023). During the roll out of the </w:t>
      </w:r>
      <w:proofErr w:type="spellStart"/>
      <w:r w:rsidRPr="003A48F1">
        <w:rPr>
          <w:rFonts w:ascii="Arial" w:hAnsi="Arial" w:cs="Arial"/>
          <w:sz w:val="24"/>
          <w:lang w:val="en-US"/>
        </w:rPr>
        <w:t>programme</w:t>
      </w:r>
      <w:proofErr w:type="spellEnd"/>
      <w:r w:rsidRPr="003A48F1">
        <w:rPr>
          <w:rFonts w:ascii="Arial" w:hAnsi="Arial" w:cs="Arial"/>
          <w:sz w:val="24"/>
          <w:lang w:val="en-US"/>
        </w:rPr>
        <w:t xml:space="preserve">; more than a million customers registered with the </w:t>
      </w:r>
      <w:proofErr w:type="spellStart"/>
      <w:r w:rsidRPr="003A48F1">
        <w:rPr>
          <w:rFonts w:ascii="Arial" w:hAnsi="Arial" w:cs="Arial"/>
          <w:sz w:val="24"/>
          <w:lang w:val="en-US"/>
        </w:rPr>
        <w:t>programme</w:t>
      </w:r>
      <w:proofErr w:type="spellEnd"/>
      <w:r w:rsidRPr="003A48F1">
        <w:rPr>
          <w:rFonts w:ascii="Arial" w:hAnsi="Arial" w:cs="Arial"/>
          <w:sz w:val="24"/>
          <w:lang w:val="en-US"/>
        </w:rPr>
        <w:t xml:space="preserve">, which shows how strategic the </w:t>
      </w:r>
      <w:proofErr w:type="spellStart"/>
      <w:r w:rsidRPr="003A48F1">
        <w:rPr>
          <w:rFonts w:ascii="Arial" w:hAnsi="Arial" w:cs="Arial"/>
          <w:sz w:val="24"/>
          <w:lang w:val="en-US"/>
        </w:rPr>
        <w:t>programme</w:t>
      </w:r>
      <w:proofErr w:type="spellEnd"/>
      <w:r w:rsidRPr="003A48F1">
        <w:rPr>
          <w:rFonts w:ascii="Arial" w:hAnsi="Arial" w:cs="Arial"/>
          <w:sz w:val="24"/>
          <w:lang w:val="en-US"/>
        </w:rPr>
        <w:t xml:space="preserve"> has been in the retention and engagement of the customer. However, the customer feedback indicates that the customer loyalty benefits must continue to change so as to remain active and be felt to have value.</w:t>
      </w:r>
    </w:p>
    <w:p w14:paraId="776B5258" w14:textId="77777777" w:rsidR="00AC6CB2" w:rsidRPr="003A48F1" w:rsidRDefault="00AC6CB2" w:rsidP="00AC6CB2">
      <w:pPr>
        <w:spacing w:after="0" w:line="360" w:lineRule="auto"/>
        <w:jc w:val="both"/>
        <w:rPr>
          <w:rFonts w:ascii="Arial" w:hAnsi="Arial" w:cs="Arial"/>
          <w:b/>
          <w:bCs/>
          <w:sz w:val="24"/>
          <w:lang w:val="en-US"/>
        </w:rPr>
      </w:pPr>
      <w:r w:rsidRPr="003A48F1">
        <w:rPr>
          <w:rFonts w:ascii="Arial" w:hAnsi="Arial" w:cs="Arial"/>
          <w:b/>
          <w:bCs/>
          <w:sz w:val="24"/>
          <w:lang w:val="en-US"/>
        </w:rPr>
        <w:t>Internal Business Process Perspective</w:t>
      </w:r>
    </w:p>
    <w:p w14:paraId="6B42F48D" w14:textId="77777777" w:rsidR="00AC6CB2" w:rsidRPr="003A48F1" w:rsidRDefault="00AC6CB2" w:rsidP="00AC6CB2">
      <w:pPr>
        <w:spacing w:after="0" w:line="360" w:lineRule="auto"/>
        <w:jc w:val="both"/>
        <w:rPr>
          <w:rFonts w:ascii="Arial" w:hAnsi="Arial" w:cs="Arial"/>
          <w:sz w:val="24"/>
          <w:lang w:val="en-US"/>
        </w:rPr>
      </w:pPr>
      <w:r w:rsidRPr="003A48F1">
        <w:rPr>
          <w:rFonts w:ascii="Arial" w:hAnsi="Arial" w:cs="Arial"/>
          <w:sz w:val="24"/>
          <w:lang w:val="en-US"/>
        </w:rPr>
        <w:t>One of the success factors behind the low-cost positioning of ASDA is operational excellence. This results in customer satisfaction and cost management due to effective inventory management, great supplier relations and timely order fulfillment (</w:t>
      </w:r>
      <w:proofErr w:type="spellStart"/>
      <w:r w:rsidRPr="003A48F1">
        <w:rPr>
          <w:rFonts w:ascii="Arial" w:hAnsi="Arial" w:cs="Arial"/>
          <w:sz w:val="24"/>
          <w:lang w:val="en-US"/>
        </w:rPr>
        <w:t>Ritzu</w:t>
      </w:r>
      <w:proofErr w:type="spellEnd"/>
      <w:r w:rsidRPr="003A48F1">
        <w:rPr>
          <w:rFonts w:ascii="Arial" w:hAnsi="Arial" w:cs="Arial"/>
          <w:sz w:val="24"/>
          <w:lang w:val="en-US"/>
        </w:rPr>
        <w:t>, 2025). ASDA has an Integrated Procurement Logistics system that facilitates operational effectiveness by improving product availability and reducing the supply chain costs (Pérez-Mesa et al., 2021). New product availability has been on the increase to approximately 96% and it goes to show that there has been some improvement in performance in operations, despite the undergoing of some big technology transformation projects. Nevertheless, the concept of resiliency in a supply chain has gained relevance since the grocery stores retail activities continue to be affected by global curriculums and inflation (Chapman, 2026).</w:t>
      </w:r>
    </w:p>
    <w:p w14:paraId="02ACA55C" w14:textId="77777777" w:rsidR="00AC6CB2" w:rsidRPr="003A48F1" w:rsidRDefault="00AC6CB2" w:rsidP="00AC6CB2">
      <w:pPr>
        <w:spacing w:after="0" w:line="360" w:lineRule="auto"/>
        <w:jc w:val="both"/>
        <w:rPr>
          <w:rFonts w:ascii="Arial" w:hAnsi="Arial" w:cs="Arial"/>
          <w:b/>
          <w:bCs/>
          <w:sz w:val="24"/>
          <w:lang w:val="en-US"/>
        </w:rPr>
      </w:pPr>
      <w:r w:rsidRPr="003A48F1">
        <w:rPr>
          <w:rFonts w:ascii="Arial" w:hAnsi="Arial" w:cs="Arial"/>
          <w:b/>
          <w:bCs/>
          <w:sz w:val="24"/>
          <w:lang w:val="en-US"/>
        </w:rPr>
        <w:t>Learning and Growth Perspective</w:t>
      </w:r>
    </w:p>
    <w:p w14:paraId="34506FB2" w14:textId="4AE3573C" w:rsidR="00AC6CB2" w:rsidRPr="003A48F1" w:rsidRDefault="00AC6CB2" w:rsidP="00AC6CB2">
      <w:pPr>
        <w:spacing w:after="0" w:line="360" w:lineRule="auto"/>
        <w:jc w:val="both"/>
        <w:rPr>
          <w:rFonts w:ascii="Arial" w:hAnsi="Arial" w:cs="Arial"/>
          <w:sz w:val="24"/>
          <w:lang w:val="en-US"/>
        </w:rPr>
      </w:pPr>
      <w:r w:rsidRPr="003A48F1">
        <w:rPr>
          <w:rFonts w:ascii="Arial" w:hAnsi="Arial" w:cs="Arial"/>
          <w:sz w:val="24"/>
          <w:lang w:val="en-US"/>
        </w:rPr>
        <w:t xml:space="preserve">Organisational learning and development of digital capabilities is becoming more crucial to the long-term competitiveness. The retailers should keep investing in the skills of employees, technological advancement, and leadership to stay competitive in the fast-evolving markets (Schofield, 2021). Digital transformation at ASDA requires the changes in personnel to adapt to the new technologies, customer service systems, and data-driven operating systems (Wang, 2023). Furthermore, the necessity to recruit digital talent has been on the rise with the changing retail competition to data analytics, e-commerce, and </w:t>
      </w:r>
      <w:r w:rsidR="001E5AB9" w:rsidRPr="003A48F1">
        <w:rPr>
          <w:rFonts w:ascii="Arial" w:hAnsi="Arial" w:cs="Arial"/>
          <w:sz w:val="24"/>
          <w:lang w:val="en-US"/>
        </w:rPr>
        <w:t>personalized</w:t>
      </w:r>
      <w:r w:rsidRPr="003A48F1">
        <w:rPr>
          <w:rFonts w:ascii="Arial" w:hAnsi="Arial" w:cs="Arial"/>
          <w:sz w:val="24"/>
          <w:lang w:val="en-US"/>
        </w:rPr>
        <w:t xml:space="preserve"> customer experiences (Hiller, 2023). Thus, a long-term investment in workforce development should be a tool to facilitate the strategic change and future development (Osei, 2025).</w:t>
      </w:r>
    </w:p>
    <w:p w14:paraId="0CD9DF21" w14:textId="77777777" w:rsidR="00D01FB3" w:rsidRPr="003A48F1" w:rsidRDefault="00AC6CB2" w:rsidP="00AC6CB2">
      <w:pPr>
        <w:spacing w:after="0" w:line="360" w:lineRule="auto"/>
        <w:jc w:val="both"/>
        <w:rPr>
          <w:rFonts w:ascii="Arial" w:hAnsi="Arial" w:cs="Arial"/>
          <w:sz w:val="24"/>
          <w:lang w:val="en-US"/>
        </w:rPr>
      </w:pPr>
      <w:r w:rsidRPr="003A48F1">
        <w:rPr>
          <w:rFonts w:ascii="Arial" w:hAnsi="Arial" w:cs="Arial"/>
          <w:sz w:val="24"/>
          <w:lang w:val="en-US"/>
        </w:rPr>
        <w:t>The Balanced Scorecard has demonstrated that a balance between financial recovery and financial customer value, operational excellence and building organisational capabilities are the future of ASDA success. All four perspectives need to be improved since vulnerabilities in one sphere may negatively impact the overall strategic performance (Henry, 2021).</w:t>
      </w:r>
    </w:p>
    <w:p w14:paraId="1D51A8D7" w14:textId="77777777" w:rsidR="00B06EBB" w:rsidRPr="003A48F1" w:rsidRDefault="00B06EBB" w:rsidP="00AC6CB2">
      <w:pPr>
        <w:pStyle w:val="Heading1"/>
        <w:rPr>
          <w:rFonts w:ascii="Arial" w:hAnsi="Arial" w:cs="Arial"/>
          <w:lang w:val="en-US"/>
        </w:rPr>
      </w:pPr>
      <w:bookmarkStart w:id="10" w:name="_Toc237261682"/>
      <w:r w:rsidRPr="003A48F1">
        <w:rPr>
          <w:rFonts w:ascii="Arial" w:hAnsi="Arial" w:cs="Arial"/>
          <w:lang w:val="en-US"/>
        </w:rPr>
        <w:t>4. Strategic Choices, Implementation and Section Conclusion</w:t>
      </w:r>
      <w:bookmarkEnd w:id="10"/>
    </w:p>
    <w:p w14:paraId="60C70E41" w14:textId="77777777" w:rsidR="00B06EBB" w:rsidRPr="003A48F1" w:rsidRDefault="00B06EBB" w:rsidP="00AC6CB2">
      <w:pPr>
        <w:pStyle w:val="Heading2"/>
        <w:rPr>
          <w:rFonts w:ascii="Arial" w:hAnsi="Arial" w:cs="Arial"/>
          <w:lang w:val="en-US"/>
        </w:rPr>
      </w:pPr>
      <w:bookmarkStart w:id="11" w:name="_Toc237261683"/>
      <w:r w:rsidRPr="003A48F1">
        <w:rPr>
          <w:rFonts w:ascii="Arial" w:hAnsi="Arial" w:cs="Arial"/>
          <w:lang w:val="en-US"/>
        </w:rPr>
        <w:t>4.1 Business-Level Strategy</w:t>
      </w:r>
      <w:bookmarkEnd w:id="11"/>
    </w:p>
    <w:p w14:paraId="4F7ABEC3" w14:textId="3C1A9000"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 xml:space="preserve">According to Porter’s Generic Strategies, </w:t>
      </w:r>
      <w:r w:rsidR="001E5AB9" w:rsidRPr="003A48F1">
        <w:rPr>
          <w:rFonts w:ascii="Arial" w:hAnsi="Arial" w:cs="Arial"/>
          <w:sz w:val="24"/>
          <w:lang w:val="en-US"/>
        </w:rPr>
        <w:t>organizations</w:t>
      </w:r>
      <w:r w:rsidRPr="003A48F1">
        <w:rPr>
          <w:rFonts w:ascii="Arial" w:hAnsi="Arial" w:cs="Arial"/>
          <w:sz w:val="24"/>
          <w:lang w:val="en-US"/>
        </w:rPr>
        <w:t xml:space="preserve"> can obtain competitive edge with strategies of cost leadership, cost differentiation or cost focus (Henry, 2021). ASDA has always been a low cost firm, or it comes as no surprise, but the firm's strategy is the Everyday Low Prices (EDLP) that is targeted at customers in the grocery and non-food categories, who are price sensitive and aiming for low cost (Syed, 2020). This has been a classic stance which has enabled ASDA to compete well in the UK grocery market.</w:t>
      </w:r>
    </w:p>
    <w:p w14:paraId="32F50EF0" w14:textId="1299357B"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 xml:space="preserve">The cost leadership has however been rendered too weak with regard to maintaining it. One of the reasons for this is that ASDA has had to differentiate itself from competitors in the industry and more specifically discount supermarket Aldi and Lidl, which has lessened the price influence it </w:t>
      </w:r>
      <w:r w:rsidR="001E5AB9" w:rsidRPr="003A48F1">
        <w:rPr>
          <w:rFonts w:ascii="Arial" w:hAnsi="Arial" w:cs="Arial"/>
          <w:sz w:val="24"/>
          <w:lang w:val="en-US"/>
        </w:rPr>
        <w:t>has. This</w:t>
      </w:r>
      <w:r w:rsidRPr="003A48F1">
        <w:rPr>
          <w:rFonts w:ascii="Arial" w:hAnsi="Arial" w:cs="Arial"/>
          <w:sz w:val="24"/>
          <w:lang w:val="en-US"/>
        </w:rPr>
        <w:t xml:space="preserve"> is because competitors in the industry and more specifically discount supermarket Aldi and Lidl has reduced ASDA's ability to differentiate on price alone (Sarisa, 2021). These competitors may have a lower cost base, and can beat the traditional supermarkets. The fall of ASDA market share up until now that around 11.5% makes its market domination strategy no longer effective to support its market domination competitive advantage (Statista, 2026).</w:t>
      </w:r>
    </w:p>
    <w:p w14:paraId="7E4AEDB1" w14:textId="77777777" w:rsidR="00F27747"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On Porters Five Forces, the environment that ASDA is operating in is quite competitive due to the presence of high competition, buyer power and threat of substitutes. Low-price shoppers are very easy to shift to other stores, therefore giving competition to low prices retailers. In this way, the cost leadership strategy does not provide ASDA with any chances to avoid the loss of its market share, which is gradually achieved. To stay competitive, ASDA needs to transform into a hybrid business model that blends differentiation (convenience, digital interaction, customer experience) and cost efficiency with a redesigned to make it an amalgamation of both.</w:t>
      </w:r>
    </w:p>
    <w:p w14:paraId="1B8D9DB5"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noProof/>
          <w:sz w:val="24"/>
          <w:lang w:val="en-US"/>
        </w:rPr>
        <w:drawing>
          <wp:inline distT="0" distB="0" distL="0" distR="0" wp14:anchorId="454A6CCF" wp14:editId="533D1CE9">
            <wp:extent cx="5705475" cy="325578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250" t="10113" r="6411" b="9248"/>
                    <a:stretch/>
                  </pic:blipFill>
                  <pic:spPr bwMode="auto">
                    <a:xfrm>
                      <a:off x="0" y="0"/>
                      <a:ext cx="5719162" cy="3263595"/>
                    </a:xfrm>
                    <a:prstGeom prst="rect">
                      <a:avLst/>
                    </a:prstGeom>
                    <a:ln>
                      <a:noFill/>
                    </a:ln>
                    <a:extLst>
                      <a:ext uri="{53640926-AAD7-44D8-BBD7-CCE9431645EC}">
                        <a14:shadowObscured xmlns:a14="http://schemas.microsoft.com/office/drawing/2010/main"/>
                      </a:ext>
                    </a:extLst>
                  </pic:spPr>
                </pic:pic>
              </a:graphicData>
            </a:graphic>
          </wp:inline>
        </w:drawing>
      </w:r>
    </w:p>
    <w:p w14:paraId="22E7ECB7" w14:textId="77777777" w:rsidR="00D833C8" w:rsidRPr="003A48F1" w:rsidRDefault="00D833C8" w:rsidP="00D833C8">
      <w:pPr>
        <w:spacing w:after="0" w:line="360" w:lineRule="auto"/>
        <w:jc w:val="center"/>
        <w:rPr>
          <w:rFonts w:ascii="Arial" w:hAnsi="Arial" w:cs="Arial"/>
          <w:sz w:val="24"/>
          <w:lang w:val="en-US"/>
        </w:rPr>
      </w:pPr>
    </w:p>
    <w:p w14:paraId="3670F8A8" w14:textId="77777777" w:rsidR="00D833C8" w:rsidRPr="003A48F1" w:rsidRDefault="00D833C8" w:rsidP="00D833C8">
      <w:pPr>
        <w:spacing w:after="0" w:line="360" w:lineRule="auto"/>
        <w:jc w:val="center"/>
        <w:rPr>
          <w:rFonts w:ascii="Arial" w:hAnsi="Arial" w:cs="Arial"/>
          <w:b/>
          <w:bCs/>
          <w:i/>
          <w:sz w:val="20"/>
          <w:lang w:val="en-US"/>
        </w:rPr>
      </w:pPr>
      <w:r w:rsidRPr="003A48F1">
        <w:rPr>
          <w:rFonts w:ascii="Arial" w:hAnsi="Arial" w:cs="Arial"/>
          <w:b/>
          <w:bCs/>
          <w:i/>
          <w:sz w:val="20"/>
          <w:lang w:val="en-US"/>
        </w:rPr>
        <w:t>Figure 4: Strategic Position of Major UK Grocery Retailers (2026) (self-created)</w:t>
      </w:r>
    </w:p>
    <w:p w14:paraId="27000625" w14:textId="77777777" w:rsidR="00D833C8" w:rsidRPr="003A48F1" w:rsidRDefault="00D833C8" w:rsidP="00D833C8">
      <w:pPr>
        <w:spacing w:after="0" w:line="360" w:lineRule="auto"/>
        <w:jc w:val="center"/>
        <w:rPr>
          <w:rFonts w:ascii="Arial" w:hAnsi="Arial" w:cs="Arial"/>
          <w:i/>
          <w:sz w:val="20"/>
          <w:lang w:val="en-US"/>
        </w:rPr>
      </w:pPr>
      <w:r w:rsidRPr="003A48F1">
        <w:rPr>
          <w:rFonts w:ascii="Arial" w:hAnsi="Arial" w:cs="Arial"/>
          <w:i/>
          <w:sz w:val="20"/>
          <w:lang w:val="en-US"/>
        </w:rPr>
        <w:t xml:space="preserve">(Source: Statista, 2026) </w:t>
      </w:r>
    </w:p>
    <w:p w14:paraId="46F88D5C" w14:textId="77777777" w:rsidR="00D833C8" w:rsidRPr="003A48F1" w:rsidRDefault="00D833C8" w:rsidP="00AD1E44">
      <w:pPr>
        <w:spacing w:after="0" w:line="360" w:lineRule="auto"/>
        <w:jc w:val="both"/>
        <w:rPr>
          <w:rFonts w:ascii="Arial" w:hAnsi="Arial" w:cs="Arial"/>
          <w:sz w:val="24"/>
          <w:lang w:val="en-US"/>
        </w:rPr>
      </w:pPr>
    </w:p>
    <w:p w14:paraId="4853ED0B" w14:textId="77777777" w:rsidR="00F27747" w:rsidRPr="003A48F1" w:rsidRDefault="00F27747" w:rsidP="00D833C8">
      <w:pPr>
        <w:pStyle w:val="Heading2"/>
        <w:rPr>
          <w:rFonts w:ascii="Arial" w:hAnsi="Arial" w:cs="Arial"/>
          <w:lang w:val="en-US"/>
        </w:rPr>
      </w:pPr>
      <w:bookmarkStart w:id="12" w:name="_Toc237261684"/>
      <w:r w:rsidRPr="003A48F1">
        <w:rPr>
          <w:rFonts w:ascii="Arial" w:hAnsi="Arial" w:cs="Arial"/>
          <w:lang w:val="en-US"/>
        </w:rPr>
        <w:t>4.2 Strategy Selection and Validation</w:t>
      </w:r>
      <w:bookmarkEnd w:id="12"/>
    </w:p>
    <w:p w14:paraId="56B9AB0B" w14:textId="323D1BB2"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 xml:space="preserve">Market penetration through the expansion of the </w:t>
      </w:r>
      <w:r w:rsidR="00D833C8" w:rsidRPr="003A48F1">
        <w:rPr>
          <w:rFonts w:ascii="Arial" w:hAnsi="Arial" w:cs="Arial"/>
          <w:sz w:val="24"/>
          <w:lang w:val="en-US"/>
        </w:rPr>
        <w:t>ASDA</w:t>
      </w:r>
      <w:r w:rsidRPr="003A48F1">
        <w:rPr>
          <w:rFonts w:ascii="Arial" w:hAnsi="Arial" w:cs="Arial"/>
          <w:sz w:val="24"/>
          <w:lang w:val="en-US"/>
        </w:rPr>
        <w:t xml:space="preserve"> Express type of convenience stores to digital capabilities is the most strategic option which could be adopted by ASDA. This is done </w:t>
      </w:r>
      <w:r w:rsidR="001E5AB9" w:rsidRPr="003A48F1">
        <w:rPr>
          <w:rFonts w:ascii="Arial" w:hAnsi="Arial" w:cs="Arial"/>
          <w:sz w:val="24"/>
          <w:lang w:val="en-US"/>
        </w:rPr>
        <w:t>by</w:t>
      </w:r>
      <w:r w:rsidRPr="003A48F1">
        <w:rPr>
          <w:rFonts w:ascii="Arial" w:hAnsi="Arial" w:cs="Arial"/>
          <w:sz w:val="24"/>
          <w:lang w:val="en-US"/>
        </w:rPr>
        <w:t xml:space="preserve"> Ansoff Matrix, where the expansion is </w:t>
      </w:r>
      <w:r w:rsidR="001E5AB9" w:rsidRPr="003A48F1">
        <w:rPr>
          <w:rFonts w:ascii="Arial" w:hAnsi="Arial" w:cs="Arial"/>
          <w:sz w:val="24"/>
          <w:lang w:val="en-US"/>
        </w:rPr>
        <w:t>realized</w:t>
      </w:r>
      <w:r w:rsidRPr="003A48F1">
        <w:rPr>
          <w:rFonts w:ascii="Arial" w:hAnsi="Arial" w:cs="Arial"/>
          <w:sz w:val="24"/>
          <w:lang w:val="en-US"/>
        </w:rPr>
        <w:t xml:space="preserve"> by gaining more market share in the existing markets by making the market more accessible and contact with customers.</w:t>
      </w:r>
    </w:p>
    <w:p w14:paraId="2BE39BFD" w14:textId="50E8E95A"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 xml:space="preserve">With the rising trend of convenient and faster shopping, </w:t>
      </w:r>
      <w:r w:rsidR="001E5AB9" w:rsidRPr="003A48F1">
        <w:rPr>
          <w:rFonts w:ascii="Arial" w:hAnsi="Arial" w:cs="Arial"/>
          <w:sz w:val="24"/>
          <w:lang w:val="en-US"/>
        </w:rPr>
        <w:t>localized</w:t>
      </w:r>
      <w:r w:rsidRPr="003A48F1">
        <w:rPr>
          <w:rFonts w:ascii="Arial" w:hAnsi="Arial" w:cs="Arial"/>
          <w:sz w:val="24"/>
          <w:lang w:val="en-US"/>
        </w:rPr>
        <w:t xml:space="preserve"> buys and an ever-increasing demand by consumers for convenient services, this strategy is appropriate, as it attempts to cater to this new wave of consumer behavior (</w:t>
      </w:r>
      <w:proofErr w:type="spellStart"/>
      <w:r w:rsidRPr="003A48F1">
        <w:rPr>
          <w:rFonts w:ascii="Arial" w:hAnsi="Arial" w:cs="Arial"/>
          <w:sz w:val="24"/>
          <w:lang w:val="en-US"/>
        </w:rPr>
        <w:t>Mogaji</w:t>
      </w:r>
      <w:proofErr w:type="spellEnd"/>
      <w:r w:rsidRPr="003A48F1">
        <w:rPr>
          <w:rFonts w:ascii="Arial" w:hAnsi="Arial" w:cs="Arial"/>
          <w:sz w:val="24"/>
          <w:lang w:val="en-US"/>
        </w:rPr>
        <w:t xml:space="preserve">, 2025). Smaller and more convenient types of shops (Mkansi and </w:t>
      </w:r>
      <w:proofErr w:type="spellStart"/>
      <w:r w:rsidRPr="003A48F1">
        <w:rPr>
          <w:rFonts w:ascii="Arial" w:hAnsi="Arial" w:cs="Arial"/>
          <w:sz w:val="24"/>
          <w:lang w:val="en-US"/>
        </w:rPr>
        <w:t>Nsakanda</w:t>
      </w:r>
      <w:proofErr w:type="spellEnd"/>
      <w:r w:rsidRPr="003A48F1">
        <w:rPr>
          <w:rFonts w:ascii="Arial" w:hAnsi="Arial" w:cs="Arial"/>
          <w:sz w:val="24"/>
          <w:lang w:val="en-US"/>
        </w:rPr>
        <w:t xml:space="preserve">, 2021) are now available because people have time-constrained lives and are becoming more </w:t>
      </w:r>
      <w:r w:rsidR="001E5AB9" w:rsidRPr="003A48F1">
        <w:rPr>
          <w:rFonts w:ascii="Arial" w:hAnsi="Arial" w:cs="Arial"/>
          <w:sz w:val="24"/>
          <w:lang w:val="en-US"/>
        </w:rPr>
        <w:t>urbanized</w:t>
      </w:r>
      <w:r w:rsidRPr="003A48F1">
        <w:rPr>
          <w:rFonts w:ascii="Arial" w:hAnsi="Arial" w:cs="Arial"/>
          <w:sz w:val="24"/>
          <w:lang w:val="en-US"/>
        </w:rPr>
        <w:t>. The existing network of over 500 Express stores has been a demonstration of organisational commitment and market acceptance at ASDA.</w:t>
      </w:r>
    </w:p>
    <w:p w14:paraId="55E40E54" w14:textId="77777777"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The strategy is palatable, as it value adds to the customers and does not alter the initial EDLP proposal. Affordability and convenience are good traits of customers and improves retention and customer satisfaction. Large-format supermarkets are characterized by more profitable margins than convenience stores, which helps increase the revenues and profitability (Chapman, 2026).</w:t>
      </w:r>
    </w:p>
    <w:p w14:paraId="2906890E" w14:textId="6E351C12" w:rsidR="00AD1E44" w:rsidRPr="003A48F1" w:rsidRDefault="00AD1E44" w:rsidP="00AD1E44">
      <w:pPr>
        <w:spacing w:after="0" w:line="360" w:lineRule="auto"/>
        <w:jc w:val="both"/>
        <w:rPr>
          <w:rFonts w:ascii="Arial" w:hAnsi="Arial" w:cs="Arial"/>
          <w:sz w:val="24"/>
          <w:lang w:val="en-US"/>
        </w:rPr>
      </w:pPr>
      <w:r w:rsidRPr="003A48F1">
        <w:rPr>
          <w:rFonts w:ascii="Arial" w:hAnsi="Arial" w:cs="Arial"/>
          <w:sz w:val="24"/>
          <w:lang w:val="en-US"/>
        </w:rPr>
        <w:t xml:space="preserve">ASDA's logistics network and supplier network as well as the brand name are some of the mechanisms that facilitate the feasibility. The organization has the means to expand the convenience </w:t>
      </w:r>
      <w:r w:rsidR="003A48F1" w:rsidRPr="003A48F1">
        <w:rPr>
          <w:rFonts w:ascii="Arial" w:hAnsi="Arial" w:cs="Arial"/>
          <w:sz w:val="24"/>
          <w:lang w:val="en-US"/>
        </w:rPr>
        <w:t>model Currently</w:t>
      </w:r>
      <w:r w:rsidRPr="003A48F1">
        <w:rPr>
          <w:rFonts w:ascii="Arial" w:hAnsi="Arial" w:cs="Arial"/>
          <w:sz w:val="24"/>
          <w:lang w:val="en-US"/>
        </w:rPr>
        <w:t>, the organization has the required operational skills for further development of the convenience model (</w:t>
      </w:r>
      <w:proofErr w:type="spellStart"/>
      <w:r w:rsidRPr="003A48F1">
        <w:rPr>
          <w:rFonts w:ascii="Arial" w:hAnsi="Arial" w:cs="Arial"/>
          <w:sz w:val="24"/>
          <w:lang w:val="en-US"/>
        </w:rPr>
        <w:t>Ritzu</w:t>
      </w:r>
      <w:proofErr w:type="spellEnd"/>
      <w:r w:rsidRPr="003A48F1">
        <w:rPr>
          <w:rFonts w:ascii="Arial" w:hAnsi="Arial" w:cs="Arial"/>
          <w:sz w:val="24"/>
          <w:lang w:val="en-US"/>
        </w:rPr>
        <w:t xml:space="preserve">, 2025). However, financial limitations stemming from heavy debt load may prevent </w:t>
      </w:r>
      <w:r w:rsidR="003A48F1" w:rsidRPr="003A48F1">
        <w:rPr>
          <w:rFonts w:ascii="Arial" w:hAnsi="Arial" w:cs="Arial"/>
          <w:sz w:val="24"/>
          <w:lang w:val="en-US"/>
        </w:rPr>
        <w:t>growth and</w:t>
      </w:r>
      <w:r w:rsidRPr="003A48F1">
        <w:rPr>
          <w:rFonts w:ascii="Arial" w:hAnsi="Arial" w:cs="Arial"/>
          <w:sz w:val="24"/>
          <w:lang w:val="en-US"/>
        </w:rPr>
        <w:t xml:space="preserve"> may lead to the adoption of strategies to manage </w:t>
      </w:r>
      <w:r w:rsidR="003A48F1" w:rsidRPr="003A48F1">
        <w:rPr>
          <w:rFonts w:ascii="Arial" w:hAnsi="Arial" w:cs="Arial"/>
          <w:sz w:val="24"/>
          <w:lang w:val="en-US"/>
        </w:rPr>
        <w:t>debt. Despite</w:t>
      </w:r>
      <w:r w:rsidRPr="003A48F1">
        <w:rPr>
          <w:rFonts w:ascii="Arial" w:hAnsi="Arial" w:cs="Arial"/>
          <w:sz w:val="24"/>
          <w:lang w:val="en-US"/>
        </w:rPr>
        <w:t xml:space="preserve"> this, due to the debt levels, financial limitations can stop increases in </w:t>
      </w:r>
      <w:r w:rsidR="003A48F1" w:rsidRPr="003A48F1">
        <w:rPr>
          <w:rFonts w:ascii="Arial" w:hAnsi="Arial" w:cs="Arial"/>
          <w:sz w:val="24"/>
          <w:lang w:val="en-US"/>
        </w:rPr>
        <w:t>growth and</w:t>
      </w:r>
      <w:r w:rsidRPr="003A48F1">
        <w:rPr>
          <w:rFonts w:ascii="Arial" w:hAnsi="Arial" w:cs="Arial"/>
          <w:sz w:val="24"/>
          <w:lang w:val="en-US"/>
        </w:rPr>
        <w:t xml:space="preserve"> can result in the implementation of strategies to reprieve debt.</w:t>
      </w:r>
    </w:p>
    <w:p w14:paraId="7AC49E12" w14:textId="77777777" w:rsidR="00F27747" w:rsidRPr="003A48F1" w:rsidRDefault="00F27747" w:rsidP="00F27747">
      <w:pPr>
        <w:spacing w:after="0" w:line="360" w:lineRule="auto"/>
        <w:jc w:val="both"/>
        <w:rPr>
          <w:rFonts w:ascii="Arial" w:hAnsi="Arial" w:cs="Arial"/>
          <w:sz w:val="24"/>
          <w:lang w:val="en-US"/>
        </w:rPr>
      </w:pPr>
      <w:proofErr w:type="spellStart"/>
      <w:r w:rsidRPr="003A48F1">
        <w:rPr>
          <w:rFonts w:ascii="Arial" w:hAnsi="Arial" w:cs="Arial"/>
          <w:b/>
          <w:bCs/>
          <w:sz w:val="24"/>
          <w:lang w:val="en-US"/>
        </w:rPr>
        <w:t>SAFe</w:t>
      </w:r>
      <w:proofErr w:type="spellEnd"/>
      <w:r w:rsidRPr="003A48F1">
        <w:rPr>
          <w:rFonts w:ascii="Arial" w:hAnsi="Arial" w:cs="Arial"/>
          <w:b/>
          <w:bCs/>
          <w:sz w:val="24"/>
          <w:lang w:val="en-US"/>
        </w:rPr>
        <w:t xml:space="preserve"> Evaluation:</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15"/>
        <w:gridCol w:w="1980"/>
        <w:gridCol w:w="5760"/>
      </w:tblGrid>
      <w:tr w:rsidR="00D833C8" w:rsidRPr="003A48F1" w14:paraId="2C92FDC6" w14:textId="77777777" w:rsidTr="00D833C8">
        <w:trPr>
          <w:trHeight w:val="315"/>
        </w:trPr>
        <w:tc>
          <w:tcPr>
            <w:tcW w:w="1615" w:type="dxa"/>
            <w:shd w:val="clear" w:color="auto" w:fill="002060"/>
            <w:tcMar>
              <w:top w:w="30" w:type="dxa"/>
              <w:left w:w="45" w:type="dxa"/>
              <w:bottom w:w="30" w:type="dxa"/>
              <w:right w:w="45" w:type="dxa"/>
            </w:tcMar>
            <w:vAlign w:val="bottom"/>
            <w:hideMark/>
          </w:tcPr>
          <w:p w14:paraId="63F11D63"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Criteria</w:t>
            </w:r>
          </w:p>
        </w:tc>
        <w:tc>
          <w:tcPr>
            <w:tcW w:w="1980" w:type="dxa"/>
            <w:shd w:val="clear" w:color="auto" w:fill="002060"/>
            <w:tcMar>
              <w:top w:w="30" w:type="dxa"/>
              <w:left w:w="45" w:type="dxa"/>
              <w:bottom w:w="30" w:type="dxa"/>
              <w:right w:w="45" w:type="dxa"/>
            </w:tcMar>
            <w:vAlign w:val="bottom"/>
            <w:hideMark/>
          </w:tcPr>
          <w:p w14:paraId="34013AC1"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Assessment</w:t>
            </w:r>
          </w:p>
        </w:tc>
        <w:tc>
          <w:tcPr>
            <w:tcW w:w="5760" w:type="dxa"/>
            <w:shd w:val="clear" w:color="auto" w:fill="002060"/>
            <w:tcMar>
              <w:top w:w="30" w:type="dxa"/>
              <w:left w:w="45" w:type="dxa"/>
              <w:bottom w:w="30" w:type="dxa"/>
              <w:right w:w="45" w:type="dxa"/>
            </w:tcMar>
            <w:vAlign w:val="bottom"/>
            <w:hideMark/>
          </w:tcPr>
          <w:p w14:paraId="2E37C526"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Justification</w:t>
            </w:r>
          </w:p>
        </w:tc>
      </w:tr>
      <w:tr w:rsidR="00D833C8" w:rsidRPr="003A48F1" w14:paraId="693A7860" w14:textId="77777777" w:rsidTr="00D833C8">
        <w:trPr>
          <w:trHeight w:val="315"/>
        </w:trPr>
        <w:tc>
          <w:tcPr>
            <w:tcW w:w="1615" w:type="dxa"/>
            <w:tcMar>
              <w:top w:w="30" w:type="dxa"/>
              <w:left w:w="45" w:type="dxa"/>
              <w:bottom w:w="30" w:type="dxa"/>
              <w:right w:w="45" w:type="dxa"/>
            </w:tcMar>
            <w:vAlign w:val="bottom"/>
            <w:hideMark/>
          </w:tcPr>
          <w:p w14:paraId="1E1E6CE6"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Suitability</w:t>
            </w:r>
          </w:p>
        </w:tc>
        <w:tc>
          <w:tcPr>
            <w:tcW w:w="1980" w:type="dxa"/>
            <w:tcMar>
              <w:top w:w="30" w:type="dxa"/>
              <w:left w:w="45" w:type="dxa"/>
              <w:bottom w:w="30" w:type="dxa"/>
              <w:right w:w="45" w:type="dxa"/>
            </w:tcMar>
            <w:vAlign w:val="bottom"/>
            <w:hideMark/>
          </w:tcPr>
          <w:p w14:paraId="1044707A"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High</w:t>
            </w:r>
          </w:p>
        </w:tc>
        <w:tc>
          <w:tcPr>
            <w:tcW w:w="5760" w:type="dxa"/>
            <w:tcMar>
              <w:top w:w="30" w:type="dxa"/>
              <w:left w:w="0" w:type="dxa"/>
              <w:bottom w:w="30" w:type="dxa"/>
              <w:right w:w="0" w:type="dxa"/>
            </w:tcMar>
            <w:vAlign w:val="bottom"/>
            <w:hideMark/>
          </w:tcPr>
          <w:p w14:paraId="2C9B9F49"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 xml:space="preserve">Aligns with market trends and consumer </w:t>
            </w:r>
            <w:proofErr w:type="spellStart"/>
            <w:r w:rsidRPr="003A48F1">
              <w:rPr>
                <w:rFonts w:ascii="Arial" w:hAnsi="Arial" w:cs="Arial"/>
                <w:sz w:val="24"/>
                <w:lang w:val="en-US"/>
              </w:rPr>
              <w:t>behaviour</w:t>
            </w:r>
            <w:proofErr w:type="spellEnd"/>
          </w:p>
        </w:tc>
      </w:tr>
      <w:tr w:rsidR="00D833C8" w:rsidRPr="003A48F1" w14:paraId="5196427E" w14:textId="77777777" w:rsidTr="00D833C8">
        <w:trPr>
          <w:trHeight w:val="315"/>
        </w:trPr>
        <w:tc>
          <w:tcPr>
            <w:tcW w:w="1615" w:type="dxa"/>
            <w:tcMar>
              <w:top w:w="30" w:type="dxa"/>
              <w:left w:w="45" w:type="dxa"/>
              <w:bottom w:w="30" w:type="dxa"/>
              <w:right w:w="45" w:type="dxa"/>
            </w:tcMar>
            <w:vAlign w:val="bottom"/>
            <w:hideMark/>
          </w:tcPr>
          <w:p w14:paraId="0328F84F"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Acceptability</w:t>
            </w:r>
          </w:p>
        </w:tc>
        <w:tc>
          <w:tcPr>
            <w:tcW w:w="1980" w:type="dxa"/>
            <w:tcMar>
              <w:top w:w="30" w:type="dxa"/>
              <w:left w:w="45" w:type="dxa"/>
              <w:bottom w:w="30" w:type="dxa"/>
              <w:right w:w="45" w:type="dxa"/>
            </w:tcMar>
            <w:vAlign w:val="bottom"/>
            <w:hideMark/>
          </w:tcPr>
          <w:p w14:paraId="55CAA4B9"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High</w:t>
            </w:r>
          </w:p>
        </w:tc>
        <w:tc>
          <w:tcPr>
            <w:tcW w:w="5760" w:type="dxa"/>
            <w:tcMar>
              <w:top w:w="30" w:type="dxa"/>
              <w:left w:w="0" w:type="dxa"/>
              <w:bottom w:w="30" w:type="dxa"/>
              <w:right w:w="0" w:type="dxa"/>
            </w:tcMar>
            <w:vAlign w:val="bottom"/>
            <w:hideMark/>
          </w:tcPr>
          <w:p w14:paraId="5A1E25A0"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Supports customer value and financial performance</w:t>
            </w:r>
          </w:p>
        </w:tc>
      </w:tr>
      <w:tr w:rsidR="00D833C8" w:rsidRPr="003A48F1" w14:paraId="19663A2D" w14:textId="77777777" w:rsidTr="00D833C8">
        <w:trPr>
          <w:trHeight w:val="315"/>
        </w:trPr>
        <w:tc>
          <w:tcPr>
            <w:tcW w:w="1615" w:type="dxa"/>
            <w:tcMar>
              <w:top w:w="30" w:type="dxa"/>
              <w:left w:w="45" w:type="dxa"/>
              <w:bottom w:w="30" w:type="dxa"/>
              <w:right w:w="45" w:type="dxa"/>
            </w:tcMar>
            <w:vAlign w:val="bottom"/>
            <w:hideMark/>
          </w:tcPr>
          <w:p w14:paraId="0C81ADAC"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Feasibility</w:t>
            </w:r>
          </w:p>
        </w:tc>
        <w:tc>
          <w:tcPr>
            <w:tcW w:w="1980" w:type="dxa"/>
            <w:tcMar>
              <w:top w:w="30" w:type="dxa"/>
              <w:left w:w="45" w:type="dxa"/>
              <w:bottom w:w="30" w:type="dxa"/>
              <w:right w:w="45" w:type="dxa"/>
            </w:tcMar>
            <w:vAlign w:val="bottom"/>
            <w:hideMark/>
          </w:tcPr>
          <w:p w14:paraId="65F0676A"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Moderate-High</w:t>
            </w:r>
          </w:p>
        </w:tc>
        <w:tc>
          <w:tcPr>
            <w:tcW w:w="5760" w:type="dxa"/>
            <w:tcMar>
              <w:top w:w="30" w:type="dxa"/>
              <w:left w:w="0" w:type="dxa"/>
              <w:bottom w:w="30" w:type="dxa"/>
              <w:right w:w="0" w:type="dxa"/>
            </w:tcMar>
            <w:vAlign w:val="bottom"/>
            <w:hideMark/>
          </w:tcPr>
          <w:p w14:paraId="52BC35BB"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Enabled by existing capabilities but constrained by debt</w:t>
            </w:r>
          </w:p>
        </w:tc>
      </w:tr>
      <w:tr w:rsidR="00D833C8" w:rsidRPr="003A48F1" w14:paraId="46A2036E" w14:textId="77777777" w:rsidTr="00D833C8">
        <w:trPr>
          <w:trHeight w:val="315"/>
        </w:trPr>
        <w:tc>
          <w:tcPr>
            <w:tcW w:w="1615" w:type="dxa"/>
            <w:tcMar>
              <w:top w:w="30" w:type="dxa"/>
              <w:left w:w="45" w:type="dxa"/>
              <w:bottom w:w="30" w:type="dxa"/>
              <w:right w:w="45" w:type="dxa"/>
            </w:tcMar>
            <w:vAlign w:val="bottom"/>
            <w:hideMark/>
          </w:tcPr>
          <w:p w14:paraId="01D291C4"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Overall</w:t>
            </w:r>
          </w:p>
        </w:tc>
        <w:tc>
          <w:tcPr>
            <w:tcW w:w="1980" w:type="dxa"/>
            <w:tcMar>
              <w:top w:w="30" w:type="dxa"/>
              <w:left w:w="45" w:type="dxa"/>
              <w:bottom w:w="30" w:type="dxa"/>
              <w:right w:w="45" w:type="dxa"/>
            </w:tcMar>
            <w:vAlign w:val="bottom"/>
            <w:hideMark/>
          </w:tcPr>
          <w:p w14:paraId="062EAF46"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Recommended</w:t>
            </w:r>
          </w:p>
        </w:tc>
        <w:tc>
          <w:tcPr>
            <w:tcW w:w="5760" w:type="dxa"/>
            <w:tcMar>
              <w:top w:w="30" w:type="dxa"/>
              <w:left w:w="0" w:type="dxa"/>
              <w:bottom w:w="30" w:type="dxa"/>
              <w:right w:w="0" w:type="dxa"/>
            </w:tcMar>
            <w:vAlign w:val="bottom"/>
            <w:hideMark/>
          </w:tcPr>
          <w:p w14:paraId="4806C435"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Strong strategic alignment</w:t>
            </w:r>
          </w:p>
        </w:tc>
      </w:tr>
    </w:tbl>
    <w:p w14:paraId="506A69E1" w14:textId="77777777" w:rsidR="00D833C8" w:rsidRPr="003A48F1" w:rsidRDefault="00D833C8" w:rsidP="00F27747">
      <w:pPr>
        <w:spacing w:after="0" w:line="360" w:lineRule="auto"/>
        <w:jc w:val="both"/>
        <w:rPr>
          <w:rFonts w:ascii="Arial" w:hAnsi="Arial" w:cs="Arial"/>
          <w:sz w:val="24"/>
          <w:lang w:val="en-US"/>
        </w:rPr>
      </w:pPr>
    </w:p>
    <w:p w14:paraId="1D6CAB31" w14:textId="77777777" w:rsidR="00F27747" w:rsidRPr="003A48F1" w:rsidRDefault="00F27747" w:rsidP="00F27747">
      <w:pPr>
        <w:spacing w:after="0" w:line="360" w:lineRule="auto"/>
        <w:jc w:val="both"/>
        <w:rPr>
          <w:rFonts w:ascii="Arial" w:hAnsi="Arial" w:cs="Arial"/>
          <w:sz w:val="24"/>
          <w:lang w:val="en-US"/>
        </w:rPr>
      </w:pPr>
      <w:r w:rsidRPr="003A48F1">
        <w:rPr>
          <w:rFonts w:ascii="Arial" w:hAnsi="Arial" w:cs="Arial"/>
          <w:sz w:val="24"/>
          <w:lang w:val="en-US"/>
        </w:rPr>
        <w:t xml:space="preserve">Overall, </w:t>
      </w:r>
      <w:r w:rsidR="00D833C8" w:rsidRPr="003A48F1">
        <w:rPr>
          <w:rFonts w:ascii="Arial" w:hAnsi="Arial" w:cs="Arial"/>
          <w:sz w:val="24"/>
          <w:lang w:val="en-US"/>
        </w:rPr>
        <w:t>the plan is a middle-of-the-road solution to the matters of the competent forces and its internal strengths</w:t>
      </w:r>
      <w:r w:rsidRPr="003A48F1">
        <w:rPr>
          <w:rFonts w:ascii="Arial" w:hAnsi="Arial" w:cs="Arial"/>
          <w:sz w:val="24"/>
          <w:lang w:val="en-US"/>
        </w:rPr>
        <w:t>.</w:t>
      </w:r>
    </w:p>
    <w:p w14:paraId="6CF03118" w14:textId="77777777" w:rsidR="00F27747" w:rsidRPr="003A48F1" w:rsidRDefault="00F27747" w:rsidP="00D833C8">
      <w:pPr>
        <w:pStyle w:val="Heading2"/>
        <w:rPr>
          <w:rFonts w:ascii="Arial" w:hAnsi="Arial" w:cs="Arial"/>
          <w:lang w:val="en-US"/>
        </w:rPr>
      </w:pPr>
      <w:bookmarkStart w:id="13" w:name="_Toc237261685"/>
      <w:r w:rsidRPr="003A48F1">
        <w:rPr>
          <w:rFonts w:ascii="Arial" w:hAnsi="Arial" w:cs="Arial"/>
          <w:lang w:val="en-US"/>
        </w:rPr>
        <w:t>4.3 Gap Analysis</w:t>
      </w:r>
      <w:bookmarkEnd w:id="13"/>
    </w:p>
    <w:p w14:paraId="55984BB2" w14:textId="77777777" w:rsidR="00F27747" w:rsidRPr="003A48F1" w:rsidRDefault="00D833C8" w:rsidP="00F27747">
      <w:pPr>
        <w:spacing w:after="0" w:line="360" w:lineRule="auto"/>
        <w:jc w:val="both"/>
        <w:rPr>
          <w:rFonts w:ascii="Arial" w:hAnsi="Arial" w:cs="Arial"/>
          <w:sz w:val="24"/>
          <w:lang w:val="en-US"/>
        </w:rPr>
      </w:pPr>
      <w:r w:rsidRPr="003A48F1">
        <w:rPr>
          <w:rFonts w:ascii="Arial" w:hAnsi="Arial" w:cs="Arial"/>
          <w:sz w:val="24"/>
          <w:lang w:val="en-US"/>
        </w:rPr>
        <w:t xml:space="preserve">Gap analysis enables us to display the gap between where ASDA is now and also how it needs to move according to the strategy implementation to be successful </w:t>
      </w:r>
      <w:r w:rsidR="00F27747" w:rsidRPr="003A48F1">
        <w:rPr>
          <w:rFonts w:ascii="Arial" w:hAnsi="Arial" w:cs="Arial"/>
          <w:sz w:val="24"/>
          <w:lang w:val="en-US"/>
        </w:rPr>
        <w:t>(Henry, 2021).</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795"/>
        <w:gridCol w:w="2070"/>
        <w:gridCol w:w="2610"/>
        <w:gridCol w:w="2875"/>
      </w:tblGrid>
      <w:tr w:rsidR="00D833C8" w:rsidRPr="003A48F1" w14:paraId="4387DE79" w14:textId="77777777" w:rsidTr="00D833C8">
        <w:trPr>
          <w:trHeight w:val="315"/>
        </w:trPr>
        <w:tc>
          <w:tcPr>
            <w:tcW w:w="1795" w:type="dxa"/>
            <w:shd w:val="clear" w:color="auto" w:fill="002060"/>
            <w:tcMar>
              <w:top w:w="30" w:type="dxa"/>
              <w:left w:w="45" w:type="dxa"/>
              <w:bottom w:w="30" w:type="dxa"/>
              <w:right w:w="45" w:type="dxa"/>
            </w:tcMar>
            <w:vAlign w:val="bottom"/>
            <w:hideMark/>
          </w:tcPr>
          <w:p w14:paraId="4E9CCDBF"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Strategic Area</w:t>
            </w:r>
          </w:p>
        </w:tc>
        <w:tc>
          <w:tcPr>
            <w:tcW w:w="2070" w:type="dxa"/>
            <w:shd w:val="clear" w:color="auto" w:fill="002060"/>
            <w:tcMar>
              <w:top w:w="30" w:type="dxa"/>
              <w:left w:w="45" w:type="dxa"/>
              <w:bottom w:w="30" w:type="dxa"/>
              <w:right w:w="45" w:type="dxa"/>
            </w:tcMar>
            <w:vAlign w:val="bottom"/>
            <w:hideMark/>
          </w:tcPr>
          <w:p w14:paraId="708DE94E"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Current Position</w:t>
            </w:r>
          </w:p>
        </w:tc>
        <w:tc>
          <w:tcPr>
            <w:tcW w:w="2610" w:type="dxa"/>
            <w:shd w:val="clear" w:color="auto" w:fill="002060"/>
            <w:tcMar>
              <w:top w:w="30" w:type="dxa"/>
              <w:left w:w="45" w:type="dxa"/>
              <w:bottom w:w="30" w:type="dxa"/>
              <w:right w:w="45" w:type="dxa"/>
            </w:tcMar>
            <w:vAlign w:val="bottom"/>
            <w:hideMark/>
          </w:tcPr>
          <w:p w14:paraId="0F3C5C23"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Desired Position</w:t>
            </w:r>
          </w:p>
        </w:tc>
        <w:tc>
          <w:tcPr>
            <w:tcW w:w="2875" w:type="dxa"/>
            <w:shd w:val="clear" w:color="auto" w:fill="002060"/>
            <w:tcMar>
              <w:top w:w="30" w:type="dxa"/>
              <w:left w:w="45" w:type="dxa"/>
              <w:bottom w:w="30" w:type="dxa"/>
              <w:right w:w="45" w:type="dxa"/>
            </w:tcMar>
            <w:vAlign w:val="bottom"/>
            <w:hideMark/>
          </w:tcPr>
          <w:p w14:paraId="19A75580" w14:textId="77777777" w:rsidR="00D833C8" w:rsidRPr="003A48F1" w:rsidRDefault="00D833C8" w:rsidP="00D833C8">
            <w:pPr>
              <w:spacing w:after="0" w:line="360" w:lineRule="auto"/>
              <w:jc w:val="center"/>
              <w:rPr>
                <w:rFonts w:ascii="Arial" w:hAnsi="Arial" w:cs="Arial"/>
                <w:b/>
                <w:bCs/>
                <w:sz w:val="24"/>
                <w:lang w:val="en-US"/>
              </w:rPr>
            </w:pPr>
            <w:r w:rsidRPr="003A48F1">
              <w:rPr>
                <w:rFonts w:ascii="Arial" w:hAnsi="Arial" w:cs="Arial"/>
                <w:b/>
                <w:bCs/>
                <w:sz w:val="24"/>
                <w:lang w:val="en-US"/>
              </w:rPr>
              <w:t>Gap</w:t>
            </w:r>
          </w:p>
        </w:tc>
      </w:tr>
      <w:tr w:rsidR="00D833C8" w:rsidRPr="003A48F1" w14:paraId="5FC0F91D" w14:textId="77777777" w:rsidTr="00D833C8">
        <w:trPr>
          <w:trHeight w:val="315"/>
        </w:trPr>
        <w:tc>
          <w:tcPr>
            <w:tcW w:w="1795" w:type="dxa"/>
            <w:tcMar>
              <w:top w:w="30" w:type="dxa"/>
              <w:left w:w="45" w:type="dxa"/>
              <w:bottom w:w="30" w:type="dxa"/>
              <w:right w:w="45" w:type="dxa"/>
            </w:tcMar>
            <w:vAlign w:val="bottom"/>
            <w:hideMark/>
          </w:tcPr>
          <w:p w14:paraId="4E6EB307"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Market Share</w:t>
            </w:r>
          </w:p>
        </w:tc>
        <w:tc>
          <w:tcPr>
            <w:tcW w:w="2070" w:type="dxa"/>
            <w:tcMar>
              <w:top w:w="30" w:type="dxa"/>
              <w:left w:w="45" w:type="dxa"/>
              <w:bottom w:w="30" w:type="dxa"/>
              <w:right w:w="45" w:type="dxa"/>
            </w:tcMar>
            <w:vAlign w:val="bottom"/>
            <w:hideMark/>
          </w:tcPr>
          <w:p w14:paraId="07D7030A"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Declining (Statista, 2026)</w:t>
            </w:r>
          </w:p>
        </w:tc>
        <w:tc>
          <w:tcPr>
            <w:tcW w:w="2610" w:type="dxa"/>
            <w:tcMar>
              <w:top w:w="30" w:type="dxa"/>
              <w:left w:w="45" w:type="dxa"/>
              <w:bottom w:w="30" w:type="dxa"/>
              <w:right w:w="45" w:type="dxa"/>
            </w:tcMar>
            <w:vAlign w:val="bottom"/>
            <w:hideMark/>
          </w:tcPr>
          <w:p w14:paraId="5E9C54E6"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Growth via convenience expansion</w:t>
            </w:r>
          </w:p>
        </w:tc>
        <w:tc>
          <w:tcPr>
            <w:tcW w:w="2875" w:type="dxa"/>
            <w:tcMar>
              <w:top w:w="30" w:type="dxa"/>
              <w:left w:w="0" w:type="dxa"/>
              <w:bottom w:w="30" w:type="dxa"/>
              <w:right w:w="0" w:type="dxa"/>
            </w:tcMar>
            <w:vAlign w:val="bottom"/>
            <w:hideMark/>
          </w:tcPr>
          <w:p w14:paraId="2E71D339"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Limited coverage in high-demand locations</w:t>
            </w:r>
          </w:p>
        </w:tc>
      </w:tr>
      <w:tr w:rsidR="00D833C8" w:rsidRPr="003A48F1" w14:paraId="1A77EA73" w14:textId="77777777" w:rsidTr="00D833C8">
        <w:trPr>
          <w:trHeight w:val="315"/>
        </w:trPr>
        <w:tc>
          <w:tcPr>
            <w:tcW w:w="1795" w:type="dxa"/>
            <w:tcMar>
              <w:top w:w="30" w:type="dxa"/>
              <w:left w:w="45" w:type="dxa"/>
              <w:bottom w:w="30" w:type="dxa"/>
              <w:right w:w="45" w:type="dxa"/>
            </w:tcMar>
            <w:vAlign w:val="bottom"/>
            <w:hideMark/>
          </w:tcPr>
          <w:p w14:paraId="0921AB59"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Digital Capability</w:t>
            </w:r>
          </w:p>
        </w:tc>
        <w:tc>
          <w:tcPr>
            <w:tcW w:w="2070" w:type="dxa"/>
            <w:tcMar>
              <w:top w:w="30" w:type="dxa"/>
              <w:left w:w="45" w:type="dxa"/>
              <w:bottom w:w="30" w:type="dxa"/>
              <w:right w:w="45" w:type="dxa"/>
            </w:tcMar>
            <w:vAlign w:val="bottom"/>
            <w:hideMark/>
          </w:tcPr>
          <w:p w14:paraId="6BB738B1"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Moderate</w:t>
            </w:r>
          </w:p>
        </w:tc>
        <w:tc>
          <w:tcPr>
            <w:tcW w:w="2610" w:type="dxa"/>
            <w:tcMar>
              <w:top w:w="30" w:type="dxa"/>
              <w:left w:w="45" w:type="dxa"/>
              <w:bottom w:w="30" w:type="dxa"/>
              <w:right w:w="45" w:type="dxa"/>
            </w:tcMar>
            <w:vAlign w:val="bottom"/>
            <w:hideMark/>
          </w:tcPr>
          <w:p w14:paraId="6F06C374"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Advanced omnichannel integration</w:t>
            </w:r>
          </w:p>
        </w:tc>
        <w:tc>
          <w:tcPr>
            <w:tcW w:w="2875" w:type="dxa"/>
            <w:tcMar>
              <w:top w:w="30" w:type="dxa"/>
              <w:left w:w="0" w:type="dxa"/>
              <w:bottom w:w="30" w:type="dxa"/>
              <w:right w:w="0" w:type="dxa"/>
            </w:tcMar>
            <w:vAlign w:val="bottom"/>
            <w:hideMark/>
          </w:tcPr>
          <w:p w14:paraId="71851B5E" w14:textId="3AB19644"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 xml:space="preserve">Insufficient </w:t>
            </w:r>
            <w:r w:rsidR="003A48F1" w:rsidRPr="003A48F1">
              <w:rPr>
                <w:rFonts w:ascii="Arial" w:hAnsi="Arial" w:cs="Arial"/>
                <w:sz w:val="24"/>
                <w:lang w:val="en-US"/>
              </w:rPr>
              <w:t>personalization</w:t>
            </w:r>
            <w:r w:rsidRPr="003A48F1">
              <w:rPr>
                <w:rFonts w:ascii="Arial" w:hAnsi="Arial" w:cs="Arial"/>
                <w:sz w:val="24"/>
                <w:lang w:val="en-US"/>
              </w:rPr>
              <w:t xml:space="preserve"> and data </w:t>
            </w:r>
            <w:r w:rsidR="003A48F1" w:rsidRPr="003A48F1">
              <w:rPr>
                <w:rFonts w:ascii="Arial" w:hAnsi="Arial" w:cs="Arial"/>
                <w:sz w:val="24"/>
                <w:lang w:val="en-US"/>
              </w:rPr>
              <w:t>utilization</w:t>
            </w:r>
          </w:p>
        </w:tc>
      </w:tr>
      <w:tr w:rsidR="00D833C8" w:rsidRPr="003A48F1" w14:paraId="69BFFE54" w14:textId="77777777" w:rsidTr="00D833C8">
        <w:trPr>
          <w:trHeight w:val="315"/>
        </w:trPr>
        <w:tc>
          <w:tcPr>
            <w:tcW w:w="1795" w:type="dxa"/>
            <w:tcMar>
              <w:top w:w="30" w:type="dxa"/>
              <w:left w:w="45" w:type="dxa"/>
              <w:bottom w:w="30" w:type="dxa"/>
              <w:right w:w="45" w:type="dxa"/>
            </w:tcMar>
            <w:vAlign w:val="bottom"/>
            <w:hideMark/>
          </w:tcPr>
          <w:p w14:paraId="0569F6A7"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Customer Retention</w:t>
            </w:r>
          </w:p>
        </w:tc>
        <w:tc>
          <w:tcPr>
            <w:tcW w:w="2070" w:type="dxa"/>
            <w:tcMar>
              <w:top w:w="30" w:type="dxa"/>
              <w:left w:w="45" w:type="dxa"/>
              <w:bottom w:w="30" w:type="dxa"/>
              <w:right w:w="45" w:type="dxa"/>
            </w:tcMar>
            <w:vAlign w:val="bottom"/>
            <w:hideMark/>
          </w:tcPr>
          <w:p w14:paraId="4D2812F9"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Inconsistent</w:t>
            </w:r>
          </w:p>
        </w:tc>
        <w:tc>
          <w:tcPr>
            <w:tcW w:w="2610" w:type="dxa"/>
            <w:tcMar>
              <w:top w:w="30" w:type="dxa"/>
              <w:left w:w="45" w:type="dxa"/>
              <w:bottom w:w="30" w:type="dxa"/>
              <w:right w:w="45" w:type="dxa"/>
            </w:tcMar>
            <w:vAlign w:val="bottom"/>
            <w:hideMark/>
          </w:tcPr>
          <w:p w14:paraId="156CBE0A"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Strong loyalty-driven engagement</w:t>
            </w:r>
          </w:p>
        </w:tc>
        <w:tc>
          <w:tcPr>
            <w:tcW w:w="2875" w:type="dxa"/>
            <w:tcMar>
              <w:top w:w="30" w:type="dxa"/>
              <w:left w:w="45" w:type="dxa"/>
              <w:bottom w:w="30" w:type="dxa"/>
              <w:right w:w="45" w:type="dxa"/>
            </w:tcMar>
            <w:vAlign w:val="bottom"/>
            <w:hideMark/>
          </w:tcPr>
          <w:p w14:paraId="07C34879" w14:textId="762C7091"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 xml:space="preserve">Underdeveloped CRM </w:t>
            </w:r>
            <w:r w:rsidR="003A48F1" w:rsidRPr="003A48F1">
              <w:rPr>
                <w:rFonts w:ascii="Arial" w:hAnsi="Arial" w:cs="Arial"/>
                <w:sz w:val="24"/>
                <w:lang w:val="en-US"/>
              </w:rPr>
              <w:t>utilization</w:t>
            </w:r>
          </w:p>
        </w:tc>
      </w:tr>
      <w:tr w:rsidR="00D833C8" w:rsidRPr="003A48F1" w14:paraId="17743BA5" w14:textId="77777777" w:rsidTr="00D833C8">
        <w:trPr>
          <w:trHeight w:val="315"/>
        </w:trPr>
        <w:tc>
          <w:tcPr>
            <w:tcW w:w="1795" w:type="dxa"/>
            <w:tcMar>
              <w:top w:w="30" w:type="dxa"/>
              <w:left w:w="45" w:type="dxa"/>
              <w:bottom w:w="30" w:type="dxa"/>
              <w:right w:w="45" w:type="dxa"/>
            </w:tcMar>
            <w:vAlign w:val="bottom"/>
            <w:hideMark/>
          </w:tcPr>
          <w:p w14:paraId="058CDB73"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Financial Capacity</w:t>
            </w:r>
          </w:p>
        </w:tc>
        <w:tc>
          <w:tcPr>
            <w:tcW w:w="2070" w:type="dxa"/>
            <w:tcMar>
              <w:top w:w="30" w:type="dxa"/>
              <w:left w:w="45" w:type="dxa"/>
              <w:bottom w:w="30" w:type="dxa"/>
              <w:right w:w="45" w:type="dxa"/>
            </w:tcMar>
            <w:vAlign w:val="bottom"/>
            <w:hideMark/>
          </w:tcPr>
          <w:p w14:paraId="07CB72B8"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High debt levels</w:t>
            </w:r>
          </w:p>
        </w:tc>
        <w:tc>
          <w:tcPr>
            <w:tcW w:w="2610" w:type="dxa"/>
            <w:tcMar>
              <w:top w:w="30" w:type="dxa"/>
              <w:left w:w="45" w:type="dxa"/>
              <w:bottom w:w="30" w:type="dxa"/>
              <w:right w:w="45" w:type="dxa"/>
            </w:tcMar>
            <w:vAlign w:val="bottom"/>
            <w:hideMark/>
          </w:tcPr>
          <w:p w14:paraId="22FCA934"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Sustainable investment capacity</w:t>
            </w:r>
          </w:p>
        </w:tc>
        <w:tc>
          <w:tcPr>
            <w:tcW w:w="2875" w:type="dxa"/>
            <w:tcMar>
              <w:top w:w="30" w:type="dxa"/>
              <w:left w:w="45" w:type="dxa"/>
              <w:bottom w:w="30" w:type="dxa"/>
              <w:right w:w="45" w:type="dxa"/>
            </w:tcMar>
            <w:vAlign w:val="bottom"/>
            <w:hideMark/>
          </w:tcPr>
          <w:p w14:paraId="51F3F7BF"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Restricted expansion funding</w:t>
            </w:r>
          </w:p>
        </w:tc>
      </w:tr>
      <w:tr w:rsidR="00D833C8" w:rsidRPr="003A48F1" w14:paraId="2342C671" w14:textId="77777777" w:rsidTr="00D833C8">
        <w:trPr>
          <w:trHeight w:val="315"/>
        </w:trPr>
        <w:tc>
          <w:tcPr>
            <w:tcW w:w="1795" w:type="dxa"/>
            <w:tcMar>
              <w:top w:w="30" w:type="dxa"/>
              <w:left w:w="45" w:type="dxa"/>
              <w:bottom w:w="30" w:type="dxa"/>
              <w:right w:w="45" w:type="dxa"/>
            </w:tcMar>
            <w:vAlign w:val="bottom"/>
            <w:hideMark/>
          </w:tcPr>
          <w:p w14:paraId="6120F9F0"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Operations</w:t>
            </w:r>
          </w:p>
        </w:tc>
        <w:tc>
          <w:tcPr>
            <w:tcW w:w="2070" w:type="dxa"/>
            <w:tcMar>
              <w:top w:w="30" w:type="dxa"/>
              <w:left w:w="45" w:type="dxa"/>
              <w:bottom w:w="30" w:type="dxa"/>
              <w:right w:w="45" w:type="dxa"/>
            </w:tcMar>
            <w:vAlign w:val="bottom"/>
            <w:hideMark/>
          </w:tcPr>
          <w:p w14:paraId="49215397"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Strong logistics</w:t>
            </w:r>
          </w:p>
        </w:tc>
        <w:tc>
          <w:tcPr>
            <w:tcW w:w="2610" w:type="dxa"/>
            <w:tcMar>
              <w:top w:w="30" w:type="dxa"/>
              <w:left w:w="45" w:type="dxa"/>
              <w:bottom w:w="30" w:type="dxa"/>
              <w:right w:w="45" w:type="dxa"/>
            </w:tcMar>
            <w:vAlign w:val="bottom"/>
            <w:hideMark/>
          </w:tcPr>
          <w:p w14:paraId="1E9094CF"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Scalable multi-format efficiency</w:t>
            </w:r>
          </w:p>
        </w:tc>
        <w:tc>
          <w:tcPr>
            <w:tcW w:w="2875" w:type="dxa"/>
            <w:tcMar>
              <w:top w:w="30" w:type="dxa"/>
              <w:left w:w="45" w:type="dxa"/>
              <w:bottom w:w="30" w:type="dxa"/>
              <w:right w:w="45" w:type="dxa"/>
            </w:tcMar>
            <w:vAlign w:val="bottom"/>
            <w:hideMark/>
          </w:tcPr>
          <w:p w14:paraId="2BA99195" w14:textId="77777777" w:rsidR="00D833C8" w:rsidRPr="003A48F1" w:rsidRDefault="00D833C8" w:rsidP="00D833C8">
            <w:pPr>
              <w:spacing w:after="0" w:line="360" w:lineRule="auto"/>
              <w:jc w:val="center"/>
              <w:rPr>
                <w:rFonts w:ascii="Arial" w:hAnsi="Arial" w:cs="Arial"/>
                <w:sz w:val="24"/>
                <w:lang w:val="en-US"/>
              </w:rPr>
            </w:pPr>
            <w:r w:rsidRPr="003A48F1">
              <w:rPr>
                <w:rFonts w:ascii="Arial" w:hAnsi="Arial" w:cs="Arial"/>
                <w:sz w:val="24"/>
                <w:lang w:val="en-US"/>
              </w:rPr>
              <w:t>Pressure from rapid expansion</w:t>
            </w:r>
          </w:p>
        </w:tc>
      </w:tr>
    </w:tbl>
    <w:p w14:paraId="53C39133" w14:textId="77777777" w:rsidR="00D833C8" w:rsidRPr="003A48F1" w:rsidRDefault="00D833C8" w:rsidP="00D833C8">
      <w:pPr>
        <w:spacing w:after="0" w:line="240" w:lineRule="auto"/>
        <w:jc w:val="both"/>
        <w:rPr>
          <w:rFonts w:ascii="Arial" w:hAnsi="Arial" w:cs="Arial"/>
          <w:sz w:val="24"/>
          <w:lang w:val="en-US"/>
        </w:rPr>
      </w:pPr>
    </w:p>
    <w:p w14:paraId="10A63B8E" w14:textId="77777777"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While ASDA's operational infrastructure is well backed by the company, it is weak in its financial flexibility and digital skills and also underdeveloped on customer interaction. These gaps need to be addressed to have sustainable competitive advantage.</w:t>
      </w:r>
    </w:p>
    <w:p w14:paraId="54476AE3" w14:textId="77777777" w:rsidR="00D42236" w:rsidRPr="003A48F1" w:rsidRDefault="00D42236" w:rsidP="00AD1E44">
      <w:pPr>
        <w:pStyle w:val="Heading2"/>
        <w:rPr>
          <w:rFonts w:ascii="Arial" w:hAnsi="Arial" w:cs="Arial"/>
          <w:lang w:val="en-US"/>
        </w:rPr>
      </w:pPr>
      <w:bookmarkStart w:id="14" w:name="_Toc237261686"/>
      <w:r w:rsidRPr="003A48F1">
        <w:rPr>
          <w:rFonts w:ascii="Arial" w:hAnsi="Arial" w:cs="Arial"/>
          <w:lang w:val="en-US"/>
        </w:rPr>
        <w:t>4.4 McKinsey 7S Framework</w:t>
      </w:r>
      <w:bookmarkEnd w:id="14"/>
    </w:p>
    <w:p w14:paraId="52DC5810" w14:textId="77777777" w:rsidR="00F27747" w:rsidRPr="003A48F1" w:rsidRDefault="00AD1E44" w:rsidP="00D42236">
      <w:pPr>
        <w:spacing w:after="0" w:line="360" w:lineRule="auto"/>
        <w:jc w:val="both"/>
        <w:rPr>
          <w:rFonts w:ascii="Arial" w:hAnsi="Arial" w:cs="Arial"/>
          <w:sz w:val="24"/>
          <w:lang w:val="en-US"/>
        </w:rPr>
      </w:pPr>
      <w:r w:rsidRPr="003A48F1">
        <w:rPr>
          <w:rFonts w:ascii="Arial" w:hAnsi="Arial" w:cs="Arial"/>
          <w:sz w:val="24"/>
          <w:lang w:val="en-US"/>
        </w:rPr>
        <w:t xml:space="preserve">The McKinsey 7S framework identifies organisational changes required to support </w:t>
      </w:r>
      <w:r w:rsidR="00D42236" w:rsidRPr="003A48F1">
        <w:rPr>
          <w:rFonts w:ascii="Arial" w:hAnsi="Arial" w:cs="Arial"/>
          <w:sz w:val="24"/>
          <w:lang w:val="en-US"/>
        </w:rPr>
        <w:t>strategies to be put into action.</w:t>
      </w:r>
    </w:p>
    <w:p w14:paraId="6A2B303B"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Strategy:</w:t>
      </w:r>
      <w:r w:rsidRPr="003A48F1">
        <w:rPr>
          <w:rFonts w:ascii="Arial" w:hAnsi="Arial" w:cs="Arial"/>
          <w:sz w:val="24"/>
          <w:lang w:val="en-US"/>
        </w:rPr>
        <w:t xml:space="preserve"> Transition from pure cost leadership to a hybrid model integrating convenience and digital differentiation</w:t>
      </w:r>
    </w:p>
    <w:p w14:paraId="15E64025" w14:textId="664329C9"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Structure:</w:t>
      </w:r>
      <w:r w:rsidRPr="003A48F1">
        <w:rPr>
          <w:rFonts w:ascii="Arial" w:hAnsi="Arial" w:cs="Arial"/>
          <w:sz w:val="24"/>
          <w:lang w:val="en-US"/>
        </w:rPr>
        <w:t xml:space="preserve"> More </w:t>
      </w:r>
      <w:r w:rsidR="003A48F1" w:rsidRPr="003A48F1">
        <w:rPr>
          <w:rFonts w:ascii="Arial" w:hAnsi="Arial" w:cs="Arial"/>
          <w:sz w:val="24"/>
          <w:lang w:val="en-US"/>
        </w:rPr>
        <w:t>decentralized</w:t>
      </w:r>
      <w:r w:rsidRPr="003A48F1">
        <w:rPr>
          <w:rFonts w:ascii="Arial" w:hAnsi="Arial" w:cs="Arial"/>
          <w:sz w:val="24"/>
          <w:lang w:val="en-US"/>
        </w:rPr>
        <w:t xml:space="preserve"> structure to support rapid expansion and local responsiveness</w:t>
      </w:r>
    </w:p>
    <w:p w14:paraId="3D3796D2"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Systems:</w:t>
      </w:r>
      <w:r w:rsidRPr="003A48F1">
        <w:rPr>
          <w:rFonts w:ascii="Arial" w:hAnsi="Arial" w:cs="Arial"/>
          <w:sz w:val="24"/>
          <w:lang w:val="en-US"/>
        </w:rPr>
        <w:t xml:space="preserve"> Enhanced IT systems for supply chain visibility and customer analytics (Wang, 2023)</w:t>
      </w:r>
    </w:p>
    <w:p w14:paraId="18A1C5CA"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Skills:</w:t>
      </w:r>
      <w:r w:rsidRPr="003A48F1">
        <w:rPr>
          <w:rFonts w:ascii="Arial" w:hAnsi="Arial" w:cs="Arial"/>
          <w:sz w:val="24"/>
          <w:lang w:val="en-US"/>
        </w:rPr>
        <w:t xml:space="preserve"> Development of digital, analytical, and customer experience capabilities (Schofield, 2021)</w:t>
      </w:r>
    </w:p>
    <w:p w14:paraId="112DA583"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Staff:</w:t>
      </w:r>
      <w:r w:rsidRPr="003A48F1">
        <w:rPr>
          <w:rFonts w:ascii="Arial" w:hAnsi="Arial" w:cs="Arial"/>
          <w:sz w:val="24"/>
          <w:lang w:val="en-US"/>
        </w:rPr>
        <w:t xml:space="preserve"> Recruitment of digital talent and workforce alignment with strategic goals</w:t>
      </w:r>
    </w:p>
    <w:p w14:paraId="1F333EE0"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Style:</w:t>
      </w:r>
      <w:r w:rsidRPr="003A48F1">
        <w:rPr>
          <w:rFonts w:ascii="Arial" w:hAnsi="Arial" w:cs="Arial"/>
          <w:sz w:val="24"/>
          <w:lang w:val="en-US"/>
        </w:rPr>
        <w:t xml:space="preserve"> Leadership focused on innovation and adaptability to drive change (Osei, 2025)</w:t>
      </w:r>
    </w:p>
    <w:p w14:paraId="0BFFD844" w14:textId="77777777" w:rsidR="00F27747" w:rsidRPr="003A48F1" w:rsidRDefault="00F27747" w:rsidP="00F27747">
      <w:pPr>
        <w:numPr>
          <w:ilvl w:val="0"/>
          <w:numId w:val="4"/>
        </w:numPr>
        <w:spacing w:after="0" w:line="360" w:lineRule="auto"/>
        <w:jc w:val="both"/>
        <w:rPr>
          <w:rFonts w:ascii="Arial" w:hAnsi="Arial" w:cs="Arial"/>
          <w:sz w:val="24"/>
          <w:lang w:val="en-US"/>
        </w:rPr>
      </w:pPr>
      <w:r w:rsidRPr="003A48F1">
        <w:rPr>
          <w:rFonts w:ascii="Arial" w:hAnsi="Arial" w:cs="Arial"/>
          <w:b/>
          <w:bCs/>
          <w:sz w:val="24"/>
          <w:lang w:val="en-US"/>
        </w:rPr>
        <w:t>Shared Values:</w:t>
      </w:r>
      <w:r w:rsidRPr="003A48F1">
        <w:rPr>
          <w:rFonts w:ascii="Arial" w:hAnsi="Arial" w:cs="Arial"/>
          <w:sz w:val="24"/>
          <w:lang w:val="en-US"/>
        </w:rPr>
        <w:t xml:space="preserve"> Emphasis on customer-centricity, efficiency, and sustainability (</w:t>
      </w:r>
      <w:proofErr w:type="spellStart"/>
      <w:r w:rsidRPr="003A48F1">
        <w:rPr>
          <w:rFonts w:ascii="Arial" w:hAnsi="Arial" w:cs="Arial"/>
          <w:sz w:val="24"/>
          <w:lang w:val="en-US"/>
        </w:rPr>
        <w:t>Piricz</w:t>
      </w:r>
      <w:proofErr w:type="spellEnd"/>
      <w:r w:rsidRPr="003A48F1">
        <w:rPr>
          <w:rFonts w:ascii="Arial" w:hAnsi="Arial" w:cs="Arial"/>
          <w:sz w:val="24"/>
          <w:lang w:val="en-US"/>
        </w:rPr>
        <w:t>, 2025)</w:t>
      </w:r>
    </w:p>
    <w:p w14:paraId="711867B7" w14:textId="77777777"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These areas should be correlated in order to facilitate good execution of the proposed plan.</w:t>
      </w:r>
    </w:p>
    <w:p w14:paraId="504FCE77" w14:textId="77777777" w:rsidR="00D42236" w:rsidRPr="003A48F1" w:rsidRDefault="00D42236" w:rsidP="00D42236">
      <w:pPr>
        <w:pStyle w:val="Heading2"/>
        <w:rPr>
          <w:rFonts w:ascii="Arial" w:hAnsi="Arial" w:cs="Arial"/>
          <w:lang w:val="en-US"/>
        </w:rPr>
      </w:pPr>
      <w:bookmarkStart w:id="15" w:name="_Toc237261687"/>
      <w:r w:rsidRPr="003A48F1">
        <w:rPr>
          <w:rFonts w:ascii="Arial" w:hAnsi="Arial" w:cs="Arial"/>
          <w:lang w:val="en-US"/>
        </w:rPr>
        <w:t>4.5 Strategic Implementation and Risk Mitigation</w:t>
      </w:r>
      <w:bookmarkEnd w:id="15"/>
    </w:p>
    <w:p w14:paraId="20B09628" w14:textId="53B95A26"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 xml:space="preserve">A progressive growth program is a means towards achievement; it </w:t>
      </w:r>
      <w:proofErr w:type="gramStart"/>
      <w:r w:rsidRPr="003A48F1">
        <w:rPr>
          <w:rFonts w:ascii="Arial" w:hAnsi="Arial" w:cs="Arial"/>
          <w:sz w:val="24"/>
          <w:lang w:val="en-US"/>
        </w:rPr>
        <w:t>has to</w:t>
      </w:r>
      <w:proofErr w:type="gramEnd"/>
      <w:r w:rsidRPr="003A48F1">
        <w:rPr>
          <w:rFonts w:ascii="Arial" w:hAnsi="Arial" w:cs="Arial"/>
          <w:sz w:val="24"/>
          <w:lang w:val="en-US"/>
        </w:rPr>
        <w:t xml:space="preserve"> </w:t>
      </w:r>
      <w:proofErr w:type="gramStart"/>
      <w:r w:rsidRPr="003A48F1">
        <w:rPr>
          <w:rFonts w:ascii="Arial" w:hAnsi="Arial" w:cs="Arial"/>
          <w:sz w:val="24"/>
          <w:lang w:val="en-US"/>
        </w:rPr>
        <w:t>contain:</w:t>
      </w:r>
      <w:proofErr w:type="gramEnd"/>
      <w:r w:rsidRPr="003A48F1">
        <w:rPr>
          <w:rFonts w:ascii="Arial" w:hAnsi="Arial" w:cs="Arial"/>
          <w:sz w:val="24"/>
          <w:lang w:val="en-US"/>
        </w:rPr>
        <w:t xml:space="preserve"> ASDA needs to focus on high-density urban areas and transport </w:t>
      </w:r>
      <w:r w:rsidR="003A48F1" w:rsidRPr="003A48F1">
        <w:rPr>
          <w:rFonts w:ascii="Arial" w:hAnsi="Arial" w:cs="Arial"/>
          <w:sz w:val="24"/>
          <w:lang w:val="en-US"/>
        </w:rPr>
        <w:t>centers</w:t>
      </w:r>
      <w:r w:rsidRPr="003A48F1">
        <w:rPr>
          <w:rFonts w:ascii="Arial" w:hAnsi="Arial" w:cs="Arial"/>
          <w:sz w:val="24"/>
          <w:lang w:val="en-US"/>
        </w:rPr>
        <w:t xml:space="preserve"> where the need to have convenience retailing will be the greatest.</w:t>
      </w:r>
    </w:p>
    <w:p w14:paraId="317D37BA" w14:textId="77777777"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The competitive advantage of the strategy is boosted in a number of ways. Firstly, the high market penetration and access (</w:t>
      </w:r>
      <w:proofErr w:type="spellStart"/>
      <w:r w:rsidRPr="003A48F1">
        <w:rPr>
          <w:rFonts w:ascii="Arial" w:hAnsi="Arial" w:cs="Arial"/>
          <w:sz w:val="24"/>
          <w:lang w:val="en-US"/>
        </w:rPr>
        <w:t>Mogaji</w:t>
      </w:r>
      <w:proofErr w:type="spellEnd"/>
      <w:r w:rsidRPr="003A48F1">
        <w:rPr>
          <w:rFonts w:ascii="Arial" w:hAnsi="Arial" w:cs="Arial"/>
          <w:sz w:val="24"/>
          <w:lang w:val="en-US"/>
        </w:rPr>
        <w:t xml:space="preserve">, 2025) can be enhanced due to the increased access to the stores. Second, with the support of the Asda Rewards </w:t>
      </w:r>
      <w:proofErr w:type="spellStart"/>
      <w:r w:rsidRPr="003A48F1">
        <w:rPr>
          <w:rFonts w:ascii="Arial" w:hAnsi="Arial" w:cs="Arial"/>
          <w:sz w:val="24"/>
          <w:lang w:val="en-US"/>
        </w:rPr>
        <w:t>programme</w:t>
      </w:r>
      <w:proofErr w:type="spellEnd"/>
      <w:r w:rsidRPr="003A48F1">
        <w:rPr>
          <w:rFonts w:ascii="Arial" w:hAnsi="Arial" w:cs="Arial"/>
          <w:sz w:val="24"/>
          <w:lang w:val="en-US"/>
        </w:rPr>
        <w:t>, the relationship aspect helps to retain customers and support them with personalized communication (</w:t>
      </w:r>
      <w:proofErr w:type="spellStart"/>
      <w:r w:rsidRPr="003A48F1">
        <w:rPr>
          <w:rFonts w:ascii="Arial" w:hAnsi="Arial" w:cs="Arial"/>
          <w:sz w:val="24"/>
          <w:lang w:val="en-US"/>
        </w:rPr>
        <w:t>Ologunebi</w:t>
      </w:r>
      <w:proofErr w:type="spellEnd"/>
      <w:r w:rsidRPr="003A48F1">
        <w:rPr>
          <w:rFonts w:ascii="Arial" w:hAnsi="Arial" w:cs="Arial"/>
          <w:sz w:val="24"/>
          <w:lang w:val="en-US"/>
        </w:rPr>
        <w:t>, 2023). Third, shared logistics infrastructure has efficiencies and cost synergies (Pérez-Mesa et al., 2021).</w:t>
      </w:r>
    </w:p>
    <w:p w14:paraId="2BCFA114" w14:textId="77777777"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Nevertheless, there are a number of risks to be addressed. The financial risk would still be strong, due to high level of indebtedness and lesser investment. A progressive expansion plan with a high-end focus could help to reduce this risk (Chapman 2026). Being aware of potential risks of operation, including the type of the supply chain and problems related to the integration, is also important, which will require investments in logistics and planning of the workforce.</w:t>
      </w:r>
    </w:p>
    <w:p w14:paraId="5763532E" w14:textId="62CC4EFE"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 xml:space="preserve">Cultural resistance can be caused by changes in </w:t>
      </w:r>
      <w:r w:rsidR="003A48F1" w:rsidRPr="003A48F1">
        <w:rPr>
          <w:rFonts w:ascii="Arial" w:hAnsi="Arial" w:cs="Arial"/>
          <w:sz w:val="24"/>
          <w:lang w:val="en-US"/>
        </w:rPr>
        <w:t>organizations</w:t>
      </w:r>
      <w:r w:rsidRPr="003A48F1">
        <w:rPr>
          <w:rFonts w:ascii="Arial" w:hAnsi="Arial" w:cs="Arial"/>
          <w:sz w:val="24"/>
          <w:lang w:val="en-US"/>
        </w:rPr>
        <w:t xml:space="preserve">. Effective communication and fighting the infinite clash between resistance </w:t>
      </w:r>
      <w:r w:rsidR="003A48F1" w:rsidRPr="003A48F1">
        <w:rPr>
          <w:rFonts w:ascii="Arial" w:hAnsi="Arial" w:cs="Arial"/>
          <w:sz w:val="24"/>
          <w:lang w:val="en-US"/>
        </w:rPr>
        <w:t>minimization</w:t>
      </w:r>
      <w:r w:rsidRPr="003A48F1">
        <w:rPr>
          <w:rFonts w:ascii="Arial" w:hAnsi="Arial" w:cs="Arial"/>
          <w:sz w:val="24"/>
          <w:lang w:val="en-US"/>
        </w:rPr>
        <w:t xml:space="preserve"> and alignment is needed as well as leader engagement and employee training (Schofield, 2021; Osei, 2025). Also, it is important to keep customer experience at the same level in all formats, as the quality of service might negate the planned competitive advantage.</w:t>
      </w:r>
    </w:p>
    <w:p w14:paraId="187B0087" w14:textId="77777777" w:rsidR="00D42236" w:rsidRPr="003A48F1" w:rsidRDefault="00D42236" w:rsidP="00D42236">
      <w:pPr>
        <w:pStyle w:val="Heading2"/>
        <w:rPr>
          <w:rFonts w:ascii="Arial" w:hAnsi="Arial" w:cs="Arial"/>
          <w:lang w:val="en-US"/>
        </w:rPr>
      </w:pPr>
      <w:bookmarkStart w:id="16" w:name="_Toc237261688"/>
      <w:r w:rsidRPr="003A48F1">
        <w:rPr>
          <w:rFonts w:ascii="Arial" w:hAnsi="Arial" w:cs="Arial"/>
          <w:lang w:val="en-US"/>
        </w:rPr>
        <w:t>4.6 Section Conclusion</w:t>
      </w:r>
      <w:bookmarkEnd w:id="16"/>
    </w:p>
    <w:p w14:paraId="41CFF556" w14:textId="27AA05ED" w:rsidR="00D42236"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 xml:space="preserve">From the </w:t>
      </w:r>
      <w:r w:rsidR="003A48F1" w:rsidRPr="003A48F1">
        <w:rPr>
          <w:rFonts w:ascii="Arial" w:hAnsi="Arial" w:cs="Arial"/>
          <w:sz w:val="24"/>
          <w:lang w:val="en-US"/>
        </w:rPr>
        <w:t>analyzed</w:t>
      </w:r>
      <w:r w:rsidRPr="003A48F1">
        <w:rPr>
          <w:rFonts w:ascii="Arial" w:hAnsi="Arial" w:cs="Arial"/>
          <w:sz w:val="24"/>
          <w:lang w:val="en-US"/>
        </w:rPr>
        <w:t xml:space="preserve"> point of view, the competitive advantage that ASDA has been using so far, the traditional cost leadership strategy, is not providing ASDA with the market advantage in the more dynamic and competitive one, as in the past. The proposed market penetration strategy based on expanding the convenience and digitalization is more balanced and sustainable.</w:t>
      </w:r>
    </w:p>
    <w:p w14:paraId="6203CA38" w14:textId="097E3B63" w:rsidR="00F27747" w:rsidRPr="003A48F1" w:rsidRDefault="00D42236" w:rsidP="00D42236">
      <w:pPr>
        <w:spacing w:after="0" w:line="360" w:lineRule="auto"/>
        <w:jc w:val="both"/>
        <w:rPr>
          <w:rFonts w:ascii="Arial" w:hAnsi="Arial" w:cs="Arial"/>
          <w:sz w:val="24"/>
          <w:lang w:val="en-US"/>
        </w:rPr>
      </w:pPr>
      <w:r w:rsidRPr="003A48F1">
        <w:rPr>
          <w:rFonts w:ascii="Arial" w:hAnsi="Arial" w:cs="Arial"/>
          <w:sz w:val="24"/>
          <w:lang w:val="en-US"/>
        </w:rPr>
        <w:t xml:space="preserve">By filling the perceived gaps and aligning the organisational factors using the McKinsey 7S framework, ASDA will be able to improve the financial performance and the work performance. It involves implementation threats, but with a planned and incremental approach the </w:t>
      </w:r>
      <w:r w:rsidR="003A48F1" w:rsidRPr="003A48F1">
        <w:rPr>
          <w:rFonts w:ascii="Arial" w:hAnsi="Arial" w:cs="Arial"/>
          <w:sz w:val="24"/>
          <w:lang w:val="en-US"/>
        </w:rPr>
        <w:t>organization</w:t>
      </w:r>
      <w:r w:rsidRPr="003A48F1">
        <w:rPr>
          <w:rFonts w:ascii="Arial" w:hAnsi="Arial" w:cs="Arial"/>
          <w:sz w:val="24"/>
          <w:lang w:val="en-US"/>
        </w:rPr>
        <w:t xml:space="preserve"> will be able to dominate a specific market and grow in the long run of the UK grocery retail sector.</w:t>
      </w:r>
    </w:p>
    <w:p w14:paraId="4671A85A" w14:textId="77777777" w:rsidR="00B06EBB" w:rsidRPr="003A48F1" w:rsidRDefault="00B06EBB" w:rsidP="00E76188">
      <w:pPr>
        <w:pStyle w:val="Heading1"/>
        <w:rPr>
          <w:rFonts w:ascii="Arial" w:hAnsi="Arial" w:cs="Arial"/>
          <w:lang w:val="en-US"/>
        </w:rPr>
      </w:pPr>
      <w:bookmarkStart w:id="17" w:name="_Toc237261689"/>
      <w:r w:rsidRPr="003A48F1">
        <w:rPr>
          <w:rFonts w:ascii="Arial" w:hAnsi="Arial" w:cs="Arial"/>
          <w:lang w:val="en-US"/>
        </w:rPr>
        <w:t>5. Conclusion</w:t>
      </w:r>
      <w:bookmarkEnd w:id="17"/>
    </w:p>
    <w:p w14:paraId="11544EA7" w14:textId="36A10765"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This report has </w:t>
      </w:r>
      <w:r w:rsidR="00D643B3" w:rsidRPr="003A48F1">
        <w:rPr>
          <w:rFonts w:ascii="Arial" w:hAnsi="Arial" w:cs="Arial"/>
          <w:sz w:val="24"/>
          <w:lang w:val="en-US"/>
        </w:rPr>
        <w:t>come to a conclusion</w:t>
      </w:r>
      <w:r w:rsidRPr="003A48F1">
        <w:rPr>
          <w:rFonts w:ascii="Arial" w:hAnsi="Arial" w:cs="Arial"/>
          <w:sz w:val="24"/>
          <w:lang w:val="en-US"/>
        </w:rPr>
        <w:t xml:space="preserve"> that ASDA is still among the most important retailers in the UK grocery market that has considerable strategic problems. External analysis threats are the increasing competition, regulatory and the increasing consumer </w:t>
      </w:r>
      <w:r w:rsidR="003A48F1" w:rsidRPr="003A48F1">
        <w:rPr>
          <w:rFonts w:ascii="Arial" w:hAnsi="Arial" w:cs="Arial"/>
          <w:sz w:val="24"/>
          <w:lang w:val="en-US"/>
        </w:rPr>
        <w:t>behavior</w:t>
      </w:r>
      <w:r w:rsidRPr="003A48F1">
        <w:rPr>
          <w:rFonts w:ascii="Arial" w:hAnsi="Arial" w:cs="Arial"/>
          <w:sz w:val="24"/>
          <w:lang w:val="en-US"/>
        </w:rPr>
        <w:t xml:space="preserve"> but the opportunities are the digital retailing and convenience growth opportunities. Internal analysis also identified the important resources in the form of the network of stores, logistics, and customer data assets owned by the ASDA as well as high levels of debt and shrinking market share undermine strategic performance (Statista, 2026).</w:t>
      </w:r>
    </w:p>
    <w:p w14:paraId="6A5A1ADB" w14:textId="7777777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The analysis finds that the main cost leadership strategy of ASDA is still applicable, but needs to be adjusted. It will not provide a sustainable competitive advantage because of low prices to meet more efficient discount competitors, which are increasing (Syed, 2020). Rather, the company could consolidate its stance with faster development of the Asda Express convenient format with the help of digital interaction and operation excellence.</w:t>
      </w:r>
    </w:p>
    <w:p w14:paraId="1DC53A9F" w14:textId="7777777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In general, the strategic health of ASDA could be characterized as problematic yet reparable. The company possesses immense resources, good brand recognition and big market presence. With management able to effectively implement the suggested market penetration strategy and manage financial and operational risks, ASDA will be in a better position to defend market share, enhance long-run profitability, and its competitive stance in the changing UK grocery retail market. Recent trends in the study of convenience retailing suggest that the bases towards the recovery are present but the long term achievement will play a critical role in the process.</w:t>
      </w:r>
    </w:p>
    <w:p w14:paraId="3266B14A" w14:textId="77777777" w:rsidR="00E76188" w:rsidRPr="003A48F1" w:rsidRDefault="00E76188">
      <w:pPr>
        <w:rPr>
          <w:rFonts w:ascii="Arial" w:hAnsi="Arial" w:cs="Arial"/>
          <w:sz w:val="24"/>
          <w:lang w:val="en-US"/>
        </w:rPr>
      </w:pPr>
      <w:r w:rsidRPr="003A48F1">
        <w:rPr>
          <w:rFonts w:ascii="Arial" w:hAnsi="Arial" w:cs="Arial"/>
          <w:sz w:val="24"/>
          <w:lang w:val="en-US"/>
        </w:rPr>
        <w:br w:type="page"/>
      </w:r>
    </w:p>
    <w:p w14:paraId="28AC4152" w14:textId="77777777" w:rsidR="000E3515" w:rsidRPr="003A48F1" w:rsidRDefault="000E3515" w:rsidP="00E76188">
      <w:pPr>
        <w:pStyle w:val="Heading1"/>
        <w:rPr>
          <w:rFonts w:ascii="Arial" w:hAnsi="Arial" w:cs="Arial"/>
          <w:lang w:val="en-US"/>
        </w:rPr>
      </w:pPr>
      <w:bookmarkStart w:id="18" w:name="_Toc237261690"/>
      <w:r w:rsidRPr="003A48F1">
        <w:rPr>
          <w:rFonts w:ascii="Arial" w:hAnsi="Arial" w:cs="Arial"/>
          <w:lang w:val="en-US"/>
        </w:rPr>
        <w:t>Section 2: Reflective Account</w:t>
      </w:r>
      <w:bookmarkEnd w:id="18"/>
    </w:p>
    <w:p w14:paraId="7352ADAB" w14:textId="77777777" w:rsidR="00E76188" w:rsidRPr="003A48F1" w:rsidRDefault="00E76188" w:rsidP="00E76188">
      <w:pPr>
        <w:spacing w:after="0" w:line="360" w:lineRule="auto"/>
        <w:jc w:val="both"/>
        <w:rPr>
          <w:rFonts w:ascii="Arial" w:hAnsi="Arial" w:cs="Arial"/>
          <w:b/>
          <w:sz w:val="24"/>
          <w:lang w:val="en-US"/>
        </w:rPr>
      </w:pPr>
      <w:r w:rsidRPr="003A48F1">
        <w:rPr>
          <w:rFonts w:ascii="Arial" w:hAnsi="Arial" w:cs="Arial"/>
          <w:b/>
          <w:sz w:val="24"/>
          <w:lang w:val="en-US"/>
        </w:rPr>
        <w:t>Introduction to Reflection</w:t>
      </w:r>
    </w:p>
    <w:p w14:paraId="45DD72E1" w14:textId="641D5565"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This reflective piece </w:t>
      </w:r>
      <w:r w:rsidR="003A48F1" w:rsidRPr="003A48F1">
        <w:rPr>
          <w:rFonts w:ascii="Arial" w:hAnsi="Arial" w:cs="Arial"/>
          <w:sz w:val="24"/>
          <w:lang w:val="en-US"/>
        </w:rPr>
        <w:t>utilizes</w:t>
      </w:r>
      <w:r w:rsidRPr="003A48F1">
        <w:rPr>
          <w:rFonts w:ascii="Arial" w:hAnsi="Arial" w:cs="Arial"/>
          <w:sz w:val="24"/>
          <w:lang w:val="en-US"/>
        </w:rPr>
        <w:t xml:space="preserve"> the Reflective Cycle created by Gibbs to reflect upon my learning experience in the process of completing the ASDA strategic management report. Gibbs framework is an organized framework in which individuals are able to reflect more in relation to the personal learning and professional development through a structured framework which is divided into description, feelings, evaluation, analysis, conclusion, and plan of action (Gibbs, 1988). The model was chosen since it promotes self-critical self-evaluation and allows the eventual advancement of strategic management skills.</w:t>
      </w:r>
    </w:p>
    <w:p w14:paraId="5B8D0205" w14:textId="77777777" w:rsidR="00E76188" w:rsidRPr="003A48F1" w:rsidRDefault="00E76188" w:rsidP="00E76188">
      <w:pPr>
        <w:spacing w:after="0" w:line="360" w:lineRule="auto"/>
        <w:jc w:val="both"/>
        <w:rPr>
          <w:rFonts w:ascii="Arial" w:hAnsi="Arial" w:cs="Arial"/>
          <w:b/>
          <w:sz w:val="24"/>
          <w:lang w:val="en-US"/>
        </w:rPr>
      </w:pPr>
      <w:r w:rsidRPr="003A48F1">
        <w:rPr>
          <w:rFonts w:ascii="Arial" w:hAnsi="Arial" w:cs="Arial"/>
          <w:b/>
          <w:sz w:val="24"/>
          <w:lang w:val="en-US"/>
        </w:rPr>
        <w:t>Description and Feelings</w:t>
      </w:r>
    </w:p>
    <w:p w14:paraId="4B936351" w14:textId="1C09E8E0"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The given assignment is based on the in-depth strategic analysis of ASDA, which is one of the most </w:t>
      </w:r>
      <w:r w:rsidR="003A48F1" w:rsidRPr="003A48F1">
        <w:rPr>
          <w:rFonts w:ascii="Arial" w:hAnsi="Arial" w:cs="Arial"/>
          <w:sz w:val="24"/>
          <w:lang w:val="en-US"/>
        </w:rPr>
        <w:t>recognizable</w:t>
      </w:r>
      <w:r w:rsidRPr="003A48F1">
        <w:rPr>
          <w:rFonts w:ascii="Arial" w:hAnsi="Arial" w:cs="Arial"/>
          <w:sz w:val="24"/>
          <w:lang w:val="en-US"/>
        </w:rPr>
        <w:t xml:space="preserve"> retailers in the United Kingdom. I thought that initially, I was going to be working with strategic frameworks, namely, PESTEL, VRIO, SWOT, and the Balanced Scorecard. However, further into the research process, I </w:t>
      </w:r>
      <w:r w:rsidR="003A48F1" w:rsidRPr="003A48F1">
        <w:rPr>
          <w:rFonts w:ascii="Arial" w:hAnsi="Arial" w:cs="Arial"/>
          <w:sz w:val="24"/>
          <w:lang w:val="en-US"/>
        </w:rPr>
        <w:t>realized</w:t>
      </w:r>
      <w:r w:rsidRPr="003A48F1">
        <w:rPr>
          <w:rFonts w:ascii="Arial" w:hAnsi="Arial" w:cs="Arial"/>
          <w:sz w:val="24"/>
          <w:lang w:val="en-US"/>
        </w:rPr>
        <w:t xml:space="preserve"> that researching a large </w:t>
      </w:r>
      <w:r w:rsidR="00973F54" w:rsidRPr="003A48F1">
        <w:rPr>
          <w:rFonts w:ascii="Arial" w:hAnsi="Arial" w:cs="Arial"/>
          <w:sz w:val="24"/>
          <w:lang w:val="en-US"/>
        </w:rPr>
        <w:t>organization</w:t>
      </w:r>
      <w:r w:rsidRPr="003A48F1">
        <w:rPr>
          <w:rFonts w:ascii="Arial" w:hAnsi="Arial" w:cs="Arial"/>
          <w:sz w:val="24"/>
          <w:lang w:val="en-US"/>
        </w:rPr>
        <w:t xml:space="preserve"> is concerned with how these outside forces, internal strengths, and the strategic decision-making processes interact with each other (Henry, 2021).</w:t>
      </w:r>
    </w:p>
    <w:p w14:paraId="7055EAAC" w14:textId="0138883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The research process was interesting and challenging to me. ASDA is a company that is in a very competitive industry that is affected by inflation, regulatory changes, digital transformation, and changing consumer </w:t>
      </w:r>
      <w:r w:rsidR="003A48F1" w:rsidRPr="003A48F1">
        <w:rPr>
          <w:rFonts w:ascii="Arial" w:hAnsi="Arial" w:cs="Arial"/>
          <w:sz w:val="24"/>
          <w:lang w:val="en-US"/>
        </w:rPr>
        <w:t>behavior</w:t>
      </w:r>
      <w:r w:rsidRPr="003A48F1">
        <w:rPr>
          <w:rFonts w:ascii="Arial" w:hAnsi="Arial" w:cs="Arial"/>
          <w:sz w:val="24"/>
          <w:lang w:val="en-US"/>
        </w:rPr>
        <w:t xml:space="preserve"> (Rashid, 2023). Accordingly, it took a lot of critical analysis to gather the information and determine the strategic issues that were the most relevant. I was convinced in the operational capabilities review since the business model and competitive positioning of ASDA were somewhat obvious. Nevertheless, I had a more challenging time differentiating between corporate marketing assertions and true strategic competencies, which generate sustainable competitive advantage (Rodrigo, 2023).</w:t>
      </w:r>
    </w:p>
    <w:p w14:paraId="2B18B6EE" w14:textId="77777777" w:rsidR="00E76188" w:rsidRPr="003A48F1" w:rsidRDefault="00E76188" w:rsidP="00E76188">
      <w:pPr>
        <w:spacing w:after="0" w:line="360" w:lineRule="auto"/>
        <w:jc w:val="both"/>
        <w:rPr>
          <w:rFonts w:ascii="Arial" w:hAnsi="Arial" w:cs="Arial"/>
          <w:b/>
          <w:sz w:val="24"/>
          <w:lang w:val="en-US"/>
        </w:rPr>
      </w:pPr>
      <w:r w:rsidRPr="003A48F1">
        <w:rPr>
          <w:rFonts w:ascii="Arial" w:hAnsi="Arial" w:cs="Arial"/>
          <w:b/>
          <w:sz w:val="24"/>
          <w:lang w:val="en-US"/>
        </w:rPr>
        <w:t>Evaluation and Analysis</w:t>
      </w:r>
    </w:p>
    <w:p w14:paraId="6E2E9868" w14:textId="375BEE6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There were a variety of areas in the assignment that were successful. The most effective sphere was converting amounts of retail industry information into planned strategic forms. The PESTEL analysis, as well as the VRIO one, allowed me to </w:t>
      </w:r>
      <w:r w:rsidR="003A48F1" w:rsidRPr="003A48F1">
        <w:rPr>
          <w:rFonts w:ascii="Arial" w:hAnsi="Arial" w:cs="Arial"/>
          <w:sz w:val="24"/>
          <w:lang w:val="en-US"/>
        </w:rPr>
        <w:t>organize</w:t>
      </w:r>
      <w:r w:rsidRPr="003A48F1">
        <w:rPr>
          <w:rFonts w:ascii="Arial" w:hAnsi="Arial" w:cs="Arial"/>
          <w:sz w:val="24"/>
          <w:lang w:val="en-US"/>
        </w:rPr>
        <w:t xml:space="preserve"> the seemingly complex information and identify which factors will most likely impact the future performance of ASDA (Henry, 2021). My perception of the linkage between internal resources and competitive advantage improved as well as my awareness of how combined with effective organisational capabilities, internal resources can generate competitive advantage (Wang, 2023).</w:t>
      </w:r>
    </w:p>
    <w:p w14:paraId="0C99C6B8" w14:textId="7777777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The tool of Balanced Scorecard was particularly helpful as it allowed linking the strategic goals and the feedback results which can be measured. Rather than thinking about strategy as a concept, I was able to learn how strategic objectives can be translated into concrete goals, performance measures and implementation programs (</w:t>
      </w:r>
      <w:proofErr w:type="spellStart"/>
      <w:r w:rsidRPr="003A48F1">
        <w:rPr>
          <w:rFonts w:ascii="Arial" w:hAnsi="Arial" w:cs="Arial"/>
          <w:sz w:val="24"/>
          <w:lang w:val="en-US"/>
        </w:rPr>
        <w:t>Mogaji</w:t>
      </w:r>
      <w:proofErr w:type="spellEnd"/>
      <w:r w:rsidRPr="003A48F1">
        <w:rPr>
          <w:rFonts w:ascii="Arial" w:hAnsi="Arial" w:cs="Arial"/>
          <w:sz w:val="24"/>
          <w:lang w:val="en-US"/>
        </w:rPr>
        <w:t>, 2025). This enhanced my skills in relating theory and organisational practice.</w:t>
      </w:r>
    </w:p>
    <w:p w14:paraId="02693AEB" w14:textId="06EA82FD"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The hardest was to analyse critically the ASDA strategy position. At first, I thought that the performance of ASDA could be only attributed to low prices. However, the discussion has unveiled that pricing is not the only factor of competitive advantage. Long-term performance is also dependent on customer information, logistics, digital, and </w:t>
      </w:r>
      <w:r w:rsidR="003A48F1" w:rsidRPr="003A48F1">
        <w:rPr>
          <w:rFonts w:ascii="Arial" w:hAnsi="Arial" w:cs="Arial"/>
          <w:sz w:val="24"/>
          <w:lang w:val="en-US"/>
        </w:rPr>
        <w:t>organizational</w:t>
      </w:r>
      <w:r w:rsidRPr="003A48F1">
        <w:rPr>
          <w:rFonts w:ascii="Arial" w:hAnsi="Arial" w:cs="Arial"/>
          <w:sz w:val="24"/>
          <w:lang w:val="en-US"/>
        </w:rPr>
        <w:t xml:space="preserve"> learning (Mkansi and </w:t>
      </w:r>
      <w:proofErr w:type="spellStart"/>
      <w:r w:rsidRPr="003A48F1">
        <w:rPr>
          <w:rFonts w:ascii="Arial" w:hAnsi="Arial" w:cs="Arial"/>
          <w:sz w:val="24"/>
          <w:lang w:val="en-US"/>
        </w:rPr>
        <w:t>Nsakanda</w:t>
      </w:r>
      <w:proofErr w:type="spellEnd"/>
      <w:r w:rsidRPr="003A48F1">
        <w:rPr>
          <w:rFonts w:ascii="Arial" w:hAnsi="Arial" w:cs="Arial"/>
          <w:sz w:val="24"/>
          <w:lang w:val="en-US"/>
        </w:rPr>
        <w:t xml:space="preserve">, 2021). This has not merely left me doubting my previous understanding of strategy, but also the importance of considering </w:t>
      </w:r>
      <w:r w:rsidR="003A48F1" w:rsidRPr="003A48F1">
        <w:rPr>
          <w:rFonts w:ascii="Arial" w:hAnsi="Arial" w:cs="Arial"/>
          <w:sz w:val="24"/>
          <w:lang w:val="en-US"/>
        </w:rPr>
        <w:t>organizations</w:t>
      </w:r>
      <w:r w:rsidRPr="003A48F1">
        <w:rPr>
          <w:rFonts w:ascii="Arial" w:hAnsi="Arial" w:cs="Arial"/>
          <w:sz w:val="24"/>
          <w:lang w:val="en-US"/>
        </w:rPr>
        <w:t xml:space="preserve"> in a multi-faceted fashion.</w:t>
      </w:r>
    </w:p>
    <w:p w14:paraId="1A05F415" w14:textId="77777777"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The other challenge was to analyse conflicting evidence. Other sources would focus on the strengths of operations at ASDA, and others focus on shrinking market share and financial strains (Statista, 2026). This required a great level of critical thought as it is not perpetually in straightforward conclusions when making strategic analysis. Instead, a good assessment is to balance the strengths, weaknesses, opportunities, and threats before providing evidence-based recommendations (Chapman, 2026).</w:t>
      </w:r>
    </w:p>
    <w:p w14:paraId="717191A2" w14:textId="77777777" w:rsidR="00E76188" w:rsidRPr="003A48F1" w:rsidRDefault="00E76188" w:rsidP="00E76188">
      <w:pPr>
        <w:spacing w:after="0" w:line="360" w:lineRule="auto"/>
        <w:jc w:val="both"/>
        <w:rPr>
          <w:rFonts w:ascii="Arial" w:hAnsi="Arial" w:cs="Arial"/>
          <w:b/>
          <w:sz w:val="24"/>
          <w:lang w:val="en-US"/>
        </w:rPr>
      </w:pPr>
      <w:r w:rsidRPr="003A48F1">
        <w:rPr>
          <w:rFonts w:ascii="Arial" w:hAnsi="Arial" w:cs="Arial"/>
          <w:b/>
          <w:sz w:val="24"/>
          <w:lang w:val="en-US"/>
        </w:rPr>
        <w:t>Conclusion and Action Plan</w:t>
      </w:r>
    </w:p>
    <w:p w14:paraId="2CECFA0D" w14:textId="0FDAEC23" w:rsidR="00E76188"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Overall, this assignment has significantly benefited my learning with regards to the practical aspect of strategic management. I learnt that it is not only historical strengths that can be used to establish successful </w:t>
      </w:r>
      <w:r w:rsidR="003A48F1" w:rsidRPr="003A48F1">
        <w:rPr>
          <w:rFonts w:ascii="Arial" w:hAnsi="Arial" w:cs="Arial"/>
          <w:sz w:val="24"/>
          <w:lang w:val="en-US"/>
        </w:rPr>
        <w:t>organizations</w:t>
      </w:r>
      <w:r w:rsidRPr="003A48F1">
        <w:rPr>
          <w:rFonts w:ascii="Arial" w:hAnsi="Arial" w:cs="Arial"/>
          <w:sz w:val="24"/>
          <w:lang w:val="en-US"/>
        </w:rPr>
        <w:t xml:space="preserve"> because the competitive environments are constantly changing. External pressure, internal resources, stakeholder expectations, and the capability to implement all simultaneously should be put into consideration when making decisions related to scheduling (Henry, 2021). The assignment has also justified the necessity to employ evidence-based decision-making and critical analysis in evaluating organisational performance.</w:t>
      </w:r>
    </w:p>
    <w:p w14:paraId="1A41847D" w14:textId="5AC342BC" w:rsidR="00CD2F3D" w:rsidRPr="003A48F1" w:rsidRDefault="00E76188" w:rsidP="00E76188">
      <w:pPr>
        <w:spacing w:after="0" w:line="360" w:lineRule="auto"/>
        <w:jc w:val="both"/>
        <w:rPr>
          <w:rFonts w:ascii="Arial" w:hAnsi="Arial" w:cs="Arial"/>
          <w:sz w:val="24"/>
          <w:lang w:val="en-US"/>
        </w:rPr>
      </w:pPr>
      <w:r w:rsidRPr="003A48F1">
        <w:rPr>
          <w:rFonts w:ascii="Arial" w:hAnsi="Arial" w:cs="Arial"/>
          <w:sz w:val="24"/>
          <w:lang w:val="en-US"/>
        </w:rPr>
        <w:t xml:space="preserve">Next time, I will enhance my skills of </w:t>
      </w:r>
      <w:r w:rsidR="003A48F1" w:rsidRPr="003A48F1">
        <w:rPr>
          <w:rFonts w:ascii="Arial" w:hAnsi="Arial" w:cs="Arial"/>
          <w:sz w:val="24"/>
          <w:lang w:val="en-US"/>
        </w:rPr>
        <w:t>analyzing</w:t>
      </w:r>
      <w:r w:rsidRPr="003A48F1">
        <w:rPr>
          <w:rFonts w:ascii="Arial" w:hAnsi="Arial" w:cs="Arial"/>
          <w:sz w:val="24"/>
          <w:lang w:val="en-US"/>
        </w:rPr>
        <w:t xml:space="preserve"> strategic problems by referring to </w:t>
      </w:r>
      <w:r w:rsidR="003A48F1" w:rsidRPr="003A48F1">
        <w:rPr>
          <w:rFonts w:ascii="Arial" w:hAnsi="Arial" w:cs="Arial"/>
          <w:sz w:val="24"/>
          <w:lang w:val="en-US"/>
        </w:rPr>
        <w:t>academic</w:t>
      </w:r>
      <w:r w:rsidRPr="003A48F1">
        <w:rPr>
          <w:rFonts w:ascii="Arial" w:hAnsi="Arial" w:cs="Arial"/>
          <w:sz w:val="24"/>
          <w:lang w:val="en-US"/>
        </w:rPr>
        <w:t xml:space="preserve"> literature and data in the industry more actively. I will also enhance my application of sophisticated strategic models to come up with profound analyses as opposed to the descriptive debates. I am seeking to apply these analytical skills in assessing performance of </w:t>
      </w:r>
      <w:r w:rsidR="003A48F1" w:rsidRPr="003A48F1">
        <w:rPr>
          <w:rFonts w:ascii="Arial" w:hAnsi="Arial" w:cs="Arial"/>
          <w:sz w:val="24"/>
          <w:lang w:val="en-US"/>
        </w:rPr>
        <w:t>organizations</w:t>
      </w:r>
      <w:r w:rsidRPr="003A48F1">
        <w:rPr>
          <w:rFonts w:ascii="Arial" w:hAnsi="Arial" w:cs="Arial"/>
          <w:sz w:val="24"/>
          <w:lang w:val="en-US"/>
        </w:rPr>
        <w:t xml:space="preserve">, opportunities of the </w:t>
      </w:r>
      <w:r w:rsidR="003A48F1" w:rsidRPr="003A48F1">
        <w:rPr>
          <w:rFonts w:ascii="Arial" w:hAnsi="Arial" w:cs="Arial"/>
          <w:sz w:val="24"/>
          <w:lang w:val="en-US"/>
        </w:rPr>
        <w:t>organization</w:t>
      </w:r>
      <w:r w:rsidRPr="003A48F1">
        <w:rPr>
          <w:rFonts w:ascii="Arial" w:hAnsi="Arial" w:cs="Arial"/>
          <w:sz w:val="24"/>
          <w:lang w:val="en-US"/>
        </w:rPr>
        <w:t xml:space="preserve"> strategy, and delivering evidence-based and decision-making of businesses. It has not only boosted my self-confidence in taking on strategic analysis but has equipped me with some practical skills as well, which will aid me in both academic and management life.</w:t>
      </w:r>
    </w:p>
    <w:p w14:paraId="5E8478FD" w14:textId="77777777" w:rsidR="00CD2F3D" w:rsidRPr="003A48F1" w:rsidRDefault="00CD2F3D" w:rsidP="00826270">
      <w:pPr>
        <w:spacing w:after="0" w:line="360" w:lineRule="auto"/>
        <w:jc w:val="both"/>
        <w:rPr>
          <w:rFonts w:ascii="Arial" w:hAnsi="Arial" w:cs="Arial"/>
          <w:sz w:val="24"/>
          <w:lang w:val="en-US"/>
        </w:rPr>
      </w:pPr>
    </w:p>
    <w:p w14:paraId="1B2269FD" w14:textId="77777777" w:rsidR="000E3515" w:rsidRPr="003A48F1" w:rsidRDefault="000E3515" w:rsidP="00826270">
      <w:pPr>
        <w:spacing w:after="0" w:line="360" w:lineRule="auto"/>
        <w:jc w:val="both"/>
        <w:rPr>
          <w:rFonts w:ascii="Arial" w:hAnsi="Arial" w:cs="Arial"/>
          <w:sz w:val="24"/>
          <w:lang w:val="en-US"/>
        </w:rPr>
      </w:pPr>
      <w:r w:rsidRPr="003A48F1">
        <w:rPr>
          <w:rFonts w:ascii="Arial" w:hAnsi="Arial" w:cs="Arial"/>
          <w:sz w:val="24"/>
        </w:rPr>
        <w:br w:type="page"/>
      </w:r>
    </w:p>
    <w:p w14:paraId="1248CDDA" w14:textId="77777777" w:rsidR="000E3515" w:rsidRPr="003A48F1" w:rsidRDefault="000E3515" w:rsidP="000E3515">
      <w:pPr>
        <w:pStyle w:val="Heading1"/>
        <w:rPr>
          <w:rFonts w:ascii="Arial" w:hAnsi="Arial" w:cs="Arial"/>
          <w:lang w:val="en-US"/>
        </w:rPr>
      </w:pPr>
      <w:bookmarkStart w:id="19" w:name="_Toc237261691"/>
      <w:r w:rsidRPr="003A48F1">
        <w:rPr>
          <w:rFonts w:ascii="Arial" w:hAnsi="Arial" w:cs="Arial"/>
          <w:lang w:val="en-US"/>
        </w:rPr>
        <w:t>References</w:t>
      </w:r>
      <w:bookmarkEnd w:id="19"/>
    </w:p>
    <w:p w14:paraId="0E0DEDDA"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Achterberg, E. (2024) Towards Meaningful Human Rights Impact Assessments: From supermarket commitments to best practice action.</w:t>
      </w:r>
    </w:p>
    <w:p w14:paraId="476A8CE0"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bCs/>
          <w:i/>
          <w:iCs/>
          <w:sz w:val="24"/>
        </w:rPr>
        <w:t>Arrieta-Paredes, M.P., Hallsworth, A.G. and Coca-Stefaniak, J.A.</w:t>
      </w:r>
      <w:r w:rsidRPr="003A48F1">
        <w:rPr>
          <w:rFonts w:ascii="Arial" w:hAnsi="Arial" w:cs="Arial"/>
          <w:i/>
          <w:iCs/>
          <w:sz w:val="24"/>
        </w:rPr>
        <w:t xml:space="preserve"> (2020) ‘Small shop survival – The financial response to a global financial crisis’, Journal of Retailing and Consumer Services, 53, p. 101984</w:t>
      </w:r>
      <w:r w:rsidRPr="003A48F1">
        <w:rPr>
          <w:rFonts w:ascii="Arial" w:hAnsi="Arial" w:cs="Arial"/>
          <w:i/>
          <w:iCs/>
          <w:sz w:val="24"/>
          <w:lang w:val="en-US"/>
        </w:rPr>
        <w:t>.</w:t>
      </w:r>
    </w:p>
    <w:p w14:paraId="5DAB4E8E"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Chapman, R.J. (2026) Principal and Emerging Business Risks: A Practical Guide to their Significance, Identification and Management through the Lens of Process Mapping. Abingdon: Taylor &amp; Francis.</w:t>
      </w:r>
    </w:p>
    <w:p w14:paraId="0FF18DFB"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de Moura, M.B.L. (2021) Equity Research in Food &amp; Retail Industry: Tesco PLC. Master's thesis. Universidade de Lisboa.</w:t>
      </w:r>
    </w:p>
    <w:p w14:paraId="40E09B58"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proofErr w:type="spellStart"/>
      <w:r w:rsidRPr="003A48F1">
        <w:rPr>
          <w:rFonts w:ascii="Arial" w:hAnsi="Arial" w:cs="Arial"/>
          <w:i/>
          <w:iCs/>
          <w:sz w:val="24"/>
          <w:lang w:val="en-US"/>
        </w:rPr>
        <w:t>Eastmure</w:t>
      </w:r>
      <w:proofErr w:type="spellEnd"/>
      <w:r w:rsidRPr="003A48F1">
        <w:rPr>
          <w:rFonts w:ascii="Arial" w:hAnsi="Arial" w:cs="Arial"/>
          <w:i/>
          <w:iCs/>
          <w:sz w:val="24"/>
          <w:lang w:val="en-US"/>
        </w:rPr>
        <w:t>, E. (2022) The Strategic Response of the Food Industry to the Public Health Responsibility Deal, in the Context of Power. Doctoral thesis. London School of Hygiene &amp; Tropical Medicine.</w:t>
      </w:r>
    </w:p>
    <w:p w14:paraId="03B44B8D"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Franck, A. and </w:t>
      </w:r>
      <w:proofErr w:type="spellStart"/>
      <w:r w:rsidRPr="003A48F1">
        <w:rPr>
          <w:rFonts w:ascii="Arial" w:hAnsi="Arial" w:cs="Arial"/>
          <w:i/>
          <w:iCs/>
          <w:sz w:val="24"/>
          <w:lang w:val="en-US"/>
        </w:rPr>
        <w:t>Prapha</w:t>
      </w:r>
      <w:proofErr w:type="spellEnd"/>
      <w:r w:rsidRPr="003A48F1">
        <w:rPr>
          <w:rFonts w:ascii="Arial" w:hAnsi="Arial" w:cs="Arial"/>
          <w:i/>
          <w:iCs/>
          <w:sz w:val="24"/>
          <w:lang w:val="en-US"/>
        </w:rPr>
        <w:t>, A. (2021) Not in This Together: How supermarkets became pandemic winners while women workers are losing out.</w:t>
      </w:r>
    </w:p>
    <w:p w14:paraId="36C305C3"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Gibbs, G. (1988) Learning by Doing: A Guide to Teaching and Learning Methods. Oxford: Oxford Polytechnic.</w:t>
      </w:r>
    </w:p>
    <w:p w14:paraId="72C0E3C0"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Henry, A. (2021) Understanding Strategic Management. 3rd edn. Oxford: Oxford University Press.</w:t>
      </w:r>
    </w:p>
    <w:p w14:paraId="6CEE3BC0" w14:textId="77777777" w:rsidR="000E3515"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Hiller, L. (2023) Analysis of Vertically Integrated Quick Commerce Business Models Operating in the Grocery Retail Industry in Europe: Evaluation of the Efficiencies Along the Vertically Integrated Value Chain and the Analysis of the Key Resources and Key Activities in the Business Model Canvas.</w:t>
      </w:r>
    </w:p>
    <w:p w14:paraId="2E23A536" w14:textId="12868942" w:rsidR="00C75153" w:rsidRDefault="00C75153" w:rsidP="000E3515">
      <w:pPr>
        <w:pStyle w:val="ListParagraph"/>
        <w:numPr>
          <w:ilvl w:val="0"/>
          <w:numId w:val="1"/>
        </w:numPr>
        <w:spacing w:after="0" w:line="360" w:lineRule="auto"/>
        <w:jc w:val="both"/>
        <w:rPr>
          <w:rFonts w:ascii="Arial" w:hAnsi="Arial" w:cs="Arial"/>
          <w:i/>
          <w:iCs/>
          <w:sz w:val="24"/>
          <w:lang w:val="en-US"/>
        </w:rPr>
      </w:pPr>
      <w:hyperlink r:id="rId17" w:history="1">
        <w:r w:rsidRPr="00771F25">
          <w:rPr>
            <w:rStyle w:val="Hyperlink"/>
            <w:rFonts w:ascii="Arial" w:hAnsi="Arial" w:cs="Arial"/>
            <w:i/>
            <w:iCs/>
            <w:sz w:val="24"/>
            <w:lang w:val="en-US"/>
          </w:rPr>
          <w:t>https://www.asda.com</w:t>
        </w:r>
      </w:hyperlink>
      <w:r>
        <w:rPr>
          <w:rFonts w:ascii="Arial" w:hAnsi="Arial" w:cs="Arial"/>
          <w:i/>
          <w:iCs/>
          <w:sz w:val="24"/>
          <w:lang w:val="en-US"/>
        </w:rPr>
        <w:t xml:space="preserve"> (</w:t>
      </w:r>
      <w:r w:rsidR="00171397">
        <w:rPr>
          <w:rFonts w:ascii="Arial" w:hAnsi="Arial" w:cs="Arial"/>
          <w:i/>
          <w:iCs/>
          <w:sz w:val="24"/>
          <w:lang w:val="en-US"/>
        </w:rPr>
        <w:t>A</w:t>
      </w:r>
      <w:r>
        <w:rPr>
          <w:rFonts w:ascii="Arial" w:hAnsi="Arial" w:cs="Arial"/>
          <w:i/>
          <w:iCs/>
          <w:sz w:val="24"/>
          <w:lang w:val="en-US"/>
        </w:rPr>
        <w:t>ccessed: 30 July 2026).</w:t>
      </w:r>
    </w:p>
    <w:p w14:paraId="4B0DB0E2" w14:textId="5A72E190" w:rsidR="00171397" w:rsidRPr="003A48F1" w:rsidRDefault="00171397" w:rsidP="000E3515">
      <w:pPr>
        <w:pStyle w:val="ListParagraph"/>
        <w:numPr>
          <w:ilvl w:val="0"/>
          <w:numId w:val="1"/>
        </w:numPr>
        <w:spacing w:after="0" w:line="360" w:lineRule="auto"/>
        <w:jc w:val="both"/>
        <w:rPr>
          <w:rFonts w:ascii="Arial" w:hAnsi="Arial" w:cs="Arial"/>
          <w:i/>
          <w:iCs/>
          <w:sz w:val="24"/>
          <w:lang w:val="en-US"/>
        </w:rPr>
      </w:pPr>
      <w:r>
        <w:rPr>
          <w:rFonts w:ascii="Arial" w:hAnsi="Arial" w:cs="Arial"/>
          <w:i/>
          <w:iCs/>
          <w:sz w:val="24"/>
          <w:lang w:val="en-US"/>
        </w:rPr>
        <w:fldChar w:fldCharType="begin"/>
      </w:r>
      <w:r>
        <w:rPr>
          <w:rFonts w:ascii="Arial" w:hAnsi="Arial" w:cs="Arial"/>
          <w:i/>
          <w:iCs/>
          <w:sz w:val="24"/>
          <w:lang w:val="en-US"/>
        </w:rPr>
        <w:instrText>HYPERLINK "https://corporate.asda.com"</w:instrText>
      </w:r>
      <w:r>
        <w:rPr>
          <w:rFonts w:ascii="Arial" w:hAnsi="Arial" w:cs="Arial"/>
          <w:i/>
          <w:iCs/>
          <w:sz w:val="24"/>
          <w:lang w:val="en-US"/>
        </w:rPr>
        <w:fldChar w:fldCharType="separate"/>
      </w:r>
      <w:r w:rsidRPr="00771F25">
        <w:rPr>
          <w:rStyle w:val="Hyperlink"/>
          <w:rFonts w:ascii="Arial" w:hAnsi="Arial" w:cs="Arial"/>
          <w:i/>
          <w:iCs/>
          <w:sz w:val="24"/>
          <w:lang w:val="en-US"/>
        </w:rPr>
        <w:t>https://corporate.asda.com</w:t>
      </w:r>
      <w:r>
        <w:rPr>
          <w:rFonts w:ascii="Arial" w:hAnsi="Arial" w:cs="Arial"/>
          <w:i/>
          <w:iCs/>
          <w:sz w:val="24"/>
          <w:lang w:val="en-US"/>
        </w:rPr>
        <w:fldChar w:fldCharType="end"/>
      </w:r>
      <w:r>
        <w:rPr>
          <w:rFonts w:ascii="Arial" w:hAnsi="Arial" w:cs="Arial"/>
          <w:i/>
          <w:iCs/>
          <w:sz w:val="24"/>
          <w:lang w:val="en-US"/>
        </w:rPr>
        <w:t xml:space="preserve"> (Accessed</w:t>
      </w:r>
      <w:r w:rsidR="000151A1">
        <w:rPr>
          <w:rFonts w:ascii="Arial" w:hAnsi="Arial" w:cs="Arial"/>
          <w:i/>
          <w:iCs/>
          <w:sz w:val="24"/>
          <w:lang w:val="en-US"/>
        </w:rPr>
        <w:t>: 6 August 2026).</w:t>
      </w:r>
    </w:p>
    <w:p w14:paraId="0A773076"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Kaplan, R.S. and Norton, D.P. (1992) ‘The balanced scorecard: Measures that drive performance’, Harvard Business Review, 70(1), pp. 71–79.</w:t>
      </w:r>
    </w:p>
    <w:p w14:paraId="198ACE26"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Mkansi, M. and </w:t>
      </w:r>
      <w:proofErr w:type="spellStart"/>
      <w:r w:rsidRPr="003A48F1">
        <w:rPr>
          <w:rFonts w:ascii="Arial" w:hAnsi="Arial" w:cs="Arial"/>
          <w:i/>
          <w:iCs/>
          <w:sz w:val="24"/>
          <w:lang w:val="en-US"/>
        </w:rPr>
        <w:t>Nsakanda</w:t>
      </w:r>
      <w:proofErr w:type="spellEnd"/>
      <w:r w:rsidRPr="003A48F1">
        <w:rPr>
          <w:rFonts w:ascii="Arial" w:hAnsi="Arial" w:cs="Arial"/>
          <w:i/>
          <w:iCs/>
          <w:sz w:val="24"/>
          <w:lang w:val="en-US"/>
        </w:rPr>
        <w:t>, A.L. (</w:t>
      </w:r>
      <w:proofErr w:type="gramStart"/>
      <w:r w:rsidRPr="003A48F1">
        <w:rPr>
          <w:rFonts w:ascii="Arial" w:hAnsi="Arial" w:cs="Arial"/>
          <w:i/>
          <w:iCs/>
          <w:sz w:val="24"/>
          <w:lang w:val="en-US"/>
        </w:rPr>
        <w:t>2021) ‘</w:t>
      </w:r>
      <w:proofErr w:type="gramEnd"/>
      <w:r w:rsidRPr="003A48F1">
        <w:rPr>
          <w:rFonts w:ascii="Arial" w:hAnsi="Arial" w:cs="Arial"/>
          <w:i/>
          <w:iCs/>
          <w:sz w:val="24"/>
          <w:lang w:val="en-US"/>
        </w:rPr>
        <w:t>Leveraging the physical network of stores in e-grocery order fulfilment for sustainable competitive advantage’, Research in Transportation Economics, 87, p. 100786.</w:t>
      </w:r>
    </w:p>
    <w:p w14:paraId="7D1352E1"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proofErr w:type="spellStart"/>
      <w:r w:rsidRPr="003A48F1">
        <w:rPr>
          <w:rFonts w:ascii="Arial" w:hAnsi="Arial" w:cs="Arial"/>
          <w:i/>
          <w:iCs/>
          <w:sz w:val="24"/>
          <w:lang w:val="en-US"/>
        </w:rPr>
        <w:t>Mogaji</w:t>
      </w:r>
      <w:proofErr w:type="spellEnd"/>
      <w:r w:rsidRPr="003A48F1">
        <w:rPr>
          <w:rFonts w:ascii="Arial" w:hAnsi="Arial" w:cs="Arial"/>
          <w:i/>
          <w:iCs/>
          <w:sz w:val="24"/>
          <w:lang w:val="en-US"/>
        </w:rPr>
        <w:t>, E. (</w:t>
      </w:r>
      <w:proofErr w:type="gramStart"/>
      <w:r w:rsidRPr="003A48F1">
        <w:rPr>
          <w:rFonts w:ascii="Arial" w:hAnsi="Arial" w:cs="Arial"/>
          <w:i/>
          <w:iCs/>
          <w:sz w:val="24"/>
          <w:lang w:val="en-US"/>
        </w:rPr>
        <w:t>2025) ‘</w:t>
      </w:r>
      <w:proofErr w:type="gramEnd"/>
      <w:r w:rsidRPr="003A48F1">
        <w:rPr>
          <w:rFonts w:ascii="Arial" w:hAnsi="Arial" w:cs="Arial"/>
          <w:i/>
          <w:iCs/>
          <w:sz w:val="24"/>
          <w:lang w:val="en-US"/>
        </w:rPr>
        <w:t>Market and Customer Insights’, in Strategic Marketing Management: Principles and Practice. Cham: Springer Nature Switzerland, pp. 33–63.</w:t>
      </w:r>
    </w:p>
    <w:p w14:paraId="695F8217"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proofErr w:type="spellStart"/>
      <w:r w:rsidRPr="003A48F1">
        <w:rPr>
          <w:rFonts w:ascii="Arial" w:hAnsi="Arial" w:cs="Arial"/>
          <w:i/>
          <w:iCs/>
          <w:sz w:val="24"/>
          <w:lang w:val="en-US"/>
        </w:rPr>
        <w:t>Ologunebi</w:t>
      </w:r>
      <w:proofErr w:type="spellEnd"/>
      <w:r w:rsidRPr="003A48F1">
        <w:rPr>
          <w:rFonts w:ascii="Arial" w:hAnsi="Arial" w:cs="Arial"/>
          <w:i/>
          <w:iCs/>
          <w:sz w:val="24"/>
          <w:lang w:val="en-US"/>
        </w:rPr>
        <w:t>, J. (2023) The Marketing Strategy to Increase Gen Z and Millennials' Usability of Asda's Website: A Case Study of ASDA UK. Available at SSRN: https://ssrn.com/abstract=4659921 (Accessed: 20 June 2026).</w:t>
      </w:r>
    </w:p>
    <w:p w14:paraId="100E8C0B"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proofErr w:type="spellStart"/>
      <w:r w:rsidRPr="003A48F1">
        <w:rPr>
          <w:rFonts w:ascii="Arial" w:hAnsi="Arial" w:cs="Arial"/>
          <w:i/>
          <w:iCs/>
          <w:sz w:val="24"/>
          <w:lang w:val="en-US"/>
        </w:rPr>
        <w:t>Ologunebi</w:t>
      </w:r>
      <w:proofErr w:type="spellEnd"/>
      <w:r w:rsidRPr="003A48F1">
        <w:rPr>
          <w:rFonts w:ascii="Arial" w:hAnsi="Arial" w:cs="Arial"/>
          <w:i/>
          <w:iCs/>
          <w:sz w:val="24"/>
          <w:lang w:val="en-US"/>
        </w:rPr>
        <w:t>, J. and Taiwo, E.O. (2023) Digital Marketing Strategies, Plan and Implementations: A Case Study of Jumia Group and ASDA UK.</w:t>
      </w:r>
    </w:p>
    <w:p w14:paraId="191F33C0"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Osei, E. (2025) Entrepreneurship of Ordinary Places: SME Adaptation in Resource-Limited Contexts. Doctoral thesis. Birmingham City University.</w:t>
      </w:r>
    </w:p>
    <w:p w14:paraId="5D11179A"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Pérez-Mesa, J.C., Piedra-Munoz, L., Galdeano-Gómez, E. and </w:t>
      </w:r>
      <w:proofErr w:type="spellStart"/>
      <w:r w:rsidRPr="003A48F1">
        <w:rPr>
          <w:rFonts w:ascii="Arial" w:hAnsi="Arial" w:cs="Arial"/>
          <w:i/>
          <w:iCs/>
          <w:sz w:val="24"/>
          <w:lang w:val="en-US"/>
        </w:rPr>
        <w:t>Giagnocavo</w:t>
      </w:r>
      <w:proofErr w:type="spellEnd"/>
      <w:r w:rsidRPr="003A48F1">
        <w:rPr>
          <w:rFonts w:ascii="Arial" w:hAnsi="Arial" w:cs="Arial"/>
          <w:i/>
          <w:iCs/>
          <w:sz w:val="24"/>
          <w:lang w:val="en-US"/>
        </w:rPr>
        <w:t>, C. (2021) ‘Management strategies and collaborative relationships for sustainability in the agrifood supply chain’, Sustainability, 13(2), p. 749.</w:t>
      </w:r>
    </w:p>
    <w:p w14:paraId="73C35A64"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Piricz, N. (2025) Consumer Trust as a Competitive Advantage in the Retail Sector.</w:t>
      </w:r>
    </w:p>
    <w:p w14:paraId="286F9A4D"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Rashid, C.A. (2023) ‘PESTEL analysis and Porter’s five forces as marketing tools to evaluate Morrison’s performance and strategy’, Journal of Global Social Sciences, 4(15), pp. 75–83.</w:t>
      </w:r>
    </w:p>
    <w:p w14:paraId="5C7F4C12"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proofErr w:type="spellStart"/>
      <w:r w:rsidRPr="003A48F1">
        <w:rPr>
          <w:rFonts w:ascii="Arial" w:hAnsi="Arial" w:cs="Arial"/>
          <w:i/>
          <w:iCs/>
          <w:sz w:val="24"/>
          <w:lang w:val="en-US"/>
        </w:rPr>
        <w:t>Ritzu</w:t>
      </w:r>
      <w:proofErr w:type="spellEnd"/>
      <w:r w:rsidRPr="003A48F1">
        <w:rPr>
          <w:rFonts w:ascii="Arial" w:hAnsi="Arial" w:cs="Arial"/>
          <w:i/>
          <w:iCs/>
          <w:sz w:val="24"/>
          <w:lang w:val="en-US"/>
        </w:rPr>
        <w:t>, J. (2025) Value Chain Analysis of Canadian White Pea Beans Exported to the UK.</w:t>
      </w:r>
    </w:p>
    <w:p w14:paraId="1A962F0D"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Rodrigo, I.C. (2023) Firm Resources and Capabilities and Their Impact on Sustainability: The Case of IKEA.</w:t>
      </w:r>
    </w:p>
    <w:p w14:paraId="0E97B767"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Sandilands, S.A. (2024) The Role of Social Enterprises in Reducing UK Supermarket Food Waste: A Network Perspective. Doctoral thesis. University of Birmingham.</w:t>
      </w:r>
    </w:p>
    <w:p w14:paraId="6D63AE4D"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Sarisa, L. (2021) Business Strategies in the Retail Supermarkets Industry: A Comparative Case Study Analysis of Costco and Aldi.</w:t>
      </w:r>
    </w:p>
    <w:p w14:paraId="2422AF8B"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Schofield, D. (2021) Learning on and off the Job: Vocational Education and Training in the UK Food and Grocery Retail Buying Occupation. Doctoral thesis. University of Huddersfield.</w:t>
      </w:r>
    </w:p>
    <w:p w14:paraId="61B52CCE"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Statista (2023) Asda Online Grocery Delivery Brand Profile in the United Kingdom. Available at: </w:t>
      </w:r>
      <w:hyperlink r:id="rId18" w:tgtFrame="_new" w:history="1">
        <w:r w:rsidRPr="003A48F1">
          <w:rPr>
            <w:rStyle w:val="Hyperlink"/>
            <w:rFonts w:ascii="Arial" w:hAnsi="Arial" w:cs="Arial"/>
            <w:i/>
            <w:iCs/>
            <w:sz w:val="24"/>
            <w:lang w:val="en-US"/>
          </w:rPr>
          <w:t>https://www.statista.com/forecasts/1304363/asda-online-grocery-delivery-brand-profile-in-the-united-kingdom/</w:t>
        </w:r>
      </w:hyperlink>
      <w:r w:rsidRPr="003A48F1">
        <w:rPr>
          <w:rFonts w:ascii="Arial" w:hAnsi="Arial" w:cs="Arial"/>
          <w:i/>
          <w:iCs/>
          <w:sz w:val="24"/>
          <w:lang w:val="en-US"/>
        </w:rPr>
        <w:t xml:space="preserve"> (Accessed: 20 June 2026).</w:t>
      </w:r>
    </w:p>
    <w:p w14:paraId="7E84B559"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Statista (2026) Asda's Sales Percentage Change in Great Britain from 2015 to 2026. Available at: </w:t>
      </w:r>
      <w:hyperlink r:id="rId19" w:tgtFrame="_new" w:history="1">
        <w:r w:rsidRPr="003A48F1">
          <w:rPr>
            <w:rStyle w:val="Hyperlink"/>
            <w:rFonts w:ascii="Arial" w:hAnsi="Arial" w:cs="Arial"/>
            <w:i/>
            <w:iCs/>
            <w:sz w:val="24"/>
            <w:lang w:val="en-US"/>
          </w:rPr>
          <w:t>https://www.statista.com/statistics/386700/asda-sales-percentage-change-great-britain-uk/</w:t>
        </w:r>
      </w:hyperlink>
      <w:r w:rsidRPr="003A48F1">
        <w:rPr>
          <w:rFonts w:ascii="Arial" w:hAnsi="Arial" w:cs="Arial"/>
          <w:i/>
          <w:iCs/>
          <w:sz w:val="24"/>
          <w:lang w:val="en-US"/>
        </w:rPr>
        <w:t xml:space="preserve"> (Accessed: 21 June 2026).</w:t>
      </w:r>
    </w:p>
    <w:p w14:paraId="442E015B"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Syed, A.B. (2020) The Power of Pricing Strategy: LIDL. WHD Publishing House.</w:t>
      </w:r>
    </w:p>
    <w:p w14:paraId="33F6DACC"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Wang, Y. (2023) ‘A model predicting CRM resource effect on business performance through CRM capabilities’, Wireless Communications and Mobile Computing, 2023(1), p. 9792999.</w:t>
      </w:r>
    </w:p>
    <w:p w14:paraId="20349CAD"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 xml:space="preserve">Woods, M. (2022) ‘Risk Management in Retail: Tesco PLC (2004–2019)’, in Risk Management in </w:t>
      </w:r>
      <w:proofErr w:type="spellStart"/>
      <w:r w:rsidRPr="003A48F1">
        <w:rPr>
          <w:rFonts w:ascii="Arial" w:hAnsi="Arial" w:cs="Arial"/>
          <w:i/>
          <w:iCs/>
          <w:sz w:val="24"/>
          <w:lang w:val="en-US"/>
        </w:rPr>
        <w:t>Organisations</w:t>
      </w:r>
      <w:proofErr w:type="spellEnd"/>
      <w:r w:rsidRPr="003A48F1">
        <w:rPr>
          <w:rFonts w:ascii="Arial" w:hAnsi="Arial" w:cs="Arial"/>
          <w:i/>
          <w:iCs/>
          <w:sz w:val="24"/>
          <w:lang w:val="en-US"/>
        </w:rPr>
        <w:t>. Abingdon: Routledge, pp. 109–156.</w:t>
      </w:r>
    </w:p>
    <w:p w14:paraId="1D6B6726"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Xiao, B., Chen, Q. and Yu, Z. (</w:t>
      </w:r>
      <w:proofErr w:type="gramStart"/>
      <w:r w:rsidRPr="003A48F1">
        <w:rPr>
          <w:rFonts w:ascii="Arial" w:hAnsi="Arial" w:cs="Arial"/>
          <w:i/>
          <w:iCs/>
          <w:sz w:val="24"/>
          <w:lang w:val="en-US"/>
        </w:rPr>
        <w:t>2021) ‘</w:t>
      </w:r>
      <w:proofErr w:type="gramEnd"/>
      <w:r w:rsidRPr="003A48F1">
        <w:rPr>
          <w:rFonts w:ascii="Arial" w:hAnsi="Arial" w:cs="Arial"/>
          <w:i/>
          <w:iCs/>
          <w:sz w:val="24"/>
          <w:lang w:val="en-US"/>
        </w:rPr>
        <w:t xml:space="preserve">Research on the investment value of </w:t>
      </w:r>
      <w:proofErr w:type="gramStart"/>
      <w:r w:rsidRPr="003A48F1">
        <w:rPr>
          <w:rFonts w:ascii="Arial" w:hAnsi="Arial" w:cs="Arial"/>
          <w:i/>
          <w:iCs/>
          <w:sz w:val="24"/>
          <w:lang w:val="en-US"/>
        </w:rPr>
        <w:t>Sainsbury’s’,</w:t>
      </w:r>
      <w:proofErr w:type="gramEnd"/>
      <w:r w:rsidRPr="003A48F1">
        <w:rPr>
          <w:rFonts w:ascii="Arial" w:hAnsi="Arial" w:cs="Arial"/>
          <w:i/>
          <w:iCs/>
          <w:sz w:val="24"/>
          <w:lang w:val="en-US"/>
        </w:rPr>
        <w:t xml:space="preserve"> in Proceedings of the 2021 6th International Conference on Social Sciences and Economic Development (ICSSED 2021). Paris: Atlantis Press, pp. 108–115.</w:t>
      </w:r>
    </w:p>
    <w:p w14:paraId="3C60EF87" w14:textId="77777777" w:rsidR="000E3515" w:rsidRPr="003A48F1" w:rsidRDefault="000E3515" w:rsidP="000E3515">
      <w:pPr>
        <w:pStyle w:val="ListParagraph"/>
        <w:numPr>
          <w:ilvl w:val="0"/>
          <w:numId w:val="1"/>
        </w:numPr>
        <w:spacing w:after="0" w:line="360" w:lineRule="auto"/>
        <w:jc w:val="both"/>
        <w:rPr>
          <w:rFonts w:ascii="Arial" w:hAnsi="Arial" w:cs="Arial"/>
          <w:i/>
          <w:iCs/>
          <w:sz w:val="24"/>
          <w:lang w:val="en-US"/>
        </w:rPr>
      </w:pPr>
      <w:r w:rsidRPr="003A48F1">
        <w:rPr>
          <w:rFonts w:ascii="Arial" w:hAnsi="Arial" w:cs="Arial"/>
          <w:i/>
          <w:iCs/>
          <w:sz w:val="24"/>
          <w:lang w:val="en-US"/>
        </w:rPr>
        <w:t>Yang, Y., Barnes, H., Yang, B., Onofrei, G. and Nguyen, H. (2024) ‘Food waste management for the UK grocery retail sector: A supply chain collaboration perspective’, Production Planning and Control, 35(15), pp. 1961–1974.</w:t>
      </w:r>
    </w:p>
    <w:p w14:paraId="6DD1D5E6" w14:textId="77777777" w:rsidR="00B06EBB" w:rsidRPr="003A48F1" w:rsidRDefault="00B06EBB" w:rsidP="00B06EBB">
      <w:pPr>
        <w:spacing w:after="0" w:line="360" w:lineRule="auto"/>
        <w:jc w:val="both"/>
        <w:rPr>
          <w:rFonts w:ascii="Arial" w:hAnsi="Arial" w:cs="Arial"/>
          <w:sz w:val="24"/>
        </w:rPr>
      </w:pPr>
    </w:p>
    <w:sectPr w:rsidR="00B06EBB" w:rsidRPr="003A48F1" w:rsidSect="00CD2F3D">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85843" w14:textId="77777777" w:rsidR="007F2F51" w:rsidRDefault="007F2F51" w:rsidP="00CD2F3D">
      <w:pPr>
        <w:spacing w:after="0" w:line="240" w:lineRule="auto"/>
      </w:pPr>
      <w:r>
        <w:separator/>
      </w:r>
    </w:p>
  </w:endnote>
  <w:endnote w:type="continuationSeparator" w:id="0">
    <w:p w14:paraId="73C5ECFC" w14:textId="77777777" w:rsidR="007F2F51" w:rsidRDefault="007F2F51" w:rsidP="00CD2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219EA" w14:textId="77777777" w:rsidR="004A20C6" w:rsidRDefault="004A20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613884"/>
      <w:docPartObj>
        <w:docPartGallery w:val="Page Numbers (Bottom of Page)"/>
        <w:docPartUnique/>
      </w:docPartObj>
    </w:sdtPr>
    <w:sdtEndPr>
      <w:rPr>
        <w:color w:val="7F7F7F" w:themeColor="background1" w:themeShade="7F"/>
        <w:spacing w:val="60"/>
      </w:rPr>
    </w:sdtEndPr>
    <w:sdtContent>
      <w:p w14:paraId="27050F58" w14:textId="77777777" w:rsidR="00CD2F3D" w:rsidRDefault="00CD2F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33C8">
          <w:rPr>
            <w:noProof/>
          </w:rPr>
          <w:t>4</w:t>
        </w:r>
        <w:r>
          <w:rPr>
            <w:noProof/>
          </w:rPr>
          <w:fldChar w:fldCharType="end"/>
        </w:r>
        <w:r>
          <w:t xml:space="preserve"> | </w:t>
        </w:r>
        <w:r>
          <w:rPr>
            <w:color w:val="7F7F7F" w:themeColor="background1" w:themeShade="7F"/>
            <w:spacing w:val="60"/>
          </w:rPr>
          <w:t>Page</w:t>
        </w:r>
      </w:p>
    </w:sdtContent>
  </w:sdt>
  <w:p w14:paraId="082A7B9D" w14:textId="77777777" w:rsidR="00CD2F3D" w:rsidRDefault="00CD2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E06CA" w14:textId="77777777" w:rsidR="004A20C6" w:rsidRDefault="004A2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08F65" w14:textId="77777777" w:rsidR="007F2F51" w:rsidRDefault="007F2F51" w:rsidP="00CD2F3D">
      <w:pPr>
        <w:spacing w:after="0" w:line="240" w:lineRule="auto"/>
      </w:pPr>
      <w:r>
        <w:separator/>
      </w:r>
    </w:p>
  </w:footnote>
  <w:footnote w:type="continuationSeparator" w:id="0">
    <w:p w14:paraId="655BBC82" w14:textId="77777777" w:rsidR="007F2F51" w:rsidRDefault="007F2F51" w:rsidP="00CD2F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DA977" w14:textId="77777777" w:rsidR="004A20C6" w:rsidRDefault="004A20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A1F6C" w14:textId="77777777" w:rsidR="004A20C6" w:rsidRDefault="004A20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FC026" w14:textId="77777777" w:rsidR="004A20C6" w:rsidRDefault="004A20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70AD2"/>
    <w:multiLevelType w:val="multilevel"/>
    <w:tmpl w:val="7828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305DE"/>
    <w:multiLevelType w:val="hybridMultilevel"/>
    <w:tmpl w:val="6CF697B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19778BB"/>
    <w:multiLevelType w:val="multilevel"/>
    <w:tmpl w:val="F050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14636D"/>
    <w:multiLevelType w:val="multilevel"/>
    <w:tmpl w:val="23A60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C613DB"/>
    <w:multiLevelType w:val="hybridMultilevel"/>
    <w:tmpl w:val="C99AD264"/>
    <w:lvl w:ilvl="0" w:tplc="DA8268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68A5027"/>
    <w:multiLevelType w:val="hybridMultilevel"/>
    <w:tmpl w:val="7844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814233">
    <w:abstractNumId w:val="1"/>
  </w:num>
  <w:num w:numId="2" w16cid:durableId="2098018882">
    <w:abstractNumId w:val="2"/>
  </w:num>
  <w:num w:numId="3" w16cid:durableId="1135294281">
    <w:abstractNumId w:val="3"/>
  </w:num>
  <w:num w:numId="4" w16cid:durableId="2030836323">
    <w:abstractNumId w:val="0"/>
  </w:num>
  <w:num w:numId="5" w16cid:durableId="2084984284">
    <w:abstractNumId w:val="2"/>
  </w:num>
  <w:num w:numId="6" w16cid:durableId="1898930137">
    <w:abstractNumId w:val="3"/>
  </w:num>
  <w:num w:numId="7" w16cid:durableId="1299336445">
    <w:abstractNumId w:val="5"/>
  </w:num>
  <w:num w:numId="8" w16cid:durableId="19050981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EBB"/>
    <w:rsid w:val="000151A1"/>
    <w:rsid w:val="000C4975"/>
    <w:rsid w:val="000C5B2A"/>
    <w:rsid w:val="000E3515"/>
    <w:rsid w:val="000E5B1A"/>
    <w:rsid w:val="00115C13"/>
    <w:rsid w:val="00121F46"/>
    <w:rsid w:val="00171397"/>
    <w:rsid w:val="001A2055"/>
    <w:rsid w:val="001E5AB9"/>
    <w:rsid w:val="00234C4F"/>
    <w:rsid w:val="003A48F1"/>
    <w:rsid w:val="00415BB1"/>
    <w:rsid w:val="00462249"/>
    <w:rsid w:val="004A20C6"/>
    <w:rsid w:val="004C1D1A"/>
    <w:rsid w:val="004D65D2"/>
    <w:rsid w:val="004E42D1"/>
    <w:rsid w:val="004F60BD"/>
    <w:rsid w:val="005C785B"/>
    <w:rsid w:val="00651D5A"/>
    <w:rsid w:val="00686280"/>
    <w:rsid w:val="00692C87"/>
    <w:rsid w:val="006959F3"/>
    <w:rsid w:val="006D44DE"/>
    <w:rsid w:val="006F0D00"/>
    <w:rsid w:val="00773170"/>
    <w:rsid w:val="007E793C"/>
    <w:rsid w:val="007F2F51"/>
    <w:rsid w:val="00826270"/>
    <w:rsid w:val="008742C0"/>
    <w:rsid w:val="008A07B5"/>
    <w:rsid w:val="008B6BA2"/>
    <w:rsid w:val="008F1A7A"/>
    <w:rsid w:val="00973F54"/>
    <w:rsid w:val="009B5BE0"/>
    <w:rsid w:val="00A35963"/>
    <w:rsid w:val="00A95A64"/>
    <w:rsid w:val="00AC6CB2"/>
    <w:rsid w:val="00AD1E44"/>
    <w:rsid w:val="00B06EBB"/>
    <w:rsid w:val="00B1738E"/>
    <w:rsid w:val="00B36A1D"/>
    <w:rsid w:val="00BC6498"/>
    <w:rsid w:val="00C2695C"/>
    <w:rsid w:val="00C75153"/>
    <w:rsid w:val="00CD2F3D"/>
    <w:rsid w:val="00CD3CF0"/>
    <w:rsid w:val="00D01FB3"/>
    <w:rsid w:val="00D3618F"/>
    <w:rsid w:val="00D42236"/>
    <w:rsid w:val="00D643B3"/>
    <w:rsid w:val="00D6542E"/>
    <w:rsid w:val="00D833C8"/>
    <w:rsid w:val="00D942AE"/>
    <w:rsid w:val="00DF6A17"/>
    <w:rsid w:val="00E76188"/>
    <w:rsid w:val="00E875D8"/>
    <w:rsid w:val="00F27747"/>
    <w:rsid w:val="00F827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3D6DB6"/>
  <w15:chartTrackingRefBased/>
  <w15:docId w15:val="{552F1649-B9E4-424B-BED8-A7F94D3B7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42E"/>
    <w:rPr>
      <w:lang w:val="en-GB"/>
    </w:rPr>
  </w:style>
  <w:style w:type="paragraph" w:styleId="Heading1">
    <w:name w:val="heading 1"/>
    <w:basedOn w:val="Normal"/>
    <w:next w:val="Normal"/>
    <w:link w:val="Heading1Char"/>
    <w:uiPriority w:val="9"/>
    <w:qFormat/>
    <w:rsid w:val="00826270"/>
    <w:pPr>
      <w:keepNext/>
      <w:keepLines/>
      <w:spacing w:before="360" w:after="120"/>
      <w:jc w:val="both"/>
      <w:outlineLvl w:val="0"/>
    </w:pPr>
    <w:rPr>
      <w:rFonts w:ascii="Calibri" w:eastAsiaTheme="majorEastAsia" w:hAnsi="Calibri" w:cstheme="majorBidi"/>
      <w:b/>
      <w:color w:val="1F3864" w:themeColor="accent5" w:themeShade="80"/>
      <w:sz w:val="32"/>
      <w:szCs w:val="32"/>
    </w:rPr>
  </w:style>
  <w:style w:type="paragraph" w:styleId="Heading2">
    <w:name w:val="heading 2"/>
    <w:basedOn w:val="Normal"/>
    <w:next w:val="Normal"/>
    <w:link w:val="Heading2Char"/>
    <w:uiPriority w:val="9"/>
    <w:unhideWhenUsed/>
    <w:qFormat/>
    <w:rsid w:val="00826270"/>
    <w:pPr>
      <w:keepNext/>
      <w:keepLines/>
      <w:spacing w:before="160" w:after="120"/>
      <w:jc w:val="both"/>
      <w:outlineLvl w:val="1"/>
    </w:pPr>
    <w:rPr>
      <w:rFonts w:ascii="Calibri" w:eastAsiaTheme="majorEastAsia" w:hAnsi="Calibri" w:cstheme="majorBidi"/>
      <w:b/>
      <w:color w:val="1F3864" w:themeColor="accent5" w:themeShade="80"/>
      <w:sz w:val="28"/>
      <w:szCs w:val="26"/>
    </w:rPr>
  </w:style>
  <w:style w:type="paragraph" w:styleId="Heading3">
    <w:name w:val="heading 3"/>
    <w:basedOn w:val="Normal"/>
    <w:next w:val="Normal"/>
    <w:link w:val="Heading3Char"/>
    <w:uiPriority w:val="9"/>
    <w:semiHidden/>
    <w:unhideWhenUsed/>
    <w:qFormat/>
    <w:rsid w:val="00D01FB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6270"/>
    <w:rPr>
      <w:rFonts w:ascii="Calibri" w:eastAsiaTheme="majorEastAsia" w:hAnsi="Calibri" w:cstheme="majorBidi"/>
      <w:b/>
      <w:color w:val="1F3864" w:themeColor="accent5" w:themeShade="80"/>
      <w:sz w:val="28"/>
      <w:szCs w:val="26"/>
      <w:lang w:val="en-GB"/>
    </w:rPr>
  </w:style>
  <w:style w:type="character" w:customStyle="1" w:styleId="Heading1Char">
    <w:name w:val="Heading 1 Char"/>
    <w:basedOn w:val="DefaultParagraphFont"/>
    <w:link w:val="Heading1"/>
    <w:uiPriority w:val="9"/>
    <w:rsid w:val="00826270"/>
    <w:rPr>
      <w:rFonts w:ascii="Calibri" w:eastAsiaTheme="majorEastAsia" w:hAnsi="Calibri" w:cstheme="majorBidi"/>
      <w:b/>
      <w:color w:val="1F3864" w:themeColor="accent5" w:themeShade="80"/>
      <w:sz w:val="32"/>
      <w:szCs w:val="32"/>
      <w:lang w:val="en-GB"/>
    </w:rPr>
  </w:style>
  <w:style w:type="character" w:styleId="Hyperlink">
    <w:name w:val="Hyperlink"/>
    <w:basedOn w:val="DefaultParagraphFont"/>
    <w:uiPriority w:val="99"/>
    <w:unhideWhenUsed/>
    <w:rsid w:val="000E3515"/>
    <w:rPr>
      <w:color w:val="0563C1" w:themeColor="hyperlink"/>
      <w:u w:val="single"/>
    </w:rPr>
  </w:style>
  <w:style w:type="paragraph" w:styleId="ListParagraph">
    <w:name w:val="List Paragraph"/>
    <w:basedOn w:val="Normal"/>
    <w:uiPriority w:val="34"/>
    <w:qFormat/>
    <w:rsid w:val="000E3515"/>
    <w:pPr>
      <w:ind w:left="720"/>
      <w:contextualSpacing/>
    </w:pPr>
  </w:style>
  <w:style w:type="paragraph" w:styleId="Header">
    <w:name w:val="header"/>
    <w:basedOn w:val="Normal"/>
    <w:link w:val="HeaderChar"/>
    <w:uiPriority w:val="99"/>
    <w:unhideWhenUsed/>
    <w:rsid w:val="00CD2F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F3D"/>
    <w:rPr>
      <w:lang w:val="en-GB"/>
    </w:rPr>
  </w:style>
  <w:style w:type="paragraph" w:styleId="Footer">
    <w:name w:val="footer"/>
    <w:basedOn w:val="Normal"/>
    <w:link w:val="FooterChar"/>
    <w:uiPriority w:val="99"/>
    <w:unhideWhenUsed/>
    <w:rsid w:val="00CD2F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F3D"/>
    <w:rPr>
      <w:lang w:val="en-GB"/>
    </w:rPr>
  </w:style>
  <w:style w:type="character" w:customStyle="1" w:styleId="Heading3Char">
    <w:name w:val="Heading 3 Char"/>
    <w:basedOn w:val="DefaultParagraphFont"/>
    <w:link w:val="Heading3"/>
    <w:uiPriority w:val="9"/>
    <w:semiHidden/>
    <w:rsid w:val="00D01FB3"/>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F82749"/>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82749"/>
    <w:pPr>
      <w:spacing w:after="100"/>
    </w:pPr>
  </w:style>
  <w:style w:type="paragraph" w:styleId="TOC2">
    <w:name w:val="toc 2"/>
    <w:basedOn w:val="Normal"/>
    <w:next w:val="Normal"/>
    <w:autoRedefine/>
    <w:uiPriority w:val="39"/>
    <w:unhideWhenUsed/>
    <w:rsid w:val="00F82749"/>
    <w:pPr>
      <w:spacing w:after="100"/>
      <w:ind w:left="220"/>
    </w:pPr>
  </w:style>
  <w:style w:type="character" w:styleId="UnresolvedMention">
    <w:name w:val="Unresolved Mention"/>
    <w:basedOn w:val="DefaultParagraphFont"/>
    <w:uiPriority w:val="99"/>
    <w:semiHidden/>
    <w:unhideWhenUsed/>
    <w:rsid w:val="00A35963"/>
    <w:rPr>
      <w:color w:val="605E5C"/>
      <w:shd w:val="clear" w:color="auto" w:fill="E1DFDD"/>
    </w:rPr>
  </w:style>
  <w:style w:type="table" w:styleId="TableGrid">
    <w:name w:val="Table Grid"/>
    <w:basedOn w:val="TableNormal"/>
    <w:uiPriority w:val="39"/>
    <w:rsid w:val="006862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4479">
      <w:bodyDiv w:val="1"/>
      <w:marLeft w:val="0"/>
      <w:marRight w:val="0"/>
      <w:marTop w:val="0"/>
      <w:marBottom w:val="0"/>
      <w:divBdr>
        <w:top w:val="none" w:sz="0" w:space="0" w:color="auto"/>
        <w:left w:val="none" w:sz="0" w:space="0" w:color="auto"/>
        <w:bottom w:val="none" w:sz="0" w:space="0" w:color="auto"/>
        <w:right w:val="none" w:sz="0" w:space="0" w:color="auto"/>
      </w:divBdr>
      <w:divsChild>
        <w:div w:id="1124814462">
          <w:marLeft w:val="0"/>
          <w:marRight w:val="0"/>
          <w:marTop w:val="0"/>
          <w:marBottom w:val="0"/>
          <w:divBdr>
            <w:top w:val="none" w:sz="0" w:space="0" w:color="auto"/>
            <w:left w:val="none" w:sz="0" w:space="0" w:color="auto"/>
            <w:bottom w:val="none" w:sz="0" w:space="0" w:color="auto"/>
            <w:right w:val="none" w:sz="0" w:space="0" w:color="auto"/>
          </w:divBdr>
          <w:divsChild>
            <w:div w:id="1415280079">
              <w:marLeft w:val="0"/>
              <w:marRight w:val="0"/>
              <w:marTop w:val="0"/>
              <w:marBottom w:val="0"/>
              <w:divBdr>
                <w:top w:val="none" w:sz="0" w:space="0" w:color="auto"/>
                <w:left w:val="none" w:sz="0" w:space="0" w:color="auto"/>
                <w:bottom w:val="none" w:sz="0" w:space="0" w:color="auto"/>
                <w:right w:val="none" w:sz="0" w:space="0" w:color="auto"/>
              </w:divBdr>
            </w:div>
          </w:divsChild>
        </w:div>
        <w:div w:id="95641539">
          <w:marLeft w:val="0"/>
          <w:marRight w:val="0"/>
          <w:marTop w:val="0"/>
          <w:marBottom w:val="0"/>
          <w:divBdr>
            <w:top w:val="none" w:sz="0" w:space="0" w:color="auto"/>
            <w:left w:val="none" w:sz="0" w:space="0" w:color="auto"/>
            <w:bottom w:val="none" w:sz="0" w:space="0" w:color="auto"/>
            <w:right w:val="none" w:sz="0" w:space="0" w:color="auto"/>
          </w:divBdr>
          <w:divsChild>
            <w:div w:id="1761560431">
              <w:marLeft w:val="0"/>
              <w:marRight w:val="0"/>
              <w:marTop w:val="0"/>
              <w:marBottom w:val="0"/>
              <w:divBdr>
                <w:top w:val="none" w:sz="0" w:space="0" w:color="auto"/>
                <w:left w:val="none" w:sz="0" w:space="0" w:color="auto"/>
                <w:bottom w:val="none" w:sz="0" w:space="0" w:color="auto"/>
                <w:right w:val="none" w:sz="0" w:space="0" w:color="auto"/>
              </w:divBdr>
            </w:div>
          </w:divsChild>
        </w:div>
        <w:div w:id="425731705">
          <w:marLeft w:val="0"/>
          <w:marRight w:val="0"/>
          <w:marTop w:val="0"/>
          <w:marBottom w:val="0"/>
          <w:divBdr>
            <w:top w:val="none" w:sz="0" w:space="0" w:color="auto"/>
            <w:left w:val="none" w:sz="0" w:space="0" w:color="auto"/>
            <w:bottom w:val="none" w:sz="0" w:space="0" w:color="auto"/>
            <w:right w:val="none" w:sz="0" w:space="0" w:color="auto"/>
          </w:divBdr>
          <w:divsChild>
            <w:div w:id="1666325290">
              <w:marLeft w:val="0"/>
              <w:marRight w:val="0"/>
              <w:marTop w:val="0"/>
              <w:marBottom w:val="0"/>
              <w:divBdr>
                <w:top w:val="none" w:sz="0" w:space="0" w:color="auto"/>
                <w:left w:val="none" w:sz="0" w:space="0" w:color="auto"/>
                <w:bottom w:val="none" w:sz="0" w:space="0" w:color="auto"/>
                <w:right w:val="none" w:sz="0" w:space="0" w:color="auto"/>
              </w:divBdr>
            </w:div>
          </w:divsChild>
        </w:div>
        <w:div w:id="180123088">
          <w:marLeft w:val="0"/>
          <w:marRight w:val="0"/>
          <w:marTop w:val="0"/>
          <w:marBottom w:val="0"/>
          <w:divBdr>
            <w:top w:val="none" w:sz="0" w:space="0" w:color="auto"/>
            <w:left w:val="none" w:sz="0" w:space="0" w:color="auto"/>
            <w:bottom w:val="none" w:sz="0" w:space="0" w:color="auto"/>
            <w:right w:val="none" w:sz="0" w:space="0" w:color="auto"/>
          </w:divBdr>
          <w:divsChild>
            <w:div w:id="213964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86347">
      <w:bodyDiv w:val="1"/>
      <w:marLeft w:val="0"/>
      <w:marRight w:val="0"/>
      <w:marTop w:val="0"/>
      <w:marBottom w:val="0"/>
      <w:divBdr>
        <w:top w:val="none" w:sz="0" w:space="0" w:color="auto"/>
        <w:left w:val="none" w:sz="0" w:space="0" w:color="auto"/>
        <w:bottom w:val="none" w:sz="0" w:space="0" w:color="auto"/>
        <w:right w:val="none" w:sz="0" w:space="0" w:color="auto"/>
      </w:divBdr>
      <w:divsChild>
        <w:div w:id="511650932">
          <w:marLeft w:val="0"/>
          <w:marRight w:val="0"/>
          <w:marTop w:val="0"/>
          <w:marBottom w:val="0"/>
          <w:divBdr>
            <w:top w:val="none" w:sz="0" w:space="0" w:color="auto"/>
            <w:left w:val="none" w:sz="0" w:space="0" w:color="auto"/>
            <w:bottom w:val="none" w:sz="0" w:space="0" w:color="auto"/>
            <w:right w:val="none" w:sz="0" w:space="0" w:color="auto"/>
          </w:divBdr>
          <w:divsChild>
            <w:div w:id="153507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61464">
      <w:bodyDiv w:val="1"/>
      <w:marLeft w:val="0"/>
      <w:marRight w:val="0"/>
      <w:marTop w:val="0"/>
      <w:marBottom w:val="0"/>
      <w:divBdr>
        <w:top w:val="none" w:sz="0" w:space="0" w:color="auto"/>
        <w:left w:val="none" w:sz="0" w:space="0" w:color="auto"/>
        <w:bottom w:val="none" w:sz="0" w:space="0" w:color="auto"/>
        <w:right w:val="none" w:sz="0" w:space="0" w:color="auto"/>
      </w:divBdr>
    </w:div>
    <w:div w:id="268856555">
      <w:bodyDiv w:val="1"/>
      <w:marLeft w:val="0"/>
      <w:marRight w:val="0"/>
      <w:marTop w:val="0"/>
      <w:marBottom w:val="0"/>
      <w:divBdr>
        <w:top w:val="none" w:sz="0" w:space="0" w:color="auto"/>
        <w:left w:val="none" w:sz="0" w:space="0" w:color="auto"/>
        <w:bottom w:val="none" w:sz="0" w:space="0" w:color="auto"/>
        <w:right w:val="none" w:sz="0" w:space="0" w:color="auto"/>
      </w:divBdr>
      <w:divsChild>
        <w:div w:id="477915497">
          <w:marLeft w:val="0"/>
          <w:marRight w:val="0"/>
          <w:marTop w:val="0"/>
          <w:marBottom w:val="0"/>
          <w:divBdr>
            <w:top w:val="none" w:sz="0" w:space="0" w:color="auto"/>
            <w:left w:val="none" w:sz="0" w:space="0" w:color="auto"/>
            <w:bottom w:val="none" w:sz="0" w:space="0" w:color="auto"/>
            <w:right w:val="none" w:sz="0" w:space="0" w:color="auto"/>
          </w:divBdr>
          <w:divsChild>
            <w:div w:id="2021349590">
              <w:marLeft w:val="0"/>
              <w:marRight w:val="0"/>
              <w:marTop w:val="0"/>
              <w:marBottom w:val="0"/>
              <w:divBdr>
                <w:top w:val="none" w:sz="0" w:space="0" w:color="auto"/>
                <w:left w:val="none" w:sz="0" w:space="0" w:color="auto"/>
                <w:bottom w:val="none" w:sz="0" w:space="0" w:color="auto"/>
                <w:right w:val="none" w:sz="0" w:space="0" w:color="auto"/>
              </w:divBdr>
            </w:div>
          </w:divsChild>
        </w:div>
        <w:div w:id="1511523726">
          <w:marLeft w:val="0"/>
          <w:marRight w:val="0"/>
          <w:marTop w:val="0"/>
          <w:marBottom w:val="0"/>
          <w:divBdr>
            <w:top w:val="none" w:sz="0" w:space="0" w:color="auto"/>
            <w:left w:val="none" w:sz="0" w:space="0" w:color="auto"/>
            <w:bottom w:val="none" w:sz="0" w:space="0" w:color="auto"/>
            <w:right w:val="none" w:sz="0" w:space="0" w:color="auto"/>
          </w:divBdr>
          <w:divsChild>
            <w:div w:id="2055234396">
              <w:marLeft w:val="0"/>
              <w:marRight w:val="0"/>
              <w:marTop w:val="0"/>
              <w:marBottom w:val="0"/>
              <w:divBdr>
                <w:top w:val="none" w:sz="0" w:space="0" w:color="auto"/>
                <w:left w:val="none" w:sz="0" w:space="0" w:color="auto"/>
                <w:bottom w:val="none" w:sz="0" w:space="0" w:color="auto"/>
                <w:right w:val="none" w:sz="0" w:space="0" w:color="auto"/>
              </w:divBdr>
            </w:div>
          </w:divsChild>
        </w:div>
        <w:div w:id="931937979">
          <w:marLeft w:val="0"/>
          <w:marRight w:val="0"/>
          <w:marTop w:val="0"/>
          <w:marBottom w:val="0"/>
          <w:divBdr>
            <w:top w:val="none" w:sz="0" w:space="0" w:color="auto"/>
            <w:left w:val="none" w:sz="0" w:space="0" w:color="auto"/>
            <w:bottom w:val="none" w:sz="0" w:space="0" w:color="auto"/>
            <w:right w:val="none" w:sz="0" w:space="0" w:color="auto"/>
          </w:divBdr>
          <w:divsChild>
            <w:div w:id="518277260">
              <w:marLeft w:val="0"/>
              <w:marRight w:val="0"/>
              <w:marTop w:val="0"/>
              <w:marBottom w:val="0"/>
              <w:divBdr>
                <w:top w:val="none" w:sz="0" w:space="0" w:color="auto"/>
                <w:left w:val="none" w:sz="0" w:space="0" w:color="auto"/>
                <w:bottom w:val="none" w:sz="0" w:space="0" w:color="auto"/>
                <w:right w:val="none" w:sz="0" w:space="0" w:color="auto"/>
              </w:divBdr>
            </w:div>
          </w:divsChild>
        </w:div>
        <w:div w:id="1423184907">
          <w:marLeft w:val="0"/>
          <w:marRight w:val="0"/>
          <w:marTop w:val="0"/>
          <w:marBottom w:val="0"/>
          <w:divBdr>
            <w:top w:val="none" w:sz="0" w:space="0" w:color="auto"/>
            <w:left w:val="none" w:sz="0" w:space="0" w:color="auto"/>
            <w:bottom w:val="none" w:sz="0" w:space="0" w:color="auto"/>
            <w:right w:val="none" w:sz="0" w:space="0" w:color="auto"/>
          </w:divBdr>
          <w:divsChild>
            <w:div w:id="4595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823189">
      <w:bodyDiv w:val="1"/>
      <w:marLeft w:val="0"/>
      <w:marRight w:val="0"/>
      <w:marTop w:val="0"/>
      <w:marBottom w:val="0"/>
      <w:divBdr>
        <w:top w:val="none" w:sz="0" w:space="0" w:color="auto"/>
        <w:left w:val="none" w:sz="0" w:space="0" w:color="auto"/>
        <w:bottom w:val="none" w:sz="0" w:space="0" w:color="auto"/>
        <w:right w:val="none" w:sz="0" w:space="0" w:color="auto"/>
      </w:divBdr>
    </w:div>
    <w:div w:id="301737324">
      <w:bodyDiv w:val="1"/>
      <w:marLeft w:val="0"/>
      <w:marRight w:val="0"/>
      <w:marTop w:val="0"/>
      <w:marBottom w:val="0"/>
      <w:divBdr>
        <w:top w:val="none" w:sz="0" w:space="0" w:color="auto"/>
        <w:left w:val="none" w:sz="0" w:space="0" w:color="auto"/>
        <w:bottom w:val="none" w:sz="0" w:space="0" w:color="auto"/>
        <w:right w:val="none" w:sz="0" w:space="0" w:color="auto"/>
      </w:divBdr>
      <w:divsChild>
        <w:div w:id="1570263174">
          <w:marLeft w:val="0"/>
          <w:marRight w:val="0"/>
          <w:marTop w:val="0"/>
          <w:marBottom w:val="0"/>
          <w:divBdr>
            <w:top w:val="none" w:sz="0" w:space="0" w:color="auto"/>
            <w:left w:val="none" w:sz="0" w:space="0" w:color="auto"/>
            <w:bottom w:val="none" w:sz="0" w:space="0" w:color="auto"/>
            <w:right w:val="none" w:sz="0" w:space="0" w:color="auto"/>
          </w:divBdr>
          <w:divsChild>
            <w:div w:id="1048334684">
              <w:marLeft w:val="0"/>
              <w:marRight w:val="0"/>
              <w:marTop w:val="0"/>
              <w:marBottom w:val="0"/>
              <w:divBdr>
                <w:top w:val="none" w:sz="0" w:space="0" w:color="auto"/>
                <w:left w:val="none" w:sz="0" w:space="0" w:color="auto"/>
                <w:bottom w:val="none" w:sz="0" w:space="0" w:color="auto"/>
                <w:right w:val="none" w:sz="0" w:space="0" w:color="auto"/>
              </w:divBdr>
            </w:div>
          </w:divsChild>
        </w:div>
        <w:div w:id="1877768373">
          <w:marLeft w:val="0"/>
          <w:marRight w:val="0"/>
          <w:marTop w:val="0"/>
          <w:marBottom w:val="0"/>
          <w:divBdr>
            <w:top w:val="none" w:sz="0" w:space="0" w:color="auto"/>
            <w:left w:val="none" w:sz="0" w:space="0" w:color="auto"/>
            <w:bottom w:val="none" w:sz="0" w:space="0" w:color="auto"/>
            <w:right w:val="none" w:sz="0" w:space="0" w:color="auto"/>
          </w:divBdr>
          <w:divsChild>
            <w:div w:id="1019820045">
              <w:marLeft w:val="0"/>
              <w:marRight w:val="0"/>
              <w:marTop w:val="0"/>
              <w:marBottom w:val="0"/>
              <w:divBdr>
                <w:top w:val="none" w:sz="0" w:space="0" w:color="auto"/>
                <w:left w:val="none" w:sz="0" w:space="0" w:color="auto"/>
                <w:bottom w:val="none" w:sz="0" w:space="0" w:color="auto"/>
                <w:right w:val="none" w:sz="0" w:space="0" w:color="auto"/>
              </w:divBdr>
            </w:div>
          </w:divsChild>
        </w:div>
        <w:div w:id="7875676">
          <w:marLeft w:val="0"/>
          <w:marRight w:val="0"/>
          <w:marTop w:val="0"/>
          <w:marBottom w:val="0"/>
          <w:divBdr>
            <w:top w:val="none" w:sz="0" w:space="0" w:color="auto"/>
            <w:left w:val="none" w:sz="0" w:space="0" w:color="auto"/>
            <w:bottom w:val="none" w:sz="0" w:space="0" w:color="auto"/>
            <w:right w:val="none" w:sz="0" w:space="0" w:color="auto"/>
          </w:divBdr>
          <w:divsChild>
            <w:div w:id="1843469968">
              <w:marLeft w:val="0"/>
              <w:marRight w:val="0"/>
              <w:marTop w:val="0"/>
              <w:marBottom w:val="0"/>
              <w:divBdr>
                <w:top w:val="none" w:sz="0" w:space="0" w:color="auto"/>
                <w:left w:val="none" w:sz="0" w:space="0" w:color="auto"/>
                <w:bottom w:val="none" w:sz="0" w:space="0" w:color="auto"/>
                <w:right w:val="none" w:sz="0" w:space="0" w:color="auto"/>
              </w:divBdr>
            </w:div>
          </w:divsChild>
        </w:div>
        <w:div w:id="671417925">
          <w:marLeft w:val="0"/>
          <w:marRight w:val="0"/>
          <w:marTop w:val="0"/>
          <w:marBottom w:val="0"/>
          <w:divBdr>
            <w:top w:val="none" w:sz="0" w:space="0" w:color="auto"/>
            <w:left w:val="none" w:sz="0" w:space="0" w:color="auto"/>
            <w:bottom w:val="none" w:sz="0" w:space="0" w:color="auto"/>
            <w:right w:val="none" w:sz="0" w:space="0" w:color="auto"/>
          </w:divBdr>
          <w:divsChild>
            <w:div w:id="1608735328">
              <w:marLeft w:val="0"/>
              <w:marRight w:val="0"/>
              <w:marTop w:val="0"/>
              <w:marBottom w:val="0"/>
              <w:divBdr>
                <w:top w:val="none" w:sz="0" w:space="0" w:color="auto"/>
                <w:left w:val="none" w:sz="0" w:space="0" w:color="auto"/>
                <w:bottom w:val="none" w:sz="0" w:space="0" w:color="auto"/>
                <w:right w:val="none" w:sz="0" w:space="0" w:color="auto"/>
              </w:divBdr>
            </w:div>
          </w:divsChild>
        </w:div>
        <w:div w:id="485122854">
          <w:marLeft w:val="0"/>
          <w:marRight w:val="0"/>
          <w:marTop w:val="0"/>
          <w:marBottom w:val="0"/>
          <w:divBdr>
            <w:top w:val="none" w:sz="0" w:space="0" w:color="auto"/>
            <w:left w:val="none" w:sz="0" w:space="0" w:color="auto"/>
            <w:bottom w:val="none" w:sz="0" w:space="0" w:color="auto"/>
            <w:right w:val="none" w:sz="0" w:space="0" w:color="auto"/>
          </w:divBdr>
          <w:divsChild>
            <w:div w:id="255409237">
              <w:marLeft w:val="0"/>
              <w:marRight w:val="0"/>
              <w:marTop w:val="0"/>
              <w:marBottom w:val="0"/>
              <w:divBdr>
                <w:top w:val="none" w:sz="0" w:space="0" w:color="auto"/>
                <w:left w:val="none" w:sz="0" w:space="0" w:color="auto"/>
                <w:bottom w:val="none" w:sz="0" w:space="0" w:color="auto"/>
                <w:right w:val="none" w:sz="0" w:space="0" w:color="auto"/>
              </w:divBdr>
            </w:div>
          </w:divsChild>
        </w:div>
        <w:div w:id="1913735004">
          <w:marLeft w:val="0"/>
          <w:marRight w:val="0"/>
          <w:marTop w:val="0"/>
          <w:marBottom w:val="0"/>
          <w:divBdr>
            <w:top w:val="none" w:sz="0" w:space="0" w:color="auto"/>
            <w:left w:val="none" w:sz="0" w:space="0" w:color="auto"/>
            <w:bottom w:val="none" w:sz="0" w:space="0" w:color="auto"/>
            <w:right w:val="none" w:sz="0" w:space="0" w:color="auto"/>
          </w:divBdr>
          <w:divsChild>
            <w:div w:id="154155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224460">
      <w:bodyDiv w:val="1"/>
      <w:marLeft w:val="0"/>
      <w:marRight w:val="0"/>
      <w:marTop w:val="0"/>
      <w:marBottom w:val="0"/>
      <w:divBdr>
        <w:top w:val="none" w:sz="0" w:space="0" w:color="auto"/>
        <w:left w:val="none" w:sz="0" w:space="0" w:color="auto"/>
        <w:bottom w:val="none" w:sz="0" w:space="0" w:color="auto"/>
        <w:right w:val="none" w:sz="0" w:space="0" w:color="auto"/>
      </w:divBdr>
    </w:div>
    <w:div w:id="376898990">
      <w:bodyDiv w:val="1"/>
      <w:marLeft w:val="0"/>
      <w:marRight w:val="0"/>
      <w:marTop w:val="0"/>
      <w:marBottom w:val="0"/>
      <w:divBdr>
        <w:top w:val="none" w:sz="0" w:space="0" w:color="auto"/>
        <w:left w:val="none" w:sz="0" w:space="0" w:color="auto"/>
        <w:bottom w:val="none" w:sz="0" w:space="0" w:color="auto"/>
        <w:right w:val="none" w:sz="0" w:space="0" w:color="auto"/>
      </w:divBdr>
    </w:div>
    <w:div w:id="444203893">
      <w:bodyDiv w:val="1"/>
      <w:marLeft w:val="0"/>
      <w:marRight w:val="0"/>
      <w:marTop w:val="0"/>
      <w:marBottom w:val="0"/>
      <w:divBdr>
        <w:top w:val="none" w:sz="0" w:space="0" w:color="auto"/>
        <w:left w:val="none" w:sz="0" w:space="0" w:color="auto"/>
        <w:bottom w:val="none" w:sz="0" w:space="0" w:color="auto"/>
        <w:right w:val="none" w:sz="0" w:space="0" w:color="auto"/>
      </w:divBdr>
    </w:div>
    <w:div w:id="747535970">
      <w:bodyDiv w:val="1"/>
      <w:marLeft w:val="0"/>
      <w:marRight w:val="0"/>
      <w:marTop w:val="0"/>
      <w:marBottom w:val="0"/>
      <w:divBdr>
        <w:top w:val="none" w:sz="0" w:space="0" w:color="auto"/>
        <w:left w:val="none" w:sz="0" w:space="0" w:color="auto"/>
        <w:bottom w:val="none" w:sz="0" w:space="0" w:color="auto"/>
        <w:right w:val="none" w:sz="0" w:space="0" w:color="auto"/>
      </w:divBdr>
    </w:div>
    <w:div w:id="897781699">
      <w:bodyDiv w:val="1"/>
      <w:marLeft w:val="0"/>
      <w:marRight w:val="0"/>
      <w:marTop w:val="0"/>
      <w:marBottom w:val="0"/>
      <w:divBdr>
        <w:top w:val="none" w:sz="0" w:space="0" w:color="auto"/>
        <w:left w:val="none" w:sz="0" w:space="0" w:color="auto"/>
        <w:bottom w:val="none" w:sz="0" w:space="0" w:color="auto"/>
        <w:right w:val="none" w:sz="0" w:space="0" w:color="auto"/>
      </w:divBdr>
    </w:div>
    <w:div w:id="1143498829">
      <w:bodyDiv w:val="1"/>
      <w:marLeft w:val="0"/>
      <w:marRight w:val="0"/>
      <w:marTop w:val="0"/>
      <w:marBottom w:val="0"/>
      <w:divBdr>
        <w:top w:val="none" w:sz="0" w:space="0" w:color="auto"/>
        <w:left w:val="none" w:sz="0" w:space="0" w:color="auto"/>
        <w:bottom w:val="none" w:sz="0" w:space="0" w:color="auto"/>
        <w:right w:val="none" w:sz="0" w:space="0" w:color="auto"/>
      </w:divBdr>
      <w:divsChild>
        <w:div w:id="2031832361">
          <w:marLeft w:val="0"/>
          <w:marRight w:val="0"/>
          <w:marTop w:val="0"/>
          <w:marBottom w:val="0"/>
          <w:divBdr>
            <w:top w:val="none" w:sz="0" w:space="0" w:color="auto"/>
            <w:left w:val="none" w:sz="0" w:space="0" w:color="auto"/>
            <w:bottom w:val="none" w:sz="0" w:space="0" w:color="auto"/>
            <w:right w:val="none" w:sz="0" w:space="0" w:color="auto"/>
          </w:divBdr>
          <w:divsChild>
            <w:div w:id="50378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701635">
      <w:bodyDiv w:val="1"/>
      <w:marLeft w:val="0"/>
      <w:marRight w:val="0"/>
      <w:marTop w:val="0"/>
      <w:marBottom w:val="0"/>
      <w:divBdr>
        <w:top w:val="none" w:sz="0" w:space="0" w:color="auto"/>
        <w:left w:val="none" w:sz="0" w:space="0" w:color="auto"/>
        <w:bottom w:val="none" w:sz="0" w:space="0" w:color="auto"/>
        <w:right w:val="none" w:sz="0" w:space="0" w:color="auto"/>
      </w:divBdr>
    </w:div>
    <w:div w:id="1344091879">
      <w:bodyDiv w:val="1"/>
      <w:marLeft w:val="0"/>
      <w:marRight w:val="0"/>
      <w:marTop w:val="0"/>
      <w:marBottom w:val="0"/>
      <w:divBdr>
        <w:top w:val="none" w:sz="0" w:space="0" w:color="auto"/>
        <w:left w:val="none" w:sz="0" w:space="0" w:color="auto"/>
        <w:bottom w:val="none" w:sz="0" w:space="0" w:color="auto"/>
        <w:right w:val="none" w:sz="0" w:space="0" w:color="auto"/>
      </w:divBdr>
      <w:divsChild>
        <w:div w:id="766274786">
          <w:marLeft w:val="0"/>
          <w:marRight w:val="0"/>
          <w:marTop w:val="0"/>
          <w:marBottom w:val="0"/>
          <w:divBdr>
            <w:top w:val="none" w:sz="0" w:space="0" w:color="auto"/>
            <w:left w:val="none" w:sz="0" w:space="0" w:color="auto"/>
            <w:bottom w:val="none" w:sz="0" w:space="0" w:color="auto"/>
            <w:right w:val="none" w:sz="0" w:space="0" w:color="auto"/>
          </w:divBdr>
          <w:divsChild>
            <w:div w:id="960719871">
              <w:marLeft w:val="0"/>
              <w:marRight w:val="0"/>
              <w:marTop w:val="0"/>
              <w:marBottom w:val="0"/>
              <w:divBdr>
                <w:top w:val="none" w:sz="0" w:space="0" w:color="auto"/>
                <w:left w:val="none" w:sz="0" w:space="0" w:color="auto"/>
                <w:bottom w:val="none" w:sz="0" w:space="0" w:color="auto"/>
                <w:right w:val="none" w:sz="0" w:space="0" w:color="auto"/>
              </w:divBdr>
            </w:div>
          </w:divsChild>
        </w:div>
        <w:div w:id="1173646053">
          <w:marLeft w:val="0"/>
          <w:marRight w:val="0"/>
          <w:marTop w:val="0"/>
          <w:marBottom w:val="0"/>
          <w:divBdr>
            <w:top w:val="none" w:sz="0" w:space="0" w:color="auto"/>
            <w:left w:val="none" w:sz="0" w:space="0" w:color="auto"/>
            <w:bottom w:val="none" w:sz="0" w:space="0" w:color="auto"/>
            <w:right w:val="none" w:sz="0" w:space="0" w:color="auto"/>
          </w:divBdr>
          <w:divsChild>
            <w:div w:id="1256137429">
              <w:marLeft w:val="0"/>
              <w:marRight w:val="0"/>
              <w:marTop w:val="0"/>
              <w:marBottom w:val="0"/>
              <w:divBdr>
                <w:top w:val="none" w:sz="0" w:space="0" w:color="auto"/>
                <w:left w:val="none" w:sz="0" w:space="0" w:color="auto"/>
                <w:bottom w:val="none" w:sz="0" w:space="0" w:color="auto"/>
                <w:right w:val="none" w:sz="0" w:space="0" w:color="auto"/>
              </w:divBdr>
            </w:div>
          </w:divsChild>
        </w:div>
        <w:div w:id="1788236910">
          <w:marLeft w:val="0"/>
          <w:marRight w:val="0"/>
          <w:marTop w:val="0"/>
          <w:marBottom w:val="0"/>
          <w:divBdr>
            <w:top w:val="none" w:sz="0" w:space="0" w:color="auto"/>
            <w:left w:val="none" w:sz="0" w:space="0" w:color="auto"/>
            <w:bottom w:val="none" w:sz="0" w:space="0" w:color="auto"/>
            <w:right w:val="none" w:sz="0" w:space="0" w:color="auto"/>
          </w:divBdr>
          <w:divsChild>
            <w:div w:id="1820804747">
              <w:marLeft w:val="0"/>
              <w:marRight w:val="0"/>
              <w:marTop w:val="0"/>
              <w:marBottom w:val="0"/>
              <w:divBdr>
                <w:top w:val="none" w:sz="0" w:space="0" w:color="auto"/>
                <w:left w:val="none" w:sz="0" w:space="0" w:color="auto"/>
                <w:bottom w:val="none" w:sz="0" w:space="0" w:color="auto"/>
                <w:right w:val="none" w:sz="0" w:space="0" w:color="auto"/>
              </w:divBdr>
            </w:div>
          </w:divsChild>
        </w:div>
        <w:div w:id="1923492024">
          <w:marLeft w:val="0"/>
          <w:marRight w:val="0"/>
          <w:marTop w:val="0"/>
          <w:marBottom w:val="0"/>
          <w:divBdr>
            <w:top w:val="none" w:sz="0" w:space="0" w:color="auto"/>
            <w:left w:val="none" w:sz="0" w:space="0" w:color="auto"/>
            <w:bottom w:val="none" w:sz="0" w:space="0" w:color="auto"/>
            <w:right w:val="none" w:sz="0" w:space="0" w:color="auto"/>
          </w:divBdr>
          <w:divsChild>
            <w:div w:id="775641534">
              <w:marLeft w:val="0"/>
              <w:marRight w:val="0"/>
              <w:marTop w:val="0"/>
              <w:marBottom w:val="0"/>
              <w:divBdr>
                <w:top w:val="none" w:sz="0" w:space="0" w:color="auto"/>
                <w:left w:val="none" w:sz="0" w:space="0" w:color="auto"/>
                <w:bottom w:val="none" w:sz="0" w:space="0" w:color="auto"/>
                <w:right w:val="none" w:sz="0" w:space="0" w:color="auto"/>
              </w:divBdr>
            </w:div>
          </w:divsChild>
        </w:div>
        <w:div w:id="1722826004">
          <w:marLeft w:val="0"/>
          <w:marRight w:val="0"/>
          <w:marTop w:val="0"/>
          <w:marBottom w:val="0"/>
          <w:divBdr>
            <w:top w:val="none" w:sz="0" w:space="0" w:color="auto"/>
            <w:left w:val="none" w:sz="0" w:space="0" w:color="auto"/>
            <w:bottom w:val="none" w:sz="0" w:space="0" w:color="auto"/>
            <w:right w:val="none" w:sz="0" w:space="0" w:color="auto"/>
          </w:divBdr>
          <w:divsChild>
            <w:div w:id="690298765">
              <w:marLeft w:val="0"/>
              <w:marRight w:val="0"/>
              <w:marTop w:val="0"/>
              <w:marBottom w:val="0"/>
              <w:divBdr>
                <w:top w:val="none" w:sz="0" w:space="0" w:color="auto"/>
                <w:left w:val="none" w:sz="0" w:space="0" w:color="auto"/>
                <w:bottom w:val="none" w:sz="0" w:space="0" w:color="auto"/>
                <w:right w:val="none" w:sz="0" w:space="0" w:color="auto"/>
              </w:divBdr>
            </w:div>
          </w:divsChild>
        </w:div>
        <w:div w:id="273832477">
          <w:marLeft w:val="0"/>
          <w:marRight w:val="0"/>
          <w:marTop w:val="0"/>
          <w:marBottom w:val="0"/>
          <w:divBdr>
            <w:top w:val="none" w:sz="0" w:space="0" w:color="auto"/>
            <w:left w:val="none" w:sz="0" w:space="0" w:color="auto"/>
            <w:bottom w:val="none" w:sz="0" w:space="0" w:color="auto"/>
            <w:right w:val="none" w:sz="0" w:space="0" w:color="auto"/>
          </w:divBdr>
          <w:divsChild>
            <w:div w:id="140853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128373">
      <w:bodyDiv w:val="1"/>
      <w:marLeft w:val="0"/>
      <w:marRight w:val="0"/>
      <w:marTop w:val="0"/>
      <w:marBottom w:val="0"/>
      <w:divBdr>
        <w:top w:val="none" w:sz="0" w:space="0" w:color="auto"/>
        <w:left w:val="none" w:sz="0" w:space="0" w:color="auto"/>
        <w:bottom w:val="none" w:sz="0" w:space="0" w:color="auto"/>
        <w:right w:val="none" w:sz="0" w:space="0" w:color="auto"/>
      </w:divBdr>
    </w:div>
    <w:div w:id="1667320022">
      <w:bodyDiv w:val="1"/>
      <w:marLeft w:val="0"/>
      <w:marRight w:val="0"/>
      <w:marTop w:val="0"/>
      <w:marBottom w:val="0"/>
      <w:divBdr>
        <w:top w:val="none" w:sz="0" w:space="0" w:color="auto"/>
        <w:left w:val="none" w:sz="0" w:space="0" w:color="auto"/>
        <w:bottom w:val="none" w:sz="0" w:space="0" w:color="auto"/>
        <w:right w:val="none" w:sz="0" w:space="0" w:color="auto"/>
      </w:divBdr>
      <w:divsChild>
        <w:div w:id="675769844">
          <w:marLeft w:val="0"/>
          <w:marRight w:val="0"/>
          <w:marTop w:val="0"/>
          <w:marBottom w:val="0"/>
          <w:divBdr>
            <w:top w:val="none" w:sz="0" w:space="0" w:color="auto"/>
            <w:left w:val="none" w:sz="0" w:space="0" w:color="auto"/>
            <w:bottom w:val="none" w:sz="0" w:space="0" w:color="auto"/>
            <w:right w:val="none" w:sz="0" w:space="0" w:color="auto"/>
          </w:divBdr>
          <w:divsChild>
            <w:div w:id="1015305226">
              <w:marLeft w:val="0"/>
              <w:marRight w:val="0"/>
              <w:marTop w:val="0"/>
              <w:marBottom w:val="0"/>
              <w:divBdr>
                <w:top w:val="none" w:sz="0" w:space="0" w:color="auto"/>
                <w:left w:val="none" w:sz="0" w:space="0" w:color="auto"/>
                <w:bottom w:val="none" w:sz="0" w:space="0" w:color="auto"/>
                <w:right w:val="none" w:sz="0" w:space="0" w:color="auto"/>
              </w:divBdr>
            </w:div>
          </w:divsChild>
        </w:div>
        <w:div w:id="1019157201">
          <w:marLeft w:val="0"/>
          <w:marRight w:val="0"/>
          <w:marTop w:val="0"/>
          <w:marBottom w:val="0"/>
          <w:divBdr>
            <w:top w:val="none" w:sz="0" w:space="0" w:color="auto"/>
            <w:left w:val="none" w:sz="0" w:space="0" w:color="auto"/>
            <w:bottom w:val="none" w:sz="0" w:space="0" w:color="auto"/>
            <w:right w:val="none" w:sz="0" w:space="0" w:color="auto"/>
          </w:divBdr>
          <w:divsChild>
            <w:div w:id="1431582458">
              <w:marLeft w:val="0"/>
              <w:marRight w:val="0"/>
              <w:marTop w:val="0"/>
              <w:marBottom w:val="0"/>
              <w:divBdr>
                <w:top w:val="none" w:sz="0" w:space="0" w:color="auto"/>
                <w:left w:val="none" w:sz="0" w:space="0" w:color="auto"/>
                <w:bottom w:val="none" w:sz="0" w:space="0" w:color="auto"/>
                <w:right w:val="none" w:sz="0" w:space="0" w:color="auto"/>
              </w:divBdr>
            </w:div>
          </w:divsChild>
        </w:div>
        <w:div w:id="1063059771">
          <w:marLeft w:val="0"/>
          <w:marRight w:val="0"/>
          <w:marTop w:val="0"/>
          <w:marBottom w:val="0"/>
          <w:divBdr>
            <w:top w:val="none" w:sz="0" w:space="0" w:color="auto"/>
            <w:left w:val="none" w:sz="0" w:space="0" w:color="auto"/>
            <w:bottom w:val="none" w:sz="0" w:space="0" w:color="auto"/>
            <w:right w:val="none" w:sz="0" w:space="0" w:color="auto"/>
          </w:divBdr>
          <w:divsChild>
            <w:div w:id="1555046027">
              <w:marLeft w:val="0"/>
              <w:marRight w:val="0"/>
              <w:marTop w:val="0"/>
              <w:marBottom w:val="0"/>
              <w:divBdr>
                <w:top w:val="none" w:sz="0" w:space="0" w:color="auto"/>
                <w:left w:val="none" w:sz="0" w:space="0" w:color="auto"/>
                <w:bottom w:val="none" w:sz="0" w:space="0" w:color="auto"/>
                <w:right w:val="none" w:sz="0" w:space="0" w:color="auto"/>
              </w:divBdr>
            </w:div>
          </w:divsChild>
        </w:div>
        <w:div w:id="984240391">
          <w:marLeft w:val="0"/>
          <w:marRight w:val="0"/>
          <w:marTop w:val="0"/>
          <w:marBottom w:val="0"/>
          <w:divBdr>
            <w:top w:val="none" w:sz="0" w:space="0" w:color="auto"/>
            <w:left w:val="none" w:sz="0" w:space="0" w:color="auto"/>
            <w:bottom w:val="none" w:sz="0" w:space="0" w:color="auto"/>
            <w:right w:val="none" w:sz="0" w:space="0" w:color="auto"/>
          </w:divBdr>
          <w:divsChild>
            <w:div w:id="87832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646955">
      <w:bodyDiv w:val="1"/>
      <w:marLeft w:val="0"/>
      <w:marRight w:val="0"/>
      <w:marTop w:val="0"/>
      <w:marBottom w:val="0"/>
      <w:divBdr>
        <w:top w:val="none" w:sz="0" w:space="0" w:color="auto"/>
        <w:left w:val="none" w:sz="0" w:space="0" w:color="auto"/>
        <w:bottom w:val="none" w:sz="0" w:space="0" w:color="auto"/>
        <w:right w:val="none" w:sz="0" w:space="0" w:color="auto"/>
      </w:divBdr>
    </w:div>
    <w:div w:id="1739160671">
      <w:bodyDiv w:val="1"/>
      <w:marLeft w:val="0"/>
      <w:marRight w:val="0"/>
      <w:marTop w:val="0"/>
      <w:marBottom w:val="0"/>
      <w:divBdr>
        <w:top w:val="none" w:sz="0" w:space="0" w:color="auto"/>
        <w:left w:val="none" w:sz="0" w:space="0" w:color="auto"/>
        <w:bottom w:val="none" w:sz="0" w:space="0" w:color="auto"/>
        <w:right w:val="none" w:sz="0" w:space="0" w:color="auto"/>
      </w:divBdr>
    </w:div>
    <w:div w:id="1966739098">
      <w:bodyDiv w:val="1"/>
      <w:marLeft w:val="0"/>
      <w:marRight w:val="0"/>
      <w:marTop w:val="0"/>
      <w:marBottom w:val="0"/>
      <w:divBdr>
        <w:top w:val="none" w:sz="0" w:space="0" w:color="auto"/>
        <w:left w:val="none" w:sz="0" w:space="0" w:color="auto"/>
        <w:bottom w:val="none" w:sz="0" w:space="0" w:color="auto"/>
        <w:right w:val="none" w:sz="0" w:space="0" w:color="auto"/>
      </w:divBdr>
    </w:div>
    <w:div w:id="2108038770">
      <w:bodyDiv w:val="1"/>
      <w:marLeft w:val="0"/>
      <w:marRight w:val="0"/>
      <w:marTop w:val="0"/>
      <w:marBottom w:val="0"/>
      <w:divBdr>
        <w:top w:val="none" w:sz="0" w:space="0" w:color="auto"/>
        <w:left w:val="none" w:sz="0" w:space="0" w:color="auto"/>
        <w:bottom w:val="none" w:sz="0" w:space="0" w:color="auto"/>
        <w:right w:val="none" w:sz="0" w:space="0" w:color="auto"/>
      </w:divBdr>
      <w:divsChild>
        <w:div w:id="1388989134">
          <w:marLeft w:val="0"/>
          <w:marRight w:val="0"/>
          <w:marTop w:val="0"/>
          <w:marBottom w:val="0"/>
          <w:divBdr>
            <w:top w:val="none" w:sz="0" w:space="0" w:color="auto"/>
            <w:left w:val="none" w:sz="0" w:space="0" w:color="auto"/>
            <w:bottom w:val="none" w:sz="0" w:space="0" w:color="auto"/>
            <w:right w:val="none" w:sz="0" w:space="0" w:color="auto"/>
          </w:divBdr>
          <w:divsChild>
            <w:div w:id="1234970716">
              <w:marLeft w:val="0"/>
              <w:marRight w:val="0"/>
              <w:marTop w:val="0"/>
              <w:marBottom w:val="0"/>
              <w:divBdr>
                <w:top w:val="none" w:sz="0" w:space="0" w:color="auto"/>
                <w:left w:val="none" w:sz="0" w:space="0" w:color="auto"/>
                <w:bottom w:val="none" w:sz="0" w:space="0" w:color="auto"/>
                <w:right w:val="none" w:sz="0" w:space="0" w:color="auto"/>
              </w:divBdr>
            </w:div>
          </w:divsChild>
        </w:div>
        <w:div w:id="50884311">
          <w:marLeft w:val="0"/>
          <w:marRight w:val="0"/>
          <w:marTop w:val="0"/>
          <w:marBottom w:val="0"/>
          <w:divBdr>
            <w:top w:val="none" w:sz="0" w:space="0" w:color="auto"/>
            <w:left w:val="none" w:sz="0" w:space="0" w:color="auto"/>
            <w:bottom w:val="none" w:sz="0" w:space="0" w:color="auto"/>
            <w:right w:val="none" w:sz="0" w:space="0" w:color="auto"/>
          </w:divBdr>
          <w:divsChild>
            <w:div w:id="150982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statista.com/forecasts/1304363/asda-online-grocery-delivery-brand-profile-in-the-united-kingd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asda.com"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crosoft.com"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hyperlink" Target="https://www.grammarly.com" TargetMode="External"/><Relationship Id="rId19" Type="http://schemas.openxmlformats.org/officeDocument/2006/relationships/hyperlink" Target="https://www.statista.com/statistics/386700/asda-sales-percentage-change-great-britain-uk/"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93B11-CFB6-4DCE-A228-BC8DAD751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29</Pages>
  <Words>6922</Words>
  <Characters>39460</Characters>
  <Application>Microsoft Office Word</Application>
  <DocSecurity>0</DocSecurity>
  <Lines>328</Lines>
  <Paragraphs>92</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Executive Summary</vt:lpstr>
      <vt:lpstr>Section 1: Strategic Analysis and Choices</vt:lpstr>
      <vt:lpstr>1. Introduction and Organisational Context</vt:lpstr>
      <vt:lpstr>2. External and Internal Analysis</vt:lpstr>
      <vt:lpstr>    2.1 External Analysis (PESTEL)</vt:lpstr>
      <vt:lpstr>    2.2 Internal Analysis (VRIO)</vt:lpstr>
      <vt:lpstr>    2.3 SWOT Matrix Synthesis</vt:lpstr>
      <vt:lpstr>3. Comprehensive and Holistic View of Organization</vt:lpstr>
      <vt:lpstr>    3.1 CSR Strategy Evaluation</vt:lpstr>
      <vt:lpstr>    3.2 Balanced Scorecard Framework for ASDA</vt:lpstr>
      <vt:lpstr>4. Strategic Choices, Implementation and Section Conclusion</vt:lpstr>
      <vt:lpstr>    4.1 Business-Level Strategy</vt:lpstr>
      <vt:lpstr>    4.2 Strategy Selection and Validation</vt:lpstr>
      <vt:lpstr>    4.3 Gap Analysis</vt:lpstr>
      <vt:lpstr>    4.4 McKinsey 7S Framework</vt:lpstr>
      <vt:lpstr>    4.5 Strategic Implementation and Risk Mitigation</vt:lpstr>
      <vt:lpstr>    4.6 Section Conclusion</vt:lpstr>
      <vt:lpstr>5. Conclusion</vt:lpstr>
      <vt:lpstr>Section 2: Reflective Account</vt:lpstr>
      <vt:lpstr>References</vt:lpstr>
    </vt:vector>
  </TitlesOfParts>
  <Company/>
  <LinksUpToDate>false</LinksUpToDate>
  <CharactersWithSpaces>46290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Maame P Bonsu</cp:lastModifiedBy>
  <cp:revision>3</cp:revision>
  <dcterms:created xsi:type="dcterms:W3CDTF">2026-08-10T10:20:00Z</dcterms:created>
  <dcterms:modified xsi:type="dcterms:W3CDTF">2026-08-10T19:01:00Z</dcterms:modified>
</cp:coreProperties>
</file>