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2B546" w14:textId="77777777" w:rsidR="00971522" w:rsidRDefault="00971522" w:rsidP="00971522">
      <w:pPr>
        <w:pStyle w:val="Title"/>
        <w:spacing w:line="360" w:lineRule="auto"/>
        <w:jc w:val="both"/>
      </w:pPr>
    </w:p>
    <w:p w14:paraId="1BFD2D5C" w14:textId="77777777" w:rsidR="00971522" w:rsidRDefault="00971522" w:rsidP="00971522">
      <w:pPr>
        <w:pStyle w:val="Title"/>
        <w:spacing w:line="360" w:lineRule="auto"/>
        <w:jc w:val="both"/>
      </w:pPr>
    </w:p>
    <w:p w14:paraId="614B15EE" w14:textId="7910FE6A" w:rsidR="00971522" w:rsidRPr="00971522" w:rsidRDefault="00FA4CCC" w:rsidP="00971522">
      <w:pPr>
        <w:pStyle w:val="Title"/>
        <w:spacing w:line="360" w:lineRule="auto"/>
        <w:jc w:val="both"/>
      </w:pPr>
      <w:r>
        <w:t>Circular Economy in IT Hardware Supply</w:t>
      </w:r>
    </w:p>
    <w:p w14:paraId="40CA699E" w14:textId="52926BB1" w:rsidR="00FA4CCC" w:rsidRDefault="00FA4CCC" w:rsidP="00FA4CCC">
      <w:pPr>
        <w:pStyle w:val="Title"/>
        <w:spacing w:line="360" w:lineRule="auto"/>
        <w:jc w:val="both"/>
      </w:pPr>
      <w:r>
        <w:t>Chains: Device Refurbishment &amp; Recycling</w:t>
      </w:r>
    </w:p>
    <w:p w14:paraId="3042B4A2" w14:textId="31732F0F" w:rsidR="00FA4CCC" w:rsidRDefault="00FA4CCC" w:rsidP="00FA4CCC">
      <w:pPr>
        <w:spacing w:line="360" w:lineRule="auto"/>
        <w:jc w:val="both"/>
      </w:pPr>
      <w:r>
        <w:br/>
      </w:r>
    </w:p>
    <w:p w14:paraId="0A186ED1" w14:textId="1ECA1910" w:rsidR="00FA4CCC" w:rsidRPr="00F41B8F" w:rsidRDefault="00F41B8F" w:rsidP="00FA4CCC">
      <w:pPr>
        <w:spacing w:line="360" w:lineRule="auto"/>
        <w:jc w:val="both"/>
      </w:pPr>
      <w:r w:rsidRPr="00F41B8F">
        <w:rPr>
          <w:i/>
        </w:rPr>
        <w:t>Submitted dissertation for BA Leadership and Management.</w:t>
      </w:r>
    </w:p>
    <w:p w14:paraId="665FF1BC" w14:textId="77777777" w:rsidR="00FA4CCC" w:rsidRDefault="00FA4CCC" w:rsidP="00FA4CCC">
      <w:pPr>
        <w:spacing w:line="360" w:lineRule="auto"/>
        <w:jc w:val="both"/>
      </w:pPr>
    </w:p>
    <w:p w14:paraId="68D77F40" w14:textId="77777777" w:rsidR="00FA4CCC" w:rsidRDefault="00FA4CCC" w:rsidP="00FA4CCC">
      <w:pPr>
        <w:spacing w:line="360" w:lineRule="auto"/>
        <w:jc w:val="both"/>
      </w:pPr>
    </w:p>
    <w:p w14:paraId="7393D546" w14:textId="77777777" w:rsidR="00FA4CCC" w:rsidRDefault="00FA4CCC" w:rsidP="00FA4CCC">
      <w:pPr>
        <w:spacing w:line="360" w:lineRule="auto"/>
        <w:jc w:val="both"/>
      </w:pPr>
    </w:p>
    <w:p w14:paraId="3A2D8573" w14:textId="77777777" w:rsidR="00FA4CCC" w:rsidRDefault="00FA4CCC" w:rsidP="00FA4CCC">
      <w:pPr>
        <w:spacing w:line="360" w:lineRule="auto"/>
        <w:jc w:val="both"/>
      </w:pPr>
    </w:p>
    <w:p w14:paraId="71F8D7BB" w14:textId="77777777" w:rsidR="00FA4CCC" w:rsidRDefault="00FA4CCC" w:rsidP="00FA4CCC">
      <w:pPr>
        <w:spacing w:line="360" w:lineRule="auto"/>
        <w:jc w:val="both"/>
      </w:pPr>
    </w:p>
    <w:p w14:paraId="27C03E17" w14:textId="77777777" w:rsidR="00FA4CCC" w:rsidRDefault="00FA4CCC" w:rsidP="00FA4CCC">
      <w:pPr>
        <w:spacing w:line="360" w:lineRule="auto"/>
        <w:jc w:val="both"/>
      </w:pPr>
    </w:p>
    <w:p w14:paraId="5857BC99" w14:textId="77777777" w:rsidR="00FA4CCC" w:rsidRDefault="00FA4CCC" w:rsidP="00FA4CCC">
      <w:pPr>
        <w:spacing w:line="360" w:lineRule="auto"/>
        <w:jc w:val="both"/>
      </w:pPr>
    </w:p>
    <w:p w14:paraId="14CBE59B" w14:textId="77777777" w:rsidR="00BA6A41" w:rsidRDefault="00BA6A41" w:rsidP="00FA4CCC">
      <w:pPr>
        <w:pStyle w:val="Heading1"/>
        <w:spacing w:line="360" w:lineRule="auto"/>
        <w:jc w:val="both"/>
      </w:pPr>
    </w:p>
    <w:p w14:paraId="024BE52E" w14:textId="77777777" w:rsidR="00BA6A41" w:rsidRDefault="00BA6A41" w:rsidP="00FA4CCC">
      <w:pPr>
        <w:pStyle w:val="Heading1"/>
        <w:spacing w:line="360" w:lineRule="auto"/>
        <w:jc w:val="both"/>
      </w:pPr>
    </w:p>
    <w:p w14:paraId="09C9A0C7" w14:textId="6D341664" w:rsidR="00FA4CCC" w:rsidRPr="00083A4F" w:rsidRDefault="00FA4CCC" w:rsidP="00FA4CCC">
      <w:pPr>
        <w:pStyle w:val="Heading1"/>
        <w:spacing w:line="360" w:lineRule="auto"/>
        <w:jc w:val="both"/>
        <w:rPr>
          <w:rFonts w:ascii="Arial" w:hAnsi="Arial" w:cs="Arial"/>
        </w:rPr>
      </w:pPr>
      <w:bookmarkStart w:id="0" w:name="_Toc224058758"/>
      <w:r w:rsidRPr="00083A4F">
        <w:rPr>
          <w:rFonts w:ascii="Arial" w:hAnsi="Arial" w:cs="Arial"/>
        </w:rPr>
        <w:t>Declaration</w:t>
      </w:r>
      <w:bookmarkEnd w:id="0"/>
    </w:p>
    <w:p w14:paraId="17299FDA" w14:textId="24579951" w:rsidR="00FA4CCC" w:rsidRPr="00083A4F" w:rsidRDefault="00F41B8F" w:rsidP="00FA4CCC">
      <w:pPr>
        <w:spacing w:line="360" w:lineRule="auto"/>
        <w:jc w:val="both"/>
        <w:rPr>
          <w:rFonts w:ascii="Arial" w:hAnsi="Arial" w:cs="Arial"/>
        </w:rPr>
      </w:pPr>
      <w:r w:rsidRPr="00083A4F">
        <w:rPr>
          <w:rFonts w:ascii="Arial" w:hAnsi="Arial" w:cs="Arial"/>
        </w:rPr>
        <w:t>Claudia</w:t>
      </w:r>
      <w:r w:rsidR="00971522" w:rsidRPr="00083A4F">
        <w:rPr>
          <w:rFonts w:ascii="Arial" w:hAnsi="Arial" w:cs="Arial"/>
        </w:rPr>
        <w:t xml:space="preserve"> </w:t>
      </w:r>
      <w:proofErr w:type="gramStart"/>
      <w:r w:rsidR="00971522" w:rsidRPr="00083A4F">
        <w:rPr>
          <w:rFonts w:ascii="Arial" w:hAnsi="Arial" w:cs="Arial"/>
        </w:rPr>
        <w:t xml:space="preserve">Traistaru </w:t>
      </w:r>
      <w:r w:rsidRPr="00083A4F">
        <w:rPr>
          <w:rFonts w:ascii="Arial" w:hAnsi="Arial" w:cs="Arial"/>
        </w:rPr>
        <w:t xml:space="preserve"> declares</w:t>
      </w:r>
      <w:proofErr w:type="gramEnd"/>
      <w:r w:rsidRPr="00083A4F">
        <w:rPr>
          <w:rFonts w:ascii="Arial" w:hAnsi="Arial" w:cs="Arial"/>
        </w:rPr>
        <w:t xml:space="preserve"> that she wrote this dissertation, that it is my own </w:t>
      </w:r>
      <w:proofErr w:type="gramStart"/>
      <w:r w:rsidRPr="00083A4F">
        <w:rPr>
          <w:rFonts w:ascii="Arial" w:hAnsi="Arial" w:cs="Arial"/>
        </w:rPr>
        <w:t>save</w:t>
      </w:r>
      <w:proofErr w:type="gramEnd"/>
      <w:r w:rsidRPr="00083A4F">
        <w:rPr>
          <w:rFonts w:ascii="Arial" w:hAnsi="Arial" w:cs="Arial"/>
        </w:rPr>
        <w:t xml:space="preserve"> as specified differently in the text, and that it has not been submitted for any other degree or qualification.</w:t>
      </w:r>
    </w:p>
    <w:p w14:paraId="32E63275" w14:textId="77777777" w:rsidR="00FA4CCC" w:rsidRPr="00083A4F" w:rsidRDefault="00FA4CCC" w:rsidP="00FA4CCC">
      <w:pPr>
        <w:spacing w:line="360" w:lineRule="auto"/>
        <w:jc w:val="both"/>
        <w:rPr>
          <w:rFonts w:ascii="Arial" w:hAnsi="Arial" w:cs="Arial"/>
        </w:rPr>
      </w:pPr>
    </w:p>
    <w:p w14:paraId="17D8EA86" w14:textId="77777777" w:rsidR="00C014FE" w:rsidRPr="00083A4F" w:rsidRDefault="00C014FE" w:rsidP="00FA4CCC">
      <w:pPr>
        <w:spacing w:line="360" w:lineRule="auto"/>
        <w:jc w:val="both"/>
        <w:rPr>
          <w:rFonts w:ascii="Arial" w:hAnsi="Arial" w:cs="Arial"/>
        </w:rPr>
      </w:pPr>
    </w:p>
    <w:p w14:paraId="49300185" w14:textId="77777777" w:rsidR="00C014FE" w:rsidRPr="00083A4F" w:rsidRDefault="00C014FE" w:rsidP="00FA4CCC">
      <w:pPr>
        <w:spacing w:line="360" w:lineRule="auto"/>
        <w:jc w:val="both"/>
        <w:rPr>
          <w:rFonts w:ascii="Arial" w:hAnsi="Arial" w:cs="Arial"/>
        </w:rPr>
      </w:pPr>
    </w:p>
    <w:p w14:paraId="0A8C8690" w14:textId="77777777" w:rsidR="00BA6A41" w:rsidRPr="00083A4F" w:rsidRDefault="00BA6A41" w:rsidP="00FA4CCC">
      <w:pPr>
        <w:pStyle w:val="Heading1"/>
        <w:spacing w:line="360" w:lineRule="auto"/>
        <w:jc w:val="both"/>
        <w:rPr>
          <w:rFonts w:ascii="Arial" w:hAnsi="Arial" w:cs="Arial"/>
        </w:rPr>
      </w:pPr>
    </w:p>
    <w:p w14:paraId="442A7830" w14:textId="34A3CA16" w:rsidR="00FA4CCC" w:rsidRPr="00083A4F" w:rsidRDefault="00FA4CCC" w:rsidP="00FA4CCC">
      <w:pPr>
        <w:pStyle w:val="Heading1"/>
        <w:spacing w:line="360" w:lineRule="auto"/>
        <w:jc w:val="both"/>
        <w:rPr>
          <w:rFonts w:ascii="Arial" w:hAnsi="Arial" w:cs="Arial"/>
        </w:rPr>
      </w:pPr>
      <w:bookmarkStart w:id="1" w:name="_Toc224058759"/>
      <w:r w:rsidRPr="00083A4F">
        <w:rPr>
          <w:rFonts w:ascii="Arial" w:hAnsi="Arial" w:cs="Arial"/>
        </w:rPr>
        <w:t>Acknowledgements</w:t>
      </w:r>
      <w:bookmarkEnd w:id="1"/>
    </w:p>
    <w:p w14:paraId="0A4C10BB" w14:textId="6B6D5D38" w:rsidR="00FA4CCC" w:rsidRPr="00083A4F" w:rsidRDefault="00F41B8F" w:rsidP="00C014FE">
      <w:pPr>
        <w:spacing w:line="360" w:lineRule="auto"/>
        <w:jc w:val="both"/>
        <w:rPr>
          <w:rFonts w:ascii="Arial" w:hAnsi="Arial" w:cs="Arial"/>
        </w:rPr>
      </w:pPr>
      <w:r w:rsidRPr="00083A4F">
        <w:rPr>
          <w:rFonts w:ascii="Arial" w:hAnsi="Arial" w:cs="Arial"/>
        </w:rPr>
        <w:t xml:space="preserve">I'd like to thank my supervisor, </w:t>
      </w:r>
      <w:r w:rsidR="00971522" w:rsidRPr="00083A4F">
        <w:rPr>
          <w:rFonts w:ascii="Arial" w:hAnsi="Arial" w:cs="Arial"/>
        </w:rPr>
        <w:t xml:space="preserve">Dr Eric </w:t>
      </w:r>
      <w:proofErr w:type="gramStart"/>
      <w:r w:rsidR="00971522" w:rsidRPr="00083A4F">
        <w:rPr>
          <w:rFonts w:ascii="Arial" w:hAnsi="Arial" w:cs="Arial"/>
        </w:rPr>
        <w:t xml:space="preserve">Osei </w:t>
      </w:r>
      <w:r w:rsidRPr="00083A4F">
        <w:rPr>
          <w:rFonts w:ascii="Arial" w:hAnsi="Arial" w:cs="Arial"/>
        </w:rPr>
        <w:t>,</w:t>
      </w:r>
      <w:proofErr w:type="gramEnd"/>
      <w:r w:rsidRPr="00083A4F">
        <w:rPr>
          <w:rFonts w:ascii="Arial" w:hAnsi="Arial" w:cs="Arial"/>
        </w:rPr>
        <w:t xml:space="preserve"> for their assistance and encouragement throughout this project. I also appreciate the library personnel and academic community for providing great literature and resources. Many thanks to my coworkers and friends for their input and moral support during writing. Finally, my family's patience and understanding are appreciated. This dissertation would not have been possible without them.</w:t>
      </w:r>
    </w:p>
    <w:p w14:paraId="308A8277" w14:textId="77777777" w:rsidR="00FA4CCC" w:rsidRPr="00083A4F" w:rsidRDefault="00FA4CCC" w:rsidP="00FA4CCC">
      <w:pPr>
        <w:pStyle w:val="Heading2"/>
        <w:spacing w:line="360" w:lineRule="auto"/>
        <w:jc w:val="both"/>
        <w:rPr>
          <w:rFonts w:ascii="Arial" w:hAnsi="Arial" w:cs="Arial"/>
        </w:rPr>
      </w:pPr>
    </w:p>
    <w:p w14:paraId="5FD50A1D" w14:textId="77777777" w:rsidR="00FA4CCC" w:rsidRPr="00083A4F" w:rsidRDefault="00FA4CCC" w:rsidP="00FA4CCC">
      <w:pPr>
        <w:pStyle w:val="Heading2"/>
        <w:spacing w:line="360" w:lineRule="auto"/>
        <w:jc w:val="both"/>
        <w:rPr>
          <w:rFonts w:ascii="Arial" w:hAnsi="Arial" w:cs="Arial"/>
        </w:rPr>
      </w:pPr>
    </w:p>
    <w:p w14:paraId="5F96E130" w14:textId="77777777" w:rsidR="00FA4CCC" w:rsidRPr="00083A4F" w:rsidRDefault="00FA4CCC" w:rsidP="00FA4CCC">
      <w:pPr>
        <w:rPr>
          <w:rFonts w:ascii="Arial" w:hAnsi="Arial" w:cs="Arial"/>
        </w:rPr>
      </w:pPr>
    </w:p>
    <w:p w14:paraId="40B6C25D" w14:textId="77777777" w:rsidR="00FA4CCC" w:rsidRPr="00083A4F" w:rsidRDefault="00FA4CCC" w:rsidP="00FA4CCC">
      <w:pPr>
        <w:rPr>
          <w:rFonts w:ascii="Arial" w:hAnsi="Arial" w:cs="Arial"/>
        </w:rPr>
      </w:pPr>
    </w:p>
    <w:p w14:paraId="00F474B3" w14:textId="77777777" w:rsidR="00FA4CCC" w:rsidRPr="00083A4F" w:rsidRDefault="00FA4CCC" w:rsidP="00FA4CCC">
      <w:pPr>
        <w:spacing w:line="360" w:lineRule="auto"/>
        <w:jc w:val="both"/>
        <w:rPr>
          <w:rFonts w:ascii="Arial" w:hAnsi="Arial" w:cs="Arial"/>
        </w:rPr>
      </w:pPr>
    </w:p>
    <w:p w14:paraId="4D4EAEF1" w14:textId="77777777" w:rsidR="00971522" w:rsidRPr="00083A4F" w:rsidRDefault="00971522" w:rsidP="00FA4CCC">
      <w:pPr>
        <w:spacing w:line="360" w:lineRule="auto"/>
        <w:jc w:val="both"/>
        <w:rPr>
          <w:rFonts w:ascii="Arial" w:hAnsi="Arial" w:cs="Arial"/>
        </w:rPr>
      </w:pPr>
    </w:p>
    <w:p w14:paraId="5C61A046" w14:textId="77777777" w:rsidR="00971522" w:rsidRPr="00083A4F" w:rsidRDefault="00971522" w:rsidP="00FA4CCC">
      <w:pPr>
        <w:spacing w:line="360" w:lineRule="auto"/>
        <w:jc w:val="both"/>
        <w:rPr>
          <w:rFonts w:ascii="Arial" w:hAnsi="Arial" w:cs="Arial"/>
        </w:rPr>
      </w:pPr>
    </w:p>
    <w:p w14:paraId="6906414B" w14:textId="77777777" w:rsidR="00FA4CCC" w:rsidRPr="00083A4F" w:rsidRDefault="00FA4CCC" w:rsidP="00FA4CCC">
      <w:pPr>
        <w:spacing w:line="360" w:lineRule="auto"/>
        <w:jc w:val="both"/>
        <w:rPr>
          <w:rFonts w:ascii="Arial" w:hAnsi="Arial" w:cs="Arial"/>
        </w:rPr>
      </w:pPr>
    </w:p>
    <w:p w14:paraId="3421F814" w14:textId="77777777" w:rsidR="00BA6A41" w:rsidRPr="00083A4F" w:rsidRDefault="00BA6A41" w:rsidP="00FA4CCC">
      <w:pPr>
        <w:spacing w:line="360" w:lineRule="auto"/>
        <w:jc w:val="both"/>
        <w:rPr>
          <w:rFonts w:ascii="Arial" w:hAnsi="Arial" w:cs="Arial"/>
        </w:rPr>
      </w:pPr>
    </w:p>
    <w:p w14:paraId="517C70A1" w14:textId="77777777" w:rsidR="00BA6A41" w:rsidRPr="00083A4F" w:rsidRDefault="00BA6A41" w:rsidP="00FA4CCC">
      <w:pPr>
        <w:spacing w:line="360" w:lineRule="auto"/>
        <w:jc w:val="both"/>
        <w:rPr>
          <w:rFonts w:ascii="Arial" w:hAnsi="Arial" w:cs="Arial"/>
        </w:rPr>
      </w:pPr>
    </w:p>
    <w:p w14:paraId="61ED9D4F" w14:textId="77777777" w:rsidR="00BA6A41" w:rsidRPr="00083A4F" w:rsidRDefault="00BA6A41" w:rsidP="00FA4CCC">
      <w:pPr>
        <w:spacing w:line="360" w:lineRule="auto"/>
        <w:jc w:val="both"/>
        <w:rPr>
          <w:rFonts w:ascii="Arial" w:hAnsi="Arial" w:cs="Arial"/>
        </w:rPr>
      </w:pPr>
    </w:p>
    <w:sdt>
      <w:sdtPr>
        <w:rPr>
          <w:rFonts w:ascii="Arial" w:eastAsiaTheme="minorEastAsia" w:hAnsi="Arial" w:cs="Arial"/>
          <w:b w:val="0"/>
          <w:bCs w:val="0"/>
          <w:color w:val="auto"/>
          <w:sz w:val="22"/>
          <w:szCs w:val="22"/>
        </w:rPr>
        <w:id w:val="-553229407"/>
        <w:docPartObj>
          <w:docPartGallery w:val="Table of Contents"/>
          <w:docPartUnique/>
        </w:docPartObj>
      </w:sdtPr>
      <w:sdtEndPr>
        <w:rPr>
          <w:noProof/>
        </w:rPr>
      </w:sdtEndPr>
      <w:sdtContent>
        <w:p w14:paraId="3211E7F1" w14:textId="23BEF32E" w:rsidR="00FA4CCC" w:rsidRPr="00083A4F" w:rsidRDefault="00FA4CCC">
          <w:pPr>
            <w:pStyle w:val="TOCHeading"/>
            <w:rPr>
              <w:rFonts w:ascii="Arial" w:hAnsi="Arial" w:cs="Arial"/>
            </w:rPr>
          </w:pPr>
          <w:r w:rsidRPr="00083A4F">
            <w:rPr>
              <w:rFonts w:ascii="Arial" w:hAnsi="Arial" w:cs="Arial"/>
            </w:rPr>
            <w:t>Table of Contents</w:t>
          </w:r>
        </w:p>
        <w:p w14:paraId="269199E4" w14:textId="52348D44" w:rsidR="00EB2DCF" w:rsidRDefault="00FA4CCC">
          <w:pPr>
            <w:pStyle w:val="TOC1"/>
            <w:tabs>
              <w:tab w:val="right" w:leader="dot" w:pos="8630"/>
            </w:tabs>
            <w:rPr>
              <w:rFonts w:cstheme="minorBidi"/>
              <w:b w:val="0"/>
              <w:bCs w:val="0"/>
              <w:i w:val="0"/>
              <w:iCs w:val="0"/>
              <w:noProof/>
              <w:kern w:val="2"/>
              <w:szCs w:val="24"/>
              <w:lang w:val="en-GB" w:eastAsia="en-GB"/>
              <w14:ligatures w14:val="standardContextual"/>
            </w:rPr>
          </w:pPr>
          <w:r w:rsidRPr="00083A4F">
            <w:rPr>
              <w:rFonts w:ascii="Arial" w:hAnsi="Arial" w:cs="Arial"/>
              <w:b w:val="0"/>
              <w:bCs w:val="0"/>
            </w:rPr>
            <w:fldChar w:fldCharType="begin"/>
          </w:r>
          <w:r w:rsidRPr="00083A4F">
            <w:rPr>
              <w:rFonts w:ascii="Arial" w:hAnsi="Arial" w:cs="Arial"/>
            </w:rPr>
            <w:instrText xml:space="preserve"> TOC \o "1-3" \h \z \u </w:instrText>
          </w:r>
          <w:r w:rsidRPr="00083A4F">
            <w:rPr>
              <w:rFonts w:ascii="Arial" w:hAnsi="Arial" w:cs="Arial"/>
              <w:b w:val="0"/>
              <w:bCs w:val="0"/>
            </w:rPr>
            <w:fldChar w:fldCharType="separate"/>
          </w:r>
          <w:hyperlink w:anchor="_Toc224058758" w:history="1">
            <w:r w:rsidR="00EB2DCF" w:rsidRPr="008F6E56">
              <w:rPr>
                <w:rStyle w:val="Hyperlink"/>
                <w:rFonts w:ascii="Arial" w:hAnsi="Arial" w:cs="Arial"/>
                <w:noProof/>
              </w:rPr>
              <w:t>Declaration</w:t>
            </w:r>
            <w:r w:rsidR="00EB2DCF">
              <w:rPr>
                <w:noProof/>
                <w:webHidden/>
              </w:rPr>
              <w:tab/>
            </w:r>
            <w:r w:rsidR="00EB2DCF">
              <w:rPr>
                <w:noProof/>
                <w:webHidden/>
              </w:rPr>
              <w:fldChar w:fldCharType="begin"/>
            </w:r>
            <w:r w:rsidR="00EB2DCF">
              <w:rPr>
                <w:noProof/>
                <w:webHidden/>
              </w:rPr>
              <w:instrText xml:space="preserve"> PAGEREF _Toc224058758 \h </w:instrText>
            </w:r>
            <w:r w:rsidR="00EB2DCF">
              <w:rPr>
                <w:noProof/>
                <w:webHidden/>
              </w:rPr>
            </w:r>
            <w:r w:rsidR="00EB2DCF">
              <w:rPr>
                <w:noProof/>
                <w:webHidden/>
              </w:rPr>
              <w:fldChar w:fldCharType="separate"/>
            </w:r>
            <w:r w:rsidR="00EB2DCF">
              <w:rPr>
                <w:noProof/>
                <w:webHidden/>
              </w:rPr>
              <w:t>2</w:t>
            </w:r>
            <w:r w:rsidR="00EB2DCF">
              <w:rPr>
                <w:noProof/>
                <w:webHidden/>
              </w:rPr>
              <w:fldChar w:fldCharType="end"/>
            </w:r>
          </w:hyperlink>
        </w:p>
        <w:p w14:paraId="3AC994B9" w14:textId="6AA542A7"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59" w:history="1">
            <w:r w:rsidRPr="008F6E56">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_Toc224058759 \h </w:instrText>
            </w:r>
            <w:r>
              <w:rPr>
                <w:noProof/>
                <w:webHidden/>
              </w:rPr>
            </w:r>
            <w:r>
              <w:rPr>
                <w:noProof/>
                <w:webHidden/>
              </w:rPr>
              <w:fldChar w:fldCharType="separate"/>
            </w:r>
            <w:r>
              <w:rPr>
                <w:noProof/>
                <w:webHidden/>
              </w:rPr>
              <w:t>2</w:t>
            </w:r>
            <w:r>
              <w:rPr>
                <w:noProof/>
                <w:webHidden/>
              </w:rPr>
              <w:fldChar w:fldCharType="end"/>
            </w:r>
          </w:hyperlink>
        </w:p>
        <w:p w14:paraId="625B4F54" w14:textId="182C5EE3"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60" w:history="1">
            <w:r w:rsidRPr="008F6E56">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_Toc224058760 \h </w:instrText>
            </w:r>
            <w:r>
              <w:rPr>
                <w:noProof/>
                <w:webHidden/>
              </w:rPr>
            </w:r>
            <w:r>
              <w:rPr>
                <w:noProof/>
                <w:webHidden/>
              </w:rPr>
              <w:fldChar w:fldCharType="separate"/>
            </w:r>
            <w:r>
              <w:rPr>
                <w:noProof/>
                <w:webHidden/>
              </w:rPr>
              <w:t>5</w:t>
            </w:r>
            <w:r>
              <w:rPr>
                <w:noProof/>
                <w:webHidden/>
              </w:rPr>
              <w:fldChar w:fldCharType="end"/>
            </w:r>
          </w:hyperlink>
        </w:p>
        <w:p w14:paraId="63FF265A" w14:textId="477E2482"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1" w:history="1">
            <w:r w:rsidRPr="008F6E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_Toc224058761 \h </w:instrText>
            </w:r>
            <w:r>
              <w:rPr>
                <w:noProof/>
                <w:webHidden/>
              </w:rPr>
            </w:r>
            <w:r>
              <w:rPr>
                <w:noProof/>
                <w:webHidden/>
              </w:rPr>
              <w:fldChar w:fldCharType="separate"/>
            </w:r>
            <w:r>
              <w:rPr>
                <w:noProof/>
                <w:webHidden/>
              </w:rPr>
              <w:t>5</w:t>
            </w:r>
            <w:r>
              <w:rPr>
                <w:noProof/>
                <w:webHidden/>
              </w:rPr>
              <w:fldChar w:fldCharType="end"/>
            </w:r>
          </w:hyperlink>
        </w:p>
        <w:p w14:paraId="4E6F268F" w14:textId="6229F5EA"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2" w:history="1">
            <w:r w:rsidRPr="008F6E56">
              <w:rPr>
                <w:rStyle w:val="Hyperlink"/>
                <w:rFonts w:ascii="Arial" w:eastAsia="Arial" w:hAnsi="Arial" w:cs="Arial"/>
                <w:noProof/>
                <w:lang w:eastAsia="ja-JP"/>
              </w:rPr>
              <w:t>1.2 Background</w:t>
            </w:r>
            <w:r>
              <w:rPr>
                <w:noProof/>
                <w:webHidden/>
              </w:rPr>
              <w:tab/>
            </w:r>
            <w:r>
              <w:rPr>
                <w:noProof/>
                <w:webHidden/>
              </w:rPr>
              <w:fldChar w:fldCharType="begin"/>
            </w:r>
            <w:r>
              <w:rPr>
                <w:noProof/>
                <w:webHidden/>
              </w:rPr>
              <w:instrText xml:space="preserve"> PAGEREF _Toc224058762 \h </w:instrText>
            </w:r>
            <w:r>
              <w:rPr>
                <w:noProof/>
                <w:webHidden/>
              </w:rPr>
            </w:r>
            <w:r>
              <w:rPr>
                <w:noProof/>
                <w:webHidden/>
              </w:rPr>
              <w:fldChar w:fldCharType="separate"/>
            </w:r>
            <w:r>
              <w:rPr>
                <w:noProof/>
                <w:webHidden/>
              </w:rPr>
              <w:t>5</w:t>
            </w:r>
            <w:r>
              <w:rPr>
                <w:noProof/>
                <w:webHidden/>
              </w:rPr>
              <w:fldChar w:fldCharType="end"/>
            </w:r>
          </w:hyperlink>
        </w:p>
        <w:p w14:paraId="192709F4" w14:textId="718DE535"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3" w:history="1">
            <w:r w:rsidRPr="008F6E56">
              <w:rPr>
                <w:rStyle w:val="Hyperlink"/>
                <w:rFonts w:ascii="Arial" w:eastAsia="Arial" w:hAnsi="Arial" w:cs="Arial"/>
                <w:noProof/>
                <w:lang w:eastAsia="ja-JP"/>
              </w:rPr>
              <w:t>1.3 Research Aim</w:t>
            </w:r>
            <w:r>
              <w:rPr>
                <w:noProof/>
                <w:webHidden/>
              </w:rPr>
              <w:tab/>
            </w:r>
            <w:r>
              <w:rPr>
                <w:noProof/>
                <w:webHidden/>
              </w:rPr>
              <w:fldChar w:fldCharType="begin"/>
            </w:r>
            <w:r>
              <w:rPr>
                <w:noProof/>
                <w:webHidden/>
              </w:rPr>
              <w:instrText xml:space="preserve"> PAGEREF _Toc224058763 \h </w:instrText>
            </w:r>
            <w:r>
              <w:rPr>
                <w:noProof/>
                <w:webHidden/>
              </w:rPr>
            </w:r>
            <w:r>
              <w:rPr>
                <w:noProof/>
                <w:webHidden/>
              </w:rPr>
              <w:fldChar w:fldCharType="separate"/>
            </w:r>
            <w:r>
              <w:rPr>
                <w:noProof/>
                <w:webHidden/>
              </w:rPr>
              <w:t>7</w:t>
            </w:r>
            <w:r>
              <w:rPr>
                <w:noProof/>
                <w:webHidden/>
              </w:rPr>
              <w:fldChar w:fldCharType="end"/>
            </w:r>
          </w:hyperlink>
        </w:p>
        <w:p w14:paraId="09B58C7E" w14:textId="4FD4D876"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4" w:history="1">
            <w:r w:rsidRPr="008F6E56">
              <w:rPr>
                <w:rStyle w:val="Hyperlink"/>
                <w:rFonts w:ascii="Arial" w:eastAsia="Arial" w:hAnsi="Arial" w:cs="Arial"/>
                <w:noProof/>
                <w:lang w:eastAsia="ja-JP"/>
              </w:rPr>
              <w:t>1.4 Research Objectives</w:t>
            </w:r>
            <w:r>
              <w:rPr>
                <w:noProof/>
                <w:webHidden/>
              </w:rPr>
              <w:tab/>
            </w:r>
            <w:r>
              <w:rPr>
                <w:noProof/>
                <w:webHidden/>
              </w:rPr>
              <w:fldChar w:fldCharType="begin"/>
            </w:r>
            <w:r>
              <w:rPr>
                <w:noProof/>
                <w:webHidden/>
              </w:rPr>
              <w:instrText xml:space="preserve"> PAGEREF _Toc224058764 \h </w:instrText>
            </w:r>
            <w:r>
              <w:rPr>
                <w:noProof/>
                <w:webHidden/>
              </w:rPr>
            </w:r>
            <w:r>
              <w:rPr>
                <w:noProof/>
                <w:webHidden/>
              </w:rPr>
              <w:fldChar w:fldCharType="separate"/>
            </w:r>
            <w:r>
              <w:rPr>
                <w:noProof/>
                <w:webHidden/>
              </w:rPr>
              <w:t>7</w:t>
            </w:r>
            <w:r>
              <w:rPr>
                <w:noProof/>
                <w:webHidden/>
              </w:rPr>
              <w:fldChar w:fldCharType="end"/>
            </w:r>
          </w:hyperlink>
        </w:p>
        <w:p w14:paraId="14DB6FC1" w14:textId="7874E0DE"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5" w:history="1">
            <w:r w:rsidRPr="008F6E56">
              <w:rPr>
                <w:rStyle w:val="Hyperlink"/>
                <w:rFonts w:ascii="Arial" w:eastAsia="Arial" w:hAnsi="Arial" w:cs="Arial"/>
                <w:noProof/>
                <w:lang w:eastAsia="ja-JP"/>
              </w:rPr>
              <w:t>1.5 Research Questions</w:t>
            </w:r>
            <w:r>
              <w:rPr>
                <w:noProof/>
                <w:webHidden/>
              </w:rPr>
              <w:tab/>
            </w:r>
            <w:r>
              <w:rPr>
                <w:noProof/>
                <w:webHidden/>
              </w:rPr>
              <w:fldChar w:fldCharType="begin"/>
            </w:r>
            <w:r>
              <w:rPr>
                <w:noProof/>
                <w:webHidden/>
              </w:rPr>
              <w:instrText xml:space="preserve"> PAGEREF _Toc224058765 \h </w:instrText>
            </w:r>
            <w:r>
              <w:rPr>
                <w:noProof/>
                <w:webHidden/>
              </w:rPr>
            </w:r>
            <w:r>
              <w:rPr>
                <w:noProof/>
                <w:webHidden/>
              </w:rPr>
              <w:fldChar w:fldCharType="separate"/>
            </w:r>
            <w:r>
              <w:rPr>
                <w:noProof/>
                <w:webHidden/>
              </w:rPr>
              <w:t>7</w:t>
            </w:r>
            <w:r>
              <w:rPr>
                <w:noProof/>
                <w:webHidden/>
              </w:rPr>
              <w:fldChar w:fldCharType="end"/>
            </w:r>
          </w:hyperlink>
        </w:p>
        <w:p w14:paraId="415AF882" w14:textId="5796C12A"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6" w:history="1">
            <w:r w:rsidRPr="008F6E56">
              <w:rPr>
                <w:rStyle w:val="Hyperlink"/>
                <w:rFonts w:ascii="Arial" w:eastAsia="Arial" w:hAnsi="Arial" w:cs="Arial"/>
                <w:noProof/>
                <w:lang w:eastAsia="ja-JP"/>
              </w:rPr>
              <w:t>1.6 Chapter Summary</w:t>
            </w:r>
            <w:r>
              <w:rPr>
                <w:noProof/>
                <w:webHidden/>
              </w:rPr>
              <w:tab/>
            </w:r>
            <w:r>
              <w:rPr>
                <w:noProof/>
                <w:webHidden/>
              </w:rPr>
              <w:fldChar w:fldCharType="begin"/>
            </w:r>
            <w:r>
              <w:rPr>
                <w:noProof/>
                <w:webHidden/>
              </w:rPr>
              <w:instrText xml:space="preserve"> PAGEREF _Toc224058766 \h </w:instrText>
            </w:r>
            <w:r>
              <w:rPr>
                <w:noProof/>
                <w:webHidden/>
              </w:rPr>
            </w:r>
            <w:r>
              <w:rPr>
                <w:noProof/>
                <w:webHidden/>
              </w:rPr>
              <w:fldChar w:fldCharType="separate"/>
            </w:r>
            <w:r>
              <w:rPr>
                <w:noProof/>
                <w:webHidden/>
              </w:rPr>
              <w:t>8</w:t>
            </w:r>
            <w:r>
              <w:rPr>
                <w:noProof/>
                <w:webHidden/>
              </w:rPr>
              <w:fldChar w:fldCharType="end"/>
            </w:r>
          </w:hyperlink>
        </w:p>
        <w:p w14:paraId="59FC724F" w14:textId="59BC667C"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67" w:history="1">
            <w:r w:rsidRPr="008F6E56">
              <w:rPr>
                <w:rStyle w:val="Hyperlink"/>
                <w:rFonts w:ascii="Arial" w:eastAsia="Arial" w:hAnsi="Arial" w:cs="Arial"/>
                <w:noProof/>
                <w:lang w:eastAsia="ja-JP"/>
              </w:rPr>
              <w:t>Chapter 2: Literature Review :</w:t>
            </w:r>
            <w:r>
              <w:rPr>
                <w:noProof/>
                <w:webHidden/>
              </w:rPr>
              <w:tab/>
            </w:r>
            <w:r>
              <w:rPr>
                <w:noProof/>
                <w:webHidden/>
              </w:rPr>
              <w:fldChar w:fldCharType="begin"/>
            </w:r>
            <w:r>
              <w:rPr>
                <w:noProof/>
                <w:webHidden/>
              </w:rPr>
              <w:instrText xml:space="preserve"> PAGEREF _Toc224058767 \h </w:instrText>
            </w:r>
            <w:r>
              <w:rPr>
                <w:noProof/>
                <w:webHidden/>
              </w:rPr>
            </w:r>
            <w:r>
              <w:rPr>
                <w:noProof/>
                <w:webHidden/>
              </w:rPr>
              <w:fldChar w:fldCharType="separate"/>
            </w:r>
            <w:r>
              <w:rPr>
                <w:noProof/>
                <w:webHidden/>
              </w:rPr>
              <w:t>9</w:t>
            </w:r>
            <w:r>
              <w:rPr>
                <w:noProof/>
                <w:webHidden/>
              </w:rPr>
              <w:fldChar w:fldCharType="end"/>
            </w:r>
          </w:hyperlink>
        </w:p>
        <w:p w14:paraId="44BA2DCB" w14:textId="48B464C8"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68" w:history="1">
            <w:r w:rsidRPr="008F6E56">
              <w:rPr>
                <w:rStyle w:val="Hyperlink"/>
                <w:rFonts w:ascii="Arial" w:eastAsia="Arial" w:hAnsi="Arial" w:cs="Arial"/>
                <w:noProof/>
                <w:lang w:eastAsia="ja-JP"/>
              </w:rPr>
              <w:t>The review addresses Chapter 1's</w:t>
            </w:r>
            <w:r>
              <w:rPr>
                <w:noProof/>
                <w:webHidden/>
              </w:rPr>
              <w:tab/>
            </w:r>
            <w:r>
              <w:rPr>
                <w:noProof/>
                <w:webHidden/>
              </w:rPr>
              <w:fldChar w:fldCharType="begin"/>
            </w:r>
            <w:r>
              <w:rPr>
                <w:noProof/>
                <w:webHidden/>
              </w:rPr>
              <w:instrText xml:space="preserve"> PAGEREF _Toc224058768 \h </w:instrText>
            </w:r>
            <w:r>
              <w:rPr>
                <w:noProof/>
                <w:webHidden/>
              </w:rPr>
            </w:r>
            <w:r>
              <w:rPr>
                <w:noProof/>
                <w:webHidden/>
              </w:rPr>
              <w:fldChar w:fldCharType="separate"/>
            </w:r>
            <w:r>
              <w:rPr>
                <w:noProof/>
                <w:webHidden/>
              </w:rPr>
              <w:t>9</w:t>
            </w:r>
            <w:r>
              <w:rPr>
                <w:noProof/>
                <w:webHidden/>
              </w:rPr>
              <w:fldChar w:fldCharType="end"/>
            </w:r>
          </w:hyperlink>
        </w:p>
        <w:p w14:paraId="357BB092" w14:textId="32092210"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9" w:history="1">
            <w:r w:rsidRPr="008F6E56">
              <w:rPr>
                <w:rStyle w:val="Hyperlink"/>
                <w:rFonts w:ascii="Arial" w:eastAsia="Arial" w:hAnsi="Arial" w:cs="Arial"/>
                <w:noProof/>
                <w:lang w:eastAsia="ja-JP"/>
              </w:rPr>
              <w:t>2.1 Conceptual Foundations of the Circular Economy</w:t>
            </w:r>
            <w:r>
              <w:rPr>
                <w:noProof/>
                <w:webHidden/>
              </w:rPr>
              <w:tab/>
            </w:r>
            <w:r>
              <w:rPr>
                <w:noProof/>
                <w:webHidden/>
              </w:rPr>
              <w:fldChar w:fldCharType="begin"/>
            </w:r>
            <w:r>
              <w:rPr>
                <w:noProof/>
                <w:webHidden/>
              </w:rPr>
              <w:instrText xml:space="preserve"> PAGEREF _Toc224058769 \h </w:instrText>
            </w:r>
            <w:r>
              <w:rPr>
                <w:noProof/>
                <w:webHidden/>
              </w:rPr>
            </w:r>
            <w:r>
              <w:rPr>
                <w:noProof/>
                <w:webHidden/>
              </w:rPr>
              <w:fldChar w:fldCharType="separate"/>
            </w:r>
            <w:r>
              <w:rPr>
                <w:noProof/>
                <w:webHidden/>
              </w:rPr>
              <w:t>9</w:t>
            </w:r>
            <w:r>
              <w:rPr>
                <w:noProof/>
                <w:webHidden/>
              </w:rPr>
              <w:fldChar w:fldCharType="end"/>
            </w:r>
          </w:hyperlink>
        </w:p>
        <w:p w14:paraId="65319320" w14:textId="17219AEC"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0" w:history="1">
            <w:r w:rsidRPr="008F6E56">
              <w:rPr>
                <w:rStyle w:val="Hyperlink"/>
                <w:rFonts w:ascii="Arial" w:eastAsia="Arial" w:hAnsi="Arial" w:cs="Arial"/>
                <w:noProof/>
                <w:lang w:eastAsia="ja-JP"/>
              </w:rPr>
              <w:t>2.2 E</w:t>
            </w:r>
            <w:r w:rsidRPr="008F6E56">
              <w:rPr>
                <w:rStyle w:val="Hyperlink"/>
                <w:rFonts w:ascii="Cambria Math" w:eastAsia="Arial" w:hAnsi="Cambria Math" w:cs="Cambria Math"/>
                <w:noProof/>
                <w:lang w:eastAsia="ja-JP"/>
              </w:rPr>
              <w:t>‑</w:t>
            </w:r>
            <w:r w:rsidRPr="008F6E56">
              <w:rPr>
                <w:rStyle w:val="Hyperlink"/>
                <w:rFonts w:ascii="Arial" w:eastAsia="Arial" w:hAnsi="Arial" w:cs="Arial"/>
                <w:noProof/>
                <w:lang w:eastAsia="ja-JP"/>
              </w:rPr>
              <w:t>waste Generation and Material Flows</w:t>
            </w:r>
            <w:r>
              <w:rPr>
                <w:noProof/>
                <w:webHidden/>
              </w:rPr>
              <w:tab/>
            </w:r>
            <w:r>
              <w:rPr>
                <w:noProof/>
                <w:webHidden/>
              </w:rPr>
              <w:fldChar w:fldCharType="begin"/>
            </w:r>
            <w:r>
              <w:rPr>
                <w:noProof/>
                <w:webHidden/>
              </w:rPr>
              <w:instrText xml:space="preserve"> PAGEREF _Toc224058770 \h </w:instrText>
            </w:r>
            <w:r>
              <w:rPr>
                <w:noProof/>
                <w:webHidden/>
              </w:rPr>
            </w:r>
            <w:r>
              <w:rPr>
                <w:noProof/>
                <w:webHidden/>
              </w:rPr>
              <w:fldChar w:fldCharType="separate"/>
            </w:r>
            <w:r>
              <w:rPr>
                <w:noProof/>
                <w:webHidden/>
              </w:rPr>
              <w:t>11</w:t>
            </w:r>
            <w:r>
              <w:rPr>
                <w:noProof/>
                <w:webHidden/>
              </w:rPr>
              <w:fldChar w:fldCharType="end"/>
            </w:r>
          </w:hyperlink>
        </w:p>
        <w:p w14:paraId="39E61468" w14:textId="7DAECE91"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1" w:history="1">
            <w:r w:rsidRPr="008F6E56">
              <w:rPr>
                <w:rStyle w:val="Hyperlink"/>
                <w:rFonts w:ascii="Arial" w:eastAsia="Arial" w:hAnsi="Arial" w:cs="Arial"/>
                <w:noProof/>
                <w:lang w:eastAsia="ja-JP"/>
              </w:rPr>
              <w:t>2.3 Regulatory and Policy Frameworks</w:t>
            </w:r>
            <w:r>
              <w:rPr>
                <w:noProof/>
                <w:webHidden/>
              </w:rPr>
              <w:tab/>
            </w:r>
            <w:r>
              <w:rPr>
                <w:noProof/>
                <w:webHidden/>
              </w:rPr>
              <w:fldChar w:fldCharType="begin"/>
            </w:r>
            <w:r>
              <w:rPr>
                <w:noProof/>
                <w:webHidden/>
              </w:rPr>
              <w:instrText xml:space="preserve"> PAGEREF _Toc224058771 \h </w:instrText>
            </w:r>
            <w:r>
              <w:rPr>
                <w:noProof/>
                <w:webHidden/>
              </w:rPr>
            </w:r>
            <w:r>
              <w:rPr>
                <w:noProof/>
                <w:webHidden/>
              </w:rPr>
              <w:fldChar w:fldCharType="separate"/>
            </w:r>
            <w:r>
              <w:rPr>
                <w:noProof/>
                <w:webHidden/>
              </w:rPr>
              <w:t>12</w:t>
            </w:r>
            <w:r>
              <w:rPr>
                <w:noProof/>
                <w:webHidden/>
              </w:rPr>
              <w:fldChar w:fldCharType="end"/>
            </w:r>
          </w:hyperlink>
        </w:p>
        <w:p w14:paraId="4AA9B532" w14:textId="0E504762"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2" w:history="1">
            <w:r w:rsidRPr="008F6E56">
              <w:rPr>
                <w:rStyle w:val="Hyperlink"/>
                <w:rFonts w:ascii="Arial" w:eastAsia="Arial" w:hAnsi="Arial" w:cs="Arial"/>
                <w:noProof/>
                <w:lang w:eastAsia="ja-JP"/>
              </w:rPr>
              <w:t>2.4 Corporate Practices in Refurbishment and Recycling</w:t>
            </w:r>
            <w:r>
              <w:rPr>
                <w:noProof/>
                <w:webHidden/>
              </w:rPr>
              <w:tab/>
            </w:r>
            <w:r>
              <w:rPr>
                <w:noProof/>
                <w:webHidden/>
              </w:rPr>
              <w:fldChar w:fldCharType="begin"/>
            </w:r>
            <w:r>
              <w:rPr>
                <w:noProof/>
                <w:webHidden/>
              </w:rPr>
              <w:instrText xml:space="preserve"> PAGEREF _Toc224058772 \h </w:instrText>
            </w:r>
            <w:r>
              <w:rPr>
                <w:noProof/>
                <w:webHidden/>
              </w:rPr>
            </w:r>
            <w:r>
              <w:rPr>
                <w:noProof/>
                <w:webHidden/>
              </w:rPr>
              <w:fldChar w:fldCharType="separate"/>
            </w:r>
            <w:r>
              <w:rPr>
                <w:noProof/>
                <w:webHidden/>
              </w:rPr>
              <w:t>14</w:t>
            </w:r>
            <w:r>
              <w:rPr>
                <w:noProof/>
                <w:webHidden/>
              </w:rPr>
              <w:fldChar w:fldCharType="end"/>
            </w:r>
          </w:hyperlink>
        </w:p>
        <w:p w14:paraId="6B9909B7" w14:textId="7FE81E45"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3" w:history="1">
            <w:r w:rsidRPr="008F6E56">
              <w:rPr>
                <w:rStyle w:val="Hyperlink"/>
                <w:rFonts w:ascii="Arial" w:eastAsia="Arial" w:hAnsi="Arial" w:cs="Arial"/>
                <w:noProof/>
                <w:lang w:eastAsia="ja-JP"/>
              </w:rPr>
              <w:t>2.5 Barriers and Enablers to Circularity</w:t>
            </w:r>
            <w:r>
              <w:rPr>
                <w:noProof/>
                <w:webHidden/>
              </w:rPr>
              <w:tab/>
            </w:r>
            <w:r>
              <w:rPr>
                <w:noProof/>
                <w:webHidden/>
              </w:rPr>
              <w:fldChar w:fldCharType="begin"/>
            </w:r>
            <w:r>
              <w:rPr>
                <w:noProof/>
                <w:webHidden/>
              </w:rPr>
              <w:instrText xml:space="preserve"> PAGEREF _Toc224058773 \h </w:instrText>
            </w:r>
            <w:r>
              <w:rPr>
                <w:noProof/>
                <w:webHidden/>
              </w:rPr>
            </w:r>
            <w:r>
              <w:rPr>
                <w:noProof/>
                <w:webHidden/>
              </w:rPr>
              <w:fldChar w:fldCharType="separate"/>
            </w:r>
            <w:r>
              <w:rPr>
                <w:noProof/>
                <w:webHidden/>
              </w:rPr>
              <w:t>16</w:t>
            </w:r>
            <w:r>
              <w:rPr>
                <w:noProof/>
                <w:webHidden/>
              </w:rPr>
              <w:fldChar w:fldCharType="end"/>
            </w:r>
          </w:hyperlink>
        </w:p>
        <w:p w14:paraId="6916A76A" w14:textId="15ADBF94"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4" w:history="1">
            <w:r w:rsidRPr="008F6E56">
              <w:rPr>
                <w:rStyle w:val="Hyperlink"/>
                <w:rFonts w:ascii="Arial" w:eastAsia="Arial" w:hAnsi="Arial" w:cs="Arial"/>
                <w:noProof/>
                <w:lang w:eastAsia="ja-JP"/>
              </w:rPr>
              <w:t>2.6 Synthesis and Critical Evaluation</w:t>
            </w:r>
            <w:r>
              <w:rPr>
                <w:noProof/>
                <w:webHidden/>
              </w:rPr>
              <w:tab/>
            </w:r>
            <w:r>
              <w:rPr>
                <w:noProof/>
                <w:webHidden/>
              </w:rPr>
              <w:fldChar w:fldCharType="begin"/>
            </w:r>
            <w:r>
              <w:rPr>
                <w:noProof/>
                <w:webHidden/>
              </w:rPr>
              <w:instrText xml:space="preserve"> PAGEREF _Toc224058774 \h </w:instrText>
            </w:r>
            <w:r>
              <w:rPr>
                <w:noProof/>
                <w:webHidden/>
              </w:rPr>
            </w:r>
            <w:r>
              <w:rPr>
                <w:noProof/>
                <w:webHidden/>
              </w:rPr>
              <w:fldChar w:fldCharType="separate"/>
            </w:r>
            <w:r>
              <w:rPr>
                <w:noProof/>
                <w:webHidden/>
              </w:rPr>
              <w:t>18</w:t>
            </w:r>
            <w:r>
              <w:rPr>
                <w:noProof/>
                <w:webHidden/>
              </w:rPr>
              <w:fldChar w:fldCharType="end"/>
            </w:r>
          </w:hyperlink>
        </w:p>
        <w:p w14:paraId="25218A1E" w14:textId="735BD040"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5" w:history="1">
            <w:r w:rsidRPr="008F6E56">
              <w:rPr>
                <w:rStyle w:val="Hyperlink"/>
                <w:rFonts w:ascii="Arial" w:eastAsia="Arial" w:hAnsi="Arial" w:cs="Arial"/>
                <w:noProof/>
                <w:lang w:eastAsia="ja-JP"/>
              </w:rPr>
              <w:t>2.7  Chapter Summary</w:t>
            </w:r>
            <w:r>
              <w:rPr>
                <w:noProof/>
                <w:webHidden/>
              </w:rPr>
              <w:tab/>
            </w:r>
            <w:r>
              <w:rPr>
                <w:noProof/>
                <w:webHidden/>
              </w:rPr>
              <w:fldChar w:fldCharType="begin"/>
            </w:r>
            <w:r>
              <w:rPr>
                <w:noProof/>
                <w:webHidden/>
              </w:rPr>
              <w:instrText xml:space="preserve"> PAGEREF _Toc224058775 \h </w:instrText>
            </w:r>
            <w:r>
              <w:rPr>
                <w:noProof/>
                <w:webHidden/>
              </w:rPr>
            </w:r>
            <w:r>
              <w:rPr>
                <w:noProof/>
                <w:webHidden/>
              </w:rPr>
              <w:fldChar w:fldCharType="separate"/>
            </w:r>
            <w:r>
              <w:rPr>
                <w:noProof/>
                <w:webHidden/>
              </w:rPr>
              <w:t>19</w:t>
            </w:r>
            <w:r>
              <w:rPr>
                <w:noProof/>
                <w:webHidden/>
              </w:rPr>
              <w:fldChar w:fldCharType="end"/>
            </w:r>
          </w:hyperlink>
        </w:p>
        <w:p w14:paraId="12BC5700" w14:textId="554162E5"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76" w:history="1">
            <w:r w:rsidRPr="008F6E56">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_Toc224058776 \h </w:instrText>
            </w:r>
            <w:r>
              <w:rPr>
                <w:noProof/>
                <w:webHidden/>
              </w:rPr>
            </w:r>
            <w:r>
              <w:rPr>
                <w:noProof/>
                <w:webHidden/>
              </w:rPr>
              <w:fldChar w:fldCharType="separate"/>
            </w:r>
            <w:r>
              <w:rPr>
                <w:noProof/>
                <w:webHidden/>
              </w:rPr>
              <w:t>20</w:t>
            </w:r>
            <w:r>
              <w:rPr>
                <w:noProof/>
                <w:webHidden/>
              </w:rPr>
              <w:fldChar w:fldCharType="end"/>
            </w:r>
          </w:hyperlink>
        </w:p>
        <w:p w14:paraId="5E625405" w14:textId="4F06384B"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7" w:history="1">
            <w:r w:rsidRPr="008F6E56">
              <w:rPr>
                <w:rStyle w:val="Hyperlink"/>
                <w:rFonts w:ascii="Arial" w:hAnsi="Arial" w:cs="Arial"/>
                <w:noProof/>
              </w:rPr>
              <w:t>3.1  Systematic Literature Review (SLR)</w:t>
            </w:r>
            <w:r>
              <w:rPr>
                <w:noProof/>
                <w:webHidden/>
              </w:rPr>
              <w:tab/>
            </w:r>
            <w:r>
              <w:rPr>
                <w:noProof/>
                <w:webHidden/>
              </w:rPr>
              <w:fldChar w:fldCharType="begin"/>
            </w:r>
            <w:r>
              <w:rPr>
                <w:noProof/>
                <w:webHidden/>
              </w:rPr>
              <w:instrText xml:space="preserve"> PAGEREF _Toc224058777 \h </w:instrText>
            </w:r>
            <w:r>
              <w:rPr>
                <w:noProof/>
                <w:webHidden/>
              </w:rPr>
            </w:r>
            <w:r>
              <w:rPr>
                <w:noProof/>
                <w:webHidden/>
              </w:rPr>
              <w:fldChar w:fldCharType="separate"/>
            </w:r>
            <w:r>
              <w:rPr>
                <w:noProof/>
                <w:webHidden/>
              </w:rPr>
              <w:t>20</w:t>
            </w:r>
            <w:r>
              <w:rPr>
                <w:noProof/>
                <w:webHidden/>
              </w:rPr>
              <w:fldChar w:fldCharType="end"/>
            </w:r>
          </w:hyperlink>
        </w:p>
        <w:p w14:paraId="7D3E266B" w14:textId="72DBC07F"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8" w:history="1">
            <w:r w:rsidRPr="008F6E56">
              <w:rPr>
                <w:rStyle w:val="Hyperlink"/>
                <w:rFonts w:ascii="Arial" w:eastAsia="MS Gothic" w:hAnsi="Arial" w:cs="Arial"/>
                <w:noProof/>
              </w:rPr>
              <w:t>3.2 Search Strategy</w:t>
            </w:r>
            <w:r>
              <w:rPr>
                <w:noProof/>
                <w:webHidden/>
              </w:rPr>
              <w:tab/>
            </w:r>
            <w:r>
              <w:rPr>
                <w:noProof/>
                <w:webHidden/>
              </w:rPr>
              <w:fldChar w:fldCharType="begin"/>
            </w:r>
            <w:r>
              <w:rPr>
                <w:noProof/>
                <w:webHidden/>
              </w:rPr>
              <w:instrText xml:space="preserve"> PAGEREF _Toc224058778 \h </w:instrText>
            </w:r>
            <w:r>
              <w:rPr>
                <w:noProof/>
                <w:webHidden/>
              </w:rPr>
            </w:r>
            <w:r>
              <w:rPr>
                <w:noProof/>
                <w:webHidden/>
              </w:rPr>
              <w:fldChar w:fldCharType="separate"/>
            </w:r>
            <w:r>
              <w:rPr>
                <w:noProof/>
                <w:webHidden/>
              </w:rPr>
              <w:t>22</w:t>
            </w:r>
            <w:r>
              <w:rPr>
                <w:noProof/>
                <w:webHidden/>
              </w:rPr>
              <w:fldChar w:fldCharType="end"/>
            </w:r>
          </w:hyperlink>
        </w:p>
        <w:p w14:paraId="5454D892" w14:textId="5FAFC086"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9" w:history="1">
            <w:r w:rsidRPr="008F6E56">
              <w:rPr>
                <w:rStyle w:val="Hyperlink"/>
                <w:rFonts w:ascii="Arial" w:eastAsia="MS Gothic" w:hAnsi="Arial" w:cs="Arial"/>
                <w:noProof/>
              </w:rPr>
              <w:t>3.3 Search Terms</w:t>
            </w:r>
            <w:r>
              <w:rPr>
                <w:noProof/>
                <w:webHidden/>
              </w:rPr>
              <w:tab/>
            </w:r>
            <w:r>
              <w:rPr>
                <w:noProof/>
                <w:webHidden/>
              </w:rPr>
              <w:fldChar w:fldCharType="begin"/>
            </w:r>
            <w:r>
              <w:rPr>
                <w:noProof/>
                <w:webHidden/>
              </w:rPr>
              <w:instrText xml:space="preserve"> PAGEREF _Toc224058779 \h </w:instrText>
            </w:r>
            <w:r>
              <w:rPr>
                <w:noProof/>
                <w:webHidden/>
              </w:rPr>
            </w:r>
            <w:r>
              <w:rPr>
                <w:noProof/>
                <w:webHidden/>
              </w:rPr>
              <w:fldChar w:fldCharType="separate"/>
            </w:r>
            <w:r>
              <w:rPr>
                <w:noProof/>
                <w:webHidden/>
              </w:rPr>
              <w:t>22</w:t>
            </w:r>
            <w:r>
              <w:rPr>
                <w:noProof/>
                <w:webHidden/>
              </w:rPr>
              <w:fldChar w:fldCharType="end"/>
            </w:r>
          </w:hyperlink>
        </w:p>
        <w:p w14:paraId="56054310" w14:textId="7E2B5353"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0" w:history="1">
            <w:r w:rsidRPr="008F6E56">
              <w:rPr>
                <w:rStyle w:val="Hyperlink"/>
                <w:rFonts w:ascii="Arial" w:eastAsia="MS Gothic" w:hAnsi="Arial" w:cs="Arial"/>
                <w:noProof/>
              </w:rPr>
              <w:t>3.4  Key Words</w:t>
            </w:r>
            <w:r>
              <w:rPr>
                <w:noProof/>
                <w:webHidden/>
              </w:rPr>
              <w:tab/>
            </w:r>
            <w:r>
              <w:rPr>
                <w:noProof/>
                <w:webHidden/>
              </w:rPr>
              <w:fldChar w:fldCharType="begin"/>
            </w:r>
            <w:r>
              <w:rPr>
                <w:noProof/>
                <w:webHidden/>
              </w:rPr>
              <w:instrText xml:space="preserve"> PAGEREF _Toc224058780 \h </w:instrText>
            </w:r>
            <w:r>
              <w:rPr>
                <w:noProof/>
                <w:webHidden/>
              </w:rPr>
            </w:r>
            <w:r>
              <w:rPr>
                <w:noProof/>
                <w:webHidden/>
              </w:rPr>
              <w:fldChar w:fldCharType="separate"/>
            </w:r>
            <w:r>
              <w:rPr>
                <w:noProof/>
                <w:webHidden/>
              </w:rPr>
              <w:t>22</w:t>
            </w:r>
            <w:r>
              <w:rPr>
                <w:noProof/>
                <w:webHidden/>
              </w:rPr>
              <w:fldChar w:fldCharType="end"/>
            </w:r>
          </w:hyperlink>
        </w:p>
        <w:p w14:paraId="22EA977A" w14:textId="346E425B"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1" w:history="1">
            <w:r w:rsidRPr="008F6E56">
              <w:rPr>
                <w:rStyle w:val="Hyperlink"/>
                <w:rFonts w:ascii="Arial" w:eastAsia="MS Gothic" w:hAnsi="Arial" w:cs="Arial"/>
                <w:noProof/>
              </w:rPr>
              <w:t>3.5 Databases</w:t>
            </w:r>
            <w:r>
              <w:rPr>
                <w:noProof/>
                <w:webHidden/>
              </w:rPr>
              <w:tab/>
            </w:r>
            <w:r>
              <w:rPr>
                <w:noProof/>
                <w:webHidden/>
              </w:rPr>
              <w:fldChar w:fldCharType="begin"/>
            </w:r>
            <w:r>
              <w:rPr>
                <w:noProof/>
                <w:webHidden/>
              </w:rPr>
              <w:instrText xml:space="preserve"> PAGEREF _Toc224058781 \h </w:instrText>
            </w:r>
            <w:r>
              <w:rPr>
                <w:noProof/>
                <w:webHidden/>
              </w:rPr>
            </w:r>
            <w:r>
              <w:rPr>
                <w:noProof/>
                <w:webHidden/>
              </w:rPr>
              <w:fldChar w:fldCharType="separate"/>
            </w:r>
            <w:r>
              <w:rPr>
                <w:noProof/>
                <w:webHidden/>
              </w:rPr>
              <w:t>23</w:t>
            </w:r>
            <w:r>
              <w:rPr>
                <w:noProof/>
                <w:webHidden/>
              </w:rPr>
              <w:fldChar w:fldCharType="end"/>
            </w:r>
          </w:hyperlink>
        </w:p>
        <w:p w14:paraId="1CC1F4EB" w14:textId="317F475B"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2" w:history="1">
            <w:r w:rsidRPr="008F6E56">
              <w:rPr>
                <w:rStyle w:val="Hyperlink"/>
                <w:rFonts w:ascii="Arial" w:eastAsia="MS Gothic" w:hAnsi="Arial" w:cs="Arial"/>
                <w:noProof/>
              </w:rPr>
              <w:t>3.6 Inclusion/Exclusion Criteria</w:t>
            </w:r>
            <w:r>
              <w:rPr>
                <w:noProof/>
                <w:webHidden/>
              </w:rPr>
              <w:tab/>
            </w:r>
            <w:r>
              <w:rPr>
                <w:noProof/>
                <w:webHidden/>
              </w:rPr>
              <w:fldChar w:fldCharType="begin"/>
            </w:r>
            <w:r>
              <w:rPr>
                <w:noProof/>
                <w:webHidden/>
              </w:rPr>
              <w:instrText xml:space="preserve"> PAGEREF _Toc224058782 \h </w:instrText>
            </w:r>
            <w:r>
              <w:rPr>
                <w:noProof/>
                <w:webHidden/>
              </w:rPr>
            </w:r>
            <w:r>
              <w:rPr>
                <w:noProof/>
                <w:webHidden/>
              </w:rPr>
              <w:fldChar w:fldCharType="separate"/>
            </w:r>
            <w:r>
              <w:rPr>
                <w:noProof/>
                <w:webHidden/>
              </w:rPr>
              <w:t>23</w:t>
            </w:r>
            <w:r>
              <w:rPr>
                <w:noProof/>
                <w:webHidden/>
              </w:rPr>
              <w:fldChar w:fldCharType="end"/>
            </w:r>
          </w:hyperlink>
        </w:p>
        <w:p w14:paraId="57DDADCB" w14:textId="301CEDE4" w:rsidR="00EB2DCF" w:rsidRDefault="00EB2DCF">
          <w:pPr>
            <w:pStyle w:val="TOC3"/>
            <w:tabs>
              <w:tab w:val="right" w:leader="dot" w:pos="8630"/>
            </w:tabs>
            <w:rPr>
              <w:rFonts w:cstheme="minorBidi"/>
              <w:noProof/>
              <w:kern w:val="2"/>
              <w:sz w:val="24"/>
              <w:lang w:val="en-GB" w:eastAsia="en-GB"/>
              <w14:ligatures w14:val="standardContextual"/>
            </w:rPr>
          </w:pPr>
          <w:hyperlink w:anchor="_Toc224058783" w:history="1">
            <w:r w:rsidRPr="008F6E56">
              <w:rPr>
                <w:rStyle w:val="Hyperlink"/>
                <w:rFonts w:ascii="Arial" w:eastAsia="MS Gothic" w:hAnsi="Arial" w:cs="Arial"/>
                <w:bCs/>
                <w:noProof/>
              </w:rPr>
              <w:t>3.6.1 Inclusion Criteria</w:t>
            </w:r>
            <w:r>
              <w:rPr>
                <w:noProof/>
                <w:webHidden/>
              </w:rPr>
              <w:tab/>
            </w:r>
            <w:r>
              <w:rPr>
                <w:noProof/>
                <w:webHidden/>
              </w:rPr>
              <w:fldChar w:fldCharType="begin"/>
            </w:r>
            <w:r>
              <w:rPr>
                <w:noProof/>
                <w:webHidden/>
              </w:rPr>
              <w:instrText xml:space="preserve"> PAGEREF _Toc224058783 \h </w:instrText>
            </w:r>
            <w:r>
              <w:rPr>
                <w:noProof/>
                <w:webHidden/>
              </w:rPr>
            </w:r>
            <w:r>
              <w:rPr>
                <w:noProof/>
                <w:webHidden/>
              </w:rPr>
              <w:fldChar w:fldCharType="separate"/>
            </w:r>
            <w:r>
              <w:rPr>
                <w:noProof/>
                <w:webHidden/>
              </w:rPr>
              <w:t>23</w:t>
            </w:r>
            <w:r>
              <w:rPr>
                <w:noProof/>
                <w:webHidden/>
              </w:rPr>
              <w:fldChar w:fldCharType="end"/>
            </w:r>
          </w:hyperlink>
        </w:p>
        <w:p w14:paraId="6E611717" w14:textId="68EF8CE5" w:rsidR="00EB2DCF" w:rsidRDefault="00EB2DCF">
          <w:pPr>
            <w:pStyle w:val="TOC3"/>
            <w:tabs>
              <w:tab w:val="right" w:leader="dot" w:pos="8630"/>
            </w:tabs>
            <w:rPr>
              <w:rFonts w:cstheme="minorBidi"/>
              <w:noProof/>
              <w:kern w:val="2"/>
              <w:sz w:val="24"/>
              <w:lang w:val="en-GB" w:eastAsia="en-GB"/>
              <w14:ligatures w14:val="standardContextual"/>
            </w:rPr>
          </w:pPr>
          <w:hyperlink w:anchor="_Toc224058784" w:history="1">
            <w:r w:rsidRPr="008F6E56">
              <w:rPr>
                <w:rStyle w:val="Hyperlink"/>
                <w:rFonts w:ascii="Arial" w:eastAsia="MS Gothic" w:hAnsi="Arial" w:cs="Arial"/>
                <w:bCs/>
                <w:noProof/>
              </w:rPr>
              <w:t>3.6.2  Exclusion Criteria</w:t>
            </w:r>
            <w:r>
              <w:rPr>
                <w:noProof/>
                <w:webHidden/>
              </w:rPr>
              <w:tab/>
            </w:r>
            <w:r>
              <w:rPr>
                <w:noProof/>
                <w:webHidden/>
              </w:rPr>
              <w:fldChar w:fldCharType="begin"/>
            </w:r>
            <w:r>
              <w:rPr>
                <w:noProof/>
                <w:webHidden/>
              </w:rPr>
              <w:instrText xml:space="preserve"> PAGEREF _Toc224058784 \h </w:instrText>
            </w:r>
            <w:r>
              <w:rPr>
                <w:noProof/>
                <w:webHidden/>
              </w:rPr>
            </w:r>
            <w:r>
              <w:rPr>
                <w:noProof/>
                <w:webHidden/>
              </w:rPr>
              <w:fldChar w:fldCharType="separate"/>
            </w:r>
            <w:r>
              <w:rPr>
                <w:noProof/>
                <w:webHidden/>
              </w:rPr>
              <w:t>24</w:t>
            </w:r>
            <w:r>
              <w:rPr>
                <w:noProof/>
                <w:webHidden/>
              </w:rPr>
              <w:fldChar w:fldCharType="end"/>
            </w:r>
          </w:hyperlink>
        </w:p>
        <w:p w14:paraId="1DBFBF19" w14:textId="33EB8B8E"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5" w:history="1">
            <w:r w:rsidRPr="008F6E56">
              <w:rPr>
                <w:rStyle w:val="Hyperlink"/>
                <w:rFonts w:ascii="Arial" w:eastAsia="MS Gothic" w:hAnsi="Arial" w:cs="Arial"/>
                <w:noProof/>
              </w:rPr>
              <w:t>3.7 Search Results</w:t>
            </w:r>
            <w:r>
              <w:rPr>
                <w:noProof/>
                <w:webHidden/>
              </w:rPr>
              <w:tab/>
            </w:r>
            <w:r>
              <w:rPr>
                <w:noProof/>
                <w:webHidden/>
              </w:rPr>
              <w:fldChar w:fldCharType="begin"/>
            </w:r>
            <w:r>
              <w:rPr>
                <w:noProof/>
                <w:webHidden/>
              </w:rPr>
              <w:instrText xml:space="preserve"> PAGEREF _Toc224058785 \h </w:instrText>
            </w:r>
            <w:r>
              <w:rPr>
                <w:noProof/>
                <w:webHidden/>
              </w:rPr>
            </w:r>
            <w:r>
              <w:rPr>
                <w:noProof/>
                <w:webHidden/>
              </w:rPr>
              <w:fldChar w:fldCharType="separate"/>
            </w:r>
            <w:r>
              <w:rPr>
                <w:noProof/>
                <w:webHidden/>
              </w:rPr>
              <w:t>24</w:t>
            </w:r>
            <w:r>
              <w:rPr>
                <w:noProof/>
                <w:webHidden/>
              </w:rPr>
              <w:fldChar w:fldCharType="end"/>
            </w:r>
          </w:hyperlink>
        </w:p>
        <w:p w14:paraId="6012F1BB" w14:textId="63016969"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6" w:history="1">
            <w:r w:rsidRPr="008F6E56">
              <w:rPr>
                <w:rStyle w:val="Hyperlink"/>
                <w:rFonts w:ascii="Arial" w:eastAsia="MS Gothic" w:hAnsi="Arial" w:cs="Arial"/>
                <w:noProof/>
              </w:rPr>
              <w:t>3.8  Ethical Considerations</w:t>
            </w:r>
            <w:r>
              <w:rPr>
                <w:noProof/>
                <w:webHidden/>
              </w:rPr>
              <w:tab/>
            </w:r>
            <w:r>
              <w:rPr>
                <w:noProof/>
                <w:webHidden/>
              </w:rPr>
              <w:fldChar w:fldCharType="begin"/>
            </w:r>
            <w:r>
              <w:rPr>
                <w:noProof/>
                <w:webHidden/>
              </w:rPr>
              <w:instrText xml:space="preserve"> PAGEREF _Toc224058786 \h </w:instrText>
            </w:r>
            <w:r>
              <w:rPr>
                <w:noProof/>
                <w:webHidden/>
              </w:rPr>
            </w:r>
            <w:r>
              <w:rPr>
                <w:noProof/>
                <w:webHidden/>
              </w:rPr>
              <w:fldChar w:fldCharType="separate"/>
            </w:r>
            <w:r>
              <w:rPr>
                <w:noProof/>
                <w:webHidden/>
              </w:rPr>
              <w:t>24</w:t>
            </w:r>
            <w:r>
              <w:rPr>
                <w:noProof/>
                <w:webHidden/>
              </w:rPr>
              <w:fldChar w:fldCharType="end"/>
            </w:r>
          </w:hyperlink>
        </w:p>
        <w:p w14:paraId="51D06FFE" w14:textId="52588FF0"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7" w:history="1">
            <w:r w:rsidRPr="008F6E56">
              <w:rPr>
                <w:rStyle w:val="Hyperlink"/>
                <w:rFonts w:ascii="Arial" w:eastAsia="MS Gothic" w:hAnsi="Arial" w:cs="Arial"/>
                <w:noProof/>
              </w:rPr>
              <w:t>3.9 Chapter Summary</w:t>
            </w:r>
            <w:r>
              <w:rPr>
                <w:noProof/>
                <w:webHidden/>
              </w:rPr>
              <w:tab/>
            </w:r>
            <w:r>
              <w:rPr>
                <w:noProof/>
                <w:webHidden/>
              </w:rPr>
              <w:fldChar w:fldCharType="begin"/>
            </w:r>
            <w:r>
              <w:rPr>
                <w:noProof/>
                <w:webHidden/>
              </w:rPr>
              <w:instrText xml:space="preserve"> PAGEREF _Toc224058787 \h </w:instrText>
            </w:r>
            <w:r>
              <w:rPr>
                <w:noProof/>
                <w:webHidden/>
              </w:rPr>
            </w:r>
            <w:r>
              <w:rPr>
                <w:noProof/>
                <w:webHidden/>
              </w:rPr>
              <w:fldChar w:fldCharType="separate"/>
            </w:r>
            <w:r>
              <w:rPr>
                <w:noProof/>
                <w:webHidden/>
              </w:rPr>
              <w:t>24</w:t>
            </w:r>
            <w:r>
              <w:rPr>
                <w:noProof/>
                <w:webHidden/>
              </w:rPr>
              <w:fldChar w:fldCharType="end"/>
            </w:r>
          </w:hyperlink>
        </w:p>
        <w:p w14:paraId="4465540A" w14:textId="78AB2704"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88" w:history="1">
            <w:r w:rsidRPr="008F6E56">
              <w:rPr>
                <w:rStyle w:val="Hyperlink"/>
                <w:rFonts w:ascii="Arial" w:hAnsi="Arial" w:cs="Arial"/>
                <w:noProof/>
                <w:lang w:val="en-GB"/>
              </w:rPr>
              <w:t>Chapter 4: Findings and Discussion :</w:t>
            </w:r>
            <w:r>
              <w:rPr>
                <w:noProof/>
                <w:webHidden/>
              </w:rPr>
              <w:tab/>
            </w:r>
            <w:r>
              <w:rPr>
                <w:noProof/>
                <w:webHidden/>
              </w:rPr>
              <w:fldChar w:fldCharType="begin"/>
            </w:r>
            <w:r>
              <w:rPr>
                <w:noProof/>
                <w:webHidden/>
              </w:rPr>
              <w:instrText xml:space="preserve"> PAGEREF _Toc224058788 \h </w:instrText>
            </w:r>
            <w:r>
              <w:rPr>
                <w:noProof/>
                <w:webHidden/>
              </w:rPr>
            </w:r>
            <w:r>
              <w:rPr>
                <w:noProof/>
                <w:webHidden/>
              </w:rPr>
              <w:fldChar w:fldCharType="separate"/>
            </w:r>
            <w:r>
              <w:rPr>
                <w:noProof/>
                <w:webHidden/>
              </w:rPr>
              <w:t>25</w:t>
            </w:r>
            <w:r>
              <w:rPr>
                <w:noProof/>
                <w:webHidden/>
              </w:rPr>
              <w:fldChar w:fldCharType="end"/>
            </w:r>
          </w:hyperlink>
        </w:p>
        <w:p w14:paraId="7E55EBA1" w14:textId="279A2B8A" w:rsidR="00EB2DCF" w:rsidRDefault="00EB2DCF">
          <w:pPr>
            <w:pStyle w:val="TOC3"/>
            <w:tabs>
              <w:tab w:val="right" w:leader="dot" w:pos="8630"/>
            </w:tabs>
            <w:rPr>
              <w:rFonts w:cstheme="minorBidi"/>
              <w:noProof/>
              <w:kern w:val="2"/>
              <w:sz w:val="24"/>
              <w:lang w:val="en-GB" w:eastAsia="en-GB"/>
              <w14:ligatures w14:val="standardContextual"/>
            </w:rPr>
          </w:pPr>
          <w:hyperlink w:anchor="_Toc224058789" w:history="1">
            <w:r w:rsidRPr="008F6E56">
              <w:rPr>
                <w:rStyle w:val="Hyperlink"/>
                <w:rFonts w:ascii="Arial" w:hAnsi="Arial" w:cs="Arial"/>
                <w:noProof/>
                <w:lang w:val="en-GB"/>
              </w:rPr>
              <w:t>4.1 Overview of Included Studies</w:t>
            </w:r>
            <w:r>
              <w:rPr>
                <w:noProof/>
                <w:webHidden/>
              </w:rPr>
              <w:tab/>
            </w:r>
            <w:r>
              <w:rPr>
                <w:noProof/>
                <w:webHidden/>
              </w:rPr>
              <w:fldChar w:fldCharType="begin"/>
            </w:r>
            <w:r>
              <w:rPr>
                <w:noProof/>
                <w:webHidden/>
              </w:rPr>
              <w:instrText xml:space="preserve"> PAGEREF _Toc224058789 \h </w:instrText>
            </w:r>
            <w:r>
              <w:rPr>
                <w:noProof/>
                <w:webHidden/>
              </w:rPr>
            </w:r>
            <w:r>
              <w:rPr>
                <w:noProof/>
                <w:webHidden/>
              </w:rPr>
              <w:fldChar w:fldCharType="separate"/>
            </w:r>
            <w:r>
              <w:rPr>
                <w:noProof/>
                <w:webHidden/>
              </w:rPr>
              <w:t>25</w:t>
            </w:r>
            <w:r>
              <w:rPr>
                <w:noProof/>
                <w:webHidden/>
              </w:rPr>
              <w:fldChar w:fldCharType="end"/>
            </w:r>
          </w:hyperlink>
        </w:p>
        <w:p w14:paraId="413D8430" w14:textId="6A584820" w:rsidR="00EB2DCF" w:rsidRDefault="00EB2DCF">
          <w:pPr>
            <w:pStyle w:val="TOC3"/>
            <w:tabs>
              <w:tab w:val="right" w:leader="dot" w:pos="8630"/>
            </w:tabs>
            <w:rPr>
              <w:rFonts w:cstheme="minorBidi"/>
              <w:noProof/>
              <w:kern w:val="2"/>
              <w:sz w:val="24"/>
              <w:lang w:val="en-GB" w:eastAsia="en-GB"/>
              <w14:ligatures w14:val="standardContextual"/>
            </w:rPr>
          </w:pPr>
          <w:hyperlink w:anchor="_Toc224058790" w:history="1">
            <w:r w:rsidRPr="008F6E56">
              <w:rPr>
                <w:rStyle w:val="Hyperlink"/>
                <w:rFonts w:ascii="Arial" w:hAnsi="Arial" w:cs="Arial"/>
                <w:noProof/>
                <w:lang w:val="en-GB"/>
              </w:rPr>
              <w:t>4.2 Trends in E</w:t>
            </w:r>
            <w:r w:rsidRPr="008F6E56">
              <w:rPr>
                <w:rStyle w:val="Hyperlink"/>
                <w:rFonts w:ascii="Arial" w:hAnsi="Arial" w:cs="Arial"/>
                <w:noProof/>
                <w:lang w:val="en-GB"/>
              </w:rPr>
              <w:noBreakHyphen/>
              <w:t>waste Generation and Recycling</w:t>
            </w:r>
            <w:r>
              <w:rPr>
                <w:noProof/>
                <w:webHidden/>
              </w:rPr>
              <w:tab/>
            </w:r>
            <w:r>
              <w:rPr>
                <w:noProof/>
                <w:webHidden/>
              </w:rPr>
              <w:fldChar w:fldCharType="begin"/>
            </w:r>
            <w:r>
              <w:rPr>
                <w:noProof/>
                <w:webHidden/>
              </w:rPr>
              <w:instrText xml:space="preserve"> PAGEREF _Toc224058790 \h </w:instrText>
            </w:r>
            <w:r>
              <w:rPr>
                <w:noProof/>
                <w:webHidden/>
              </w:rPr>
            </w:r>
            <w:r>
              <w:rPr>
                <w:noProof/>
                <w:webHidden/>
              </w:rPr>
              <w:fldChar w:fldCharType="separate"/>
            </w:r>
            <w:r>
              <w:rPr>
                <w:noProof/>
                <w:webHidden/>
              </w:rPr>
              <w:t>25</w:t>
            </w:r>
            <w:r>
              <w:rPr>
                <w:noProof/>
                <w:webHidden/>
              </w:rPr>
              <w:fldChar w:fldCharType="end"/>
            </w:r>
          </w:hyperlink>
        </w:p>
        <w:p w14:paraId="7004F349" w14:textId="7660DEAA" w:rsidR="00EB2DCF" w:rsidRDefault="00EB2DCF">
          <w:pPr>
            <w:pStyle w:val="TOC3"/>
            <w:tabs>
              <w:tab w:val="right" w:leader="dot" w:pos="8630"/>
            </w:tabs>
            <w:rPr>
              <w:rFonts w:cstheme="minorBidi"/>
              <w:noProof/>
              <w:kern w:val="2"/>
              <w:sz w:val="24"/>
              <w:lang w:val="en-GB" w:eastAsia="en-GB"/>
              <w14:ligatures w14:val="standardContextual"/>
            </w:rPr>
          </w:pPr>
          <w:hyperlink w:anchor="_Toc224058791" w:history="1">
            <w:r w:rsidRPr="008F6E56">
              <w:rPr>
                <w:rStyle w:val="Hyperlink"/>
                <w:rFonts w:ascii="Arial" w:hAnsi="Arial" w:cs="Arial"/>
                <w:noProof/>
                <w:lang w:val="en-GB"/>
              </w:rPr>
              <w:t>4.3 Potential for Storage Drive Reuse</w:t>
            </w:r>
            <w:r>
              <w:rPr>
                <w:noProof/>
                <w:webHidden/>
              </w:rPr>
              <w:tab/>
            </w:r>
            <w:r>
              <w:rPr>
                <w:noProof/>
                <w:webHidden/>
              </w:rPr>
              <w:fldChar w:fldCharType="begin"/>
            </w:r>
            <w:r>
              <w:rPr>
                <w:noProof/>
                <w:webHidden/>
              </w:rPr>
              <w:instrText xml:space="preserve"> PAGEREF _Toc224058791 \h </w:instrText>
            </w:r>
            <w:r>
              <w:rPr>
                <w:noProof/>
                <w:webHidden/>
              </w:rPr>
            </w:r>
            <w:r>
              <w:rPr>
                <w:noProof/>
                <w:webHidden/>
              </w:rPr>
              <w:fldChar w:fldCharType="separate"/>
            </w:r>
            <w:r>
              <w:rPr>
                <w:noProof/>
                <w:webHidden/>
              </w:rPr>
              <w:t>26</w:t>
            </w:r>
            <w:r>
              <w:rPr>
                <w:noProof/>
                <w:webHidden/>
              </w:rPr>
              <w:fldChar w:fldCharType="end"/>
            </w:r>
          </w:hyperlink>
        </w:p>
        <w:p w14:paraId="08F62D29" w14:textId="4286BB2F" w:rsidR="00EB2DCF" w:rsidRDefault="00EB2DCF">
          <w:pPr>
            <w:pStyle w:val="TOC3"/>
            <w:tabs>
              <w:tab w:val="right" w:leader="dot" w:pos="8630"/>
            </w:tabs>
            <w:rPr>
              <w:rFonts w:cstheme="minorBidi"/>
              <w:noProof/>
              <w:kern w:val="2"/>
              <w:sz w:val="24"/>
              <w:lang w:val="en-GB" w:eastAsia="en-GB"/>
              <w14:ligatures w14:val="standardContextual"/>
            </w:rPr>
          </w:pPr>
          <w:hyperlink w:anchor="_Toc224058792" w:history="1">
            <w:r w:rsidRPr="008F6E56">
              <w:rPr>
                <w:rStyle w:val="Hyperlink"/>
                <w:rFonts w:ascii="Arial" w:hAnsi="Arial" w:cs="Arial"/>
                <w:noProof/>
                <w:lang w:val="en-GB"/>
              </w:rPr>
              <w:t>4.4 Growth of the Refurbished Device Market</w:t>
            </w:r>
            <w:r>
              <w:rPr>
                <w:noProof/>
                <w:webHidden/>
              </w:rPr>
              <w:tab/>
            </w:r>
            <w:r>
              <w:rPr>
                <w:noProof/>
                <w:webHidden/>
              </w:rPr>
              <w:fldChar w:fldCharType="begin"/>
            </w:r>
            <w:r>
              <w:rPr>
                <w:noProof/>
                <w:webHidden/>
              </w:rPr>
              <w:instrText xml:space="preserve"> PAGEREF _Toc224058792 \h </w:instrText>
            </w:r>
            <w:r>
              <w:rPr>
                <w:noProof/>
                <w:webHidden/>
              </w:rPr>
            </w:r>
            <w:r>
              <w:rPr>
                <w:noProof/>
                <w:webHidden/>
              </w:rPr>
              <w:fldChar w:fldCharType="separate"/>
            </w:r>
            <w:r>
              <w:rPr>
                <w:noProof/>
                <w:webHidden/>
              </w:rPr>
              <w:t>27</w:t>
            </w:r>
            <w:r>
              <w:rPr>
                <w:noProof/>
                <w:webHidden/>
              </w:rPr>
              <w:fldChar w:fldCharType="end"/>
            </w:r>
          </w:hyperlink>
        </w:p>
        <w:p w14:paraId="672F3843" w14:textId="206F6EC8" w:rsidR="00EB2DCF" w:rsidRDefault="00EB2DCF">
          <w:pPr>
            <w:pStyle w:val="TOC3"/>
            <w:tabs>
              <w:tab w:val="right" w:leader="dot" w:pos="8630"/>
            </w:tabs>
            <w:rPr>
              <w:rFonts w:cstheme="minorBidi"/>
              <w:noProof/>
              <w:kern w:val="2"/>
              <w:sz w:val="24"/>
              <w:lang w:val="en-GB" w:eastAsia="en-GB"/>
              <w14:ligatures w14:val="standardContextual"/>
            </w:rPr>
          </w:pPr>
          <w:hyperlink w:anchor="_Toc224058793" w:history="1">
            <w:r w:rsidRPr="008F6E56">
              <w:rPr>
                <w:rStyle w:val="Hyperlink"/>
                <w:rFonts w:ascii="Arial" w:hAnsi="Arial" w:cs="Arial"/>
                <w:noProof/>
                <w:lang w:val="en-GB"/>
              </w:rPr>
              <w:t>4.5 Regulatory and Corporate Initiatives</w:t>
            </w:r>
            <w:r>
              <w:rPr>
                <w:noProof/>
                <w:webHidden/>
              </w:rPr>
              <w:tab/>
            </w:r>
            <w:r>
              <w:rPr>
                <w:noProof/>
                <w:webHidden/>
              </w:rPr>
              <w:fldChar w:fldCharType="begin"/>
            </w:r>
            <w:r>
              <w:rPr>
                <w:noProof/>
                <w:webHidden/>
              </w:rPr>
              <w:instrText xml:space="preserve"> PAGEREF _Toc224058793 \h </w:instrText>
            </w:r>
            <w:r>
              <w:rPr>
                <w:noProof/>
                <w:webHidden/>
              </w:rPr>
            </w:r>
            <w:r>
              <w:rPr>
                <w:noProof/>
                <w:webHidden/>
              </w:rPr>
              <w:fldChar w:fldCharType="separate"/>
            </w:r>
            <w:r>
              <w:rPr>
                <w:noProof/>
                <w:webHidden/>
              </w:rPr>
              <w:t>27</w:t>
            </w:r>
            <w:r>
              <w:rPr>
                <w:noProof/>
                <w:webHidden/>
              </w:rPr>
              <w:fldChar w:fldCharType="end"/>
            </w:r>
          </w:hyperlink>
        </w:p>
        <w:p w14:paraId="198E4F4A" w14:textId="20825959" w:rsidR="00EB2DCF" w:rsidRDefault="00EB2DCF">
          <w:pPr>
            <w:pStyle w:val="TOC3"/>
            <w:tabs>
              <w:tab w:val="right" w:leader="dot" w:pos="8630"/>
            </w:tabs>
            <w:rPr>
              <w:rFonts w:cstheme="minorBidi"/>
              <w:noProof/>
              <w:kern w:val="2"/>
              <w:sz w:val="24"/>
              <w:lang w:val="en-GB" w:eastAsia="en-GB"/>
              <w14:ligatures w14:val="standardContextual"/>
            </w:rPr>
          </w:pPr>
          <w:hyperlink w:anchor="_Toc224058794" w:history="1">
            <w:r w:rsidRPr="008F6E56">
              <w:rPr>
                <w:rStyle w:val="Hyperlink"/>
                <w:rFonts w:ascii="Arial" w:hAnsi="Arial" w:cs="Arial"/>
                <w:noProof/>
                <w:lang w:val="en-GB"/>
              </w:rPr>
              <w:t>4.6 Barriers and Enablers in Practice</w:t>
            </w:r>
            <w:r>
              <w:rPr>
                <w:noProof/>
                <w:webHidden/>
              </w:rPr>
              <w:tab/>
            </w:r>
            <w:r>
              <w:rPr>
                <w:noProof/>
                <w:webHidden/>
              </w:rPr>
              <w:fldChar w:fldCharType="begin"/>
            </w:r>
            <w:r>
              <w:rPr>
                <w:noProof/>
                <w:webHidden/>
              </w:rPr>
              <w:instrText xml:space="preserve"> PAGEREF _Toc224058794 \h </w:instrText>
            </w:r>
            <w:r>
              <w:rPr>
                <w:noProof/>
                <w:webHidden/>
              </w:rPr>
            </w:r>
            <w:r>
              <w:rPr>
                <w:noProof/>
                <w:webHidden/>
              </w:rPr>
              <w:fldChar w:fldCharType="separate"/>
            </w:r>
            <w:r>
              <w:rPr>
                <w:noProof/>
                <w:webHidden/>
              </w:rPr>
              <w:t>28</w:t>
            </w:r>
            <w:r>
              <w:rPr>
                <w:noProof/>
                <w:webHidden/>
              </w:rPr>
              <w:fldChar w:fldCharType="end"/>
            </w:r>
          </w:hyperlink>
        </w:p>
        <w:p w14:paraId="03848169" w14:textId="7D1D592C" w:rsidR="00EB2DCF" w:rsidRDefault="00EB2DCF">
          <w:pPr>
            <w:pStyle w:val="TOC3"/>
            <w:tabs>
              <w:tab w:val="right" w:leader="dot" w:pos="8630"/>
            </w:tabs>
            <w:rPr>
              <w:rFonts w:cstheme="minorBidi"/>
              <w:noProof/>
              <w:kern w:val="2"/>
              <w:sz w:val="24"/>
              <w:lang w:val="en-GB" w:eastAsia="en-GB"/>
              <w14:ligatures w14:val="standardContextual"/>
            </w:rPr>
          </w:pPr>
          <w:hyperlink w:anchor="_Toc224058795" w:history="1">
            <w:r w:rsidRPr="008F6E56">
              <w:rPr>
                <w:rStyle w:val="Hyperlink"/>
                <w:rFonts w:ascii="Arial" w:hAnsi="Arial" w:cs="Arial"/>
                <w:noProof/>
                <w:lang w:val="en-GB"/>
              </w:rPr>
              <w:t>4.7 Discussion</w:t>
            </w:r>
            <w:r>
              <w:rPr>
                <w:noProof/>
                <w:webHidden/>
              </w:rPr>
              <w:tab/>
            </w:r>
            <w:r>
              <w:rPr>
                <w:noProof/>
                <w:webHidden/>
              </w:rPr>
              <w:fldChar w:fldCharType="begin"/>
            </w:r>
            <w:r>
              <w:rPr>
                <w:noProof/>
                <w:webHidden/>
              </w:rPr>
              <w:instrText xml:space="preserve"> PAGEREF _Toc224058795 \h </w:instrText>
            </w:r>
            <w:r>
              <w:rPr>
                <w:noProof/>
                <w:webHidden/>
              </w:rPr>
            </w:r>
            <w:r>
              <w:rPr>
                <w:noProof/>
                <w:webHidden/>
              </w:rPr>
              <w:fldChar w:fldCharType="separate"/>
            </w:r>
            <w:r>
              <w:rPr>
                <w:noProof/>
                <w:webHidden/>
              </w:rPr>
              <w:t>29</w:t>
            </w:r>
            <w:r>
              <w:rPr>
                <w:noProof/>
                <w:webHidden/>
              </w:rPr>
              <w:fldChar w:fldCharType="end"/>
            </w:r>
          </w:hyperlink>
        </w:p>
        <w:p w14:paraId="0D653D1D" w14:textId="297645AF" w:rsidR="00EB2DCF" w:rsidRDefault="00EB2DCF">
          <w:pPr>
            <w:pStyle w:val="TOC3"/>
            <w:tabs>
              <w:tab w:val="right" w:leader="dot" w:pos="8630"/>
            </w:tabs>
            <w:rPr>
              <w:rFonts w:cstheme="minorBidi"/>
              <w:noProof/>
              <w:kern w:val="2"/>
              <w:sz w:val="24"/>
              <w:lang w:val="en-GB" w:eastAsia="en-GB"/>
              <w14:ligatures w14:val="standardContextual"/>
            </w:rPr>
          </w:pPr>
          <w:hyperlink w:anchor="_Toc224058796" w:history="1">
            <w:r w:rsidRPr="008F6E56">
              <w:rPr>
                <w:rStyle w:val="Hyperlink"/>
                <w:rFonts w:ascii="Arial" w:hAnsi="Arial" w:cs="Arial"/>
                <w:noProof/>
                <w:lang w:val="en-GB"/>
              </w:rPr>
              <w:t>4.8 Chapter Summary</w:t>
            </w:r>
            <w:r>
              <w:rPr>
                <w:noProof/>
                <w:webHidden/>
              </w:rPr>
              <w:tab/>
            </w:r>
            <w:r>
              <w:rPr>
                <w:noProof/>
                <w:webHidden/>
              </w:rPr>
              <w:fldChar w:fldCharType="begin"/>
            </w:r>
            <w:r>
              <w:rPr>
                <w:noProof/>
                <w:webHidden/>
              </w:rPr>
              <w:instrText xml:space="preserve"> PAGEREF _Toc224058796 \h </w:instrText>
            </w:r>
            <w:r>
              <w:rPr>
                <w:noProof/>
                <w:webHidden/>
              </w:rPr>
            </w:r>
            <w:r>
              <w:rPr>
                <w:noProof/>
                <w:webHidden/>
              </w:rPr>
              <w:fldChar w:fldCharType="separate"/>
            </w:r>
            <w:r>
              <w:rPr>
                <w:noProof/>
                <w:webHidden/>
              </w:rPr>
              <w:t>29</w:t>
            </w:r>
            <w:r>
              <w:rPr>
                <w:noProof/>
                <w:webHidden/>
              </w:rPr>
              <w:fldChar w:fldCharType="end"/>
            </w:r>
          </w:hyperlink>
        </w:p>
        <w:p w14:paraId="7FE63C33" w14:textId="1BEE4AB6" w:rsidR="00EB2DCF" w:rsidRDefault="00EB2DCF">
          <w:pPr>
            <w:pStyle w:val="TOC3"/>
            <w:tabs>
              <w:tab w:val="right" w:leader="dot" w:pos="8630"/>
            </w:tabs>
            <w:rPr>
              <w:rFonts w:cstheme="minorBidi"/>
              <w:noProof/>
              <w:kern w:val="2"/>
              <w:sz w:val="24"/>
              <w:lang w:val="en-GB" w:eastAsia="en-GB"/>
              <w14:ligatures w14:val="standardContextual"/>
            </w:rPr>
          </w:pPr>
          <w:hyperlink w:anchor="_Toc224058797" w:history="1">
            <w:r w:rsidRPr="008F6E56">
              <w:rPr>
                <w:rStyle w:val="Hyperlink"/>
                <w:rFonts w:ascii="Arial" w:eastAsiaTheme="majorEastAsia" w:hAnsi="Arial" w:cs="Arial"/>
                <w:b/>
                <w:bCs/>
                <w:noProof/>
              </w:rPr>
              <w:t>Table 4.x: Summary of key sources</w:t>
            </w:r>
            <w:r>
              <w:rPr>
                <w:noProof/>
                <w:webHidden/>
              </w:rPr>
              <w:tab/>
            </w:r>
            <w:r>
              <w:rPr>
                <w:noProof/>
                <w:webHidden/>
              </w:rPr>
              <w:fldChar w:fldCharType="begin"/>
            </w:r>
            <w:r>
              <w:rPr>
                <w:noProof/>
                <w:webHidden/>
              </w:rPr>
              <w:instrText xml:space="preserve"> PAGEREF _Toc224058797 \h </w:instrText>
            </w:r>
            <w:r>
              <w:rPr>
                <w:noProof/>
                <w:webHidden/>
              </w:rPr>
            </w:r>
            <w:r>
              <w:rPr>
                <w:noProof/>
                <w:webHidden/>
              </w:rPr>
              <w:fldChar w:fldCharType="separate"/>
            </w:r>
            <w:r>
              <w:rPr>
                <w:noProof/>
                <w:webHidden/>
              </w:rPr>
              <w:t>30</w:t>
            </w:r>
            <w:r>
              <w:rPr>
                <w:noProof/>
                <w:webHidden/>
              </w:rPr>
              <w:fldChar w:fldCharType="end"/>
            </w:r>
          </w:hyperlink>
        </w:p>
        <w:p w14:paraId="3EA07959" w14:textId="7C331B87"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98" w:history="1">
            <w:r w:rsidRPr="008F6E56">
              <w:rPr>
                <w:rStyle w:val="Hyperlink"/>
                <w:rFonts w:ascii="Arial" w:hAnsi="Arial" w:cs="Arial"/>
                <w:noProof/>
              </w:rPr>
              <w:t>Chapter 5: Recommendations, Conclusion and Limitations</w:t>
            </w:r>
            <w:r>
              <w:rPr>
                <w:noProof/>
                <w:webHidden/>
              </w:rPr>
              <w:tab/>
            </w:r>
            <w:r>
              <w:rPr>
                <w:noProof/>
                <w:webHidden/>
              </w:rPr>
              <w:fldChar w:fldCharType="begin"/>
            </w:r>
            <w:r>
              <w:rPr>
                <w:noProof/>
                <w:webHidden/>
              </w:rPr>
              <w:instrText xml:space="preserve"> PAGEREF _Toc224058798 \h </w:instrText>
            </w:r>
            <w:r>
              <w:rPr>
                <w:noProof/>
                <w:webHidden/>
              </w:rPr>
            </w:r>
            <w:r>
              <w:rPr>
                <w:noProof/>
                <w:webHidden/>
              </w:rPr>
              <w:fldChar w:fldCharType="separate"/>
            </w:r>
            <w:r>
              <w:rPr>
                <w:noProof/>
                <w:webHidden/>
              </w:rPr>
              <w:t>32</w:t>
            </w:r>
            <w:r>
              <w:rPr>
                <w:noProof/>
                <w:webHidden/>
              </w:rPr>
              <w:fldChar w:fldCharType="end"/>
            </w:r>
          </w:hyperlink>
        </w:p>
        <w:p w14:paraId="2D5C18E2" w14:textId="49CBBB1E"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99" w:history="1">
            <w:r w:rsidRPr="008F6E56">
              <w:rPr>
                <w:rStyle w:val="Hyperlink"/>
                <w:rFonts w:ascii="Arial" w:hAnsi="Arial" w:cs="Arial"/>
                <w:noProof/>
                <w:lang w:val="en-GB"/>
              </w:rPr>
              <w:t>5.1 Recommendations</w:t>
            </w:r>
            <w:r>
              <w:rPr>
                <w:noProof/>
                <w:webHidden/>
              </w:rPr>
              <w:tab/>
            </w:r>
            <w:r>
              <w:rPr>
                <w:noProof/>
                <w:webHidden/>
              </w:rPr>
              <w:fldChar w:fldCharType="begin"/>
            </w:r>
            <w:r>
              <w:rPr>
                <w:noProof/>
                <w:webHidden/>
              </w:rPr>
              <w:instrText xml:space="preserve"> PAGEREF _Toc224058799 \h </w:instrText>
            </w:r>
            <w:r>
              <w:rPr>
                <w:noProof/>
                <w:webHidden/>
              </w:rPr>
            </w:r>
            <w:r>
              <w:rPr>
                <w:noProof/>
                <w:webHidden/>
              </w:rPr>
              <w:fldChar w:fldCharType="separate"/>
            </w:r>
            <w:r>
              <w:rPr>
                <w:noProof/>
                <w:webHidden/>
              </w:rPr>
              <w:t>32</w:t>
            </w:r>
            <w:r>
              <w:rPr>
                <w:noProof/>
                <w:webHidden/>
              </w:rPr>
              <w:fldChar w:fldCharType="end"/>
            </w:r>
          </w:hyperlink>
        </w:p>
        <w:p w14:paraId="41336FDE" w14:textId="636285A1" w:rsidR="00EB2DCF" w:rsidRDefault="00EB2DCF">
          <w:pPr>
            <w:pStyle w:val="TOC3"/>
            <w:tabs>
              <w:tab w:val="right" w:leader="dot" w:pos="8630"/>
            </w:tabs>
            <w:rPr>
              <w:rFonts w:cstheme="minorBidi"/>
              <w:noProof/>
              <w:kern w:val="2"/>
              <w:sz w:val="24"/>
              <w:lang w:val="en-GB" w:eastAsia="en-GB"/>
              <w14:ligatures w14:val="standardContextual"/>
            </w:rPr>
          </w:pPr>
          <w:hyperlink w:anchor="_Toc224058800" w:history="1">
            <w:r w:rsidRPr="008F6E56">
              <w:rPr>
                <w:rStyle w:val="Hyperlink"/>
                <w:rFonts w:ascii="Arial" w:hAnsi="Arial" w:cs="Arial"/>
                <w:noProof/>
                <w:lang w:val="en-GB"/>
              </w:rPr>
              <w:t>1. Strengthen design for circularity.</w:t>
            </w:r>
            <w:r>
              <w:rPr>
                <w:noProof/>
                <w:webHidden/>
              </w:rPr>
              <w:tab/>
            </w:r>
            <w:r>
              <w:rPr>
                <w:noProof/>
                <w:webHidden/>
              </w:rPr>
              <w:fldChar w:fldCharType="begin"/>
            </w:r>
            <w:r>
              <w:rPr>
                <w:noProof/>
                <w:webHidden/>
              </w:rPr>
              <w:instrText xml:space="preserve"> PAGEREF _Toc224058800 \h </w:instrText>
            </w:r>
            <w:r>
              <w:rPr>
                <w:noProof/>
                <w:webHidden/>
              </w:rPr>
            </w:r>
            <w:r>
              <w:rPr>
                <w:noProof/>
                <w:webHidden/>
              </w:rPr>
              <w:fldChar w:fldCharType="separate"/>
            </w:r>
            <w:r>
              <w:rPr>
                <w:noProof/>
                <w:webHidden/>
              </w:rPr>
              <w:t>32</w:t>
            </w:r>
            <w:r>
              <w:rPr>
                <w:noProof/>
                <w:webHidden/>
              </w:rPr>
              <w:fldChar w:fldCharType="end"/>
            </w:r>
          </w:hyperlink>
        </w:p>
        <w:p w14:paraId="6D576259" w14:textId="798AC97F" w:rsidR="00EB2DCF" w:rsidRDefault="00EB2DCF">
          <w:pPr>
            <w:pStyle w:val="TOC3"/>
            <w:tabs>
              <w:tab w:val="right" w:leader="dot" w:pos="8630"/>
            </w:tabs>
            <w:rPr>
              <w:rFonts w:cstheme="minorBidi"/>
              <w:noProof/>
              <w:kern w:val="2"/>
              <w:sz w:val="24"/>
              <w:lang w:val="en-GB" w:eastAsia="en-GB"/>
              <w14:ligatures w14:val="standardContextual"/>
            </w:rPr>
          </w:pPr>
          <w:hyperlink w:anchor="_Toc224058801" w:history="1">
            <w:r w:rsidRPr="008F6E56">
              <w:rPr>
                <w:rStyle w:val="Hyperlink"/>
                <w:rFonts w:ascii="Arial" w:hAnsi="Arial" w:cs="Arial"/>
                <w:noProof/>
                <w:lang w:val="en-GB"/>
              </w:rPr>
              <w:t>2. Enhance regulatory frameworks.</w:t>
            </w:r>
            <w:r>
              <w:rPr>
                <w:noProof/>
                <w:webHidden/>
              </w:rPr>
              <w:tab/>
            </w:r>
            <w:r>
              <w:rPr>
                <w:noProof/>
                <w:webHidden/>
              </w:rPr>
              <w:fldChar w:fldCharType="begin"/>
            </w:r>
            <w:r>
              <w:rPr>
                <w:noProof/>
                <w:webHidden/>
              </w:rPr>
              <w:instrText xml:space="preserve"> PAGEREF _Toc224058801 \h </w:instrText>
            </w:r>
            <w:r>
              <w:rPr>
                <w:noProof/>
                <w:webHidden/>
              </w:rPr>
            </w:r>
            <w:r>
              <w:rPr>
                <w:noProof/>
                <w:webHidden/>
              </w:rPr>
              <w:fldChar w:fldCharType="separate"/>
            </w:r>
            <w:r>
              <w:rPr>
                <w:noProof/>
                <w:webHidden/>
              </w:rPr>
              <w:t>32</w:t>
            </w:r>
            <w:r>
              <w:rPr>
                <w:noProof/>
                <w:webHidden/>
              </w:rPr>
              <w:fldChar w:fldCharType="end"/>
            </w:r>
          </w:hyperlink>
        </w:p>
        <w:p w14:paraId="4C64F435" w14:textId="10D6C51D" w:rsidR="00EB2DCF" w:rsidRDefault="00EB2DCF">
          <w:pPr>
            <w:pStyle w:val="TOC3"/>
            <w:tabs>
              <w:tab w:val="right" w:leader="dot" w:pos="8630"/>
            </w:tabs>
            <w:rPr>
              <w:rFonts w:cstheme="minorBidi"/>
              <w:noProof/>
              <w:kern w:val="2"/>
              <w:sz w:val="24"/>
              <w:lang w:val="en-GB" w:eastAsia="en-GB"/>
              <w14:ligatures w14:val="standardContextual"/>
            </w:rPr>
          </w:pPr>
          <w:hyperlink w:anchor="_Toc224058802" w:history="1">
            <w:r w:rsidRPr="008F6E56">
              <w:rPr>
                <w:rStyle w:val="Hyperlink"/>
                <w:rFonts w:ascii="Arial" w:hAnsi="Arial" w:cs="Arial"/>
                <w:noProof/>
                <w:lang w:val="en-GB"/>
              </w:rPr>
              <w:t>3. Improve reverse logistics infrastructure.</w:t>
            </w:r>
            <w:r>
              <w:rPr>
                <w:noProof/>
                <w:webHidden/>
              </w:rPr>
              <w:tab/>
            </w:r>
            <w:r>
              <w:rPr>
                <w:noProof/>
                <w:webHidden/>
              </w:rPr>
              <w:fldChar w:fldCharType="begin"/>
            </w:r>
            <w:r>
              <w:rPr>
                <w:noProof/>
                <w:webHidden/>
              </w:rPr>
              <w:instrText xml:space="preserve"> PAGEREF _Toc224058802 \h </w:instrText>
            </w:r>
            <w:r>
              <w:rPr>
                <w:noProof/>
                <w:webHidden/>
              </w:rPr>
            </w:r>
            <w:r>
              <w:rPr>
                <w:noProof/>
                <w:webHidden/>
              </w:rPr>
              <w:fldChar w:fldCharType="separate"/>
            </w:r>
            <w:r>
              <w:rPr>
                <w:noProof/>
                <w:webHidden/>
              </w:rPr>
              <w:t>32</w:t>
            </w:r>
            <w:r>
              <w:rPr>
                <w:noProof/>
                <w:webHidden/>
              </w:rPr>
              <w:fldChar w:fldCharType="end"/>
            </w:r>
          </w:hyperlink>
        </w:p>
        <w:p w14:paraId="57F9631A" w14:textId="3C4BDFED" w:rsidR="00EB2DCF" w:rsidRDefault="00EB2DCF">
          <w:pPr>
            <w:pStyle w:val="TOC3"/>
            <w:tabs>
              <w:tab w:val="right" w:leader="dot" w:pos="8630"/>
            </w:tabs>
            <w:rPr>
              <w:rFonts w:cstheme="minorBidi"/>
              <w:noProof/>
              <w:kern w:val="2"/>
              <w:sz w:val="24"/>
              <w:lang w:val="en-GB" w:eastAsia="en-GB"/>
              <w14:ligatures w14:val="standardContextual"/>
            </w:rPr>
          </w:pPr>
          <w:hyperlink w:anchor="_Toc224058803" w:history="1">
            <w:r w:rsidRPr="008F6E56">
              <w:rPr>
                <w:rStyle w:val="Hyperlink"/>
                <w:rFonts w:ascii="Arial" w:hAnsi="Arial" w:cs="Arial"/>
                <w:noProof/>
                <w:lang w:val="en-GB"/>
              </w:rPr>
              <w:t>4. Standardise and promote data sanitisation practices.</w:t>
            </w:r>
            <w:r>
              <w:rPr>
                <w:noProof/>
                <w:webHidden/>
              </w:rPr>
              <w:tab/>
            </w:r>
            <w:r>
              <w:rPr>
                <w:noProof/>
                <w:webHidden/>
              </w:rPr>
              <w:fldChar w:fldCharType="begin"/>
            </w:r>
            <w:r>
              <w:rPr>
                <w:noProof/>
                <w:webHidden/>
              </w:rPr>
              <w:instrText xml:space="preserve"> PAGEREF _Toc224058803 \h </w:instrText>
            </w:r>
            <w:r>
              <w:rPr>
                <w:noProof/>
                <w:webHidden/>
              </w:rPr>
            </w:r>
            <w:r>
              <w:rPr>
                <w:noProof/>
                <w:webHidden/>
              </w:rPr>
              <w:fldChar w:fldCharType="separate"/>
            </w:r>
            <w:r>
              <w:rPr>
                <w:noProof/>
                <w:webHidden/>
              </w:rPr>
              <w:t>33</w:t>
            </w:r>
            <w:r>
              <w:rPr>
                <w:noProof/>
                <w:webHidden/>
              </w:rPr>
              <w:fldChar w:fldCharType="end"/>
            </w:r>
          </w:hyperlink>
        </w:p>
        <w:p w14:paraId="155BD216" w14:textId="62DD2A5A" w:rsidR="00EB2DCF" w:rsidRDefault="00EB2DCF">
          <w:pPr>
            <w:pStyle w:val="TOC3"/>
            <w:tabs>
              <w:tab w:val="right" w:leader="dot" w:pos="8630"/>
            </w:tabs>
            <w:rPr>
              <w:rFonts w:cstheme="minorBidi"/>
              <w:noProof/>
              <w:kern w:val="2"/>
              <w:sz w:val="24"/>
              <w:lang w:val="en-GB" w:eastAsia="en-GB"/>
              <w14:ligatures w14:val="standardContextual"/>
            </w:rPr>
          </w:pPr>
          <w:hyperlink w:anchor="_Toc224058804" w:history="1">
            <w:r w:rsidRPr="008F6E56">
              <w:rPr>
                <w:rStyle w:val="Hyperlink"/>
                <w:rFonts w:ascii="Arial" w:hAnsi="Arial" w:cs="Arial"/>
                <w:noProof/>
                <w:lang w:val="en-GB"/>
              </w:rPr>
              <w:t>5. Build consumer trust in refurbished devices.</w:t>
            </w:r>
            <w:r>
              <w:rPr>
                <w:noProof/>
                <w:webHidden/>
              </w:rPr>
              <w:tab/>
            </w:r>
            <w:r>
              <w:rPr>
                <w:noProof/>
                <w:webHidden/>
              </w:rPr>
              <w:fldChar w:fldCharType="begin"/>
            </w:r>
            <w:r>
              <w:rPr>
                <w:noProof/>
                <w:webHidden/>
              </w:rPr>
              <w:instrText xml:space="preserve"> PAGEREF _Toc224058804 \h </w:instrText>
            </w:r>
            <w:r>
              <w:rPr>
                <w:noProof/>
                <w:webHidden/>
              </w:rPr>
            </w:r>
            <w:r>
              <w:rPr>
                <w:noProof/>
                <w:webHidden/>
              </w:rPr>
              <w:fldChar w:fldCharType="separate"/>
            </w:r>
            <w:r>
              <w:rPr>
                <w:noProof/>
                <w:webHidden/>
              </w:rPr>
              <w:t>33</w:t>
            </w:r>
            <w:r>
              <w:rPr>
                <w:noProof/>
                <w:webHidden/>
              </w:rPr>
              <w:fldChar w:fldCharType="end"/>
            </w:r>
          </w:hyperlink>
        </w:p>
        <w:p w14:paraId="7E975035" w14:textId="1EC77BC6" w:rsidR="00EB2DCF" w:rsidRDefault="00EB2DCF">
          <w:pPr>
            <w:pStyle w:val="TOC3"/>
            <w:tabs>
              <w:tab w:val="right" w:leader="dot" w:pos="8630"/>
            </w:tabs>
            <w:rPr>
              <w:rFonts w:cstheme="minorBidi"/>
              <w:noProof/>
              <w:kern w:val="2"/>
              <w:sz w:val="24"/>
              <w:lang w:val="en-GB" w:eastAsia="en-GB"/>
              <w14:ligatures w14:val="standardContextual"/>
            </w:rPr>
          </w:pPr>
          <w:hyperlink w:anchor="_Toc224058805" w:history="1">
            <w:r w:rsidRPr="008F6E56">
              <w:rPr>
                <w:rStyle w:val="Hyperlink"/>
                <w:rFonts w:ascii="Arial" w:hAnsi="Arial" w:cs="Arial"/>
                <w:noProof/>
                <w:lang w:val="en-GB"/>
              </w:rPr>
              <w:t>6. Invest in skills development.</w:t>
            </w:r>
            <w:r>
              <w:rPr>
                <w:noProof/>
                <w:webHidden/>
              </w:rPr>
              <w:tab/>
            </w:r>
            <w:r>
              <w:rPr>
                <w:noProof/>
                <w:webHidden/>
              </w:rPr>
              <w:fldChar w:fldCharType="begin"/>
            </w:r>
            <w:r>
              <w:rPr>
                <w:noProof/>
                <w:webHidden/>
              </w:rPr>
              <w:instrText xml:space="preserve"> PAGEREF _Toc224058805 \h </w:instrText>
            </w:r>
            <w:r>
              <w:rPr>
                <w:noProof/>
                <w:webHidden/>
              </w:rPr>
            </w:r>
            <w:r>
              <w:rPr>
                <w:noProof/>
                <w:webHidden/>
              </w:rPr>
              <w:fldChar w:fldCharType="separate"/>
            </w:r>
            <w:r>
              <w:rPr>
                <w:noProof/>
                <w:webHidden/>
              </w:rPr>
              <w:t>33</w:t>
            </w:r>
            <w:r>
              <w:rPr>
                <w:noProof/>
                <w:webHidden/>
              </w:rPr>
              <w:fldChar w:fldCharType="end"/>
            </w:r>
          </w:hyperlink>
        </w:p>
        <w:p w14:paraId="0DED06A1" w14:textId="7B62426C" w:rsidR="00EB2DCF" w:rsidRDefault="00EB2DCF">
          <w:pPr>
            <w:pStyle w:val="TOC3"/>
            <w:tabs>
              <w:tab w:val="right" w:leader="dot" w:pos="8630"/>
            </w:tabs>
            <w:rPr>
              <w:rFonts w:cstheme="minorBidi"/>
              <w:noProof/>
              <w:kern w:val="2"/>
              <w:sz w:val="24"/>
              <w:lang w:val="en-GB" w:eastAsia="en-GB"/>
              <w14:ligatures w14:val="standardContextual"/>
            </w:rPr>
          </w:pPr>
          <w:hyperlink w:anchor="_Toc224058806" w:history="1">
            <w:r w:rsidRPr="008F6E56">
              <w:rPr>
                <w:rStyle w:val="Hyperlink"/>
                <w:rFonts w:ascii="Arial" w:hAnsi="Arial" w:cs="Arial"/>
                <w:noProof/>
                <w:lang w:val="en-GB"/>
              </w:rPr>
              <w:t>7. Deploy digital technologies to support circularity.</w:t>
            </w:r>
            <w:r>
              <w:rPr>
                <w:noProof/>
                <w:webHidden/>
              </w:rPr>
              <w:tab/>
            </w:r>
            <w:r>
              <w:rPr>
                <w:noProof/>
                <w:webHidden/>
              </w:rPr>
              <w:fldChar w:fldCharType="begin"/>
            </w:r>
            <w:r>
              <w:rPr>
                <w:noProof/>
                <w:webHidden/>
              </w:rPr>
              <w:instrText xml:space="preserve"> PAGEREF _Toc224058806 \h </w:instrText>
            </w:r>
            <w:r>
              <w:rPr>
                <w:noProof/>
                <w:webHidden/>
              </w:rPr>
            </w:r>
            <w:r>
              <w:rPr>
                <w:noProof/>
                <w:webHidden/>
              </w:rPr>
              <w:fldChar w:fldCharType="separate"/>
            </w:r>
            <w:r>
              <w:rPr>
                <w:noProof/>
                <w:webHidden/>
              </w:rPr>
              <w:t>33</w:t>
            </w:r>
            <w:r>
              <w:rPr>
                <w:noProof/>
                <w:webHidden/>
              </w:rPr>
              <w:fldChar w:fldCharType="end"/>
            </w:r>
          </w:hyperlink>
        </w:p>
        <w:p w14:paraId="59240E40" w14:textId="6FE83E28" w:rsidR="00EB2DCF" w:rsidRDefault="00EB2DCF">
          <w:pPr>
            <w:pStyle w:val="TOC3"/>
            <w:tabs>
              <w:tab w:val="right" w:leader="dot" w:pos="8630"/>
            </w:tabs>
            <w:rPr>
              <w:rFonts w:cstheme="minorBidi"/>
              <w:noProof/>
              <w:kern w:val="2"/>
              <w:sz w:val="24"/>
              <w:lang w:val="en-GB" w:eastAsia="en-GB"/>
              <w14:ligatures w14:val="standardContextual"/>
            </w:rPr>
          </w:pPr>
          <w:hyperlink w:anchor="_Toc224058807" w:history="1">
            <w:r w:rsidRPr="008F6E56">
              <w:rPr>
                <w:rStyle w:val="Hyperlink"/>
                <w:rFonts w:ascii="Arial" w:hAnsi="Arial" w:cs="Arial"/>
                <w:noProof/>
                <w:lang w:val="en-GB"/>
              </w:rPr>
              <w:t>8. Foster cross</w:t>
            </w:r>
            <w:r w:rsidRPr="008F6E56">
              <w:rPr>
                <w:rStyle w:val="Hyperlink"/>
                <w:rFonts w:ascii="Arial" w:hAnsi="Arial" w:cs="Arial"/>
                <w:noProof/>
                <w:lang w:val="en-GB"/>
              </w:rPr>
              <w:noBreakHyphen/>
              <w:t>sector collaboration.</w:t>
            </w:r>
            <w:r>
              <w:rPr>
                <w:noProof/>
                <w:webHidden/>
              </w:rPr>
              <w:tab/>
            </w:r>
            <w:r>
              <w:rPr>
                <w:noProof/>
                <w:webHidden/>
              </w:rPr>
              <w:fldChar w:fldCharType="begin"/>
            </w:r>
            <w:r>
              <w:rPr>
                <w:noProof/>
                <w:webHidden/>
              </w:rPr>
              <w:instrText xml:space="preserve"> PAGEREF _Toc224058807 \h </w:instrText>
            </w:r>
            <w:r>
              <w:rPr>
                <w:noProof/>
                <w:webHidden/>
              </w:rPr>
            </w:r>
            <w:r>
              <w:rPr>
                <w:noProof/>
                <w:webHidden/>
              </w:rPr>
              <w:fldChar w:fldCharType="separate"/>
            </w:r>
            <w:r>
              <w:rPr>
                <w:noProof/>
                <w:webHidden/>
              </w:rPr>
              <w:t>33</w:t>
            </w:r>
            <w:r>
              <w:rPr>
                <w:noProof/>
                <w:webHidden/>
              </w:rPr>
              <w:fldChar w:fldCharType="end"/>
            </w:r>
          </w:hyperlink>
        </w:p>
        <w:p w14:paraId="57439D31" w14:textId="56CB1EAA"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08" w:history="1">
            <w:r w:rsidRPr="008F6E56">
              <w:rPr>
                <w:rStyle w:val="Hyperlink"/>
                <w:rFonts w:ascii="Arial" w:hAnsi="Arial" w:cs="Arial"/>
                <w:noProof/>
                <w:lang w:val="en-GB"/>
              </w:rPr>
              <w:t>5.2 Conclusion</w:t>
            </w:r>
            <w:r>
              <w:rPr>
                <w:noProof/>
                <w:webHidden/>
              </w:rPr>
              <w:tab/>
            </w:r>
            <w:r>
              <w:rPr>
                <w:noProof/>
                <w:webHidden/>
              </w:rPr>
              <w:fldChar w:fldCharType="begin"/>
            </w:r>
            <w:r>
              <w:rPr>
                <w:noProof/>
                <w:webHidden/>
              </w:rPr>
              <w:instrText xml:space="preserve"> PAGEREF _Toc224058808 \h </w:instrText>
            </w:r>
            <w:r>
              <w:rPr>
                <w:noProof/>
                <w:webHidden/>
              </w:rPr>
            </w:r>
            <w:r>
              <w:rPr>
                <w:noProof/>
                <w:webHidden/>
              </w:rPr>
              <w:fldChar w:fldCharType="separate"/>
            </w:r>
            <w:r>
              <w:rPr>
                <w:noProof/>
                <w:webHidden/>
              </w:rPr>
              <w:t>34</w:t>
            </w:r>
            <w:r>
              <w:rPr>
                <w:noProof/>
                <w:webHidden/>
              </w:rPr>
              <w:fldChar w:fldCharType="end"/>
            </w:r>
          </w:hyperlink>
        </w:p>
        <w:p w14:paraId="57F248E0" w14:textId="23B22363"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09" w:history="1">
            <w:r w:rsidRPr="008F6E56">
              <w:rPr>
                <w:rStyle w:val="Hyperlink"/>
                <w:rFonts w:ascii="Arial" w:hAnsi="Arial" w:cs="Arial"/>
                <w:noProof/>
                <w:lang w:val="en-GB"/>
              </w:rPr>
              <w:t>5.3 Limitations of the Research</w:t>
            </w:r>
            <w:r>
              <w:rPr>
                <w:noProof/>
                <w:webHidden/>
              </w:rPr>
              <w:tab/>
            </w:r>
            <w:r>
              <w:rPr>
                <w:noProof/>
                <w:webHidden/>
              </w:rPr>
              <w:fldChar w:fldCharType="begin"/>
            </w:r>
            <w:r>
              <w:rPr>
                <w:noProof/>
                <w:webHidden/>
              </w:rPr>
              <w:instrText xml:space="preserve"> PAGEREF _Toc224058809 \h </w:instrText>
            </w:r>
            <w:r>
              <w:rPr>
                <w:noProof/>
                <w:webHidden/>
              </w:rPr>
            </w:r>
            <w:r>
              <w:rPr>
                <w:noProof/>
                <w:webHidden/>
              </w:rPr>
              <w:fldChar w:fldCharType="separate"/>
            </w:r>
            <w:r>
              <w:rPr>
                <w:noProof/>
                <w:webHidden/>
              </w:rPr>
              <w:t>34</w:t>
            </w:r>
            <w:r>
              <w:rPr>
                <w:noProof/>
                <w:webHidden/>
              </w:rPr>
              <w:fldChar w:fldCharType="end"/>
            </w:r>
          </w:hyperlink>
        </w:p>
        <w:p w14:paraId="04E29EAF" w14:textId="355C3BDE"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10" w:history="1">
            <w:r w:rsidRPr="008F6E56">
              <w:rPr>
                <w:rStyle w:val="Hyperlink"/>
                <w:rFonts w:ascii="Arial" w:hAnsi="Arial" w:cs="Arial"/>
                <w:noProof/>
                <w:lang w:val="en-GB"/>
              </w:rPr>
              <w:t>5.4 Chapter Summary</w:t>
            </w:r>
            <w:r>
              <w:rPr>
                <w:noProof/>
                <w:webHidden/>
              </w:rPr>
              <w:tab/>
            </w:r>
            <w:r>
              <w:rPr>
                <w:noProof/>
                <w:webHidden/>
              </w:rPr>
              <w:fldChar w:fldCharType="begin"/>
            </w:r>
            <w:r>
              <w:rPr>
                <w:noProof/>
                <w:webHidden/>
              </w:rPr>
              <w:instrText xml:space="preserve"> PAGEREF _Toc224058810 \h </w:instrText>
            </w:r>
            <w:r>
              <w:rPr>
                <w:noProof/>
                <w:webHidden/>
              </w:rPr>
            </w:r>
            <w:r>
              <w:rPr>
                <w:noProof/>
                <w:webHidden/>
              </w:rPr>
              <w:fldChar w:fldCharType="separate"/>
            </w:r>
            <w:r>
              <w:rPr>
                <w:noProof/>
                <w:webHidden/>
              </w:rPr>
              <w:t>35</w:t>
            </w:r>
            <w:r>
              <w:rPr>
                <w:noProof/>
                <w:webHidden/>
              </w:rPr>
              <w:fldChar w:fldCharType="end"/>
            </w:r>
          </w:hyperlink>
        </w:p>
        <w:p w14:paraId="04EE42DF" w14:textId="51B30F98"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11" w:history="1">
            <w:r w:rsidRPr="008F6E5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_Toc224058811 \h </w:instrText>
            </w:r>
            <w:r>
              <w:rPr>
                <w:noProof/>
                <w:webHidden/>
              </w:rPr>
            </w:r>
            <w:r>
              <w:rPr>
                <w:noProof/>
                <w:webHidden/>
              </w:rPr>
              <w:fldChar w:fldCharType="separate"/>
            </w:r>
            <w:r>
              <w:rPr>
                <w:noProof/>
                <w:webHidden/>
              </w:rPr>
              <w:t>38</w:t>
            </w:r>
            <w:r>
              <w:rPr>
                <w:noProof/>
                <w:webHidden/>
              </w:rPr>
              <w:fldChar w:fldCharType="end"/>
            </w:r>
          </w:hyperlink>
        </w:p>
        <w:p w14:paraId="73FBC457" w14:textId="43880754" w:rsidR="00FA4CCC" w:rsidRPr="00083A4F" w:rsidRDefault="00FA4CCC">
          <w:pPr>
            <w:rPr>
              <w:rFonts w:ascii="Arial" w:hAnsi="Arial" w:cs="Arial"/>
            </w:rPr>
          </w:pPr>
          <w:r w:rsidRPr="00083A4F">
            <w:rPr>
              <w:rFonts w:ascii="Arial" w:hAnsi="Arial" w:cs="Arial"/>
              <w:b/>
              <w:bCs/>
              <w:noProof/>
            </w:rPr>
            <w:fldChar w:fldCharType="end"/>
          </w:r>
        </w:p>
      </w:sdtContent>
    </w:sdt>
    <w:p w14:paraId="1C06204D" w14:textId="77777777" w:rsidR="00FA4CCC" w:rsidRPr="00083A4F" w:rsidRDefault="00FA4CCC" w:rsidP="00FA4CCC">
      <w:pPr>
        <w:spacing w:line="360" w:lineRule="auto"/>
        <w:jc w:val="both"/>
        <w:rPr>
          <w:rFonts w:ascii="Arial" w:hAnsi="Arial" w:cs="Arial"/>
        </w:rPr>
      </w:pPr>
    </w:p>
    <w:p w14:paraId="15115497" w14:textId="77777777" w:rsidR="00FA4CCC" w:rsidRPr="00083A4F" w:rsidRDefault="00FA4CCC" w:rsidP="00FA4CCC">
      <w:pPr>
        <w:spacing w:line="360" w:lineRule="auto"/>
        <w:jc w:val="both"/>
        <w:rPr>
          <w:rFonts w:ascii="Arial" w:hAnsi="Arial" w:cs="Arial"/>
        </w:rPr>
      </w:pPr>
    </w:p>
    <w:p w14:paraId="10B2C376" w14:textId="77777777" w:rsidR="00FA4CCC" w:rsidRPr="00083A4F" w:rsidRDefault="00FA4CCC" w:rsidP="00FA4CCC">
      <w:pPr>
        <w:spacing w:line="360" w:lineRule="auto"/>
        <w:jc w:val="both"/>
        <w:rPr>
          <w:rFonts w:ascii="Arial" w:hAnsi="Arial" w:cs="Arial"/>
        </w:rPr>
      </w:pPr>
    </w:p>
    <w:p w14:paraId="3D2D9F44" w14:textId="77777777" w:rsidR="00FA4CCC" w:rsidRPr="00083A4F" w:rsidRDefault="00FA4CCC" w:rsidP="00FA4CCC">
      <w:pPr>
        <w:pStyle w:val="Heading1"/>
        <w:spacing w:line="360" w:lineRule="auto"/>
        <w:jc w:val="both"/>
        <w:rPr>
          <w:rFonts w:ascii="Arial" w:hAnsi="Arial" w:cs="Arial"/>
        </w:rPr>
      </w:pPr>
      <w:bookmarkStart w:id="2" w:name="_Hlk223878218"/>
      <w:bookmarkStart w:id="3" w:name="_Toc224058760"/>
      <w:r w:rsidRPr="00083A4F">
        <w:rPr>
          <w:rFonts w:ascii="Arial" w:hAnsi="Arial" w:cs="Arial"/>
        </w:rPr>
        <w:lastRenderedPageBreak/>
        <w:t>Chapter 1</w:t>
      </w:r>
      <w:bookmarkEnd w:id="2"/>
      <w:r w:rsidRPr="00083A4F">
        <w:rPr>
          <w:rFonts w:ascii="Arial" w:hAnsi="Arial" w:cs="Arial"/>
        </w:rPr>
        <w:t>: Introduction</w:t>
      </w:r>
      <w:bookmarkEnd w:id="3"/>
    </w:p>
    <w:p w14:paraId="1A43BBF0" w14:textId="21A06E25" w:rsidR="00FA4CCC" w:rsidRPr="00083A4F" w:rsidRDefault="00F41B8F" w:rsidP="00FA4CCC">
      <w:pPr>
        <w:pStyle w:val="Heading2"/>
        <w:spacing w:line="360" w:lineRule="auto"/>
        <w:jc w:val="both"/>
        <w:rPr>
          <w:rFonts w:ascii="Arial" w:hAnsi="Arial" w:cs="Arial"/>
          <w:b w:val="0"/>
        </w:rPr>
      </w:pPr>
      <w:r w:rsidRPr="00083A4F">
        <w:rPr>
          <w:rFonts w:ascii="Arial" w:hAnsi="Arial" w:cs="Arial"/>
          <w:b w:val="0"/>
        </w:rPr>
        <w:t xml:space="preserve"> </w:t>
      </w:r>
      <w:bookmarkStart w:id="4" w:name="_Toc224058761"/>
      <w:r w:rsidRPr="00083A4F">
        <w:rPr>
          <w:rFonts w:ascii="Arial" w:hAnsi="Arial" w:cs="Arial"/>
          <w:b w:val="0"/>
        </w:rPr>
        <w:t>Introduction</w:t>
      </w:r>
      <w:bookmarkEnd w:id="4"/>
    </w:p>
    <w:p w14:paraId="58F73AEC" w14:textId="363D94BE"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 xml:space="preserve">Fast-growing IT devices have made it easier to communicate, work, and innovate in modern society. Communication networks, cloud computing, and digital services use cellphones, laptops, servers, and networking gear. The expanding number of devices has worsened an environmental problem: millions of tons of e-waste are produced annually. In 2022, the globe generated 62 million </w:t>
      </w:r>
      <w:r w:rsidR="007354CC" w:rsidRPr="00083A4F">
        <w:rPr>
          <w:rFonts w:ascii="Arial" w:eastAsia="Arial" w:hAnsi="Arial" w:cs="Arial"/>
          <w:lang w:eastAsia="ja-JP"/>
        </w:rPr>
        <w:t>tons</w:t>
      </w:r>
      <w:r w:rsidRPr="00083A4F">
        <w:rPr>
          <w:rFonts w:ascii="Arial" w:eastAsia="Arial" w:hAnsi="Arial" w:cs="Arial"/>
          <w:lang w:eastAsia="ja-JP"/>
        </w:rPr>
        <w:t xml:space="preserve"> of e-waste, but only 25% was recycled, according to UNITAR. The Global E-Waste Monitor warns that e-waste production is rising five times faster than recycling, and by 2030, it might reach 82 million </w:t>
      </w:r>
      <w:r w:rsidR="007354CC" w:rsidRPr="00083A4F">
        <w:rPr>
          <w:rFonts w:ascii="Arial" w:eastAsia="Arial" w:hAnsi="Arial" w:cs="Arial"/>
          <w:lang w:eastAsia="ja-JP"/>
        </w:rPr>
        <w:t>tons</w:t>
      </w:r>
      <w:r w:rsidRPr="00083A4F">
        <w:rPr>
          <w:rFonts w:ascii="Arial" w:eastAsia="Arial" w:hAnsi="Arial" w:cs="Arial"/>
          <w:lang w:eastAsia="ja-JP"/>
        </w:rPr>
        <w:t xml:space="preserve"> with recycling rates dropping to 20%. These data demonstrate that IT hardware supply lines' linear "take—make—dispose" approach cannot continue.</w:t>
      </w:r>
    </w:p>
    <w:p w14:paraId="1F9C4887" w14:textId="77777777" w:rsidR="0009520D" w:rsidRPr="00083A4F" w:rsidRDefault="0009520D" w:rsidP="0009520D">
      <w:pPr>
        <w:spacing w:after="160" w:line="279" w:lineRule="auto"/>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Thus, the circular economy (CE) has grown in popularity as a strategy to divorce economic growth from resource use. CE encourages recycling, reusing, mending, refurbishing, and remanufacturing to prolong usage (Reuse Technology Group, 2024). The CE reduces resource use, preserves the environment, and creates new revenue streams by closing material loops (RSC Publishing, 2019). Circular IT hardware solutions include making devices live longer and </w:t>
      </w:r>
      <w:proofErr w:type="gramStart"/>
      <w:r w:rsidRPr="00083A4F">
        <w:rPr>
          <w:rFonts w:ascii="Arial" w:eastAsia="Arial" w:hAnsi="Arial" w:cs="Arial"/>
          <w:sz w:val="24"/>
          <w:szCs w:val="24"/>
          <w:lang w:eastAsia="ja-JP"/>
        </w:rPr>
        <w:t>be</w:t>
      </w:r>
      <w:proofErr w:type="gramEnd"/>
      <w:r w:rsidRPr="00083A4F">
        <w:rPr>
          <w:rFonts w:ascii="Arial" w:eastAsia="Arial" w:hAnsi="Arial" w:cs="Arial"/>
          <w:sz w:val="24"/>
          <w:szCs w:val="24"/>
          <w:lang w:eastAsia="ja-JP"/>
        </w:rPr>
        <w:t xml:space="preserve"> able to be assembled differently, setting up take-back programs, mending and selling used equipment, and using materials from obsolete items. Fairphone and other market leaders were the first to offer modular smartphones that let users interchange pieces instead of tossing them away (</w:t>
      </w:r>
      <w:proofErr w:type="spellStart"/>
      <w:r w:rsidRPr="00083A4F">
        <w:rPr>
          <w:rFonts w:ascii="Arial" w:eastAsia="Arial" w:hAnsi="Arial" w:cs="Arial"/>
          <w:sz w:val="24"/>
          <w:szCs w:val="24"/>
          <w:lang w:eastAsia="ja-JP"/>
        </w:rPr>
        <w:t>Abdelmeguid</w:t>
      </w:r>
      <w:proofErr w:type="spellEnd"/>
      <w:r w:rsidRPr="00083A4F">
        <w:rPr>
          <w:rFonts w:ascii="Arial" w:eastAsia="Arial" w:hAnsi="Arial" w:cs="Arial"/>
          <w:sz w:val="24"/>
          <w:szCs w:val="24"/>
          <w:lang w:eastAsia="ja-JP"/>
        </w:rPr>
        <w:t>, 2026). Global efforts by Dell, HP, Microsoft, and others collect and reuse millions of outdated devices. These devices' materials are employed to build new items.</w:t>
      </w:r>
    </w:p>
    <w:p w14:paraId="49971FE2"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This dissertation examines how the circular economy is being applied to IT equipment supply chains, particularly in device repair and recycling. Secondary data is used to examine legislative frameworks, market trends, organizational practices, and circularity drivers and impediments in this discipline (</w:t>
      </w:r>
      <w:proofErr w:type="spellStart"/>
      <w:r w:rsidRPr="00083A4F">
        <w:rPr>
          <w:rFonts w:ascii="Arial" w:eastAsia="Arial" w:hAnsi="Arial" w:cs="Arial"/>
          <w:lang w:eastAsia="ja-JP"/>
        </w:rPr>
        <w:t>Brinsi</w:t>
      </w:r>
      <w:proofErr w:type="spellEnd"/>
      <w:r w:rsidRPr="00083A4F">
        <w:rPr>
          <w:rFonts w:ascii="Arial" w:eastAsia="Arial" w:hAnsi="Arial" w:cs="Arial"/>
          <w:lang w:eastAsia="ja-JP"/>
        </w:rPr>
        <w:t>, 2024). We'll discuss the study's history, objectives, and research questions in the following sections (</w:t>
      </w:r>
      <w:proofErr w:type="spellStart"/>
      <w:r w:rsidRPr="00083A4F">
        <w:rPr>
          <w:rFonts w:ascii="Arial" w:eastAsia="Arial" w:hAnsi="Arial" w:cs="Arial"/>
          <w:lang w:eastAsia="ja-JP"/>
        </w:rPr>
        <w:t>Abdelmeguid</w:t>
      </w:r>
      <w:proofErr w:type="spellEnd"/>
      <w:r w:rsidRPr="00083A4F">
        <w:rPr>
          <w:rFonts w:ascii="Arial" w:eastAsia="Arial" w:hAnsi="Arial" w:cs="Arial"/>
          <w:lang w:eastAsia="ja-JP"/>
        </w:rPr>
        <w:t>, 2026).</w:t>
      </w:r>
    </w:p>
    <w:p w14:paraId="45AF0DD3"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bookmarkStart w:id="5" w:name="_Toc224058762"/>
      <w:r w:rsidRPr="00083A4F">
        <w:rPr>
          <w:rFonts w:ascii="Arial" w:eastAsia="Arial" w:hAnsi="Arial" w:cs="Arial"/>
          <w:color w:val="4F81BD"/>
          <w:sz w:val="24"/>
          <w:szCs w:val="24"/>
          <w:lang w:eastAsia="ja-JP"/>
        </w:rPr>
        <w:t>1.2 Background</w:t>
      </w:r>
      <w:bookmarkEnd w:id="5"/>
    </w:p>
    <w:p w14:paraId="67B220A1"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 xml:space="preserve">IT hardware supply chain steps include sourcing raw materials, creating hardware, distributing it, users utilizing it, collecting it, and lifecycle management. Rare earth elements, copper, aluminum, and polymers are constantly extracted in linear supply lines. Many of these materials are created in intricate, energy-intensive ways, and their </w:t>
      </w:r>
      <w:r w:rsidRPr="00083A4F">
        <w:rPr>
          <w:rFonts w:ascii="Arial" w:eastAsia="Arial" w:hAnsi="Arial" w:cs="Arial"/>
          <w:lang w:eastAsia="ja-JP"/>
        </w:rPr>
        <w:lastRenderedPageBreak/>
        <w:t xml:space="preserve">extraction harms the environment and people (Ellen MacArthur Foundation, 2014). People and corporations buy devices. They </w:t>
      </w:r>
      <w:proofErr w:type="gramStart"/>
      <w:r w:rsidRPr="00083A4F">
        <w:rPr>
          <w:rFonts w:ascii="Arial" w:eastAsia="Arial" w:hAnsi="Arial" w:cs="Arial"/>
          <w:lang w:eastAsia="ja-JP"/>
        </w:rPr>
        <w:t>last</w:t>
      </w:r>
      <w:proofErr w:type="gramEnd"/>
      <w:r w:rsidRPr="00083A4F">
        <w:rPr>
          <w:rFonts w:ascii="Arial" w:eastAsia="Arial" w:hAnsi="Arial" w:cs="Arial"/>
          <w:lang w:eastAsia="ja-JP"/>
        </w:rPr>
        <w:t xml:space="preserve"> a few years before being replaced. Electronics are typically thrown away in landfills or recycled improperly, wasting valuable materials and releasing harmful toxins (</w:t>
      </w:r>
      <w:proofErr w:type="spellStart"/>
      <w:r w:rsidRPr="00083A4F">
        <w:rPr>
          <w:rFonts w:ascii="Arial" w:eastAsia="Arial" w:hAnsi="Arial" w:cs="Arial"/>
          <w:lang w:eastAsia="ja-JP"/>
        </w:rPr>
        <w:t>Elgarahy</w:t>
      </w:r>
      <w:proofErr w:type="spellEnd"/>
      <w:r w:rsidRPr="00083A4F">
        <w:rPr>
          <w:rFonts w:ascii="Arial" w:eastAsia="Arial" w:hAnsi="Arial" w:cs="Arial"/>
          <w:lang w:eastAsia="ja-JP"/>
        </w:rPr>
        <w:t>, 2024). This linear plan harms the ecology and economy.</w:t>
      </w:r>
    </w:p>
    <w:p w14:paraId="379ABD8B"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Cyclical economies want to change this. In a circular supply chain, used items are collected and refurbished or reused. Closed-loop supply chains combine forward and reverse logistics to recycle discarded commodities into new devices. Butterfly image from Ellen MacArthur Foundation exhibits CE technical material flow (</w:t>
      </w:r>
      <w:proofErr w:type="spellStart"/>
      <w:r w:rsidRPr="00083A4F">
        <w:rPr>
          <w:rFonts w:ascii="Arial" w:eastAsia="Arial" w:hAnsi="Arial" w:cs="Arial"/>
          <w:lang w:eastAsia="ja-JP"/>
        </w:rPr>
        <w:t>Elgarahy</w:t>
      </w:r>
      <w:proofErr w:type="spellEnd"/>
      <w:r w:rsidRPr="00083A4F">
        <w:rPr>
          <w:rFonts w:ascii="Arial" w:eastAsia="Arial" w:hAnsi="Arial" w:cs="Arial"/>
          <w:lang w:eastAsia="ja-JP"/>
        </w:rPr>
        <w:t>, 2024). Maintenance and reuse are in the middle, refurbishment, remanufacturing, and recycling are outside (Xue, 2023). Refurbishing and remanufacturing use more energy and work than recycling, therefore these loops preserve product value. IT gear refurbishment involves examining, mending, or enhancing used devices to satisfy functionality and appearance criteria so they can be sold again, whereas recycling involves shredding and separating items.</w:t>
      </w:r>
    </w:p>
    <w:p w14:paraId="46665D67"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As individuals learn more about e-waste, policies have changed drastically. The EU's Ecodesign for Sustainable Products Regulation (ESPR) and Right-to-Repair Directive aim to improve product durability, energy efficiency, and repairability. A secondary mandate compels manufacturers to repair specific equipment quickly and affordably. It also prohibits practices that make repair harder and mandates spare parts. In July 2026, these guidelines will require IT devices to be easier to maintain and survive longer, making repairs easier. Companies are using circular methods on their own and respecting the regulations. Dell's Asset Recovery Services program has recycled or repaired over a billion pounds of discarded devices since 2008. Reusing a million parts in 2024, Microsoft's global Circular Centers recycle over 90% of servers and parts (</w:t>
      </w:r>
      <w:proofErr w:type="spellStart"/>
      <w:r w:rsidRPr="00083A4F">
        <w:rPr>
          <w:rFonts w:ascii="Arial" w:eastAsia="Arial" w:hAnsi="Arial" w:cs="Arial"/>
          <w:lang w:eastAsia="ja-JP"/>
        </w:rPr>
        <w:t>Elgarahy</w:t>
      </w:r>
      <w:proofErr w:type="spellEnd"/>
      <w:r w:rsidRPr="00083A4F">
        <w:rPr>
          <w:rFonts w:ascii="Arial" w:eastAsia="Arial" w:hAnsi="Arial" w:cs="Arial"/>
          <w:lang w:eastAsia="ja-JP"/>
        </w:rPr>
        <w:t xml:space="preserve">, 2024). The Circular Drive Initiative found that 87% of outdated hard drives and SSDs can be securely wiped and reused. Few firms have good reverse transportation and data sanitization protocols, therefore only 10% of </w:t>
      </w:r>
      <w:proofErr w:type="gramStart"/>
      <w:r w:rsidRPr="00083A4F">
        <w:rPr>
          <w:rFonts w:ascii="Arial" w:eastAsia="Arial" w:hAnsi="Arial" w:cs="Arial"/>
          <w:lang w:eastAsia="ja-JP"/>
        </w:rPr>
        <w:t>drives</w:t>
      </w:r>
      <w:proofErr w:type="gramEnd"/>
      <w:r w:rsidRPr="00083A4F">
        <w:rPr>
          <w:rFonts w:ascii="Arial" w:eastAsia="Arial" w:hAnsi="Arial" w:cs="Arial"/>
          <w:lang w:eastAsia="ja-JP"/>
        </w:rPr>
        <w:t xml:space="preserve"> are reused. These situations demonstrate circularity and the discrepancy between words and actions.</w:t>
      </w:r>
    </w:p>
    <w:p w14:paraId="601A2570" w14:textId="51E04030"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 xml:space="preserve">IT hardware supply chains involve mining firms, component makers, OEMs, distributors, retailers, users, and service providers at the conclusion of the life cycle. Extended producer responsibility (EPR) requires manufacturers to collect and appropriately handle </w:t>
      </w:r>
      <w:r w:rsidRPr="00083A4F">
        <w:rPr>
          <w:rFonts w:ascii="Arial" w:eastAsia="Arial" w:hAnsi="Arial" w:cs="Arial"/>
          <w:lang w:eastAsia="ja-JP"/>
        </w:rPr>
        <w:lastRenderedPageBreak/>
        <w:t xml:space="preserve">end-of-life products (Ellen MacArthur Foundation, 2014). This makes them more likely to produce </w:t>
      </w:r>
      <w:proofErr w:type="spellStart"/>
      <w:r w:rsidRPr="00083A4F">
        <w:rPr>
          <w:rFonts w:ascii="Arial" w:eastAsia="Arial" w:hAnsi="Arial" w:cs="Arial"/>
          <w:lang w:eastAsia="ja-JP"/>
        </w:rPr>
        <w:t>disassembleable</w:t>
      </w:r>
      <w:proofErr w:type="spellEnd"/>
      <w:r w:rsidRPr="00083A4F">
        <w:rPr>
          <w:rFonts w:ascii="Arial" w:eastAsia="Arial" w:hAnsi="Arial" w:cs="Arial"/>
          <w:lang w:eastAsia="ja-JP"/>
        </w:rPr>
        <w:t xml:space="preserve"> gadgets and invest in take-back infrastructure. EPR programs are funded by reuse and repair fees in various countries. Government, corporations, and customers must </w:t>
      </w:r>
      <w:proofErr w:type="spellStart"/>
      <w:r w:rsidRPr="00083A4F">
        <w:rPr>
          <w:rFonts w:ascii="Arial" w:eastAsia="Arial" w:hAnsi="Arial" w:cs="Arial"/>
          <w:lang w:eastAsia="ja-JP"/>
        </w:rPr>
        <w:t>collaborNon</w:t>
      </w:r>
      <w:proofErr w:type="spellEnd"/>
      <w:r w:rsidRPr="00083A4F">
        <w:rPr>
          <w:rFonts w:ascii="Arial" w:eastAsia="Arial" w:hAnsi="Arial" w:cs="Arial"/>
          <w:lang w:eastAsia="ja-JP"/>
        </w:rPr>
        <w:t>-visible money and information move through the supply chain (</w:t>
      </w:r>
      <w:proofErr w:type="spellStart"/>
      <w:r w:rsidRPr="00083A4F">
        <w:rPr>
          <w:rFonts w:ascii="Arial" w:eastAsia="Arial" w:hAnsi="Arial" w:cs="Arial"/>
          <w:lang w:eastAsia="ja-JP"/>
        </w:rPr>
        <w:t>Brinsi</w:t>
      </w:r>
      <w:proofErr w:type="spellEnd"/>
      <w:r w:rsidRPr="00083A4F">
        <w:rPr>
          <w:rFonts w:ascii="Arial" w:eastAsia="Arial" w:hAnsi="Arial" w:cs="Arial"/>
          <w:lang w:eastAsia="ja-JP"/>
        </w:rPr>
        <w:t>, 2024). money and information move through the supply chain. To support continuous business models and recovery, the chain must receive information about product parts and their repairability.</w:t>
      </w:r>
    </w:p>
    <w:p w14:paraId="661B1E8A"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bookmarkStart w:id="6" w:name="_Toc224058763"/>
      <w:r w:rsidRPr="00083A4F">
        <w:rPr>
          <w:rFonts w:ascii="Arial" w:eastAsia="Arial" w:hAnsi="Arial" w:cs="Arial"/>
          <w:color w:val="4F81BD"/>
          <w:lang w:eastAsia="ja-JP"/>
        </w:rPr>
        <w:t>1.3 Research Aim</w:t>
      </w:r>
      <w:bookmarkEnd w:id="6"/>
    </w:p>
    <w:p w14:paraId="396F80B4"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This dissertation examines IT hardware supply chain circular economy, concentrating on device reuse and recycling. The study plans to examine academic publications, corporate reports, and legislative documents to determine what creates circular IT hardware projects, their challenges, and their results (Khanna, 2025).</w:t>
      </w:r>
    </w:p>
    <w:p w14:paraId="05A95ACD"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r w:rsidRPr="00083A4F">
        <w:rPr>
          <w:rFonts w:ascii="Arial" w:eastAsia="Arial" w:hAnsi="Arial" w:cs="Arial"/>
          <w:color w:val="4F81BD"/>
          <w:lang w:eastAsia="ja-JP"/>
        </w:rPr>
        <w:t xml:space="preserve"> </w:t>
      </w:r>
      <w:bookmarkStart w:id="7" w:name="_Toc224058764"/>
      <w:r w:rsidRPr="00083A4F">
        <w:rPr>
          <w:rFonts w:ascii="Arial" w:eastAsia="Arial" w:hAnsi="Arial" w:cs="Arial"/>
          <w:color w:val="4F81BD"/>
          <w:lang w:eastAsia="ja-JP"/>
        </w:rPr>
        <w:t>1.4 Research Objectives</w:t>
      </w:r>
      <w:bookmarkEnd w:id="7"/>
    </w:p>
    <w:p w14:paraId="4D0D230B"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discuss the circular economy and IT hardware supply chains.</w:t>
      </w:r>
    </w:p>
    <w:p w14:paraId="0C063C29"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examine e-waste production, recycling, and refurbishment trends using external data (Xue, 2023).</w:t>
      </w:r>
    </w:p>
    <w:p w14:paraId="663E983B"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examine company policies and activities that encourage IT equipment repair, reuse, and return (RSC Publishing, 2019).</w:t>
      </w:r>
    </w:p>
    <w:p w14:paraId="0A62F723"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Determine what ends and starts IT hardware supply chain circular strategies, considering technological, economic, and behavioral considerations (Zarei, 2025).</w:t>
      </w:r>
    </w:p>
    <w:p w14:paraId="11AFBC2E"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synthesize best practices and propose recommendations for enhancing circularity in device supply chains (European Circular Economy Stakeholder Platform, 2023).</w:t>
      </w:r>
    </w:p>
    <w:p w14:paraId="1DD2E89C"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bookmarkStart w:id="8" w:name="_Toc224058765"/>
      <w:r w:rsidRPr="00083A4F">
        <w:rPr>
          <w:rFonts w:ascii="Arial" w:eastAsia="Arial" w:hAnsi="Arial" w:cs="Arial"/>
          <w:color w:val="4F81BD"/>
          <w:lang w:eastAsia="ja-JP"/>
        </w:rPr>
        <w:t>1.5 Research Questions</w:t>
      </w:r>
      <w:bookmarkEnd w:id="8"/>
    </w:p>
    <w:p w14:paraId="3F326F7B"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How do circular economy principles affect IT hardware supply chains?</w:t>
      </w:r>
    </w:p>
    <w:p w14:paraId="0CEB8E1D"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What is known about electronic waste production, recycling, and IT equipment repair?</w:t>
      </w:r>
    </w:p>
    <w:p w14:paraId="43B7AC80"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What regulatory and corporate initiatives are driving circularity in the IT hardware sector?</w:t>
      </w:r>
    </w:p>
    <w:p w14:paraId="78618CA7"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What keeps many individuals from refurbishing and reusing, and how can it be fixed?</w:t>
      </w:r>
    </w:p>
    <w:p w14:paraId="515DE0EC" w14:textId="04C3A3EA"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 xml:space="preserve">How can companies </w:t>
      </w:r>
      <w:proofErr w:type="gramStart"/>
      <w:r w:rsidR="007354CC" w:rsidRPr="00083A4F">
        <w:rPr>
          <w:rFonts w:ascii="Arial" w:eastAsia="Arial" w:hAnsi="Arial" w:cs="Arial"/>
          <w:lang w:eastAsia="ja-JP"/>
        </w:rPr>
        <w:t>circularize</w:t>
      </w:r>
      <w:proofErr w:type="gramEnd"/>
      <w:r w:rsidRPr="00083A4F">
        <w:rPr>
          <w:rFonts w:ascii="Arial" w:eastAsia="Arial" w:hAnsi="Arial" w:cs="Arial"/>
          <w:lang w:eastAsia="ja-JP"/>
        </w:rPr>
        <w:t xml:space="preserve"> IT hardware supply chains? What strategies and best practices may they use?</w:t>
      </w:r>
    </w:p>
    <w:p w14:paraId="198A9A20"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bookmarkStart w:id="9" w:name="_Toc224058766"/>
      <w:r w:rsidRPr="00083A4F">
        <w:rPr>
          <w:rFonts w:ascii="Arial" w:eastAsia="Arial" w:hAnsi="Arial" w:cs="Arial"/>
          <w:color w:val="4F81BD"/>
          <w:lang w:eastAsia="ja-JP"/>
        </w:rPr>
        <w:lastRenderedPageBreak/>
        <w:t>1.6 Chapter Summary</w:t>
      </w:r>
      <w:bookmarkEnd w:id="9"/>
    </w:p>
    <w:p w14:paraId="75476FAD"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This chapter discussed how IT hardware waste harms the environment and how the circular economy can help. E-waste is expanding rapidly, but recycling rates are poor (Repair, remanufacturing, and recycling preserve value and reduce resource use (NICF, 2025). resource use. Business programs like Dell's Asset Recovery Services and Microsoft's Circular Centers and the EU's Right-to-Repair Directive are making device supply chains more environmentally friendly. However, major issues remain.</w:t>
      </w:r>
    </w:p>
    <w:p w14:paraId="50942693"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 xml:space="preserve">In this chapter, enhanced producer responsibility and the variety of </w:t>
      </w:r>
      <w:proofErr w:type="gramStart"/>
      <w:r w:rsidRPr="00083A4F">
        <w:rPr>
          <w:rFonts w:ascii="Arial" w:eastAsia="Arial" w:hAnsi="Arial" w:cs="Arial"/>
          <w:lang w:eastAsia="ja-JP"/>
        </w:rPr>
        <w:t>persons</w:t>
      </w:r>
      <w:proofErr w:type="gramEnd"/>
      <w:r w:rsidRPr="00083A4F">
        <w:rPr>
          <w:rFonts w:ascii="Arial" w:eastAsia="Arial" w:hAnsi="Arial" w:cs="Arial"/>
          <w:lang w:eastAsia="ja-JP"/>
        </w:rPr>
        <w:t xml:space="preserve"> in IT hardware supply lines were discussed. These players must collaborate for take-back systems and product information and repairability data to travel along the chain (Upadhyay, 2021).</w:t>
      </w:r>
    </w:p>
    <w:p w14:paraId="5E98B070"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From academic and business literature, the next chapter explains the circular economy, the flow of materials, policies, business practices, and the factors that make IT hardware adoption easier or harder (Espino Penilla, 2023).</w:t>
      </w:r>
    </w:p>
    <w:p w14:paraId="22B5AD21"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0A4AC839" wp14:editId="5FCB2B7B">
            <wp:extent cx="4572000" cy="3429000"/>
            <wp:effectExtent l="0" t="0" r="0" b="0"/>
            <wp:docPr id="726097880" name="drawing" descr="A graph of recycle and recyc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97880" name="drawing" descr="A graph of recycle and recycling&#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4572000" cy="3429000"/>
                    </a:xfrm>
                    <a:prstGeom prst="rect">
                      <a:avLst/>
                    </a:prstGeom>
                  </pic:spPr>
                </pic:pic>
              </a:graphicData>
            </a:graphic>
          </wp:inline>
        </w:drawing>
      </w:r>
    </w:p>
    <w:p w14:paraId="2EBF88CE"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Figure 1: Global e</w:t>
      </w:r>
      <w:r w:rsidRPr="00083A4F">
        <w:rPr>
          <w:rFonts w:ascii="Cambria Math" w:eastAsia="Cambria Math" w:hAnsi="Cambria Math" w:cs="Cambria Math"/>
          <w:sz w:val="24"/>
          <w:szCs w:val="24"/>
          <w:lang w:eastAsia="ja-JP"/>
        </w:rPr>
        <w:t>‑</w:t>
      </w:r>
      <w:r w:rsidRPr="00083A4F">
        <w:rPr>
          <w:rFonts w:ascii="Arial" w:eastAsia="Arial" w:hAnsi="Arial" w:cs="Arial"/>
          <w:sz w:val="24"/>
          <w:szCs w:val="24"/>
          <w:lang w:eastAsia="ja-JP"/>
        </w:rPr>
        <w:t>waste generation vs recycled volumes.</w:t>
      </w:r>
    </w:p>
    <w:p w14:paraId="13A2B381" w14:textId="77777777" w:rsidR="0009520D" w:rsidRPr="00083A4F" w:rsidRDefault="0009520D" w:rsidP="00FA4CCC">
      <w:pPr>
        <w:spacing w:line="360" w:lineRule="auto"/>
        <w:jc w:val="both"/>
        <w:rPr>
          <w:rFonts w:ascii="Arial" w:hAnsi="Arial" w:cs="Arial"/>
        </w:rPr>
      </w:pPr>
    </w:p>
    <w:p w14:paraId="4F1CB3E5" w14:textId="77777777" w:rsidR="0009520D" w:rsidRPr="00083A4F" w:rsidRDefault="0009520D" w:rsidP="00FA4CCC">
      <w:pPr>
        <w:spacing w:line="360" w:lineRule="auto"/>
        <w:jc w:val="both"/>
        <w:rPr>
          <w:rFonts w:ascii="Arial" w:hAnsi="Arial" w:cs="Arial"/>
        </w:rPr>
      </w:pPr>
    </w:p>
    <w:p w14:paraId="56AF69AA" w14:textId="7C4DF024" w:rsidR="0009520D" w:rsidRPr="00083A4F" w:rsidRDefault="0009520D" w:rsidP="00FA4CCC">
      <w:pPr>
        <w:spacing w:line="360" w:lineRule="auto"/>
        <w:jc w:val="both"/>
        <w:rPr>
          <w:rFonts w:ascii="Arial" w:hAnsi="Arial" w:cs="Arial"/>
        </w:rPr>
      </w:pPr>
    </w:p>
    <w:p w14:paraId="5BFB215F" w14:textId="2D9409E3" w:rsidR="0009520D" w:rsidRPr="00083A4F" w:rsidRDefault="0009520D" w:rsidP="0009520D">
      <w:pPr>
        <w:keepNext/>
        <w:keepLines/>
        <w:spacing w:before="480" w:after="0" w:line="360" w:lineRule="auto"/>
        <w:jc w:val="both"/>
        <w:outlineLvl w:val="0"/>
        <w:rPr>
          <w:rFonts w:ascii="Arial" w:eastAsia="Arial" w:hAnsi="Arial" w:cs="Arial"/>
          <w:b/>
          <w:bCs/>
          <w:color w:val="365F91"/>
          <w:sz w:val="24"/>
          <w:szCs w:val="24"/>
          <w:lang w:eastAsia="ja-JP"/>
        </w:rPr>
      </w:pPr>
      <w:bookmarkStart w:id="10" w:name="_Toc224058767"/>
      <w:r w:rsidRPr="00083A4F">
        <w:rPr>
          <w:rFonts w:ascii="Arial" w:eastAsia="Arial" w:hAnsi="Arial" w:cs="Arial"/>
          <w:b/>
          <w:bCs/>
          <w:color w:val="365F91"/>
          <w:sz w:val="24"/>
          <w:szCs w:val="24"/>
          <w:lang w:eastAsia="ja-JP"/>
        </w:rPr>
        <w:t xml:space="preserve">Chapter 2: Literature </w:t>
      </w:r>
      <w:proofErr w:type="gramStart"/>
      <w:r w:rsidRPr="00083A4F">
        <w:rPr>
          <w:rFonts w:ascii="Arial" w:eastAsia="Arial" w:hAnsi="Arial" w:cs="Arial"/>
          <w:b/>
          <w:bCs/>
          <w:color w:val="365F91"/>
          <w:sz w:val="24"/>
          <w:szCs w:val="24"/>
          <w:lang w:eastAsia="ja-JP"/>
        </w:rPr>
        <w:t>Review :</w:t>
      </w:r>
      <w:bookmarkEnd w:id="10"/>
      <w:proofErr w:type="gramEnd"/>
      <w:r w:rsidRPr="00083A4F">
        <w:rPr>
          <w:rFonts w:ascii="Arial" w:eastAsia="Arial" w:hAnsi="Arial" w:cs="Arial"/>
          <w:b/>
          <w:bCs/>
          <w:color w:val="365F91"/>
          <w:sz w:val="24"/>
          <w:szCs w:val="24"/>
          <w:lang w:eastAsia="ja-JP"/>
        </w:rPr>
        <w:t xml:space="preserve"> </w:t>
      </w:r>
    </w:p>
    <w:p w14:paraId="78B450E5" w14:textId="77777777" w:rsidR="0009520D" w:rsidRPr="00083A4F" w:rsidRDefault="0009520D" w:rsidP="0009520D">
      <w:pPr>
        <w:keepNext/>
        <w:keepLines/>
        <w:spacing w:before="480" w:after="0" w:line="360" w:lineRule="auto"/>
        <w:jc w:val="both"/>
        <w:outlineLvl w:val="0"/>
        <w:rPr>
          <w:rFonts w:ascii="Arial" w:eastAsia="Arial" w:hAnsi="Arial" w:cs="Arial"/>
          <w:sz w:val="24"/>
          <w:szCs w:val="24"/>
          <w:lang w:eastAsia="ja-JP"/>
        </w:rPr>
      </w:pPr>
      <w:bookmarkStart w:id="11" w:name="_Toc224058768"/>
      <w:r w:rsidRPr="00083A4F">
        <w:rPr>
          <w:rFonts w:ascii="Arial" w:eastAsia="Arial" w:hAnsi="Arial" w:cs="Arial"/>
          <w:sz w:val="24"/>
          <w:szCs w:val="24"/>
          <w:lang w:eastAsia="ja-JP"/>
        </w:rPr>
        <w:t>The review addresses Chapter 1's</w:t>
      </w:r>
      <w:bookmarkEnd w:id="11"/>
    </w:p>
    <w:p w14:paraId="38905209" w14:textId="77777777" w:rsidR="0009520D" w:rsidRPr="00083A4F" w:rsidRDefault="0009520D" w:rsidP="0009520D">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This chapter reviews how the circular economy (CE) is applied in IT hardware supply chains, with particular attention to refurbishment and recycling. The aim is to move beyond summary and explain what the literature agrees on, where it disagrees, and what this means for the present study. I organise the review into five parts: key ideas, e</w:t>
      </w:r>
      <w:r w:rsidRPr="00083A4F">
        <w:rPr>
          <w:rFonts w:ascii="Arial" w:eastAsia="Aptos" w:hAnsi="Arial" w:cs="Arial"/>
          <w:kern w:val="2"/>
          <w:sz w:val="24"/>
          <w:szCs w:val="24"/>
          <w:lang w:val="en-GB"/>
          <w14:ligatures w14:val="standardContextual"/>
        </w:rPr>
        <w:noBreakHyphen/>
        <w:t xml:space="preserve">waste and material flows, regulation and policy, corporate practices, and the main barriers and enablers. Throughout, I keep a practical focus on what </w:t>
      </w:r>
      <w:proofErr w:type="gramStart"/>
      <w:r w:rsidRPr="00083A4F">
        <w:rPr>
          <w:rFonts w:ascii="Arial" w:eastAsia="Aptos" w:hAnsi="Arial" w:cs="Arial"/>
          <w:kern w:val="2"/>
          <w:sz w:val="24"/>
          <w:szCs w:val="24"/>
          <w:lang w:val="en-GB"/>
          <w14:ligatures w14:val="standardContextual"/>
        </w:rPr>
        <w:t>actually helps</w:t>
      </w:r>
      <w:proofErr w:type="gramEnd"/>
      <w:r w:rsidRPr="00083A4F">
        <w:rPr>
          <w:rFonts w:ascii="Arial" w:eastAsia="Aptos" w:hAnsi="Arial" w:cs="Arial"/>
          <w:kern w:val="2"/>
          <w:sz w:val="24"/>
          <w:szCs w:val="24"/>
          <w:lang w:val="en-GB"/>
          <w14:ligatures w14:val="standardContextual"/>
        </w:rPr>
        <w:t xml:space="preserve"> more devices stay in productive use for longer.</w:t>
      </w:r>
    </w:p>
    <w:p w14:paraId="13A7EC07" w14:textId="77777777" w:rsidR="0009520D" w:rsidRPr="00083A4F" w:rsidRDefault="0009520D" w:rsidP="0009520D">
      <w:pPr>
        <w:spacing w:after="160" w:line="279" w:lineRule="auto"/>
        <w:rPr>
          <w:rFonts w:ascii="Arial" w:eastAsia="Times New Roman" w:hAnsi="Arial" w:cs="Arial"/>
          <w:sz w:val="24"/>
          <w:szCs w:val="24"/>
          <w:lang w:eastAsia="ja-JP"/>
        </w:rPr>
      </w:pPr>
    </w:p>
    <w:p w14:paraId="2C168A55" w14:textId="77777777" w:rsidR="0009520D" w:rsidRPr="00083A4F" w:rsidRDefault="0009520D" w:rsidP="0009520D">
      <w:pPr>
        <w:keepNext/>
        <w:keepLines/>
        <w:spacing w:before="200" w:after="0" w:line="360" w:lineRule="auto"/>
        <w:jc w:val="both"/>
        <w:outlineLvl w:val="1"/>
        <w:rPr>
          <w:rFonts w:ascii="Arial" w:eastAsia="Arial" w:hAnsi="Arial" w:cs="Arial"/>
          <w:color w:val="4F81BD"/>
          <w:sz w:val="24"/>
          <w:szCs w:val="24"/>
          <w:lang w:eastAsia="ja-JP"/>
        </w:rPr>
      </w:pPr>
      <w:bookmarkStart w:id="12" w:name="_Toc224058769"/>
      <w:r w:rsidRPr="00083A4F">
        <w:rPr>
          <w:rFonts w:ascii="Arial" w:eastAsia="Arial" w:hAnsi="Arial" w:cs="Arial"/>
          <w:color w:val="4F81BD"/>
          <w:sz w:val="24"/>
          <w:szCs w:val="24"/>
          <w:lang w:eastAsia="ja-JP"/>
        </w:rPr>
        <w:t>2.1 Conceptual Foundations of the Circular Economy</w:t>
      </w:r>
      <w:bookmarkEnd w:id="12"/>
    </w:p>
    <w:p w14:paraId="77C5A4C9" w14:textId="77777777" w:rsidR="0009520D" w:rsidRPr="00083A4F" w:rsidRDefault="0009520D" w:rsidP="0009520D">
      <w:pPr>
        <w:spacing w:after="160" w:line="279" w:lineRule="auto"/>
        <w:rPr>
          <w:rFonts w:ascii="Arial" w:eastAsia="Times New Roman" w:hAnsi="Arial" w:cs="Arial"/>
          <w:sz w:val="24"/>
          <w:szCs w:val="24"/>
          <w:lang w:eastAsia="ja-JP"/>
        </w:rPr>
      </w:pPr>
    </w:p>
    <w:p w14:paraId="744F9EEA" w14:textId="77777777" w:rsidR="0009520D" w:rsidRPr="00083A4F" w:rsidRDefault="0009520D" w:rsidP="0009520D">
      <w:pPr>
        <w:spacing w:after="160" w:line="278" w:lineRule="auto"/>
        <w:rPr>
          <w:rFonts w:ascii="Arial" w:eastAsia="Aptos" w:hAnsi="Arial" w:cs="Arial"/>
          <w:kern w:val="2"/>
          <w:sz w:val="24"/>
          <w:szCs w:val="24"/>
          <w:lang w:val="en-GB"/>
          <w14:ligatures w14:val="standardContextual"/>
        </w:rPr>
      </w:pPr>
    </w:p>
    <w:p w14:paraId="2D90666D" w14:textId="77777777" w:rsidR="0009520D" w:rsidRPr="00083A4F" w:rsidRDefault="0009520D" w:rsidP="0009520D">
      <w:pPr>
        <w:spacing w:after="160" w:line="279" w:lineRule="auto"/>
        <w:rPr>
          <w:rFonts w:ascii="Arial" w:eastAsia="Times New Roman" w:hAnsi="Arial" w:cs="Arial"/>
          <w:sz w:val="24"/>
          <w:szCs w:val="24"/>
          <w:lang w:eastAsia="ja-JP"/>
        </w:rPr>
      </w:pPr>
      <w:r w:rsidRPr="00083A4F">
        <w:rPr>
          <w:rFonts w:ascii="Arial" w:eastAsia="Times New Roman" w:hAnsi="Arial" w:cs="Arial"/>
          <w:noProof/>
          <w:sz w:val="24"/>
          <w:szCs w:val="24"/>
          <w:lang w:val="en-GB" w:eastAsia="ja-JP"/>
        </w:rPr>
        <w:drawing>
          <wp:inline distT="0" distB="0" distL="0" distR="0" wp14:anchorId="2F32D133" wp14:editId="2AF85B6C">
            <wp:extent cx="5305425" cy="3295650"/>
            <wp:effectExtent l="0" t="0" r="9525" b="0"/>
            <wp:docPr id="1861653592" name="Picture 3" descr="A char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53592" name="Picture 3" descr="A chart of a diagram&#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05425" cy="3295650"/>
                    </a:xfrm>
                    <a:prstGeom prst="rect">
                      <a:avLst/>
                    </a:prstGeom>
                    <a:noFill/>
                    <a:ln>
                      <a:noFill/>
                    </a:ln>
                  </pic:spPr>
                </pic:pic>
              </a:graphicData>
            </a:graphic>
          </wp:inline>
        </w:drawing>
      </w:r>
    </w:p>
    <w:p w14:paraId="17B64156" w14:textId="77777777" w:rsidR="0009520D" w:rsidRPr="00083A4F" w:rsidRDefault="0009520D" w:rsidP="0009520D">
      <w:pPr>
        <w:spacing w:after="160" w:line="279" w:lineRule="auto"/>
        <w:rPr>
          <w:rFonts w:ascii="Arial" w:eastAsia="Times New Roman" w:hAnsi="Arial" w:cs="Arial"/>
          <w:sz w:val="24"/>
          <w:szCs w:val="24"/>
          <w:lang w:val="en-GB" w:eastAsia="ja-JP"/>
        </w:rPr>
      </w:pPr>
      <w:r w:rsidRPr="00083A4F">
        <w:rPr>
          <w:rFonts w:ascii="Arial" w:eastAsia="Times New Roman" w:hAnsi="Arial" w:cs="Arial"/>
          <w:sz w:val="24"/>
          <w:szCs w:val="24"/>
          <w:lang w:val="en-GB" w:eastAsia="ja-JP"/>
        </w:rPr>
        <w:t>Figure 2.1: 9R hierarchy (colour schematic). Source: adapted from RSC Publishing (2019).</w:t>
      </w:r>
    </w:p>
    <w:p w14:paraId="45F53CA2" w14:textId="77777777" w:rsidR="0009520D" w:rsidRPr="00083A4F" w:rsidRDefault="0009520D" w:rsidP="0009520D">
      <w:pPr>
        <w:spacing w:after="160" w:line="279" w:lineRule="auto"/>
        <w:rPr>
          <w:rFonts w:ascii="Arial" w:eastAsia="Times New Roman" w:hAnsi="Arial" w:cs="Arial"/>
          <w:sz w:val="24"/>
          <w:szCs w:val="24"/>
          <w:lang w:eastAsia="ja-JP"/>
        </w:rPr>
      </w:pPr>
    </w:p>
    <w:p w14:paraId="6C23FC20"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lastRenderedPageBreak/>
        <w:t>Circular economies try to divorce growth from resource use. Waste removal and material movement help it do this. The linear model includes extraction, production, consumption, and disposal. In contrast, the circular model closes material flow loops. Protecting and developing natural riches, maximizing resources, and limiting negative impacts support a circular economy. Product life extension, flexible design, sharing platforms, product-as-a-service models, and material recovery follow these ideas (Reuse Technology Group, 2024).</w:t>
      </w:r>
    </w:p>
    <w:p w14:paraId="3B8C395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Supply chain management ensures goods, information, and money flow seamlessly between circular economy actors. Reverse logistics recycles used commodities in closed-loop supply networks (Weetman, 2016). How easy it is to disassemble, repair, replace parts, and encourage take-back programs determines how well closed loops work. Closing loops reduces environmental damage and generates revenue by decreasing expenses, recovering materials, and providing new services, according to scholars.</w:t>
      </w:r>
    </w:p>
    <w:p w14:paraId="0D804654"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The recently introduced 'R</w:t>
      </w:r>
      <w:r w:rsidRPr="00083A4F">
        <w:rPr>
          <w:rFonts w:ascii="Cambria Math" w:eastAsia="Arial" w:hAnsi="Cambria Math" w:cs="Cambria Math"/>
          <w:sz w:val="24"/>
          <w:szCs w:val="24"/>
          <w:lang w:eastAsia="ja-JP"/>
        </w:rPr>
        <w:t>‑</w:t>
      </w:r>
      <w:r w:rsidRPr="00083A4F">
        <w:rPr>
          <w:rFonts w:ascii="Arial" w:eastAsia="Arial" w:hAnsi="Arial" w:cs="Arial"/>
          <w:sz w:val="24"/>
          <w:szCs w:val="24"/>
          <w:lang w:eastAsia="ja-JP"/>
        </w:rPr>
        <w:t>hierarchy' or '9R' structure evaluates circular techniques based on their ability to retain value and utilize less resources. Refuse and reconsider (R0–R1) involve not utilizing items and creating mechanisms that make them unnecessary. Reduce (R2) and reuse (R3) involve making items endure longer through durability and Second-hand use (RSC Publishing, 2019). Middle options include repair (R4), refurbish (R5), remanufacture (R6), and repurpose (R7). These methods reuse parts in new products. Outer loops recycle (R8) and recover (R9) materials and energy. Inner loops retain most of a product's value, therefore the circular economy values them. Circular initiatives should be evaluated on more than only their environmental benefits, according to the "triple bottom line". It examines their social and economic effects. Circular models may boost local economies, provide repair and refurbishment jobs, and make society more equitable when e-waste is handled safely. They may also change industries and demand new skills (European Circular Economy Stakeholder Platform, 2023).</w:t>
      </w:r>
    </w:p>
    <w:p w14:paraId="0D16ACD5" w14:textId="77777777" w:rsidR="0009520D" w:rsidRPr="00083A4F" w:rsidRDefault="0009520D" w:rsidP="0009520D">
      <w:pPr>
        <w:keepNext/>
        <w:keepLines/>
        <w:spacing w:before="200" w:after="0" w:line="360" w:lineRule="auto"/>
        <w:jc w:val="both"/>
        <w:outlineLvl w:val="1"/>
        <w:rPr>
          <w:rFonts w:ascii="Arial" w:eastAsia="Arial" w:hAnsi="Arial" w:cs="Arial"/>
          <w:color w:val="4F81BD"/>
          <w:sz w:val="24"/>
          <w:szCs w:val="24"/>
          <w:lang w:eastAsia="ja-JP"/>
        </w:rPr>
      </w:pPr>
      <w:r w:rsidRPr="00083A4F">
        <w:rPr>
          <w:rFonts w:ascii="Arial" w:eastAsia="Arial" w:hAnsi="Arial" w:cs="Arial"/>
          <w:color w:val="4F81BD"/>
          <w:sz w:val="24"/>
          <w:szCs w:val="24"/>
          <w:lang w:eastAsia="ja-JP"/>
        </w:rPr>
        <w:lastRenderedPageBreak/>
        <w:t xml:space="preserve"> </w:t>
      </w:r>
      <w:bookmarkStart w:id="13" w:name="_Toc224058770"/>
      <w:r w:rsidRPr="00083A4F">
        <w:rPr>
          <w:rFonts w:ascii="Arial" w:eastAsia="Arial" w:hAnsi="Arial" w:cs="Arial"/>
          <w:color w:val="4F81BD"/>
          <w:sz w:val="24"/>
          <w:szCs w:val="24"/>
          <w:lang w:eastAsia="ja-JP"/>
        </w:rPr>
        <w:t>2.2 E</w:t>
      </w:r>
      <w:r w:rsidRPr="00083A4F">
        <w:rPr>
          <w:rFonts w:ascii="Cambria Math" w:eastAsia="Arial" w:hAnsi="Cambria Math" w:cs="Cambria Math"/>
          <w:color w:val="4F81BD"/>
          <w:sz w:val="24"/>
          <w:szCs w:val="24"/>
          <w:lang w:eastAsia="ja-JP"/>
        </w:rPr>
        <w:t>‑</w:t>
      </w:r>
      <w:r w:rsidRPr="00083A4F">
        <w:rPr>
          <w:rFonts w:ascii="Arial" w:eastAsia="Arial" w:hAnsi="Arial" w:cs="Arial"/>
          <w:color w:val="4F81BD"/>
          <w:sz w:val="24"/>
          <w:szCs w:val="24"/>
          <w:lang w:eastAsia="ja-JP"/>
        </w:rPr>
        <w:t>waste Generation and Material Flows</w:t>
      </w:r>
      <w:bookmarkEnd w:id="13"/>
    </w:p>
    <w:p w14:paraId="39F11037" w14:textId="77777777" w:rsidR="0009520D" w:rsidRPr="00083A4F" w:rsidRDefault="0009520D" w:rsidP="0009520D">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Globally, e</w:t>
      </w:r>
      <w:r w:rsidRPr="00083A4F">
        <w:rPr>
          <w:rFonts w:ascii="Cambria Math" w:eastAsia="Aptos" w:hAnsi="Cambria Math" w:cs="Cambria Math"/>
          <w:kern w:val="2"/>
          <w:sz w:val="24"/>
          <w:szCs w:val="24"/>
          <w:lang w:val="en-GB"/>
          <w14:ligatures w14:val="standardContextual"/>
        </w:rPr>
        <w:t>‑</w:t>
      </w:r>
      <w:r w:rsidRPr="00083A4F">
        <w:rPr>
          <w:rFonts w:ascii="Arial" w:eastAsia="Aptos" w:hAnsi="Arial" w:cs="Arial"/>
          <w:kern w:val="2"/>
          <w:sz w:val="24"/>
          <w:szCs w:val="24"/>
          <w:lang w:val="en-GB"/>
          <w14:ligatures w14:val="standardContextual"/>
        </w:rPr>
        <w:t>waste is rising far faster than formal collection and recycling. In 2022, the UN’s Global E</w:t>
      </w:r>
      <w:r w:rsidRPr="00083A4F">
        <w:rPr>
          <w:rFonts w:ascii="Cambria Math" w:eastAsia="Aptos" w:hAnsi="Cambria Math" w:cs="Cambria Math"/>
          <w:kern w:val="2"/>
          <w:sz w:val="24"/>
          <w:szCs w:val="24"/>
          <w:lang w:val="en-GB"/>
          <w14:ligatures w14:val="standardContextual"/>
        </w:rPr>
        <w:t>‑</w:t>
      </w:r>
      <w:r w:rsidRPr="00083A4F">
        <w:rPr>
          <w:rFonts w:ascii="Arial" w:eastAsia="Aptos" w:hAnsi="Arial" w:cs="Arial"/>
          <w:kern w:val="2"/>
          <w:sz w:val="24"/>
          <w:szCs w:val="24"/>
          <w:lang w:val="en-GB"/>
          <w14:ligatures w14:val="standardContextual"/>
        </w:rPr>
        <w:t>waste Monitor reports a record 62 million tonnes generated (+82% versus 2010), with only 22.3% documented as properly collected and recycled; volumes are projected to reach ~82 Mt by 2030 and the documented rate to fall to ~20% if trends persist (ITU and UNITAR, 2024).</w:t>
      </w:r>
    </w:p>
    <w:p w14:paraId="7007E79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Gold, silver, copper, and rare earth elements are useful in e-waste. Reusing electronics meets some demands, but not all. E-waste that isn't collected ends up in illegal recycling locations in developing countries, where it's broken down and burnt, harming health and the environment (Yang, 2024). Material flow analysis </w:t>
      </w:r>
      <w:proofErr w:type="gramStart"/>
      <w:r w:rsidRPr="00083A4F">
        <w:rPr>
          <w:rFonts w:ascii="Arial" w:eastAsia="Arial" w:hAnsi="Arial" w:cs="Arial"/>
          <w:sz w:val="24"/>
          <w:szCs w:val="24"/>
          <w:lang w:eastAsia="ja-JP"/>
        </w:rPr>
        <w:t>suggest</w:t>
      </w:r>
      <w:proofErr w:type="gramEnd"/>
      <w:r w:rsidRPr="00083A4F">
        <w:rPr>
          <w:rFonts w:ascii="Arial" w:eastAsia="Arial" w:hAnsi="Arial" w:cs="Arial"/>
          <w:sz w:val="24"/>
          <w:szCs w:val="24"/>
          <w:lang w:eastAsia="ja-JP"/>
        </w:rPr>
        <w:t xml:space="preserve"> that few discarded gadgets enter legitimate recovery streams. The rest is stockpiled, illegally exported, or dumped. Social, economic, and cultural variables affect flows. Many people store obsolete equipment due to data security or poor trade-in prices. Manufacturers and merchants can encourage recycling through take-back programs and secure data deletion.</w:t>
      </w:r>
    </w:p>
    <w:p w14:paraId="7A4C955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E-waste contains metals (steel, </w:t>
      </w:r>
      <w:proofErr w:type="spellStart"/>
      <w:r w:rsidRPr="00083A4F">
        <w:rPr>
          <w:rFonts w:ascii="Arial" w:eastAsia="Arial" w:hAnsi="Arial" w:cs="Arial"/>
          <w:sz w:val="24"/>
          <w:szCs w:val="24"/>
          <w:lang w:eastAsia="ja-JP"/>
        </w:rPr>
        <w:t>aluminium</w:t>
      </w:r>
      <w:proofErr w:type="spellEnd"/>
      <w:r w:rsidRPr="00083A4F">
        <w:rPr>
          <w:rFonts w:ascii="Arial" w:eastAsia="Arial" w:hAnsi="Arial" w:cs="Arial"/>
          <w:sz w:val="24"/>
          <w:szCs w:val="24"/>
          <w:lang w:eastAsia="ja-JP"/>
        </w:rPr>
        <w:t xml:space="preserve">, and precious metals), plastics, glass, and vital raw materials. IT equipment can be recycled because they include several materials (However, printed circuit boards (PCBs) are complicated metal-polymer combinations that require </w:t>
      </w:r>
      <w:proofErr w:type="spellStart"/>
      <w:r w:rsidRPr="00083A4F">
        <w:rPr>
          <w:rFonts w:ascii="Arial" w:eastAsia="Arial" w:hAnsi="Arial" w:cs="Arial"/>
          <w:sz w:val="24"/>
          <w:szCs w:val="24"/>
          <w:lang w:eastAsia="ja-JP"/>
        </w:rPr>
        <w:t>specialised</w:t>
      </w:r>
      <w:proofErr w:type="spellEnd"/>
      <w:r w:rsidRPr="00083A4F">
        <w:rPr>
          <w:rFonts w:ascii="Arial" w:eastAsia="Arial" w:hAnsi="Arial" w:cs="Arial"/>
          <w:sz w:val="24"/>
          <w:szCs w:val="24"/>
          <w:lang w:eastAsia="ja-JP"/>
        </w:rPr>
        <w:t xml:space="preserve"> treatment (Espino Penilla, 2023</w:t>
      </w:r>
      <w:proofErr w:type="gramStart"/>
      <w:r w:rsidRPr="00083A4F">
        <w:rPr>
          <w:rFonts w:ascii="Arial" w:eastAsia="Arial" w:hAnsi="Arial" w:cs="Arial"/>
          <w:sz w:val="24"/>
          <w:szCs w:val="24"/>
          <w:lang w:eastAsia="ja-JP"/>
        </w:rPr>
        <w:t>).</w:t>
      </w:r>
      <w:proofErr w:type="spellStart"/>
      <w:r w:rsidRPr="00083A4F">
        <w:rPr>
          <w:rFonts w:ascii="Arial" w:eastAsia="Arial" w:hAnsi="Arial" w:cs="Arial"/>
          <w:sz w:val="24"/>
          <w:szCs w:val="24"/>
          <w:lang w:eastAsia="ja-JP"/>
        </w:rPr>
        <w:t>ised</w:t>
      </w:r>
      <w:proofErr w:type="spellEnd"/>
      <w:proofErr w:type="gramEnd"/>
      <w:r w:rsidRPr="00083A4F">
        <w:rPr>
          <w:rFonts w:ascii="Arial" w:eastAsia="Arial" w:hAnsi="Arial" w:cs="Arial"/>
          <w:sz w:val="24"/>
          <w:szCs w:val="24"/>
          <w:lang w:eastAsia="ja-JP"/>
        </w:rPr>
        <w:t xml:space="preserve"> treatment. Recovery of rare earths and valuable metals can reduce new mining by a lot, but it </w:t>
      </w:r>
      <w:proofErr w:type="spellStart"/>
      <w:r w:rsidRPr="00083A4F">
        <w:rPr>
          <w:rFonts w:ascii="Arial" w:eastAsia="Arial" w:hAnsi="Arial" w:cs="Arial"/>
          <w:sz w:val="24"/>
          <w:szCs w:val="24"/>
          <w:lang w:eastAsia="ja-JP"/>
        </w:rPr>
        <w:t>requireMicrosoft</w:t>
      </w:r>
      <w:proofErr w:type="spellEnd"/>
      <w:r w:rsidRPr="00083A4F">
        <w:rPr>
          <w:rFonts w:ascii="Arial" w:eastAsia="Arial" w:hAnsi="Arial" w:cs="Arial"/>
          <w:sz w:val="24"/>
          <w:szCs w:val="24"/>
          <w:lang w:eastAsia="ja-JP"/>
        </w:rPr>
        <w:t xml:space="preserve"> is testing ways to recover rare earth elements from obsolete computers at 90% and 95% (Circular Tech, 2015).rom obsolete computers at 90% and 95%. less pollution than conventional mining</w:t>
      </w:r>
    </w:p>
    <w:p w14:paraId="670A5D2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E-waste's nature and quantity pose major health and environmental dangers if not properly disposed of. Devices contain lead, mercury, cadmium, and brominated flame retardants. Informal recycling in Ghana, Nigeria, India, and China involves hand-separating and burning items to recover metals. These activities create harmful fumes and land, water, and air pollution for workers and </w:t>
      </w:r>
      <w:proofErr w:type="gramStart"/>
      <w:r w:rsidRPr="00083A4F">
        <w:rPr>
          <w:rFonts w:ascii="Arial" w:eastAsia="Arial" w:hAnsi="Arial" w:cs="Arial"/>
          <w:sz w:val="24"/>
          <w:szCs w:val="24"/>
          <w:lang w:eastAsia="ja-JP"/>
        </w:rPr>
        <w:t>local residents</w:t>
      </w:r>
      <w:proofErr w:type="gramEnd"/>
      <w:r w:rsidRPr="00083A4F">
        <w:rPr>
          <w:rFonts w:ascii="Arial" w:eastAsia="Arial" w:hAnsi="Arial" w:cs="Arial"/>
          <w:sz w:val="24"/>
          <w:szCs w:val="24"/>
          <w:lang w:eastAsia="ja-JP"/>
        </w:rPr>
        <w:t xml:space="preserve">. Studies have linked e-waste to lung problems, illnesses, and reproduction issues. The many materials in printed circuit boards must be removed safely under controlled conditions. International accords like the Basel Convention on the </w:t>
      </w:r>
      <w:r w:rsidRPr="00083A4F">
        <w:rPr>
          <w:rFonts w:ascii="Arial" w:eastAsia="Arial" w:hAnsi="Arial" w:cs="Arial"/>
          <w:sz w:val="24"/>
          <w:szCs w:val="24"/>
          <w:lang w:eastAsia="ja-JP"/>
        </w:rPr>
        <w:lastRenderedPageBreak/>
        <w:t xml:space="preserve">Transboundary Movement of Hazardous Wastes regulate electronic waste shipping. Due to poor regulation and financial incentives, illegal shipments continue (Nashid, 2024). Formal recycling centers in developed countries use contemporary hydrometallurgical or pyrometallurgical processes, chemical leaching, and mechanical shredding to recover metals more efficiently and sustainably. However, formal recycling only recovers a limited amount of IT device </w:t>
      </w:r>
      <w:proofErr w:type="spellStart"/>
      <w:r w:rsidRPr="00083A4F">
        <w:rPr>
          <w:rFonts w:ascii="Arial" w:eastAsia="Arial" w:hAnsi="Arial" w:cs="Arial"/>
          <w:sz w:val="24"/>
          <w:szCs w:val="24"/>
          <w:lang w:eastAsia="ja-JP"/>
        </w:rPr>
        <w:t>eneUpstream</w:t>
      </w:r>
      <w:proofErr w:type="spellEnd"/>
      <w:r w:rsidRPr="00083A4F">
        <w:rPr>
          <w:rFonts w:ascii="Arial" w:eastAsia="Arial" w:hAnsi="Arial" w:cs="Arial"/>
          <w:sz w:val="24"/>
          <w:szCs w:val="24"/>
          <w:lang w:eastAsia="ja-JP"/>
        </w:rPr>
        <w:t xml:space="preserve"> strategies like refurbishment and repair are crucial (Weetman, 2016).</w:t>
      </w:r>
    </w:p>
    <w:p w14:paraId="13A4C20B"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7AED2F6D" wp14:editId="14D819E1">
            <wp:extent cx="4114800" cy="3429000"/>
            <wp:effectExtent l="0" t="0" r="0" b="0"/>
            <wp:docPr id="837598452" name="drawing" descr="A graph with green and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98452" name="drawing" descr="A graph with green and red bars&#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4114800" cy="3429000"/>
                    </a:xfrm>
                    <a:prstGeom prst="rect">
                      <a:avLst/>
                    </a:prstGeom>
                  </pic:spPr>
                </pic:pic>
              </a:graphicData>
            </a:graphic>
          </wp:inline>
        </w:drawing>
      </w:r>
    </w:p>
    <w:p w14:paraId="32B4D2CC"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Figure 2: Share of storage drives suitable for reuse vs </w:t>
      </w:r>
      <w:proofErr w:type="gramStart"/>
      <w:r w:rsidRPr="00083A4F">
        <w:rPr>
          <w:rFonts w:ascii="Arial" w:eastAsia="Arial" w:hAnsi="Arial" w:cs="Arial"/>
          <w:sz w:val="24"/>
          <w:szCs w:val="24"/>
          <w:lang w:eastAsia="ja-JP"/>
        </w:rPr>
        <w:t>actually reused</w:t>
      </w:r>
      <w:proofErr w:type="gramEnd"/>
      <w:r w:rsidRPr="00083A4F">
        <w:rPr>
          <w:rFonts w:ascii="Arial" w:eastAsia="Arial" w:hAnsi="Arial" w:cs="Arial"/>
          <w:sz w:val="24"/>
          <w:szCs w:val="24"/>
          <w:lang w:eastAsia="ja-JP"/>
        </w:rPr>
        <w:t xml:space="preserve"> (Upadhyay, 2021).</w:t>
      </w:r>
    </w:p>
    <w:p w14:paraId="5E07BBCB"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t xml:space="preserve"> </w:t>
      </w:r>
      <w:bookmarkStart w:id="14" w:name="_Toc224058771"/>
      <w:r w:rsidRPr="00083A4F">
        <w:rPr>
          <w:rFonts w:ascii="Arial" w:eastAsia="Arial" w:hAnsi="Arial" w:cs="Arial"/>
          <w:color w:val="4F81BD"/>
          <w:sz w:val="24"/>
          <w:szCs w:val="24"/>
          <w:lang w:eastAsia="ja-JP"/>
        </w:rPr>
        <w:t>2.3 Regulatory and Policy Frameworks</w:t>
      </w:r>
      <w:bookmarkEnd w:id="14"/>
    </w:p>
    <w:p w14:paraId="69BC32DC"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Regulatory attempts enable circular conduct. The RoHS and WEEE Directives have helped the EU promote circularity. WEEE Directive specifies how much member states must collect and recycle, and RoHS Directive prohibits electronics' usage of hazardous materials. Recent regulations, such as the Ecodesign for Sustainable Goods Regulation (ESPR) and the Right-to-Repair Directive, require manufacturers to create durable, repairable, and upgradeable products (Nashid, </w:t>
      </w:r>
      <w:r w:rsidRPr="00083A4F">
        <w:rPr>
          <w:rFonts w:ascii="Arial" w:eastAsia="Arial" w:hAnsi="Arial" w:cs="Arial"/>
          <w:sz w:val="24"/>
          <w:szCs w:val="24"/>
          <w:lang w:eastAsia="ja-JP"/>
        </w:rPr>
        <w:lastRenderedPageBreak/>
        <w:t>2024). Companies must provide spare parts and replacement information at a fair price and not make repairs harder under the Right-to-replacement Directive (European Circular Economy Stakeholder Platform, 2023). These standards extend product life and simplify repair (Nashid, 2024).</w:t>
      </w:r>
    </w:p>
    <w:p w14:paraId="73F81323"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EU member states must make and enforce the directive's </w:t>
      </w:r>
      <w:proofErr w:type="spellStart"/>
      <w:r w:rsidRPr="00083A4F">
        <w:rPr>
          <w:rFonts w:ascii="Arial" w:eastAsia="Arial" w:hAnsi="Arial" w:cs="Arial"/>
          <w:sz w:val="24"/>
          <w:szCs w:val="24"/>
          <w:lang w:eastAsia="ja-JP"/>
        </w:rPr>
        <w:t>annexe</w:t>
      </w:r>
      <w:proofErr w:type="spellEnd"/>
      <w:r w:rsidRPr="00083A4F">
        <w:rPr>
          <w:rFonts w:ascii="Arial" w:eastAsia="Arial" w:hAnsi="Arial" w:cs="Arial"/>
          <w:sz w:val="24"/>
          <w:szCs w:val="24"/>
          <w:lang w:eastAsia="ja-JP"/>
        </w:rPr>
        <w:t xml:space="preserve"> law's goods repair obligations by July 2026. US states have passed or planned right-to-repair laws, but federal laws are unclear (European Circular Economy Stakeholder Platform, 2023). Canada and Australia are considering similar measures.</w:t>
      </w:r>
    </w:p>
    <w:p w14:paraId="0F03112A"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Voluntary initiatives contribute too. EPEAT, Energy Star, and TCO Certified encourage manufacturers to develop energy-efficient, durable, and recyclable products (Xue, 2023). ISO 14001 and ISO 59004 govern environmental management and cycle economy </w:t>
      </w:r>
      <w:proofErr w:type="spellStart"/>
      <w:r w:rsidRPr="00083A4F">
        <w:rPr>
          <w:rFonts w:ascii="Arial" w:eastAsia="Arial" w:hAnsi="Arial" w:cs="Arial"/>
          <w:sz w:val="24"/>
          <w:szCs w:val="24"/>
          <w:lang w:eastAsia="ja-JP"/>
        </w:rPr>
        <w:t>implMore</w:t>
      </w:r>
      <w:proofErr w:type="spellEnd"/>
      <w:r w:rsidRPr="00083A4F">
        <w:rPr>
          <w:rFonts w:ascii="Arial" w:eastAsia="Arial" w:hAnsi="Arial" w:cs="Arial"/>
          <w:sz w:val="24"/>
          <w:szCs w:val="24"/>
          <w:lang w:eastAsia="ja-JP"/>
        </w:rPr>
        <w:t xml:space="preserve"> public procurement laws require government </w:t>
      </w:r>
      <w:proofErr w:type="spellStart"/>
      <w:r w:rsidRPr="00083A4F">
        <w:rPr>
          <w:rFonts w:ascii="Arial" w:eastAsia="Arial" w:hAnsi="Arial" w:cs="Arial"/>
          <w:sz w:val="24"/>
          <w:szCs w:val="24"/>
          <w:lang w:eastAsia="ja-JP"/>
        </w:rPr>
        <w:t>organisations</w:t>
      </w:r>
      <w:proofErr w:type="spellEnd"/>
      <w:r w:rsidRPr="00083A4F">
        <w:rPr>
          <w:rFonts w:ascii="Arial" w:eastAsia="Arial" w:hAnsi="Arial" w:cs="Arial"/>
          <w:sz w:val="24"/>
          <w:szCs w:val="24"/>
          <w:lang w:eastAsia="ja-JP"/>
        </w:rPr>
        <w:t xml:space="preserve"> to buy used or reconditioned IT equipment (Khanna, 2025</w:t>
      </w:r>
      <w:proofErr w:type="gramStart"/>
      <w:r w:rsidRPr="00083A4F">
        <w:rPr>
          <w:rFonts w:ascii="Arial" w:eastAsia="Arial" w:hAnsi="Arial" w:cs="Arial"/>
          <w:sz w:val="24"/>
          <w:szCs w:val="24"/>
          <w:lang w:eastAsia="ja-JP"/>
        </w:rPr>
        <w:t>).reconditioned</w:t>
      </w:r>
      <w:proofErr w:type="gramEnd"/>
      <w:r w:rsidRPr="00083A4F">
        <w:rPr>
          <w:rFonts w:ascii="Arial" w:eastAsia="Arial" w:hAnsi="Arial" w:cs="Arial"/>
          <w:sz w:val="24"/>
          <w:szCs w:val="24"/>
          <w:lang w:eastAsia="ja-JP"/>
        </w:rPr>
        <w:t xml:space="preserve"> IT equipment. Demand impacts the supply chain.</w:t>
      </w:r>
    </w:p>
    <w:p w14:paraId="03B63E0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According to the Basel Convention and its Ban Amendment, developed nations cannot transport hazardous waste to developing nations for disposal or recycling. But policing isn't always fair, and legal loopholes allow e-waste to be exported as "used goods." Many nations have EPR initiatives for e-waste (Sarker, 2026). Japan's Home Appliance Recycling Law requires consumers to pay a charge to recycle some gadgets, which manufacturers collect and treat. Makers in South Korea must satisfy recycling standards at common recycling centers. China's "Old for New" trade-in program and e-waste recycling industrial parks encourage individuals to return old devices. Each US state regulates e-waste. Advanced recycle fees fund California's e-waste program. Extended producer responsibility is becoming more popular </w:t>
      </w:r>
      <w:proofErr w:type="gramStart"/>
      <w:r w:rsidRPr="00083A4F">
        <w:rPr>
          <w:rFonts w:ascii="Arial" w:eastAsia="Arial" w:hAnsi="Arial" w:cs="Arial"/>
          <w:sz w:val="24"/>
          <w:szCs w:val="24"/>
          <w:lang w:eastAsia="ja-JP"/>
        </w:rPr>
        <w:t>worldwide,</w:t>
      </w:r>
      <w:proofErr w:type="gramEnd"/>
      <w:r w:rsidRPr="00083A4F">
        <w:rPr>
          <w:rFonts w:ascii="Arial" w:eastAsia="Arial" w:hAnsi="Arial" w:cs="Arial"/>
          <w:sz w:val="24"/>
          <w:szCs w:val="24"/>
          <w:lang w:eastAsia="ja-JP"/>
        </w:rPr>
        <w:t xml:space="preserve"> however some companies don't obey the requirements, consumers aren't aware of it, and there aren't enough </w:t>
      </w:r>
      <w:proofErr w:type="spellStart"/>
      <w:r w:rsidRPr="00083A4F">
        <w:rPr>
          <w:rFonts w:ascii="Arial" w:eastAsia="Arial" w:hAnsi="Arial" w:cs="Arial"/>
          <w:sz w:val="24"/>
          <w:szCs w:val="24"/>
          <w:lang w:eastAsia="ja-JP"/>
        </w:rPr>
        <w:t>recycliUnified</w:t>
      </w:r>
      <w:proofErr w:type="spellEnd"/>
      <w:r w:rsidRPr="00083A4F">
        <w:rPr>
          <w:rFonts w:ascii="Arial" w:eastAsia="Arial" w:hAnsi="Arial" w:cs="Arial"/>
          <w:sz w:val="24"/>
          <w:szCs w:val="24"/>
          <w:lang w:eastAsia="ja-JP"/>
        </w:rPr>
        <w:t xml:space="preserve"> policies and international cooperation are needed to manage cross-border flows and make recycling cheaper (Yang, 2024).</w:t>
      </w:r>
    </w:p>
    <w:p w14:paraId="0175FD6B"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lastRenderedPageBreak/>
        <w:t xml:space="preserve"> </w:t>
      </w:r>
      <w:bookmarkStart w:id="15" w:name="_Toc224058772"/>
      <w:r w:rsidRPr="00083A4F">
        <w:rPr>
          <w:rFonts w:ascii="Arial" w:eastAsia="Arial" w:hAnsi="Arial" w:cs="Arial"/>
          <w:color w:val="4F81BD"/>
          <w:sz w:val="24"/>
          <w:szCs w:val="24"/>
          <w:lang w:eastAsia="ja-JP"/>
        </w:rPr>
        <w:t>2.4 Corporate Practices in Refurbishment and Recycling</w:t>
      </w:r>
      <w:bookmarkEnd w:id="15"/>
    </w:p>
    <w:p w14:paraId="26879CCF"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Several prominent IT and tech organizations have circular programs for product design and end-of-life management. Dell's Asset Recovery Services picks up clients' old laptops, desktops, and servers and repairs or recycles them. Dell has gathered almost a billion pounds in used gadgets since 2008 (Weetman, 2016). Recycling, design for recyclability, and consumer </w:t>
      </w:r>
      <w:proofErr w:type="gramStart"/>
      <w:r w:rsidRPr="00083A4F">
        <w:rPr>
          <w:rFonts w:ascii="Arial" w:eastAsia="Arial" w:hAnsi="Arial" w:cs="Arial"/>
          <w:sz w:val="24"/>
          <w:szCs w:val="24"/>
          <w:lang w:eastAsia="ja-JP"/>
        </w:rPr>
        <w:t>take-back</w:t>
      </w:r>
      <w:proofErr w:type="gramEnd"/>
      <w:r w:rsidRPr="00083A4F">
        <w:rPr>
          <w:rFonts w:ascii="Arial" w:eastAsia="Arial" w:hAnsi="Arial" w:cs="Arial"/>
          <w:sz w:val="24"/>
          <w:szCs w:val="24"/>
          <w:lang w:eastAsia="ja-JP"/>
        </w:rPr>
        <w:t xml:space="preserve"> are the company's circular </w:t>
      </w:r>
      <w:proofErr w:type="gramStart"/>
      <w:r w:rsidRPr="00083A4F">
        <w:rPr>
          <w:rFonts w:ascii="Arial" w:eastAsia="Arial" w:hAnsi="Arial" w:cs="Arial"/>
          <w:sz w:val="24"/>
          <w:szCs w:val="24"/>
          <w:lang w:eastAsia="ja-JP"/>
        </w:rPr>
        <w:t>economy</w:t>
      </w:r>
      <w:proofErr w:type="gramEnd"/>
      <w:r w:rsidRPr="00083A4F">
        <w:rPr>
          <w:rFonts w:ascii="Arial" w:eastAsia="Arial" w:hAnsi="Arial" w:cs="Arial"/>
          <w:sz w:val="24"/>
          <w:szCs w:val="24"/>
          <w:lang w:eastAsia="ja-JP"/>
        </w:rPr>
        <w:t xml:space="preserve"> priorities.</w:t>
      </w:r>
    </w:p>
    <w:p w14:paraId="3B9767C0"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HP's Planet Partners initiative recycles outdated gear and supplies for free. The company creates easy-to-disassemble and reuse hardware. HP recycles hundreds of millions of cartridges and hardware items annually to manufacture new products. Microsoft's Circular Centers refurbishes corporate clients' and cloud infrastructure servers and devices. Microsoft recycled 100% of their computers and parts in 2024, reusing over a million parts and increasing value recovery by 30% (Yang, 2024). The company is expanding these facilities in the US, Ireland, and Singapore, proving circular supply chain techniques can grow. Microsoft and the Circular Drive Initiative promote safe data erasure and storage drive reuse. The effort found that 87% of drives could be repaired, however only 62 million of 2020's 628 million drives were reused.</w:t>
      </w:r>
    </w:p>
    <w:p w14:paraId="3A73F8B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A modest Dutch startup named Fairphone demonstrates the benefits of flexible design. It makes smartphones with interchangeable modules. Thus, users can repair or upgrade portions of the phone without discarding it. Flexible design has been proved to extend product life and make repairs easier (NICF, 2025). In the same way, framework computers let users swap CPUs, memory, and ports, breaking the mold of sealed systems.</w:t>
      </w:r>
    </w:p>
    <w:p w14:paraId="0E19836A"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Apple's Daisy robots can disassemble 200 iPhones every hour and find parts that regular recyclers can't. The robot gets aluminum, precious metals, and rare earth elements from discarded devices on secondary markets. Daisy is recycled by robots as part of Apple's closed-loop manufacturing concept. Critics argue that robotic recycling should be combined with repairable product design and right-to-repair regulations. Cisco's Circular Economy Supplier Engagement initiative helps </w:t>
      </w:r>
      <w:r w:rsidRPr="00083A4F">
        <w:rPr>
          <w:rFonts w:ascii="Arial" w:eastAsia="Arial" w:hAnsi="Arial" w:cs="Arial"/>
          <w:sz w:val="24"/>
          <w:szCs w:val="24"/>
          <w:lang w:eastAsia="ja-JP"/>
        </w:rPr>
        <w:lastRenderedPageBreak/>
        <w:t xml:space="preserve">suppliers incorporate circular ideas into product design, packaging, and production (Zhang, 2023). Lenovo refurbishes returned laptops, cleans them, and resells them through </w:t>
      </w:r>
      <w:proofErr w:type="spellStart"/>
      <w:r w:rsidRPr="00083A4F">
        <w:rPr>
          <w:rFonts w:ascii="Arial" w:eastAsia="Arial" w:hAnsi="Arial" w:cs="Arial"/>
          <w:sz w:val="24"/>
          <w:szCs w:val="24"/>
          <w:lang w:eastAsia="ja-JP"/>
        </w:rPr>
        <w:t>authoriThese</w:t>
      </w:r>
      <w:proofErr w:type="spellEnd"/>
      <w:r w:rsidRPr="00083A4F">
        <w:rPr>
          <w:rFonts w:ascii="Arial" w:eastAsia="Arial" w:hAnsi="Arial" w:cs="Arial"/>
          <w:sz w:val="24"/>
          <w:szCs w:val="24"/>
          <w:lang w:eastAsia="ja-JP"/>
        </w:rPr>
        <w:t xml:space="preserve"> projects demonstrate that the industry is moving toward circular supply chains, even though they are minor compared to total production (RSC Publishing, 2019).al production.</w:t>
      </w:r>
    </w:p>
    <w:p w14:paraId="03D32173" w14:textId="77777777" w:rsidR="0009520D" w:rsidRPr="00083A4F" w:rsidRDefault="0009520D" w:rsidP="0009520D">
      <w:pPr>
        <w:spacing w:line="360" w:lineRule="auto"/>
        <w:jc w:val="both"/>
        <w:rPr>
          <w:rFonts w:ascii="Arial" w:eastAsia="Arial" w:hAnsi="Arial" w:cs="Arial"/>
          <w:sz w:val="24"/>
          <w:szCs w:val="24"/>
          <w:lang w:eastAsia="ja-JP"/>
        </w:rPr>
      </w:pPr>
      <w:r w:rsidRPr="00083A4F">
        <w:rPr>
          <w:rFonts w:ascii="Arial" w:eastAsia="Arial" w:hAnsi="Arial" w:cs="Arial"/>
          <w:sz w:val="24"/>
          <w:szCs w:val="24"/>
          <w:lang w:eastAsia="ja-JP"/>
        </w:rPr>
        <w:t xml:space="preserve"> </w:t>
      </w:r>
    </w:p>
    <w:p w14:paraId="5A6B38AC" w14:textId="77777777" w:rsidR="00617F83" w:rsidRPr="00083A4F" w:rsidRDefault="00617F83" w:rsidP="0009520D">
      <w:pPr>
        <w:spacing w:line="360" w:lineRule="auto"/>
        <w:jc w:val="both"/>
        <w:rPr>
          <w:rFonts w:ascii="Arial" w:eastAsia="Arial" w:hAnsi="Arial" w:cs="Arial"/>
          <w:sz w:val="24"/>
          <w:szCs w:val="24"/>
          <w:lang w:eastAsia="ja-JP"/>
        </w:rPr>
      </w:pPr>
    </w:p>
    <w:p w14:paraId="244B4419" w14:textId="77777777" w:rsidR="00617F83" w:rsidRPr="00083A4F" w:rsidRDefault="00617F83" w:rsidP="0009520D">
      <w:pPr>
        <w:spacing w:line="360" w:lineRule="auto"/>
        <w:jc w:val="both"/>
        <w:rPr>
          <w:rFonts w:ascii="Arial" w:eastAsia="Times New Roman" w:hAnsi="Arial" w:cs="Arial"/>
          <w:sz w:val="24"/>
          <w:szCs w:val="24"/>
          <w:lang w:val="en-GB" w:eastAsia="ja-JP"/>
        </w:rPr>
      </w:pPr>
    </w:p>
    <w:p w14:paraId="55B6E522"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7EC064D7" wp14:editId="35E97E86">
            <wp:extent cx="5495925" cy="3371850"/>
            <wp:effectExtent l="0" t="0" r="0" b="0"/>
            <wp:docPr id="1623464289" name="drawing" title="A diagram of a supply 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64289" name="Picture 1623464289"/>
                    <pic:cNvPicPr/>
                  </pic:nvPicPr>
                  <pic:blipFill>
                    <a:blip r:embed="rId11">
                      <a:extLst>
                        <a:ext uri="{28A0092B-C50C-407E-A947-70E740481C1C}">
                          <a14:useLocalDpi xmlns:a14="http://schemas.microsoft.com/office/drawing/2010/main"/>
                        </a:ext>
                      </a:extLst>
                    </a:blip>
                    <a:stretch>
                      <a:fillRect/>
                    </a:stretch>
                  </pic:blipFill>
                  <pic:spPr>
                    <a:xfrm>
                      <a:off x="0" y="0"/>
                      <a:ext cx="5495925" cy="3371850"/>
                    </a:xfrm>
                    <a:prstGeom prst="rect">
                      <a:avLst/>
                    </a:prstGeom>
                  </pic:spPr>
                </pic:pic>
              </a:graphicData>
            </a:graphic>
          </wp:inline>
        </w:drawing>
      </w:r>
    </w:p>
    <w:p w14:paraId="64813792"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 </w:t>
      </w:r>
    </w:p>
    <w:p w14:paraId="4C3DBD4C" w14:textId="77777777" w:rsidR="0009520D" w:rsidRPr="00083A4F" w:rsidRDefault="0009520D" w:rsidP="0009520D">
      <w:pPr>
        <w:spacing w:line="360" w:lineRule="auto"/>
        <w:jc w:val="both"/>
        <w:rPr>
          <w:rFonts w:ascii="Arial" w:eastAsia="Arial" w:hAnsi="Arial" w:cs="Arial"/>
          <w:sz w:val="24"/>
          <w:szCs w:val="24"/>
          <w:lang w:eastAsia="ja-JP"/>
        </w:rPr>
      </w:pPr>
      <w:r w:rsidRPr="00083A4F">
        <w:rPr>
          <w:rFonts w:ascii="Arial" w:eastAsia="Arial" w:hAnsi="Arial" w:cs="Arial"/>
          <w:sz w:val="24"/>
          <w:szCs w:val="24"/>
          <w:lang w:eastAsia="ja-JP"/>
        </w:rPr>
        <w:t>Figure 3: Conceptual circular supply chain for IT hardware.</w:t>
      </w:r>
    </w:p>
    <w:p w14:paraId="65A7908B" w14:textId="77777777" w:rsidR="00617F83" w:rsidRPr="00083A4F" w:rsidRDefault="00617F83" w:rsidP="0009520D">
      <w:pPr>
        <w:spacing w:line="360" w:lineRule="auto"/>
        <w:jc w:val="both"/>
        <w:rPr>
          <w:rFonts w:ascii="Arial" w:eastAsia="Arial" w:hAnsi="Arial" w:cs="Arial"/>
          <w:sz w:val="24"/>
          <w:szCs w:val="24"/>
          <w:lang w:eastAsia="ja-JP"/>
        </w:rPr>
      </w:pPr>
    </w:p>
    <w:p w14:paraId="3B471A9C" w14:textId="77777777" w:rsidR="00617F83" w:rsidRPr="00083A4F" w:rsidRDefault="00617F83" w:rsidP="0009520D">
      <w:pPr>
        <w:spacing w:line="360" w:lineRule="auto"/>
        <w:jc w:val="both"/>
        <w:rPr>
          <w:rFonts w:ascii="Arial" w:eastAsia="Arial" w:hAnsi="Arial" w:cs="Arial"/>
          <w:sz w:val="24"/>
          <w:szCs w:val="24"/>
          <w:lang w:eastAsia="ja-JP"/>
        </w:rPr>
      </w:pPr>
    </w:p>
    <w:p w14:paraId="4607D97A" w14:textId="77777777" w:rsidR="00617F83" w:rsidRPr="00083A4F" w:rsidRDefault="00617F83" w:rsidP="0009520D">
      <w:pPr>
        <w:spacing w:line="360" w:lineRule="auto"/>
        <w:jc w:val="both"/>
        <w:rPr>
          <w:rFonts w:ascii="Arial" w:eastAsia="Arial" w:hAnsi="Arial" w:cs="Arial"/>
          <w:sz w:val="24"/>
          <w:szCs w:val="24"/>
          <w:lang w:eastAsia="ja-JP"/>
        </w:rPr>
      </w:pPr>
    </w:p>
    <w:p w14:paraId="45873224" w14:textId="77777777" w:rsidR="00617F83" w:rsidRPr="00083A4F" w:rsidRDefault="00617F83" w:rsidP="0009520D">
      <w:pPr>
        <w:spacing w:line="360" w:lineRule="auto"/>
        <w:jc w:val="both"/>
        <w:rPr>
          <w:rFonts w:ascii="Arial" w:eastAsia="Times New Roman" w:hAnsi="Arial" w:cs="Arial"/>
          <w:sz w:val="24"/>
          <w:szCs w:val="24"/>
          <w:lang w:val="en-GB" w:eastAsia="ja-JP"/>
        </w:rPr>
      </w:pPr>
    </w:p>
    <w:p w14:paraId="7793DD9B"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t xml:space="preserve"> </w:t>
      </w:r>
      <w:bookmarkStart w:id="16" w:name="_Toc224058773"/>
      <w:r w:rsidRPr="00083A4F">
        <w:rPr>
          <w:rFonts w:ascii="Arial" w:eastAsia="Arial" w:hAnsi="Arial" w:cs="Arial"/>
          <w:color w:val="4F81BD"/>
          <w:sz w:val="24"/>
          <w:szCs w:val="24"/>
          <w:lang w:eastAsia="ja-JP"/>
        </w:rPr>
        <w:t>2.5 Barriers and Enablers to Circularity</w:t>
      </w:r>
      <w:bookmarkEnd w:id="16"/>
    </w:p>
    <w:p w14:paraId="7EA96AB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Circular economy is growing more popular, but IT hardware supply lines face various obstacles. Many gadgets can't be repaired or disassembled. Parts are bonded or soldered, making battery changes and processor upgrades difficult. Spare parts and maintenance instructions are few, and the industry still builds things to break down rapidly (NICF, 2025). Second, customers and businesses may consider repaired goods </w:t>
      </w:r>
      <w:proofErr w:type="gramStart"/>
      <w:r w:rsidRPr="00083A4F">
        <w:rPr>
          <w:rFonts w:ascii="Arial" w:eastAsia="Arial" w:hAnsi="Arial" w:cs="Arial"/>
          <w:sz w:val="24"/>
          <w:szCs w:val="24"/>
          <w:lang w:eastAsia="ja-JP"/>
        </w:rPr>
        <w:t>aren't</w:t>
      </w:r>
      <w:proofErr w:type="gramEnd"/>
      <w:r w:rsidRPr="00083A4F">
        <w:rPr>
          <w:rFonts w:ascii="Arial" w:eastAsia="Arial" w:hAnsi="Arial" w:cs="Arial"/>
          <w:sz w:val="24"/>
          <w:szCs w:val="24"/>
          <w:lang w:eastAsia="ja-JP"/>
        </w:rPr>
        <w:t xml:space="preserve"> as good or trustworthy, making them less popular and </w:t>
      </w:r>
      <w:proofErr w:type="gramStart"/>
      <w:r w:rsidRPr="00083A4F">
        <w:rPr>
          <w:rFonts w:ascii="Arial" w:eastAsia="Arial" w:hAnsi="Arial" w:cs="Arial"/>
          <w:sz w:val="24"/>
          <w:szCs w:val="24"/>
          <w:lang w:eastAsia="ja-JP"/>
        </w:rPr>
        <w:t>price-sensitive</w:t>
      </w:r>
      <w:proofErr w:type="gramEnd"/>
      <w:r w:rsidRPr="00083A4F">
        <w:rPr>
          <w:rFonts w:ascii="Arial" w:eastAsia="Arial" w:hAnsi="Arial" w:cs="Arial"/>
          <w:sz w:val="24"/>
          <w:szCs w:val="24"/>
          <w:lang w:eastAsia="ja-JP"/>
        </w:rPr>
        <w:t>. Third, companies fear data breaches and don't return used devices. For this reason, many delete files that can be securely wiped and reused.</w:t>
      </w:r>
    </w:p>
    <w:p w14:paraId="446F9512"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Logistics is difficult while setting up reverse supply lines. Coordination, movement, and storage of gadgets for remote users can be costly (Weetman, 2016). Recovery rates are low since many return schemes require participation. Companies have little </w:t>
      </w:r>
      <w:proofErr w:type="gramStart"/>
      <w:r w:rsidRPr="00083A4F">
        <w:rPr>
          <w:rFonts w:ascii="Arial" w:eastAsia="Arial" w:hAnsi="Arial" w:cs="Arial"/>
          <w:sz w:val="24"/>
          <w:szCs w:val="24"/>
          <w:lang w:eastAsia="ja-JP"/>
        </w:rPr>
        <w:t>motive</w:t>
      </w:r>
      <w:proofErr w:type="gramEnd"/>
      <w:r w:rsidRPr="00083A4F">
        <w:rPr>
          <w:rFonts w:ascii="Arial" w:eastAsia="Arial" w:hAnsi="Arial" w:cs="Arial"/>
          <w:sz w:val="24"/>
          <w:szCs w:val="24"/>
          <w:lang w:eastAsia="ja-JP"/>
        </w:rPr>
        <w:t xml:space="preserve"> to invest in take-back systems in countries without EPR initiatives. The most advanced recycling plants are concentrated in a few places (</w:t>
      </w:r>
      <w:proofErr w:type="spellStart"/>
      <w:r w:rsidRPr="00083A4F">
        <w:rPr>
          <w:rFonts w:ascii="Arial" w:eastAsia="Arial" w:hAnsi="Arial" w:cs="Arial"/>
          <w:sz w:val="24"/>
          <w:szCs w:val="24"/>
          <w:lang w:eastAsia="ja-JP"/>
        </w:rPr>
        <w:t>Wisetek</w:t>
      </w:r>
      <w:proofErr w:type="spellEnd"/>
      <w:r w:rsidRPr="00083A4F">
        <w:rPr>
          <w:rFonts w:ascii="Arial" w:eastAsia="Arial" w:hAnsi="Arial" w:cs="Arial"/>
          <w:sz w:val="24"/>
          <w:szCs w:val="24"/>
          <w:lang w:eastAsia="ja-JP"/>
        </w:rPr>
        <w:t xml:space="preserve">, 2021). Informal recycling companies sometimes appear in low-income </w:t>
      </w:r>
      <w:proofErr w:type="gramStart"/>
      <w:r w:rsidRPr="00083A4F">
        <w:rPr>
          <w:rFonts w:ascii="Arial" w:eastAsia="Arial" w:hAnsi="Arial" w:cs="Arial"/>
          <w:sz w:val="24"/>
          <w:szCs w:val="24"/>
          <w:lang w:eastAsia="ja-JP"/>
        </w:rPr>
        <w:t>nations, but</w:t>
      </w:r>
      <w:proofErr w:type="gramEnd"/>
      <w:r w:rsidRPr="00083A4F">
        <w:rPr>
          <w:rFonts w:ascii="Arial" w:eastAsia="Arial" w:hAnsi="Arial" w:cs="Arial"/>
          <w:sz w:val="24"/>
          <w:szCs w:val="24"/>
          <w:lang w:eastAsia="ja-JP"/>
        </w:rPr>
        <w:t xml:space="preserve"> often lack proper equipment and worker safety.</w:t>
      </w:r>
    </w:p>
    <w:p w14:paraId="07B69C00"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Also </w:t>
      </w:r>
      <w:proofErr w:type="gramStart"/>
      <w:r w:rsidRPr="00083A4F">
        <w:rPr>
          <w:rFonts w:ascii="Arial" w:eastAsia="Arial" w:hAnsi="Arial" w:cs="Arial"/>
          <w:sz w:val="24"/>
          <w:szCs w:val="24"/>
          <w:lang w:eastAsia="ja-JP"/>
        </w:rPr>
        <w:t>problematic</w:t>
      </w:r>
      <w:proofErr w:type="gramEnd"/>
      <w:r w:rsidRPr="00083A4F">
        <w:rPr>
          <w:rFonts w:ascii="Arial" w:eastAsia="Arial" w:hAnsi="Arial" w:cs="Arial"/>
          <w:sz w:val="24"/>
          <w:szCs w:val="24"/>
          <w:lang w:eastAsia="ja-JP"/>
        </w:rPr>
        <w:t xml:space="preserve"> are business incentives. </w:t>
      </w:r>
      <w:proofErr w:type="gramStart"/>
      <w:r w:rsidRPr="00083A4F">
        <w:rPr>
          <w:rFonts w:ascii="Arial" w:eastAsia="Arial" w:hAnsi="Arial" w:cs="Arial"/>
          <w:sz w:val="24"/>
          <w:szCs w:val="24"/>
          <w:lang w:eastAsia="ja-JP"/>
        </w:rPr>
        <w:t>Encouragements,</w:t>
      </w:r>
      <w:proofErr w:type="gramEnd"/>
      <w:r w:rsidRPr="00083A4F">
        <w:rPr>
          <w:rFonts w:ascii="Arial" w:eastAsia="Arial" w:hAnsi="Arial" w:cs="Arial"/>
          <w:sz w:val="24"/>
          <w:szCs w:val="24"/>
          <w:lang w:eastAsia="ja-JP"/>
        </w:rPr>
        <w:t xml:space="preserve"> externalized environmental costs, and economies of scale keep new materials cheaper than used ones in many regions (</w:t>
      </w:r>
      <w:proofErr w:type="spellStart"/>
      <w:r w:rsidRPr="00083A4F">
        <w:rPr>
          <w:rFonts w:ascii="Arial" w:eastAsia="Arial" w:hAnsi="Arial" w:cs="Arial"/>
          <w:sz w:val="24"/>
          <w:szCs w:val="24"/>
          <w:lang w:eastAsia="ja-JP"/>
        </w:rPr>
        <w:t>Brinsi</w:t>
      </w:r>
      <w:proofErr w:type="spellEnd"/>
      <w:r w:rsidRPr="00083A4F">
        <w:rPr>
          <w:rFonts w:ascii="Arial" w:eastAsia="Arial" w:hAnsi="Arial" w:cs="Arial"/>
          <w:sz w:val="24"/>
          <w:szCs w:val="24"/>
          <w:lang w:eastAsia="ja-JP"/>
        </w:rPr>
        <w:t>, 2024). Rapid technology upgrades hurt refurbishing because new devices offer large performance gains and users cease buying outdated ones. Used items are viewed differently worldwide. In Asia and Africa, old smartphones are popular, but business purchasers may not trust them (Espino Penilla, 2023). There is also the possibility of "greenwashing," when corporations promote limited recycling operations as circular solutions without fixing product manufacturing issues.</w:t>
      </w:r>
    </w:p>
    <w:p w14:paraId="038B51EB"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However, many elements promote circularity. Companies will give extra parts and simplify repairs due to regulatory demands like the EU's right-to-repair statute. </w:t>
      </w:r>
      <w:r w:rsidRPr="00083A4F">
        <w:rPr>
          <w:rFonts w:ascii="Arial" w:eastAsia="Arial" w:hAnsi="Arial" w:cs="Arial"/>
          <w:sz w:val="24"/>
          <w:szCs w:val="24"/>
          <w:lang w:eastAsia="ja-JP"/>
        </w:rPr>
        <w:lastRenderedPageBreak/>
        <w:t xml:space="preserve">Material healing is appealing due to economic issues like commodity prices. Social themes like environmental care and sustainability promises </w:t>
      </w:r>
      <w:proofErr w:type="gramStart"/>
      <w:r w:rsidRPr="00083A4F">
        <w:rPr>
          <w:rFonts w:ascii="Arial" w:eastAsia="Arial" w:hAnsi="Arial" w:cs="Arial"/>
          <w:sz w:val="24"/>
          <w:szCs w:val="24"/>
          <w:lang w:eastAsia="ja-JP"/>
        </w:rPr>
        <w:t>improve</w:t>
      </w:r>
      <w:proofErr w:type="gramEnd"/>
      <w:r w:rsidRPr="00083A4F">
        <w:rPr>
          <w:rFonts w:ascii="Arial" w:eastAsia="Arial" w:hAnsi="Arial" w:cs="Arial"/>
          <w:sz w:val="24"/>
          <w:szCs w:val="24"/>
          <w:lang w:eastAsia="ja-JP"/>
        </w:rPr>
        <w:t xml:space="preserve"> a company's brand value when it employs circle practices. Digital technologies like blockchain for tracking, machine learning for maintenance forecasts, and cloud platforms for product-as-a-service models simplify commodities flow control. Secure data erasure and industry rules can fix data security vulnerabilities and make refurbishing and selling safe. Leasing and pay-per-use contracts keep ownership with manufacturers, who benefit from durable, repairable products. Teaching and awareness campaigns can shift perceptions and boost used goods marketplaces. Finally, the used computer market is predicted to expand to USD billion by 2034 from USD billion in 2024 (</w:t>
      </w:r>
      <w:proofErr w:type="spellStart"/>
      <w:r w:rsidRPr="00083A4F">
        <w:rPr>
          <w:rFonts w:ascii="Arial" w:eastAsia="Arial" w:hAnsi="Arial" w:cs="Arial"/>
          <w:sz w:val="24"/>
          <w:szCs w:val="24"/>
          <w:lang w:eastAsia="ja-JP"/>
        </w:rPr>
        <w:t>Elgarahy</w:t>
      </w:r>
      <w:proofErr w:type="spellEnd"/>
      <w:r w:rsidRPr="00083A4F">
        <w:rPr>
          <w:rFonts w:ascii="Arial" w:eastAsia="Arial" w:hAnsi="Arial" w:cs="Arial"/>
          <w:sz w:val="24"/>
          <w:szCs w:val="24"/>
          <w:lang w:eastAsia="ja-JP"/>
        </w:rPr>
        <w:t>, 2024). This shows that circular IT products are getting more popular and profitable.</w:t>
      </w:r>
    </w:p>
    <w:p w14:paraId="12D25467" w14:textId="77777777" w:rsidR="0009520D" w:rsidRPr="00083A4F" w:rsidRDefault="0009520D" w:rsidP="0009520D">
      <w:pPr>
        <w:spacing w:line="360" w:lineRule="auto"/>
        <w:jc w:val="both"/>
        <w:rPr>
          <w:rFonts w:ascii="Arial" w:eastAsia="Arial"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59A79C3E" wp14:editId="41657679">
            <wp:extent cx="4385154" cy="3654295"/>
            <wp:effectExtent l="0" t="0" r="0" b="0"/>
            <wp:docPr id="1715145748" name="drawing" descr="A graph of a computer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45748" name="drawing" descr="A graph of a computer market&#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4385154" cy="3654295"/>
                    </a:xfrm>
                    <a:prstGeom prst="rect">
                      <a:avLst/>
                    </a:prstGeom>
                  </pic:spPr>
                </pic:pic>
              </a:graphicData>
            </a:graphic>
          </wp:inline>
        </w:drawing>
      </w:r>
    </w:p>
    <w:p w14:paraId="29FCB774"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Figure 4: Refurbished computers and laptops market growth (2024–2034).</w:t>
      </w:r>
    </w:p>
    <w:p w14:paraId="5F16B448"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lastRenderedPageBreak/>
        <w:t xml:space="preserve"> </w:t>
      </w:r>
      <w:bookmarkStart w:id="17" w:name="_Toc224058774"/>
      <w:r w:rsidRPr="00083A4F">
        <w:rPr>
          <w:rFonts w:ascii="Arial" w:eastAsia="Arial" w:hAnsi="Arial" w:cs="Arial"/>
          <w:color w:val="4F81BD"/>
          <w:sz w:val="24"/>
          <w:szCs w:val="24"/>
          <w:lang w:eastAsia="ja-JP"/>
        </w:rPr>
        <w:t>2.6 Synthesis and Critical Evaluation</w:t>
      </w:r>
      <w:bookmarkEnd w:id="17"/>
    </w:p>
    <w:p w14:paraId="050F1184"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Research on IT hardware supply chain circularity both hopeful and worrying. Circularity is about transforming systems to be less wasteful and more profitable, not only recycling (Material flow studies reveal how serious e-waste is and how crucial it is to close loops immediately (Sarker, 2026</w:t>
      </w:r>
      <w:proofErr w:type="gramStart"/>
      <w:r w:rsidRPr="00083A4F">
        <w:rPr>
          <w:rFonts w:ascii="Arial" w:eastAsia="Arial" w:hAnsi="Arial" w:cs="Arial"/>
          <w:sz w:val="24"/>
          <w:szCs w:val="24"/>
          <w:lang w:eastAsia="ja-JP"/>
        </w:rPr>
        <w:t>).lose</w:t>
      </w:r>
      <w:proofErr w:type="gramEnd"/>
      <w:r w:rsidRPr="00083A4F">
        <w:rPr>
          <w:rFonts w:ascii="Arial" w:eastAsia="Arial" w:hAnsi="Arial" w:cs="Arial"/>
          <w:sz w:val="24"/>
          <w:szCs w:val="24"/>
          <w:lang w:eastAsia="ja-JP"/>
        </w:rPr>
        <w:t xml:space="preserve"> loops immediately. In Europe and elsewhere, policies are shifting to make fixing problems easier and </w:t>
      </w:r>
      <w:proofErr w:type="gramStart"/>
      <w:r w:rsidRPr="00083A4F">
        <w:rPr>
          <w:rFonts w:ascii="Arial" w:eastAsia="Arial" w:hAnsi="Arial" w:cs="Arial"/>
          <w:sz w:val="24"/>
          <w:szCs w:val="24"/>
          <w:lang w:eastAsia="ja-JP"/>
        </w:rPr>
        <w:t>hold</w:t>
      </w:r>
      <w:proofErr w:type="gramEnd"/>
      <w:r w:rsidRPr="00083A4F">
        <w:rPr>
          <w:rFonts w:ascii="Arial" w:eastAsia="Arial" w:hAnsi="Arial" w:cs="Arial"/>
          <w:sz w:val="24"/>
          <w:szCs w:val="24"/>
          <w:lang w:eastAsia="ja-JP"/>
        </w:rPr>
        <w:t xml:space="preserve"> producers accountable. It indicates a legal shift toward circularity. Business case studies show that recycling and repair programs may boost recovery and decrease expenses (</w:t>
      </w:r>
      <w:proofErr w:type="spellStart"/>
      <w:r w:rsidRPr="00083A4F">
        <w:rPr>
          <w:rFonts w:ascii="Arial" w:eastAsia="Arial" w:hAnsi="Arial" w:cs="Arial"/>
          <w:sz w:val="24"/>
          <w:szCs w:val="24"/>
          <w:lang w:eastAsia="ja-JP"/>
        </w:rPr>
        <w:t>Brinsi</w:t>
      </w:r>
      <w:proofErr w:type="spellEnd"/>
      <w:r w:rsidRPr="00083A4F">
        <w:rPr>
          <w:rFonts w:ascii="Arial" w:eastAsia="Arial" w:hAnsi="Arial" w:cs="Arial"/>
          <w:sz w:val="24"/>
          <w:szCs w:val="24"/>
          <w:lang w:eastAsia="ja-JP"/>
        </w:rPr>
        <w:t>, 2024). However, promise and practice differ greatly.</w:t>
      </w:r>
    </w:p>
    <w:p w14:paraId="2E1FA2E3"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Critical examination shows that current circular techniques prioritize downstream recovery over upstream design. Many refurbishing operations involve equipment that can't be disassembled, which slows the process and reduces productivity (RSC Publishing, 2019). Circularity's benefits aren't fairly distributed across global supply chains. High-income countries with better recycling facilities obtain greater value from recycling, while low-income countries struggle with social and environmental issues from improper recycling. As for "rebound effects," if better recycling makes consumers feel less bad about their spending, they may buy more devices, negating any environmental gains. To maximize circular </w:t>
      </w:r>
      <w:proofErr w:type="gramStart"/>
      <w:r w:rsidRPr="00083A4F">
        <w:rPr>
          <w:rFonts w:ascii="Arial" w:eastAsia="Arial" w:hAnsi="Arial" w:cs="Arial"/>
          <w:sz w:val="24"/>
          <w:szCs w:val="24"/>
          <w:lang w:eastAsia="ja-JP"/>
        </w:rPr>
        <w:t>economy</w:t>
      </w:r>
      <w:proofErr w:type="gramEnd"/>
      <w:r w:rsidRPr="00083A4F">
        <w:rPr>
          <w:rFonts w:ascii="Arial" w:eastAsia="Arial" w:hAnsi="Arial" w:cs="Arial"/>
          <w:sz w:val="24"/>
          <w:szCs w:val="24"/>
          <w:lang w:eastAsia="ja-JP"/>
        </w:rPr>
        <w:t xml:space="preserve"> concepts, stakeholders must consider design, business strategies, consumer behavior, and regulatory tools.</w:t>
      </w:r>
    </w:p>
    <w:p w14:paraId="0EB89F3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The analysis demonstrates that a genuinely circular IT hardware supply chain requires systemic adjustments. Multiple stakeholders must collaborate on product design, business models, customer behavior, and regulatory frameworks (Xue, 2023). Modular architecture allows for repairs and refurbishments, but if customers don't return gadgets and firms don't engage in reverse transit, materials may seep out. Policies should encourage innovation and small manufacturers while ensuring producers fulfill their obligations. Future research should examine sociotechnical systems that influence behavior and how digital </w:t>
      </w:r>
      <w:proofErr w:type="gramStart"/>
      <w:r w:rsidRPr="00083A4F">
        <w:rPr>
          <w:rFonts w:ascii="Arial" w:eastAsia="Arial" w:hAnsi="Arial" w:cs="Arial"/>
          <w:sz w:val="24"/>
          <w:szCs w:val="24"/>
          <w:lang w:eastAsia="ja-JP"/>
        </w:rPr>
        <w:t>technology</w:t>
      </w:r>
      <w:proofErr w:type="gramEnd"/>
      <w:r w:rsidRPr="00083A4F">
        <w:rPr>
          <w:rFonts w:ascii="Arial" w:eastAsia="Arial" w:hAnsi="Arial" w:cs="Arial"/>
          <w:sz w:val="24"/>
          <w:szCs w:val="24"/>
          <w:lang w:eastAsia="ja-JP"/>
        </w:rPr>
        <w:t xml:space="preserve"> and circle business models interact (Standard circularity metrics must also consider social and economic outcomes in addition to material flow (Reuse Technology Group, </w:t>
      </w:r>
      <w:r w:rsidRPr="00083A4F">
        <w:rPr>
          <w:rFonts w:ascii="Arial" w:eastAsia="Arial" w:hAnsi="Arial" w:cs="Arial"/>
          <w:sz w:val="24"/>
          <w:szCs w:val="24"/>
          <w:lang w:eastAsia="ja-JP"/>
        </w:rPr>
        <w:lastRenderedPageBreak/>
        <w:t>2024</w:t>
      </w:r>
      <w:proofErr w:type="gramStart"/>
      <w:r w:rsidRPr="00083A4F">
        <w:rPr>
          <w:rFonts w:ascii="Arial" w:eastAsia="Arial" w:hAnsi="Arial" w:cs="Arial"/>
          <w:sz w:val="24"/>
          <w:szCs w:val="24"/>
          <w:lang w:eastAsia="ja-JP"/>
        </w:rPr>
        <w:t>).</w:t>
      </w:r>
      <w:proofErr w:type="spellStart"/>
      <w:r w:rsidRPr="00083A4F">
        <w:rPr>
          <w:rFonts w:ascii="Arial" w:eastAsia="Arial" w:hAnsi="Arial" w:cs="Arial"/>
          <w:sz w:val="24"/>
          <w:szCs w:val="24"/>
          <w:lang w:eastAsia="ja-JP"/>
        </w:rPr>
        <w:t>ition</w:t>
      </w:r>
      <w:proofErr w:type="spellEnd"/>
      <w:proofErr w:type="gramEnd"/>
      <w:r w:rsidRPr="00083A4F">
        <w:rPr>
          <w:rFonts w:ascii="Arial" w:eastAsia="Arial" w:hAnsi="Arial" w:cs="Arial"/>
          <w:sz w:val="24"/>
          <w:szCs w:val="24"/>
          <w:lang w:eastAsia="ja-JP"/>
        </w:rPr>
        <w:t xml:space="preserve"> to material flow. The next sections will explain how this study's approaches collect these varied perspectives and combine them to inform practice and policy.</w:t>
      </w:r>
    </w:p>
    <w:p w14:paraId="5BC06555"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bookmarkStart w:id="18" w:name="_Toc224058775"/>
      <w:proofErr w:type="gramStart"/>
      <w:r w:rsidRPr="00083A4F">
        <w:rPr>
          <w:rFonts w:ascii="Arial" w:eastAsia="Arial" w:hAnsi="Arial" w:cs="Arial"/>
          <w:color w:val="4F81BD"/>
          <w:sz w:val="24"/>
          <w:szCs w:val="24"/>
          <w:lang w:eastAsia="ja-JP"/>
        </w:rPr>
        <w:t>2.7  Chapter</w:t>
      </w:r>
      <w:proofErr w:type="gramEnd"/>
      <w:r w:rsidRPr="00083A4F">
        <w:rPr>
          <w:rFonts w:ascii="Arial" w:eastAsia="Arial" w:hAnsi="Arial" w:cs="Arial"/>
          <w:color w:val="4F81BD"/>
          <w:sz w:val="24"/>
          <w:szCs w:val="24"/>
          <w:lang w:eastAsia="ja-JP"/>
        </w:rPr>
        <w:t xml:space="preserve"> Summary</w:t>
      </w:r>
      <w:bookmarkEnd w:id="18"/>
    </w:p>
    <w:p w14:paraId="7EFC46BE"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This literature assessment examined IT hardware supply chain circular economy concepts, material flows, policy frameworks, business practices, and its ease and difficulty of use. Despite advancements, e-waste is still expanding and not recycled enough (Xue, 2023). By demanding durability and repairability, EU regulations like the ESPR and right-to-repair act may accelerate change. Corporations demonstrate that recycling and refurbishment are feasible and profitable. Design, organizational, and product perception issues persist. The assessment showed that producers must take more responsibility and global policies must be more similar. It also demonstrated the benefits of flexible and service-based company models and how technology and money can enable circularity. The next section discusses how the available research was carefully reviewed and combined.</w:t>
      </w:r>
    </w:p>
    <w:p w14:paraId="0F165D77" w14:textId="77777777" w:rsidR="0009520D" w:rsidRPr="00083A4F" w:rsidRDefault="0009520D" w:rsidP="00FA4CCC">
      <w:pPr>
        <w:spacing w:line="360" w:lineRule="auto"/>
        <w:jc w:val="both"/>
        <w:rPr>
          <w:rFonts w:ascii="Arial" w:hAnsi="Arial" w:cs="Arial"/>
        </w:rPr>
      </w:pPr>
    </w:p>
    <w:p w14:paraId="3C7C14DB" w14:textId="77777777" w:rsidR="0009520D" w:rsidRPr="00083A4F" w:rsidRDefault="0009520D" w:rsidP="00FA4CCC">
      <w:pPr>
        <w:spacing w:line="360" w:lineRule="auto"/>
        <w:jc w:val="both"/>
        <w:rPr>
          <w:rFonts w:ascii="Arial" w:hAnsi="Arial" w:cs="Arial"/>
        </w:rPr>
      </w:pPr>
    </w:p>
    <w:p w14:paraId="010BBEA7" w14:textId="77777777" w:rsidR="00971522" w:rsidRPr="00083A4F" w:rsidRDefault="00971522" w:rsidP="00FA4CCC">
      <w:pPr>
        <w:spacing w:line="360" w:lineRule="auto"/>
        <w:jc w:val="both"/>
        <w:rPr>
          <w:rFonts w:ascii="Arial" w:hAnsi="Arial" w:cs="Arial"/>
        </w:rPr>
      </w:pPr>
    </w:p>
    <w:p w14:paraId="7F71DB24" w14:textId="77777777" w:rsidR="00617F83" w:rsidRPr="00083A4F" w:rsidRDefault="00617F83" w:rsidP="00FA4CCC">
      <w:pPr>
        <w:spacing w:line="360" w:lineRule="auto"/>
        <w:jc w:val="both"/>
        <w:rPr>
          <w:rFonts w:ascii="Arial" w:hAnsi="Arial" w:cs="Arial"/>
        </w:rPr>
      </w:pPr>
    </w:p>
    <w:p w14:paraId="2E936E98" w14:textId="77777777" w:rsidR="00617F83" w:rsidRPr="00083A4F" w:rsidRDefault="00617F83" w:rsidP="00FA4CCC">
      <w:pPr>
        <w:spacing w:line="360" w:lineRule="auto"/>
        <w:jc w:val="both"/>
        <w:rPr>
          <w:rFonts w:ascii="Arial" w:hAnsi="Arial" w:cs="Arial"/>
        </w:rPr>
      </w:pPr>
    </w:p>
    <w:p w14:paraId="679CE5B4" w14:textId="77777777" w:rsidR="00617F83" w:rsidRPr="00083A4F" w:rsidRDefault="00617F83" w:rsidP="00FA4CCC">
      <w:pPr>
        <w:spacing w:line="360" w:lineRule="auto"/>
        <w:jc w:val="both"/>
        <w:rPr>
          <w:rFonts w:ascii="Arial" w:hAnsi="Arial" w:cs="Arial"/>
        </w:rPr>
      </w:pPr>
    </w:p>
    <w:p w14:paraId="716FD907" w14:textId="77777777" w:rsidR="00617F83" w:rsidRPr="00083A4F" w:rsidRDefault="00617F83" w:rsidP="00FA4CCC">
      <w:pPr>
        <w:spacing w:line="360" w:lineRule="auto"/>
        <w:jc w:val="both"/>
        <w:rPr>
          <w:rFonts w:ascii="Arial" w:hAnsi="Arial" w:cs="Arial"/>
        </w:rPr>
      </w:pPr>
    </w:p>
    <w:p w14:paraId="3CF2BE5C" w14:textId="77777777" w:rsidR="00617F83" w:rsidRPr="00083A4F" w:rsidRDefault="00617F83" w:rsidP="00FA4CCC">
      <w:pPr>
        <w:spacing w:line="360" w:lineRule="auto"/>
        <w:jc w:val="both"/>
        <w:rPr>
          <w:rFonts w:ascii="Arial" w:hAnsi="Arial" w:cs="Arial"/>
        </w:rPr>
      </w:pPr>
    </w:p>
    <w:p w14:paraId="13CC01D5" w14:textId="77777777" w:rsidR="00617F83" w:rsidRPr="00083A4F" w:rsidRDefault="00617F83" w:rsidP="00FA4CCC">
      <w:pPr>
        <w:spacing w:line="360" w:lineRule="auto"/>
        <w:jc w:val="both"/>
        <w:rPr>
          <w:rFonts w:ascii="Arial" w:hAnsi="Arial" w:cs="Arial"/>
        </w:rPr>
      </w:pPr>
    </w:p>
    <w:p w14:paraId="65B7DEC8" w14:textId="77777777" w:rsidR="00617F83" w:rsidRPr="00083A4F" w:rsidRDefault="00617F83" w:rsidP="00FA4CCC">
      <w:pPr>
        <w:spacing w:line="360" w:lineRule="auto"/>
        <w:jc w:val="both"/>
        <w:rPr>
          <w:rFonts w:ascii="Arial" w:hAnsi="Arial" w:cs="Arial"/>
        </w:rPr>
      </w:pPr>
    </w:p>
    <w:p w14:paraId="50CC5DC2" w14:textId="77777777" w:rsidR="00617F83" w:rsidRPr="00083A4F" w:rsidRDefault="00617F83" w:rsidP="00FA4CCC">
      <w:pPr>
        <w:spacing w:line="360" w:lineRule="auto"/>
        <w:jc w:val="both"/>
        <w:rPr>
          <w:rFonts w:ascii="Arial" w:hAnsi="Arial" w:cs="Arial"/>
        </w:rPr>
      </w:pPr>
    </w:p>
    <w:p w14:paraId="4A469B8A" w14:textId="77777777" w:rsidR="00617F83" w:rsidRPr="00083A4F" w:rsidRDefault="00617F83" w:rsidP="00FA4CCC">
      <w:pPr>
        <w:spacing w:line="360" w:lineRule="auto"/>
        <w:jc w:val="both"/>
        <w:rPr>
          <w:rFonts w:ascii="Arial" w:hAnsi="Arial" w:cs="Arial"/>
        </w:rPr>
      </w:pPr>
    </w:p>
    <w:p w14:paraId="5A5DB953" w14:textId="77777777" w:rsidR="00FA4CCC" w:rsidRPr="00083A4F" w:rsidRDefault="00FA4CCC" w:rsidP="00FA4CCC">
      <w:pPr>
        <w:pStyle w:val="Heading1"/>
        <w:spacing w:line="360" w:lineRule="auto"/>
        <w:jc w:val="both"/>
        <w:rPr>
          <w:rFonts w:ascii="Arial" w:hAnsi="Arial" w:cs="Arial"/>
        </w:rPr>
      </w:pPr>
      <w:bookmarkStart w:id="19" w:name="_Toc224058776"/>
      <w:r w:rsidRPr="00083A4F">
        <w:rPr>
          <w:rFonts w:ascii="Arial" w:hAnsi="Arial" w:cs="Arial"/>
        </w:rPr>
        <w:t>Chapter 3: Methodology</w:t>
      </w:r>
      <w:bookmarkEnd w:id="19"/>
    </w:p>
    <w:p w14:paraId="589B9B50" w14:textId="6FFBA849" w:rsidR="00FA4CCC" w:rsidRPr="00083A4F" w:rsidRDefault="00F35293" w:rsidP="00FA4CCC">
      <w:pPr>
        <w:pStyle w:val="Heading2"/>
        <w:spacing w:line="360" w:lineRule="auto"/>
        <w:jc w:val="both"/>
        <w:rPr>
          <w:rFonts w:ascii="Arial" w:hAnsi="Arial" w:cs="Arial"/>
          <w:b w:val="0"/>
        </w:rPr>
      </w:pPr>
      <w:bookmarkStart w:id="20" w:name="_Toc224058777"/>
      <w:proofErr w:type="gramStart"/>
      <w:r w:rsidRPr="00083A4F">
        <w:rPr>
          <w:rFonts w:ascii="Arial" w:hAnsi="Arial" w:cs="Arial"/>
          <w:b w:val="0"/>
        </w:rPr>
        <w:t xml:space="preserve">3.1 </w:t>
      </w:r>
      <w:r w:rsidR="00F41B8F" w:rsidRPr="00083A4F">
        <w:rPr>
          <w:rFonts w:ascii="Arial" w:hAnsi="Arial" w:cs="Arial"/>
          <w:b w:val="0"/>
        </w:rPr>
        <w:t xml:space="preserve"> Systematic</w:t>
      </w:r>
      <w:proofErr w:type="gramEnd"/>
      <w:r w:rsidR="00F41B8F" w:rsidRPr="00083A4F">
        <w:rPr>
          <w:rFonts w:ascii="Arial" w:hAnsi="Arial" w:cs="Arial"/>
          <w:b w:val="0"/>
        </w:rPr>
        <w:t xml:space="preserve"> Literature Review (SLR)</w:t>
      </w:r>
      <w:bookmarkEnd w:id="20"/>
    </w:p>
    <w:p w14:paraId="2124277F" w14:textId="77777777" w:rsidR="00F35293" w:rsidRPr="00EB2DCF" w:rsidRDefault="00F35293" w:rsidP="00F35293">
      <w:pPr>
        <w:rPr>
          <w:rFonts w:ascii="Arial" w:hAnsi="Arial" w:cs="Arial"/>
        </w:rPr>
      </w:pPr>
      <w:r w:rsidRPr="00EB2DCF">
        <w:rPr>
          <w:rFonts w:ascii="Arial" w:hAnsi="Arial" w:cs="Arial"/>
          <w:sz w:val="24"/>
        </w:rPr>
        <w:t xml:space="preserve">This chapter sets out the methodology used to address </w:t>
      </w:r>
      <w:proofErr w:type="gramStart"/>
      <w:r w:rsidRPr="00EB2DCF">
        <w:rPr>
          <w:rFonts w:ascii="Arial" w:hAnsi="Arial" w:cs="Arial"/>
          <w:sz w:val="24"/>
        </w:rPr>
        <w:t>the research</w:t>
      </w:r>
      <w:proofErr w:type="gramEnd"/>
      <w:r w:rsidRPr="00EB2DCF">
        <w:rPr>
          <w:rFonts w:ascii="Arial" w:hAnsi="Arial" w:cs="Arial"/>
          <w:sz w:val="24"/>
        </w:rPr>
        <w:t xml:space="preserve"> questions on circular economy (CE) practices in IT hardware supply chains, with a particular focus on device refurbishment and recycling. A Systematic Literature Review (SLR) was employed to ensure transparency, reproducibility, and breadth across the interdisciplinary domains relevant to CE—environmental science, engineering, operations/supply chains, policy, and consumer </w:t>
      </w:r>
      <w:proofErr w:type="spellStart"/>
      <w:r w:rsidRPr="00EB2DCF">
        <w:rPr>
          <w:rFonts w:ascii="Arial" w:hAnsi="Arial" w:cs="Arial"/>
          <w:sz w:val="24"/>
        </w:rPr>
        <w:t>behaviour</w:t>
      </w:r>
      <w:proofErr w:type="spellEnd"/>
      <w:r w:rsidRPr="00EB2DCF">
        <w:rPr>
          <w:rFonts w:ascii="Arial" w:hAnsi="Arial" w:cs="Arial"/>
          <w:sz w:val="24"/>
        </w:rPr>
        <w:t>. The review followed PRISMA logic across five stages: defining review questions and eligibility criteria; identifying records; screening titles and abstracts; assessing full</w:t>
      </w:r>
      <w:r w:rsidRPr="00EB2DCF">
        <w:rPr>
          <w:rFonts w:ascii="Cambria Math" w:hAnsi="Cambria Math" w:cs="Cambria Math"/>
          <w:sz w:val="24"/>
        </w:rPr>
        <w:t>‑</w:t>
      </w:r>
      <w:r w:rsidRPr="00EB2DCF">
        <w:rPr>
          <w:rFonts w:ascii="Arial" w:hAnsi="Arial" w:cs="Arial"/>
          <w:sz w:val="24"/>
        </w:rPr>
        <w:t>text eligibility; and extracting/</w:t>
      </w:r>
      <w:proofErr w:type="spellStart"/>
      <w:r w:rsidRPr="00EB2DCF">
        <w:rPr>
          <w:rFonts w:ascii="Arial" w:hAnsi="Arial" w:cs="Arial"/>
          <w:sz w:val="24"/>
        </w:rPr>
        <w:t>synthesising</w:t>
      </w:r>
      <w:proofErr w:type="spellEnd"/>
      <w:r w:rsidRPr="00EB2DCF">
        <w:rPr>
          <w:rFonts w:ascii="Arial" w:hAnsi="Arial" w:cs="Arial"/>
          <w:sz w:val="24"/>
        </w:rPr>
        <w:t xml:space="preserve"> data. This design aligns with the study’s aim to integrate robust evidence on e</w:t>
      </w:r>
      <w:r w:rsidRPr="00EB2DCF">
        <w:rPr>
          <w:rFonts w:ascii="Cambria Math" w:hAnsi="Cambria Math" w:cs="Cambria Math"/>
          <w:sz w:val="24"/>
        </w:rPr>
        <w:t>‑</w:t>
      </w:r>
      <w:r w:rsidRPr="00EB2DCF">
        <w:rPr>
          <w:rFonts w:ascii="Arial" w:hAnsi="Arial" w:cs="Arial"/>
          <w:sz w:val="24"/>
        </w:rPr>
        <w:t>waste trends, lifecycle hotspots, repair and reuse enablers, and the implications of emerging EU policy (ESPR, DPP, Right to Repair).</w:t>
      </w:r>
    </w:p>
    <w:p w14:paraId="29C24030" w14:textId="77777777" w:rsidR="00F35293" w:rsidRPr="00083A4F" w:rsidRDefault="00F35293" w:rsidP="00F35293">
      <w:pPr>
        <w:pStyle w:val="NormalWeb"/>
        <w:rPr>
          <w:rFonts w:ascii="Arial" w:hAnsi="Arial" w:cs="Arial"/>
        </w:rPr>
      </w:pPr>
      <w:r w:rsidRPr="00083A4F">
        <w:rPr>
          <w:rFonts w:ascii="Arial" w:hAnsi="Arial" w:cs="Arial"/>
          <w:noProof/>
        </w:rPr>
        <w:lastRenderedPageBreak/>
        <w:drawing>
          <wp:inline distT="0" distB="0" distL="0" distR="0" wp14:anchorId="1C25316E" wp14:editId="569AD599">
            <wp:extent cx="4434840" cy="6522720"/>
            <wp:effectExtent l="0" t="0" r="3810" b="0"/>
            <wp:docPr id="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 scree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34840" cy="6522720"/>
                    </a:xfrm>
                    <a:prstGeom prst="rect">
                      <a:avLst/>
                    </a:prstGeom>
                    <a:noFill/>
                    <a:ln>
                      <a:noFill/>
                    </a:ln>
                  </pic:spPr>
                </pic:pic>
              </a:graphicData>
            </a:graphic>
          </wp:inline>
        </w:drawing>
      </w:r>
    </w:p>
    <w:p w14:paraId="000E2DB2" w14:textId="165D5A96" w:rsidR="00F35293" w:rsidRPr="00083A4F" w:rsidRDefault="00AC60C2" w:rsidP="00F35293">
      <w:pPr>
        <w:pStyle w:val="NormalWeb"/>
        <w:rPr>
          <w:rFonts w:ascii="Arial" w:hAnsi="Arial" w:cs="Arial"/>
        </w:rPr>
      </w:pPr>
      <w:r w:rsidRPr="00083A4F">
        <w:rPr>
          <w:rFonts w:ascii="Arial" w:hAnsi="Arial" w:cs="Arial"/>
        </w:rPr>
        <w:t xml:space="preserve">    </w:t>
      </w:r>
      <w:r w:rsidR="00F35293" w:rsidRPr="00083A4F">
        <w:rPr>
          <w:rFonts w:ascii="Arial" w:hAnsi="Arial" w:cs="Arial"/>
        </w:rPr>
        <w:t xml:space="preserve">Figure </w:t>
      </w:r>
      <w:proofErr w:type="gramStart"/>
      <w:r w:rsidRPr="00083A4F">
        <w:rPr>
          <w:rFonts w:ascii="Arial" w:hAnsi="Arial" w:cs="Arial"/>
        </w:rPr>
        <w:t>5 :</w:t>
      </w:r>
      <w:proofErr w:type="gramEnd"/>
      <w:r w:rsidRPr="00083A4F">
        <w:rPr>
          <w:rFonts w:ascii="Arial" w:hAnsi="Arial" w:cs="Arial"/>
        </w:rPr>
        <w:t xml:space="preserve"> PRISMA Flow </w:t>
      </w:r>
    </w:p>
    <w:p w14:paraId="4947733D" w14:textId="77777777" w:rsidR="00933989" w:rsidRPr="00083A4F" w:rsidRDefault="00933989" w:rsidP="00F35293">
      <w:pPr>
        <w:pStyle w:val="NormalWeb"/>
        <w:rPr>
          <w:rFonts w:ascii="Arial" w:hAnsi="Arial" w:cs="Arial"/>
        </w:rPr>
      </w:pPr>
    </w:p>
    <w:p w14:paraId="4E9881D3" w14:textId="77777777" w:rsidR="00933989" w:rsidRPr="00083A4F" w:rsidRDefault="00933989" w:rsidP="00F35293">
      <w:pPr>
        <w:pStyle w:val="NormalWeb"/>
        <w:rPr>
          <w:rFonts w:ascii="Arial" w:hAnsi="Arial" w:cs="Arial"/>
        </w:rPr>
      </w:pPr>
    </w:p>
    <w:p w14:paraId="3709A27A"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21" w:name="_Hlk223880770"/>
      <w:bookmarkStart w:id="22" w:name="_Toc224058778"/>
      <w:r w:rsidRPr="00083A4F">
        <w:rPr>
          <w:rFonts w:ascii="Arial" w:eastAsia="MS Gothic" w:hAnsi="Arial" w:cs="Arial"/>
          <w:b/>
          <w:color w:val="156082"/>
          <w:sz w:val="26"/>
          <w:szCs w:val="26"/>
        </w:rPr>
        <w:lastRenderedPageBreak/>
        <w:t>3.2 Search Strategy</w:t>
      </w:r>
      <w:bookmarkEnd w:id="21"/>
      <w:bookmarkEnd w:id="22"/>
    </w:p>
    <w:p w14:paraId="07AAFF63" w14:textId="335BC47D"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Keyword searches and backward/forward snowballing were used. Keyword searches combined circular economy, IT hardware, and supply chain management terms using Boolean operators (e (Zarei et al., 2025</w:t>
      </w:r>
      <w:r w:rsidR="00C12B5C" w:rsidRPr="00083A4F">
        <w:rPr>
          <w:rFonts w:ascii="Arial" w:eastAsia="MS Mincho" w:hAnsi="Arial" w:cs="Arial"/>
        </w:rPr>
        <w:t>). g.</w:t>
      </w:r>
      <w:r w:rsidRPr="00083A4F">
        <w:rPr>
          <w:rFonts w:ascii="Arial" w:eastAsia="MS Mincho" w:hAnsi="Arial" w:cs="Arial"/>
        </w:rPr>
        <w:t xml:space="preserve"> “circular economy”, “</w:t>
      </w:r>
      <w:r w:rsidR="00C12B5C" w:rsidRPr="00083A4F">
        <w:rPr>
          <w:rFonts w:ascii="Arial" w:eastAsia="MS Mincho" w:hAnsi="Arial" w:cs="Arial"/>
        </w:rPr>
        <w:t>closed loop</w:t>
      </w:r>
      <w:r w:rsidRPr="00083A4F">
        <w:rPr>
          <w:rFonts w:ascii="Arial" w:eastAsia="MS Mincho" w:hAnsi="Arial" w:cs="Arial"/>
        </w:rPr>
        <w:t xml:space="preserve">”, “repair”, “refurbishment”), including electronics, computers, laptops, smartphones, and reverse logistics. </w:t>
      </w:r>
      <w:proofErr w:type="gramStart"/>
      <w:r w:rsidRPr="00083A4F">
        <w:rPr>
          <w:rFonts w:ascii="Arial" w:eastAsia="MS Mincho" w:hAnsi="Arial" w:cs="Arial"/>
        </w:rPr>
        <w:t>Web</w:t>
      </w:r>
      <w:proofErr w:type="gramEnd"/>
      <w:r w:rsidRPr="00083A4F">
        <w:rPr>
          <w:rFonts w:ascii="Arial" w:eastAsia="MS Mincho" w:hAnsi="Arial" w:cs="Arial"/>
        </w:rPr>
        <w:t xml:space="preserve"> of Science, Scopus, IEEE Xplore, ScienceDirect, SpringerLink, and Google Scholar were searched. </w:t>
      </w:r>
      <w:proofErr w:type="spellStart"/>
      <w:r w:rsidRPr="00083A4F">
        <w:rPr>
          <w:rFonts w:ascii="Arial" w:eastAsia="MS Mincho" w:hAnsi="Arial" w:cs="Arial"/>
        </w:rPr>
        <w:t>ArXiv</w:t>
      </w:r>
      <w:proofErr w:type="spellEnd"/>
      <w:r w:rsidRPr="00083A4F">
        <w:rPr>
          <w:rFonts w:ascii="Arial" w:eastAsia="MS Mincho" w:hAnsi="Arial" w:cs="Arial"/>
        </w:rPr>
        <w:t xml:space="preserve"> and SSRN were added to capture recent research. Forward snowballing employed citation databases to uncover articles that cited the selected papers, while backward snowballing reviewed relevant article reference lists to find more studies.</w:t>
      </w:r>
    </w:p>
    <w:p w14:paraId="46141D01"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Grey literature searches for reports from international organizations (e.g., UNU, ITU), NGOs (e.g., Ellen MacArthur Foundation, Basel Action Network), industry associations (e.g., Circular Electronics Partnership, Global Electronics Council), and corporate Official government websites provided policy and legal texts. Corporate and legislative pronouncements were watched in news sources and press releases. The search was not confined to a specific region for cross-cultural comparison (Nashid, 2024). The search was undertaken from September 2025 to February 2026 to include the latest articles.</w:t>
      </w:r>
    </w:p>
    <w:p w14:paraId="0CA9975E"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t xml:space="preserve"> </w:t>
      </w:r>
      <w:bookmarkStart w:id="23" w:name="_Hlk223880865"/>
      <w:bookmarkStart w:id="24" w:name="_Toc224058779"/>
      <w:r w:rsidRPr="00083A4F">
        <w:rPr>
          <w:rFonts w:ascii="Arial" w:eastAsia="MS Gothic" w:hAnsi="Arial" w:cs="Arial"/>
          <w:b/>
          <w:color w:val="156082"/>
          <w:sz w:val="26"/>
          <w:szCs w:val="26"/>
        </w:rPr>
        <w:t>3.3 Search Terms</w:t>
      </w:r>
      <w:bookmarkEnd w:id="23"/>
      <w:bookmarkEnd w:id="24"/>
    </w:p>
    <w:p w14:paraId="6120A91E" w14:textId="69837E5D"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Iterative search words evolved from preliminary results. The terms ‘circular economy’, ‘electronics’, and ‘recycling’ were merged with ‘modular design</w:t>
      </w:r>
      <w:r w:rsidR="00C12B5C" w:rsidRPr="00083A4F">
        <w:rPr>
          <w:rFonts w:ascii="Arial" w:eastAsia="MS Mincho" w:hAnsi="Arial" w:cs="Arial"/>
        </w:rPr>
        <w:t xml:space="preserve">’, </w:t>
      </w:r>
      <w:r w:rsidRPr="00083A4F">
        <w:rPr>
          <w:rFonts w:ascii="Arial" w:eastAsia="MS Mincho" w:hAnsi="Arial" w:cs="Arial"/>
        </w:rPr>
        <w:t xml:space="preserve">device-as-a-service’, ‘data </w:t>
      </w:r>
      <w:proofErr w:type="spellStart"/>
      <w:r w:rsidRPr="00083A4F">
        <w:rPr>
          <w:rFonts w:ascii="Arial" w:eastAsia="MS Mincho" w:hAnsi="Arial" w:cs="Arial"/>
        </w:rPr>
        <w:t>sanitisation</w:t>
      </w:r>
      <w:proofErr w:type="spellEnd"/>
      <w:r w:rsidRPr="00083A4F">
        <w:rPr>
          <w:rFonts w:ascii="Arial" w:eastAsia="MS Mincho" w:hAnsi="Arial" w:cs="Arial"/>
        </w:rPr>
        <w:t>’, ‘right to repair</w:t>
      </w:r>
      <w:r w:rsidR="00C12B5C" w:rsidRPr="00083A4F">
        <w:rPr>
          <w:rFonts w:ascii="Arial" w:eastAsia="MS Mincho" w:hAnsi="Arial" w:cs="Arial"/>
        </w:rPr>
        <w:t xml:space="preserve">’, </w:t>
      </w:r>
      <w:r w:rsidRPr="00083A4F">
        <w:rPr>
          <w:rFonts w:ascii="Arial" w:eastAsia="MS Mincho" w:hAnsi="Arial" w:cs="Arial"/>
        </w:rPr>
        <w:t xml:space="preserve">Fairphone’, ‘Daisy robot’, and ‘Circular Drive Initiative’ (Nashid, 2024). Synonyms, term variants, and spelling </w:t>
      </w:r>
      <w:r w:rsidR="00C12B5C" w:rsidRPr="00083A4F">
        <w:rPr>
          <w:rFonts w:ascii="Arial" w:eastAsia="MS Mincho" w:hAnsi="Arial" w:cs="Arial"/>
        </w:rPr>
        <w:t>variances (</w:t>
      </w:r>
      <w:r w:rsidRPr="00083A4F">
        <w:rPr>
          <w:rFonts w:ascii="Arial" w:eastAsia="MS Mincho" w:hAnsi="Arial" w:cs="Arial"/>
        </w:rPr>
        <w:t xml:space="preserve">refurbishment’ </w:t>
      </w:r>
      <w:r w:rsidR="00C12B5C" w:rsidRPr="00083A4F">
        <w:rPr>
          <w:rFonts w:ascii="Arial" w:eastAsia="MS Mincho" w:hAnsi="Arial" w:cs="Arial"/>
        </w:rPr>
        <w:t xml:space="preserve">vs. </w:t>
      </w:r>
      <w:r w:rsidRPr="00083A4F">
        <w:rPr>
          <w:rFonts w:ascii="Arial" w:eastAsia="MS Mincho" w:hAnsi="Arial" w:cs="Arial"/>
        </w:rPr>
        <w:t>refurbishing’) were tested. Synonyms boosted search sensitivity but yielded numerous irrelevant hits, which were screened.</w:t>
      </w:r>
    </w:p>
    <w:p w14:paraId="3D04D80A"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25" w:name="_Toc224058780"/>
      <w:proofErr w:type="gramStart"/>
      <w:r w:rsidRPr="00083A4F">
        <w:rPr>
          <w:rFonts w:ascii="Arial" w:eastAsia="MS Gothic" w:hAnsi="Arial" w:cs="Arial"/>
          <w:b/>
          <w:color w:val="156082"/>
          <w:sz w:val="26"/>
          <w:szCs w:val="26"/>
        </w:rPr>
        <w:t>3.4  Key</w:t>
      </w:r>
      <w:proofErr w:type="gramEnd"/>
      <w:r w:rsidRPr="00083A4F">
        <w:rPr>
          <w:rFonts w:ascii="Arial" w:eastAsia="MS Gothic" w:hAnsi="Arial" w:cs="Arial"/>
          <w:b/>
          <w:color w:val="156082"/>
          <w:sz w:val="26"/>
          <w:szCs w:val="26"/>
        </w:rPr>
        <w:t xml:space="preserve"> Words</w:t>
      </w:r>
      <w:bookmarkEnd w:id="25"/>
    </w:p>
    <w:p w14:paraId="7DE0BFEF"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Topics covered include circular economy, closed-loop supply chain, e-waste, electronics, IT hardware, refurbishment, repair, reuse, recycling, reverse logistics, modular design, right to repair, extended producer responsibility, product-service systems, supply chain management, and data sanitization (European Circular Economy Stakeholder Platform, 2023).</w:t>
      </w:r>
    </w:p>
    <w:p w14:paraId="32303EE4"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lastRenderedPageBreak/>
        <w:t xml:space="preserve"> </w:t>
      </w:r>
      <w:bookmarkStart w:id="26" w:name="_Toc224058781"/>
      <w:r w:rsidRPr="00083A4F">
        <w:rPr>
          <w:rFonts w:ascii="Arial" w:eastAsia="MS Gothic" w:hAnsi="Arial" w:cs="Arial"/>
          <w:b/>
          <w:color w:val="156082"/>
          <w:sz w:val="26"/>
          <w:szCs w:val="26"/>
        </w:rPr>
        <w:t>3.5 Databases</w:t>
      </w:r>
      <w:bookmarkEnd w:id="26"/>
    </w:p>
    <w:p w14:paraId="7FE98F75" w14:textId="52867484"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 xml:space="preserve">The selected databases encompass engineering, environmental, business, and social science research. Web of Science and Scopus </w:t>
      </w:r>
      <w:r w:rsidR="00C2657F" w:rsidRPr="00083A4F">
        <w:rPr>
          <w:rFonts w:ascii="Arial" w:eastAsia="MS Mincho" w:hAnsi="Arial" w:cs="Arial"/>
        </w:rPr>
        <w:t>includes</w:t>
      </w:r>
      <w:r w:rsidRPr="00083A4F">
        <w:rPr>
          <w:rFonts w:ascii="Arial" w:eastAsia="MS Mincho" w:hAnsi="Arial" w:cs="Arial"/>
        </w:rPr>
        <w:t xml:space="preserve"> journals from multiple fields. IEEE Xplore covers electrical engineering and computer science, including hardware design and manufacture. ScienceDirect has Elsevier environmental and materials sciences publications, whereas SpringerLink has sustainability and circular economy journals (Zion Market Research, 2025). Though less controlled, Google Scholar found grey literature and preprints. Additionally, legal databases include </w:t>
      </w:r>
      <w:proofErr w:type="spellStart"/>
      <w:r w:rsidRPr="00083A4F">
        <w:rPr>
          <w:rFonts w:ascii="Arial" w:eastAsia="MS Mincho" w:hAnsi="Arial" w:cs="Arial"/>
        </w:rPr>
        <w:t>Eur</w:t>
      </w:r>
      <w:proofErr w:type="spellEnd"/>
      <w:r w:rsidRPr="00083A4F">
        <w:rPr>
          <w:rFonts w:ascii="Arial" w:eastAsia="MS Mincho" w:hAnsi="Arial" w:cs="Arial"/>
        </w:rPr>
        <w:t>-Lex and. Policy documents were found on state legislative portals.</w:t>
      </w:r>
    </w:p>
    <w:p w14:paraId="3E318B84"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t xml:space="preserve"> </w:t>
      </w:r>
      <w:bookmarkStart w:id="27" w:name="_Toc224058782"/>
      <w:r w:rsidRPr="00083A4F">
        <w:rPr>
          <w:rFonts w:ascii="Arial" w:eastAsia="MS Gothic" w:hAnsi="Arial" w:cs="Arial"/>
          <w:b/>
          <w:color w:val="156082"/>
          <w:sz w:val="26"/>
          <w:szCs w:val="26"/>
        </w:rPr>
        <w:t>3.6 Inclusion/Exclusion Criteria</w:t>
      </w:r>
      <w:bookmarkEnd w:id="27"/>
    </w:p>
    <w:p w14:paraId="0DC2254B"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 xml:space="preserve">To choose relevant and credible studies, inclusion criteria were set. For researchers to understand studies, they </w:t>
      </w:r>
      <w:proofErr w:type="gramStart"/>
      <w:r w:rsidRPr="00083A4F">
        <w:rPr>
          <w:rFonts w:ascii="Arial" w:eastAsia="MS Mincho" w:hAnsi="Arial" w:cs="Arial"/>
        </w:rPr>
        <w:t>have to</w:t>
      </w:r>
      <w:proofErr w:type="gramEnd"/>
      <w:r w:rsidRPr="00083A4F">
        <w:rPr>
          <w:rFonts w:ascii="Arial" w:eastAsia="MS Mincho" w:hAnsi="Arial" w:cs="Arial"/>
        </w:rPr>
        <w:t xml:space="preserve"> be written in English (</w:t>
      </w:r>
      <w:proofErr w:type="spellStart"/>
      <w:r w:rsidRPr="00083A4F">
        <w:rPr>
          <w:rFonts w:ascii="Arial" w:eastAsia="MS Mincho" w:hAnsi="Arial" w:cs="Arial"/>
        </w:rPr>
        <w:t>Brinsi</w:t>
      </w:r>
      <w:proofErr w:type="spellEnd"/>
      <w:r w:rsidRPr="00083A4F">
        <w:rPr>
          <w:rFonts w:ascii="Arial" w:eastAsia="MS Mincho" w:hAnsi="Arial" w:cs="Arial"/>
        </w:rPr>
        <w:t xml:space="preserve"> et al., 2024). Circular </w:t>
      </w:r>
      <w:proofErr w:type="gramStart"/>
      <w:r w:rsidRPr="00083A4F">
        <w:rPr>
          <w:rFonts w:ascii="Arial" w:eastAsia="MS Mincho" w:hAnsi="Arial" w:cs="Arial"/>
        </w:rPr>
        <w:t>economy</w:t>
      </w:r>
      <w:proofErr w:type="gramEnd"/>
      <w:r w:rsidRPr="00083A4F">
        <w:rPr>
          <w:rFonts w:ascii="Arial" w:eastAsia="MS Mincho" w:hAnsi="Arial" w:cs="Arial"/>
        </w:rPr>
        <w:t xml:space="preserve"> techniques for IT hardware or related electrical and electronic devices were required. Quantitative, qualitative, and mixed empirical studies, systematic reviews, case studies, policy analyses, and technical reports were included. From 2014, the circular economy became a policy and corporate priority.</w:t>
      </w:r>
    </w:p>
    <w:p w14:paraId="6C1D55A8"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Studies beyond the scope were excluded. Materials science articles (e.g., nanomaterials, new semiconductors) were removed unless they addressed end-of-life management. Removed duplicate publications and conference abstracts without full articles (Sarker et al., 2026). Conceptual studies without IT hardware supply chain applications and opinion pieces without analysis were rejected. Since full texts were unavailable, records were eliminated since they could not be appraised.</w:t>
      </w:r>
    </w:p>
    <w:p w14:paraId="3C6BFCB3" w14:textId="77777777" w:rsidR="00933989" w:rsidRPr="00083A4F" w:rsidRDefault="00933989" w:rsidP="00933989">
      <w:pPr>
        <w:keepNext/>
        <w:keepLines/>
        <w:spacing w:before="200" w:after="0" w:line="360" w:lineRule="auto"/>
        <w:jc w:val="both"/>
        <w:outlineLvl w:val="2"/>
        <w:rPr>
          <w:rFonts w:ascii="Arial" w:eastAsia="MS Gothic" w:hAnsi="Arial" w:cs="Arial"/>
          <w:bCs/>
          <w:color w:val="156082"/>
        </w:rPr>
      </w:pPr>
      <w:r w:rsidRPr="00083A4F">
        <w:rPr>
          <w:rFonts w:ascii="Arial" w:eastAsia="MS Gothic" w:hAnsi="Arial" w:cs="Arial"/>
          <w:bCs/>
          <w:color w:val="4F81BD"/>
        </w:rPr>
        <w:t xml:space="preserve"> </w:t>
      </w:r>
      <w:bookmarkStart w:id="28" w:name="_Toc224058783"/>
      <w:r w:rsidRPr="00083A4F">
        <w:rPr>
          <w:rFonts w:ascii="Arial" w:eastAsia="MS Gothic" w:hAnsi="Arial" w:cs="Arial"/>
          <w:bCs/>
          <w:color w:val="156082"/>
        </w:rPr>
        <w:t>3.6.1 Inclusion Criteria</w:t>
      </w:r>
      <w:bookmarkEnd w:id="28"/>
    </w:p>
    <w:p w14:paraId="5E360E00" w14:textId="3A303018" w:rsidR="0039535C" w:rsidRPr="00083A4F" w:rsidRDefault="0039535C" w:rsidP="00814960">
      <w:pPr>
        <w:spacing w:after="0" w:line="300" w:lineRule="atLeast"/>
        <w:rPr>
          <w:rFonts w:ascii="Arial" w:eastAsia="Times New Roman" w:hAnsi="Arial" w:cs="Arial"/>
          <w:sz w:val="21"/>
          <w:szCs w:val="21"/>
          <w:lang w:val="en-GB" w:eastAsia="en-GB"/>
        </w:rPr>
      </w:pPr>
      <w:r w:rsidRPr="00083A4F">
        <w:rPr>
          <w:rFonts w:ascii="Arial" w:eastAsia="Times New Roman" w:hAnsi="Arial" w:cs="Arial"/>
          <w:sz w:val="21"/>
          <w:szCs w:val="21"/>
          <w:lang w:val="en-GB" w:eastAsia="en-GB"/>
        </w:rPr>
        <w:t xml:space="preserve">The inclusion criteria required that all selected studies were written in English and focused specifically on circular economy practices within IT hardware or electronic devices. Eligible publications included empirical research, case studies, systematic reviews, and policy analyses. Only sources published between </w:t>
      </w:r>
      <w:r w:rsidR="00C2657F" w:rsidRPr="00083A4F">
        <w:rPr>
          <w:rFonts w:ascii="Arial" w:eastAsia="Times New Roman" w:hAnsi="Arial" w:cs="Arial"/>
          <w:sz w:val="20"/>
          <w:szCs w:val="20"/>
          <w:lang w:val="en-GB" w:eastAsia="en-GB"/>
        </w:rPr>
        <w:t>2014,</w:t>
      </w:r>
      <w:r w:rsidRPr="00083A4F">
        <w:rPr>
          <w:rFonts w:ascii="Arial" w:eastAsia="Times New Roman" w:hAnsi="Arial" w:cs="Arial"/>
          <w:sz w:val="20"/>
          <w:szCs w:val="20"/>
          <w:lang w:val="en-GB" w:eastAsia="en-GB"/>
        </w:rPr>
        <w:t xml:space="preserve"> and February 2026 </w:t>
      </w:r>
      <w:r w:rsidRPr="00083A4F">
        <w:rPr>
          <w:rFonts w:ascii="Arial" w:eastAsia="Times New Roman" w:hAnsi="Arial" w:cs="Arial"/>
          <w:sz w:val="21"/>
          <w:szCs w:val="21"/>
          <w:lang w:val="en-GB" w:eastAsia="en-GB"/>
        </w:rPr>
        <w:t>were considered suitable for review, reflecting the period in which circular economy frameworks and e</w:t>
      </w:r>
      <w:r w:rsidRPr="00083A4F">
        <w:rPr>
          <w:rFonts w:ascii="Arial" w:eastAsia="Times New Roman" w:hAnsi="Arial" w:cs="Arial"/>
          <w:sz w:val="21"/>
          <w:szCs w:val="21"/>
          <w:lang w:val="en-GB" w:eastAsia="en-GB"/>
        </w:rPr>
        <w:noBreakHyphen/>
        <w:t>waste policies significantly evolved (Upadhyay et al., 2021). These criteria ensured that the review incorporated academically rigorous and contextually relevant studies that contribute directly to understanding circularity in IT hardware supply chains.</w:t>
      </w:r>
    </w:p>
    <w:p w14:paraId="680D858A" w14:textId="77777777" w:rsidR="00933989" w:rsidRPr="00083A4F" w:rsidRDefault="00933989" w:rsidP="00933989">
      <w:pPr>
        <w:keepNext/>
        <w:keepLines/>
        <w:spacing w:before="200" w:after="0" w:line="360" w:lineRule="auto"/>
        <w:jc w:val="both"/>
        <w:outlineLvl w:val="2"/>
        <w:rPr>
          <w:rFonts w:ascii="Arial" w:eastAsia="MS Gothic" w:hAnsi="Arial" w:cs="Arial"/>
          <w:bCs/>
          <w:color w:val="156082"/>
        </w:rPr>
      </w:pPr>
      <w:bookmarkStart w:id="29" w:name="_Toc224058784"/>
      <w:proofErr w:type="gramStart"/>
      <w:r w:rsidRPr="00083A4F">
        <w:rPr>
          <w:rFonts w:ascii="Arial" w:eastAsia="MS Gothic" w:hAnsi="Arial" w:cs="Arial"/>
          <w:bCs/>
          <w:color w:val="156082"/>
        </w:rPr>
        <w:lastRenderedPageBreak/>
        <w:t>3.6.2  Exclusion</w:t>
      </w:r>
      <w:proofErr w:type="gramEnd"/>
      <w:r w:rsidRPr="00083A4F">
        <w:rPr>
          <w:rFonts w:ascii="Arial" w:eastAsia="MS Gothic" w:hAnsi="Arial" w:cs="Arial"/>
          <w:bCs/>
          <w:color w:val="156082"/>
        </w:rPr>
        <w:t xml:space="preserve"> Criteria</w:t>
      </w:r>
      <w:bookmarkEnd w:id="29"/>
    </w:p>
    <w:p w14:paraId="1D8847FB" w14:textId="77777777" w:rsidR="0039535C" w:rsidRPr="00083A4F" w:rsidRDefault="0039535C" w:rsidP="0039535C">
      <w:pPr>
        <w:spacing w:after="0" w:line="300" w:lineRule="atLeast"/>
        <w:rPr>
          <w:rFonts w:ascii="Arial" w:eastAsia="Times New Roman" w:hAnsi="Arial" w:cs="Arial"/>
          <w:sz w:val="21"/>
          <w:szCs w:val="21"/>
          <w:lang w:val="en-GB" w:eastAsia="en-GB"/>
        </w:rPr>
      </w:pPr>
      <w:r w:rsidRPr="00083A4F">
        <w:rPr>
          <w:rFonts w:ascii="Arial" w:eastAsia="Times New Roman" w:hAnsi="Arial" w:cs="Arial"/>
          <w:sz w:val="21"/>
          <w:szCs w:val="21"/>
          <w:lang w:val="en-GB" w:eastAsia="en-GB"/>
        </w:rPr>
        <w:t>Studies were excluded if they were written in languages other than English or if they focused on materials science topics without direct relevance to supply chain management or end</w:t>
      </w:r>
      <w:r w:rsidRPr="00083A4F">
        <w:rPr>
          <w:rFonts w:ascii="Arial" w:eastAsia="Times New Roman" w:hAnsi="Arial" w:cs="Arial"/>
          <w:sz w:val="21"/>
          <w:szCs w:val="21"/>
          <w:lang w:val="en-GB" w:eastAsia="en-GB"/>
        </w:rPr>
        <w:noBreakHyphen/>
        <w:t>of</w:t>
      </w:r>
      <w:r w:rsidRPr="00083A4F">
        <w:rPr>
          <w:rFonts w:ascii="Arial" w:eastAsia="Times New Roman" w:hAnsi="Arial" w:cs="Arial"/>
          <w:sz w:val="21"/>
          <w:szCs w:val="21"/>
          <w:lang w:val="en-GB" w:eastAsia="en-GB"/>
        </w:rPr>
        <w:noBreakHyphen/>
        <w:t>life processes in IT hardware. Additional exclusions applied to duplicate records and conference abstracts that did not provide full papers. Opinion pieces lacking analytical depth were also excluded, as were publications for which full texts were unavailable, preventing thorough assessment of quality and relevance (NICF, 2025). These exclusions ensured that only credible, accessible, and substantively analytical sources contributed to the final evidence base.</w:t>
      </w:r>
    </w:p>
    <w:p w14:paraId="57F395E6" w14:textId="77777777" w:rsidR="0039535C" w:rsidRPr="00083A4F" w:rsidRDefault="0039535C" w:rsidP="00933989">
      <w:pPr>
        <w:keepNext/>
        <w:keepLines/>
        <w:spacing w:before="200" w:after="0" w:line="360" w:lineRule="auto"/>
        <w:jc w:val="both"/>
        <w:outlineLvl w:val="2"/>
        <w:rPr>
          <w:rFonts w:ascii="Arial" w:eastAsia="MS Gothic" w:hAnsi="Arial" w:cs="Arial"/>
          <w:bCs/>
          <w:color w:val="156082"/>
        </w:rPr>
      </w:pPr>
    </w:p>
    <w:p w14:paraId="4E5CE686" w14:textId="2A5F1D7E"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30" w:name="_Toc224058785"/>
      <w:r w:rsidRPr="00083A4F">
        <w:rPr>
          <w:rFonts w:ascii="Arial" w:eastAsia="MS Gothic" w:hAnsi="Arial" w:cs="Arial"/>
          <w:b/>
          <w:color w:val="156082"/>
          <w:sz w:val="26"/>
          <w:szCs w:val="26"/>
        </w:rPr>
        <w:t>3.7 Search Results</w:t>
      </w:r>
      <w:bookmarkEnd w:id="30"/>
    </w:p>
    <w:p w14:paraId="5D04867C"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About 1,200 documents were found throughout the search. After deleting 220 duplicates, 980 records were unique (Circular Drive Initiative, 2024). After screening titles and abstracts for inclusion and exclusion criteria, 320 articles were found. Additional full-text screening identified 95 sources that satisfied all requirements. There were 57 peer-reviewed journal articles, 8 conference papers, 14 international reports, 10 business sustainability reports, and 6 policy documents. Conceptual frameworks, material flows, legislation and policies, corporate practices, barriers and facilitators, and new technologies were clustered in the selected studies.</w:t>
      </w:r>
    </w:p>
    <w:p w14:paraId="11A81ACB"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31" w:name="_Toc224058786"/>
      <w:proofErr w:type="gramStart"/>
      <w:r w:rsidRPr="00083A4F">
        <w:rPr>
          <w:rFonts w:ascii="Arial" w:eastAsia="MS Gothic" w:hAnsi="Arial" w:cs="Arial"/>
          <w:b/>
          <w:color w:val="156082"/>
          <w:sz w:val="26"/>
          <w:szCs w:val="26"/>
        </w:rPr>
        <w:t>3.8  Ethical</w:t>
      </w:r>
      <w:proofErr w:type="gramEnd"/>
      <w:r w:rsidRPr="00083A4F">
        <w:rPr>
          <w:rFonts w:ascii="Arial" w:eastAsia="MS Gothic" w:hAnsi="Arial" w:cs="Arial"/>
          <w:b/>
          <w:color w:val="156082"/>
          <w:sz w:val="26"/>
          <w:szCs w:val="26"/>
        </w:rPr>
        <w:t xml:space="preserve"> Considerations</w:t>
      </w:r>
      <w:bookmarkEnd w:id="31"/>
    </w:p>
    <w:p w14:paraId="791885C1" w14:textId="52E4743D"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 xml:space="preserve">There were no ethical difficulties with human participants because this research used only secondary data. However, ethical integrity requires precise source depiction, plagiarism avoidance, and careful author citation. The researcher triangulated sources and noted discrepancies to reduce bias. To avoid disinformation, grey literature was carefully </w:t>
      </w:r>
      <w:r w:rsidR="00C2657F" w:rsidRPr="00083A4F">
        <w:rPr>
          <w:rFonts w:ascii="Arial" w:eastAsia="MS Mincho" w:hAnsi="Arial" w:cs="Arial"/>
        </w:rPr>
        <w:t>used,</w:t>
      </w:r>
      <w:r w:rsidRPr="00083A4F">
        <w:rPr>
          <w:rFonts w:ascii="Arial" w:eastAsia="MS Mincho" w:hAnsi="Arial" w:cs="Arial"/>
        </w:rPr>
        <w:t xml:space="preserve"> and advocacy group materials were cross-checked with academic and official findings (</w:t>
      </w:r>
      <w:proofErr w:type="spellStart"/>
      <w:r w:rsidRPr="00083A4F">
        <w:rPr>
          <w:rFonts w:ascii="Arial" w:eastAsia="MS Mincho" w:hAnsi="Arial" w:cs="Arial"/>
        </w:rPr>
        <w:t>Abdelmeguid</w:t>
      </w:r>
      <w:proofErr w:type="spellEnd"/>
      <w:r w:rsidRPr="00083A4F">
        <w:rPr>
          <w:rFonts w:ascii="Arial" w:eastAsia="MS Mincho" w:hAnsi="Arial" w:cs="Arial"/>
        </w:rPr>
        <w:t xml:space="preserve"> et al., 2026). The investigation also addressed business report conflicts of interest, acknowledging that marketing may influence sustainability claims.</w:t>
      </w:r>
    </w:p>
    <w:p w14:paraId="3CD03D2B"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t xml:space="preserve"> </w:t>
      </w:r>
      <w:bookmarkStart w:id="32" w:name="_Toc224058787"/>
      <w:r w:rsidRPr="00083A4F">
        <w:rPr>
          <w:rFonts w:ascii="Arial" w:eastAsia="MS Gothic" w:hAnsi="Arial" w:cs="Arial"/>
          <w:b/>
          <w:color w:val="156082"/>
          <w:sz w:val="26"/>
          <w:szCs w:val="26"/>
        </w:rPr>
        <w:t>3.9 Chapter Summary</w:t>
      </w:r>
      <w:bookmarkEnd w:id="32"/>
    </w:p>
    <w:p w14:paraId="1BC75E6F"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 xml:space="preserve">Chapter 3 described the technique used to conduct a systematic literature review on circular economy practices. It explained the search technique, databases, and selection criteria and how the PICOT architecture drove scope (Xue et al., 2023). The chapter stressed transparency and replicability in </w:t>
      </w:r>
      <w:proofErr w:type="spellStart"/>
      <w:r w:rsidRPr="00083A4F">
        <w:rPr>
          <w:rFonts w:ascii="Arial" w:eastAsia="MS Mincho" w:hAnsi="Arial" w:cs="Arial"/>
        </w:rPr>
        <w:t>synthesising</w:t>
      </w:r>
      <w:proofErr w:type="spellEnd"/>
      <w:r w:rsidRPr="00083A4F">
        <w:rPr>
          <w:rFonts w:ascii="Arial" w:eastAsia="MS Mincho" w:hAnsi="Arial" w:cs="Arial"/>
        </w:rPr>
        <w:t xml:space="preserve"> interdisciplinary evidence and prepared the reader for the next chapter's findings presentation and discussion.</w:t>
      </w:r>
    </w:p>
    <w:p w14:paraId="1E5CA81B" w14:textId="77777777" w:rsidR="00933989" w:rsidRPr="00083A4F" w:rsidRDefault="00933989" w:rsidP="00F35293">
      <w:pPr>
        <w:pStyle w:val="NormalWeb"/>
        <w:rPr>
          <w:rFonts w:ascii="Arial" w:hAnsi="Arial" w:cs="Arial"/>
        </w:rPr>
      </w:pPr>
    </w:p>
    <w:p w14:paraId="40F7296C" w14:textId="16F53C91" w:rsidR="00B07222" w:rsidRPr="00083A4F" w:rsidRDefault="00B07222" w:rsidP="00F35293">
      <w:pPr>
        <w:pStyle w:val="NormalWeb"/>
        <w:rPr>
          <w:rFonts w:ascii="Arial" w:hAnsi="Arial" w:cs="Arial"/>
        </w:rPr>
      </w:pPr>
    </w:p>
    <w:p w14:paraId="269EA7B2" w14:textId="7F2EBDC6" w:rsidR="0036009F" w:rsidRPr="00083A4F" w:rsidRDefault="0036009F" w:rsidP="0036009F">
      <w:pPr>
        <w:pStyle w:val="Heading1"/>
        <w:rPr>
          <w:rFonts w:ascii="Arial" w:hAnsi="Arial" w:cs="Arial"/>
          <w:lang w:val="en-GB"/>
        </w:rPr>
      </w:pPr>
      <w:bookmarkStart w:id="33" w:name="_Toc224058788"/>
      <w:r w:rsidRPr="00083A4F">
        <w:rPr>
          <w:rFonts w:ascii="Arial" w:hAnsi="Arial" w:cs="Arial"/>
          <w:lang w:val="en-GB"/>
        </w:rPr>
        <w:t xml:space="preserve">Chapter 4: Findings and </w:t>
      </w:r>
      <w:bookmarkEnd w:id="33"/>
      <w:r w:rsidR="00C2657F" w:rsidRPr="00083A4F">
        <w:rPr>
          <w:rFonts w:ascii="Arial" w:hAnsi="Arial" w:cs="Arial"/>
          <w:lang w:val="en-GB"/>
        </w:rPr>
        <w:t>Discussion:</w:t>
      </w:r>
    </w:p>
    <w:p w14:paraId="454AD27A" w14:textId="77777777" w:rsidR="0036009F" w:rsidRPr="00083A4F" w:rsidRDefault="0036009F" w:rsidP="0036009F">
      <w:pPr>
        <w:rPr>
          <w:rFonts w:ascii="Arial" w:hAnsi="Arial" w:cs="Arial"/>
          <w:lang w:val="en-GB"/>
        </w:rPr>
      </w:pPr>
    </w:p>
    <w:p w14:paraId="207984AE" w14:textId="77777777" w:rsidR="006F07EB" w:rsidRPr="00083A4F" w:rsidRDefault="006F07EB" w:rsidP="00617F83">
      <w:pPr>
        <w:pStyle w:val="Heading3"/>
        <w:rPr>
          <w:rFonts w:ascii="Arial" w:hAnsi="Arial" w:cs="Arial"/>
          <w:lang w:val="en-GB"/>
        </w:rPr>
      </w:pPr>
      <w:bookmarkStart w:id="34" w:name="_Toc224058789"/>
      <w:r w:rsidRPr="00083A4F">
        <w:rPr>
          <w:rFonts w:ascii="Arial" w:hAnsi="Arial" w:cs="Arial"/>
          <w:lang w:val="en-GB"/>
        </w:rPr>
        <w:t>4.1 Overview of Included Studies</w:t>
      </w:r>
      <w:bookmarkEnd w:id="34"/>
    </w:p>
    <w:p w14:paraId="70E3C746" w14:textId="77777777" w:rsidR="006F07EB" w:rsidRPr="00083A4F" w:rsidRDefault="006F07EB" w:rsidP="006F07EB">
      <w:pPr>
        <w:rPr>
          <w:rFonts w:ascii="Arial" w:hAnsi="Arial" w:cs="Arial"/>
          <w:lang w:val="en-GB"/>
        </w:rPr>
      </w:pPr>
      <w:r w:rsidRPr="00083A4F">
        <w:rPr>
          <w:rFonts w:ascii="Arial" w:hAnsi="Arial" w:cs="Arial"/>
          <w:lang w:val="en-GB"/>
        </w:rPr>
        <w:t>The systematic literature review produced 95 eligible sources, which form the evidence base for this chapter. These sources include peer</w:t>
      </w:r>
      <w:r w:rsidRPr="00083A4F">
        <w:rPr>
          <w:rFonts w:ascii="Arial" w:hAnsi="Arial" w:cs="Arial"/>
          <w:lang w:val="en-GB"/>
        </w:rPr>
        <w:noBreakHyphen/>
        <w:t>reviewed journal articles, conference proceedings, government reports, industry publications, and documents from international organisations focusing on circular economy practices, e</w:t>
      </w:r>
      <w:r w:rsidRPr="00083A4F">
        <w:rPr>
          <w:rFonts w:ascii="Arial" w:hAnsi="Arial" w:cs="Arial"/>
          <w:lang w:val="en-GB"/>
        </w:rPr>
        <w:noBreakHyphen/>
        <w:t>waste management, and IT hardware life cycles. The methodological diversity of these studies—ranging from life</w:t>
      </w:r>
      <w:r w:rsidRPr="00083A4F">
        <w:rPr>
          <w:rFonts w:ascii="Arial" w:hAnsi="Arial" w:cs="Arial"/>
          <w:lang w:val="en-GB"/>
        </w:rPr>
        <w:noBreakHyphen/>
        <w:t>cycle assessments and techno</w:t>
      </w:r>
      <w:r w:rsidRPr="00083A4F">
        <w:rPr>
          <w:rFonts w:ascii="Arial" w:hAnsi="Arial" w:cs="Arial"/>
          <w:lang w:val="en-GB"/>
        </w:rPr>
        <w:noBreakHyphen/>
        <w:t>economic analyses to policy evaluations and case studies—offers a comprehensive understanding of how circular economy concepts are being integrated into IT hardware supply chains.</w:t>
      </w:r>
    </w:p>
    <w:p w14:paraId="6D60ADE1" w14:textId="600E45DF" w:rsidR="006F07EB" w:rsidRPr="00083A4F" w:rsidRDefault="00661F54" w:rsidP="006F07EB">
      <w:pPr>
        <w:rPr>
          <w:rFonts w:ascii="Arial" w:hAnsi="Arial" w:cs="Arial"/>
          <w:lang w:val="en-GB"/>
        </w:rPr>
      </w:pPr>
      <w:r w:rsidRPr="00083A4F">
        <w:rPr>
          <w:rFonts w:ascii="Arial" w:hAnsi="Arial" w:cs="Arial"/>
          <w:lang w:val="en-GB"/>
        </w:rPr>
        <w:t>Several</w:t>
      </w:r>
      <w:r w:rsidR="006F07EB" w:rsidRPr="00083A4F">
        <w:rPr>
          <w:rFonts w:ascii="Arial" w:hAnsi="Arial" w:cs="Arial"/>
          <w:lang w:val="en-GB"/>
        </w:rPr>
        <w:t xml:space="preserve"> patterns emerged. First, studies consistently identified escalating global e</w:t>
      </w:r>
      <w:r w:rsidR="006F07EB" w:rsidRPr="00083A4F">
        <w:rPr>
          <w:rFonts w:ascii="Arial" w:hAnsi="Arial" w:cs="Arial"/>
          <w:lang w:val="en-GB"/>
        </w:rPr>
        <w:noBreakHyphen/>
        <w:t>waste levels as a critical concern. Second, there was broad agreement that manufacturing remains the most carbon</w:t>
      </w:r>
      <w:r w:rsidR="006F07EB" w:rsidRPr="00083A4F">
        <w:rPr>
          <w:rFonts w:ascii="Arial" w:hAnsi="Arial" w:cs="Arial"/>
          <w:lang w:val="en-GB"/>
        </w:rPr>
        <w:noBreakHyphen/>
        <w:t>intensive stage of the device life cycle, emphasising the environmental importance of repair, refurbishment, and reuse. Third, policy frameworks such as the European Union’s Ecodesign for Sustainable Products Regulation and Right</w:t>
      </w:r>
      <w:r w:rsidR="006F07EB" w:rsidRPr="00083A4F">
        <w:rPr>
          <w:rFonts w:ascii="Arial" w:hAnsi="Arial" w:cs="Arial"/>
          <w:lang w:val="en-GB"/>
        </w:rPr>
        <w:noBreakHyphen/>
        <w:t>to</w:t>
      </w:r>
      <w:r w:rsidR="006F07EB" w:rsidRPr="00083A4F">
        <w:rPr>
          <w:rFonts w:ascii="Arial" w:hAnsi="Arial" w:cs="Arial"/>
          <w:lang w:val="en-GB"/>
        </w:rPr>
        <w:noBreakHyphen/>
        <w:t>Repair Directive appear widely in the literature as significant mechanisms for influencing more circular practices. Finally, most studies recognised the gap between potential and actual reuse of storage drives and IT devices, identifying data</w:t>
      </w:r>
      <w:r w:rsidR="006F07EB" w:rsidRPr="00083A4F">
        <w:rPr>
          <w:rFonts w:ascii="Arial" w:hAnsi="Arial" w:cs="Arial"/>
          <w:lang w:val="en-GB"/>
        </w:rPr>
        <w:noBreakHyphen/>
        <w:t>security concerns, design constraints, and inadequate reverse</w:t>
      </w:r>
      <w:r w:rsidR="006F07EB" w:rsidRPr="00083A4F">
        <w:rPr>
          <w:rFonts w:ascii="Arial" w:hAnsi="Arial" w:cs="Arial"/>
          <w:lang w:val="en-GB"/>
        </w:rPr>
        <w:noBreakHyphen/>
        <w:t>logistics systems as major limiting factors.</w:t>
      </w:r>
    </w:p>
    <w:p w14:paraId="68119A53" w14:textId="77777777" w:rsidR="002F2BC4" w:rsidRPr="00083A4F" w:rsidRDefault="002F2BC4" w:rsidP="002F2BC4">
      <w:pPr>
        <w:rPr>
          <w:rFonts w:ascii="Arial" w:hAnsi="Arial" w:cs="Arial"/>
          <w:lang w:val="en-GB"/>
        </w:rPr>
      </w:pPr>
      <w:r w:rsidRPr="00083A4F">
        <w:rPr>
          <w:rFonts w:ascii="Arial" w:hAnsi="Arial" w:cs="Arial"/>
          <w:lang w:val="en-GB"/>
        </w:rPr>
        <w:t>Across these studies, there is a clear trend toward viewing circularity not as an isolated operational practice but as a systemic shift requiring coordinated changes in design, behaviour, regulation, and supply</w:t>
      </w:r>
      <w:r w:rsidRPr="00083A4F">
        <w:rPr>
          <w:rFonts w:ascii="Arial" w:hAnsi="Arial" w:cs="Arial"/>
          <w:lang w:val="en-GB"/>
        </w:rPr>
        <w:noBreakHyphen/>
        <w:t>chain organisation. This foundation guides the thematic structure of the findings presented in the sections that follow.</w:t>
      </w:r>
    </w:p>
    <w:p w14:paraId="35CB83B3" w14:textId="77777777" w:rsidR="002F2BC4" w:rsidRPr="00083A4F" w:rsidRDefault="002F2BC4" w:rsidP="00E20DC3">
      <w:pPr>
        <w:pStyle w:val="Heading3"/>
        <w:rPr>
          <w:rFonts w:ascii="Arial" w:hAnsi="Arial" w:cs="Arial"/>
          <w:lang w:val="en-GB"/>
        </w:rPr>
      </w:pPr>
      <w:bookmarkStart w:id="35" w:name="_Toc224058790"/>
      <w:r w:rsidRPr="00083A4F">
        <w:rPr>
          <w:rFonts w:ascii="Arial" w:hAnsi="Arial" w:cs="Arial"/>
          <w:lang w:val="en-GB"/>
        </w:rPr>
        <w:t>4.2 Trends in E</w:t>
      </w:r>
      <w:r w:rsidRPr="00083A4F">
        <w:rPr>
          <w:rFonts w:ascii="Arial" w:hAnsi="Arial" w:cs="Arial"/>
          <w:lang w:val="en-GB"/>
        </w:rPr>
        <w:noBreakHyphen/>
        <w:t>waste Generation and Recycling</w:t>
      </w:r>
      <w:bookmarkEnd w:id="35"/>
    </w:p>
    <w:p w14:paraId="5B8844FD" w14:textId="77777777" w:rsidR="002F2BC4" w:rsidRPr="00083A4F" w:rsidRDefault="002F2BC4" w:rsidP="002F2BC4">
      <w:pPr>
        <w:rPr>
          <w:rFonts w:ascii="Arial" w:hAnsi="Arial" w:cs="Arial"/>
          <w:lang w:val="en-GB"/>
        </w:rPr>
      </w:pPr>
      <w:r w:rsidRPr="00083A4F">
        <w:rPr>
          <w:rFonts w:ascii="Arial" w:hAnsi="Arial" w:cs="Arial"/>
          <w:lang w:val="en-GB"/>
        </w:rPr>
        <w:t>Findings across the included studies demonstrate that e</w:t>
      </w:r>
      <w:r w:rsidRPr="00083A4F">
        <w:rPr>
          <w:rFonts w:ascii="Arial" w:hAnsi="Arial" w:cs="Arial"/>
          <w:lang w:val="en-GB"/>
        </w:rPr>
        <w:noBreakHyphen/>
        <w:t>waste generation is increasing at an unprecedented pace. Global volumes reached approximately 62 million tonnes in 2022, with projections estimating around 82 million tonnes by 2030 if current patterns continue. Documented formal recycling and collection rates remain low, capturing only about one</w:t>
      </w:r>
      <w:r w:rsidRPr="00083A4F">
        <w:rPr>
          <w:rFonts w:ascii="Arial" w:hAnsi="Arial" w:cs="Arial"/>
          <w:lang w:val="en-GB"/>
        </w:rPr>
        <w:noBreakHyphen/>
        <w:t>fifth of all generated e</w:t>
      </w:r>
      <w:r w:rsidRPr="00083A4F">
        <w:rPr>
          <w:rFonts w:ascii="Arial" w:hAnsi="Arial" w:cs="Arial"/>
          <w:lang w:val="en-GB"/>
        </w:rPr>
        <w:noBreakHyphen/>
        <w:t>waste. This disparity between growth and recovery indicates structural weaknesses in international and national systems responsible for collecting, processing, and recycling electronic devices.</w:t>
      </w:r>
    </w:p>
    <w:p w14:paraId="6AE8314B" w14:textId="4CBCF844" w:rsidR="002F2BC4" w:rsidRPr="00083A4F" w:rsidRDefault="002F2BC4" w:rsidP="002F2BC4">
      <w:pPr>
        <w:rPr>
          <w:rFonts w:ascii="Arial" w:hAnsi="Arial" w:cs="Arial"/>
          <w:lang w:val="en-GB"/>
        </w:rPr>
      </w:pPr>
      <w:r w:rsidRPr="00083A4F">
        <w:rPr>
          <w:rFonts w:ascii="Arial" w:hAnsi="Arial" w:cs="Arial"/>
          <w:lang w:val="en-GB"/>
        </w:rPr>
        <w:t>Regional patterns highlight contrasts between high</w:t>
      </w:r>
      <w:r w:rsidRPr="00083A4F">
        <w:rPr>
          <w:rFonts w:ascii="Arial" w:hAnsi="Arial" w:cs="Arial"/>
          <w:lang w:val="en-GB"/>
        </w:rPr>
        <w:noBreakHyphen/>
        <w:t>income and developing countries. Europe, for example, has the highest documented collection rates, supported by extended producer responsibility (EPR) frameworks and strict e</w:t>
      </w:r>
      <w:r w:rsidRPr="00083A4F">
        <w:rPr>
          <w:rFonts w:ascii="Arial" w:hAnsi="Arial" w:cs="Arial"/>
          <w:lang w:val="en-GB"/>
        </w:rPr>
        <w:noBreakHyphen/>
        <w:t xml:space="preserve">waste directives. In </w:t>
      </w:r>
      <w:r w:rsidRPr="00083A4F">
        <w:rPr>
          <w:rFonts w:ascii="Arial" w:hAnsi="Arial" w:cs="Arial"/>
          <w:lang w:val="en-GB"/>
        </w:rPr>
        <w:lastRenderedPageBreak/>
        <w:t>contrast, many low</w:t>
      </w:r>
      <w:r w:rsidRPr="00083A4F">
        <w:rPr>
          <w:rFonts w:ascii="Arial" w:hAnsi="Arial" w:cs="Arial"/>
          <w:lang w:val="en-GB"/>
        </w:rPr>
        <w:noBreakHyphen/>
        <w:t xml:space="preserve"> and middle</w:t>
      </w:r>
      <w:r w:rsidRPr="00083A4F">
        <w:rPr>
          <w:rFonts w:ascii="Arial" w:hAnsi="Arial" w:cs="Arial"/>
          <w:lang w:val="en-GB"/>
        </w:rPr>
        <w:noBreakHyphen/>
        <w:t>income countries face ongoing challenges related to inadequate infrastructure, limited enforcement capacity, and informal recycling systems, which often handle e</w:t>
      </w:r>
      <w:r w:rsidRPr="00083A4F">
        <w:rPr>
          <w:rFonts w:ascii="Arial" w:hAnsi="Arial" w:cs="Arial"/>
          <w:lang w:val="en-GB"/>
        </w:rPr>
        <w:noBreakHyphen/>
        <w:t xml:space="preserve">waste using unsafe or environmentally damaging methods. Informal recyclers play a significant role in the global movement of discarded </w:t>
      </w:r>
      <w:r w:rsidR="00661F54" w:rsidRPr="00083A4F">
        <w:rPr>
          <w:rFonts w:ascii="Arial" w:hAnsi="Arial" w:cs="Arial"/>
          <w:lang w:val="en-GB"/>
        </w:rPr>
        <w:t>electronics yet</w:t>
      </w:r>
      <w:r w:rsidRPr="00083A4F">
        <w:rPr>
          <w:rFonts w:ascii="Arial" w:hAnsi="Arial" w:cs="Arial"/>
          <w:lang w:val="en-GB"/>
        </w:rPr>
        <w:t xml:space="preserve"> frequently operate without the protections or technology required to process hazardous materials safely.</w:t>
      </w:r>
    </w:p>
    <w:p w14:paraId="6B613368" w14:textId="77777777" w:rsidR="0001661E" w:rsidRPr="00083A4F" w:rsidRDefault="0001661E" w:rsidP="0001661E">
      <w:pPr>
        <w:rPr>
          <w:rFonts w:ascii="Arial" w:hAnsi="Arial" w:cs="Arial"/>
          <w:lang w:val="en-GB"/>
        </w:rPr>
      </w:pPr>
      <w:r w:rsidRPr="00083A4F">
        <w:rPr>
          <w:rFonts w:ascii="Arial" w:hAnsi="Arial" w:cs="Arial"/>
          <w:lang w:val="en-GB"/>
        </w:rPr>
        <w:t>A substantial portion of devices are not collected at all. Consumer hoarding, particularly of laptops, smartphones, and external drives, is driven by concerns about data privacy, uncertainty about recycling options, or a perception that used devices have little value. Organisational hoarding within enterprises is also common, especially for data</w:t>
      </w:r>
      <w:r w:rsidRPr="00083A4F">
        <w:rPr>
          <w:rFonts w:ascii="Arial" w:hAnsi="Arial" w:cs="Arial"/>
          <w:lang w:val="en-GB"/>
        </w:rPr>
        <w:noBreakHyphen/>
        <w:t>bearing assets, where default destruction policies or overly cautious data</w:t>
      </w:r>
      <w:r w:rsidRPr="00083A4F">
        <w:rPr>
          <w:rFonts w:ascii="Arial" w:hAnsi="Arial" w:cs="Arial"/>
          <w:lang w:val="en-GB"/>
        </w:rPr>
        <w:noBreakHyphen/>
        <w:t>retention rules result in unused devices remaining in storage rather than entering reuse channels. This behaviour contributes to the widening gap between estimated e</w:t>
      </w:r>
      <w:r w:rsidRPr="00083A4F">
        <w:rPr>
          <w:rFonts w:ascii="Arial" w:hAnsi="Arial" w:cs="Arial"/>
          <w:lang w:val="en-GB"/>
        </w:rPr>
        <w:noBreakHyphen/>
        <w:t>waste production and officially reported collection.</w:t>
      </w:r>
    </w:p>
    <w:p w14:paraId="6E4072D8" w14:textId="77777777" w:rsidR="0001661E" w:rsidRPr="00083A4F" w:rsidRDefault="0001661E" w:rsidP="0001661E">
      <w:pPr>
        <w:rPr>
          <w:rFonts w:ascii="Arial" w:hAnsi="Arial" w:cs="Arial"/>
          <w:lang w:val="en-GB"/>
        </w:rPr>
      </w:pPr>
      <w:r w:rsidRPr="00083A4F">
        <w:rPr>
          <w:rFonts w:ascii="Arial" w:hAnsi="Arial" w:cs="Arial"/>
          <w:lang w:val="en-GB"/>
        </w:rPr>
        <w:t>Despite these challenges, the literature also highlights progress in certain regions, where mandatory take</w:t>
      </w:r>
      <w:r w:rsidRPr="00083A4F">
        <w:rPr>
          <w:rFonts w:ascii="Arial" w:hAnsi="Arial" w:cs="Arial"/>
          <w:lang w:val="en-GB"/>
        </w:rPr>
        <w:noBreakHyphen/>
        <w:t>back schemes, stronger recycling targets, and increased public awareness have improved levels of responsible e</w:t>
      </w:r>
      <w:r w:rsidRPr="00083A4F">
        <w:rPr>
          <w:rFonts w:ascii="Arial" w:hAnsi="Arial" w:cs="Arial"/>
          <w:lang w:val="en-GB"/>
        </w:rPr>
        <w:noBreakHyphen/>
        <w:t>waste management. However, globally, recycling alone is insufficient to address the pace of device turnover and the complexity of modern electronics. Many valuable materials, including rare earth elements and precious metals, remain difficult or uneconomical to extract through recycling processes. This limitation strengthens the case for applying refurbishment and reuse strategies to preserve entire devices and components wherever feasible.</w:t>
      </w:r>
    </w:p>
    <w:p w14:paraId="3CB8353D" w14:textId="77777777" w:rsidR="00570F91" w:rsidRPr="00083A4F" w:rsidRDefault="00570F91" w:rsidP="00E20DC3">
      <w:pPr>
        <w:pStyle w:val="Heading3"/>
        <w:rPr>
          <w:rFonts w:ascii="Arial" w:hAnsi="Arial" w:cs="Arial"/>
          <w:lang w:val="en-GB"/>
        </w:rPr>
      </w:pPr>
      <w:bookmarkStart w:id="36" w:name="_Toc224058791"/>
      <w:r w:rsidRPr="00083A4F">
        <w:rPr>
          <w:rFonts w:ascii="Arial" w:hAnsi="Arial" w:cs="Arial"/>
          <w:lang w:val="en-GB"/>
        </w:rPr>
        <w:t>4.3 Potential for Storage Drive Reuse</w:t>
      </w:r>
      <w:bookmarkEnd w:id="36"/>
    </w:p>
    <w:p w14:paraId="01DF3736" w14:textId="77777777" w:rsidR="00570F91" w:rsidRPr="00083A4F" w:rsidRDefault="00570F91" w:rsidP="00570F91">
      <w:pPr>
        <w:rPr>
          <w:rFonts w:ascii="Arial" w:hAnsi="Arial" w:cs="Arial"/>
          <w:lang w:val="en-GB"/>
        </w:rPr>
      </w:pPr>
      <w:r w:rsidRPr="00083A4F">
        <w:rPr>
          <w:rFonts w:ascii="Arial" w:hAnsi="Arial" w:cs="Arial"/>
          <w:lang w:val="en-GB"/>
        </w:rPr>
        <w:t>Storage drives represent one of the most significant, yet underutilised, categories for circularity in the IT sector. The literature indicates that a large proportion of decommissioned hard drives and solid</w:t>
      </w:r>
      <w:r w:rsidRPr="00083A4F">
        <w:rPr>
          <w:rFonts w:ascii="Arial" w:hAnsi="Arial" w:cs="Arial"/>
          <w:lang w:val="en-GB"/>
        </w:rPr>
        <w:noBreakHyphen/>
        <w:t>state drives remain technically functional and suitable for reuse. More than 80 percent of enterprise drives returned to refurbishment facilities are capable of secure redeployment once appropriate data sanitisation has been completed.</w:t>
      </w:r>
    </w:p>
    <w:p w14:paraId="1C260C56" w14:textId="77777777" w:rsidR="00570F91" w:rsidRPr="00083A4F" w:rsidRDefault="00570F91" w:rsidP="00570F91">
      <w:pPr>
        <w:rPr>
          <w:rFonts w:ascii="Arial" w:hAnsi="Arial" w:cs="Arial"/>
          <w:lang w:val="en-GB"/>
        </w:rPr>
      </w:pPr>
      <w:r w:rsidRPr="00083A4F">
        <w:rPr>
          <w:rFonts w:ascii="Arial" w:hAnsi="Arial" w:cs="Arial"/>
          <w:lang w:val="en-GB"/>
        </w:rPr>
        <w:t>However, actual reuse rates fall far below this potential. The primary constraint identified across studies is concern over data security. Many organisations, especially those in government, finance, and healthcare, default to physical destruction as a perceived safeguard against data breaches. This practice persists even where standards such as NIST SP 800</w:t>
      </w:r>
      <w:r w:rsidRPr="00083A4F">
        <w:rPr>
          <w:rFonts w:ascii="Arial" w:hAnsi="Arial" w:cs="Arial"/>
          <w:lang w:val="en-GB"/>
        </w:rPr>
        <w:noBreakHyphen/>
        <w:t>88 provide validated procedures for securely wiping or purging data from drives. Where organisations lack clear guidance or access to verified sanitisation services, destruction becomes the default option.</w:t>
      </w:r>
    </w:p>
    <w:p w14:paraId="1DC7D5E1" w14:textId="77777777" w:rsidR="00570F91" w:rsidRPr="00083A4F" w:rsidRDefault="00570F91" w:rsidP="00570F91">
      <w:pPr>
        <w:rPr>
          <w:rFonts w:ascii="Arial" w:hAnsi="Arial" w:cs="Arial"/>
          <w:lang w:val="en-GB"/>
        </w:rPr>
      </w:pPr>
      <w:r w:rsidRPr="00083A4F">
        <w:rPr>
          <w:rFonts w:ascii="Arial" w:hAnsi="Arial" w:cs="Arial"/>
          <w:lang w:val="en-GB"/>
        </w:rPr>
        <w:t>Research shows that implementing sanitisation solutions with automated verification, chain</w:t>
      </w:r>
      <w:r w:rsidRPr="00083A4F">
        <w:rPr>
          <w:rFonts w:ascii="Arial" w:hAnsi="Arial" w:cs="Arial"/>
          <w:lang w:val="en-GB"/>
        </w:rPr>
        <w:noBreakHyphen/>
        <w:t>of</w:t>
      </w:r>
      <w:r w:rsidRPr="00083A4F">
        <w:rPr>
          <w:rFonts w:ascii="Arial" w:hAnsi="Arial" w:cs="Arial"/>
          <w:lang w:val="en-GB"/>
        </w:rPr>
        <w:noBreakHyphen/>
        <w:t>custody systems, and documentation can dramatically increase reuse rates. For example, automated wiping systems can perform rapid sanitisation at scale while ensuring compliance with best</w:t>
      </w:r>
      <w:r w:rsidRPr="00083A4F">
        <w:rPr>
          <w:rFonts w:ascii="Arial" w:hAnsi="Arial" w:cs="Arial"/>
          <w:lang w:val="en-GB"/>
        </w:rPr>
        <w:noBreakHyphen/>
        <w:t xml:space="preserve">practice standards. Verified sanitisation certificates also </w:t>
      </w:r>
      <w:r w:rsidRPr="00083A4F">
        <w:rPr>
          <w:rFonts w:ascii="Arial" w:hAnsi="Arial" w:cs="Arial"/>
          <w:lang w:val="en-GB"/>
        </w:rPr>
        <w:lastRenderedPageBreak/>
        <w:t>reduce organisational risk by providing audit</w:t>
      </w:r>
      <w:r w:rsidRPr="00083A4F">
        <w:rPr>
          <w:rFonts w:ascii="Arial" w:hAnsi="Arial" w:cs="Arial"/>
          <w:lang w:val="en-GB"/>
        </w:rPr>
        <w:noBreakHyphen/>
        <w:t>friendly evidence of compliance, allowing drives to re</w:t>
      </w:r>
      <w:r w:rsidRPr="00083A4F">
        <w:rPr>
          <w:rFonts w:ascii="Arial" w:hAnsi="Arial" w:cs="Arial"/>
          <w:lang w:val="en-GB"/>
        </w:rPr>
        <w:noBreakHyphen/>
        <w:t>enter secondary markets or be deployed internally.</w:t>
      </w:r>
    </w:p>
    <w:p w14:paraId="52AA2551" w14:textId="77777777" w:rsidR="00175B41" w:rsidRPr="00083A4F" w:rsidRDefault="00175B41" w:rsidP="00175B41">
      <w:pPr>
        <w:rPr>
          <w:rFonts w:ascii="Arial" w:hAnsi="Arial" w:cs="Arial"/>
          <w:lang w:val="en-GB"/>
        </w:rPr>
      </w:pPr>
      <w:r w:rsidRPr="00083A4F">
        <w:rPr>
          <w:rFonts w:ascii="Arial" w:hAnsi="Arial" w:cs="Arial"/>
          <w:lang w:val="en-GB"/>
        </w:rPr>
        <w:t>The environmental impact of drive reuse is significant. Extending the life of a drive avoids the emissions associated with manufacturing replacement units, especially in enterprise settings where storage components often have high embodied carbon values. For large organisations, replacing destruction policies with secure sanitisation and reuse can therefore generate both environmental benefits and financial savings through reduced procurement expenditure.</w:t>
      </w:r>
    </w:p>
    <w:p w14:paraId="392D06F4" w14:textId="77777777" w:rsidR="00175B41" w:rsidRPr="00083A4F" w:rsidRDefault="00175B41" w:rsidP="00E20DC3">
      <w:pPr>
        <w:pStyle w:val="Heading3"/>
        <w:rPr>
          <w:rFonts w:ascii="Arial" w:hAnsi="Arial" w:cs="Arial"/>
          <w:lang w:val="en-GB"/>
        </w:rPr>
      </w:pPr>
      <w:bookmarkStart w:id="37" w:name="_Toc224058792"/>
      <w:r w:rsidRPr="00083A4F">
        <w:rPr>
          <w:rFonts w:ascii="Arial" w:hAnsi="Arial" w:cs="Arial"/>
          <w:lang w:val="en-GB"/>
        </w:rPr>
        <w:t>4.4 Growth of the Refurbished Device Market</w:t>
      </w:r>
      <w:bookmarkEnd w:id="37"/>
    </w:p>
    <w:p w14:paraId="0F709AE1" w14:textId="77777777" w:rsidR="00175B41" w:rsidRPr="00083A4F" w:rsidRDefault="00175B41" w:rsidP="00175B41">
      <w:pPr>
        <w:rPr>
          <w:rFonts w:ascii="Arial" w:hAnsi="Arial" w:cs="Arial"/>
          <w:lang w:val="en-GB"/>
        </w:rPr>
      </w:pPr>
      <w:r w:rsidRPr="00083A4F">
        <w:rPr>
          <w:rFonts w:ascii="Arial" w:hAnsi="Arial" w:cs="Arial"/>
          <w:lang w:val="en-GB"/>
        </w:rPr>
        <w:t>The market for refurbished devices has expanded rapidly over the last decade, driven by both supply</w:t>
      </w:r>
      <w:r w:rsidRPr="00083A4F">
        <w:rPr>
          <w:rFonts w:ascii="Arial" w:hAnsi="Arial" w:cs="Arial"/>
          <w:lang w:val="en-GB"/>
        </w:rPr>
        <w:noBreakHyphen/>
        <w:t>side improvements and growing consumer acceptance. Smartphones dominate this market, but refurbished laptops, desktops, and monitors are also increasing in popularity. Studies project continued growth through 2034, supported by improvements in refurbishment quality, stronger warranty offers, and greater awareness of environmental impacts.</w:t>
      </w:r>
    </w:p>
    <w:p w14:paraId="2FA14F76" w14:textId="77777777" w:rsidR="00895B92" w:rsidRPr="00083A4F" w:rsidRDefault="00895B92" w:rsidP="00895B92">
      <w:pPr>
        <w:rPr>
          <w:rFonts w:ascii="Arial" w:hAnsi="Arial" w:cs="Arial"/>
          <w:lang w:val="en-GB"/>
        </w:rPr>
      </w:pPr>
      <w:r w:rsidRPr="00083A4F">
        <w:rPr>
          <w:rFonts w:ascii="Arial" w:hAnsi="Arial" w:cs="Arial"/>
          <w:lang w:val="en-GB"/>
        </w:rPr>
        <w:t>Demand for refurbished devices is shaped by several factors. Price remains a leading motivator, particularly as new device prices rise and consumers seek cost</w:t>
      </w:r>
      <w:r w:rsidRPr="00083A4F">
        <w:rPr>
          <w:rFonts w:ascii="Arial" w:hAnsi="Arial" w:cs="Arial"/>
          <w:lang w:val="en-GB"/>
        </w:rPr>
        <w:noBreakHyphen/>
        <w:t>effective alternatives. Environmental awareness is another key driver, with growing recognition among consumers and organisations that reuse reduces resource depletion and carbon emissions. Clear grading systems and consistent warranty terms further increase consumer confidence by setting expectations for device performance and condition.</w:t>
      </w:r>
    </w:p>
    <w:p w14:paraId="5A7238B5" w14:textId="0042CB4F" w:rsidR="00895B92" w:rsidRPr="00083A4F" w:rsidRDefault="00895B92" w:rsidP="00895B92">
      <w:pPr>
        <w:rPr>
          <w:rFonts w:ascii="Arial" w:hAnsi="Arial" w:cs="Arial"/>
          <w:lang w:val="en-GB"/>
        </w:rPr>
      </w:pPr>
      <w:r w:rsidRPr="00083A4F">
        <w:rPr>
          <w:rFonts w:ascii="Arial" w:hAnsi="Arial" w:cs="Arial"/>
          <w:lang w:val="en-GB"/>
        </w:rPr>
        <w:t>Supply</w:t>
      </w:r>
      <w:r w:rsidRPr="00083A4F">
        <w:rPr>
          <w:rFonts w:ascii="Arial" w:hAnsi="Arial" w:cs="Arial"/>
          <w:lang w:val="en-GB"/>
        </w:rPr>
        <w:noBreakHyphen/>
        <w:t>side factors influence market expansion as well. Devices designed with easily replaceable components, modular assemblies, and accessible screws are more cost</w:t>
      </w:r>
      <w:r w:rsidRPr="00083A4F">
        <w:rPr>
          <w:rFonts w:ascii="Arial" w:hAnsi="Arial" w:cs="Arial"/>
          <w:lang w:val="en-GB"/>
        </w:rPr>
        <w:noBreakHyphen/>
        <w:t xml:space="preserve">effective to refurbish, enabling </w:t>
      </w:r>
      <w:r w:rsidR="00A71646" w:rsidRPr="00083A4F">
        <w:rPr>
          <w:rFonts w:ascii="Arial" w:hAnsi="Arial" w:cs="Arial"/>
          <w:lang w:val="en-GB"/>
        </w:rPr>
        <w:t>refurbishes</w:t>
      </w:r>
      <w:r w:rsidRPr="00083A4F">
        <w:rPr>
          <w:rFonts w:ascii="Arial" w:hAnsi="Arial" w:cs="Arial"/>
          <w:lang w:val="en-GB"/>
        </w:rPr>
        <w:t xml:space="preserve"> to process greater volumes and maintain profitability. Conversely, the prevalence of sealed devices and parts</w:t>
      </w:r>
      <w:r w:rsidRPr="00083A4F">
        <w:rPr>
          <w:rFonts w:ascii="Arial" w:hAnsi="Arial" w:cs="Arial"/>
          <w:lang w:val="en-GB"/>
        </w:rPr>
        <w:noBreakHyphen/>
        <w:t>pairing technologies restricts refurbishment potential by limiting access to components or necessitating specialised tools.</w:t>
      </w:r>
    </w:p>
    <w:p w14:paraId="5FEF353F" w14:textId="77777777" w:rsidR="00895B92" w:rsidRPr="00083A4F" w:rsidRDefault="00895B92" w:rsidP="00895B92">
      <w:pPr>
        <w:rPr>
          <w:rFonts w:ascii="Arial" w:hAnsi="Arial" w:cs="Arial"/>
          <w:lang w:val="en-GB"/>
        </w:rPr>
      </w:pPr>
      <w:r w:rsidRPr="00083A4F">
        <w:rPr>
          <w:rFonts w:ascii="Arial" w:hAnsi="Arial" w:cs="Arial"/>
          <w:lang w:val="en-GB"/>
        </w:rPr>
        <w:t>Public</w:t>
      </w:r>
      <w:r w:rsidRPr="00083A4F">
        <w:rPr>
          <w:rFonts w:ascii="Arial" w:hAnsi="Arial" w:cs="Arial"/>
          <w:lang w:val="en-GB"/>
        </w:rPr>
        <w:noBreakHyphen/>
        <w:t>sector procurement policies increasingly allow or encourage the purchase of refurbished equipment. Organisations adopting condition</w:t>
      </w:r>
      <w:r w:rsidRPr="00083A4F">
        <w:rPr>
          <w:rFonts w:ascii="Arial" w:hAnsi="Arial" w:cs="Arial"/>
          <w:lang w:val="en-GB"/>
        </w:rPr>
        <w:noBreakHyphen/>
        <w:t>based replacement policies, which replace devices only when performance metrics indicate need, also contribute to reduced demand for new products and increased opportunities for refurbishment. In many professional contexts, refreshed devices meet performance requirements when supported by upgrades such as new batteries or solid</w:t>
      </w:r>
      <w:r w:rsidRPr="00083A4F">
        <w:rPr>
          <w:rFonts w:ascii="Arial" w:hAnsi="Arial" w:cs="Arial"/>
          <w:lang w:val="en-GB"/>
        </w:rPr>
        <w:noBreakHyphen/>
        <w:t>state drives.</w:t>
      </w:r>
    </w:p>
    <w:p w14:paraId="7CD00B58" w14:textId="77777777" w:rsidR="00450FA2" w:rsidRPr="00083A4F" w:rsidRDefault="00450FA2" w:rsidP="00E20DC3">
      <w:pPr>
        <w:pStyle w:val="Heading3"/>
        <w:rPr>
          <w:rFonts w:ascii="Arial" w:hAnsi="Arial" w:cs="Arial"/>
          <w:lang w:val="en-GB"/>
        </w:rPr>
      </w:pPr>
      <w:bookmarkStart w:id="38" w:name="_Toc224058793"/>
      <w:r w:rsidRPr="00083A4F">
        <w:rPr>
          <w:rFonts w:ascii="Arial" w:hAnsi="Arial" w:cs="Arial"/>
          <w:lang w:val="en-GB"/>
        </w:rPr>
        <w:t>4.5 Regulatory and Corporate Initiatives</w:t>
      </w:r>
      <w:bookmarkEnd w:id="38"/>
    </w:p>
    <w:p w14:paraId="5450231B" w14:textId="77777777" w:rsidR="00450FA2" w:rsidRPr="00083A4F" w:rsidRDefault="00450FA2" w:rsidP="00450FA2">
      <w:pPr>
        <w:rPr>
          <w:rFonts w:ascii="Arial" w:hAnsi="Arial" w:cs="Arial"/>
          <w:lang w:val="en-GB"/>
        </w:rPr>
      </w:pPr>
      <w:r w:rsidRPr="00083A4F">
        <w:rPr>
          <w:rFonts w:ascii="Arial" w:hAnsi="Arial" w:cs="Arial"/>
          <w:lang w:val="en-GB"/>
        </w:rPr>
        <w:t>Regulatory frameworks play a central role in shaping circular practices within IT hardware supply chains. The European Union has implemented some of the most comprehensive and influential policies in this area. The Ecodesign for Sustainable Products Regulation establishes design</w:t>
      </w:r>
      <w:r w:rsidRPr="00083A4F">
        <w:rPr>
          <w:rFonts w:ascii="Arial" w:hAnsi="Arial" w:cs="Arial"/>
          <w:lang w:val="en-GB"/>
        </w:rPr>
        <w:noBreakHyphen/>
        <w:t xml:space="preserve">related requirements that mandate durability, repairability, and resource efficiency across a wide range of product categories. The Digital Product Passport introduces traceability measures that make data about a </w:t>
      </w:r>
      <w:r w:rsidRPr="00083A4F">
        <w:rPr>
          <w:rFonts w:ascii="Arial" w:hAnsi="Arial" w:cs="Arial"/>
          <w:lang w:val="en-GB"/>
        </w:rPr>
        <w:lastRenderedPageBreak/>
        <w:t>device’s composition, repair instructions, and lifecycle performance accessible to authorised stakeholders.</w:t>
      </w:r>
    </w:p>
    <w:p w14:paraId="6D2BD6ED" w14:textId="77777777" w:rsidR="00450FA2" w:rsidRPr="00083A4F" w:rsidRDefault="00450FA2" w:rsidP="00450FA2">
      <w:pPr>
        <w:rPr>
          <w:rFonts w:ascii="Arial" w:hAnsi="Arial" w:cs="Arial"/>
          <w:lang w:val="en-GB"/>
        </w:rPr>
      </w:pPr>
      <w:r w:rsidRPr="00083A4F">
        <w:rPr>
          <w:rFonts w:ascii="Arial" w:hAnsi="Arial" w:cs="Arial"/>
          <w:lang w:val="en-GB"/>
        </w:rPr>
        <w:t>The Right</w:t>
      </w:r>
      <w:r w:rsidRPr="00083A4F">
        <w:rPr>
          <w:rFonts w:ascii="Arial" w:hAnsi="Arial" w:cs="Arial"/>
          <w:lang w:val="en-GB"/>
        </w:rPr>
        <w:noBreakHyphen/>
        <w:t>to</w:t>
      </w:r>
      <w:r w:rsidRPr="00083A4F">
        <w:rPr>
          <w:rFonts w:ascii="Arial" w:hAnsi="Arial" w:cs="Arial"/>
          <w:lang w:val="en-GB"/>
        </w:rPr>
        <w:noBreakHyphen/>
        <w:t>Repair Directive, adopted in 2024, requires manufacturers to provide spare parts at reasonable prices and prohibits practices that obstruct repair, such as embedded software barriers or proprietary fasteners. Member states must incorporate these rules into national law by July 2026, which is expected to advance repair access for many categories of IT equipment including laptops and mobile devices.</w:t>
      </w:r>
    </w:p>
    <w:p w14:paraId="55792A9D" w14:textId="77777777" w:rsidR="00450FA2" w:rsidRPr="00083A4F" w:rsidRDefault="00450FA2" w:rsidP="00450FA2">
      <w:pPr>
        <w:rPr>
          <w:rFonts w:ascii="Arial" w:hAnsi="Arial" w:cs="Arial"/>
          <w:lang w:val="en-GB"/>
        </w:rPr>
      </w:pPr>
      <w:r w:rsidRPr="00083A4F">
        <w:rPr>
          <w:rFonts w:ascii="Arial" w:hAnsi="Arial" w:cs="Arial"/>
          <w:lang w:val="en-GB"/>
        </w:rPr>
        <w:t>Beyond Europe, progress is more uneven. Several U.S. states have passed right</w:t>
      </w:r>
      <w:r w:rsidRPr="00083A4F">
        <w:rPr>
          <w:rFonts w:ascii="Arial" w:hAnsi="Arial" w:cs="Arial"/>
          <w:lang w:val="en-GB"/>
        </w:rPr>
        <w:noBreakHyphen/>
        <w:t>to</w:t>
      </w:r>
      <w:r w:rsidRPr="00083A4F">
        <w:rPr>
          <w:rFonts w:ascii="Arial" w:hAnsi="Arial" w:cs="Arial"/>
          <w:lang w:val="en-GB"/>
        </w:rPr>
        <w:noBreakHyphen/>
        <w:t>repair legislation, but national alignment remains limited. Many countries, including Australia, Japan, and South Korea, have expanded extended producer responsibility schemes or introduced financial incentives for recycling, trade</w:t>
      </w:r>
      <w:r w:rsidRPr="00083A4F">
        <w:rPr>
          <w:rFonts w:ascii="Arial" w:hAnsi="Arial" w:cs="Arial"/>
          <w:lang w:val="en-GB"/>
        </w:rPr>
        <w:noBreakHyphen/>
        <w:t>in, or repair. Informal recycling remains a dominant mode of processing in parts of Africa and Asia, signifying the continued need for global coordination and enforcement of transboundary e</w:t>
      </w:r>
      <w:r w:rsidRPr="00083A4F">
        <w:rPr>
          <w:rFonts w:ascii="Arial" w:hAnsi="Arial" w:cs="Arial"/>
          <w:lang w:val="en-GB"/>
        </w:rPr>
        <w:noBreakHyphen/>
        <w:t>waste policies.</w:t>
      </w:r>
    </w:p>
    <w:p w14:paraId="52519C38" w14:textId="77777777" w:rsidR="00F95186" w:rsidRPr="00083A4F" w:rsidRDefault="00F95186" w:rsidP="00F95186">
      <w:pPr>
        <w:rPr>
          <w:rFonts w:ascii="Arial" w:hAnsi="Arial" w:cs="Arial"/>
          <w:lang w:val="en-GB"/>
        </w:rPr>
      </w:pPr>
      <w:r w:rsidRPr="00083A4F">
        <w:rPr>
          <w:rFonts w:ascii="Arial" w:hAnsi="Arial" w:cs="Arial"/>
          <w:lang w:val="en-GB"/>
        </w:rPr>
        <w:t>Corporate initiatives illustrate both progress and limitations. Companies such as Dell, HP, Apple, Microsoft, and Lenovo have developed programmes that include device take</w:t>
      </w:r>
      <w:r w:rsidRPr="00083A4F">
        <w:rPr>
          <w:rFonts w:ascii="Arial" w:hAnsi="Arial" w:cs="Arial"/>
          <w:lang w:val="en-GB"/>
        </w:rPr>
        <w:noBreakHyphen/>
        <w:t>back, modular design pilots, robotic disassembly, and component</w:t>
      </w:r>
      <w:r w:rsidRPr="00083A4F">
        <w:rPr>
          <w:rFonts w:ascii="Arial" w:hAnsi="Arial" w:cs="Arial"/>
          <w:lang w:val="en-GB"/>
        </w:rPr>
        <w:noBreakHyphen/>
        <w:t>harvesting operations. However, inconsistencies remain in the degree to which manufacturers provide parts, tools, and repair documentation, and some corporate practices continue to hinder circularity despite public sustainability commitments.</w:t>
      </w:r>
    </w:p>
    <w:p w14:paraId="0B187B35" w14:textId="77777777" w:rsidR="00F95186" w:rsidRPr="00083A4F" w:rsidRDefault="00F95186" w:rsidP="00E20DC3">
      <w:pPr>
        <w:pStyle w:val="Heading3"/>
        <w:rPr>
          <w:rFonts w:ascii="Arial" w:hAnsi="Arial" w:cs="Arial"/>
          <w:lang w:val="en-GB"/>
        </w:rPr>
      </w:pPr>
      <w:bookmarkStart w:id="39" w:name="_Toc224058794"/>
      <w:r w:rsidRPr="00083A4F">
        <w:rPr>
          <w:rFonts w:ascii="Arial" w:hAnsi="Arial" w:cs="Arial"/>
          <w:lang w:val="en-GB"/>
        </w:rPr>
        <w:t>4.6 Barriers and Enablers in Practice</w:t>
      </w:r>
      <w:bookmarkEnd w:id="39"/>
    </w:p>
    <w:p w14:paraId="453B4B7D" w14:textId="10D2B4A3" w:rsidR="00F95186" w:rsidRPr="00083A4F" w:rsidRDefault="00F95186" w:rsidP="00F95186">
      <w:pPr>
        <w:rPr>
          <w:rFonts w:ascii="Arial" w:hAnsi="Arial" w:cs="Arial"/>
          <w:lang w:val="en-GB"/>
        </w:rPr>
      </w:pPr>
      <w:r w:rsidRPr="00083A4F">
        <w:rPr>
          <w:rFonts w:ascii="Arial" w:hAnsi="Arial" w:cs="Arial"/>
          <w:lang w:val="en-GB"/>
        </w:rPr>
        <w:t xml:space="preserve">Multiple barriers prevent circular practices from scaling effectively across IT supply chains. Design constraints remain a significant challenge. Devices with sealed batteries, restricted diagnostics, or heavy use of adhesives require more time and expertise to disassemble and repair, pushing </w:t>
      </w:r>
      <w:r w:rsidR="00A71646" w:rsidRPr="00083A4F">
        <w:rPr>
          <w:rFonts w:ascii="Arial" w:hAnsi="Arial" w:cs="Arial"/>
          <w:lang w:val="en-GB"/>
        </w:rPr>
        <w:t>refurbishes</w:t>
      </w:r>
      <w:r w:rsidRPr="00083A4F">
        <w:rPr>
          <w:rFonts w:ascii="Arial" w:hAnsi="Arial" w:cs="Arial"/>
          <w:lang w:val="en-GB"/>
        </w:rPr>
        <w:t xml:space="preserve"> toward device cannibalisation or recycling over full refurbishment. Parts</w:t>
      </w:r>
      <w:r w:rsidRPr="00083A4F">
        <w:rPr>
          <w:rFonts w:ascii="Arial" w:hAnsi="Arial" w:cs="Arial"/>
          <w:lang w:val="en-GB"/>
        </w:rPr>
        <w:noBreakHyphen/>
        <w:t>pairing technologies, which electronically bind components to specific motherboards, further limit refurbishment potential.</w:t>
      </w:r>
    </w:p>
    <w:p w14:paraId="12F4A38C" w14:textId="112FEC20" w:rsidR="00F95186" w:rsidRPr="00083A4F" w:rsidRDefault="00F95186" w:rsidP="00F95186">
      <w:pPr>
        <w:rPr>
          <w:rFonts w:ascii="Arial" w:hAnsi="Arial" w:cs="Arial"/>
          <w:lang w:val="en-GB"/>
        </w:rPr>
      </w:pPr>
      <w:r w:rsidRPr="00083A4F">
        <w:rPr>
          <w:rFonts w:ascii="Arial" w:hAnsi="Arial" w:cs="Arial"/>
          <w:lang w:val="en-GB"/>
        </w:rPr>
        <w:t>Economic barriers include low resale values for older devices, inconsistent availability of spare parts, and the relatively high cost of reverse</w:t>
      </w:r>
      <w:r w:rsidRPr="00083A4F">
        <w:rPr>
          <w:rFonts w:ascii="Arial" w:hAnsi="Arial" w:cs="Arial"/>
          <w:lang w:val="en-GB"/>
        </w:rPr>
        <w:noBreakHyphen/>
        <w:t>logistics operations. Externalised environmental costs mean that virgin materials remain cheaper than recycled alternatives, reducing incentives for manufacturers to incorporate secondary materials or invest in long</w:t>
      </w:r>
      <w:r w:rsidRPr="00083A4F">
        <w:rPr>
          <w:rFonts w:ascii="Arial" w:hAnsi="Arial" w:cs="Arial"/>
          <w:lang w:val="en-GB"/>
        </w:rPr>
        <w:noBreakHyphen/>
        <w:t>life designs.</w:t>
      </w:r>
    </w:p>
    <w:p w14:paraId="1B912CA7" w14:textId="77777777" w:rsidR="00776515" w:rsidRPr="00083A4F" w:rsidRDefault="00776515" w:rsidP="00776515">
      <w:pPr>
        <w:rPr>
          <w:rFonts w:ascii="Arial" w:hAnsi="Arial" w:cs="Arial"/>
          <w:lang w:val="en-GB"/>
        </w:rPr>
      </w:pPr>
      <w:r w:rsidRPr="00083A4F">
        <w:rPr>
          <w:rFonts w:ascii="Arial" w:hAnsi="Arial" w:cs="Arial"/>
          <w:lang w:val="en-GB"/>
        </w:rPr>
        <w:t>Behavioural and organisational factors also play a role. Enterprises often adhere to fixed refresh cycles rather than replacing devices based on condition or performance. Users may perceive refurbished devices as inferior, which affects demand even when performance differences are minimal. Skills shortages in repair and refurbishment professions reduce the capacity of the sector to expand.</w:t>
      </w:r>
    </w:p>
    <w:p w14:paraId="5E10160C" w14:textId="77777777" w:rsidR="00776515" w:rsidRPr="00083A4F" w:rsidRDefault="00776515" w:rsidP="00776515">
      <w:pPr>
        <w:rPr>
          <w:rFonts w:ascii="Arial" w:hAnsi="Arial" w:cs="Arial"/>
          <w:lang w:val="en-GB"/>
        </w:rPr>
      </w:pPr>
      <w:r w:rsidRPr="00083A4F">
        <w:rPr>
          <w:rFonts w:ascii="Arial" w:hAnsi="Arial" w:cs="Arial"/>
          <w:lang w:val="en-GB"/>
        </w:rPr>
        <w:t xml:space="preserve">Despite these obstacles, several enablers support the adoption of circular practices. These include design principles centred on modularity and repairability, access to spare </w:t>
      </w:r>
      <w:r w:rsidRPr="00083A4F">
        <w:rPr>
          <w:rFonts w:ascii="Arial" w:hAnsi="Arial" w:cs="Arial"/>
          <w:lang w:val="en-GB"/>
        </w:rPr>
        <w:lastRenderedPageBreak/>
        <w:t>parts and repair documentation, and the adoption of standardised data</w:t>
      </w:r>
      <w:r w:rsidRPr="00083A4F">
        <w:rPr>
          <w:rFonts w:ascii="Arial" w:hAnsi="Arial" w:cs="Arial"/>
          <w:lang w:val="en-GB"/>
        </w:rPr>
        <w:noBreakHyphen/>
        <w:t>sanitisation protocols. Certification schemes, transparent grading systems, repair</w:t>
      </w:r>
      <w:r w:rsidRPr="00083A4F">
        <w:rPr>
          <w:rFonts w:ascii="Arial" w:hAnsi="Arial" w:cs="Arial"/>
          <w:lang w:val="en-GB"/>
        </w:rPr>
        <w:noBreakHyphen/>
        <w:t>friendly regulations, and public</w:t>
      </w:r>
      <w:r w:rsidRPr="00083A4F">
        <w:rPr>
          <w:rFonts w:ascii="Arial" w:hAnsi="Arial" w:cs="Arial"/>
          <w:lang w:val="en-GB"/>
        </w:rPr>
        <w:noBreakHyphen/>
        <w:t>sector leadership in procurement all strengthen market confidence and encourage circular supply</w:t>
      </w:r>
      <w:r w:rsidRPr="00083A4F">
        <w:rPr>
          <w:rFonts w:ascii="Arial" w:hAnsi="Arial" w:cs="Arial"/>
          <w:lang w:val="en-GB"/>
        </w:rPr>
        <w:noBreakHyphen/>
        <w:t>chain development.</w:t>
      </w:r>
    </w:p>
    <w:p w14:paraId="19F99117" w14:textId="77777777" w:rsidR="00BA6A41" w:rsidRPr="00083A4F" w:rsidRDefault="00BA6A41" w:rsidP="00776515">
      <w:pPr>
        <w:rPr>
          <w:rFonts w:ascii="Arial" w:hAnsi="Arial" w:cs="Arial"/>
          <w:lang w:val="en-GB"/>
        </w:rPr>
      </w:pPr>
    </w:p>
    <w:p w14:paraId="6665ADAA" w14:textId="77777777" w:rsidR="007A7051" w:rsidRPr="00083A4F" w:rsidRDefault="007A7051" w:rsidP="00E20DC3">
      <w:pPr>
        <w:pStyle w:val="Heading3"/>
        <w:rPr>
          <w:rFonts w:ascii="Arial" w:hAnsi="Arial" w:cs="Arial"/>
          <w:lang w:val="en-GB"/>
        </w:rPr>
      </w:pPr>
      <w:bookmarkStart w:id="40" w:name="_Toc224058795"/>
      <w:r w:rsidRPr="00083A4F">
        <w:rPr>
          <w:rFonts w:ascii="Arial" w:hAnsi="Arial" w:cs="Arial"/>
          <w:lang w:val="en-GB"/>
        </w:rPr>
        <w:t>4.7 Discussion</w:t>
      </w:r>
      <w:bookmarkEnd w:id="40"/>
    </w:p>
    <w:p w14:paraId="65C4313E" w14:textId="77777777" w:rsidR="007A7051" w:rsidRPr="00083A4F" w:rsidRDefault="007A7051" w:rsidP="007A7051">
      <w:pPr>
        <w:rPr>
          <w:rFonts w:ascii="Arial" w:hAnsi="Arial" w:cs="Arial"/>
          <w:lang w:val="en-GB"/>
        </w:rPr>
      </w:pPr>
      <w:r w:rsidRPr="00083A4F">
        <w:rPr>
          <w:rFonts w:ascii="Arial" w:hAnsi="Arial" w:cs="Arial"/>
          <w:lang w:val="en-GB"/>
        </w:rPr>
        <w:t>The findings of this chapter point to a central conclusion: circularity in IT hardware supply chains depends on progress across several interconnected domains. Circularity cannot be achieved by focusing on a single element such as recycling or design. Instead, it requires simultaneous improvements in design practices, reverse</w:t>
      </w:r>
      <w:r w:rsidRPr="00083A4F">
        <w:rPr>
          <w:rFonts w:ascii="Arial" w:hAnsi="Arial" w:cs="Arial"/>
          <w:lang w:val="en-GB"/>
        </w:rPr>
        <w:noBreakHyphen/>
        <w:t>logistics systems, regulatory frameworks, data</w:t>
      </w:r>
      <w:r w:rsidRPr="00083A4F">
        <w:rPr>
          <w:rFonts w:ascii="Arial" w:hAnsi="Arial" w:cs="Arial"/>
          <w:lang w:val="en-GB"/>
        </w:rPr>
        <w:noBreakHyphen/>
        <w:t>sanitisation processes, and consumer perceptions.</w:t>
      </w:r>
    </w:p>
    <w:p w14:paraId="3BE34267" w14:textId="77777777" w:rsidR="007A7051" w:rsidRPr="00083A4F" w:rsidRDefault="007A7051" w:rsidP="007A7051">
      <w:pPr>
        <w:rPr>
          <w:rFonts w:ascii="Arial" w:hAnsi="Arial" w:cs="Arial"/>
          <w:lang w:val="en-GB"/>
        </w:rPr>
      </w:pPr>
      <w:r w:rsidRPr="00083A4F">
        <w:rPr>
          <w:rFonts w:ascii="Arial" w:hAnsi="Arial" w:cs="Arial"/>
          <w:lang w:val="en-GB"/>
        </w:rPr>
        <w:t>The dominance of manufacturing in environmental impacts underscores the importance of strategies that extend the usable life of equipment. Repair and refurbishment present highly effective means of reducing emissions and conserving resources when compared to recycling alone. Yet these strategies remain underutilised due to a combination of design barriers, default organisational behaviours, and inconsistent availability of secure sanitisation processes.</w:t>
      </w:r>
    </w:p>
    <w:p w14:paraId="5225E9A8" w14:textId="0AF3A943" w:rsidR="007A7051" w:rsidRPr="00083A4F" w:rsidRDefault="007A7051" w:rsidP="007A7051">
      <w:pPr>
        <w:rPr>
          <w:rFonts w:ascii="Arial" w:hAnsi="Arial" w:cs="Arial"/>
          <w:lang w:val="en-GB"/>
        </w:rPr>
      </w:pPr>
      <w:r w:rsidRPr="00083A4F">
        <w:rPr>
          <w:rFonts w:ascii="Arial" w:hAnsi="Arial" w:cs="Arial"/>
          <w:lang w:val="en-GB"/>
        </w:rPr>
        <w:t xml:space="preserve">Policy measures, particularly in the European Union, are reshaping the landscape by mandating stronger repairability standards and transparency requirements. These regulations are expected to accelerate market transformation, although their full effect will depend on enforcement and industry compliance. Corporate initiatives illustrate </w:t>
      </w:r>
      <w:r w:rsidR="00A71646" w:rsidRPr="00083A4F">
        <w:rPr>
          <w:rFonts w:ascii="Arial" w:hAnsi="Arial" w:cs="Arial"/>
          <w:lang w:val="en-GB"/>
        </w:rPr>
        <w:t>progress but</w:t>
      </w:r>
      <w:r w:rsidRPr="00083A4F">
        <w:rPr>
          <w:rFonts w:ascii="Arial" w:hAnsi="Arial" w:cs="Arial"/>
          <w:lang w:val="en-GB"/>
        </w:rPr>
        <w:t xml:space="preserve"> also highlight inconsistencies and the need for stronger governance to ensure that sustainability commitments translate into meaningful practice.</w:t>
      </w:r>
    </w:p>
    <w:p w14:paraId="79D6BAC5" w14:textId="650A8F2F" w:rsidR="007A7051" w:rsidRPr="00083A4F" w:rsidRDefault="007A7051" w:rsidP="007A7051">
      <w:pPr>
        <w:rPr>
          <w:rFonts w:ascii="Arial" w:hAnsi="Arial" w:cs="Arial"/>
          <w:lang w:val="en-GB"/>
        </w:rPr>
      </w:pPr>
      <w:r w:rsidRPr="00083A4F">
        <w:rPr>
          <w:rFonts w:ascii="Arial" w:hAnsi="Arial" w:cs="Arial"/>
          <w:lang w:val="en-GB"/>
        </w:rPr>
        <w:t>Ultimately, the interplay of incentives, capabilities, and cultural factors determines the degree to which organisations and consumers participate in circular systems. Circularity therefore represents a system</w:t>
      </w:r>
      <w:r w:rsidRPr="00083A4F">
        <w:rPr>
          <w:rFonts w:ascii="Arial" w:hAnsi="Arial" w:cs="Arial"/>
          <w:lang w:val="en-GB"/>
        </w:rPr>
        <w:noBreakHyphen/>
        <w:t xml:space="preserve">level transition requiring coordinated action among policymakers, manufacturers, </w:t>
      </w:r>
      <w:r w:rsidR="00A71646" w:rsidRPr="00083A4F">
        <w:rPr>
          <w:rFonts w:ascii="Arial" w:hAnsi="Arial" w:cs="Arial"/>
          <w:lang w:val="en-GB"/>
        </w:rPr>
        <w:t>refurbishes</w:t>
      </w:r>
      <w:r w:rsidRPr="00083A4F">
        <w:rPr>
          <w:rFonts w:ascii="Arial" w:hAnsi="Arial" w:cs="Arial"/>
          <w:lang w:val="en-GB"/>
        </w:rPr>
        <w:t>, and end users.</w:t>
      </w:r>
    </w:p>
    <w:p w14:paraId="1023E445" w14:textId="77777777" w:rsidR="00BA6A41" w:rsidRPr="00083A4F" w:rsidRDefault="00BA6A41" w:rsidP="007A7051">
      <w:pPr>
        <w:rPr>
          <w:rFonts w:ascii="Arial" w:hAnsi="Arial" w:cs="Arial"/>
          <w:lang w:val="en-GB"/>
        </w:rPr>
      </w:pPr>
    </w:p>
    <w:p w14:paraId="28ABC792" w14:textId="77777777" w:rsidR="00BA6A41" w:rsidRPr="00083A4F" w:rsidRDefault="00BA6A41" w:rsidP="007A7051">
      <w:pPr>
        <w:rPr>
          <w:rFonts w:ascii="Arial" w:hAnsi="Arial" w:cs="Arial"/>
          <w:lang w:val="en-GB"/>
        </w:rPr>
      </w:pPr>
    </w:p>
    <w:p w14:paraId="5E009E0C" w14:textId="77777777" w:rsidR="006F56E5" w:rsidRPr="00083A4F" w:rsidRDefault="006F56E5" w:rsidP="00E20DC3">
      <w:pPr>
        <w:pStyle w:val="Heading3"/>
        <w:rPr>
          <w:rFonts w:ascii="Arial" w:hAnsi="Arial" w:cs="Arial"/>
          <w:lang w:val="en-GB"/>
        </w:rPr>
      </w:pPr>
      <w:bookmarkStart w:id="41" w:name="_Toc224058796"/>
      <w:r w:rsidRPr="00083A4F">
        <w:rPr>
          <w:rFonts w:ascii="Arial" w:hAnsi="Arial" w:cs="Arial"/>
          <w:lang w:val="en-GB"/>
        </w:rPr>
        <w:t>4.8 Chapter Summary</w:t>
      </w:r>
      <w:bookmarkEnd w:id="41"/>
    </w:p>
    <w:p w14:paraId="58BC16E9" w14:textId="77777777" w:rsidR="006F56E5" w:rsidRPr="00083A4F" w:rsidRDefault="006F56E5" w:rsidP="006F56E5">
      <w:pPr>
        <w:rPr>
          <w:rFonts w:ascii="Arial" w:hAnsi="Arial" w:cs="Arial"/>
          <w:lang w:val="en-GB"/>
        </w:rPr>
      </w:pPr>
      <w:r w:rsidRPr="00083A4F">
        <w:rPr>
          <w:rFonts w:ascii="Arial" w:hAnsi="Arial" w:cs="Arial"/>
          <w:lang w:val="en-GB"/>
        </w:rPr>
        <w:t>This chapter has presented the findings of the study and discussed their implications for circularity in IT hardware supply chains. The analysis highlighted escalating e</w:t>
      </w:r>
      <w:r w:rsidRPr="00083A4F">
        <w:rPr>
          <w:rFonts w:ascii="Arial" w:hAnsi="Arial" w:cs="Arial"/>
          <w:lang w:val="en-GB"/>
        </w:rPr>
        <w:noBreakHyphen/>
        <w:t>waste volumes, the significant environmental impacts associated with manufacturing, and the underutilised potential of repair, refurbishment, and reuse.</w:t>
      </w:r>
    </w:p>
    <w:p w14:paraId="077B3997" w14:textId="77777777" w:rsidR="006F56E5" w:rsidRPr="00083A4F" w:rsidRDefault="006F56E5" w:rsidP="006F56E5">
      <w:pPr>
        <w:rPr>
          <w:rFonts w:ascii="Arial" w:hAnsi="Arial" w:cs="Arial"/>
          <w:lang w:val="en-GB"/>
        </w:rPr>
      </w:pPr>
      <w:r w:rsidRPr="00083A4F">
        <w:rPr>
          <w:rFonts w:ascii="Arial" w:hAnsi="Arial" w:cs="Arial"/>
          <w:lang w:val="en-GB"/>
        </w:rPr>
        <w:t xml:space="preserve">Regulatory developments in the European Union are driving improvements in repairability and transparency, while corporate initiatives demonstrate both opportunities and limitations in current approaches. Barriers to circularity remain significant, </w:t>
      </w:r>
      <w:r w:rsidRPr="00083A4F">
        <w:rPr>
          <w:rFonts w:ascii="Arial" w:hAnsi="Arial" w:cs="Arial"/>
          <w:lang w:val="en-GB"/>
        </w:rPr>
        <w:lastRenderedPageBreak/>
        <w:t>particularly in areas related to design, data security, consumer perceptions, and economic incentives. However, a range of enablers—including modular design, improved sanitisation processes, transparent grading systems, and supportive policy frameworks—provide viable pathways for expanding circular practices.</w:t>
      </w:r>
    </w:p>
    <w:p w14:paraId="70C58172" w14:textId="77777777" w:rsidR="001D6A6A" w:rsidRDefault="001D6A6A" w:rsidP="001D6A6A">
      <w:pPr>
        <w:rPr>
          <w:rFonts w:ascii="Arial" w:hAnsi="Arial" w:cs="Arial"/>
          <w:lang w:val="en-GB"/>
        </w:rPr>
      </w:pPr>
      <w:r w:rsidRPr="00083A4F">
        <w:rPr>
          <w:rFonts w:ascii="Arial" w:hAnsi="Arial" w:cs="Arial"/>
          <w:lang w:val="en-GB"/>
        </w:rPr>
        <w:t>The chapter concludes that achieving circularity requires coordinated progress across design, logistics, policy, markets, and organisational behaviour. The next chapter builds on these findings to provide recommendations and conclusions for improving circularity across IT hardware supply chains.</w:t>
      </w:r>
    </w:p>
    <w:p w14:paraId="663173C2" w14:textId="77777777" w:rsidR="00E47261" w:rsidRDefault="00E47261" w:rsidP="001D6A6A">
      <w:pPr>
        <w:rPr>
          <w:rFonts w:ascii="Arial" w:hAnsi="Arial" w:cs="Arial"/>
          <w:lang w:val="en-GB"/>
        </w:rPr>
      </w:pPr>
    </w:p>
    <w:p w14:paraId="437C9DE4" w14:textId="77777777" w:rsidR="00E47261" w:rsidRDefault="00E47261" w:rsidP="001D6A6A">
      <w:pPr>
        <w:rPr>
          <w:rFonts w:ascii="Arial" w:hAnsi="Arial" w:cs="Arial"/>
          <w:lang w:val="en-GB"/>
        </w:rPr>
      </w:pPr>
    </w:p>
    <w:p w14:paraId="1767B5B7" w14:textId="77777777" w:rsidR="00E47261" w:rsidRDefault="00E47261" w:rsidP="001D6A6A">
      <w:pPr>
        <w:rPr>
          <w:rFonts w:ascii="Arial" w:hAnsi="Arial" w:cs="Arial"/>
          <w:lang w:val="en-GB"/>
        </w:rPr>
      </w:pPr>
    </w:p>
    <w:p w14:paraId="6C2D28FD" w14:textId="77777777" w:rsidR="00E47261" w:rsidRDefault="00E47261" w:rsidP="001D6A6A">
      <w:pPr>
        <w:rPr>
          <w:rFonts w:ascii="Arial" w:hAnsi="Arial" w:cs="Arial"/>
          <w:lang w:val="en-GB"/>
        </w:rPr>
      </w:pPr>
    </w:p>
    <w:p w14:paraId="2762D59B" w14:textId="77777777" w:rsidR="00E47261" w:rsidRDefault="00E47261" w:rsidP="001D6A6A">
      <w:pPr>
        <w:rPr>
          <w:rFonts w:ascii="Arial" w:hAnsi="Arial" w:cs="Arial"/>
          <w:lang w:val="en-GB"/>
        </w:rPr>
      </w:pPr>
    </w:p>
    <w:p w14:paraId="1BE9DF10" w14:textId="77777777" w:rsidR="00E47261" w:rsidRDefault="00E47261" w:rsidP="001D6A6A">
      <w:pPr>
        <w:rPr>
          <w:rFonts w:ascii="Arial" w:hAnsi="Arial" w:cs="Arial"/>
          <w:lang w:val="en-GB"/>
        </w:rPr>
      </w:pPr>
    </w:p>
    <w:p w14:paraId="264A497E" w14:textId="77777777" w:rsidR="00E47261" w:rsidRDefault="00E47261" w:rsidP="001D6A6A">
      <w:pPr>
        <w:rPr>
          <w:rFonts w:ascii="Arial" w:hAnsi="Arial" w:cs="Arial"/>
          <w:lang w:val="en-GB"/>
        </w:rPr>
      </w:pPr>
    </w:p>
    <w:p w14:paraId="0627CC71" w14:textId="77777777" w:rsidR="00E47261" w:rsidRPr="00083A4F" w:rsidRDefault="00E47261" w:rsidP="00E47261">
      <w:pPr>
        <w:spacing w:line="360" w:lineRule="auto"/>
        <w:rPr>
          <w:rFonts w:ascii="Arial" w:hAnsi="Arial" w:cs="Arial"/>
          <w:lang w:val="en-GB"/>
        </w:rPr>
      </w:pPr>
    </w:p>
    <w:p w14:paraId="74D834D9" w14:textId="77777777" w:rsidR="00776515" w:rsidRPr="00083A4F" w:rsidRDefault="00776515" w:rsidP="00F95186">
      <w:pPr>
        <w:rPr>
          <w:rFonts w:ascii="Arial" w:hAnsi="Arial" w:cs="Arial"/>
          <w:lang w:val="en-GB"/>
        </w:rPr>
      </w:pPr>
    </w:p>
    <w:p w14:paraId="69365FE9" w14:textId="77777777" w:rsidR="00B07222" w:rsidRPr="00083A4F" w:rsidRDefault="00B07222" w:rsidP="00F35293">
      <w:pPr>
        <w:pStyle w:val="NormalWeb"/>
        <w:rPr>
          <w:rFonts w:ascii="Arial" w:hAnsi="Arial" w:cs="Arial"/>
        </w:rPr>
      </w:pPr>
    </w:p>
    <w:p w14:paraId="149533F7" w14:textId="77777777" w:rsidR="00814960" w:rsidRPr="00083A4F" w:rsidRDefault="00814960" w:rsidP="00814960">
      <w:pPr>
        <w:keepNext/>
        <w:keepLines/>
        <w:spacing w:before="200" w:after="0"/>
        <w:outlineLvl w:val="2"/>
        <w:rPr>
          <w:rFonts w:ascii="Arial" w:eastAsiaTheme="majorEastAsia" w:hAnsi="Arial" w:cs="Arial"/>
          <w:b/>
          <w:bCs/>
          <w:color w:val="4F81BD" w:themeColor="accent1"/>
          <w:sz w:val="24"/>
        </w:rPr>
      </w:pPr>
      <w:bookmarkStart w:id="42" w:name="_Toc224058797"/>
      <w:r w:rsidRPr="00083A4F">
        <w:rPr>
          <w:rFonts w:ascii="Arial" w:eastAsiaTheme="majorEastAsia" w:hAnsi="Arial" w:cs="Arial"/>
          <w:b/>
          <w:bCs/>
          <w:color w:val="4F81BD" w:themeColor="accent1"/>
          <w:sz w:val="24"/>
        </w:rPr>
        <w:t>Table 4.x: Summary of key sources</w:t>
      </w:r>
      <w:bookmarkEnd w:id="42"/>
    </w:p>
    <w:p w14:paraId="182E54BF" w14:textId="77777777" w:rsidR="00D02041" w:rsidRPr="00083A4F" w:rsidRDefault="00D02041" w:rsidP="00814960">
      <w:pPr>
        <w:keepNext/>
        <w:keepLines/>
        <w:spacing w:before="200" w:after="0"/>
        <w:outlineLvl w:val="2"/>
        <w:rPr>
          <w:rFonts w:ascii="Arial" w:eastAsiaTheme="majorEastAsia" w:hAnsi="Arial" w:cs="Arial"/>
          <w:b/>
          <w:bCs/>
          <w:color w:val="4F81BD" w:themeColor="accent1"/>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76"/>
        <w:gridCol w:w="2875"/>
        <w:gridCol w:w="2879"/>
      </w:tblGrid>
      <w:tr w:rsidR="00814960" w:rsidRPr="00083A4F" w14:paraId="0C3184C7" w14:textId="77777777" w:rsidTr="00D02041">
        <w:tc>
          <w:tcPr>
            <w:tcW w:w="2880" w:type="dxa"/>
          </w:tcPr>
          <w:p w14:paraId="3AF741F4" w14:textId="77777777" w:rsidR="00814960" w:rsidRPr="00083A4F" w:rsidRDefault="00814960" w:rsidP="00814960">
            <w:pPr>
              <w:rPr>
                <w:rFonts w:ascii="Arial" w:hAnsi="Arial" w:cs="Arial"/>
                <w:sz w:val="24"/>
              </w:rPr>
            </w:pPr>
            <w:r w:rsidRPr="00083A4F">
              <w:rPr>
                <w:rFonts w:ascii="Arial" w:hAnsi="Arial" w:cs="Arial"/>
                <w:sz w:val="24"/>
              </w:rPr>
              <w:t>Author(s)</w:t>
            </w:r>
          </w:p>
        </w:tc>
        <w:tc>
          <w:tcPr>
            <w:tcW w:w="2880" w:type="dxa"/>
          </w:tcPr>
          <w:p w14:paraId="3AAA0276" w14:textId="77777777" w:rsidR="00814960" w:rsidRPr="00083A4F" w:rsidRDefault="00814960" w:rsidP="00814960">
            <w:pPr>
              <w:rPr>
                <w:rFonts w:ascii="Arial" w:hAnsi="Arial" w:cs="Arial"/>
                <w:sz w:val="24"/>
              </w:rPr>
            </w:pPr>
            <w:r w:rsidRPr="00083A4F">
              <w:rPr>
                <w:rFonts w:ascii="Arial" w:hAnsi="Arial" w:cs="Arial"/>
                <w:sz w:val="24"/>
              </w:rPr>
              <w:t>Year(s)</w:t>
            </w:r>
          </w:p>
        </w:tc>
        <w:tc>
          <w:tcPr>
            <w:tcW w:w="2880" w:type="dxa"/>
          </w:tcPr>
          <w:p w14:paraId="272D3406" w14:textId="77777777" w:rsidR="00814960" w:rsidRPr="00083A4F" w:rsidRDefault="00814960" w:rsidP="00814960">
            <w:pPr>
              <w:rPr>
                <w:rFonts w:ascii="Arial" w:hAnsi="Arial" w:cs="Arial"/>
                <w:sz w:val="24"/>
              </w:rPr>
            </w:pPr>
            <w:r w:rsidRPr="00083A4F">
              <w:rPr>
                <w:rFonts w:ascii="Arial" w:hAnsi="Arial" w:cs="Arial"/>
                <w:sz w:val="24"/>
              </w:rPr>
              <w:t>Focus / Key Finding</w:t>
            </w:r>
          </w:p>
        </w:tc>
      </w:tr>
      <w:tr w:rsidR="00814960" w:rsidRPr="00083A4F" w14:paraId="3CFA68E9" w14:textId="77777777" w:rsidTr="00D02041">
        <w:tc>
          <w:tcPr>
            <w:tcW w:w="2880" w:type="dxa"/>
          </w:tcPr>
          <w:p w14:paraId="62BF7B6A" w14:textId="77777777" w:rsidR="00814960" w:rsidRPr="00083A4F" w:rsidRDefault="00814960" w:rsidP="00814960">
            <w:pPr>
              <w:rPr>
                <w:rFonts w:ascii="Arial" w:hAnsi="Arial" w:cs="Arial"/>
                <w:sz w:val="24"/>
              </w:rPr>
            </w:pPr>
            <w:r w:rsidRPr="00083A4F">
              <w:rPr>
                <w:rFonts w:ascii="Arial" w:hAnsi="Arial" w:cs="Arial"/>
                <w:sz w:val="24"/>
              </w:rPr>
              <w:t>Ercan et al.</w:t>
            </w:r>
          </w:p>
        </w:tc>
        <w:tc>
          <w:tcPr>
            <w:tcW w:w="2880" w:type="dxa"/>
          </w:tcPr>
          <w:p w14:paraId="66EE8964" w14:textId="77777777" w:rsidR="00814960" w:rsidRPr="00083A4F" w:rsidRDefault="00814960" w:rsidP="00814960">
            <w:pPr>
              <w:rPr>
                <w:rFonts w:ascii="Arial" w:hAnsi="Arial" w:cs="Arial"/>
                <w:sz w:val="24"/>
              </w:rPr>
            </w:pPr>
            <w:r w:rsidRPr="00083A4F">
              <w:rPr>
                <w:rFonts w:ascii="Arial" w:hAnsi="Arial" w:cs="Arial"/>
                <w:sz w:val="24"/>
              </w:rPr>
              <w:t>2016</w:t>
            </w:r>
          </w:p>
        </w:tc>
        <w:tc>
          <w:tcPr>
            <w:tcW w:w="2880" w:type="dxa"/>
          </w:tcPr>
          <w:p w14:paraId="6819B324" w14:textId="77777777" w:rsidR="00814960" w:rsidRPr="00083A4F" w:rsidRDefault="00814960" w:rsidP="00814960">
            <w:pPr>
              <w:rPr>
                <w:rFonts w:ascii="Arial" w:hAnsi="Arial" w:cs="Arial"/>
                <w:sz w:val="24"/>
              </w:rPr>
            </w:pPr>
            <w:r w:rsidRPr="00083A4F">
              <w:rPr>
                <w:rFonts w:ascii="Arial" w:hAnsi="Arial" w:cs="Arial"/>
                <w:sz w:val="24"/>
              </w:rPr>
              <w:t>Smartphone LCA; manufacturing hotspot; lifetime extension benefit</w:t>
            </w:r>
          </w:p>
        </w:tc>
      </w:tr>
      <w:tr w:rsidR="00814960" w:rsidRPr="00083A4F" w14:paraId="6D11D1DF" w14:textId="77777777" w:rsidTr="00D02041">
        <w:tc>
          <w:tcPr>
            <w:tcW w:w="2880" w:type="dxa"/>
          </w:tcPr>
          <w:p w14:paraId="6D977DA5" w14:textId="77777777" w:rsidR="00814960" w:rsidRPr="00083A4F" w:rsidRDefault="00814960" w:rsidP="00814960">
            <w:pPr>
              <w:rPr>
                <w:rFonts w:ascii="Arial" w:hAnsi="Arial" w:cs="Arial"/>
                <w:sz w:val="24"/>
              </w:rPr>
            </w:pPr>
            <w:r w:rsidRPr="00083A4F">
              <w:rPr>
                <w:rFonts w:ascii="Arial" w:hAnsi="Arial" w:cs="Arial"/>
                <w:sz w:val="24"/>
              </w:rPr>
              <w:t>Ericsson Research</w:t>
            </w:r>
          </w:p>
        </w:tc>
        <w:tc>
          <w:tcPr>
            <w:tcW w:w="2880" w:type="dxa"/>
          </w:tcPr>
          <w:p w14:paraId="67BC1C53" w14:textId="77777777" w:rsidR="00814960" w:rsidRPr="00083A4F" w:rsidRDefault="00814960" w:rsidP="00814960">
            <w:pPr>
              <w:rPr>
                <w:rFonts w:ascii="Arial" w:hAnsi="Arial" w:cs="Arial"/>
                <w:sz w:val="24"/>
              </w:rPr>
            </w:pPr>
            <w:r w:rsidRPr="00083A4F">
              <w:rPr>
                <w:rFonts w:ascii="Arial" w:hAnsi="Arial" w:cs="Arial"/>
                <w:sz w:val="24"/>
              </w:rPr>
              <w:t>2016</w:t>
            </w:r>
          </w:p>
        </w:tc>
        <w:tc>
          <w:tcPr>
            <w:tcW w:w="2880" w:type="dxa"/>
          </w:tcPr>
          <w:p w14:paraId="36977FE2" w14:textId="77777777" w:rsidR="00814960" w:rsidRPr="00083A4F" w:rsidRDefault="00814960" w:rsidP="00814960">
            <w:pPr>
              <w:rPr>
                <w:rFonts w:ascii="Arial" w:hAnsi="Arial" w:cs="Arial"/>
                <w:sz w:val="24"/>
              </w:rPr>
            </w:pPr>
            <w:r w:rsidRPr="00083A4F">
              <w:rPr>
                <w:rFonts w:ascii="Arial" w:hAnsi="Arial" w:cs="Arial"/>
                <w:sz w:val="24"/>
              </w:rPr>
              <w:t xml:space="preserve">Allocation to device vs. network/data </w:t>
            </w:r>
            <w:proofErr w:type="spellStart"/>
            <w:r w:rsidRPr="00083A4F">
              <w:rPr>
                <w:rFonts w:ascii="Arial" w:hAnsi="Arial" w:cs="Arial"/>
                <w:sz w:val="24"/>
              </w:rPr>
              <w:t>centres</w:t>
            </w:r>
            <w:proofErr w:type="spellEnd"/>
            <w:r w:rsidRPr="00083A4F">
              <w:rPr>
                <w:rFonts w:ascii="Arial" w:hAnsi="Arial" w:cs="Arial"/>
                <w:sz w:val="24"/>
              </w:rPr>
              <w:t xml:space="preserve">; </w:t>
            </w:r>
            <w:proofErr w:type="spellStart"/>
            <w:r w:rsidRPr="00083A4F">
              <w:rPr>
                <w:rFonts w:ascii="Arial" w:hAnsi="Arial" w:cs="Arial"/>
                <w:sz w:val="24"/>
              </w:rPr>
              <w:t>annualised</w:t>
            </w:r>
            <w:proofErr w:type="spellEnd"/>
            <w:r w:rsidRPr="00083A4F">
              <w:rPr>
                <w:rFonts w:ascii="Arial" w:hAnsi="Arial" w:cs="Arial"/>
                <w:sz w:val="24"/>
              </w:rPr>
              <w:t xml:space="preserve"> footprints</w:t>
            </w:r>
          </w:p>
        </w:tc>
      </w:tr>
      <w:tr w:rsidR="00814960" w:rsidRPr="00083A4F" w14:paraId="15DFA2B2" w14:textId="77777777" w:rsidTr="00D02041">
        <w:tc>
          <w:tcPr>
            <w:tcW w:w="2880" w:type="dxa"/>
          </w:tcPr>
          <w:p w14:paraId="5FAD50DF" w14:textId="77777777" w:rsidR="00814960" w:rsidRPr="00083A4F" w:rsidRDefault="00814960" w:rsidP="00814960">
            <w:pPr>
              <w:rPr>
                <w:rFonts w:ascii="Arial" w:hAnsi="Arial" w:cs="Arial"/>
                <w:sz w:val="24"/>
              </w:rPr>
            </w:pPr>
            <w:r w:rsidRPr="00083A4F">
              <w:rPr>
                <w:rFonts w:ascii="Arial" w:hAnsi="Arial" w:cs="Arial"/>
                <w:sz w:val="24"/>
              </w:rPr>
              <w:t>ITU &amp; UNITAR</w:t>
            </w:r>
          </w:p>
        </w:tc>
        <w:tc>
          <w:tcPr>
            <w:tcW w:w="2880" w:type="dxa"/>
          </w:tcPr>
          <w:p w14:paraId="17045467" w14:textId="77777777" w:rsidR="00814960" w:rsidRPr="00083A4F" w:rsidRDefault="00814960" w:rsidP="00814960">
            <w:pPr>
              <w:rPr>
                <w:rFonts w:ascii="Arial" w:hAnsi="Arial" w:cs="Arial"/>
                <w:sz w:val="24"/>
              </w:rPr>
            </w:pPr>
            <w:r w:rsidRPr="00083A4F">
              <w:rPr>
                <w:rFonts w:ascii="Arial" w:hAnsi="Arial" w:cs="Arial"/>
                <w:sz w:val="24"/>
              </w:rPr>
              <w:t>2024</w:t>
            </w:r>
          </w:p>
        </w:tc>
        <w:tc>
          <w:tcPr>
            <w:tcW w:w="2880" w:type="dxa"/>
          </w:tcPr>
          <w:p w14:paraId="1C26C1A5" w14:textId="77777777" w:rsidR="00814960" w:rsidRPr="00083A4F" w:rsidRDefault="00814960" w:rsidP="00814960">
            <w:pPr>
              <w:rPr>
                <w:rFonts w:ascii="Arial" w:hAnsi="Arial" w:cs="Arial"/>
                <w:sz w:val="24"/>
              </w:rPr>
            </w:pPr>
            <w:r w:rsidRPr="00083A4F">
              <w:rPr>
                <w:rFonts w:ascii="Arial" w:hAnsi="Arial" w:cs="Arial"/>
                <w:sz w:val="24"/>
              </w:rPr>
              <w:t>Global E</w:t>
            </w:r>
            <w:r w:rsidRPr="00083A4F">
              <w:rPr>
                <w:rFonts w:ascii="Cambria Math" w:hAnsi="Cambria Math" w:cs="Cambria Math"/>
                <w:sz w:val="24"/>
              </w:rPr>
              <w:t>‑</w:t>
            </w:r>
            <w:r w:rsidRPr="00083A4F">
              <w:rPr>
                <w:rFonts w:ascii="Arial" w:hAnsi="Arial" w:cs="Arial"/>
                <w:sz w:val="24"/>
              </w:rPr>
              <w:t>waste Monitor; scale and projections; informal sector context</w:t>
            </w:r>
          </w:p>
        </w:tc>
      </w:tr>
      <w:tr w:rsidR="00814960" w:rsidRPr="00083A4F" w14:paraId="5AF5F09B" w14:textId="77777777" w:rsidTr="00D02041">
        <w:tc>
          <w:tcPr>
            <w:tcW w:w="2880" w:type="dxa"/>
          </w:tcPr>
          <w:p w14:paraId="3F7152A4" w14:textId="77777777" w:rsidR="00814960" w:rsidRPr="00083A4F" w:rsidRDefault="00814960" w:rsidP="00814960">
            <w:pPr>
              <w:rPr>
                <w:rFonts w:ascii="Arial" w:hAnsi="Arial" w:cs="Arial"/>
                <w:sz w:val="24"/>
              </w:rPr>
            </w:pPr>
            <w:r w:rsidRPr="00083A4F">
              <w:rPr>
                <w:rFonts w:ascii="Arial" w:hAnsi="Arial" w:cs="Arial"/>
                <w:sz w:val="24"/>
              </w:rPr>
              <w:lastRenderedPageBreak/>
              <w:t>NIST</w:t>
            </w:r>
          </w:p>
        </w:tc>
        <w:tc>
          <w:tcPr>
            <w:tcW w:w="2880" w:type="dxa"/>
          </w:tcPr>
          <w:p w14:paraId="797C3E75" w14:textId="77777777" w:rsidR="00814960" w:rsidRPr="00083A4F" w:rsidRDefault="00814960" w:rsidP="00814960">
            <w:pPr>
              <w:rPr>
                <w:rFonts w:ascii="Arial" w:hAnsi="Arial" w:cs="Arial"/>
                <w:sz w:val="24"/>
              </w:rPr>
            </w:pPr>
            <w:r w:rsidRPr="00083A4F">
              <w:rPr>
                <w:rFonts w:ascii="Arial" w:hAnsi="Arial" w:cs="Arial"/>
                <w:sz w:val="24"/>
              </w:rPr>
              <w:t>2014</w:t>
            </w:r>
          </w:p>
        </w:tc>
        <w:tc>
          <w:tcPr>
            <w:tcW w:w="2880" w:type="dxa"/>
          </w:tcPr>
          <w:p w14:paraId="2E750963" w14:textId="77777777" w:rsidR="00814960" w:rsidRPr="00083A4F" w:rsidRDefault="00814960" w:rsidP="00814960">
            <w:pPr>
              <w:rPr>
                <w:rFonts w:ascii="Arial" w:hAnsi="Arial" w:cs="Arial"/>
                <w:sz w:val="24"/>
              </w:rPr>
            </w:pPr>
            <w:r w:rsidRPr="00083A4F">
              <w:rPr>
                <w:rFonts w:ascii="Arial" w:hAnsi="Arial" w:cs="Arial"/>
                <w:sz w:val="24"/>
              </w:rPr>
              <w:t xml:space="preserve">SP </w:t>
            </w:r>
            <w:proofErr w:type="gramStart"/>
            <w:r w:rsidRPr="00083A4F">
              <w:rPr>
                <w:rFonts w:ascii="Arial" w:hAnsi="Arial" w:cs="Arial"/>
                <w:sz w:val="24"/>
              </w:rPr>
              <w:t>800</w:t>
            </w:r>
            <w:r w:rsidRPr="00083A4F">
              <w:rPr>
                <w:rFonts w:ascii="Cambria Math" w:hAnsi="Cambria Math" w:cs="Cambria Math"/>
                <w:sz w:val="24"/>
              </w:rPr>
              <w:t>‑</w:t>
            </w:r>
            <w:r w:rsidRPr="00083A4F">
              <w:rPr>
                <w:rFonts w:ascii="Arial" w:hAnsi="Arial" w:cs="Arial"/>
                <w:sz w:val="24"/>
              </w:rPr>
              <w:t>88</w:t>
            </w:r>
            <w:proofErr w:type="gramEnd"/>
            <w:r w:rsidRPr="00083A4F">
              <w:rPr>
                <w:rFonts w:ascii="Arial" w:hAnsi="Arial" w:cs="Arial"/>
                <w:sz w:val="24"/>
              </w:rPr>
              <w:t xml:space="preserve"> Rev.1 media sanitization (clear/purge/destroy; verification)</w:t>
            </w:r>
          </w:p>
        </w:tc>
      </w:tr>
      <w:tr w:rsidR="00814960" w:rsidRPr="00083A4F" w14:paraId="3630F037" w14:textId="77777777" w:rsidTr="00D02041">
        <w:tc>
          <w:tcPr>
            <w:tcW w:w="2880" w:type="dxa"/>
          </w:tcPr>
          <w:p w14:paraId="281C5BC0" w14:textId="77777777" w:rsidR="00814960" w:rsidRPr="00083A4F" w:rsidRDefault="00814960" w:rsidP="00814960">
            <w:pPr>
              <w:rPr>
                <w:rFonts w:ascii="Arial" w:hAnsi="Arial" w:cs="Arial"/>
                <w:sz w:val="24"/>
              </w:rPr>
            </w:pPr>
            <w:r w:rsidRPr="00083A4F">
              <w:rPr>
                <w:rFonts w:ascii="Arial" w:hAnsi="Arial" w:cs="Arial"/>
                <w:sz w:val="24"/>
              </w:rPr>
              <w:t>Fairphone / iFixit</w:t>
            </w:r>
          </w:p>
        </w:tc>
        <w:tc>
          <w:tcPr>
            <w:tcW w:w="2880" w:type="dxa"/>
          </w:tcPr>
          <w:p w14:paraId="62F8AEBD" w14:textId="77777777" w:rsidR="00814960" w:rsidRPr="00083A4F" w:rsidRDefault="00814960" w:rsidP="00814960">
            <w:pPr>
              <w:rPr>
                <w:rFonts w:ascii="Arial" w:hAnsi="Arial" w:cs="Arial"/>
                <w:sz w:val="24"/>
              </w:rPr>
            </w:pPr>
            <w:r w:rsidRPr="00083A4F">
              <w:rPr>
                <w:rFonts w:ascii="Arial" w:hAnsi="Arial" w:cs="Arial"/>
                <w:sz w:val="24"/>
              </w:rPr>
              <w:t>2023–2026</w:t>
            </w:r>
          </w:p>
        </w:tc>
        <w:tc>
          <w:tcPr>
            <w:tcW w:w="2880" w:type="dxa"/>
          </w:tcPr>
          <w:p w14:paraId="79546844" w14:textId="77777777" w:rsidR="00814960" w:rsidRPr="00083A4F" w:rsidRDefault="00814960" w:rsidP="00814960">
            <w:pPr>
              <w:rPr>
                <w:rFonts w:ascii="Arial" w:hAnsi="Arial" w:cs="Arial"/>
                <w:sz w:val="24"/>
              </w:rPr>
            </w:pPr>
            <w:r w:rsidRPr="00083A4F">
              <w:rPr>
                <w:rFonts w:ascii="Arial" w:hAnsi="Arial" w:cs="Arial"/>
                <w:sz w:val="24"/>
              </w:rPr>
              <w:t>High repairability via modular design; parts availability</w:t>
            </w:r>
          </w:p>
        </w:tc>
      </w:tr>
      <w:tr w:rsidR="00814960" w:rsidRPr="00083A4F" w14:paraId="65DF9580" w14:textId="77777777" w:rsidTr="00D02041">
        <w:tc>
          <w:tcPr>
            <w:tcW w:w="2880" w:type="dxa"/>
          </w:tcPr>
          <w:p w14:paraId="0E7C3D08" w14:textId="77777777" w:rsidR="00814960" w:rsidRPr="00083A4F" w:rsidRDefault="00814960" w:rsidP="00814960">
            <w:pPr>
              <w:rPr>
                <w:rFonts w:ascii="Arial" w:hAnsi="Arial" w:cs="Arial"/>
                <w:sz w:val="24"/>
              </w:rPr>
            </w:pPr>
            <w:r w:rsidRPr="00083A4F">
              <w:rPr>
                <w:rFonts w:ascii="Arial" w:hAnsi="Arial" w:cs="Arial"/>
                <w:sz w:val="24"/>
              </w:rPr>
              <w:t>GS1 / EPD Guide</w:t>
            </w:r>
          </w:p>
        </w:tc>
        <w:tc>
          <w:tcPr>
            <w:tcW w:w="2880" w:type="dxa"/>
          </w:tcPr>
          <w:p w14:paraId="4F3E2795" w14:textId="77777777" w:rsidR="00814960" w:rsidRPr="00083A4F" w:rsidRDefault="00814960" w:rsidP="00814960">
            <w:pPr>
              <w:rPr>
                <w:rFonts w:ascii="Arial" w:hAnsi="Arial" w:cs="Arial"/>
                <w:sz w:val="24"/>
              </w:rPr>
            </w:pPr>
            <w:r w:rsidRPr="00083A4F">
              <w:rPr>
                <w:rFonts w:ascii="Arial" w:hAnsi="Arial" w:cs="Arial"/>
                <w:sz w:val="24"/>
              </w:rPr>
              <w:t>2025</w:t>
            </w:r>
          </w:p>
        </w:tc>
        <w:tc>
          <w:tcPr>
            <w:tcW w:w="2880" w:type="dxa"/>
          </w:tcPr>
          <w:p w14:paraId="1E816A81" w14:textId="77777777" w:rsidR="00814960" w:rsidRPr="00083A4F" w:rsidRDefault="00814960" w:rsidP="00814960">
            <w:pPr>
              <w:rPr>
                <w:rFonts w:ascii="Arial" w:hAnsi="Arial" w:cs="Arial"/>
                <w:sz w:val="24"/>
              </w:rPr>
            </w:pPr>
            <w:r w:rsidRPr="00083A4F">
              <w:rPr>
                <w:rFonts w:ascii="Arial" w:hAnsi="Arial" w:cs="Arial"/>
                <w:sz w:val="24"/>
              </w:rPr>
              <w:t>Digital Product Passport implementation guidance</w:t>
            </w:r>
          </w:p>
        </w:tc>
      </w:tr>
      <w:tr w:rsidR="00814960" w:rsidRPr="00083A4F" w14:paraId="367A9AC8" w14:textId="77777777" w:rsidTr="00D02041">
        <w:tc>
          <w:tcPr>
            <w:tcW w:w="2880" w:type="dxa"/>
          </w:tcPr>
          <w:p w14:paraId="4D774A02" w14:textId="77777777" w:rsidR="00814960" w:rsidRPr="00083A4F" w:rsidRDefault="00814960" w:rsidP="00814960">
            <w:pPr>
              <w:rPr>
                <w:rFonts w:ascii="Arial" w:hAnsi="Arial" w:cs="Arial"/>
                <w:sz w:val="24"/>
              </w:rPr>
            </w:pPr>
            <w:r w:rsidRPr="00083A4F">
              <w:rPr>
                <w:rFonts w:ascii="Arial" w:hAnsi="Arial" w:cs="Arial"/>
                <w:sz w:val="24"/>
              </w:rPr>
              <w:t>European Commission / EU</w:t>
            </w:r>
          </w:p>
        </w:tc>
        <w:tc>
          <w:tcPr>
            <w:tcW w:w="2880" w:type="dxa"/>
          </w:tcPr>
          <w:p w14:paraId="745F07E3" w14:textId="77777777" w:rsidR="00814960" w:rsidRPr="00083A4F" w:rsidRDefault="00814960" w:rsidP="00814960">
            <w:pPr>
              <w:rPr>
                <w:rFonts w:ascii="Arial" w:hAnsi="Arial" w:cs="Arial"/>
                <w:sz w:val="24"/>
              </w:rPr>
            </w:pPr>
            <w:r w:rsidRPr="00083A4F">
              <w:rPr>
                <w:rFonts w:ascii="Arial" w:hAnsi="Arial" w:cs="Arial"/>
                <w:sz w:val="24"/>
              </w:rPr>
              <w:t>2024–2025</w:t>
            </w:r>
          </w:p>
        </w:tc>
        <w:tc>
          <w:tcPr>
            <w:tcW w:w="2880" w:type="dxa"/>
          </w:tcPr>
          <w:p w14:paraId="7CBE9582" w14:textId="77777777" w:rsidR="00814960" w:rsidRPr="00083A4F" w:rsidRDefault="00814960" w:rsidP="00814960">
            <w:pPr>
              <w:rPr>
                <w:rFonts w:ascii="Arial" w:hAnsi="Arial" w:cs="Arial"/>
                <w:sz w:val="24"/>
              </w:rPr>
            </w:pPr>
            <w:r w:rsidRPr="00083A4F">
              <w:rPr>
                <w:rFonts w:ascii="Arial" w:hAnsi="Arial" w:cs="Arial"/>
                <w:sz w:val="24"/>
              </w:rPr>
              <w:t>ESPR and Right to Repair framework and timelines</w:t>
            </w:r>
          </w:p>
        </w:tc>
      </w:tr>
      <w:tr w:rsidR="00814960" w:rsidRPr="00083A4F" w14:paraId="75981496" w14:textId="77777777" w:rsidTr="00D02041">
        <w:tc>
          <w:tcPr>
            <w:tcW w:w="2880" w:type="dxa"/>
          </w:tcPr>
          <w:p w14:paraId="1890BC8E" w14:textId="77777777" w:rsidR="00814960" w:rsidRPr="00083A4F" w:rsidRDefault="00814960" w:rsidP="00814960">
            <w:pPr>
              <w:rPr>
                <w:rFonts w:ascii="Arial" w:hAnsi="Arial" w:cs="Arial"/>
                <w:sz w:val="24"/>
              </w:rPr>
            </w:pPr>
            <w:r w:rsidRPr="00083A4F">
              <w:rPr>
                <w:rFonts w:ascii="Arial" w:hAnsi="Arial" w:cs="Arial"/>
                <w:sz w:val="24"/>
              </w:rPr>
              <w:t>Upadhyay et al.</w:t>
            </w:r>
          </w:p>
        </w:tc>
        <w:tc>
          <w:tcPr>
            <w:tcW w:w="2880" w:type="dxa"/>
          </w:tcPr>
          <w:p w14:paraId="039E5B85" w14:textId="77777777" w:rsidR="00814960" w:rsidRPr="00083A4F" w:rsidRDefault="00814960" w:rsidP="00814960">
            <w:pPr>
              <w:rPr>
                <w:rFonts w:ascii="Arial" w:hAnsi="Arial" w:cs="Arial"/>
                <w:sz w:val="24"/>
              </w:rPr>
            </w:pPr>
            <w:r w:rsidRPr="00083A4F">
              <w:rPr>
                <w:rFonts w:ascii="Arial" w:hAnsi="Arial" w:cs="Arial"/>
                <w:sz w:val="24"/>
              </w:rPr>
              <w:t>2021</w:t>
            </w:r>
          </w:p>
        </w:tc>
        <w:tc>
          <w:tcPr>
            <w:tcW w:w="2880" w:type="dxa"/>
          </w:tcPr>
          <w:p w14:paraId="6D29BF2D" w14:textId="77777777" w:rsidR="00814960" w:rsidRPr="00083A4F" w:rsidRDefault="00814960" w:rsidP="00814960">
            <w:pPr>
              <w:rPr>
                <w:rFonts w:ascii="Arial" w:hAnsi="Arial" w:cs="Arial"/>
                <w:sz w:val="24"/>
              </w:rPr>
            </w:pPr>
            <w:r w:rsidRPr="00083A4F">
              <w:rPr>
                <w:rFonts w:ascii="Arial" w:hAnsi="Arial" w:cs="Arial"/>
                <w:sz w:val="24"/>
              </w:rPr>
              <w:t>Circular economy futures and supply</w:t>
            </w:r>
            <w:r w:rsidRPr="00083A4F">
              <w:rPr>
                <w:rFonts w:ascii="Cambria Math" w:hAnsi="Cambria Math" w:cs="Cambria Math"/>
                <w:sz w:val="24"/>
              </w:rPr>
              <w:t>‑</w:t>
            </w:r>
            <w:r w:rsidRPr="00083A4F">
              <w:rPr>
                <w:rFonts w:ascii="Arial" w:hAnsi="Arial" w:cs="Arial"/>
                <w:sz w:val="24"/>
              </w:rPr>
              <w:t>chain dependencies</w:t>
            </w:r>
          </w:p>
        </w:tc>
      </w:tr>
      <w:tr w:rsidR="00814960" w:rsidRPr="00083A4F" w14:paraId="0154ED46" w14:textId="77777777" w:rsidTr="00D02041">
        <w:tc>
          <w:tcPr>
            <w:tcW w:w="2880" w:type="dxa"/>
          </w:tcPr>
          <w:p w14:paraId="665AA66A" w14:textId="77777777" w:rsidR="00814960" w:rsidRPr="00083A4F" w:rsidRDefault="00814960" w:rsidP="00814960">
            <w:pPr>
              <w:rPr>
                <w:rFonts w:ascii="Arial" w:hAnsi="Arial" w:cs="Arial"/>
                <w:sz w:val="24"/>
              </w:rPr>
            </w:pPr>
            <w:r w:rsidRPr="00083A4F">
              <w:rPr>
                <w:rFonts w:ascii="Arial" w:hAnsi="Arial" w:cs="Arial"/>
                <w:sz w:val="24"/>
              </w:rPr>
              <w:t>Xue et al.</w:t>
            </w:r>
          </w:p>
        </w:tc>
        <w:tc>
          <w:tcPr>
            <w:tcW w:w="2880" w:type="dxa"/>
          </w:tcPr>
          <w:p w14:paraId="3EAF2E50" w14:textId="77777777" w:rsidR="00814960" w:rsidRPr="00083A4F" w:rsidRDefault="00814960" w:rsidP="00814960">
            <w:pPr>
              <w:rPr>
                <w:rFonts w:ascii="Arial" w:hAnsi="Arial" w:cs="Arial"/>
                <w:sz w:val="24"/>
              </w:rPr>
            </w:pPr>
            <w:r w:rsidRPr="00083A4F">
              <w:rPr>
                <w:rFonts w:ascii="Arial" w:hAnsi="Arial" w:cs="Arial"/>
                <w:sz w:val="24"/>
              </w:rPr>
              <w:t>2023</w:t>
            </w:r>
          </w:p>
        </w:tc>
        <w:tc>
          <w:tcPr>
            <w:tcW w:w="2880" w:type="dxa"/>
          </w:tcPr>
          <w:p w14:paraId="61908BED" w14:textId="77777777" w:rsidR="00814960" w:rsidRPr="00083A4F" w:rsidRDefault="00814960" w:rsidP="00814960">
            <w:pPr>
              <w:rPr>
                <w:rFonts w:ascii="Arial" w:hAnsi="Arial" w:cs="Arial"/>
                <w:sz w:val="24"/>
              </w:rPr>
            </w:pPr>
            <w:r w:rsidRPr="00083A4F">
              <w:rPr>
                <w:rFonts w:ascii="Arial" w:hAnsi="Arial" w:cs="Arial"/>
                <w:sz w:val="24"/>
              </w:rPr>
              <w:t>Digital tech and CE in supply chains</w:t>
            </w:r>
          </w:p>
        </w:tc>
      </w:tr>
      <w:tr w:rsidR="00814960" w:rsidRPr="00083A4F" w14:paraId="1831E144" w14:textId="77777777" w:rsidTr="00D02041">
        <w:tc>
          <w:tcPr>
            <w:tcW w:w="2880" w:type="dxa"/>
          </w:tcPr>
          <w:p w14:paraId="321F58AB" w14:textId="77777777" w:rsidR="00814960" w:rsidRPr="00083A4F" w:rsidRDefault="00814960" w:rsidP="00814960">
            <w:pPr>
              <w:rPr>
                <w:rFonts w:ascii="Arial" w:hAnsi="Arial" w:cs="Arial"/>
                <w:sz w:val="24"/>
              </w:rPr>
            </w:pPr>
            <w:r w:rsidRPr="00083A4F">
              <w:rPr>
                <w:rFonts w:ascii="Arial" w:hAnsi="Arial" w:cs="Arial"/>
                <w:sz w:val="24"/>
              </w:rPr>
              <w:t>Weetman</w:t>
            </w:r>
          </w:p>
        </w:tc>
        <w:tc>
          <w:tcPr>
            <w:tcW w:w="2880" w:type="dxa"/>
          </w:tcPr>
          <w:p w14:paraId="77996179" w14:textId="77777777" w:rsidR="00814960" w:rsidRPr="00083A4F" w:rsidRDefault="00814960" w:rsidP="00814960">
            <w:pPr>
              <w:rPr>
                <w:rFonts w:ascii="Arial" w:hAnsi="Arial" w:cs="Arial"/>
                <w:sz w:val="24"/>
              </w:rPr>
            </w:pPr>
            <w:r w:rsidRPr="00083A4F">
              <w:rPr>
                <w:rFonts w:ascii="Arial" w:hAnsi="Arial" w:cs="Arial"/>
                <w:sz w:val="24"/>
              </w:rPr>
              <w:t>2016</w:t>
            </w:r>
          </w:p>
        </w:tc>
        <w:tc>
          <w:tcPr>
            <w:tcW w:w="2880" w:type="dxa"/>
          </w:tcPr>
          <w:p w14:paraId="523D63FE" w14:textId="77777777" w:rsidR="00814960" w:rsidRPr="00083A4F" w:rsidRDefault="00814960" w:rsidP="00814960">
            <w:pPr>
              <w:rPr>
                <w:rFonts w:ascii="Arial" w:hAnsi="Arial" w:cs="Arial"/>
                <w:sz w:val="24"/>
              </w:rPr>
            </w:pPr>
            <w:r w:rsidRPr="00083A4F">
              <w:rPr>
                <w:rFonts w:ascii="Arial" w:hAnsi="Arial" w:cs="Arial"/>
                <w:sz w:val="24"/>
              </w:rPr>
              <w:t>Business and supply</w:t>
            </w:r>
            <w:r w:rsidRPr="00083A4F">
              <w:rPr>
                <w:rFonts w:ascii="Cambria Math" w:hAnsi="Cambria Math" w:cs="Cambria Math"/>
                <w:sz w:val="24"/>
              </w:rPr>
              <w:t>‑</w:t>
            </w:r>
            <w:r w:rsidRPr="00083A4F">
              <w:rPr>
                <w:rFonts w:ascii="Arial" w:hAnsi="Arial" w:cs="Arial"/>
                <w:sz w:val="24"/>
              </w:rPr>
              <w:t>chain playbook for circularity</w:t>
            </w:r>
          </w:p>
        </w:tc>
      </w:tr>
    </w:tbl>
    <w:p w14:paraId="70DA340E" w14:textId="77777777" w:rsidR="00814960" w:rsidRPr="00083A4F" w:rsidRDefault="00814960" w:rsidP="00F35293">
      <w:pPr>
        <w:pStyle w:val="NormalWeb"/>
        <w:rPr>
          <w:rFonts w:ascii="Arial" w:hAnsi="Arial" w:cs="Arial"/>
        </w:rPr>
      </w:pPr>
    </w:p>
    <w:p w14:paraId="034045E5" w14:textId="77777777" w:rsidR="00814960" w:rsidRPr="00083A4F" w:rsidRDefault="00814960" w:rsidP="00814960">
      <w:pPr>
        <w:spacing w:line="360" w:lineRule="auto"/>
        <w:jc w:val="both"/>
        <w:rPr>
          <w:rFonts w:ascii="Arial" w:hAnsi="Arial" w:cs="Arial"/>
        </w:rPr>
      </w:pPr>
    </w:p>
    <w:p w14:paraId="6C6291DC" w14:textId="77777777" w:rsidR="00D02041" w:rsidRPr="00083A4F" w:rsidRDefault="00D02041" w:rsidP="00814960">
      <w:pPr>
        <w:spacing w:line="360" w:lineRule="auto"/>
        <w:jc w:val="both"/>
        <w:rPr>
          <w:rFonts w:ascii="Arial" w:hAnsi="Arial" w:cs="Arial"/>
        </w:rPr>
      </w:pPr>
    </w:p>
    <w:p w14:paraId="598FDF2F" w14:textId="77777777" w:rsidR="00D02041" w:rsidRPr="00083A4F" w:rsidRDefault="00D02041" w:rsidP="00814960">
      <w:pPr>
        <w:spacing w:line="360" w:lineRule="auto"/>
        <w:jc w:val="both"/>
        <w:rPr>
          <w:rFonts w:ascii="Arial" w:hAnsi="Arial" w:cs="Arial"/>
        </w:rPr>
      </w:pPr>
    </w:p>
    <w:p w14:paraId="50A124C1" w14:textId="77777777" w:rsidR="00D02041" w:rsidRPr="00083A4F" w:rsidRDefault="00D02041" w:rsidP="00814960">
      <w:pPr>
        <w:spacing w:line="360" w:lineRule="auto"/>
        <w:jc w:val="both"/>
        <w:rPr>
          <w:rFonts w:ascii="Arial" w:hAnsi="Arial" w:cs="Arial"/>
        </w:rPr>
      </w:pPr>
    </w:p>
    <w:p w14:paraId="52081108" w14:textId="77777777" w:rsidR="00D02041" w:rsidRPr="00083A4F" w:rsidRDefault="00D02041" w:rsidP="00814960">
      <w:pPr>
        <w:spacing w:line="360" w:lineRule="auto"/>
        <w:jc w:val="both"/>
        <w:rPr>
          <w:rFonts w:ascii="Arial" w:hAnsi="Arial" w:cs="Arial"/>
        </w:rPr>
      </w:pPr>
    </w:p>
    <w:p w14:paraId="7836FC6F" w14:textId="77777777" w:rsidR="00814960" w:rsidRPr="00083A4F" w:rsidRDefault="00814960" w:rsidP="00F35293">
      <w:pPr>
        <w:pStyle w:val="NormalWeb"/>
        <w:rPr>
          <w:rFonts w:ascii="Arial" w:hAnsi="Arial" w:cs="Arial"/>
        </w:rPr>
      </w:pPr>
    </w:p>
    <w:p w14:paraId="1BE6402D" w14:textId="77777777" w:rsidR="00FA4CCC" w:rsidRPr="00083A4F" w:rsidRDefault="00FA4CCC" w:rsidP="00FA4CCC">
      <w:pPr>
        <w:pStyle w:val="Heading1"/>
        <w:spacing w:line="360" w:lineRule="auto"/>
        <w:jc w:val="both"/>
        <w:rPr>
          <w:rFonts w:ascii="Arial" w:hAnsi="Arial" w:cs="Arial"/>
        </w:rPr>
      </w:pPr>
      <w:bookmarkStart w:id="43" w:name="_Toc224058798"/>
      <w:r w:rsidRPr="00083A4F">
        <w:rPr>
          <w:rFonts w:ascii="Arial" w:hAnsi="Arial" w:cs="Arial"/>
        </w:rPr>
        <w:lastRenderedPageBreak/>
        <w:t>Chapter 5: Recommendations, Conclusion and Limitations</w:t>
      </w:r>
      <w:bookmarkEnd w:id="43"/>
    </w:p>
    <w:p w14:paraId="47BC2C36" w14:textId="77777777" w:rsidR="009665C2" w:rsidRPr="00083A4F" w:rsidRDefault="00F41B8F" w:rsidP="00797B13">
      <w:pPr>
        <w:pStyle w:val="Heading1"/>
        <w:rPr>
          <w:rFonts w:ascii="Arial" w:hAnsi="Arial" w:cs="Arial"/>
          <w:lang w:val="en-GB"/>
        </w:rPr>
      </w:pPr>
      <w:r w:rsidRPr="00083A4F">
        <w:rPr>
          <w:rFonts w:ascii="Arial" w:hAnsi="Arial" w:cs="Arial"/>
        </w:rPr>
        <w:t xml:space="preserve"> </w:t>
      </w:r>
      <w:bookmarkStart w:id="44" w:name="_Toc224058799"/>
      <w:r w:rsidR="009665C2" w:rsidRPr="00083A4F">
        <w:rPr>
          <w:rFonts w:ascii="Arial" w:hAnsi="Arial" w:cs="Arial"/>
          <w:lang w:val="en-GB"/>
        </w:rPr>
        <w:t>5.1 Recommendations</w:t>
      </w:r>
      <w:bookmarkEnd w:id="44"/>
    </w:p>
    <w:p w14:paraId="18F8ED29"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The findings in this dissertation demonstrate that enhancing circularity in IT hardware supply chains requires coordinated intervention across product design, policy development, reverse logistics, data management, market incentives, and consumer behaviour. Based on the literature review and synthesis of evidence, several actionable recommendations can be proposed.</w:t>
      </w:r>
    </w:p>
    <w:p w14:paraId="20AEF3B2"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5" w:name="_Toc224058800"/>
      <w:r w:rsidRPr="00083A4F">
        <w:rPr>
          <w:rStyle w:val="Heading3Char"/>
          <w:rFonts w:ascii="Arial" w:hAnsi="Arial" w:cs="Arial"/>
          <w:lang w:val="en-GB"/>
        </w:rPr>
        <w:t>1. Strengthen design for circularity.</w:t>
      </w:r>
      <w:bookmarkEnd w:id="45"/>
      <w:r w:rsidRPr="00083A4F">
        <w:rPr>
          <w:rFonts w:ascii="Arial" w:eastAsia="Aptos" w:hAnsi="Arial" w:cs="Arial"/>
          <w:kern w:val="2"/>
          <w:sz w:val="24"/>
          <w:szCs w:val="24"/>
          <w:lang w:val="en-GB"/>
          <w14:ligatures w14:val="standardContextual"/>
        </w:rPr>
        <w:br/>
        <w:t>Manufacturers should prioritise modular design, standardised components, and repair</w:t>
      </w:r>
      <w:r w:rsidRPr="00083A4F">
        <w:rPr>
          <w:rFonts w:ascii="Arial" w:eastAsia="Aptos" w:hAnsi="Arial" w:cs="Arial"/>
          <w:kern w:val="2"/>
          <w:sz w:val="24"/>
          <w:szCs w:val="24"/>
          <w:lang w:val="en-GB"/>
          <w14:ligatures w14:val="standardContextual"/>
        </w:rPr>
        <w:noBreakHyphen/>
        <w:t>friendly construction to increase device longevity and refurbishment potential. Reducing adhesives and proprietary fasteners, alongside improving access to spare parts, can significantly reduce disassembly time and labour costs, enabling higher recovery rates (Fairphone/iFixit, 2023–2026; NICF, 2025). Such practices align with the 9R hierarchy, which emphasises reuse, repair, refurbishment, and remanufacturing over recycling (RSC Publishing, 2019).</w:t>
      </w:r>
    </w:p>
    <w:p w14:paraId="72C7B72C"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6" w:name="_Toc224058801"/>
      <w:r w:rsidRPr="00083A4F">
        <w:rPr>
          <w:rStyle w:val="Heading3Char"/>
          <w:rFonts w:ascii="Arial" w:hAnsi="Arial" w:cs="Arial"/>
          <w:lang w:val="en-GB"/>
        </w:rPr>
        <w:t>2. Enhance regulatory frameworks.</w:t>
      </w:r>
      <w:bookmarkEnd w:id="46"/>
      <w:r w:rsidRPr="00083A4F">
        <w:rPr>
          <w:rFonts w:ascii="Arial" w:eastAsia="Aptos" w:hAnsi="Arial" w:cs="Arial"/>
          <w:kern w:val="2"/>
          <w:sz w:val="24"/>
          <w:szCs w:val="24"/>
          <w:lang w:val="en-GB"/>
          <w14:ligatures w14:val="standardContextual"/>
        </w:rPr>
        <w:br/>
        <w:t>Stronger, harmonised policy frameworks are essential to incentivise circular behaviour. Governments should expand right</w:t>
      </w:r>
      <w:r w:rsidRPr="00083A4F">
        <w:rPr>
          <w:rFonts w:ascii="Arial" w:eastAsia="Aptos" w:hAnsi="Arial" w:cs="Arial"/>
          <w:kern w:val="2"/>
          <w:sz w:val="24"/>
          <w:szCs w:val="24"/>
          <w:lang w:val="en-GB"/>
          <w14:ligatures w14:val="standardContextual"/>
        </w:rPr>
        <w:noBreakHyphen/>
        <w:t>to</w:t>
      </w:r>
      <w:r w:rsidRPr="00083A4F">
        <w:rPr>
          <w:rFonts w:ascii="Arial" w:eastAsia="Aptos" w:hAnsi="Arial" w:cs="Arial"/>
          <w:kern w:val="2"/>
          <w:sz w:val="24"/>
          <w:szCs w:val="24"/>
          <w:lang w:val="en-GB"/>
          <w14:ligatures w14:val="standardContextual"/>
        </w:rPr>
        <w:noBreakHyphen/>
        <w:t>repair legislation, enforce Extended Producer Responsibility (EPR) schemes, and apply eco</w:t>
      </w:r>
      <w:r w:rsidRPr="00083A4F">
        <w:rPr>
          <w:rFonts w:ascii="Arial" w:eastAsia="Aptos" w:hAnsi="Arial" w:cs="Arial"/>
          <w:kern w:val="2"/>
          <w:sz w:val="24"/>
          <w:szCs w:val="24"/>
          <w:lang w:val="en-GB"/>
          <w14:ligatures w14:val="standardContextual"/>
        </w:rPr>
        <w:noBreakHyphen/>
        <w:t>modulated fees to reward durable and repairable designs (European Circular Economy Stakeholder Platform, 2023; Nashid, 2024). Deposit</w:t>
      </w:r>
      <w:r w:rsidRPr="00083A4F">
        <w:rPr>
          <w:rFonts w:ascii="Arial" w:eastAsia="Aptos" w:hAnsi="Arial" w:cs="Arial"/>
          <w:kern w:val="2"/>
          <w:sz w:val="24"/>
          <w:szCs w:val="24"/>
          <w:lang w:val="en-GB"/>
          <w14:ligatures w14:val="standardContextual"/>
        </w:rPr>
        <w:noBreakHyphen/>
        <w:t>return schemes for IT hardware and fiscal incentives, such as reduced VAT on refurbished products, could further drive consumer participation.</w:t>
      </w:r>
    </w:p>
    <w:p w14:paraId="72CB0612"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7" w:name="_Toc224058802"/>
      <w:r w:rsidRPr="00083A4F">
        <w:rPr>
          <w:rStyle w:val="Heading3Char"/>
          <w:rFonts w:ascii="Arial" w:hAnsi="Arial" w:cs="Arial"/>
          <w:lang w:val="en-GB"/>
        </w:rPr>
        <w:t>3. Improve reverse logistics infrastructure.</w:t>
      </w:r>
      <w:bookmarkEnd w:id="47"/>
      <w:r w:rsidRPr="00083A4F">
        <w:rPr>
          <w:rFonts w:ascii="Arial" w:eastAsia="Aptos" w:hAnsi="Arial" w:cs="Arial"/>
          <w:kern w:val="2"/>
          <w:sz w:val="24"/>
          <w:szCs w:val="24"/>
          <w:lang w:val="en-GB"/>
          <w14:ligatures w14:val="standardContextual"/>
        </w:rPr>
        <w:br/>
        <w:t>Efficient take</w:t>
      </w:r>
      <w:r w:rsidRPr="00083A4F">
        <w:rPr>
          <w:rFonts w:ascii="Arial" w:eastAsia="Aptos" w:hAnsi="Arial" w:cs="Arial"/>
          <w:kern w:val="2"/>
          <w:sz w:val="24"/>
          <w:szCs w:val="24"/>
          <w:lang w:val="en-GB"/>
          <w14:ligatures w14:val="standardContextual"/>
        </w:rPr>
        <w:noBreakHyphen/>
        <w:t>back systems are central to retrieving end</w:t>
      </w:r>
      <w:r w:rsidRPr="00083A4F">
        <w:rPr>
          <w:rFonts w:ascii="Arial" w:eastAsia="Aptos" w:hAnsi="Arial" w:cs="Arial"/>
          <w:kern w:val="2"/>
          <w:sz w:val="24"/>
          <w:szCs w:val="24"/>
          <w:lang w:val="en-GB"/>
          <w14:ligatures w14:val="standardContextual"/>
        </w:rPr>
        <w:noBreakHyphen/>
        <w:t>of</w:t>
      </w:r>
      <w:r w:rsidRPr="00083A4F">
        <w:rPr>
          <w:rFonts w:ascii="Arial" w:eastAsia="Aptos" w:hAnsi="Arial" w:cs="Arial"/>
          <w:kern w:val="2"/>
          <w:sz w:val="24"/>
          <w:szCs w:val="24"/>
          <w:lang w:val="en-GB"/>
          <w14:ligatures w14:val="standardContextual"/>
        </w:rPr>
        <w:noBreakHyphen/>
        <w:t>life devices. Manufacturers and retailers should collaborate to offer convenient device return channels, including postal return programmes, community drop</w:t>
      </w:r>
      <w:r w:rsidRPr="00083A4F">
        <w:rPr>
          <w:rFonts w:ascii="Arial" w:eastAsia="Aptos" w:hAnsi="Arial" w:cs="Arial"/>
          <w:kern w:val="2"/>
          <w:sz w:val="24"/>
          <w:szCs w:val="24"/>
          <w:lang w:val="en-GB"/>
          <w14:ligatures w14:val="standardContextual"/>
        </w:rPr>
        <w:noBreakHyphen/>
        <w:t>off points, and enterprise collection services. Integrating digital tracking tools in these systems would improve transparency, allow monitoring of device flows, and strengthen accountability across recovery networks (Weetman, 2016; Circular Drive Initiative, 2024).</w:t>
      </w:r>
    </w:p>
    <w:p w14:paraId="71B4E0BD"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8" w:name="_Toc224058803"/>
      <w:r w:rsidRPr="00083A4F">
        <w:rPr>
          <w:rStyle w:val="Heading3Char"/>
          <w:rFonts w:ascii="Arial" w:hAnsi="Arial" w:cs="Arial"/>
          <w:lang w:val="en-GB"/>
        </w:rPr>
        <w:t>4. Standardise and promote data sanitisation practices.</w:t>
      </w:r>
      <w:bookmarkEnd w:id="48"/>
      <w:r w:rsidRPr="00083A4F">
        <w:rPr>
          <w:rFonts w:ascii="Arial" w:eastAsia="Aptos" w:hAnsi="Arial" w:cs="Arial"/>
          <w:kern w:val="2"/>
          <w:sz w:val="24"/>
          <w:szCs w:val="24"/>
          <w:lang w:val="en-GB"/>
          <w14:ligatures w14:val="standardContextual"/>
        </w:rPr>
        <w:br/>
        <w:t>Data</w:t>
      </w:r>
      <w:r w:rsidRPr="00083A4F">
        <w:rPr>
          <w:rFonts w:ascii="Arial" w:eastAsia="Aptos" w:hAnsi="Arial" w:cs="Arial"/>
          <w:kern w:val="2"/>
          <w:sz w:val="24"/>
          <w:szCs w:val="24"/>
          <w:lang w:val="en-GB"/>
          <w14:ligatures w14:val="standardContextual"/>
        </w:rPr>
        <w:noBreakHyphen/>
        <w:t>bearing components, especially storage drives, are significantly under</w:t>
      </w:r>
      <w:r w:rsidRPr="00083A4F">
        <w:rPr>
          <w:rFonts w:ascii="Arial" w:eastAsia="Aptos" w:hAnsi="Arial" w:cs="Arial"/>
          <w:kern w:val="2"/>
          <w:sz w:val="24"/>
          <w:szCs w:val="24"/>
          <w:lang w:val="en-GB"/>
          <w14:ligatures w14:val="standardContextual"/>
        </w:rPr>
        <w:noBreakHyphen/>
        <w:t>reused because organisations default to physical destruction due to security concerns. Adopting NIST</w:t>
      </w:r>
      <w:r w:rsidRPr="00083A4F">
        <w:rPr>
          <w:rFonts w:ascii="Arial" w:eastAsia="Aptos" w:hAnsi="Arial" w:cs="Arial"/>
          <w:kern w:val="2"/>
          <w:sz w:val="24"/>
          <w:szCs w:val="24"/>
          <w:lang w:val="en-GB"/>
          <w14:ligatures w14:val="standardContextual"/>
        </w:rPr>
        <w:noBreakHyphen/>
        <w:t xml:space="preserve">aligned sanitisation standards and automated verification systems would increase confidence in reuse pathways and reduce </w:t>
      </w:r>
      <w:r w:rsidRPr="00083A4F">
        <w:rPr>
          <w:rFonts w:ascii="Arial" w:eastAsia="Aptos" w:hAnsi="Arial" w:cs="Arial"/>
          <w:kern w:val="2"/>
          <w:sz w:val="24"/>
          <w:szCs w:val="24"/>
          <w:lang w:val="en-GB"/>
          <w14:ligatures w14:val="standardContextual"/>
        </w:rPr>
        <w:lastRenderedPageBreak/>
        <w:t>unnecessary destruction (NIST, 2014; Upadhyay et al., 2021). Industry</w:t>
      </w:r>
      <w:r w:rsidRPr="00083A4F">
        <w:rPr>
          <w:rFonts w:ascii="Arial" w:eastAsia="Aptos" w:hAnsi="Arial" w:cs="Arial"/>
          <w:kern w:val="2"/>
          <w:sz w:val="24"/>
          <w:szCs w:val="24"/>
          <w:lang w:val="en-GB"/>
          <w14:ligatures w14:val="standardContextual"/>
        </w:rPr>
        <w:noBreakHyphen/>
        <w:t>wide certifications could provide assurance to enterprises, particularly in high</w:t>
      </w:r>
      <w:r w:rsidRPr="00083A4F">
        <w:rPr>
          <w:rFonts w:ascii="Arial" w:eastAsia="Aptos" w:hAnsi="Arial" w:cs="Arial"/>
          <w:kern w:val="2"/>
          <w:sz w:val="24"/>
          <w:szCs w:val="24"/>
          <w:lang w:val="en-GB"/>
          <w14:ligatures w14:val="standardContextual"/>
        </w:rPr>
        <w:noBreakHyphen/>
        <w:t>risk sectors.</w:t>
      </w:r>
    </w:p>
    <w:p w14:paraId="431EAAC5"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9" w:name="_Toc224058804"/>
      <w:r w:rsidRPr="00083A4F">
        <w:rPr>
          <w:rStyle w:val="Heading3Char"/>
          <w:rFonts w:ascii="Arial" w:hAnsi="Arial" w:cs="Arial"/>
          <w:lang w:val="en-GB"/>
        </w:rPr>
        <w:t>5. Build consumer trust in refurbished devices.</w:t>
      </w:r>
      <w:bookmarkEnd w:id="49"/>
      <w:r w:rsidRPr="00083A4F">
        <w:rPr>
          <w:rFonts w:ascii="Arial" w:eastAsia="Aptos" w:hAnsi="Arial" w:cs="Arial"/>
          <w:kern w:val="2"/>
          <w:sz w:val="24"/>
          <w:szCs w:val="24"/>
          <w:lang w:val="en-GB"/>
          <w14:ligatures w14:val="standardContextual"/>
        </w:rPr>
        <w:br/>
        <w:t>Clear grading standards, improved warranties, and third</w:t>
      </w:r>
      <w:r w:rsidRPr="00083A4F">
        <w:rPr>
          <w:rFonts w:ascii="Arial" w:eastAsia="Aptos" w:hAnsi="Arial" w:cs="Arial"/>
          <w:kern w:val="2"/>
          <w:sz w:val="24"/>
          <w:szCs w:val="24"/>
          <w:lang w:val="en-GB"/>
          <w14:ligatures w14:val="standardContextual"/>
        </w:rPr>
        <w:noBreakHyphen/>
        <w:t>party certification schemes are key to strengthening consumer confidence. Awareness campaigns that emphasise the environmental savings associated with refurbished equipment can help shift social norms and reduce stigma. Community repair initiatives can also promote repair literacy and empower consumers (Espino Penilla et al., 2023).</w:t>
      </w:r>
    </w:p>
    <w:p w14:paraId="0A8A2801"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50" w:name="_Toc224058805"/>
      <w:r w:rsidRPr="00083A4F">
        <w:rPr>
          <w:rStyle w:val="Heading3Char"/>
          <w:rFonts w:ascii="Arial" w:hAnsi="Arial" w:cs="Arial"/>
          <w:lang w:val="en-GB"/>
        </w:rPr>
        <w:t>6. Invest in skills development.</w:t>
      </w:r>
      <w:bookmarkEnd w:id="50"/>
      <w:r w:rsidRPr="00083A4F">
        <w:rPr>
          <w:rFonts w:ascii="Arial" w:eastAsia="Aptos" w:hAnsi="Arial" w:cs="Arial"/>
          <w:kern w:val="2"/>
          <w:sz w:val="24"/>
          <w:szCs w:val="24"/>
          <w:lang w:val="en-GB"/>
          <w14:ligatures w14:val="standardContextual"/>
        </w:rPr>
        <w:br/>
        <w:t>There is a growing demand for technicians skilled in repair, refurbishment, data sanitisation, and advanced recycling. Governments and industry should co</w:t>
      </w:r>
      <w:r w:rsidRPr="00083A4F">
        <w:rPr>
          <w:rFonts w:ascii="Arial" w:eastAsia="Aptos" w:hAnsi="Arial" w:cs="Arial"/>
          <w:kern w:val="2"/>
          <w:sz w:val="24"/>
          <w:szCs w:val="24"/>
          <w:lang w:val="en-GB"/>
          <w14:ligatures w14:val="standardContextual"/>
        </w:rPr>
        <w:noBreakHyphen/>
        <w:t>fund vocational training programmes and recognise repair roles as part of the green economy, contributing to job creation and workforce resilience (</w:t>
      </w:r>
      <w:proofErr w:type="spellStart"/>
      <w:r w:rsidRPr="00083A4F">
        <w:rPr>
          <w:rFonts w:ascii="Arial" w:eastAsia="Aptos" w:hAnsi="Arial" w:cs="Arial"/>
          <w:kern w:val="2"/>
          <w:sz w:val="24"/>
          <w:szCs w:val="24"/>
          <w:lang w:val="en-GB"/>
          <w14:ligatures w14:val="standardContextual"/>
        </w:rPr>
        <w:t>Abdelmeguid</w:t>
      </w:r>
      <w:proofErr w:type="spellEnd"/>
      <w:r w:rsidRPr="00083A4F">
        <w:rPr>
          <w:rFonts w:ascii="Arial" w:eastAsia="Aptos" w:hAnsi="Arial" w:cs="Arial"/>
          <w:kern w:val="2"/>
          <w:sz w:val="24"/>
          <w:szCs w:val="24"/>
          <w:lang w:val="en-GB"/>
          <w14:ligatures w14:val="standardContextual"/>
        </w:rPr>
        <w:t xml:space="preserve"> et al., 2026).</w:t>
      </w:r>
    </w:p>
    <w:p w14:paraId="712D5912"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51" w:name="_Toc224058806"/>
      <w:r w:rsidRPr="00083A4F">
        <w:rPr>
          <w:rStyle w:val="Heading3Char"/>
          <w:rFonts w:ascii="Arial" w:hAnsi="Arial" w:cs="Arial"/>
          <w:lang w:val="en-GB"/>
        </w:rPr>
        <w:t>7. Deploy digital technologies to support circularity.</w:t>
      </w:r>
      <w:bookmarkEnd w:id="51"/>
      <w:r w:rsidRPr="00083A4F">
        <w:rPr>
          <w:rFonts w:ascii="Arial" w:eastAsia="Aptos" w:hAnsi="Arial" w:cs="Arial"/>
          <w:kern w:val="2"/>
          <w:sz w:val="24"/>
          <w:szCs w:val="24"/>
          <w:lang w:val="en-GB"/>
          <w14:ligatures w14:val="standardContextual"/>
        </w:rPr>
        <w:br/>
        <w:t>Digital Product Passports (DPPs), blockchain tools for traceability, and IoT</w:t>
      </w:r>
      <w:r w:rsidRPr="00083A4F">
        <w:rPr>
          <w:rFonts w:ascii="Arial" w:eastAsia="Aptos" w:hAnsi="Arial" w:cs="Arial"/>
          <w:kern w:val="2"/>
          <w:sz w:val="24"/>
          <w:szCs w:val="24"/>
          <w:lang w:val="en-GB"/>
          <w14:ligatures w14:val="standardContextual"/>
        </w:rPr>
        <w:noBreakHyphen/>
        <w:t>enabled predictive maintenance can enhance transparency and efficiency in circular supply chains (Xue et al., 2023). These technologies support product</w:t>
      </w:r>
      <w:r w:rsidRPr="00083A4F">
        <w:rPr>
          <w:rFonts w:ascii="Arial" w:eastAsia="Aptos" w:hAnsi="Arial" w:cs="Arial"/>
          <w:kern w:val="2"/>
          <w:sz w:val="24"/>
          <w:szCs w:val="24"/>
          <w:lang w:val="en-GB"/>
          <w14:ligatures w14:val="standardContextual"/>
        </w:rPr>
        <w:noBreakHyphen/>
        <w:t>as</w:t>
      </w:r>
      <w:r w:rsidRPr="00083A4F">
        <w:rPr>
          <w:rFonts w:ascii="Arial" w:eastAsia="Aptos" w:hAnsi="Arial" w:cs="Arial"/>
          <w:kern w:val="2"/>
          <w:sz w:val="24"/>
          <w:szCs w:val="24"/>
          <w:lang w:val="en-GB"/>
          <w14:ligatures w14:val="standardContextual"/>
        </w:rPr>
        <w:noBreakHyphen/>
        <w:t>a</w:t>
      </w:r>
      <w:r w:rsidRPr="00083A4F">
        <w:rPr>
          <w:rFonts w:ascii="Arial" w:eastAsia="Aptos" w:hAnsi="Arial" w:cs="Arial"/>
          <w:kern w:val="2"/>
          <w:sz w:val="24"/>
          <w:szCs w:val="24"/>
          <w:lang w:val="en-GB"/>
          <w14:ligatures w14:val="standardContextual"/>
        </w:rPr>
        <w:noBreakHyphen/>
        <w:t>service models, improve supply chain visibility, and optimise component reuse, although interoperability and cybersecurity challenges must be addressed.</w:t>
      </w:r>
    </w:p>
    <w:p w14:paraId="73BEF5E8"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52" w:name="_Toc224058807"/>
      <w:r w:rsidRPr="00083A4F">
        <w:rPr>
          <w:rStyle w:val="Heading3Char"/>
          <w:rFonts w:ascii="Arial" w:hAnsi="Arial" w:cs="Arial"/>
          <w:lang w:val="en-GB"/>
        </w:rPr>
        <w:t>8. Foster cross</w:t>
      </w:r>
      <w:r w:rsidRPr="00083A4F">
        <w:rPr>
          <w:rStyle w:val="Heading3Char"/>
          <w:rFonts w:ascii="Arial" w:hAnsi="Arial" w:cs="Arial"/>
          <w:lang w:val="en-GB"/>
        </w:rPr>
        <w:noBreakHyphen/>
        <w:t>sector collaboration.</w:t>
      </w:r>
      <w:bookmarkEnd w:id="52"/>
      <w:r w:rsidRPr="00083A4F">
        <w:rPr>
          <w:rFonts w:ascii="Arial" w:eastAsia="Aptos" w:hAnsi="Arial" w:cs="Arial"/>
          <w:kern w:val="2"/>
          <w:sz w:val="24"/>
          <w:szCs w:val="24"/>
          <w:lang w:val="en-GB"/>
          <w14:ligatures w14:val="standardContextual"/>
        </w:rPr>
        <w:br/>
        <w:t>Public</w:t>
      </w:r>
      <w:r w:rsidRPr="00083A4F">
        <w:rPr>
          <w:rFonts w:ascii="Arial" w:eastAsia="Aptos" w:hAnsi="Arial" w:cs="Arial"/>
          <w:kern w:val="2"/>
          <w:sz w:val="24"/>
          <w:szCs w:val="24"/>
          <w:lang w:val="en-GB"/>
          <w14:ligatures w14:val="standardContextual"/>
        </w:rPr>
        <w:noBreakHyphen/>
        <w:t>private partnerships, industry coalitions, and knowledge</w:t>
      </w:r>
      <w:r w:rsidRPr="00083A4F">
        <w:rPr>
          <w:rFonts w:ascii="Arial" w:eastAsia="Aptos" w:hAnsi="Arial" w:cs="Arial"/>
          <w:kern w:val="2"/>
          <w:sz w:val="24"/>
          <w:szCs w:val="24"/>
          <w:lang w:val="en-GB"/>
          <w14:ligatures w14:val="standardContextual"/>
        </w:rPr>
        <w:noBreakHyphen/>
        <w:t>sharing platforms can accelerate innovation and help establish common standards. Collaboration is particularly important for complex areas such as battery recovery, secure data management, and global e</w:t>
      </w:r>
      <w:r w:rsidRPr="00083A4F">
        <w:rPr>
          <w:rFonts w:ascii="Arial" w:eastAsia="Aptos" w:hAnsi="Arial" w:cs="Arial"/>
          <w:kern w:val="2"/>
          <w:sz w:val="24"/>
          <w:szCs w:val="24"/>
          <w:lang w:val="en-GB"/>
          <w14:ligatures w14:val="standardContextual"/>
        </w:rPr>
        <w:noBreakHyphen/>
        <w:t>waste governance (Zarei et al., 2025).</w:t>
      </w:r>
    </w:p>
    <w:p w14:paraId="7FECB48C" w14:textId="77777777" w:rsidR="009665C2" w:rsidRPr="00083A4F" w:rsidRDefault="009665C2" w:rsidP="00797B13">
      <w:pPr>
        <w:pStyle w:val="Heading1"/>
        <w:rPr>
          <w:rFonts w:ascii="Arial" w:hAnsi="Arial" w:cs="Arial"/>
          <w:lang w:val="en-GB"/>
        </w:rPr>
      </w:pPr>
      <w:bookmarkStart w:id="53" w:name="_Toc224058808"/>
      <w:r w:rsidRPr="00083A4F">
        <w:rPr>
          <w:rFonts w:ascii="Arial" w:hAnsi="Arial" w:cs="Arial"/>
          <w:lang w:val="en-GB"/>
        </w:rPr>
        <w:t>5.2 Conclusion</w:t>
      </w:r>
      <w:bookmarkEnd w:id="53"/>
    </w:p>
    <w:p w14:paraId="36D75506"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This dissertation investigated how circular economy principles are applied within IT hardware supply chains, with a focus on refurbishment, repair, and recycling. The evidence shows that although global e</w:t>
      </w:r>
      <w:r w:rsidRPr="00083A4F">
        <w:rPr>
          <w:rFonts w:ascii="Arial" w:eastAsia="Aptos" w:hAnsi="Arial" w:cs="Arial"/>
          <w:kern w:val="2"/>
          <w:sz w:val="24"/>
          <w:szCs w:val="24"/>
          <w:lang w:val="en-GB"/>
          <w14:ligatures w14:val="standardContextual"/>
        </w:rPr>
        <w:noBreakHyphen/>
        <w:t>waste continues to escalate—reaching 62 million tonnes in 2022 with projections of 82 million tonnes by 2030—current recycling rates remain insufficient, capturing only around one</w:t>
      </w:r>
      <w:r w:rsidRPr="00083A4F">
        <w:rPr>
          <w:rFonts w:ascii="Arial" w:eastAsia="Aptos" w:hAnsi="Arial" w:cs="Arial"/>
          <w:kern w:val="2"/>
          <w:sz w:val="24"/>
          <w:szCs w:val="24"/>
          <w:lang w:val="en-GB"/>
          <w14:ligatures w14:val="standardContextual"/>
        </w:rPr>
        <w:noBreakHyphen/>
        <w:t xml:space="preserve">fifth of total waste (ITU &amp; UNITAR, 2024). Refurbishment and reuse consistently emerged as more environmentally impactful strategies than recycling, largely </w:t>
      </w:r>
      <w:r w:rsidRPr="00083A4F">
        <w:rPr>
          <w:rFonts w:ascii="Arial" w:eastAsia="Aptos" w:hAnsi="Arial" w:cs="Arial"/>
          <w:kern w:val="2"/>
          <w:sz w:val="24"/>
          <w:szCs w:val="24"/>
          <w:lang w:val="en-GB"/>
          <w14:ligatures w14:val="standardContextual"/>
        </w:rPr>
        <w:lastRenderedPageBreak/>
        <w:t>because they extend product life while avoiding the emissions associated with new manufacturing (Yang et al., 2024; Ercan et al., 2016).</w:t>
      </w:r>
    </w:p>
    <w:p w14:paraId="7DE58BE3"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However, the research also identified significant barriers that impede widespread adoption of circular models. These include design practices that restrict repair, inconsistent regulatory frameworks across regions, limited consumer trust, economic incentives that favour new production, and organisational cultures that prioritise device replacement over refurbishment (</w:t>
      </w:r>
      <w:proofErr w:type="spellStart"/>
      <w:r w:rsidRPr="00083A4F">
        <w:rPr>
          <w:rFonts w:ascii="Arial" w:eastAsia="Aptos" w:hAnsi="Arial" w:cs="Arial"/>
          <w:kern w:val="2"/>
          <w:sz w:val="24"/>
          <w:szCs w:val="24"/>
          <w:lang w:val="en-GB"/>
          <w14:ligatures w14:val="standardContextual"/>
        </w:rPr>
        <w:t>Brinsi</w:t>
      </w:r>
      <w:proofErr w:type="spellEnd"/>
      <w:r w:rsidRPr="00083A4F">
        <w:rPr>
          <w:rFonts w:ascii="Arial" w:eastAsia="Aptos" w:hAnsi="Arial" w:cs="Arial"/>
          <w:kern w:val="2"/>
          <w:sz w:val="24"/>
          <w:szCs w:val="24"/>
          <w:lang w:val="en-GB"/>
          <w14:ligatures w14:val="standardContextual"/>
        </w:rPr>
        <w:t xml:space="preserve"> et al., 2024; NICF, 2025). Data security concerns further limit reuse of storage drives, despite evidence that most can be safely sanitised (Circular Drive Initiative, 2024).</w:t>
      </w:r>
    </w:p>
    <w:p w14:paraId="6A3472F5"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Despite these challenges, the dissertation demonstrates that circular practices are achievable and increasingly necessary. Leading firms such as Dell, HP, Apple, and Microsoft show that structured take</w:t>
      </w:r>
      <w:r w:rsidRPr="00083A4F">
        <w:rPr>
          <w:rFonts w:ascii="Arial" w:eastAsia="Aptos" w:hAnsi="Arial" w:cs="Arial"/>
          <w:kern w:val="2"/>
          <w:sz w:val="24"/>
          <w:szCs w:val="24"/>
          <w:lang w:val="en-GB"/>
          <w14:ligatures w14:val="standardContextual"/>
        </w:rPr>
        <w:noBreakHyphen/>
        <w:t>back programmes, modular design initiatives, and advanced refurbishment facilities can create economic value, reduce emissions, and improve resource efficiency (Weetman, 2016; Yang et al., 2024). Regulatory developments—especially EU legislation on repairability and product transparency—are expected to accelerate adoption and encourage systemic change.</w:t>
      </w:r>
    </w:p>
    <w:p w14:paraId="792B05A1"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In summary, the transition to a circular IT hardware economy requires coordinated interventions across design, policy, logistics, technology, and consumer engagement. When aligned effectively, these strategies can substantially reduce resource consumption, protect ecosystems, and support sustainable development goals.</w:t>
      </w:r>
    </w:p>
    <w:p w14:paraId="0283EF86" w14:textId="77777777" w:rsidR="009665C2" w:rsidRPr="00083A4F" w:rsidRDefault="009665C2" w:rsidP="00797B13">
      <w:pPr>
        <w:pStyle w:val="Heading1"/>
        <w:rPr>
          <w:rFonts w:ascii="Arial" w:hAnsi="Arial" w:cs="Arial"/>
          <w:lang w:val="en-GB"/>
        </w:rPr>
      </w:pPr>
      <w:bookmarkStart w:id="54" w:name="_Toc224058809"/>
      <w:r w:rsidRPr="00083A4F">
        <w:rPr>
          <w:rFonts w:ascii="Arial" w:hAnsi="Arial" w:cs="Arial"/>
          <w:lang w:val="en-GB"/>
        </w:rPr>
        <w:t>5.3 Limitations of the Research</w:t>
      </w:r>
      <w:bookmarkEnd w:id="54"/>
    </w:p>
    <w:p w14:paraId="1A8888E0"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Although the dissertation provides a comprehensive synthesis, several limitations must be acknowledged. The study relies exclusively on secondary data, meaning the quality of findings is dependent on the accuracy of published sources. Informal recycling and unreported refurbishment activities—particularly common in low</w:t>
      </w:r>
      <w:r w:rsidRPr="00083A4F">
        <w:rPr>
          <w:rFonts w:ascii="Arial" w:eastAsia="Aptos" w:hAnsi="Arial" w:cs="Arial"/>
          <w:kern w:val="2"/>
          <w:sz w:val="24"/>
          <w:szCs w:val="24"/>
          <w:lang w:val="en-GB"/>
          <w14:ligatures w14:val="standardContextual"/>
        </w:rPr>
        <w:noBreakHyphen/>
        <w:t xml:space="preserve">income countries—are likely underrepresented in official statistics, which may lead to underestimation of global waste flows (Nashid, 2024; </w:t>
      </w:r>
      <w:proofErr w:type="spellStart"/>
      <w:r w:rsidRPr="00083A4F">
        <w:rPr>
          <w:rFonts w:ascii="Arial" w:eastAsia="Aptos" w:hAnsi="Arial" w:cs="Arial"/>
          <w:kern w:val="2"/>
          <w:sz w:val="24"/>
          <w:szCs w:val="24"/>
          <w:lang w:val="en-GB"/>
          <w14:ligatures w14:val="standardContextual"/>
        </w:rPr>
        <w:t>Elgarahy</w:t>
      </w:r>
      <w:proofErr w:type="spellEnd"/>
      <w:r w:rsidRPr="00083A4F">
        <w:rPr>
          <w:rFonts w:ascii="Arial" w:eastAsia="Aptos" w:hAnsi="Arial" w:cs="Arial"/>
          <w:kern w:val="2"/>
          <w:sz w:val="24"/>
          <w:szCs w:val="24"/>
          <w:lang w:val="en-GB"/>
          <w14:ligatures w14:val="standardContextual"/>
        </w:rPr>
        <w:t xml:space="preserve"> et al., 2024).</w:t>
      </w:r>
    </w:p>
    <w:p w14:paraId="02F7BEC4"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The systematic literature review methodology may have excluded relevant non</w:t>
      </w:r>
      <w:r w:rsidRPr="00083A4F">
        <w:rPr>
          <w:rFonts w:ascii="Arial" w:eastAsia="Aptos" w:hAnsi="Arial" w:cs="Arial"/>
          <w:kern w:val="2"/>
          <w:sz w:val="24"/>
          <w:szCs w:val="24"/>
          <w:lang w:val="en-GB"/>
          <w14:ligatures w14:val="standardContextual"/>
        </w:rPr>
        <w:noBreakHyphen/>
        <w:t>English sources, introducing language bias. Publication bias is another concern, as studies with positive or policy</w:t>
      </w:r>
      <w:r w:rsidRPr="00083A4F">
        <w:rPr>
          <w:rFonts w:ascii="Arial" w:eastAsia="Aptos" w:hAnsi="Arial" w:cs="Arial"/>
          <w:kern w:val="2"/>
          <w:sz w:val="24"/>
          <w:szCs w:val="24"/>
          <w:lang w:val="en-GB"/>
          <w14:ligatures w14:val="standardContextual"/>
        </w:rPr>
        <w:noBreakHyphen/>
        <w:t>aligned outcomes are more likely to be published. Furthermore, the heterogeneity of research designs—ranging from case studies to policy analyses—made direct comparison difficult. The absence of primary data collection limited insights into organisational decision</w:t>
      </w:r>
      <w:r w:rsidRPr="00083A4F">
        <w:rPr>
          <w:rFonts w:ascii="Arial" w:eastAsia="Aptos" w:hAnsi="Arial" w:cs="Arial"/>
          <w:kern w:val="2"/>
          <w:sz w:val="24"/>
          <w:szCs w:val="24"/>
          <w:lang w:val="en-GB"/>
          <w14:ligatures w14:val="standardContextual"/>
        </w:rPr>
        <w:noBreakHyphen/>
        <w:t>making, supply chain practices, and consumer motivations.</w:t>
      </w:r>
    </w:p>
    <w:p w14:paraId="755E10F5" w14:textId="77777777" w:rsidR="009665C2"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lastRenderedPageBreak/>
        <w:t>Finally, environmental impact assessments varied widely in terms of scope, functional units, and system boundaries, which may limit comparability of quantitative findings across studies.</w:t>
      </w:r>
    </w:p>
    <w:p w14:paraId="68F6B313" w14:textId="77777777" w:rsidR="00B069F6" w:rsidRPr="00083A4F" w:rsidRDefault="00B069F6" w:rsidP="009665C2">
      <w:pPr>
        <w:spacing w:after="160" w:line="278" w:lineRule="auto"/>
        <w:rPr>
          <w:rFonts w:ascii="Arial" w:eastAsia="Aptos" w:hAnsi="Arial" w:cs="Arial"/>
          <w:kern w:val="2"/>
          <w:sz w:val="24"/>
          <w:szCs w:val="24"/>
          <w:lang w:val="en-GB"/>
          <w14:ligatures w14:val="standardContextual"/>
        </w:rPr>
      </w:pPr>
    </w:p>
    <w:p w14:paraId="2FC774F9" w14:textId="77A40238" w:rsidR="001C354D" w:rsidRDefault="009665C2" w:rsidP="00B069F6">
      <w:pPr>
        <w:pStyle w:val="Heading1"/>
        <w:rPr>
          <w:rFonts w:ascii="Arial" w:hAnsi="Arial" w:cs="Arial"/>
          <w:lang w:val="en-GB"/>
        </w:rPr>
      </w:pPr>
      <w:bookmarkStart w:id="55" w:name="_Toc224058810"/>
      <w:r w:rsidRPr="00083A4F">
        <w:rPr>
          <w:rFonts w:ascii="Arial" w:hAnsi="Arial" w:cs="Arial"/>
          <w:lang w:val="en-GB"/>
        </w:rPr>
        <w:t>5.4 Chapter Summary</w:t>
      </w:r>
      <w:bookmarkEnd w:id="55"/>
    </w:p>
    <w:p w14:paraId="093EC8F6" w14:textId="77777777" w:rsidR="001D681D" w:rsidRPr="001D681D" w:rsidRDefault="001D681D" w:rsidP="001D681D">
      <w:pPr>
        <w:rPr>
          <w:lang w:val="en-GB"/>
        </w:rPr>
      </w:pPr>
    </w:p>
    <w:p w14:paraId="7F868F84" w14:textId="362DA360" w:rsidR="00FA4CCC" w:rsidRPr="00083A4F" w:rsidRDefault="009665C2" w:rsidP="001C354D">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This chapter has outlined key recommendations, summarised the study’s conclusions, and acknowledged its limitations. The evidence demonstrates that scaling circular economy practices in IT hardware supply chains demands structural and behavioural change across multiple stakeholders. While significant barriers persist, a combination of regulatory action, technological innovation, improved design practices, stronger logistics, and increased consumer engagement provides a viable pathway toward a more circular, sustainable, and resource</w:t>
      </w:r>
      <w:r w:rsidRPr="00083A4F">
        <w:rPr>
          <w:rFonts w:ascii="Arial" w:eastAsia="Aptos" w:hAnsi="Arial" w:cs="Arial"/>
          <w:kern w:val="2"/>
          <w:sz w:val="24"/>
          <w:szCs w:val="24"/>
          <w:lang w:val="en-GB"/>
          <w14:ligatures w14:val="standardContextual"/>
        </w:rPr>
        <w:noBreakHyphen/>
        <w:t>efficient IT hardware sector.</w:t>
      </w:r>
    </w:p>
    <w:p w14:paraId="3AC95974" w14:textId="77777777" w:rsidR="001C354D" w:rsidRPr="00083A4F" w:rsidRDefault="001C354D" w:rsidP="001C354D">
      <w:pPr>
        <w:rPr>
          <w:rFonts w:ascii="Arial" w:hAnsi="Arial" w:cs="Arial"/>
        </w:rPr>
      </w:pPr>
    </w:p>
    <w:p w14:paraId="159F4B3A" w14:textId="157DDB22" w:rsidR="00C37068" w:rsidRPr="00083A4F" w:rsidRDefault="00C37068" w:rsidP="00C37068">
      <w:pPr>
        <w:spacing w:line="360" w:lineRule="auto"/>
        <w:jc w:val="both"/>
        <w:rPr>
          <w:rFonts w:ascii="Arial" w:hAnsi="Arial" w:cs="Arial"/>
        </w:rPr>
      </w:pPr>
      <w:r w:rsidRPr="00083A4F">
        <w:rPr>
          <w:rFonts w:ascii="Arial" w:hAnsi="Arial" w:cs="Arial"/>
        </w:rPr>
        <w:t>Despite the structured methodology, data extraction and analysis are difficult. Study design and metrics heterogeneity complicates comparison and synthesis. Different studies may use different units (tones, kilos per capita) or present market prices in different currencies and years for measuring e-waste volumes. Qualitative data coding can be subjective; researcher bias can affect theme identification and interpretation. To improve reliability, future SLRs could use multiple reviewers to independently code articles and calculate inter-rater agreement. To assess study rigor, quality appraisal tools like case study checklists or policy document critical appraisal criteria might be used. A combination of narrative synthesis and quantitative meta-analysis may yield more reliable conclusions (Zion Market Research, 2025).</w:t>
      </w:r>
    </w:p>
    <w:p w14:paraId="1B15A4BF" w14:textId="0156A36F" w:rsidR="00C37068" w:rsidRPr="00083A4F" w:rsidRDefault="00C37068" w:rsidP="00C37068">
      <w:pPr>
        <w:spacing w:line="360" w:lineRule="auto"/>
        <w:jc w:val="both"/>
        <w:rPr>
          <w:rFonts w:ascii="Arial" w:hAnsi="Arial" w:cs="Arial"/>
        </w:rPr>
      </w:pPr>
      <w:r w:rsidRPr="00083A4F">
        <w:rPr>
          <w:rFonts w:ascii="Arial" w:hAnsi="Arial" w:cs="Arial"/>
        </w:rPr>
        <w:t>The review suggests various research options. Empirical research should evaluate the impact of circular solutions such modular product design, leasing schemes, and data sanitization standards in varied socio-economic circumstances (</w:t>
      </w:r>
      <w:proofErr w:type="spellStart"/>
      <w:r w:rsidRPr="00083A4F">
        <w:rPr>
          <w:rFonts w:ascii="Arial" w:hAnsi="Arial" w:cs="Arial"/>
        </w:rPr>
        <w:t>Wisetek</w:t>
      </w:r>
      <w:proofErr w:type="spellEnd"/>
      <w:r w:rsidRPr="00083A4F">
        <w:rPr>
          <w:rFonts w:ascii="Arial" w:hAnsi="Arial" w:cs="Arial"/>
        </w:rPr>
        <w:t xml:space="preserve">, 2021). Longitudinal case studies could assess reconditioned devices' reliability, user happiness, and environmental impact. Second, quantitative modelling and scenario analysis could assist governments select investments by assessing the economic and environmental benefits of scaling up circular programs. Third, research should examine consumer behavior and cultural attitudes toward reconditioned gadgets in different locations to </w:t>
      </w:r>
      <w:r w:rsidRPr="00083A4F">
        <w:rPr>
          <w:rFonts w:ascii="Arial" w:hAnsi="Arial" w:cs="Arial"/>
        </w:rPr>
        <w:lastRenderedPageBreak/>
        <w:t>discover acceptance barriers and create customized awareness campaigns. Fourth, interdisciplinary study is needed to analyze circular supply chain social fairness, including informal recyclers' working conditions and inclusion into formal systems. Technological innovation research should prioritize sustainable material passports, energy-efficient recycling, and AI-driven predictive maintenance solutions. Building evidence across these disciplines will help create a circular and equitable IT hardware economy.</w:t>
      </w:r>
    </w:p>
    <w:p w14:paraId="285E0177" w14:textId="6E953D50" w:rsidR="00C37068" w:rsidRPr="00083A4F" w:rsidRDefault="00C37068" w:rsidP="00C37068">
      <w:pPr>
        <w:spacing w:line="360" w:lineRule="auto"/>
        <w:jc w:val="both"/>
        <w:rPr>
          <w:rFonts w:ascii="Arial" w:hAnsi="Arial" w:cs="Arial"/>
        </w:rPr>
      </w:pPr>
      <w:r w:rsidRPr="00083A4F">
        <w:rPr>
          <w:rFonts w:ascii="Arial" w:hAnsi="Arial" w:cs="Arial"/>
        </w:rPr>
        <w:t xml:space="preserve">Engineering, economics, sociology, and policy sciences must collaborate to further circular IT hardware supply chain studies. Targeted efforts can be based on circular consumption </w:t>
      </w:r>
      <w:r w:rsidR="0080367C" w:rsidRPr="00083A4F">
        <w:rPr>
          <w:rFonts w:ascii="Arial" w:hAnsi="Arial" w:cs="Arial"/>
        </w:rPr>
        <w:t>behaviors</w:t>
      </w:r>
      <w:r w:rsidRPr="00083A4F">
        <w:rPr>
          <w:rFonts w:ascii="Arial" w:hAnsi="Arial" w:cs="Arial"/>
        </w:rPr>
        <w:t xml:space="preserve"> like desire to pay for refurbished gadgets, trust in certification labels, and cultural attitudes toward repair (</w:t>
      </w:r>
      <w:proofErr w:type="spellStart"/>
      <w:r w:rsidRPr="00083A4F">
        <w:rPr>
          <w:rFonts w:ascii="Arial" w:hAnsi="Arial" w:cs="Arial"/>
        </w:rPr>
        <w:t>Brinsi</w:t>
      </w:r>
      <w:proofErr w:type="spellEnd"/>
      <w:r w:rsidRPr="00083A4F">
        <w:rPr>
          <w:rFonts w:ascii="Arial" w:hAnsi="Arial" w:cs="Arial"/>
        </w:rPr>
        <w:t xml:space="preserve"> et al., 2024). Lawmakers can use comparative policy analysis to determine how subsidies, mandates, and taxes affect circular results. Decarbonizing power grids boosts the environmental benefits of recycling and </w:t>
      </w:r>
      <w:proofErr w:type="gramStart"/>
      <w:r w:rsidR="004156B1" w:rsidRPr="00083A4F">
        <w:rPr>
          <w:rFonts w:ascii="Arial" w:hAnsi="Arial" w:cs="Arial"/>
        </w:rPr>
        <w:t>refurbishment,</w:t>
      </w:r>
      <w:proofErr w:type="gramEnd"/>
      <w:r w:rsidR="004156B1" w:rsidRPr="00083A4F">
        <w:rPr>
          <w:rFonts w:ascii="Arial" w:hAnsi="Arial" w:cs="Arial"/>
        </w:rPr>
        <w:t xml:space="preserve"> </w:t>
      </w:r>
      <w:r w:rsidRPr="00083A4F">
        <w:rPr>
          <w:rFonts w:ascii="Arial" w:hAnsi="Arial" w:cs="Arial"/>
        </w:rPr>
        <w:t xml:space="preserve">thus research should examine how circular </w:t>
      </w:r>
      <w:proofErr w:type="gramStart"/>
      <w:r w:rsidRPr="00083A4F">
        <w:rPr>
          <w:rFonts w:ascii="Arial" w:hAnsi="Arial" w:cs="Arial"/>
        </w:rPr>
        <w:t>economy</w:t>
      </w:r>
      <w:proofErr w:type="gramEnd"/>
      <w:r w:rsidRPr="00083A4F">
        <w:rPr>
          <w:rFonts w:ascii="Arial" w:hAnsi="Arial" w:cs="Arial"/>
        </w:rPr>
        <w:t xml:space="preserve"> activities and renewable energy adoption interact. Finally, participatory action research with informal recyclers and community organizations can create socially inclusive models for formalized, safe, and profitable circular supply chains.</w:t>
      </w:r>
    </w:p>
    <w:p w14:paraId="396AF00C" w14:textId="14B442B0" w:rsidR="00C37068" w:rsidRPr="00083A4F" w:rsidRDefault="00C37068" w:rsidP="00C37068">
      <w:pPr>
        <w:spacing w:line="360" w:lineRule="auto"/>
        <w:jc w:val="both"/>
        <w:rPr>
          <w:rFonts w:ascii="Arial" w:hAnsi="Arial" w:cs="Arial"/>
        </w:rPr>
      </w:pPr>
      <w:r w:rsidRPr="00083A4F">
        <w:rPr>
          <w:rFonts w:ascii="Arial" w:hAnsi="Arial" w:cs="Arial"/>
        </w:rPr>
        <w:t xml:space="preserve">This dissertation advances IT hardware supply chain circular economy research and practice. It theoretically synthesizes literature from several fields and highlights a systems perspective beyond recycling. The study emphasizes upstream interventions—design, modularity, reuse, and refurbishment—to retain product value using the 9R hierarchy and PICOT framework. The review emphasizes the impact of digital technology and socio-cultural aspects on circular results, enhancing theoretical understanding of technological, economic, behavioral, and institutional factors. The findings offer practitioners evidence-based counsel. Designers should use modular designs and address end-of-life eventualities during product creation. Supply chain managers and regulators can use </w:t>
      </w:r>
      <w:r w:rsidR="004156B1" w:rsidRPr="00083A4F">
        <w:rPr>
          <w:rFonts w:ascii="Arial" w:hAnsi="Arial" w:cs="Arial"/>
        </w:rPr>
        <w:t>ideas</w:t>
      </w:r>
      <w:r w:rsidRPr="00083A4F">
        <w:rPr>
          <w:rFonts w:ascii="Arial" w:hAnsi="Arial" w:cs="Arial"/>
        </w:rPr>
        <w:t xml:space="preserve"> for reverse logistics, data </w:t>
      </w:r>
      <w:r w:rsidR="00324D28" w:rsidRPr="00083A4F">
        <w:rPr>
          <w:rFonts w:ascii="Arial" w:hAnsi="Arial" w:cs="Arial"/>
        </w:rPr>
        <w:t>sanitization</w:t>
      </w:r>
      <w:r w:rsidRPr="00083A4F">
        <w:rPr>
          <w:rFonts w:ascii="Arial" w:hAnsi="Arial" w:cs="Arial"/>
        </w:rPr>
        <w:t xml:space="preserve">, and extended producer accountability. Explore innovative revenue methods like leasing or pay-per-use services to balance profitability and sustainability (Circular Tech, 2015). Educational and community </w:t>
      </w:r>
      <w:r w:rsidR="00324D28" w:rsidRPr="00083A4F">
        <w:rPr>
          <w:rFonts w:ascii="Arial" w:hAnsi="Arial" w:cs="Arial"/>
        </w:rPr>
        <w:t>organizations</w:t>
      </w:r>
      <w:r w:rsidRPr="00083A4F">
        <w:rPr>
          <w:rFonts w:ascii="Arial" w:hAnsi="Arial" w:cs="Arial"/>
        </w:rPr>
        <w:t xml:space="preserve"> can use consumer perceptions to market reconditioned electronics. The dissertation provides a roadmap for manufacturers, regulators, consumers, recyclers, and researchers to collaborate and expedite the transition to a circular, resource-efficient, and socially equitable IT hardware sector. Stakeholders will reduce environmental damage and boost global innovation and economic progress. Globally.</w:t>
      </w:r>
    </w:p>
    <w:p w14:paraId="23ED4AB3" w14:textId="77777777" w:rsidR="001C354D" w:rsidRPr="00083A4F" w:rsidRDefault="001C354D" w:rsidP="001C354D">
      <w:pPr>
        <w:rPr>
          <w:rFonts w:ascii="Arial" w:hAnsi="Arial" w:cs="Arial"/>
        </w:rPr>
      </w:pPr>
    </w:p>
    <w:p w14:paraId="73A3F3C3" w14:textId="77777777" w:rsidR="001C354D" w:rsidRPr="00083A4F" w:rsidRDefault="001C354D" w:rsidP="001C354D">
      <w:pPr>
        <w:rPr>
          <w:rFonts w:ascii="Arial" w:hAnsi="Arial" w:cs="Arial"/>
        </w:rPr>
      </w:pPr>
    </w:p>
    <w:p w14:paraId="5F8EE817" w14:textId="77777777" w:rsidR="001C354D" w:rsidRPr="00083A4F" w:rsidRDefault="001C354D" w:rsidP="001C354D">
      <w:pPr>
        <w:rPr>
          <w:rFonts w:ascii="Arial" w:hAnsi="Arial" w:cs="Arial"/>
        </w:rPr>
      </w:pPr>
    </w:p>
    <w:p w14:paraId="7F6769EE" w14:textId="77777777" w:rsidR="001C354D" w:rsidRPr="00083A4F" w:rsidRDefault="001C354D" w:rsidP="001C354D">
      <w:pPr>
        <w:rPr>
          <w:rFonts w:ascii="Arial" w:hAnsi="Arial" w:cs="Arial"/>
        </w:rPr>
      </w:pPr>
    </w:p>
    <w:p w14:paraId="7D2C9BF7" w14:textId="77777777" w:rsidR="00FA4CCC" w:rsidRPr="00083A4F" w:rsidRDefault="00FA4CCC" w:rsidP="00FA4CCC">
      <w:pPr>
        <w:pStyle w:val="Heading1"/>
        <w:spacing w:line="360" w:lineRule="auto"/>
        <w:jc w:val="both"/>
        <w:rPr>
          <w:rFonts w:ascii="Arial" w:hAnsi="Arial" w:cs="Arial"/>
        </w:rPr>
      </w:pPr>
    </w:p>
    <w:p w14:paraId="0916BFFE" w14:textId="77777777" w:rsidR="004C40F1" w:rsidRPr="00083A4F" w:rsidRDefault="004C40F1" w:rsidP="004C40F1">
      <w:pPr>
        <w:rPr>
          <w:rFonts w:ascii="Arial" w:hAnsi="Arial" w:cs="Arial"/>
        </w:rPr>
      </w:pPr>
    </w:p>
    <w:p w14:paraId="730135B7" w14:textId="77777777" w:rsidR="004C40F1" w:rsidRPr="00083A4F" w:rsidRDefault="004C40F1" w:rsidP="004C40F1">
      <w:pPr>
        <w:rPr>
          <w:rFonts w:ascii="Arial" w:hAnsi="Arial" w:cs="Arial"/>
        </w:rPr>
      </w:pPr>
    </w:p>
    <w:p w14:paraId="313483E1" w14:textId="77777777" w:rsidR="004C40F1" w:rsidRPr="00083A4F" w:rsidRDefault="004C40F1" w:rsidP="004C40F1">
      <w:pPr>
        <w:rPr>
          <w:rFonts w:ascii="Arial" w:hAnsi="Arial" w:cs="Arial"/>
        </w:rPr>
      </w:pPr>
    </w:p>
    <w:p w14:paraId="04F65070" w14:textId="77777777" w:rsidR="004C40F1" w:rsidRPr="00083A4F" w:rsidRDefault="004C40F1" w:rsidP="004C40F1">
      <w:pPr>
        <w:rPr>
          <w:rFonts w:ascii="Arial" w:hAnsi="Arial" w:cs="Arial"/>
        </w:rPr>
      </w:pPr>
    </w:p>
    <w:p w14:paraId="43E25637" w14:textId="77777777" w:rsidR="004C40F1" w:rsidRPr="00083A4F" w:rsidRDefault="004C40F1" w:rsidP="004C40F1">
      <w:pPr>
        <w:rPr>
          <w:rFonts w:ascii="Arial" w:hAnsi="Arial" w:cs="Arial"/>
        </w:rPr>
      </w:pPr>
    </w:p>
    <w:p w14:paraId="21EC3C8D" w14:textId="77777777" w:rsidR="004C40F1" w:rsidRPr="00083A4F" w:rsidRDefault="004C40F1" w:rsidP="004C40F1">
      <w:pPr>
        <w:rPr>
          <w:rFonts w:ascii="Arial" w:hAnsi="Arial" w:cs="Arial"/>
        </w:rPr>
      </w:pPr>
    </w:p>
    <w:p w14:paraId="4E205D20" w14:textId="77777777" w:rsidR="004C40F1" w:rsidRPr="00083A4F" w:rsidRDefault="004C40F1" w:rsidP="004C40F1">
      <w:pPr>
        <w:rPr>
          <w:rFonts w:ascii="Arial" w:hAnsi="Arial" w:cs="Arial"/>
        </w:rPr>
      </w:pPr>
    </w:p>
    <w:p w14:paraId="2EC41525" w14:textId="77777777" w:rsidR="004C40F1" w:rsidRPr="00083A4F" w:rsidRDefault="004C40F1" w:rsidP="004C40F1">
      <w:pPr>
        <w:rPr>
          <w:rFonts w:ascii="Arial" w:hAnsi="Arial" w:cs="Arial"/>
        </w:rPr>
      </w:pPr>
    </w:p>
    <w:p w14:paraId="4F992817" w14:textId="77777777" w:rsidR="004C40F1" w:rsidRPr="00083A4F" w:rsidRDefault="004C40F1" w:rsidP="004C40F1">
      <w:pPr>
        <w:rPr>
          <w:rFonts w:ascii="Arial" w:hAnsi="Arial" w:cs="Arial"/>
        </w:rPr>
      </w:pPr>
    </w:p>
    <w:p w14:paraId="45C84B8F" w14:textId="77777777" w:rsidR="004C40F1" w:rsidRPr="00083A4F" w:rsidRDefault="004C40F1" w:rsidP="004C40F1">
      <w:pPr>
        <w:rPr>
          <w:rFonts w:ascii="Arial" w:hAnsi="Arial" w:cs="Arial"/>
        </w:rPr>
      </w:pPr>
    </w:p>
    <w:p w14:paraId="4CA419A3" w14:textId="74105B08" w:rsidR="007354CC" w:rsidRDefault="007354CC" w:rsidP="00E47261">
      <w:pPr>
        <w:rPr>
          <w:rFonts w:ascii="Arial" w:hAnsi="Arial" w:cs="Arial"/>
        </w:rPr>
      </w:pPr>
      <w:bookmarkStart w:id="56" w:name="_Toc224058811"/>
    </w:p>
    <w:p w14:paraId="2353839C" w14:textId="77777777" w:rsidR="00E47261" w:rsidRDefault="00E47261" w:rsidP="00E47261">
      <w:pPr>
        <w:rPr>
          <w:rFonts w:ascii="Arial" w:hAnsi="Arial" w:cs="Arial"/>
        </w:rPr>
      </w:pPr>
    </w:p>
    <w:p w14:paraId="2D45FD3B" w14:textId="77777777" w:rsidR="00E47261" w:rsidRDefault="00E47261" w:rsidP="00E47261">
      <w:pPr>
        <w:rPr>
          <w:rFonts w:ascii="Arial" w:hAnsi="Arial" w:cs="Arial"/>
        </w:rPr>
      </w:pPr>
    </w:p>
    <w:p w14:paraId="22ADFB9E" w14:textId="77777777" w:rsidR="00E47261" w:rsidRDefault="00E47261" w:rsidP="00E47261">
      <w:pPr>
        <w:rPr>
          <w:rFonts w:ascii="Arial" w:hAnsi="Arial" w:cs="Arial"/>
        </w:rPr>
      </w:pPr>
    </w:p>
    <w:p w14:paraId="4F9F9545" w14:textId="77777777" w:rsidR="00E47261" w:rsidRDefault="00E47261" w:rsidP="00E47261">
      <w:pPr>
        <w:rPr>
          <w:rFonts w:ascii="Arial" w:hAnsi="Arial" w:cs="Arial"/>
        </w:rPr>
      </w:pPr>
    </w:p>
    <w:p w14:paraId="6602EC31" w14:textId="77777777" w:rsidR="00E47261" w:rsidRDefault="00E47261" w:rsidP="00E47261">
      <w:pPr>
        <w:rPr>
          <w:rFonts w:ascii="Arial" w:hAnsi="Arial" w:cs="Arial"/>
        </w:rPr>
      </w:pPr>
    </w:p>
    <w:p w14:paraId="7E7C3DC2" w14:textId="03180C7F" w:rsidR="007354CC" w:rsidRPr="007354CC" w:rsidRDefault="00FA4CCC" w:rsidP="007354CC">
      <w:pPr>
        <w:pStyle w:val="Heading1"/>
        <w:spacing w:line="360" w:lineRule="auto"/>
        <w:jc w:val="both"/>
        <w:rPr>
          <w:rFonts w:ascii="Arial" w:hAnsi="Arial" w:cs="Arial"/>
        </w:rPr>
      </w:pPr>
      <w:r w:rsidRPr="00083A4F">
        <w:rPr>
          <w:rFonts w:ascii="Arial" w:hAnsi="Arial" w:cs="Arial"/>
        </w:rPr>
        <w:t>References</w:t>
      </w:r>
      <w:r w:rsidR="00EF2F91" w:rsidRPr="00083A4F">
        <w:rPr>
          <w:rFonts w:ascii="Arial" w:hAnsi="Arial" w:cs="Arial"/>
        </w:rPr>
        <w:t>:</w:t>
      </w:r>
      <w:bookmarkEnd w:id="56"/>
    </w:p>
    <w:p w14:paraId="6307CF9C" w14:textId="77777777" w:rsidR="001C3D8E" w:rsidRPr="00083A4F" w:rsidRDefault="001C3D8E" w:rsidP="001C3D8E">
      <w:pPr>
        <w:rPr>
          <w:rFonts w:ascii="Arial" w:hAnsi="Arial" w:cs="Arial"/>
        </w:rPr>
      </w:pPr>
    </w:p>
    <w:p w14:paraId="01BF1375" w14:textId="77777777" w:rsidR="004C40F1" w:rsidRPr="00083A4F" w:rsidRDefault="004C40F1" w:rsidP="004C40F1">
      <w:pPr>
        <w:spacing w:line="360" w:lineRule="auto"/>
        <w:jc w:val="both"/>
        <w:rPr>
          <w:rFonts w:ascii="Arial" w:hAnsi="Arial" w:cs="Arial"/>
        </w:rPr>
      </w:pPr>
      <w:proofErr w:type="spellStart"/>
      <w:r w:rsidRPr="00083A4F">
        <w:rPr>
          <w:rFonts w:ascii="Arial" w:hAnsi="Arial" w:cs="Arial"/>
        </w:rPr>
        <w:t>Abdelmeguid</w:t>
      </w:r>
      <w:proofErr w:type="spellEnd"/>
      <w:r w:rsidRPr="00083A4F">
        <w:rPr>
          <w:rFonts w:ascii="Arial" w:hAnsi="Arial" w:cs="Arial"/>
        </w:rPr>
        <w:t>, A. et al. (</w:t>
      </w:r>
      <w:proofErr w:type="gramStart"/>
      <w:r w:rsidRPr="00083A4F">
        <w:rPr>
          <w:rFonts w:ascii="Arial" w:hAnsi="Arial" w:cs="Arial"/>
        </w:rPr>
        <w:t>2026) ‘</w:t>
      </w:r>
      <w:proofErr w:type="gramEnd"/>
      <w:r w:rsidRPr="00083A4F">
        <w:rPr>
          <w:rFonts w:ascii="Arial" w:hAnsi="Arial" w:cs="Arial"/>
        </w:rPr>
        <w:t>Barriers and enablers of circular economy in electrical and electronic equipment supply chains’, *Business Strategy and the Environment*. doi:10.1002/bse.70559.</w:t>
      </w:r>
    </w:p>
    <w:p w14:paraId="1A5A15B8" w14:textId="77777777" w:rsidR="004C40F1" w:rsidRPr="00083A4F" w:rsidRDefault="004C40F1" w:rsidP="004C40F1">
      <w:pPr>
        <w:spacing w:line="360" w:lineRule="auto"/>
        <w:jc w:val="both"/>
        <w:rPr>
          <w:rFonts w:ascii="Arial" w:hAnsi="Arial" w:cs="Arial"/>
        </w:rPr>
      </w:pPr>
      <w:proofErr w:type="spellStart"/>
      <w:r w:rsidRPr="00083A4F">
        <w:rPr>
          <w:rFonts w:ascii="Arial" w:hAnsi="Arial" w:cs="Arial"/>
        </w:rPr>
        <w:lastRenderedPageBreak/>
        <w:t>Brinsi</w:t>
      </w:r>
      <w:proofErr w:type="spellEnd"/>
      <w:r w:rsidRPr="00083A4F">
        <w:rPr>
          <w:rFonts w:ascii="Arial" w:hAnsi="Arial" w:cs="Arial"/>
        </w:rPr>
        <w:t>, W. et al. (2024) ‘A case study of circular economy practices in electronics manufacturing’, *Oradea Journal of Business and Economics*, 9(2), pp. 106–118.</w:t>
      </w:r>
    </w:p>
    <w:p w14:paraId="0CFFFFC0" w14:textId="77777777" w:rsidR="004C40F1" w:rsidRPr="00083A4F" w:rsidRDefault="004C40F1" w:rsidP="004C40F1">
      <w:pPr>
        <w:spacing w:line="360" w:lineRule="auto"/>
        <w:jc w:val="both"/>
        <w:rPr>
          <w:rFonts w:ascii="Arial" w:hAnsi="Arial" w:cs="Arial"/>
        </w:rPr>
      </w:pPr>
      <w:r w:rsidRPr="00083A4F">
        <w:rPr>
          <w:rFonts w:ascii="Arial" w:hAnsi="Arial" w:cs="Arial"/>
        </w:rPr>
        <w:t xml:space="preserve">Circular Tech (2015) *Case study – </w:t>
      </w:r>
      <w:proofErr w:type="spellStart"/>
      <w:r w:rsidRPr="00083A4F">
        <w:rPr>
          <w:rFonts w:ascii="Arial" w:hAnsi="Arial" w:cs="Arial"/>
        </w:rPr>
        <w:t>eReuse</w:t>
      </w:r>
      <w:proofErr w:type="spellEnd"/>
      <w:r w:rsidRPr="00083A4F">
        <w:rPr>
          <w:rFonts w:ascii="Arial" w:hAnsi="Arial" w:cs="Arial"/>
        </w:rPr>
        <w:t>: Building reuse circuits for computers*. Available at: https://circulartech.apc.org (Accessed February 2026).</w:t>
      </w:r>
    </w:p>
    <w:p w14:paraId="5403334E" w14:textId="77777777" w:rsidR="004C40F1" w:rsidRPr="00083A4F" w:rsidRDefault="004C40F1" w:rsidP="004C40F1">
      <w:pPr>
        <w:spacing w:line="360" w:lineRule="auto"/>
        <w:jc w:val="both"/>
        <w:rPr>
          <w:rFonts w:ascii="Arial" w:hAnsi="Arial" w:cs="Arial"/>
        </w:rPr>
      </w:pPr>
      <w:r w:rsidRPr="00083A4F">
        <w:rPr>
          <w:rFonts w:ascii="Arial" w:hAnsi="Arial" w:cs="Arial"/>
        </w:rPr>
        <w:t>Ellen MacArthur Foundation (2014) *Towards the circular economy Vol. 3: Accelerating the scale</w:t>
      </w:r>
      <w:r w:rsidRPr="00083A4F">
        <w:rPr>
          <w:rFonts w:ascii="Cambria Math" w:hAnsi="Cambria Math" w:cs="Cambria Math"/>
        </w:rPr>
        <w:t>‑</w:t>
      </w:r>
      <w:r w:rsidRPr="00083A4F">
        <w:rPr>
          <w:rFonts w:ascii="Arial" w:hAnsi="Arial" w:cs="Arial"/>
        </w:rPr>
        <w:t>up across global supply chains*. Available at: https://ellenmacarthurfoundation.org (Accessed February 2026).</w:t>
      </w:r>
    </w:p>
    <w:p w14:paraId="19D406EA" w14:textId="77777777" w:rsidR="004C40F1" w:rsidRPr="00083A4F" w:rsidRDefault="004C40F1" w:rsidP="004C40F1">
      <w:pPr>
        <w:spacing w:line="360" w:lineRule="auto"/>
        <w:jc w:val="both"/>
        <w:rPr>
          <w:rFonts w:ascii="Arial" w:hAnsi="Arial" w:cs="Arial"/>
        </w:rPr>
      </w:pPr>
      <w:r w:rsidRPr="00083A4F">
        <w:rPr>
          <w:rFonts w:ascii="Arial" w:hAnsi="Arial" w:cs="Arial"/>
        </w:rPr>
        <w:t>Elgarahy, A.M. et al. (2024) ‘Revitalizing the circular economy: An exploration of e</w:t>
      </w:r>
      <w:r w:rsidRPr="00083A4F">
        <w:rPr>
          <w:rFonts w:ascii="Cambria Math" w:hAnsi="Cambria Math" w:cs="Cambria Math"/>
        </w:rPr>
        <w:t>‑</w:t>
      </w:r>
      <w:r w:rsidRPr="00083A4F">
        <w:rPr>
          <w:rFonts w:ascii="Arial" w:hAnsi="Arial" w:cs="Arial"/>
        </w:rPr>
        <w:t xml:space="preserve">waste recycling approaches’, *Circular Economy* [Preprint]. </w:t>
      </w:r>
      <w:proofErr w:type="gramStart"/>
      <w:r w:rsidRPr="00083A4F">
        <w:rPr>
          <w:rFonts w:ascii="Arial" w:hAnsi="Arial" w:cs="Arial"/>
        </w:rPr>
        <w:t>doi:10.1016/j.cec</w:t>
      </w:r>
      <w:proofErr w:type="gramEnd"/>
      <w:r w:rsidRPr="00083A4F">
        <w:rPr>
          <w:rFonts w:ascii="Arial" w:hAnsi="Arial" w:cs="Arial"/>
        </w:rPr>
        <w:t>.2024.100067.</w:t>
      </w:r>
    </w:p>
    <w:p w14:paraId="7619EEBC" w14:textId="77777777" w:rsidR="004C40F1" w:rsidRPr="00083A4F" w:rsidRDefault="004C40F1" w:rsidP="004C40F1">
      <w:pPr>
        <w:spacing w:line="360" w:lineRule="auto"/>
        <w:jc w:val="both"/>
        <w:rPr>
          <w:rFonts w:ascii="Arial" w:hAnsi="Arial" w:cs="Arial"/>
        </w:rPr>
      </w:pPr>
      <w:r w:rsidRPr="00083A4F">
        <w:rPr>
          <w:rFonts w:ascii="Arial" w:hAnsi="Arial" w:cs="Arial"/>
        </w:rPr>
        <w:t>Espino Penilla, M. et al. (2023) ‘Drivers and barriers to achieve a circular economy of small</w:t>
      </w:r>
      <w:r w:rsidRPr="00083A4F">
        <w:rPr>
          <w:rFonts w:ascii="Cambria Math" w:hAnsi="Cambria Math" w:cs="Cambria Math"/>
        </w:rPr>
        <w:t>‑</w:t>
      </w:r>
      <w:r w:rsidRPr="00083A4F">
        <w:rPr>
          <w:rFonts w:ascii="Arial" w:hAnsi="Arial" w:cs="Arial"/>
        </w:rPr>
        <w:t>IT: Case study from the city of Porto’, *Waste Management &amp; Research*, 41(10), pp. 1–12. doi:10.1177/0734242X21994917.</w:t>
      </w:r>
    </w:p>
    <w:p w14:paraId="5BE8972F" w14:textId="77777777" w:rsidR="004C40F1" w:rsidRPr="00083A4F" w:rsidRDefault="004C40F1" w:rsidP="004C40F1">
      <w:pPr>
        <w:spacing w:line="360" w:lineRule="auto"/>
        <w:jc w:val="both"/>
        <w:rPr>
          <w:rFonts w:ascii="Arial" w:hAnsi="Arial" w:cs="Arial"/>
        </w:rPr>
      </w:pPr>
      <w:r w:rsidRPr="00083A4F">
        <w:rPr>
          <w:rFonts w:ascii="Arial" w:hAnsi="Arial" w:cs="Arial"/>
        </w:rPr>
        <w:t>European Circular Economy Stakeholder Platform (2023) *The contribution of the Digital Industry to repair, remanufacturing and refurbishment in a Circular Economy*. Available at: https://circulareconomy.europa.eu (Accessed February 2026).</w:t>
      </w:r>
    </w:p>
    <w:p w14:paraId="04FCCDB4" w14:textId="77777777" w:rsidR="004C40F1" w:rsidRPr="00083A4F" w:rsidRDefault="004C40F1" w:rsidP="004C40F1">
      <w:pPr>
        <w:spacing w:line="360" w:lineRule="auto"/>
        <w:jc w:val="both"/>
        <w:rPr>
          <w:rFonts w:ascii="Arial" w:hAnsi="Arial" w:cs="Arial"/>
        </w:rPr>
      </w:pPr>
      <w:r w:rsidRPr="00083A4F">
        <w:rPr>
          <w:rFonts w:ascii="Arial" w:hAnsi="Arial" w:cs="Arial"/>
        </w:rPr>
        <w:t>Khanna, S. et al. (</w:t>
      </w:r>
      <w:proofErr w:type="gramStart"/>
      <w:r w:rsidRPr="00083A4F">
        <w:rPr>
          <w:rFonts w:ascii="Arial" w:hAnsi="Arial" w:cs="Arial"/>
        </w:rPr>
        <w:t>2025) ‘</w:t>
      </w:r>
      <w:proofErr w:type="gramEnd"/>
      <w:r w:rsidRPr="00083A4F">
        <w:rPr>
          <w:rFonts w:ascii="Arial" w:hAnsi="Arial" w:cs="Arial"/>
        </w:rPr>
        <w:t>Circular supply chain management: Bridging business innovation and sustainability imperatives’, *Circular Economy Journal* [Preprint].</w:t>
      </w:r>
    </w:p>
    <w:p w14:paraId="716C2DE2" w14:textId="77777777" w:rsidR="004C40F1" w:rsidRPr="00083A4F" w:rsidRDefault="004C40F1" w:rsidP="004C40F1">
      <w:pPr>
        <w:spacing w:line="360" w:lineRule="auto"/>
        <w:jc w:val="both"/>
        <w:rPr>
          <w:rFonts w:ascii="Arial" w:hAnsi="Arial" w:cs="Arial"/>
        </w:rPr>
      </w:pPr>
      <w:r w:rsidRPr="00083A4F">
        <w:rPr>
          <w:rFonts w:ascii="Arial" w:hAnsi="Arial" w:cs="Arial"/>
        </w:rPr>
        <w:t>Nashid, S. (2024) *Circular economy in IT device lifecycle: Analyzing European practices* [</w:t>
      </w:r>
      <w:proofErr w:type="gramStart"/>
      <w:r w:rsidRPr="00083A4F">
        <w:rPr>
          <w:rFonts w:ascii="Arial" w:hAnsi="Arial" w:cs="Arial"/>
        </w:rPr>
        <w:t>Master’s</w:t>
      </w:r>
      <w:proofErr w:type="gramEnd"/>
      <w:r w:rsidRPr="00083A4F">
        <w:rPr>
          <w:rFonts w:ascii="Arial" w:hAnsi="Arial" w:cs="Arial"/>
        </w:rPr>
        <w:t xml:space="preserve"> thesis]. LUT University.</w:t>
      </w:r>
    </w:p>
    <w:p w14:paraId="5E29197B" w14:textId="77777777" w:rsidR="004C40F1" w:rsidRPr="00083A4F" w:rsidRDefault="004C40F1" w:rsidP="004C40F1">
      <w:pPr>
        <w:spacing w:line="360" w:lineRule="auto"/>
        <w:jc w:val="both"/>
        <w:rPr>
          <w:rFonts w:ascii="Arial" w:hAnsi="Arial" w:cs="Arial"/>
        </w:rPr>
      </w:pPr>
      <w:r w:rsidRPr="00083A4F">
        <w:rPr>
          <w:rFonts w:ascii="Arial" w:hAnsi="Arial" w:cs="Arial"/>
        </w:rPr>
        <w:t>NICF (2025) *Circular economy approaches in e</w:t>
      </w:r>
      <w:r w:rsidRPr="00083A4F">
        <w:rPr>
          <w:rFonts w:ascii="Cambria Math" w:hAnsi="Cambria Math" w:cs="Cambria Math"/>
        </w:rPr>
        <w:t>‑</w:t>
      </w:r>
      <w:r w:rsidRPr="00083A4F">
        <w:rPr>
          <w:rFonts w:ascii="Arial" w:hAnsi="Arial" w:cs="Arial"/>
        </w:rPr>
        <w:t>waste management*. Available at: https://nicf.gov.in (Accessed February 2026).</w:t>
      </w:r>
    </w:p>
    <w:p w14:paraId="69C3708D" w14:textId="77777777" w:rsidR="004C40F1" w:rsidRPr="00083A4F" w:rsidRDefault="004C40F1" w:rsidP="004C40F1">
      <w:pPr>
        <w:spacing w:line="360" w:lineRule="auto"/>
        <w:jc w:val="both"/>
        <w:rPr>
          <w:rFonts w:ascii="Arial" w:hAnsi="Arial" w:cs="Arial"/>
        </w:rPr>
      </w:pPr>
      <w:r w:rsidRPr="00083A4F">
        <w:rPr>
          <w:rFonts w:ascii="Arial" w:hAnsi="Arial" w:cs="Arial"/>
        </w:rPr>
        <w:t>Reuse Technology Group (2024) *How refurbished IT hardware drives the circular economy*. Available at: https://reusetechgroup.com (Accessed February 2026).</w:t>
      </w:r>
    </w:p>
    <w:p w14:paraId="09C1CE82" w14:textId="77777777" w:rsidR="004C40F1" w:rsidRPr="00083A4F" w:rsidRDefault="004C40F1" w:rsidP="004C40F1">
      <w:pPr>
        <w:spacing w:line="360" w:lineRule="auto"/>
        <w:jc w:val="both"/>
        <w:rPr>
          <w:rFonts w:ascii="Arial" w:hAnsi="Arial" w:cs="Arial"/>
        </w:rPr>
      </w:pPr>
      <w:r w:rsidRPr="00083A4F">
        <w:rPr>
          <w:rFonts w:ascii="Arial" w:hAnsi="Arial" w:cs="Arial"/>
        </w:rPr>
        <w:t>RSC Publishing (</w:t>
      </w:r>
      <w:proofErr w:type="gramStart"/>
      <w:r w:rsidRPr="00083A4F">
        <w:rPr>
          <w:rFonts w:ascii="Arial" w:hAnsi="Arial" w:cs="Arial"/>
        </w:rPr>
        <w:t>2019) ‘</w:t>
      </w:r>
      <w:proofErr w:type="gramEnd"/>
      <w:r w:rsidRPr="00083A4F">
        <w:rPr>
          <w:rFonts w:ascii="Arial" w:hAnsi="Arial" w:cs="Arial"/>
        </w:rPr>
        <w:t xml:space="preserve">A circular economy for consumer </w:t>
      </w:r>
      <w:proofErr w:type="gramStart"/>
      <w:r w:rsidRPr="00083A4F">
        <w:rPr>
          <w:rFonts w:ascii="Arial" w:hAnsi="Arial" w:cs="Arial"/>
        </w:rPr>
        <w:t>electronics’</w:t>
      </w:r>
      <w:proofErr w:type="gramEnd"/>
      <w:r w:rsidRPr="00083A4F">
        <w:rPr>
          <w:rFonts w:ascii="Arial" w:hAnsi="Arial" w:cs="Arial"/>
        </w:rPr>
        <w:t>. In: *Sustainable Electronics*. Royal Society of Chemistry.</w:t>
      </w:r>
    </w:p>
    <w:p w14:paraId="6B1BF950" w14:textId="77777777" w:rsidR="004C40F1" w:rsidRPr="00083A4F" w:rsidRDefault="004C40F1" w:rsidP="004C40F1">
      <w:pPr>
        <w:spacing w:line="360" w:lineRule="auto"/>
        <w:jc w:val="both"/>
        <w:rPr>
          <w:rFonts w:ascii="Arial" w:hAnsi="Arial" w:cs="Arial"/>
        </w:rPr>
      </w:pPr>
      <w:r w:rsidRPr="00083A4F">
        <w:rPr>
          <w:rFonts w:ascii="Arial" w:hAnsi="Arial" w:cs="Arial"/>
        </w:rPr>
        <w:t>Sarker, M.M. et al. (</w:t>
      </w:r>
      <w:proofErr w:type="gramStart"/>
      <w:r w:rsidRPr="00083A4F">
        <w:rPr>
          <w:rFonts w:ascii="Arial" w:hAnsi="Arial" w:cs="Arial"/>
        </w:rPr>
        <w:t>2026) ‘</w:t>
      </w:r>
      <w:proofErr w:type="gramEnd"/>
      <w:r w:rsidRPr="00083A4F">
        <w:rPr>
          <w:rFonts w:ascii="Arial" w:hAnsi="Arial" w:cs="Arial"/>
        </w:rPr>
        <w:t xml:space="preserve">Refurbishment: A systematic review of its current state in circular economy research’, *Circular Economy* [Preprint]. </w:t>
      </w:r>
      <w:proofErr w:type="gramStart"/>
      <w:r w:rsidRPr="00083A4F">
        <w:rPr>
          <w:rFonts w:ascii="Arial" w:hAnsi="Arial" w:cs="Arial"/>
        </w:rPr>
        <w:t>doi:10.1016/j.cec</w:t>
      </w:r>
      <w:proofErr w:type="gramEnd"/>
      <w:r w:rsidRPr="00083A4F">
        <w:rPr>
          <w:rFonts w:ascii="Arial" w:hAnsi="Arial" w:cs="Arial"/>
        </w:rPr>
        <w:t>.2026.0059.</w:t>
      </w:r>
    </w:p>
    <w:p w14:paraId="2B3852B9" w14:textId="77777777" w:rsidR="004C40F1" w:rsidRPr="00083A4F" w:rsidRDefault="004C40F1" w:rsidP="004C40F1">
      <w:pPr>
        <w:spacing w:line="360" w:lineRule="auto"/>
        <w:jc w:val="both"/>
        <w:rPr>
          <w:rFonts w:ascii="Arial" w:hAnsi="Arial" w:cs="Arial"/>
        </w:rPr>
      </w:pPr>
      <w:r w:rsidRPr="00083A4F">
        <w:rPr>
          <w:rFonts w:ascii="Arial" w:hAnsi="Arial" w:cs="Arial"/>
        </w:rPr>
        <w:lastRenderedPageBreak/>
        <w:t>Upadhyay, A. et al. (</w:t>
      </w:r>
      <w:proofErr w:type="gramStart"/>
      <w:r w:rsidRPr="00083A4F">
        <w:rPr>
          <w:rFonts w:ascii="Arial" w:hAnsi="Arial" w:cs="Arial"/>
        </w:rPr>
        <w:t>2021) ‘</w:t>
      </w:r>
      <w:proofErr w:type="gramEnd"/>
      <w:r w:rsidRPr="00083A4F">
        <w:rPr>
          <w:rFonts w:ascii="Arial" w:hAnsi="Arial" w:cs="Arial"/>
        </w:rPr>
        <w:t xml:space="preserve">The future of the circular economy and its effect on supply chain dependencies: Empirical evidence from a Delphi study’, *Transportation Research Part E: Logistics and Transportation Review*, 157, p. 102558. </w:t>
      </w:r>
      <w:proofErr w:type="gramStart"/>
      <w:r w:rsidRPr="00083A4F">
        <w:rPr>
          <w:rFonts w:ascii="Arial" w:hAnsi="Arial" w:cs="Arial"/>
        </w:rPr>
        <w:t>doi:10.1016/j.tre</w:t>
      </w:r>
      <w:proofErr w:type="gramEnd"/>
      <w:r w:rsidRPr="00083A4F">
        <w:rPr>
          <w:rFonts w:ascii="Arial" w:hAnsi="Arial" w:cs="Arial"/>
        </w:rPr>
        <w:t>.2021.102558.</w:t>
      </w:r>
    </w:p>
    <w:p w14:paraId="2ACA42F9" w14:textId="77777777" w:rsidR="004C40F1" w:rsidRPr="00083A4F" w:rsidRDefault="004C40F1" w:rsidP="004C40F1">
      <w:pPr>
        <w:spacing w:line="360" w:lineRule="auto"/>
        <w:jc w:val="both"/>
        <w:rPr>
          <w:rFonts w:ascii="Arial" w:hAnsi="Arial" w:cs="Arial"/>
        </w:rPr>
      </w:pPr>
      <w:r w:rsidRPr="00083A4F">
        <w:rPr>
          <w:rFonts w:ascii="Arial" w:hAnsi="Arial" w:cs="Arial"/>
        </w:rPr>
        <w:t>Weetman, C. (2016) *A circular economy handbook for business and supply chains: Repair, remake, redesign, rethink*. London: Kogan Page.</w:t>
      </w:r>
    </w:p>
    <w:p w14:paraId="2C78140A" w14:textId="77777777" w:rsidR="004C40F1" w:rsidRPr="00083A4F" w:rsidRDefault="004C40F1" w:rsidP="004C40F1">
      <w:pPr>
        <w:spacing w:line="360" w:lineRule="auto"/>
        <w:jc w:val="both"/>
        <w:rPr>
          <w:rFonts w:ascii="Arial" w:hAnsi="Arial" w:cs="Arial"/>
        </w:rPr>
      </w:pPr>
      <w:proofErr w:type="spellStart"/>
      <w:r w:rsidRPr="00083A4F">
        <w:rPr>
          <w:rFonts w:ascii="Arial" w:hAnsi="Arial" w:cs="Arial"/>
        </w:rPr>
        <w:t>Wisetek</w:t>
      </w:r>
      <w:proofErr w:type="spellEnd"/>
      <w:r w:rsidRPr="00083A4F">
        <w:rPr>
          <w:rFonts w:ascii="Arial" w:hAnsi="Arial" w:cs="Arial"/>
        </w:rPr>
        <w:t xml:space="preserve"> (2021) *Refurbished digital devices: The future of the circular economy*. Available at: https://wisetek.net (Accessed February 2026).</w:t>
      </w:r>
    </w:p>
    <w:p w14:paraId="15A58559" w14:textId="77777777" w:rsidR="004C40F1" w:rsidRPr="00083A4F" w:rsidRDefault="004C40F1" w:rsidP="004C40F1">
      <w:pPr>
        <w:spacing w:line="360" w:lineRule="auto"/>
        <w:jc w:val="both"/>
        <w:rPr>
          <w:rFonts w:ascii="Arial" w:hAnsi="Arial" w:cs="Arial"/>
        </w:rPr>
      </w:pPr>
      <w:r w:rsidRPr="00083A4F">
        <w:rPr>
          <w:rFonts w:ascii="Arial" w:hAnsi="Arial" w:cs="Arial"/>
        </w:rPr>
        <w:t>Xue, J. et al. (</w:t>
      </w:r>
      <w:proofErr w:type="gramStart"/>
      <w:r w:rsidRPr="00083A4F">
        <w:rPr>
          <w:rFonts w:ascii="Arial" w:hAnsi="Arial" w:cs="Arial"/>
        </w:rPr>
        <w:t>2023) ‘</w:t>
      </w:r>
      <w:proofErr w:type="gramEnd"/>
      <w:r w:rsidRPr="00083A4F">
        <w:rPr>
          <w:rFonts w:ascii="Arial" w:hAnsi="Arial" w:cs="Arial"/>
        </w:rPr>
        <w:t>Digital technologies and circular economy in supply chain management’, *</w:t>
      </w:r>
      <w:proofErr w:type="spellStart"/>
      <w:r w:rsidRPr="00083A4F">
        <w:rPr>
          <w:rFonts w:ascii="Arial" w:hAnsi="Arial" w:cs="Arial"/>
        </w:rPr>
        <w:t>PLoS</w:t>
      </w:r>
      <w:proofErr w:type="spellEnd"/>
      <w:r w:rsidRPr="00083A4F">
        <w:rPr>
          <w:rFonts w:ascii="Arial" w:hAnsi="Arial" w:cs="Arial"/>
        </w:rPr>
        <w:t xml:space="preserve"> ONE*, 18(5), e0274826. </w:t>
      </w:r>
      <w:proofErr w:type="gramStart"/>
      <w:r w:rsidRPr="00083A4F">
        <w:rPr>
          <w:rFonts w:ascii="Arial" w:hAnsi="Arial" w:cs="Arial"/>
        </w:rPr>
        <w:t>doi:10.1371/journal.pone</w:t>
      </w:r>
      <w:proofErr w:type="gramEnd"/>
      <w:r w:rsidRPr="00083A4F">
        <w:rPr>
          <w:rFonts w:ascii="Arial" w:hAnsi="Arial" w:cs="Arial"/>
        </w:rPr>
        <w:t>.0274826.</w:t>
      </w:r>
    </w:p>
    <w:p w14:paraId="09F96647" w14:textId="77777777" w:rsidR="004C40F1" w:rsidRPr="00083A4F" w:rsidRDefault="004C40F1" w:rsidP="004C40F1">
      <w:pPr>
        <w:spacing w:line="360" w:lineRule="auto"/>
        <w:jc w:val="both"/>
        <w:rPr>
          <w:rFonts w:ascii="Arial" w:hAnsi="Arial" w:cs="Arial"/>
        </w:rPr>
      </w:pPr>
      <w:r w:rsidRPr="00083A4F">
        <w:rPr>
          <w:rFonts w:ascii="Arial" w:hAnsi="Arial" w:cs="Arial"/>
        </w:rPr>
        <w:t>Yang, L. et al. (2024) ‘Driving sustainable circular economy in electronics: A comprehensive review on environmental life cycle assessment of e</w:t>
      </w:r>
      <w:r w:rsidRPr="00083A4F">
        <w:rPr>
          <w:rFonts w:ascii="Cambria Math" w:hAnsi="Cambria Math" w:cs="Cambria Math"/>
        </w:rPr>
        <w:t>‑</w:t>
      </w:r>
      <w:r w:rsidRPr="00083A4F">
        <w:rPr>
          <w:rFonts w:ascii="Arial" w:hAnsi="Arial" w:cs="Arial"/>
        </w:rPr>
        <w:t xml:space="preserve">waste recycling’, *Environmental Pollution*, 338, p. 122643. </w:t>
      </w:r>
      <w:proofErr w:type="gramStart"/>
      <w:r w:rsidRPr="00083A4F">
        <w:rPr>
          <w:rFonts w:ascii="Arial" w:hAnsi="Arial" w:cs="Arial"/>
        </w:rPr>
        <w:t>doi:10.1016/j.envpol</w:t>
      </w:r>
      <w:proofErr w:type="gramEnd"/>
      <w:r w:rsidRPr="00083A4F">
        <w:rPr>
          <w:rFonts w:ascii="Arial" w:hAnsi="Arial" w:cs="Arial"/>
        </w:rPr>
        <w:t>.2023.122643.</w:t>
      </w:r>
    </w:p>
    <w:p w14:paraId="3FD55516" w14:textId="77777777" w:rsidR="004C40F1" w:rsidRPr="00083A4F" w:rsidRDefault="004C40F1" w:rsidP="004C40F1">
      <w:pPr>
        <w:spacing w:line="360" w:lineRule="auto"/>
        <w:jc w:val="both"/>
        <w:rPr>
          <w:rFonts w:ascii="Arial" w:hAnsi="Arial" w:cs="Arial"/>
        </w:rPr>
      </w:pPr>
      <w:r w:rsidRPr="00083A4F">
        <w:rPr>
          <w:rFonts w:ascii="Arial" w:hAnsi="Arial" w:cs="Arial"/>
        </w:rPr>
        <w:t>Zarei, M. et al. (</w:t>
      </w:r>
      <w:proofErr w:type="gramStart"/>
      <w:r w:rsidRPr="00083A4F">
        <w:rPr>
          <w:rFonts w:ascii="Arial" w:hAnsi="Arial" w:cs="Arial"/>
        </w:rPr>
        <w:t>2025) ‘</w:t>
      </w:r>
      <w:proofErr w:type="gramEnd"/>
      <w:r w:rsidRPr="00083A4F">
        <w:rPr>
          <w:rFonts w:ascii="Arial" w:hAnsi="Arial" w:cs="Arial"/>
        </w:rPr>
        <w:t>Circular economy strategies in supply chain management’, *Frontiers in Sustainability*, 6, p. 1558706. doi:10.3389/frsus.2025.1558706.</w:t>
      </w:r>
    </w:p>
    <w:p w14:paraId="762DF5AB" w14:textId="77777777" w:rsidR="004C40F1" w:rsidRPr="00083A4F" w:rsidRDefault="004C40F1" w:rsidP="004C40F1">
      <w:pPr>
        <w:spacing w:line="360" w:lineRule="auto"/>
        <w:jc w:val="both"/>
        <w:rPr>
          <w:rFonts w:ascii="Arial" w:hAnsi="Arial" w:cs="Arial"/>
        </w:rPr>
      </w:pPr>
      <w:r w:rsidRPr="00083A4F">
        <w:rPr>
          <w:rFonts w:ascii="Arial" w:hAnsi="Arial" w:cs="Arial"/>
        </w:rPr>
        <w:t>Zhang, Y. et al. (</w:t>
      </w:r>
      <w:proofErr w:type="gramStart"/>
      <w:r w:rsidRPr="00083A4F">
        <w:rPr>
          <w:rFonts w:ascii="Arial" w:hAnsi="Arial" w:cs="Arial"/>
        </w:rPr>
        <w:t>2023) ‘</w:t>
      </w:r>
      <w:proofErr w:type="gramEnd"/>
      <w:r w:rsidRPr="00083A4F">
        <w:rPr>
          <w:rFonts w:ascii="Arial" w:hAnsi="Arial" w:cs="Arial"/>
        </w:rPr>
        <w:t>Concepts of circular economy for sustainable management of electronic waste’, *Discover Sustainability*, 4(1), p. 12. doi:10.1007/s43621-023-00092-3.</w:t>
      </w:r>
    </w:p>
    <w:p w14:paraId="5C36A8AA" w14:textId="77777777" w:rsidR="004C40F1" w:rsidRPr="00083A4F" w:rsidRDefault="004C40F1" w:rsidP="004C40F1">
      <w:pPr>
        <w:spacing w:line="360" w:lineRule="auto"/>
        <w:jc w:val="both"/>
        <w:rPr>
          <w:rFonts w:ascii="Arial" w:hAnsi="Arial" w:cs="Arial"/>
        </w:rPr>
      </w:pPr>
      <w:r w:rsidRPr="00083A4F">
        <w:rPr>
          <w:rFonts w:ascii="Arial" w:hAnsi="Arial" w:cs="Arial"/>
        </w:rPr>
        <w:t>ITU and UNITAR (2024) *The Global E</w:t>
      </w:r>
      <w:r w:rsidRPr="00083A4F">
        <w:rPr>
          <w:rFonts w:ascii="Cambria Math" w:hAnsi="Cambria Math" w:cs="Cambria Math"/>
        </w:rPr>
        <w:t>‑</w:t>
      </w:r>
      <w:r w:rsidRPr="00083A4F">
        <w:rPr>
          <w:rFonts w:ascii="Arial" w:hAnsi="Arial" w:cs="Arial"/>
        </w:rPr>
        <w:t xml:space="preserve">waste Monitor 2024 – Electronic Waste Rising Five </w:t>
      </w:r>
      <w:proofErr w:type="gramStart"/>
      <w:r w:rsidRPr="00083A4F">
        <w:rPr>
          <w:rFonts w:ascii="Arial" w:hAnsi="Arial" w:cs="Arial"/>
        </w:rPr>
        <w:t>Times</w:t>
      </w:r>
      <w:proofErr w:type="gramEnd"/>
      <w:r w:rsidRPr="00083A4F">
        <w:rPr>
          <w:rFonts w:ascii="Arial" w:hAnsi="Arial" w:cs="Arial"/>
        </w:rPr>
        <w:t xml:space="preserve"> Faster than Documented E</w:t>
      </w:r>
      <w:r w:rsidRPr="00083A4F">
        <w:rPr>
          <w:rFonts w:ascii="Cambria Math" w:hAnsi="Cambria Math" w:cs="Cambria Math"/>
        </w:rPr>
        <w:t>‑</w:t>
      </w:r>
      <w:r w:rsidRPr="00083A4F">
        <w:rPr>
          <w:rFonts w:ascii="Arial" w:hAnsi="Arial" w:cs="Arial"/>
        </w:rPr>
        <w:t>waste Recycling*. Available at: https://ewastemonitor.info (Accessed February 2026).</w:t>
      </w:r>
    </w:p>
    <w:p w14:paraId="37F1723A" w14:textId="77777777" w:rsidR="004C40F1" w:rsidRPr="00083A4F" w:rsidRDefault="004C40F1" w:rsidP="004C40F1">
      <w:pPr>
        <w:spacing w:line="360" w:lineRule="auto"/>
        <w:jc w:val="both"/>
        <w:rPr>
          <w:rFonts w:ascii="Arial" w:hAnsi="Arial" w:cs="Arial"/>
        </w:rPr>
      </w:pPr>
      <w:r w:rsidRPr="00083A4F">
        <w:rPr>
          <w:rFonts w:ascii="Arial" w:hAnsi="Arial" w:cs="Arial"/>
        </w:rPr>
        <w:t>Zion Market Research (2025) *Refurbished Computers and Laptops Market Size, Share, Trends, Growth 2034*. Available at: https://www.zionmarketresearch.com/report/refurbished-computers-and-laptops-market (Accessed February 2026).</w:t>
      </w:r>
    </w:p>
    <w:p w14:paraId="44B7E733" w14:textId="77777777" w:rsidR="004C40F1" w:rsidRPr="00083A4F" w:rsidRDefault="004C40F1" w:rsidP="004C40F1">
      <w:pPr>
        <w:spacing w:line="360" w:lineRule="auto"/>
        <w:jc w:val="both"/>
        <w:rPr>
          <w:rFonts w:ascii="Arial" w:hAnsi="Arial" w:cs="Arial"/>
        </w:rPr>
      </w:pPr>
      <w:r w:rsidRPr="00083A4F">
        <w:rPr>
          <w:rFonts w:ascii="Arial" w:hAnsi="Arial" w:cs="Arial"/>
        </w:rPr>
        <w:t>Circular Drive Initiative (</w:t>
      </w:r>
      <w:proofErr w:type="gramStart"/>
      <w:r w:rsidRPr="00083A4F">
        <w:rPr>
          <w:rFonts w:ascii="Arial" w:hAnsi="Arial" w:cs="Arial"/>
        </w:rPr>
        <w:t>2024) ‘</w:t>
      </w:r>
      <w:proofErr w:type="gramEnd"/>
      <w:r w:rsidRPr="00083A4F">
        <w:rPr>
          <w:rFonts w:ascii="Arial" w:hAnsi="Arial" w:cs="Arial"/>
        </w:rPr>
        <w:t>Bridging the Circularity Gap in IT Hardware: New Insights from Interact, Cedar, and the Circular Drive Initiative’. Available at: https://circulardrives.org (Accessed February 2026).</w:t>
      </w:r>
    </w:p>
    <w:p w14:paraId="5E2D57FB" w14:textId="77777777" w:rsidR="004C40F1" w:rsidRPr="00083A4F" w:rsidRDefault="004C40F1" w:rsidP="004C40F1">
      <w:pPr>
        <w:spacing w:line="360" w:lineRule="auto"/>
        <w:ind w:left="360" w:hanging="360"/>
        <w:contextualSpacing/>
        <w:jc w:val="both"/>
        <w:rPr>
          <w:rFonts w:ascii="Arial" w:hAnsi="Arial" w:cs="Arial"/>
        </w:rPr>
      </w:pPr>
    </w:p>
    <w:p w14:paraId="0C952AD4" w14:textId="77777777" w:rsidR="004C40F1" w:rsidRPr="00083A4F" w:rsidRDefault="004C40F1" w:rsidP="004C40F1">
      <w:pPr>
        <w:rPr>
          <w:rFonts w:ascii="Arial" w:hAnsi="Arial" w:cs="Arial"/>
        </w:rPr>
      </w:pPr>
      <w:r w:rsidRPr="00083A4F">
        <w:rPr>
          <w:rFonts w:ascii="Arial" w:hAnsi="Arial" w:cs="Arial"/>
        </w:rPr>
        <w:lastRenderedPageBreak/>
        <w:t>ITU &amp; UNITAR (2024) The Global E</w:t>
      </w:r>
      <w:r w:rsidRPr="00083A4F">
        <w:rPr>
          <w:rFonts w:ascii="Cambria Math" w:hAnsi="Cambria Math" w:cs="Cambria Math"/>
        </w:rPr>
        <w:t>‑</w:t>
      </w:r>
      <w:r w:rsidRPr="00083A4F">
        <w:rPr>
          <w:rFonts w:ascii="Arial" w:hAnsi="Arial" w:cs="Arial"/>
        </w:rPr>
        <w:t xml:space="preserve">waste Monitor 2024 – Electronic Waste Rising Five </w:t>
      </w:r>
      <w:proofErr w:type="gramStart"/>
      <w:r w:rsidRPr="00083A4F">
        <w:rPr>
          <w:rFonts w:ascii="Arial" w:hAnsi="Arial" w:cs="Arial"/>
        </w:rPr>
        <w:t>Times</w:t>
      </w:r>
      <w:proofErr w:type="gramEnd"/>
      <w:r w:rsidRPr="00083A4F">
        <w:rPr>
          <w:rFonts w:ascii="Arial" w:hAnsi="Arial" w:cs="Arial"/>
        </w:rPr>
        <w:t xml:space="preserve"> Faster than Documented E</w:t>
      </w:r>
      <w:r w:rsidRPr="00083A4F">
        <w:rPr>
          <w:rFonts w:ascii="Cambria Math" w:hAnsi="Cambria Math" w:cs="Cambria Math"/>
        </w:rPr>
        <w:t>‑</w:t>
      </w:r>
      <w:r w:rsidRPr="00083A4F">
        <w:rPr>
          <w:rFonts w:ascii="Arial" w:hAnsi="Arial" w:cs="Arial"/>
        </w:rPr>
        <w:t>waste Recycling. Available at: https://ewastemonitor.info/the-global-e-waste-monitor-2024/ (Accessed: 10 March 2026).</w:t>
      </w:r>
    </w:p>
    <w:p w14:paraId="5198B70B" w14:textId="77777777" w:rsidR="004C40F1" w:rsidRPr="00083A4F" w:rsidRDefault="004C40F1" w:rsidP="004C40F1">
      <w:pPr>
        <w:rPr>
          <w:rFonts w:ascii="Arial" w:hAnsi="Arial" w:cs="Arial"/>
        </w:rPr>
      </w:pPr>
      <w:r w:rsidRPr="00083A4F">
        <w:rPr>
          <w:rFonts w:ascii="Arial" w:hAnsi="Arial" w:cs="Arial"/>
        </w:rPr>
        <w:t>European Commission (2024) Directive on common rules promoting the repair of goods (Directive (EU) 2024/1799). Available at: https://commission.europa.eu/law/law-topic/consumer-protection-law/directive-repair-goods_en (Accessed: 10 March 2026).</w:t>
      </w:r>
    </w:p>
    <w:p w14:paraId="6AB30B64" w14:textId="77777777" w:rsidR="004C40F1" w:rsidRPr="00083A4F" w:rsidRDefault="004C40F1" w:rsidP="004C40F1">
      <w:pPr>
        <w:rPr>
          <w:rFonts w:ascii="Arial" w:hAnsi="Arial" w:cs="Arial"/>
        </w:rPr>
      </w:pPr>
      <w:r w:rsidRPr="00083A4F">
        <w:rPr>
          <w:rFonts w:ascii="Arial" w:hAnsi="Arial" w:cs="Arial"/>
        </w:rPr>
        <w:t xml:space="preserve">European Union (2024) Regulation (EU) 2024/1781 establishing a framework for the setting of </w:t>
      </w:r>
      <w:proofErr w:type="spellStart"/>
      <w:r w:rsidRPr="00083A4F">
        <w:rPr>
          <w:rFonts w:ascii="Arial" w:hAnsi="Arial" w:cs="Arial"/>
        </w:rPr>
        <w:t>ecodesign</w:t>
      </w:r>
      <w:proofErr w:type="spellEnd"/>
      <w:r w:rsidRPr="00083A4F">
        <w:rPr>
          <w:rFonts w:ascii="Arial" w:hAnsi="Arial" w:cs="Arial"/>
        </w:rPr>
        <w:t xml:space="preserve"> requirements for sustainable products. Available at: https://eur-lex.europa.eu/eli/reg/2024/1781/oj/eng (Accessed: 10 March 2026).</w:t>
      </w:r>
    </w:p>
    <w:p w14:paraId="71C8F8D5" w14:textId="77777777" w:rsidR="004C40F1" w:rsidRPr="00083A4F" w:rsidRDefault="004C40F1" w:rsidP="004C40F1">
      <w:pPr>
        <w:rPr>
          <w:rFonts w:ascii="Arial" w:hAnsi="Arial" w:cs="Arial"/>
        </w:rPr>
      </w:pPr>
      <w:r w:rsidRPr="00083A4F">
        <w:rPr>
          <w:rFonts w:ascii="Arial" w:hAnsi="Arial" w:cs="Arial"/>
        </w:rPr>
        <w:t>EPD Guide (2025) Digital Product Passports and the New EU Ecodesign Rulebook. Available at: https://epd.guide/environmental-regulations-and-laws/digital-product-passports-and-the-new-eu-ecodesign-rulebook (Accessed: 10 March 2026).</w:t>
      </w:r>
    </w:p>
    <w:p w14:paraId="45FEE6BC" w14:textId="77777777" w:rsidR="004C40F1" w:rsidRPr="00083A4F" w:rsidRDefault="004C40F1" w:rsidP="004C40F1">
      <w:pPr>
        <w:rPr>
          <w:rFonts w:ascii="Arial" w:hAnsi="Arial" w:cs="Arial"/>
        </w:rPr>
      </w:pPr>
      <w:r w:rsidRPr="00083A4F">
        <w:rPr>
          <w:rFonts w:ascii="Arial" w:hAnsi="Arial" w:cs="Arial"/>
        </w:rPr>
        <w:t>Circular Drive Initiative (2025) From Waste to Resource: How Standardized Health Metrics Can Accelerate the Circular Economy in Storage Media. Available at: https://www.linkedin.com/posts/circulardrives_pdf-from-waste-to-resource-how-standardized-activity-7223683185493094400-OscE (Accessed: 10 March 2026).</w:t>
      </w:r>
    </w:p>
    <w:p w14:paraId="5EE68EBD" w14:textId="77777777" w:rsidR="004C40F1" w:rsidRPr="00083A4F" w:rsidRDefault="004C40F1" w:rsidP="004C40F1">
      <w:pPr>
        <w:rPr>
          <w:rFonts w:ascii="Arial" w:hAnsi="Arial" w:cs="Arial"/>
        </w:rPr>
      </w:pPr>
      <w:r w:rsidRPr="00083A4F">
        <w:rPr>
          <w:rFonts w:ascii="Arial" w:hAnsi="Arial" w:cs="Arial"/>
        </w:rPr>
        <w:t>Circular Drive Initiative (2026) Bridging the Circularity Gap in IT Hardware. Available at: https://circulardrives.org/bridging-the-circularity-gap-in-it-hardware/ (Accessed: 10 March 2026).</w:t>
      </w:r>
    </w:p>
    <w:p w14:paraId="4DFEDDB3" w14:textId="77777777" w:rsidR="004C40F1" w:rsidRPr="00083A4F" w:rsidRDefault="004C40F1" w:rsidP="004C40F1">
      <w:pPr>
        <w:rPr>
          <w:rFonts w:ascii="Arial" w:hAnsi="Arial" w:cs="Arial"/>
        </w:rPr>
      </w:pPr>
      <w:r w:rsidRPr="00083A4F">
        <w:rPr>
          <w:rFonts w:ascii="Arial" w:hAnsi="Arial" w:cs="Arial"/>
        </w:rPr>
        <w:t>Dell Technologies (2026) Asset Recovery Services. Available at: https://www.dell.com/en-us/lp/dt/asset-recovery-services (Accessed: 10 March 2026).</w:t>
      </w:r>
    </w:p>
    <w:p w14:paraId="458BEB3A" w14:textId="77777777" w:rsidR="004C40F1" w:rsidRPr="00083A4F" w:rsidRDefault="004C40F1" w:rsidP="00B069F6">
      <w:pPr>
        <w:spacing w:line="360" w:lineRule="auto"/>
        <w:rPr>
          <w:rFonts w:ascii="Arial" w:hAnsi="Arial" w:cs="Arial"/>
        </w:rPr>
      </w:pPr>
      <w:r w:rsidRPr="00083A4F">
        <w:rPr>
          <w:rFonts w:ascii="Arial" w:hAnsi="Arial" w:cs="Arial"/>
        </w:rPr>
        <w:t>Microsoft (2025) Circular Datacenter Infographic – 90.9% reuse and recycling of servers and components in 2024. Available at: https://datacenters.microsoft.com/wp-content/uploads/2025/04/Circular-Datacenter-Infographic-Final.pdf (Accessed: 10 March 2026).</w:t>
      </w:r>
    </w:p>
    <w:p w14:paraId="23CBE9B0" w14:textId="77777777" w:rsidR="004C40F1" w:rsidRPr="00083A4F" w:rsidRDefault="004C40F1" w:rsidP="004C40F1">
      <w:pPr>
        <w:rPr>
          <w:rFonts w:ascii="Arial" w:hAnsi="Arial" w:cs="Arial"/>
        </w:rPr>
      </w:pPr>
      <w:r w:rsidRPr="00083A4F">
        <w:rPr>
          <w:rFonts w:ascii="Arial" w:hAnsi="Arial" w:cs="Arial"/>
        </w:rPr>
        <w:t>Fairphone (2023) The Fairphone 5 scores a perfect 10 on iFixit. Available at: https://www.fairphone.com/en/2023/12/07/the-fairphone-5-scores-a-perfect-10-on-ifixit/ (Accessed: 10 March 2026).</w:t>
      </w:r>
    </w:p>
    <w:p w14:paraId="60D0C1B4" w14:textId="77777777" w:rsidR="004C40F1" w:rsidRPr="00083A4F" w:rsidRDefault="004C40F1" w:rsidP="004C40F1">
      <w:pPr>
        <w:rPr>
          <w:rFonts w:ascii="Arial" w:hAnsi="Arial" w:cs="Arial"/>
        </w:rPr>
      </w:pPr>
      <w:r w:rsidRPr="00083A4F">
        <w:rPr>
          <w:rFonts w:ascii="Arial" w:hAnsi="Arial" w:cs="Arial"/>
        </w:rPr>
        <w:t>iFixit (2023) Fairphone 5: Keeping it 10/10? Available at: https://www.ifixit.com/News/87664/fairphone-5-keeping-it-10-10 (Accessed: 10 March 2026).</w:t>
      </w:r>
    </w:p>
    <w:p w14:paraId="43A3FC25" w14:textId="77777777" w:rsidR="004C40F1" w:rsidRPr="00083A4F" w:rsidRDefault="004C40F1" w:rsidP="004C40F1">
      <w:pPr>
        <w:rPr>
          <w:rFonts w:ascii="Arial" w:hAnsi="Arial" w:cs="Arial"/>
        </w:rPr>
      </w:pPr>
      <w:r w:rsidRPr="00083A4F">
        <w:rPr>
          <w:rFonts w:ascii="Arial" w:hAnsi="Arial" w:cs="Arial"/>
        </w:rPr>
        <w:t>Apple (2018) Apple adds Earth Day donations to trade</w:t>
      </w:r>
      <w:r w:rsidRPr="00083A4F">
        <w:rPr>
          <w:rFonts w:ascii="Cambria Math" w:hAnsi="Cambria Math" w:cs="Cambria Math"/>
        </w:rPr>
        <w:t>‑</w:t>
      </w:r>
      <w:r w:rsidRPr="00083A4F">
        <w:rPr>
          <w:rFonts w:ascii="Arial" w:hAnsi="Arial" w:cs="Arial"/>
        </w:rPr>
        <w:t>in and recycling program – Daisy robot. Available at: https://www.apple.com/newsroom/2018/04/apple-adds-earth-day-donations-to-trade-in-and-recycling-program/ (Accessed: 10 March 2026).</w:t>
      </w:r>
    </w:p>
    <w:p w14:paraId="47E1F498" w14:textId="77777777" w:rsidR="00EF2F91" w:rsidRPr="00083A4F" w:rsidRDefault="00EF2F91" w:rsidP="00EF2F91">
      <w:pPr>
        <w:rPr>
          <w:rFonts w:ascii="Arial" w:hAnsi="Arial" w:cs="Arial"/>
        </w:rPr>
      </w:pPr>
    </w:p>
    <w:sectPr w:rsidR="00EF2F91" w:rsidRPr="00083A4F" w:rsidSect="00034616">
      <w:foot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365D5" w14:textId="77777777" w:rsidR="006C72BB" w:rsidRDefault="006C72BB" w:rsidP="00F45338">
      <w:pPr>
        <w:spacing w:after="0" w:line="240" w:lineRule="auto"/>
      </w:pPr>
      <w:r>
        <w:separator/>
      </w:r>
    </w:p>
  </w:endnote>
  <w:endnote w:type="continuationSeparator" w:id="0">
    <w:p w14:paraId="51D4FE4A" w14:textId="77777777" w:rsidR="006C72BB" w:rsidRDefault="006C72BB" w:rsidP="00F45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0199552"/>
      <w:docPartObj>
        <w:docPartGallery w:val="Page Numbers (Bottom of Page)"/>
        <w:docPartUnique/>
      </w:docPartObj>
    </w:sdtPr>
    <w:sdtEndPr>
      <w:rPr>
        <w:noProof/>
      </w:rPr>
    </w:sdtEndPr>
    <w:sdtContent>
      <w:p w14:paraId="7CDCFE5B" w14:textId="2E27CF60" w:rsidR="00E47261" w:rsidRDefault="00E47261">
        <w:pPr>
          <w:pStyle w:val="Footer"/>
        </w:pPr>
        <w:r>
          <w:fldChar w:fldCharType="begin"/>
        </w:r>
        <w:r>
          <w:instrText xml:space="preserve"> PAGE   \* MERGEFORMAT </w:instrText>
        </w:r>
        <w:r>
          <w:fldChar w:fldCharType="separate"/>
        </w:r>
        <w:r>
          <w:rPr>
            <w:noProof/>
          </w:rPr>
          <w:t>2</w:t>
        </w:r>
        <w:r>
          <w:rPr>
            <w:noProof/>
          </w:rPr>
          <w:fldChar w:fldCharType="end"/>
        </w:r>
      </w:p>
    </w:sdtContent>
  </w:sdt>
  <w:p w14:paraId="364DD2D7" w14:textId="77777777" w:rsidR="00E47261" w:rsidRDefault="00E47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DF8FC" w14:textId="77777777" w:rsidR="006C72BB" w:rsidRDefault="006C72BB" w:rsidP="00F45338">
      <w:pPr>
        <w:spacing w:after="0" w:line="240" w:lineRule="auto"/>
      </w:pPr>
      <w:r>
        <w:separator/>
      </w:r>
    </w:p>
  </w:footnote>
  <w:footnote w:type="continuationSeparator" w:id="0">
    <w:p w14:paraId="08C3E3FC" w14:textId="77777777" w:rsidR="006C72BB" w:rsidRDefault="006C72BB" w:rsidP="00F453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658B3D0"/>
    <w:multiLevelType w:val="hybridMultilevel"/>
    <w:tmpl w:val="62688996"/>
    <w:lvl w:ilvl="0" w:tplc="C9707E62">
      <w:start w:val="1"/>
      <w:numFmt w:val="bullet"/>
      <w:lvlText w:val="·"/>
      <w:lvlJc w:val="left"/>
      <w:pPr>
        <w:ind w:left="720" w:hanging="360"/>
      </w:pPr>
      <w:rPr>
        <w:rFonts w:ascii="Symbol" w:hAnsi="Symbol" w:hint="default"/>
      </w:rPr>
    </w:lvl>
    <w:lvl w:ilvl="1" w:tplc="D4D0C522">
      <w:start w:val="1"/>
      <w:numFmt w:val="bullet"/>
      <w:lvlText w:val="o"/>
      <w:lvlJc w:val="left"/>
      <w:pPr>
        <w:ind w:left="1440" w:hanging="360"/>
      </w:pPr>
      <w:rPr>
        <w:rFonts w:ascii="Courier New" w:hAnsi="Courier New" w:hint="default"/>
      </w:rPr>
    </w:lvl>
    <w:lvl w:ilvl="2" w:tplc="417C8484">
      <w:start w:val="1"/>
      <w:numFmt w:val="bullet"/>
      <w:lvlText w:val=""/>
      <w:lvlJc w:val="left"/>
      <w:pPr>
        <w:ind w:left="2160" w:hanging="360"/>
      </w:pPr>
      <w:rPr>
        <w:rFonts w:ascii="Wingdings" w:hAnsi="Wingdings" w:hint="default"/>
      </w:rPr>
    </w:lvl>
    <w:lvl w:ilvl="3" w:tplc="39D27936">
      <w:start w:val="1"/>
      <w:numFmt w:val="bullet"/>
      <w:lvlText w:val=""/>
      <w:lvlJc w:val="left"/>
      <w:pPr>
        <w:ind w:left="2880" w:hanging="360"/>
      </w:pPr>
      <w:rPr>
        <w:rFonts w:ascii="Symbol" w:hAnsi="Symbol" w:hint="default"/>
      </w:rPr>
    </w:lvl>
    <w:lvl w:ilvl="4" w:tplc="72F812E2">
      <w:start w:val="1"/>
      <w:numFmt w:val="bullet"/>
      <w:lvlText w:val="o"/>
      <w:lvlJc w:val="left"/>
      <w:pPr>
        <w:ind w:left="3600" w:hanging="360"/>
      </w:pPr>
      <w:rPr>
        <w:rFonts w:ascii="Courier New" w:hAnsi="Courier New" w:hint="default"/>
      </w:rPr>
    </w:lvl>
    <w:lvl w:ilvl="5" w:tplc="C3120C34">
      <w:start w:val="1"/>
      <w:numFmt w:val="bullet"/>
      <w:lvlText w:val=""/>
      <w:lvlJc w:val="left"/>
      <w:pPr>
        <w:ind w:left="4320" w:hanging="360"/>
      </w:pPr>
      <w:rPr>
        <w:rFonts w:ascii="Wingdings" w:hAnsi="Wingdings" w:hint="default"/>
      </w:rPr>
    </w:lvl>
    <w:lvl w:ilvl="6" w:tplc="A37660E4">
      <w:start w:val="1"/>
      <w:numFmt w:val="bullet"/>
      <w:lvlText w:val=""/>
      <w:lvlJc w:val="left"/>
      <w:pPr>
        <w:ind w:left="5040" w:hanging="360"/>
      </w:pPr>
      <w:rPr>
        <w:rFonts w:ascii="Symbol" w:hAnsi="Symbol" w:hint="default"/>
      </w:rPr>
    </w:lvl>
    <w:lvl w:ilvl="7" w:tplc="A750275A">
      <w:start w:val="1"/>
      <w:numFmt w:val="bullet"/>
      <w:lvlText w:val="o"/>
      <w:lvlJc w:val="left"/>
      <w:pPr>
        <w:ind w:left="5760" w:hanging="360"/>
      </w:pPr>
      <w:rPr>
        <w:rFonts w:ascii="Courier New" w:hAnsi="Courier New" w:hint="default"/>
      </w:rPr>
    </w:lvl>
    <w:lvl w:ilvl="8" w:tplc="F4A4C20C">
      <w:start w:val="1"/>
      <w:numFmt w:val="bullet"/>
      <w:lvlText w:val=""/>
      <w:lvlJc w:val="left"/>
      <w:pPr>
        <w:ind w:left="6480" w:hanging="360"/>
      </w:pPr>
      <w:rPr>
        <w:rFonts w:ascii="Wingdings" w:hAnsi="Wingdings" w:hint="default"/>
      </w:rPr>
    </w:lvl>
  </w:abstractNum>
  <w:abstractNum w:abstractNumId="10" w15:restartNumberingAfterBreak="0">
    <w:nsid w:val="6CD98889"/>
    <w:multiLevelType w:val="hybridMultilevel"/>
    <w:tmpl w:val="F63636B8"/>
    <w:lvl w:ilvl="0" w:tplc="9638499E">
      <w:start w:val="1"/>
      <w:numFmt w:val="decimal"/>
      <w:lvlText w:val="%1."/>
      <w:lvlJc w:val="left"/>
      <w:pPr>
        <w:ind w:left="720" w:hanging="360"/>
      </w:pPr>
    </w:lvl>
    <w:lvl w:ilvl="1" w:tplc="B5E6E806">
      <w:start w:val="1"/>
      <w:numFmt w:val="lowerLetter"/>
      <w:lvlText w:val="%2."/>
      <w:lvlJc w:val="left"/>
      <w:pPr>
        <w:ind w:left="1440" w:hanging="360"/>
      </w:pPr>
    </w:lvl>
    <w:lvl w:ilvl="2" w:tplc="E676D0B8">
      <w:start w:val="1"/>
      <w:numFmt w:val="lowerRoman"/>
      <w:lvlText w:val="%3."/>
      <w:lvlJc w:val="right"/>
      <w:pPr>
        <w:ind w:left="2160" w:hanging="180"/>
      </w:pPr>
    </w:lvl>
    <w:lvl w:ilvl="3" w:tplc="B86458DA">
      <w:start w:val="1"/>
      <w:numFmt w:val="decimal"/>
      <w:lvlText w:val="%4."/>
      <w:lvlJc w:val="left"/>
      <w:pPr>
        <w:ind w:left="2880" w:hanging="360"/>
      </w:pPr>
    </w:lvl>
    <w:lvl w:ilvl="4" w:tplc="F536A0B6">
      <w:start w:val="1"/>
      <w:numFmt w:val="lowerLetter"/>
      <w:lvlText w:val="%5."/>
      <w:lvlJc w:val="left"/>
      <w:pPr>
        <w:ind w:left="3600" w:hanging="360"/>
      </w:pPr>
    </w:lvl>
    <w:lvl w:ilvl="5" w:tplc="12222646">
      <w:start w:val="1"/>
      <w:numFmt w:val="lowerRoman"/>
      <w:lvlText w:val="%6."/>
      <w:lvlJc w:val="right"/>
      <w:pPr>
        <w:ind w:left="4320" w:hanging="180"/>
      </w:pPr>
    </w:lvl>
    <w:lvl w:ilvl="6" w:tplc="C7B63BCE">
      <w:start w:val="1"/>
      <w:numFmt w:val="decimal"/>
      <w:lvlText w:val="%7."/>
      <w:lvlJc w:val="left"/>
      <w:pPr>
        <w:ind w:left="5040" w:hanging="360"/>
      </w:pPr>
    </w:lvl>
    <w:lvl w:ilvl="7" w:tplc="B3D21F74">
      <w:start w:val="1"/>
      <w:numFmt w:val="lowerLetter"/>
      <w:lvlText w:val="%8."/>
      <w:lvlJc w:val="left"/>
      <w:pPr>
        <w:ind w:left="5760" w:hanging="360"/>
      </w:pPr>
    </w:lvl>
    <w:lvl w:ilvl="8" w:tplc="0966CAD6">
      <w:start w:val="1"/>
      <w:numFmt w:val="lowerRoman"/>
      <w:lvlText w:val="%9."/>
      <w:lvlJc w:val="right"/>
      <w:pPr>
        <w:ind w:left="6480" w:hanging="180"/>
      </w:pPr>
    </w:lvl>
  </w:abstractNum>
  <w:num w:numId="1" w16cid:durableId="612056380">
    <w:abstractNumId w:val="8"/>
  </w:num>
  <w:num w:numId="2" w16cid:durableId="2078937195">
    <w:abstractNumId w:val="6"/>
  </w:num>
  <w:num w:numId="3" w16cid:durableId="1923104528">
    <w:abstractNumId w:val="5"/>
  </w:num>
  <w:num w:numId="4" w16cid:durableId="955988207">
    <w:abstractNumId w:val="4"/>
  </w:num>
  <w:num w:numId="5" w16cid:durableId="1714423048">
    <w:abstractNumId w:val="7"/>
  </w:num>
  <w:num w:numId="6" w16cid:durableId="584649560">
    <w:abstractNumId w:val="3"/>
  </w:num>
  <w:num w:numId="7" w16cid:durableId="66417437">
    <w:abstractNumId w:val="2"/>
  </w:num>
  <w:num w:numId="8" w16cid:durableId="495850071">
    <w:abstractNumId w:val="1"/>
  </w:num>
  <w:num w:numId="9" w16cid:durableId="1321470457">
    <w:abstractNumId w:val="0"/>
  </w:num>
  <w:num w:numId="10" w16cid:durableId="185682124">
    <w:abstractNumId w:val="10"/>
  </w:num>
  <w:num w:numId="11" w16cid:durableId="294484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61E"/>
    <w:rsid w:val="00034616"/>
    <w:rsid w:val="0006063C"/>
    <w:rsid w:val="00076744"/>
    <w:rsid w:val="00083A4F"/>
    <w:rsid w:val="0009520D"/>
    <w:rsid w:val="000D1424"/>
    <w:rsid w:val="00106332"/>
    <w:rsid w:val="0015074B"/>
    <w:rsid w:val="00175B41"/>
    <w:rsid w:val="001C354D"/>
    <w:rsid w:val="001C3D8E"/>
    <w:rsid w:val="001D681D"/>
    <w:rsid w:val="001D6A6A"/>
    <w:rsid w:val="0029639D"/>
    <w:rsid w:val="002F1808"/>
    <w:rsid w:val="002F2BC4"/>
    <w:rsid w:val="00324D28"/>
    <w:rsid w:val="00326F90"/>
    <w:rsid w:val="00327F99"/>
    <w:rsid w:val="0035753D"/>
    <w:rsid w:val="0036009F"/>
    <w:rsid w:val="0039535C"/>
    <w:rsid w:val="003D5862"/>
    <w:rsid w:val="004156B1"/>
    <w:rsid w:val="00450FA2"/>
    <w:rsid w:val="004A01BA"/>
    <w:rsid w:val="004C40F1"/>
    <w:rsid w:val="00570F91"/>
    <w:rsid w:val="006115AE"/>
    <w:rsid w:val="00617F83"/>
    <w:rsid w:val="00661F54"/>
    <w:rsid w:val="00696940"/>
    <w:rsid w:val="006C72BB"/>
    <w:rsid w:val="006F07EB"/>
    <w:rsid w:val="006F56E5"/>
    <w:rsid w:val="00723AB5"/>
    <w:rsid w:val="007240BA"/>
    <w:rsid w:val="007354CC"/>
    <w:rsid w:val="00776515"/>
    <w:rsid w:val="0078500D"/>
    <w:rsid w:val="00791EBA"/>
    <w:rsid w:val="00797B13"/>
    <w:rsid w:val="007A7051"/>
    <w:rsid w:val="007B3AF1"/>
    <w:rsid w:val="007C07EC"/>
    <w:rsid w:val="0080367C"/>
    <w:rsid w:val="00814960"/>
    <w:rsid w:val="00841572"/>
    <w:rsid w:val="008455AA"/>
    <w:rsid w:val="00871B7E"/>
    <w:rsid w:val="00895B92"/>
    <w:rsid w:val="008F15FA"/>
    <w:rsid w:val="00933989"/>
    <w:rsid w:val="00947939"/>
    <w:rsid w:val="009665C2"/>
    <w:rsid w:val="00971522"/>
    <w:rsid w:val="00A14C5E"/>
    <w:rsid w:val="00A60ED1"/>
    <w:rsid w:val="00A71646"/>
    <w:rsid w:val="00A83B64"/>
    <w:rsid w:val="00AA1D8D"/>
    <w:rsid w:val="00AB7EAD"/>
    <w:rsid w:val="00AC60C2"/>
    <w:rsid w:val="00B069F6"/>
    <w:rsid w:val="00B07222"/>
    <w:rsid w:val="00B47730"/>
    <w:rsid w:val="00B723FF"/>
    <w:rsid w:val="00B84B80"/>
    <w:rsid w:val="00B86C80"/>
    <w:rsid w:val="00BA6A41"/>
    <w:rsid w:val="00C014FE"/>
    <w:rsid w:val="00C12B5C"/>
    <w:rsid w:val="00C2657F"/>
    <w:rsid w:val="00C37068"/>
    <w:rsid w:val="00C57F1C"/>
    <w:rsid w:val="00CA447F"/>
    <w:rsid w:val="00CB0664"/>
    <w:rsid w:val="00D02041"/>
    <w:rsid w:val="00D26DA0"/>
    <w:rsid w:val="00D518FF"/>
    <w:rsid w:val="00DC0643"/>
    <w:rsid w:val="00E20DC3"/>
    <w:rsid w:val="00E256C6"/>
    <w:rsid w:val="00E47261"/>
    <w:rsid w:val="00EB2DCF"/>
    <w:rsid w:val="00EF2F91"/>
    <w:rsid w:val="00F05F2F"/>
    <w:rsid w:val="00F35293"/>
    <w:rsid w:val="00F41B8F"/>
    <w:rsid w:val="00F45338"/>
    <w:rsid w:val="00F95186"/>
    <w:rsid w:val="00FA4CCC"/>
    <w:rsid w:val="00FB4E8A"/>
    <w:rsid w:val="00FC693F"/>
    <w:rsid w:val="00FD081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66FF03"/>
  <w14:defaultImageDpi w14:val="300"/>
  <w15:docId w15:val="{4D3D8F1B-F722-D64A-A855-5652406E5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83B64"/>
    <w:pPr>
      <w:spacing w:before="120" w:after="0"/>
    </w:pPr>
    <w:rPr>
      <w:rFonts w:cs="Times New Roman"/>
      <w:b/>
      <w:bCs/>
      <w:i/>
      <w:iCs/>
      <w:sz w:val="24"/>
      <w:szCs w:val="28"/>
    </w:rPr>
  </w:style>
  <w:style w:type="paragraph" w:styleId="TOC2">
    <w:name w:val="toc 2"/>
    <w:basedOn w:val="Normal"/>
    <w:next w:val="Normal"/>
    <w:autoRedefine/>
    <w:uiPriority w:val="39"/>
    <w:unhideWhenUsed/>
    <w:rsid w:val="00A83B64"/>
    <w:pPr>
      <w:spacing w:before="120" w:after="0"/>
      <w:ind w:left="220"/>
    </w:pPr>
    <w:rPr>
      <w:rFonts w:cs="Times New Roman"/>
      <w:b/>
      <w:bCs/>
      <w:szCs w:val="26"/>
    </w:rPr>
  </w:style>
  <w:style w:type="character" w:styleId="Hyperlink">
    <w:name w:val="Hyperlink"/>
    <w:basedOn w:val="DefaultParagraphFont"/>
    <w:uiPriority w:val="99"/>
    <w:unhideWhenUsed/>
    <w:rsid w:val="00A83B64"/>
    <w:rPr>
      <w:color w:val="0000FF" w:themeColor="hyperlink"/>
      <w:u w:val="single"/>
    </w:rPr>
  </w:style>
  <w:style w:type="paragraph" w:styleId="TOC3">
    <w:name w:val="toc 3"/>
    <w:basedOn w:val="Normal"/>
    <w:next w:val="Normal"/>
    <w:autoRedefine/>
    <w:uiPriority w:val="39"/>
    <w:unhideWhenUsed/>
    <w:rsid w:val="00A83B64"/>
    <w:pPr>
      <w:spacing w:after="0"/>
      <w:ind w:left="440"/>
    </w:pPr>
    <w:rPr>
      <w:rFonts w:cs="Times New Roman"/>
      <w:sz w:val="20"/>
      <w:szCs w:val="24"/>
    </w:rPr>
  </w:style>
  <w:style w:type="paragraph" w:styleId="TOC4">
    <w:name w:val="toc 4"/>
    <w:basedOn w:val="Normal"/>
    <w:next w:val="Normal"/>
    <w:autoRedefine/>
    <w:uiPriority w:val="39"/>
    <w:semiHidden/>
    <w:unhideWhenUsed/>
    <w:rsid w:val="00A83B64"/>
    <w:pPr>
      <w:spacing w:after="0"/>
      <w:ind w:left="660"/>
    </w:pPr>
    <w:rPr>
      <w:rFonts w:cs="Times New Roman"/>
      <w:sz w:val="20"/>
      <w:szCs w:val="24"/>
    </w:rPr>
  </w:style>
  <w:style w:type="paragraph" w:styleId="TOC5">
    <w:name w:val="toc 5"/>
    <w:basedOn w:val="Normal"/>
    <w:next w:val="Normal"/>
    <w:autoRedefine/>
    <w:uiPriority w:val="39"/>
    <w:semiHidden/>
    <w:unhideWhenUsed/>
    <w:rsid w:val="00A83B64"/>
    <w:pPr>
      <w:spacing w:after="0"/>
      <w:ind w:left="880"/>
    </w:pPr>
    <w:rPr>
      <w:rFonts w:cs="Times New Roman"/>
      <w:sz w:val="20"/>
      <w:szCs w:val="24"/>
    </w:rPr>
  </w:style>
  <w:style w:type="paragraph" w:styleId="TOC6">
    <w:name w:val="toc 6"/>
    <w:basedOn w:val="Normal"/>
    <w:next w:val="Normal"/>
    <w:autoRedefine/>
    <w:uiPriority w:val="39"/>
    <w:semiHidden/>
    <w:unhideWhenUsed/>
    <w:rsid w:val="00A83B64"/>
    <w:pPr>
      <w:spacing w:after="0"/>
      <w:ind w:left="1100"/>
    </w:pPr>
    <w:rPr>
      <w:rFonts w:cs="Times New Roman"/>
      <w:sz w:val="20"/>
      <w:szCs w:val="24"/>
    </w:rPr>
  </w:style>
  <w:style w:type="paragraph" w:styleId="TOC7">
    <w:name w:val="toc 7"/>
    <w:basedOn w:val="Normal"/>
    <w:next w:val="Normal"/>
    <w:autoRedefine/>
    <w:uiPriority w:val="39"/>
    <w:semiHidden/>
    <w:unhideWhenUsed/>
    <w:rsid w:val="00A83B64"/>
    <w:pPr>
      <w:spacing w:after="0"/>
      <w:ind w:left="1320"/>
    </w:pPr>
    <w:rPr>
      <w:rFonts w:cs="Times New Roman"/>
      <w:sz w:val="20"/>
      <w:szCs w:val="24"/>
    </w:rPr>
  </w:style>
  <w:style w:type="paragraph" w:styleId="TOC8">
    <w:name w:val="toc 8"/>
    <w:basedOn w:val="Normal"/>
    <w:next w:val="Normal"/>
    <w:autoRedefine/>
    <w:uiPriority w:val="39"/>
    <w:semiHidden/>
    <w:unhideWhenUsed/>
    <w:rsid w:val="00A83B64"/>
    <w:pPr>
      <w:spacing w:after="0"/>
      <w:ind w:left="1540"/>
    </w:pPr>
    <w:rPr>
      <w:rFonts w:cs="Times New Roman"/>
      <w:sz w:val="20"/>
      <w:szCs w:val="24"/>
    </w:rPr>
  </w:style>
  <w:style w:type="paragraph" w:styleId="TOC9">
    <w:name w:val="toc 9"/>
    <w:basedOn w:val="Normal"/>
    <w:next w:val="Normal"/>
    <w:autoRedefine/>
    <w:uiPriority w:val="39"/>
    <w:semiHidden/>
    <w:unhideWhenUsed/>
    <w:rsid w:val="00A83B64"/>
    <w:pPr>
      <w:spacing w:after="0"/>
      <w:ind w:left="1760"/>
    </w:pPr>
    <w:rPr>
      <w:rFonts w:cs="Times New Roman"/>
      <w:sz w:val="20"/>
      <w:szCs w:val="24"/>
    </w:rPr>
  </w:style>
  <w:style w:type="paragraph" w:styleId="NormalWeb">
    <w:name w:val="Normal (Web)"/>
    <w:basedOn w:val="Normal"/>
    <w:uiPriority w:val="99"/>
    <w:semiHidden/>
    <w:unhideWhenUsed/>
    <w:rsid w:val="00F3529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F951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9FE001-ADD6-3E45-AB23-9812613F1F34}">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00a63304-6dc1-41cd-bc80-d6d31c0ce590}" enabled="1" method="Privileged" siteId="{7fe14ab6-8f5d-4139-84bf-cd8aed0ee6b9}" removed="0"/>
</clbl:labelList>
</file>

<file path=docProps/app.xml><?xml version="1.0" encoding="utf-8"?>
<Properties xmlns="http://schemas.openxmlformats.org/officeDocument/2006/extended-properties" xmlns:vt="http://schemas.openxmlformats.org/officeDocument/2006/docPropsVTypes">
  <Template>Normal</Template>
  <TotalTime>4</TotalTime>
  <Pages>40</Pages>
  <Words>11127</Words>
  <Characters>63429</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T</dc:creator>
  <cp:keywords/>
  <dc:description>generated by python-docx</dc:description>
  <cp:lastModifiedBy>Claudia Traistaru (2238779)</cp:lastModifiedBy>
  <cp:revision>2</cp:revision>
  <dcterms:created xsi:type="dcterms:W3CDTF">2026-03-11T12:00:00Z</dcterms:created>
  <dcterms:modified xsi:type="dcterms:W3CDTF">2026-03-11T12:00:00Z</dcterms:modified>
  <cp:category/>
</cp:coreProperties>
</file>