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5D62" w14:textId="77777777" w:rsidR="003C666D" w:rsidRDefault="003C666D">
      <w:pPr>
        <w:rPr>
          <w:b/>
          <w:bCs/>
        </w:rPr>
      </w:pPr>
    </w:p>
    <w:p w14:paraId="26796917" w14:textId="77777777" w:rsidR="004F7B02" w:rsidRDefault="004F7B02">
      <w:pPr>
        <w:rPr>
          <w:b/>
          <w:bCs/>
        </w:rPr>
      </w:pPr>
    </w:p>
    <w:p w14:paraId="1AC15519" w14:textId="77777777" w:rsidR="004F7B02" w:rsidRPr="004E2312" w:rsidRDefault="00000000">
      <w:pPr>
        <w:rPr>
          <w:sz w:val="28"/>
          <w:szCs w:val="28"/>
        </w:rPr>
      </w:pPr>
      <w:r w:rsidRPr="004E2312">
        <w:rPr>
          <w:sz w:val="28"/>
          <w:szCs w:val="28"/>
        </w:rPr>
        <w:t xml:space="preserve">Contents </w:t>
      </w:r>
    </w:p>
    <w:p w14:paraId="50CAEAFA" w14:textId="77777777" w:rsidR="004E2312" w:rsidRDefault="004E2312"/>
    <w:p w14:paraId="05EA6D56" w14:textId="77777777" w:rsidR="004F7B02" w:rsidRPr="004E2312" w:rsidRDefault="00000000">
      <w:pPr>
        <w:numPr>
          <w:ilvl w:val="0"/>
          <w:numId w:val="3"/>
        </w:numPr>
        <w:rPr>
          <w:b/>
          <w:bCs/>
        </w:rPr>
      </w:pPr>
      <w:r w:rsidRPr="004E2312">
        <w:rPr>
          <w:b/>
          <w:bCs/>
        </w:rPr>
        <w:t>Introduction</w:t>
      </w:r>
    </w:p>
    <w:p w14:paraId="5BBB9CDA" w14:textId="77777777" w:rsidR="004E2312" w:rsidRPr="004E2312" w:rsidRDefault="004E2312" w:rsidP="004E2312">
      <w:pPr>
        <w:ind w:left="720"/>
        <w:rPr>
          <w:b/>
          <w:bCs/>
        </w:rPr>
      </w:pPr>
    </w:p>
    <w:p w14:paraId="0D713A23" w14:textId="11DF70CE" w:rsidR="004F7B02" w:rsidRPr="004E2312" w:rsidRDefault="00000000">
      <w:pPr>
        <w:numPr>
          <w:ilvl w:val="0"/>
          <w:numId w:val="3"/>
        </w:numPr>
        <w:rPr>
          <w:b/>
          <w:bCs/>
        </w:rPr>
      </w:pPr>
      <w:r w:rsidRPr="004E2312">
        <w:rPr>
          <w:b/>
          <w:bCs/>
        </w:rPr>
        <w:t xml:space="preserve">Search Strategy </w:t>
      </w:r>
      <w:r w:rsidR="00C82E3E">
        <w:rPr>
          <w:b/>
          <w:bCs/>
        </w:rPr>
        <w:t>and</w:t>
      </w:r>
      <w:r w:rsidRPr="004E2312">
        <w:rPr>
          <w:b/>
          <w:bCs/>
        </w:rPr>
        <w:t xml:space="preserve"> Screening </w:t>
      </w:r>
    </w:p>
    <w:p w14:paraId="28E8D6C7" w14:textId="77777777" w:rsidR="004E2312" w:rsidRPr="004E2312" w:rsidRDefault="004E2312" w:rsidP="004E2312">
      <w:pPr>
        <w:rPr>
          <w:b/>
          <w:bCs/>
        </w:rPr>
      </w:pPr>
    </w:p>
    <w:p w14:paraId="4BD0058A" w14:textId="77777777" w:rsidR="004F7B02" w:rsidRPr="004E2312" w:rsidRDefault="00000000">
      <w:pPr>
        <w:numPr>
          <w:ilvl w:val="0"/>
          <w:numId w:val="3"/>
        </w:numPr>
        <w:rPr>
          <w:b/>
          <w:bCs/>
          <w:highlight w:val="white"/>
        </w:rPr>
      </w:pPr>
      <w:r w:rsidRPr="004E2312">
        <w:rPr>
          <w:b/>
          <w:bCs/>
          <w:highlight w:val="white"/>
        </w:rPr>
        <w:t>Opposing Paradigms for Educational Reform</w:t>
      </w:r>
    </w:p>
    <w:p w14:paraId="158B885F" w14:textId="77777777" w:rsidR="004E2312" w:rsidRPr="004E2312" w:rsidRDefault="004E2312" w:rsidP="004E2312">
      <w:pPr>
        <w:ind w:left="720"/>
        <w:rPr>
          <w:b/>
          <w:bCs/>
          <w:highlight w:val="white"/>
        </w:rPr>
      </w:pPr>
    </w:p>
    <w:p w14:paraId="06715B26" w14:textId="77777777" w:rsidR="004F7B02" w:rsidRPr="004E2312" w:rsidRDefault="00000000">
      <w:pPr>
        <w:numPr>
          <w:ilvl w:val="0"/>
          <w:numId w:val="3"/>
        </w:numPr>
        <w:rPr>
          <w:b/>
          <w:bCs/>
          <w:highlight w:val="white"/>
        </w:rPr>
      </w:pPr>
      <w:r w:rsidRPr="004E2312">
        <w:rPr>
          <w:b/>
          <w:bCs/>
          <w:highlight w:val="white"/>
        </w:rPr>
        <w:t>The Educational Justice Landscape</w:t>
      </w:r>
    </w:p>
    <w:p w14:paraId="584BE383" w14:textId="77777777" w:rsidR="004E2312" w:rsidRPr="004E2312" w:rsidRDefault="004E2312" w:rsidP="004E2312">
      <w:pPr>
        <w:rPr>
          <w:highlight w:val="white"/>
        </w:rPr>
      </w:pPr>
    </w:p>
    <w:p w14:paraId="45C27661" w14:textId="77777777" w:rsidR="004F7B02" w:rsidRPr="004E2312" w:rsidRDefault="00000000">
      <w:pPr>
        <w:numPr>
          <w:ilvl w:val="0"/>
          <w:numId w:val="3"/>
        </w:numPr>
        <w:rPr>
          <w:b/>
          <w:bCs/>
          <w:highlight w:val="white"/>
        </w:rPr>
      </w:pPr>
      <w:proofErr w:type="spellStart"/>
      <w:r w:rsidRPr="004E2312">
        <w:rPr>
          <w:b/>
          <w:bCs/>
          <w:highlight w:val="white"/>
        </w:rPr>
        <w:t>Organising</w:t>
      </w:r>
      <w:proofErr w:type="spellEnd"/>
      <w:r w:rsidRPr="004E2312">
        <w:rPr>
          <w:b/>
          <w:bCs/>
          <w:highlight w:val="white"/>
        </w:rPr>
        <w:t xml:space="preserve"> Praxis</w:t>
      </w:r>
    </w:p>
    <w:p w14:paraId="70BD067D" w14:textId="292AB561" w:rsidR="008D0705" w:rsidRPr="004E2312" w:rsidRDefault="00000000" w:rsidP="008D0705">
      <w:pPr>
        <w:pStyle w:val="ListParagraph"/>
        <w:numPr>
          <w:ilvl w:val="1"/>
          <w:numId w:val="7"/>
        </w:numPr>
        <w:rPr>
          <w:highlight w:val="white"/>
        </w:rPr>
      </w:pPr>
      <w:r w:rsidRPr="004E2312">
        <w:rPr>
          <w:highlight w:val="white"/>
        </w:rPr>
        <w:t xml:space="preserve">Relational Listening </w:t>
      </w:r>
      <w:r w:rsidR="00C82E3E">
        <w:rPr>
          <w:highlight w:val="white"/>
        </w:rPr>
        <w:t>and</w:t>
      </w:r>
      <w:r w:rsidRPr="004E2312">
        <w:rPr>
          <w:highlight w:val="white"/>
        </w:rPr>
        <w:t xml:space="preserve"> Shared Leadership </w:t>
      </w:r>
    </w:p>
    <w:p w14:paraId="2D0170EB" w14:textId="620382F0" w:rsidR="008D0705" w:rsidRPr="004E2312" w:rsidRDefault="00000000" w:rsidP="008D0705">
      <w:pPr>
        <w:pStyle w:val="ListParagraph"/>
        <w:numPr>
          <w:ilvl w:val="1"/>
          <w:numId w:val="7"/>
        </w:numPr>
        <w:rPr>
          <w:highlight w:val="white"/>
        </w:rPr>
      </w:pPr>
      <w:r w:rsidRPr="004E2312">
        <w:rPr>
          <w:highlight w:val="white"/>
        </w:rPr>
        <w:t xml:space="preserve">Building Power: Social Capital </w:t>
      </w:r>
      <w:r w:rsidR="00C82E3E">
        <w:rPr>
          <w:highlight w:val="white"/>
        </w:rPr>
        <w:t>and</w:t>
      </w:r>
      <w:r w:rsidRPr="004E2312">
        <w:rPr>
          <w:highlight w:val="white"/>
        </w:rPr>
        <w:t xml:space="preserve"> Coalition Building </w:t>
      </w:r>
    </w:p>
    <w:p w14:paraId="10E8F5D6" w14:textId="3311A045" w:rsidR="008D0705" w:rsidRPr="004E2312" w:rsidRDefault="00000000" w:rsidP="008D0705">
      <w:pPr>
        <w:pStyle w:val="ListParagraph"/>
        <w:numPr>
          <w:ilvl w:val="1"/>
          <w:numId w:val="7"/>
        </w:numPr>
        <w:rPr>
          <w:highlight w:val="white"/>
        </w:rPr>
      </w:pPr>
      <w:r w:rsidRPr="004E2312">
        <w:rPr>
          <w:highlight w:val="white"/>
        </w:rPr>
        <w:t xml:space="preserve">Strategy: Political Competency </w:t>
      </w:r>
      <w:r w:rsidR="00C82E3E">
        <w:rPr>
          <w:highlight w:val="white"/>
        </w:rPr>
        <w:t>and</w:t>
      </w:r>
      <w:r w:rsidRPr="004E2312">
        <w:rPr>
          <w:highlight w:val="white"/>
        </w:rPr>
        <w:t xml:space="preserve"> Community Research</w:t>
      </w:r>
    </w:p>
    <w:p w14:paraId="027FF2CF" w14:textId="77777777" w:rsidR="008D0705" w:rsidRPr="004E2312" w:rsidRDefault="00000000" w:rsidP="008D0705">
      <w:pPr>
        <w:pStyle w:val="ListParagraph"/>
        <w:numPr>
          <w:ilvl w:val="1"/>
          <w:numId w:val="7"/>
        </w:numPr>
        <w:rPr>
          <w:highlight w:val="white"/>
        </w:rPr>
      </w:pPr>
      <w:proofErr w:type="gramStart"/>
      <w:r w:rsidRPr="004E2312">
        <w:rPr>
          <w:highlight w:val="white"/>
        </w:rPr>
        <w:t>Taking Action</w:t>
      </w:r>
      <w:proofErr w:type="gramEnd"/>
      <w:r w:rsidRPr="004E2312">
        <w:rPr>
          <w:highlight w:val="white"/>
        </w:rPr>
        <w:t xml:space="preserve"> </w:t>
      </w:r>
    </w:p>
    <w:p w14:paraId="059058E8" w14:textId="7C0191AD" w:rsidR="008D0705" w:rsidRPr="004E2312" w:rsidRDefault="00000000" w:rsidP="008D0705">
      <w:pPr>
        <w:pStyle w:val="ListParagraph"/>
        <w:numPr>
          <w:ilvl w:val="1"/>
          <w:numId w:val="7"/>
        </w:numPr>
        <w:rPr>
          <w:highlight w:val="white"/>
        </w:rPr>
      </w:pPr>
      <w:r w:rsidRPr="004E2312">
        <w:rPr>
          <w:highlight w:val="white"/>
        </w:rPr>
        <w:t xml:space="preserve">Public Narrative </w:t>
      </w:r>
      <w:r w:rsidR="00C82E3E">
        <w:rPr>
          <w:highlight w:val="white"/>
        </w:rPr>
        <w:t>and</w:t>
      </w:r>
      <w:r w:rsidRPr="004E2312">
        <w:rPr>
          <w:highlight w:val="white"/>
        </w:rPr>
        <w:t xml:space="preserve"> Transformative Resistance</w:t>
      </w:r>
    </w:p>
    <w:p w14:paraId="39F7E7C1" w14:textId="136EC62A" w:rsidR="004F7B02" w:rsidRPr="004E2312" w:rsidRDefault="00000000" w:rsidP="008D0705">
      <w:pPr>
        <w:pStyle w:val="ListParagraph"/>
        <w:numPr>
          <w:ilvl w:val="1"/>
          <w:numId w:val="7"/>
        </w:numPr>
        <w:rPr>
          <w:highlight w:val="white"/>
        </w:rPr>
      </w:pPr>
      <w:r w:rsidRPr="004E2312">
        <w:rPr>
          <w:highlight w:val="white"/>
        </w:rPr>
        <w:t xml:space="preserve">Negotiation </w:t>
      </w:r>
      <w:r w:rsidR="00C82E3E">
        <w:rPr>
          <w:highlight w:val="white"/>
        </w:rPr>
        <w:t>and</w:t>
      </w:r>
      <w:r w:rsidRPr="004E2312">
        <w:rPr>
          <w:highlight w:val="white"/>
        </w:rPr>
        <w:t xml:space="preserve"> </w:t>
      </w:r>
      <w:r w:rsidRPr="004E2312">
        <w:t xml:space="preserve">Accountability </w:t>
      </w:r>
    </w:p>
    <w:p w14:paraId="1139CE5A" w14:textId="77777777" w:rsidR="004E2312" w:rsidRPr="004E2312" w:rsidRDefault="004E2312" w:rsidP="004E2312">
      <w:pPr>
        <w:pStyle w:val="ListParagraph"/>
        <w:rPr>
          <w:highlight w:val="white"/>
        </w:rPr>
      </w:pPr>
    </w:p>
    <w:p w14:paraId="768298F9" w14:textId="77777777" w:rsidR="004F7B02" w:rsidRPr="004E2312" w:rsidRDefault="00000000">
      <w:pPr>
        <w:numPr>
          <w:ilvl w:val="0"/>
          <w:numId w:val="3"/>
        </w:numPr>
        <w:shd w:val="clear" w:color="auto" w:fill="FFFFFF"/>
        <w:rPr>
          <w:b/>
          <w:bCs/>
        </w:rPr>
      </w:pPr>
      <w:r w:rsidRPr="004E2312">
        <w:rPr>
          <w:b/>
          <w:bCs/>
        </w:rPr>
        <w:t xml:space="preserve">The Challenges of </w:t>
      </w:r>
      <w:proofErr w:type="spellStart"/>
      <w:r w:rsidRPr="004E2312">
        <w:rPr>
          <w:b/>
          <w:bCs/>
        </w:rPr>
        <w:t>Organising</w:t>
      </w:r>
      <w:proofErr w:type="spellEnd"/>
      <w:r w:rsidRPr="004E2312">
        <w:rPr>
          <w:b/>
          <w:bCs/>
        </w:rPr>
        <w:t xml:space="preserve"> </w:t>
      </w:r>
    </w:p>
    <w:p w14:paraId="3E322082" w14:textId="77777777" w:rsidR="004E2312" w:rsidRPr="004E2312" w:rsidRDefault="004E2312" w:rsidP="004E2312">
      <w:pPr>
        <w:shd w:val="clear" w:color="auto" w:fill="FFFFFF"/>
        <w:ind w:left="720"/>
      </w:pPr>
    </w:p>
    <w:p w14:paraId="0B337BB3" w14:textId="77777777" w:rsidR="004F7B02" w:rsidRPr="004E2312" w:rsidRDefault="00000000">
      <w:pPr>
        <w:numPr>
          <w:ilvl w:val="0"/>
          <w:numId w:val="3"/>
        </w:numPr>
        <w:rPr>
          <w:b/>
          <w:bCs/>
          <w:highlight w:val="white"/>
        </w:rPr>
      </w:pPr>
      <w:r w:rsidRPr="004E2312">
        <w:rPr>
          <w:b/>
          <w:bCs/>
          <w:highlight w:val="white"/>
        </w:rPr>
        <w:t>Outcomes</w:t>
      </w:r>
    </w:p>
    <w:p w14:paraId="2A69B296" w14:textId="63CF2642" w:rsidR="008D0705" w:rsidRPr="004E2312" w:rsidRDefault="00000000" w:rsidP="008D0705">
      <w:pPr>
        <w:pStyle w:val="ListParagraph"/>
        <w:numPr>
          <w:ilvl w:val="1"/>
          <w:numId w:val="8"/>
        </w:numPr>
        <w:rPr>
          <w:highlight w:val="white"/>
        </w:rPr>
      </w:pPr>
      <w:r w:rsidRPr="004E2312">
        <w:rPr>
          <w:highlight w:val="white"/>
        </w:rPr>
        <w:t xml:space="preserve">Resources: Funding </w:t>
      </w:r>
      <w:r w:rsidR="00C82E3E">
        <w:rPr>
          <w:highlight w:val="white"/>
        </w:rPr>
        <w:t>and</w:t>
      </w:r>
      <w:r w:rsidRPr="004E2312">
        <w:rPr>
          <w:highlight w:val="white"/>
        </w:rPr>
        <w:t xml:space="preserve"> Facilities</w:t>
      </w:r>
    </w:p>
    <w:p w14:paraId="1287315D" w14:textId="17D0D09A" w:rsidR="008D0705" w:rsidRPr="004E2312" w:rsidRDefault="00000000" w:rsidP="008D0705">
      <w:pPr>
        <w:pStyle w:val="ListParagraph"/>
        <w:numPr>
          <w:ilvl w:val="1"/>
          <w:numId w:val="8"/>
        </w:numPr>
        <w:rPr>
          <w:highlight w:val="white"/>
        </w:rPr>
      </w:pPr>
      <w:r w:rsidRPr="004E2312">
        <w:rPr>
          <w:highlight w:val="white"/>
        </w:rPr>
        <w:t xml:space="preserve">Recognition </w:t>
      </w:r>
      <w:r w:rsidR="00C82E3E">
        <w:rPr>
          <w:highlight w:val="white"/>
        </w:rPr>
        <w:t>and</w:t>
      </w:r>
      <w:r w:rsidRPr="004E2312">
        <w:rPr>
          <w:highlight w:val="white"/>
        </w:rPr>
        <w:t xml:space="preserve"> Greater Accountability</w:t>
      </w:r>
    </w:p>
    <w:p w14:paraId="54ED5C95" w14:textId="103C6D28" w:rsidR="008D0705" w:rsidRPr="004E2312" w:rsidRDefault="00000000" w:rsidP="008D0705">
      <w:pPr>
        <w:pStyle w:val="ListParagraph"/>
        <w:numPr>
          <w:ilvl w:val="1"/>
          <w:numId w:val="8"/>
        </w:numPr>
        <w:rPr>
          <w:highlight w:val="white"/>
        </w:rPr>
      </w:pPr>
      <w:r w:rsidRPr="004E2312">
        <w:rPr>
          <w:highlight w:val="white"/>
        </w:rPr>
        <w:t xml:space="preserve">Policy Change </w:t>
      </w:r>
      <w:r w:rsidR="00C82E3E">
        <w:rPr>
          <w:highlight w:val="white"/>
        </w:rPr>
        <w:t>and</w:t>
      </w:r>
      <w:r w:rsidRPr="004E2312">
        <w:rPr>
          <w:highlight w:val="white"/>
        </w:rPr>
        <w:t xml:space="preserve"> Student Outcomes </w:t>
      </w:r>
    </w:p>
    <w:p w14:paraId="4EE9F53D" w14:textId="7F50AC42" w:rsidR="004F7B02" w:rsidRDefault="00000000" w:rsidP="008D0705">
      <w:pPr>
        <w:pStyle w:val="ListParagraph"/>
        <w:numPr>
          <w:ilvl w:val="1"/>
          <w:numId w:val="8"/>
        </w:numPr>
        <w:rPr>
          <w:highlight w:val="white"/>
        </w:rPr>
      </w:pPr>
      <w:r w:rsidRPr="004E2312">
        <w:rPr>
          <w:highlight w:val="white"/>
        </w:rPr>
        <w:t xml:space="preserve">Community Empowerment </w:t>
      </w:r>
    </w:p>
    <w:p w14:paraId="68B51444" w14:textId="77777777" w:rsidR="004E2312" w:rsidRPr="004E2312" w:rsidRDefault="004E2312" w:rsidP="004E2312">
      <w:pPr>
        <w:pStyle w:val="ListParagraph"/>
        <w:rPr>
          <w:highlight w:val="white"/>
        </w:rPr>
      </w:pPr>
    </w:p>
    <w:p w14:paraId="00720D64" w14:textId="77777777" w:rsidR="004F7B02" w:rsidRPr="004E2312" w:rsidRDefault="00000000">
      <w:pPr>
        <w:numPr>
          <w:ilvl w:val="0"/>
          <w:numId w:val="3"/>
        </w:numPr>
        <w:shd w:val="clear" w:color="auto" w:fill="FFFFFF"/>
        <w:rPr>
          <w:b/>
          <w:bCs/>
          <w:highlight w:val="white"/>
        </w:rPr>
      </w:pPr>
      <w:r w:rsidRPr="004E2312">
        <w:rPr>
          <w:b/>
          <w:bCs/>
          <w:highlight w:val="white"/>
        </w:rPr>
        <w:t>Strengths and Limitations of the Studies</w:t>
      </w:r>
    </w:p>
    <w:p w14:paraId="7808AE9F" w14:textId="77777777" w:rsidR="004E2312" w:rsidRPr="004E2312" w:rsidRDefault="004E2312" w:rsidP="004E2312">
      <w:pPr>
        <w:shd w:val="clear" w:color="auto" w:fill="FFFFFF"/>
        <w:ind w:left="720"/>
        <w:rPr>
          <w:b/>
          <w:bCs/>
          <w:highlight w:val="white"/>
        </w:rPr>
      </w:pPr>
    </w:p>
    <w:p w14:paraId="327872D8" w14:textId="77777777" w:rsidR="004F7B02" w:rsidRPr="004E2312" w:rsidRDefault="00000000">
      <w:pPr>
        <w:numPr>
          <w:ilvl w:val="0"/>
          <w:numId w:val="3"/>
        </w:numPr>
        <w:rPr>
          <w:b/>
          <w:bCs/>
          <w:highlight w:val="white"/>
        </w:rPr>
      </w:pPr>
      <w:r w:rsidRPr="004E2312">
        <w:rPr>
          <w:b/>
          <w:bCs/>
          <w:highlight w:val="white"/>
        </w:rPr>
        <w:t>Conclusion</w:t>
      </w:r>
    </w:p>
    <w:p w14:paraId="4C4C6577" w14:textId="77777777" w:rsidR="004F7B02" w:rsidRDefault="004F7B02">
      <w:pPr>
        <w:rPr>
          <w:b/>
          <w:bCs/>
        </w:rPr>
      </w:pPr>
    </w:p>
    <w:p w14:paraId="35C0E76F" w14:textId="77777777" w:rsidR="004E2312" w:rsidRDefault="004E2312">
      <w:pPr>
        <w:rPr>
          <w:b/>
          <w:bCs/>
        </w:rPr>
      </w:pPr>
    </w:p>
    <w:p w14:paraId="29DD6EFB" w14:textId="77777777" w:rsidR="004F7B02" w:rsidRDefault="00000000">
      <w:pPr>
        <w:rPr>
          <w:b/>
          <w:bCs/>
        </w:rPr>
      </w:pPr>
      <w:r>
        <w:pict w14:anchorId="3BC66F28">
          <v:rect id="_x0000_i1025" style="width:0;height:1.5pt" o:hralign="center" o:hrstd="t" o:hr="t" fillcolor="#a0a0a0" stroked="f"/>
        </w:pict>
      </w:r>
    </w:p>
    <w:p w14:paraId="2EF76A7A" w14:textId="77777777" w:rsidR="004F7B02" w:rsidRDefault="004F7B02">
      <w:pPr>
        <w:rPr>
          <w:b/>
          <w:bCs/>
        </w:rPr>
      </w:pPr>
    </w:p>
    <w:p w14:paraId="4026385A" w14:textId="77777777" w:rsidR="003C666D" w:rsidRDefault="003C666D">
      <w:pPr>
        <w:rPr>
          <w:b/>
          <w:bCs/>
        </w:rPr>
      </w:pPr>
    </w:p>
    <w:p w14:paraId="367DB5B9" w14:textId="77777777" w:rsidR="003C666D" w:rsidRDefault="003C666D">
      <w:pPr>
        <w:rPr>
          <w:b/>
          <w:bCs/>
        </w:rPr>
      </w:pPr>
    </w:p>
    <w:p w14:paraId="1FB5F042" w14:textId="77777777" w:rsidR="003C666D" w:rsidRDefault="003C666D">
      <w:pPr>
        <w:rPr>
          <w:b/>
          <w:bCs/>
        </w:rPr>
      </w:pPr>
    </w:p>
    <w:p w14:paraId="1966C988" w14:textId="77777777" w:rsidR="003C666D" w:rsidRDefault="003C666D">
      <w:pPr>
        <w:rPr>
          <w:b/>
          <w:bCs/>
        </w:rPr>
      </w:pPr>
    </w:p>
    <w:p w14:paraId="621BA4E8" w14:textId="77777777" w:rsidR="004E2312" w:rsidRDefault="004E2312">
      <w:pPr>
        <w:rPr>
          <w:b/>
          <w:bCs/>
        </w:rPr>
      </w:pPr>
    </w:p>
    <w:p w14:paraId="4AAE348E" w14:textId="77777777" w:rsidR="004E2312" w:rsidRDefault="004E2312">
      <w:pPr>
        <w:rPr>
          <w:b/>
          <w:bCs/>
        </w:rPr>
      </w:pPr>
    </w:p>
    <w:p w14:paraId="300FFB17" w14:textId="77777777" w:rsidR="004E2312" w:rsidRDefault="004E2312">
      <w:pPr>
        <w:rPr>
          <w:b/>
          <w:bCs/>
        </w:rPr>
      </w:pPr>
    </w:p>
    <w:p w14:paraId="4499C44A" w14:textId="77777777" w:rsidR="001E78C6" w:rsidRDefault="001E78C6">
      <w:pPr>
        <w:rPr>
          <w:b/>
          <w:bCs/>
        </w:rPr>
      </w:pPr>
    </w:p>
    <w:p w14:paraId="1C0C9FDC" w14:textId="77777777" w:rsidR="001E78C6" w:rsidRDefault="001E78C6">
      <w:pPr>
        <w:rPr>
          <w:b/>
          <w:bCs/>
        </w:rPr>
      </w:pPr>
    </w:p>
    <w:p w14:paraId="31B6844E" w14:textId="77777777" w:rsidR="004F7B02" w:rsidRDefault="00000000">
      <w:pPr>
        <w:numPr>
          <w:ilvl w:val="0"/>
          <w:numId w:val="5"/>
        </w:numPr>
        <w:rPr>
          <w:b/>
          <w:bCs/>
        </w:rPr>
      </w:pPr>
      <w:r>
        <w:rPr>
          <w:b/>
          <w:bCs/>
        </w:rPr>
        <w:lastRenderedPageBreak/>
        <w:t>Introduction</w:t>
      </w:r>
    </w:p>
    <w:p w14:paraId="41FE65D3" w14:textId="77777777" w:rsidR="004F7B02" w:rsidRDefault="004F7B02">
      <w:pPr>
        <w:rPr>
          <w:b/>
          <w:bCs/>
        </w:rPr>
      </w:pPr>
    </w:p>
    <w:p w14:paraId="5795200D" w14:textId="5410AAF3" w:rsidR="004F7B02" w:rsidRDefault="00000000">
      <w:r>
        <w:t xml:space="preserve">The education system in the United States is subject to socioeconomic and racial stratification, which has led to decades of increasing educational inequity (Gamoran &amp; Bruch, 2017; Bloome et al., 2018; Jackson &amp; Holzman, 2019). The factors that produce this inequity are persistent: historical segregation and disinvestment, systemic inequalities in resource distribution, and a lack of accountability and transparency in the decision-making process (Ishimaru, 2018; González, 2015; Wilson et al., 2023; Nygreen, 2016; Zachary &amp; Olatoye, 2001; Glickman &amp; Scally, 2008). The struggle for educational justice can be understood as a struggle between two opposing worldviews, the neoliberal paradigm and the democratic </w:t>
      </w:r>
      <w:proofErr w:type="spellStart"/>
      <w:r>
        <w:t>organising</w:t>
      </w:r>
      <w:proofErr w:type="spellEnd"/>
      <w:r>
        <w:t xml:space="preserve"> paradigm (Nygreen, 2016; Apple, 2019). Neoliberal education reform advocates for the imposition of market principles onto the public school system (Apple, 2019; Ramos &amp; Jani, 2025). In pursuit of educational justice, the neoliberal paradigm calls for </w:t>
      </w:r>
      <w:proofErr w:type="spellStart"/>
      <w:r>
        <w:t>organisational</w:t>
      </w:r>
      <w:proofErr w:type="spellEnd"/>
      <w:r>
        <w:t xml:space="preserve"> change: the replacement of staff and school leadership, funding cuts, and the closing of schools deemed ineffective</w:t>
      </w:r>
      <w:r w:rsidR="008D0705">
        <w:t>. On the other hand,</w:t>
      </w:r>
      <w:r>
        <w:t xml:space="preserve"> the </w:t>
      </w:r>
      <w:r w:rsidR="008D0705">
        <w:t xml:space="preserve">democratic </w:t>
      </w:r>
      <w:proofErr w:type="spellStart"/>
      <w:r>
        <w:t>organising</w:t>
      </w:r>
      <w:proofErr w:type="spellEnd"/>
      <w:r>
        <w:t xml:space="preserve"> paradigm calls for systemic transformation towards equity by shifting power dynamics and increasing the accountability of decision-makers (Ishimaru, 2018; Welton &amp; Freelon, 2018; Nygreen, 2017a; Goessling et al., 2024). The primary focus of Community </w:t>
      </w:r>
      <w:proofErr w:type="spellStart"/>
      <w:r>
        <w:t>Organising</w:t>
      </w:r>
      <w:proofErr w:type="spellEnd"/>
      <w:r>
        <w:t xml:space="preserve"> is the building of collective power over time to </w:t>
      </w:r>
      <w:proofErr w:type="spellStart"/>
      <w:r>
        <w:t>reorganise</w:t>
      </w:r>
      <w:proofErr w:type="spellEnd"/>
      <w:r>
        <w:t xml:space="preserve"> the status quo that traditionally disempowers low-income and </w:t>
      </w:r>
      <w:proofErr w:type="spellStart"/>
      <w:r>
        <w:t>marginalised</w:t>
      </w:r>
      <w:proofErr w:type="spellEnd"/>
      <w:r>
        <w:t xml:space="preserve"> communities and perpetuates inequality (Christens &amp; Speer, 2015). This method draws on the Alinsky tradition of </w:t>
      </w:r>
      <w:proofErr w:type="spellStart"/>
      <w:r>
        <w:t>organising</w:t>
      </w:r>
      <w:proofErr w:type="spellEnd"/>
      <w:r>
        <w:t xml:space="preserve"> that </w:t>
      </w:r>
      <w:proofErr w:type="spellStart"/>
      <w:r>
        <w:t>prioritises</w:t>
      </w:r>
      <w:proofErr w:type="spellEnd"/>
      <w:r>
        <w:t xml:space="preserve"> relationships and leadership development as the basis for holding powerholders to account to transform institutions and society (Welton &amp; Freelon, 2018; Alinsky, 1972; Wood, 2025).</w:t>
      </w:r>
    </w:p>
    <w:p w14:paraId="0EFB68BE" w14:textId="77777777" w:rsidR="004F7B02" w:rsidRDefault="004F7B02"/>
    <w:p w14:paraId="5DEE0894" w14:textId="77777777" w:rsidR="004F7B02" w:rsidRDefault="00000000">
      <w:r>
        <w:t xml:space="preserve">This review seeks to understand the methods, challenges, and outcomes of community </w:t>
      </w:r>
      <w:proofErr w:type="spellStart"/>
      <w:r>
        <w:t>organising</w:t>
      </w:r>
      <w:proofErr w:type="spellEnd"/>
      <w:r>
        <w:t xml:space="preserve"> for educational justice. It is structured to move from theory to praxis, initially setting out the paradigmatic differences in the neoliberal and </w:t>
      </w:r>
      <w:proofErr w:type="spellStart"/>
      <w:r>
        <w:t>organising</w:t>
      </w:r>
      <w:proofErr w:type="spellEnd"/>
      <w:r>
        <w:t xml:space="preserve"> worldviews, before exploring community </w:t>
      </w:r>
      <w:proofErr w:type="spellStart"/>
      <w:r>
        <w:t>organising</w:t>
      </w:r>
      <w:proofErr w:type="spellEnd"/>
      <w:r>
        <w:t xml:space="preserve"> methods for building power, </w:t>
      </w:r>
      <w:proofErr w:type="gramStart"/>
      <w:r>
        <w:t>taking action</w:t>
      </w:r>
      <w:proofErr w:type="gramEnd"/>
      <w:r>
        <w:t xml:space="preserve">, and winning change. The literature supports the idea that collective power is built via a range of </w:t>
      </w:r>
      <w:proofErr w:type="spellStart"/>
      <w:r>
        <w:t>organising</w:t>
      </w:r>
      <w:proofErr w:type="spellEnd"/>
      <w:r>
        <w:t xml:space="preserve"> methods, including </w:t>
      </w:r>
      <w:proofErr w:type="spellStart"/>
      <w:r>
        <w:t>prioritising</w:t>
      </w:r>
      <w:proofErr w:type="spellEnd"/>
      <w:r>
        <w:t xml:space="preserve"> relationships, developing shared leadership, and building social capital and coalitions (Glickman &amp; Scally, 2008; Ishimaru, 2013; Gold et al., 2002; Kamber, 2002). The review will highlight the challenges communities face in their </w:t>
      </w:r>
      <w:proofErr w:type="spellStart"/>
      <w:r>
        <w:t>organising</w:t>
      </w:r>
      <w:proofErr w:type="spellEnd"/>
      <w:r>
        <w:t xml:space="preserve"> efforts, including both systemic resistance from decision-makers and internal divisions within communities (Evans &amp; Shirley, 2008; Wilson et al., 2023; Nygreen, 2016; Renée &amp; McAlister, 2011). Finally, the review will </w:t>
      </w:r>
      <w:proofErr w:type="spellStart"/>
      <w:r>
        <w:t>synthesise</w:t>
      </w:r>
      <w:proofErr w:type="spellEnd"/>
      <w:r>
        <w:t xml:space="preserve"> the outcomes of the studies, followed by a discussion of the strengths and limitations of the results and methodologies, and directions for future research. </w:t>
      </w:r>
    </w:p>
    <w:p w14:paraId="0FCC0184" w14:textId="77777777" w:rsidR="004F7B02" w:rsidRDefault="004F7B02">
      <w:pPr>
        <w:rPr>
          <w:highlight w:val="white"/>
        </w:rPr>
      </w:pPr>
    </w:p>
    <w:p w14:paraId="2062E013" w14:textId="77777777" w:rsidR="004F7B02" w:rsidRDefault="00000000">
      <w:pPr>
        <w:numPr>
          <w:ilvl w:val="0"/>
          <w:numId w:val="5"/>
        </w:numPr>
        <w:rPr>
          <w:b/>
          <w:bCs/>
        </w:rPr>
      </w:pPr>
      <w:r>
        <w:rPr>
          <w:b/>
          <w:bCs/>
        </w:rPr>
        <w:t xml:space="preserve">Search Strategy and Screening </w:t>
      </w:r>
    </w:p>
    <w:p w14:paraId="0C3AF872" w14:textId="77777777" w:rsidR="004F7B02" w:rsidRDefault="004F7B02">
      <w:pPr>
        <w:ind w:left="720"/>
        <w:rPr>
          <w:b/>
          <w:bCs/>
        </w:rPr>
      </w:pPr>
    </w:p>
    <w:p w14:paraId="4D59E217" w14:textId="0B6B323C" w:rsidR="004F7B02" w:rsidRDefault="00000000">
      <w:r>
        <w:t xml:space="preserve">In implementing the search strategy and screening, a key theme was considered: students, parents, teachers, or community members either </w:t>
      </w:r>
      <w:proofErr w:type="spellStart"/>
      <w:r>
        <w:t>organising</w:t>
      </w:r>
      <w:proofErr w:type="spellEnd"/>
      <w:r>
        <w:t xml:space="preserve"> for internal school reform or </w:t>
      </w:r>
      <w:proofErr w:type="spellStart"/>
      <w:r>
        <w:t>organising</w:t>
      </w:r>
      <w:proofErr w:type="spellEnd"/>
      <w:r>
        <w:t xml:space="preserve"> at the school district or state level for educational reform. For source identification, Google Scholar, </w:t>
      </w:r>
      <w:r w:rsidR="00BC05D5">
        <w:t>JSTOR</w:t>
      </w:r>
      <w:r>
        <w:t xml:space="preserve">, SAGE, EBSCO, Springer, Routledge, and Wiley were searched using the Boolean search method. The key search terms were “organizing” OR “community </w:t>
      </w:r>
      <w:r>
        <w:lastRenderedPageBreak/>
        <w:t>organizing” AND “school” OR “school reform” OR “education”. This search identified 209 papers. After removing duplicates, articles were excluded if they were published before 2000, described work outside of the United States (so the findings are comparable and transferable), or were not available online. The screening process produced 34 articles for further review. Twenty articles were identified for inclusion after fourteen were deemed lacking in either quality or content. The articles were</w:t>
      </w:r>
      <w:r w:rsidR="004E2312">
        <w:t xml:space="preserve"> thematically</w:t>
      </w:r>
      <w:r>
        <w:t xml:space="preserve"> coded, and those codes were grouped into themes that guide the review narrative.</w:t>
      </w:r>
    </w:p>
    <w:p w14:paraId="0C435A6F" w14:textId="77777777" w:rsidR="004F7B02" w:rsidRDefault="004F7B02"/>
    <w:p w14:paraId="0EF11225" w14:textId="77777777" w:rsidR="004F7B02" w:rsidRDefault="00000000">
      <w:pPr>
        <w:numPr>
          <w:ilvl w:val="0"/>
          <w:numId w:val="5"/>
        </w:numPr>
        <w:rPr>
          <w:b/>
          <w:bCs/>
          <w:highlight w:val="white"/>
        </w:rPr>
      </w:pPr>
      <w:r>
        <w:rPr>
          <w:b/>
          <w:bCs/>
          <w:highlight w:val="white"/>
        </w:rPr>
        <w:t>Opposing Paradigms for Educational Reform</w:t>
      </w:r>
    </w:p>
    <w:p w14:paraId="5151C34C" w14:textId="77777777" w:rsidR="004F7B02" w:rsidRDefault="004F7B02">
      <w:pPr>
        <w:ind w:left="720"/>
        <w:rPr>
          <w:b/>
          <w:bCs/>
          <w:highlight w:val="white"/>
        </w:rPr>
      </w:pPr>
    </w:p>
    <w:p w14:paraId="48BE1ABE" w14:textId="77777777" w:rsidR="004F7B02" w:rsidRDefault="00000000">
      <w:r>
        <w:rPr>
          <w:highlight w:val="white"/>
        </w:rPr>
        <w:t xml:space="preserve">The struggle in education reform can be </w:t>
      </w:r>
      <w:proofErr w:type="spellStart"/>
      <w:r>
        <w:rPr>
          <w:highlight w:val="white"/>
        </w:rPr>
        <w:t>charaterised</w:t>
      </w:r>
      <w:proofErr w:type="spellEnd"/>
      <w:r>
        <w:rPr>
          <w:highlight w:val="white"/>
        </w:rPr>
        <w:t xml:space="preserve"> by tensions between the dominant and pervasive top-down market approaches of the neoliberal paradigm and the bottom-up community-based approaches of the democratic </w:t>
      </w:r>
      <w:proofErr w:type="spellStart"/>
      <w:r>
        <w:rPr>
          <w:highlight w:val="white"/>
        </w:rPr>
        <w:t>organising</w:t>
      </w:r>
      <w:proofErr w:type="spellEnd"/>
      <w:r>
        <w:rPr>
          <w:highlight w:val="white"/>
        </w:rPr>
        <w:t xml:space="preserve"> paradigm (Nygreen, 2016; Apple, 2019). The table below lays out the differences between these two conflicting paradigms for educational justice based on Nygreen’s (2016) theoretical framework of Social Theory, Theory of Change, and Theory of Knowledge.</w:t>
      </w:r>
    </w:p>
    <w:p w14:paraId="4014C696" w14:textId="77777777" w:rsidR="004F7B02" w:rsidRDefault="004F7B02"/>
    <w:tbl>
      <w:tblPr>
        <w:tblStyle w:val="a"/>
        <w:tblW w:w="9360" w:type="dxa"/>
        <w:tblInd w:w="0" w:type="dxa"/>
        <w:tblBorders>
          <w:top w:val="single" w:sz="4" w:space="0" w:color="CDD2D9"/>
          <w:left w:val="single" w:sz="4" w:space="0" w:color="CDD2D9"/>
          <w:bottom w:val="single" w:sz="4" w:space="0" w:color="CDD2D9"/>
          <w:right w:val="single" w:sz="4" w:space="0" w:color="CDD2D9"/>
          <w:insideH w:val="single" w:sz="4" w:space="0" w:color="CDD2D9"/>
          <w:insideV w:val="single" w:sz="4" w:space="0" w:color="CDD2D9"/>
        </w:tblBorders>
        <w:tblLayout w:type="fixed"/>
        <w:tblLook w:val="0600" w:firstRow="0" w:lastRow="0" w:firstColumn="0" w:lastColumn="0" w:noHBand="1" w:noVBand="1"/>
      </w:tblPr>
      <w:tblGrid>
        <w:gridCol w:w="1440"/>
        <w:gridCol w:w="3765"/>
        <w:gridCol w:w="4155"/>
      </w:tblGrid>
      <w:tr w:rsidR="004F7B02" w14:paraId="27114B9D" w14:textId="77777777">
        <w:trPr>
          <w:trHeight w:val="525"/>
        </w:trPr>
        <w:tc>
          <w:tcPr>
            <w:tcW w:w="1440"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781340FB" w14:textId="77777777" w:rsidR="004F7B02" w:rsidRDefault="004F7B02"/>
        </w:tc>
        <w:tc>
          <w:tcPr>
            <w:tcW w:w="376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5DC2641D" w14:textId="77777777" w:rsidR="003C666D" w:rsidRDefault="003C666D" w:rsidP="003C666D">
            <w:pPr>
              <w:jc w:val="center"/>
              <w:rPr>
                <w:b/>
                <w:bCs/>
              </w:rPr>
            </w:pPr>
          </w:p>
          <w:p w14:paraId="15B0CAE2" w14:textId="7313E844" w:rsidR="004F7B02" w:rsidRDefault="00000000" w:rsidP="003C666D">
            <w:pPr>
              <w:jc w:val="center"/>
              <w:rPr>
                <w:b/>
                <w:bCs/>
              </w:rPr>
            </w:pPr>
            <w:r>
              <w:rPr>
                <w:b/>
                <w:bCs/>
              </w:rPr>
              <w:t>Neoliberal Paradigm</w:t>
            </w:r>
          </w:p>
        </w:tc>
        <w:tc>
          <w:tcPr>
            <w:tcW w:w="415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3A8E6A4F" w14:textId="77777777" w:rsidR="003C666D" w:rsidRDefault="003C666D" w:rsidP="003C666D">
            <w:pPr>
              <w:jc w:val="center"/>
              <w:rPr>
                <w:b/>
                <w:bCs/>
              </w:rPr>
            </w:pPr>
          </w:p>
          <w:p w14:paraId="3A63F095" w14:textId="058781E2" w:rsidR="004F7B02" w:rsidRDefault="00000000" w:rsidP="003C666D">
            <w:pPr>
              <w:jc w:val="center"/>
              <w:rPr>
                <w:b/>
                <w:bCs/>
              </w:rPr>
            </w:pPr>
            <w:r>
              <w:rPr>
                <w:b/>
                <w:bCs/>
              </w:rPr>
              <w:t xml:space="preserve">Democratic </w:t>
            </w:r>
            <w:proofErr w:type="spellStart"/>
            <w:r>
              <w:rPr>
                <w:b/>
                <w:bCs/>
              </w:rPr>
              <w:t>Organising</w:t>
            </w:r>
            <w:proofErr w:type="spellEnd"/>
            <w:r>
              <w:rPr>
                <w:b/>
                <w:bCs/>
              </w:rPr>
              <w:t xml:space="preserve"> Paradigm</w:t>
            </w:r>
          </w:p>
        </w:tc>
      </w:tr>
      <w:tr w:rsidR="004F7B02" w14:paraId="3FDACF9F" w14:textId="77777777">
        <w:trPr>
          <w:trHeight w:val="4110"/>
        </w:trPr>
        <w:tc>
          <w:tcPr>
            <w:tcW w:w="1440"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5D8E8473" w14:textId="77777777" w:rsidR="004F7B02" w:rsidRDefault="00000000">
            <w:pPr>
              <w:rPr>
                <w:b/>
                <w:bCs/>
              </w:rPr>
            </w:pPr>
            <w:r>
              <w:rPr>
                <w:noProof/>
              </w:rPr>
              <mc:AlternateContent>
                <mc:Choice Requires="wps">
                  <w:drawing>
                    <wp:anchor distT="114300" distB="114300" distL="114300" distR="114300" simplePos="0" relativeHeight="251658240" behindDoc="0" locked="0" layoutInCell="1" hidden="0" allowOverlap="1" wp14:anchorId="46A31784" wp14:editId="2E760734">
                      <wp:simplePos x="0" y="0"/>
                      <wp:positionH relativeFrom="column">
                        <wp:posOffset>-696120</wp:posOffset>
                      </wp:positionH>
                      <wp:positionV relativeFrom="paragraph">
                        <wp:posOffset>930435</wp:posOffset>
                      </wp:positionV>
                      <wp:extent cx="2114235" cy="424500"/>
                      <wp:effectExtent l="0" t="0" r="0" b="0"/>
                      <wp:wrapNone/>
                      <wp:docPr id="1" name="Text Box 1"/>
                      <wp:cNvGraphicFramePr/>
                      <a:graphic xmlns:a="http://schemas.openxmlformats.org/drawingml/2006/main">
                        <a:graphicData uri="http://schemas.microsoft.com/office/word/2010/wordprocessingShape">
                          <wps:wsp>
                            <wps:cNvSpPr txBox="1"/>
                            <wps:spPr>
                              <a:xfrm rot="16200000">
                                <a:off x="0" y="0"/>
                                <a:ext cx="2114235" cy="424500"/>
                              </a:xfrm>
                              <a:prstGeom prst="rect">
                                <a:avLst/>
                              </a:prstGeom>
                              <a:noFill/>
                              <a:ln>
                                <a:noFill/>
                              </a:ln>
                            </wps:spPr>
                            <wps:txbx>
                              <w:txbxContent>
                                <w:p w14:paraId="20547FCD" w14:textId="77777777" w:rsidR="004F7B02" w:rsidRDefault="00000000">
                                  <w:pPr>
                                    <w:spacing w:line="240" w:lineRule="auto"/>
                                    <w:textDirection w:val="btLr"/>
                                  </w:pPr>
                                  <w:r>
                                    <w:rPr>
                                      <w:b/>
                                      <w:color w:val="000000"/>
                                      <w:sz w:val="28"/>
                                    </w:rPr>
                                    <w:t xml:space="preserve">Social Theory </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A31784" id="_x0000_t202" coordsize="21600,21600" o:spt="202" path="m,l,21600r21600,l21600,xe">
                      <v:stroke joinstyle="miter"/>
                      <v:path gradientshapeok="t" o:connecttype="rect"/>
                    </v:shapetype>
                    <v:shape id="Text Box 1" o:spid="_x0000_s1026" type="#_x0000_t202" style="position:absolute;margin-left:-54.8pt;margin-top:73.25pt;width:166.5pt;height:33.45pt;rotation:-90;z-index:251658240;visibility:visible;mso-wrap-style:square;mso-width-percent:0;mso-height-percent:0;mso-wrap-distance-left:9pt;mso-wrap-distance-top:9pt;mso-wrap-distance-right:9pt;mso-wrap-distance-bottom:9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5SruAEAAGcDAAAOAAAAZHJzL2Uyb0RvYy54bWysU8GO0zAQvSPxD5bvNE3oriBqugJWRUgr&#10;WGnhA1zHbiwlHuOZNunfM3a63QI3RA6WZzx5fu/NeH03Db04mogOfCPLxVIK4zW0zu8b+eP79s07&#10;KZCUb1UP3jTyZFDebV6/Wo+hNhV00LcmCgbxWI+hkR1RqIsCdWcGhQsIxvOhhTgo4jDuizaqkdGH&#10;vqiWy9tihNiGCNogcvZ+PpSbjG+t0fTNWjQk+kYyN8przOsurcVmrep9VKFz+kxD/QOLQTnPl16g&#10;7hUpcYjuL6jB6QgIlhYahgKsddpkDaymXP6h5qlTwWQtbA6Gi034/2D11+NTeIyCpo8wcQOTIWPA&#10;GjmZ9Ew2DiIC+1best/8ZZlMXHA5O3q6uGgmEpqTVVmuqrc3Umg+W1WrG/6HUYsZLIGGiPTZwCDS&#10;ppGRu5RR1fEBaS59LknlHrau73Onev9bgjFTpnhhnHY07aazjB20J1aHQW8d3/WgkB5V5A6XUozc&#10;9Ubiz4OKRor+i2db3zN1Zk7XQbwOdteB8roDHiaSYt5+ojxaM8cPBwLrsp7EaqZyJsvdzI6cJy+N&#10;y3Wcq17ex+YXAAAA//8DAFBLAwQUAAYACAAAACEAS+riod4AAAAIAQAADwAAAGRycy9kb3ducmV2&#10;LnhtbEyPwU7DMBBE70j8g7VI3KhDk0Y0xKkQUhASHErpB7j2Nokae6PYbZO/ZznBcXZGM2/LzeR6&#10;ccExdOQVPC4SEOgN2c43Cvbf9cMTiBC1t7onjwpmDLCpbm9KXVi6+i+87GIjuMSHQitoYxwKKYNp&#10;0emwoAE9e0canY4sx0baUV+53PVymSS5dLrzvNDqAV9bNKfd2SnI6L3ekraz+Xhb17kZ5/0ndUrd&#10;300vzyAiTvEvDL/4jA4VMx3o7G0QvYJlmnGS7+kKBPvrJAVxUJBm+QpkVcr/D1Q/AAAA//8DAFBL&#10;AQItABQABgAIAAAAIQC2gziS/gAAAOEBAAATAAAAAAAAAAAAAAAAAAAAAABbQ29udGVudF9UeXBl&#10;c10ueG1sUEsBAi0AFAAGAAgAAAAhADj9If/WAAAAlAEAAAsAAAAAAAAAAAAAAAAALwEAAF9yZWxz&#10;Ly5yZWxzUEsBAi0AFAAGAAgAAAAhAEmjlKu4AQAAZwMAAA4AAAAAAAAAAAAAAAAALgIAAGRycy9l&#10;Mm9Eb2MueG1sUEsBAi0AFAAGAAgAAAAhAEvq4qHeAAAACAEAAA8AAAAAAAAAAAAAAAAAEgQAAGRy&#10;cy9kb3ducmV2LnhtbFBLBQYAAAAABAAEAPMAAAAdBQAAAAA=&#10;" filled="f" stroked="f">
                      <v:textbox inset="2.53958mm,2.53958mm,2.53958mm,2.53958mm">
                        <w:txbxContent>
                          <w:p w14:paraId="20547FCD" w14:textId="77777777" w:rsidR="004F7B02" w:rsidRDefault="00000000">
                            <w:pPr>
                              <w:spacing w:line="240" w:lineRule="auto"/>
                              <w:textDirection w:val="btLr"/>
                            </w:pPr>
                            <w:r>
                              <w:rPr>
                                <w:b/>
                                <w:color w:val="000000"/>
                                <w:sz w:val="28"/>
                              </w:rPr>
                              <w:t xml:space="preserve">Social Theory </w:t>
                            </w:r>
                          </w:p>
                        </w:txbxContent>
                      </v:textbox>
                    </v:shape>
                  </w:pict>
                </mc:Fallback>
              </mc:AlternateContent>
            </w:r>
          </w:p>
        </w:tc>
        <w:tc>
          <w:tcPr>
            <w:tcW w:w="376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3F7C1561" w14:textId="77777777" w:rsidR="004F7B02" w:rsidRDefault="00000000">
            <w:r>
              <w:t>Society is viewed through a market lens, centering individualism, competition, and efficiency (Nygreen 2016, Apple, 2019). Educational inequality is seen ‘as an aberration in an otherwise fair and open society’ (Nygreen, 2016, p.210). Educational failure arises, therefore, from schools, families, or individual students themselves (Ishimaru, 2018; Nygreen, 2016). In this view, justice is achieved by helping students to fit into the existing political and economic system (Nygreen, 2016).</w:t>
            </w:r>
          </w:p>
        </w:tc>
        <w:tc>
          <w:tcPr>
            <w:tcW w:w="415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164D0FC5" w14:textId="77777777" w:rsidR="004F7B02" w:rsidRDefault="00000000">
            <w:r>
              <w:t xml:space="preserve">Society is structured around interrelated systems of oppression, in which formal educational settings are not only impacted by these systems, but they also reproduce and perpetuate inequalities (Nygreen, 2016; Ishimaru, 2018; Apple, 2019; Renée &amp; McAlister, 2011). Educational inequality is a manifestation of structural inequality in society. Educational failure is deemed to be a political problem borne of the broader systemic inequalities, requiring transformation of the oppressive and unequal system rather than individual schools or students (Nygreen, 2016; Apple, 2019). </w:t>
            </w:r>
          </w:p>
          <w:p w14:paraId="2562B0C4" w14:textId="77777777" w:rsidR="004F7B02" w:rsidRDefault="004F7B02"/>
          <w:p w14:paraId="56240B85" w14:textId="77777777" w:rsidR="004F7B02" w:rsidRDefault="004F7B02"/>
        </w:tc>
      </w:tr>
      <w:tr w:rsidR="004F7B02" w14:paraId="72DB9DA0" w14:textId="77777777">
        <w:trPr>
          <w:trHeight w:val="4698"/>
        </w:trPr>
        <w:tc>
          <w:tcPr>
            <w:tcW w:w="1440"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485BEC97" w14:textId="77777777" w:rsidR="004F7B02" w:rsidRDefault="00000000">
            <w:pPr>
              <w:rPr>
                <w:b/>
                <w:bCs/>
              </w:rPr>
            </w:pPr>
            <w:r>
              <w:rPr>
                <w:noProof/>
              </w:rPr>
              <w:lastRenderedPageBreak/>
              <mc:AlternateContent>
                <mc:Choice Requires="wps">
                  <w:drawing>
                    <wp:anchor distT="114300" distB="114300" distL="114300" distR="114300" simplePos="0" relativeHeight="251659264" behindDoc="0" locked="0" layoutInCell="1" hidden="0" allowOverlap="1" wp14:anchorId="52F42070" wp14:editId="6A08944B">
                      <wp:simplePos x="0" y="0"/>
                      <wp:positionH relativeFrom="column">
                        <wp:posOffset>-882967</wp:posOffset>
                      </wp:positionH>
                      <wp:positionV relativeFrom="paragraph">
                        <wp:posOffset>1051876</wp:posOffset>
                      </wp:positionV>
                      <wp:extent cx="2505710" cy="408900"/>
                      <wp:effectExtent l="0" t="0" r="0" b="0"/>
                      <wp:wrapNone/>
                      <wp:docPr id="3" name="Text Box 3"/>
                      <wp:cNvGraphicFramePr/>
                      <a:graphic xmlns:a="http://schemas.openxmlformats.org/drawingml/2006/main">
                        <a:graphicData uri="http://schemas.microsoft.com/office/word/2010/wordprocessingShape">
                          <wps:wsp>
                            <wps:cNvSpPr txBox="1"/>
                            <wps:spPr>
                              <a:xfrm rot="16200000">
                                <a:off x="0" y="0"/>
                                <a:ext cx="2505710" cy="408900"/>
                              </a:xfrm>
                              <a:prstGeom prst="rect">
                                <a:avLst/>
                              </a:prstGeom>
                              <a:noFill/>
                              <a:ln>
                                <a:noFill/>
                              </a:ln>
                            </wps:spPr>
                            <wps:txbx>
                              <w:txbxContent>
                                <w:p w14:paraId="753B0C2D" w14:textId="77777777" w:rsidR="004F7B02" w:rsidRDefault="00000000">
                                  <w:pPr>
                                    <w:spacing w:line="240" w:lineRule="auto"/>
                                    <w:textDirection w:val="btLr"/>
                                  </w:pPr>
                                  <w:r>
                                    <w:rPr>
                                      <w:b/>
                                      <w:color w:val="000000"/>
                                      <w:sz w:val="28"/>
                                    </w:rPr>
                                    <w:t>Theory of Change</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52F42070" id="Text Box 3" o:spid="_x0000_s1027" type="#_x0000_t202" style="position:absolute;margin-left:-69.5pt;margin-top:82.8pt;width:197.3pt;height:32.2pt;rotation:-90;z-index:251659264;visibility:visible;mso-wrap-style:square;mso-width-percent:0;mso-height-percent:0;mso-wrap-distance-left:9pt;mso-wrap-distance-top:9pt;mso-wrap-distance-right:9pt;mso-wrap-distance-bottom:9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2reuwEAAG4DAAAOAAAAZHJzL2Uyb0RvYy54bWysU8tu2zAQvBfoPxC815KMOE0Ey0HbwEWB&#10;oA2Q5gNoirQIUFyWS1vy33dJOY7a3IrqQHAfGs3MrtZ3Y2/ZUQU04BpeLUrOlJPQGrdv+PPP7Ycb&#10;zjAK1woLTjX8pJDfbd6/Ww++VkvowLYqMAJxWA++4V2Mvi4KlJ3qBS7AK0dFDaEXkcKwL9ogBkLv&#10;bbEsy+tigND6AFIhUvZ+KvJNxtdayfhDa1SR2YYTt5jPkM9dOovNWtT7IHxn5JmG+AcWvTCOPnqB&#10;uhdRsEMwb6B6IwMg6LiQ0BegtZEqayA1VfmXmqdOeJW1kDnoLzbh/4OV349P/jGwOH6GkQaYDBk8&#10;1kjJpGfUoWcByLfqmvymJ8sk4ozaydHTxUU1RiYpuVyVq48VlSTVrsqbW3qHUIsJLIH6gPGrgp6l&#10;S8MDTSmjiuMDxqn1pSW1O9gaa/OkrPsjQZgpU7wyTrc47kZm2pmaHbQnEolebg198kFgfBSBBl1x&#10;NtDwG46/DiIozuw3R+7eVlfLFW3LPAjzYDcPhJMd0E5Fzqbrl5g3bKL66RBBmywrkZuonDnTULMx&#10;5wVMWzOPc9frb7L5DQAA//8DAFBLAwQUAAYACAAAACEAew6c79sAAAAGAQAADwAAAGRycy9kb3du&#10;cmV2LnhtbEyOwU7DMBBE70j8g7VI3KiTQiMS4lQIKQgJDlD6AVvbJBGxN7LdNvl7lhOcRqMZzbx6&#10;O7tRnGyIA3kF+SoDYb0mM/hOwf6zvbkHERN6gyN5q2CxEbbN5UWNlaGz/7CnXeoEj/hYoYI+pamS&#10;MureOowrmqzn7IuCw8Q2dNIEPPO4G+U6ywrpcPD80ONkn3qrv3dHp+COXtp3QrPo1+eyLXRY9m80&#10;KHV9NT8+gEh2Tn9l+MVndGiY6UBHb6IYFayLnJsKNiA4LTPWg4LbcpODbGr5H7/5AQAA//8DAFBL&#10;AQItABQABgAIAAAAIQC2gziS/gAAAOEBAAATAAAAAAAAAAAAAAAAAAAAAABbQ29udGVudF9UeXBl&#10;c10ueG1sUEsBAi0AFAAGAAgAAAAhADj9If/WAAAAlAEAAAsAAAAAAAAAAAAAAAAALwEAAF9yZWxz&#10;Ly5yZWxzUEsBAi0AFAAGAAgAAAAhAKETat67AQAAbgMAAA4AAAAAAAAAAAAAAAAALgIAAGRycy9l&#10;Mm9Eb2MueG1sUEsBAi0AFAAGAAgAAAAhAHsOnO/bAAAABgEAAA8AAAAAAAAAAAAAAAAAFQQAAGRy&#10;cy9kb3ducmV2LnhtbFBLBQYAAAAABAAEAPMAAAAdBQAAAAA=&#10;" filled="f" stroked="f">
                      <v:textbox inset="2.53958mm,2.53958mm,2.53958mm,2.53958mm">
                        <w:txbxContent>
                          <w:p w14:paraId="753B0C2D" w14:textId="77777777" w:rsidR="004F7B02" w:rsidRDefault="00000000">
                            <w:pPr>
                              <w:spacing w:line="240" w:lineRule="auto"/>
                              <w:textDirection w:val="btLr"/>
                            </w:pPr>
                            <w:r>
                              <w:rPr>
                                <w:b/>
                                <w:color w:val="000000"/>
                                <w:sz w:val="28"/>
                              </w:rPr>
                              <w:t>Theory of Change</w:t>
                            </w:r>
                          </w:p>
                        </w:txbxContent>
                      </v:textbox>
                    </v:shape>
                  </w:pict>
                </mc:Fallback>
              </mc:AlternateContent>
            </w:r>
          </w:p>
        </w:tc>
        <w:tc>
          <w:tcPr>
            <w:tcW w:w="376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099030EE" w14:textId="77777777" w:rsidR="004F7B02" w:rsidRDefault="00000000">
            <w:r>
              <w:t xml:space="preserve">Educational inequality is remedied by ‘imposing the business model onto schools’, and is seen as a technical problem that requires market solutions such as </w:t>
            </w:r>
            <w:proofErr w:type="spellStart"/>
            <w:r>
              <w:t>standardised</w:t>
            </w:r>
            <w:proofErr w:type="spellEnd"/>
            <w:r>
              <w:t xml:space="preserve"> metrics and testing to boost efficiency, identify what's effective, and enforce compliance  (Nygreen, 2016, p.210; Goessling et al., 2024; Ishimaru, 2018; Apple, 2019; Freelon, 2022; Gold et al., 2004; Renée &amp; McAlister, 2011).</w:t>
            </w:r>
          </w:p>
          <w:p w14:paraId="7BB1C64A" w14:textId="77777777" w:rsidR="004F7B02" w:rsidRDefault="004F7B02"/>
          <w:p w14:paraId="6E110F0C" w14:textId="77777777" w:rsidR="004F7B02" w:rsidRDefault="004F7B02"/>
          <w:p w14:paraId="1F7B3D77" w14:textId="77777777" w:rsidR="004F7B02" w:rsidRDefault="004F7B02"/>
          <w:p w14:paraId="55F1CCAE" w14:textId="77777777" w:rsidR="004F7B02" w:rsidRDefault="004F7B02"/>
        </w:tc>
        <w:tc>
          <w:tcPr>
            <w:tcW w:w="415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38460FDF" w14:textId="77777777" w:rsidR="004F7B02" w:rsidRDefault="00000000">
            <w:r>
              <w:t>Educational inequality can be corrected through the development of relational leadership, collective capacity building, and political action of traditionally disempowered groups (Apple, 2019; Nygreen, 2016; Welton &amp; Freelon, 2018; Ishimaru, 2013). It does so through centering ‘participatory democracy and self-determination’ of community members to build the collective relational power that is necessary to compel and to hold unresponsive decision-makers to account (Nygreen, 2016, p.208; Nygreen, 2017b; Ishimaru, 2018; Welton &amp; Freelon, 2018, Gold et al., 2002, Renée &amp; McAlister 2011; Goessling et al. 2024; Glickman &amp; Scally 2008).</w:t>
            </w:r>
          </w:p>
        </w:tc>
      </w:tr>
      <w:tr w:rsidR="004F7B02" w14:paraId="506C329C" w14:textId="77777777">
        <w:trPr>
          <w:trHeight w:val="4995"/>
        </w:trPr>
        <w:tc>
          <w:tcPr>
            <w:tcW w:w="1440"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6E3AE521" w14:textId="77777777" w:rsidR="004F7B02" w:rsidRDefault="00000000">
            <w:pPr>
              <w:rPr>
                <w:b/>
                <w:bCs/>
              </w:rPr>
            </w:pPr>
            <w:r>
              <w:rPr>
                <w:noProof/>
              </w:rPr>
              <mc:AlternateContent>
                <mc:Choice Requires="wps">
                  <w:drawing>
                    <wp:anchor distT="114300" distB="114300" distL="114300" distR="114300" simplePos="0" relativeHeight="251660288" behindDoc="0" locked="0" layoutInCell="1" hidden="0" allowOverlap="1" wp14:anchorId="18DEFF7A" wp14:editId="247BA50B">
                      <wp:simplePos x="0" y="0"/>
                      <wp:positionH relativeFrom="column">
                        <wp:posOffset>-683101</wp:posOffset>
                      </wp:positionH>
                      <wp:positionV relativeFrom="paragraph">
                        <wp:posOffset>1313973</wp:posOffset>
                      </wp:positionV>
                      <wp:extent cx="2222183" cy="496255"/>
                      <wp:effectExtent l="0" t="0" r="0" b="0"/>
                      <wp:wrapNone/>
                      <wp:docPr id="2" name="Text Box 2"/>
                      <wp:cNvGraphicFramePr/>
                      <a:graphic xmlns:a="http://schemas.openxmlformats.org/drawingml/2006/main">
                        <a:graphicData uri="http://schemas.microsoft.com/office/word/2010/wordprocessingShape">
                          <wps:wsp>
                            <wps:cNvSpPr txBox="1"/>
                            <wps:spPr>
                              <a:xfrm rot="16200000">
                                <a:off x="0" y="0"/>
                                <a:ext cx="2222183" cy="496255"/>
                              </a:xfrm>
                              <a:prstGeom prst="rect">
                                <a:avLst/>
                              </a:prstGeom>
                              <a:noFill/>
                              <a:ln>
                                <a:noFill/>
                              </a:ln>
                            </wps:spPr>
                            <wps:txbx>
                              <w:txbxContent>
                                <w:p w14:paraId="738729E6" w14:textId="77777777" w:rsidR="004F7B02" w:rsidRDefault="00000000">
                                  <w:pPr>
                                    <w:spacing w:line="240" w:lineRule="auto"/>
                                    <w:textDirection w:val="btLr"/>
                                  </w:pPr>
                                  <w:r>
                                    <w:rPr>
                                      <w:b/>
                                      <w:color w:val="000000"/>
                                      <w:sz w:val="28"/>
                                    </w:rPr>
                                    <w:t xml:space="preserve">Theory of Knowledge </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18DEFF7A" id="Text Box 2" o:spid="_x0000_s1028" type="#_x0000_t202" style="position:absolute;margin-left:-53.8pt;margin-top:103.45pt;width:175pt;height:39.1pt;rotation:-90;z-index:251660288;visibility:visible;mso-wrap-style:square;mso-width-percent:0;mso-height-percent:0;mso-wrap-distance-left:9pt;mso-wrap-distance-top:9pt;mso-wrap-distance-right:9pt;mso-wrap-distance-bottom:9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FMvAEAAG4DAAAOAAAAZHJzL2Uyb0RvYy54bWysU8GO0zAQvSPxD5bvNE3YVrtV0xWwKkJa&#10;wUoLH+A6dmMp8ZgZt0n/nrHT7Ra4IXywPOPR83tvxuv7se/E0SA58LUsZ3MpjNfQOL+v5Y/v23e3&#10;UlBUvlEdeFPLkyF5v3n7Zj2Elamgha4xKBjE02oItWxjDKuiIN2aXtEMgvF8aQF7FTnEfdGgGhi9&#10;74pqPl8WA2ATELQh4uzDdCk3Gd9ao+M3a8lE0dWSucW8Y953aS82a7Xaowqt02ca6h9Y9Mp5fvQC&#10;9aCiEgd0f0H1TiMQ2DjT0BdgrdMma2A15fwPNc+tCiZrYXMoXGyi/wervx6fwxOKOH6EkRuYDBkC&#10;rYiTSc9osRcI7Fu5ZL95ZZlMXHA5O3q6uGjGKDQnK17l7XspNN/d3C2rxSKhFhNYAg1I8bOBXqRD&#10;LZG7lFHV8ZHiVPpSkso9bF3X5U51/rcEY6ZM8co4neK4G4VrmMmLmh00JxZJQW8dP/moKD4p5EaX&#10;Ugzc/FrSz4NCI0X3xbO7d+VNteBpuQ7wOthdB8rrFnimohTT8VPMEzZR/XCIYF2WlchNVM6cuanZ&#10;mPMApqm5jnPV6zfZ/AIAAP//AwBQSwMEFAAGAAgAAAAhAB1DArTdAAAACQEAAA8AAABkcnMvZG93&#10;bnJldi54bWxMj8FOwzAQRO9I/IO1SNyo0wChhDgVQgpCogco/QDXXpKIeB3Zbpv8PdsTHHdm9Ham&#10;Wk9uEEcMsfekYLnIQCAZb3tqFey+mpsViJg0WT14QgUzRljXlxeVLq0/0Scet6kVDKFYagVdSmMp&#10;ZTQdOh0XfkRi79sHpxOfoZU26BPD3SDzLCuk0z3xh06P+NKh+dkenII7/9Z8eG1n8/762BQmzLuN&#10;75W6vpqen0AknNJfGM71uTrU3GnvD2SjGBTkq1tOKnhY8qSznxX3IPYMz1mRdSX/L6h/AQAA//8D&#10;AFBLAQItABQABgAIAAAAIQC2gziS/gAAAOEBAAATAAAAAAAAAAAAAAAAAAAAAABbQ29udGVudF9U&#10;eXBlc10ueG1sUEsBAi0AFAAGAAgAAAAhADj9If/WAAAAlAEAAAsAAAAAAAAAAAAAAAAALwEAAF9y&#10;ZWxzLy5yZWxzUEsBAi0AFAAGAAgAAAAhAGMrMUy8AQAAbgMAAA4AAAAAAAAAAAAAAAAALgIAAGRy&#10;cy9lMm9Eb2MueG1sUEsBAi0AFAAGAAgAAAAhAB1DArTdAAAACQEAAA8AAAAAAAAAAAAAAAAAFgQA&#10;AGRycy9kb3ducmV2LnhtbFBLBQYAAAAABAAEAPMAAAAgBQAAAAA=&#10;" filled="f" stroked="f">
                      <v:textbox inset="2.53958mm,2.53958mm,2.53958mm,2.53958mm">
                        <w:txbxContent>
                          <w:p w14:paraId="738729E6" w14:textId="77777777" w:rsidR="004F7B02" w:rsidRDefault="00000000">
                            <w:pPr>
                              <w:spacing w:line="240" w:lineRule="auto"/>
                              <w:textDirection w:val="btLr"/>
                            </w:pPr>
                            <w:r>
                              <w:rPr>
                                <w:b/>
                                <w:color w:val="000000"/>
                                <w:sz w:val="28"/>
                              </w:rPr>
                              <w:t xml:space="preserve">Theory of Knowledge </w:t>
                            </w:r>
                          </w:p>
                        </w:txbxContent>
                      </v:textbox>
                    </v:shape>
                  </w:pict>
                </mc:Fallback>
              </mc:AlternateContent>
            </w:r>
          </w:p>
        </w:tc>
        <w:tc>
          <w:tcPr>
            <w:tcW w:w="376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6475134E" w14:textId="3669CDB4" w:rsidR="004F7B02" w:rsidRDefault="00000000">
            <w:r>
              <w:t xml:space="preserve">Educational improvement is achieved through bringing in external </w:t>
            </w:r>
            <w:proofErr w:type="spellStart"/>
            <w:r>
              <w:t>specialised</w:t>
            </w:r>
            <w:proofErr w:type="spellEnd"/>
            <w:r>
              <w:t xml:space="preserve"> technical expertise (Freelon, 2022). Experience from the corporate sector is often more highly regarded than that of professional educators (Nygreen, 2016, p.211). Taking what Khalifa</w:t>
            </w:r>
            <w:r w:rsidR="004E2312">
              <w:t xml:space="preserve"> et al. (2014)</w:t>
            </w:r>
            <w:r>
              <w:t xml:space="preserve"> </w:t>
            </w:r>
            <w:r w:rsidR="004E2312">
              <w:t>call</w:t>
            </w:r>
            <w:r>
              <w:t xml:space="preserve"> a ‘technical-rational perspective’, one that purports to be value-neutral, this paradigm </w:t>
            </w:r>
            <w:proofErr w:type="spellStart"/>
            <w:r>
              <w:t>centres</w:t>
            </w:r>
            <w:proofErr w:type="spellEnd"/>
            <w:r>
              <w:t xml:space="preserve"> quantitative metrics of performance while ignoring the historical and political context and inherent power dynamics (Freelon, 2022; Khalifa et al., 2014, cited in Ishimaru, 2018, p.548; Ishimaru, 2013) </w:t>
            </w:r>
          </w:p>
          <w:p w14:paraId="7A727BF6" w14:textId="77777777" w:rsidR="004F7B02" w:rsidRDefault="004F7B02"/>
        </w:tc>
        <w:tc>
          <w:tcPr>
            <w:tcW w:w="415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150A8A66" w14:textId="77777777" w:rsidR="004F7B02" w:rsidRDefault="00000000">
            <w:r>
              <w:t xml:space="preserve">The experiential knowledge that </w:t>
            </w:r>
            <w:proofErr w:type="spellStart"/>
            <w:r>
              <w:t>marginalised</w:t>
            </w:r>
            <w:proofErr w:type="spellEnd"/>
            <w:r>
              <w:t xml:space="preserve"> communities possess is acknowledged and valued. This approach elevates the ‘popular knowledge’ of parents in their local context and experience of oppression in education decision-making (Nygreen, 2016; Nygreen, 2017a, p.306; Ishimaru, 2018; Welton &amp; Freelon, 2018; Freelon, 2022, Gold et al. 2002). An element of educational justice is viewed as a struggle over whose knowledge is valued, seeking equal standing for parent voice compared to the voices of technical experts (Nygreen, 2016; Nygreen, 2017a). </w:t>
            </w:r>
          </w:p>
        </w:tc>
      </w:tr>
    </w:tbl>
    <w:p w14:paraId="61DE766B" w14:textId="77777777" w:rsidR="004F7B02" w:rsidRDefault="004F7B02">
      <w:pPr>
        <w:rPr>
          <w:highlight w:val="white"/>
        </w:rPr>
      </w:pPr>
    </w:p>
    <w:p w14:paraId="26EAD882" w14:textId="77777777" w:rsidR="003C666D" w:rsidRDefault="003C666D">
      <w:pPr>
        <w:rPr>
          <w:highlight w:val="white"/>
        </w:rPr>
      </w:pPr>
    </w:p>
    <w:p w14:paraId="59EBDAFC" w14:textId="77777777" w:rsidR="003C666D" w:rsidRDefault="003C666D">
      <w:pPr>
        <w:rPr>
          <w:highlight w:val="white"/>
        </w:rPr>
      </w:pPr>
    </w:p>
    <w:p w14:paraId="625F7E71" w14:textId="77777777" w:rsidR="003C666D" w:rsidRDefault="003C666D">
      <w:pPr>
        <w:rPr>
          <w:highlight w:val="white"/>
        </w:rPr>
      </w:pPr>
    </w:p>
    <w:p w14:paraId="22F7ECBD" w14:textId="77777777" w:rsidR="003C666D" w:rsidRDefault="003C666D">
      <w:pPr>
        <w:rPr>
          <w:highlight w:val="white"/>
        </w:rPr>
      </w:pPr>
    </w:p>
    <w:p w14:paraId="2E71C85B" w14:textId="77777777" w:rsidR="004F7B02" w:rsidRDefault="004F7B02"/>
    <w:p w14:paraId="5E200A99" w14:textId="77777777" w:rsidR="004F7B02" w:rsidRDefault="00000000">
      <w:pPr>
        <w:numPr>
          <w:ilvl w:val="0"/>
          <w:numId w:val="5"/>
        </w:numPr>
        <w:rPr>
          <w:b/>
          <w:bCs/>
          <w:highlight w:val="white"/>
        </w:rPr>
      </w:pPr>
      <w:r>
        <w:rPr>
          <w:b/>
          <w:bCs/>
          <w:highlight w:val="white"/>
        </w:rPr>
        <w:lastRenderedPageBreak/>
        <w:t>The Educational Justice Landscape</w:t>
      </w:r>
    </w:p>
    <w:p w14:paraId="0E436AA0" w14:textId="77777777" w:rsidR="004F7B02" w:rsidRDefault="004F7B02">
      <w:pPr>
        <w:ind w:left="720"/>
        <w:rPr>
          <w:b/>
          <w:bCs/>
          <w:highlight w:val="white"/>
        </w:rPr>
      </w:pPr>
    </w:p>
    <w:p w14:paraId="4B5E23D6" w14:textId="7C1E5A5C" w:rsidR="004F7B02" w:rsidRDefault="00000000">
      <w:pPr>
        <w:rPr>
          <w:highlight w:val="white"/>
        </w:rPr>
      </w:pPr>
      <w:r>
        <w:rPr>
          <w:highlight w:val="white"/>
        </w:rPr>
        <w:t>Urban communities across the United States seek to address systemic educational inequalities, driven by historical disinvestment and the neoliberal reform agenda</w:t>
      </w:r>
      <w:r w:rsidR="00716B2C">
        <w:rPr>
          <w:highlight w:val="white"/>
        </w:rPr>
        <w:t>. These inequalities</w:t>
      </w:r>
      <w:r>
        <w:rPr>
          <w:highlight w:val="white"/>
        </w:rPr>
        <w:t xml:space="preserve"> are </w:t>
      </w:r>
      <w:r w:rsidR="00716B2C">
        <w:rPr>
          <w:highlight w:val="white"/>
        </w:rPr>
        <w:t>exacerbated by poor political accountability in decision-making spaces and have profound and deleterious impacts on local communities, resulting in</w:t>
      </w:r>
      <w:r>
        <w:rPr>
          <w:highlight w:val="white"/>
        </w:rPr>
        <w:t xml:space="preserve"> both physical and social decline (Zachary &amp; Olatoye, 2001; Freelon, 2022; Welton &amp; Freelon, 2018). The loss of local institutions and infrastructure often translates into limited employment opportunities and high poverty rates (Freelon, 2022; Glickman &amp; Scally, 2008; Wilson et al., 2023). This drives inequalities in the education system, visible in inequitable resource distribution leading to poor quality facilities and high staff turnover (Zachary &amp; Olatoye, 2001; Mediratta et al., 2002; Gold et al., 2004). The landscape of systemic inequality maps onto the socioeconomic and racial composition of local communities, where low-income communities of </w:t>
      </w:r>
      <w:proofErr w:type="spellStart"/>
      <w:r>
        <w:rPr>
          <w:highlight w:val="white"/>
        </w:rPr>
        <w:t>colour</w:t>
      </w:r>
      <w:proofErr w:type="spellEnd"/>
      <w:r>
        <w:rPr>
          <w:highlight w:val="white"/>
        </w:rPr>
        <w:t xml:space="preserve"> are impacted disproportionately (Ishimaru, 2018; González, 2015; Wilson et al., 2023; Nygreen, 2016; Zachary &amp; Olatoye, 2001; Glickman &amp; Scally, 2008). </w:t>
      </w:r>
    </w:p>
    <w:p w14:paraId="7591ACEB" w14:textId="77777777" w:rsidR="004F7B02" w:rsidRDefault="004F7B02">
      <w:pPr>
        <w:rPr>
          <w:highlight w:val="white"/>
        </w:rPr>
      </w:pPr>
    </w:p>
    <w:p w14:paraId="70A3ADF3" w14:textId="77777777" w:rsidR="004F7B02" w:rsidRDefault="00000000">
      <w:pPr>
        <w:rPr>
          <w:highlight w:val="white"/>
        </w:rPr>
      </w:pPr>
      <w:r>
        <w:rPr>
          <w:highlight w:val="white"/>
        </w:rPr>
        <w:t xml:space="preserve">These factors coalesce to produce educational achievement gaps, leading to high dropout rates, which whittle away at school attendance (González, 2015; Glickman &amp; Scally, 2008). School districts often use falling student numbers as a justification for school closures (Freelon, 2022). The closure and consolidation of urban schools is a key tool of the neoliberal education reform agenda (Welton &amp; Freelon, 2018). The literature shows that school districts have resorted to closing hundreds of schools and that these closures displace students and their families, fracturing low-income communities of </w:t>
      </w:r>
      <w:proofErr w:type="spellStart"/>
      <w:r>
        <w:rPr>
          <w:highlight w:val="white"/>
        </w:rPr>
        <w:t>colour</w:t>
      </w:r>
      <w:proofErr w:type="spellEnd"/>
      <w:r>
        <w:rPr>
          <w:highlight w:val="white"/>
        </w:rPr>
        <w:t xml:space="preserve"> already suffering from disinvestment (Freelon, 2022, Glickman &amp; Scally, 2008; </w:t>
      </w:r>
      <w:r>
        <w:t xml:space="preserve">Goessling et al., 2024; </w:t>
      </w:r>
      <w:r>
        <w:rPr>
          <w:highlight w:val="white"/>
        </w:rPr>
        <w:t>Wilson et al., 2023; Ramos &amp; Jani 2025; Ishimaru, 2018; Welton &amp; Freelon, 2018). The closing of public schools in Philadelphia, Chicago, and Detroit has reshaped the sector around a for-profit model and advanced the pressures of gentrification (</w:t>
      </w:r>
      <w:r>
        <w:t xml:space="preserve">Freelon 2022; Welton &amp; Freelon 2018; Goessling et al. 2024; </w:t>
      </w:r>
      <w:r>
        <w:rPr>
          <w:highlight w:val="white"/>
        </w:rPr>
        <w:t xml:space="preserve">Wilson et al., 2023). </w:t>
      </w:r>
    </w:p>
    <w:p w14:paraId="525549C6" w14:textId="77777777" w:rsidR="004F7B02" w:rsidRDefault="004F7B02"/>
    <w:p w14:paraId="2CFC0C92" w14:textId="6D5C74CE" w:rsidR="004F7B02" w:rsidRDefault="00000000">
      <w:r>
        <w:t>The scholarship offers a diagnosis of the political causes of this trend. Zachary &amp; O</w:t>
      </w:r>
      <w:r w:rsidR="00BC05D5">
        <w:t>l</w:t>
      </w:r>
      <w:r>
        <w:t>atoy</w:t>
      </w:r>
      <w:r w:rsidR="00BC05D5">
        <w:t>e</w:t>
      </w:r>
      <w:r>
        <w:t xml:space="preserve"> (2001) blame a chronic lack of political will to address the systemic failures leading to inequality in the distribution of educational resources. </w:t>
      </w:r>
      <w:r>
        <w:rPr>
          <w:highlight w:val="white"/>
        </w:rPr>
        <w:t xml:space="preserve">Others view neoliberal reform as part of a larger scheme to disinvest in essential resources to undermine public education and prepare low-income </w:t>
      </w:r>
      <w:proofErr w:type="spellStart"/>
      <w:r>
        <w:rPr>
          <w:highlight w:val="white"/>
        </w:rPr>
        <w:t>neighbourhoods</w:t>
      </w:r>
      <w:proofErr w:type="spellEnd"/>
      <w:r>
        <w:rPr>
          <w:highlight w:val="white"/>
        </w:rPr>
        <w:t xml:space="preserve"> for greater gentrification and </w:t>
      </w:r>
      <w:proofErr w:type="spellStart"/>
      <w:r>
        <w:rPr>
          <w:highlight w:val="white"/>
        </w:rPr>
        <w:t>privatisation</w:t>
      </w:r>
      <w:proofErr w:type="spellEnd"/>
      <w:r>
        <w:rPr>
          <w:highlight w:val="white"/>
        </w:rPr>
        <w:t xml:space="preserve"> (</w:t>
      </w:r>
      <w:r>
        <w:t>Welton and Freelon, 2018</w:t>
      </w:r>
      <w:r>
        <w:rPr>
          <w:highlight w:val="white"/>
        </w:rPr>
        <w:t xml:space="preserve">; </w:t>
      </w:r>
      <w:r>
        <w:t>Goessling et al., 2024).</w:t>
      </w:r>
      <w:r>
        <w:rPr>
          <w:color w:val="303030"/>
          <w:sz w:val="21"/>
          <w:szCs w:val="21"/>
          <w:highlight w:val="white"/>
        </w:rPr>
        <w:t xml:space="preserve"> </w:t>
      </w:r>
      <w:r w:rsidR="00716B2C">
        <w:rPr>
          <w:highlight w:val="white"/>
        </w:rPr>
        <w:t>P</w:t>
      </w:r>
      <w:r>
        <w:rPr>
          <w:highlight w:val="white"/>
        </w:rPr>
        <w:t>roponents of neoliberal reform have attempted to frame school closures as an opportunity for an enhanced free market choice between new for-profit schools, even framing this market-based choice as a ‘civil right’</w:t>
      </w:r>
      <w:r w:rsidR="00716B2C">
        <w:rPr>
          <w:highlight w:val="white"/>
        </w:rPr>
        <w:t xml:space="preserve"> (Ramos &amp; Jani, 2025, p.55). Scholars argue that</w:t>
      </w:r>
      <w:r>
        <w:rPr>
          <w:highlight w:val="white"/>
        </w:rPr>
        <w:t xml:space="preserve"> this ‘masks material exclusion with symbolic </w:t>
      </w:r>
      <w:proofErr w:type="gramStart"/>
      <w:r w:rsidR="00716B2C">
        <w:rPr>
          <w:highlight w:val="white"/>
        </w:rPr>
        <w:t>inclusion’,</w:t>
      </w:r>
      <w:proofErr w:type="gramEnd"/>
      <w:r>
        <w:rPr>
          <w:highlight w:val="white"/>
        </w:rPr>
        <w:t xml:space="preserve"> while ensuring the ‘shared disposability and precarity’ of teachers, students, and their familie</w:t>
      </w:r>
      <w:r>
        <w:t>s</w:t>
      </w:r>
      <w:r w:rsidR="00716B2C">
        <w:t xml:space="preserve"> (</w:t>
      </w:r>
      <w:r w:rsidR="00716B2C">
        <w:rPr>
          <w:highlight w:val="white"/>
        </w:rPr>
        <w:t>Ramos &amp; Jani, 2025, p.55</w:t>
      </w:r>
      <w:r w:rsidR="00716B2C">
        <w:t>)</w:t>
      </w:r>
      <w:r>
        <w:t xml:space="preserve">. The school systems studied are often bureaucratic and resistant to outside pressure, accountability, and change (Mediratta et al., 2002). The decision-making processes are designed to avoid public scrutiny, and communities feel shut out by school leaders or district officials (Zachary &amp; Olatoye, 2001; Kamber, 2002; Ishimaru, 2014). </w:t>
      </w:r>
    </w:p>
    <w:p w14:paraId="5C7AF622" w14:textId="77777777" w:rsidR="004F7B02" w:rsidRDefault="004F7B02">
      <w:pPr>
        <w:rPr>
          <w:highlight w:val="white"/>
        </w:rPr>
      </w:pPr>
    </w:p>
    <w:p w14:paraId="74415FEC" w14:textId="77777777" w:rsidR="004F7B02" w:rsidRDefault="00000000">
      <w:pPr>
        <w:numPr>
          <w:ilvl w:val="0"/>
          <w:numId w:val="5"/>
        </w:numPr>
        <w:rPr>
          <w:b/>
          <w:bCs/>
          <w:highlight w:val="white"/>
        </w:rPr>
      </w:pPr>
      <w:proofErr w:type="spellStart"/>
      <w:r>
        <w:rPr>
          <w:b/>
          <w:bCs/>
          <w:highlight w:val="white"/>
        </w:rPr>
        <w:lastRenderedPageBreak/>
        <w:t>Organising</w:t>
      </w:r>
      <w:proofErr w:type="spellEnd"/>
      <w:r>
        <w:rPr>
          <w:b/>
          <w:bCs/>
          <w:highlight w:val="white"/>
        </w:rPr>
        <w:t xml:space="preserve"> Praxis</w:t>
      </w:r>
    </w:p>
    <w:p w14:paraId="0B09DE51" w14:textId="77777777" w:rsidR="004F7B02" w:rsidRDefault="004F7B02">
      <w:pPr>
        <w:ind w:left="720"/>
        <w:rPr>
          <w:b/>
          <w:bCs/>
          <w:highlight w:val="white"/>
        </w:rPr>
      </w:pPr>
    </w:p>
    <w:p w14:paraId="14A28D64" w14:textId="33AF02C0" w:rsidR="004F7B02" w:rsidRDefault="00000000">
      <w:pPr>
        <w:rPr>
          <w:highlight w:val="white"/>
        </w:rPr>
      </w:pPr>
      <w:proofErr w:type="spellStart"/>
      <w:r>
        <w:rPr>
          <w:highlight w:val="white"/>
        </w:rPr>
        <w:t>Organising</w:t>
      </w:r>
      <w:proofErr w:type="spellEnd"/>
      <w:r>
        <w:rPr>
          <w:highlight w:val="white"/>
        </w:rPr>
        <w:t xml:space="preserve"> follows a cyclical framework often called a cycle of action </w:t>
      </w:r>
      <w:r>
        <w:t>(Citizens UK, 2019, p. 17; Chambers, 2003)</w:t>
      </w:r>
      <w:r>
        <w:rPr>
          <w:highlight w:val="white"/>
        </w:rPr>
        <w:t xml:space="preserve">. This comprises: </w:t>
      </w:r>
    </w:p>
    <w:p w14:paraId="3B16DF24" w14:textId="77777777" w:rsidR="004F7B02" w:rsidRDefault="004F7B02">
      <w:pPr>
        <w:rPr>
          <w:highlight w:val="white"/>
        </w:rPr>
      </w:pPr>
    </w:p>
    <w:p w14:paraId="777B2930" w14:textId="77777777" w:rsidR="004F7B02" w:rsidRDefault="00000000">
      <w:pPr>
        <w:numPr>
          <w:ilvl w:val="0"/>
          <w:numId w:val="2"/>
        </w:numPr>
        <w:rPr>
          <w:highlight w:val="white"/>
        </w:rPr>
      </w:pPr>
      <w:r>
        <w:rPr>
          <w:b/>
          <w:bCs/>
          <w:highlight w:val="white"/>
        </w:rPr>
        <w:t>Building power:</w:t>
      </w:r>
      <w:r>
        <w:rPr>
          <w:highlight w:val="white"/>
        </w:rPr>
        <w:t xml:space="preserve"> the building of relationships within and across communities and the development of community leaders</w:t>
      </w:r>
    </w:p>
    <w:p w14:paraId="4AE810B8" w14:textId="77777777" w:rsidR="004F7B02" w:rsidRDefault="00000000">
      <w:pPr>
        <w:numPr>
          <w:ilvl w:val="0"/>
          <w:numId w:val="2"/>
        </w:numPr>
        <w:rPr>
          <w:highlight w:val="white"/>
        </w:rPr>
      </w:pPr>
      <w:r>
        <w:rPr>
          <w:b/>
          <w:bCs/>
        </w:rPr>
        <w:t>Listening:</w:t>
      </w:r>
      <w:r>
        <w:t xml:space="preserve"> building relationships and discerning community issues through sharing stories and experiences </w:t>
      </w:r>
    </w:p>
    <w:p w14:paraId="43D64D78" w14:textId="77777777" w:rsidR="004F7B02" w:rsidRDefault="00000000">
      <w:pPr>
        <w:numPr>
          <w:ilvl w:val="0"/>
          <w:numId w:val="2"/>
        </w:numPr>
        <w:rPr>
          <w:highlight w:val="white"/>
        </w:rPr>
      </w:pPr>
      <w:r>
        <w:rPr>
          <w:b/>
          <w:bCs/>
        </w:rPr>
        <w:t xml:space="preserve">Strategy: </w:t>
      </w:r>
      <w:r>
        <w:t>developing effective campaign strategies and the political capacity necessary to negotiate with powerholders</w:t>
      </w:r>
    </w:p>
    <w:p w14:paraId="0F66BA48" w14:textId="77777777" w:rsidR="004F7B02" w:rsidRDefault="00000000">
      <w:pPr>
        <w:numPr>
          <w:ilvl w:val="0"/>
          <w:numId w:val="2"/>
        </w:numPr>
        <w:rPr>
          <w:highlight w:val="white"/>
        </w:rPr>
      </w:pPr>
      <w:r>
        <w:rPr>
          <w:b/>
          <w:bCs/>
        </w:rPr>
        <w:t>Action:</w:t>
      </w:r>
      <w:r>
        <w:t xml:space="preserve"> </w:t>
      </w:r>
      <w:proofErr w:type="gramStart"/>
      <w:r>
        <w:t>taking action</w:t>
      </w:r>
      <w:proofErr w:type="gramEnd"/>
      <w:r>
        <w:t xml:space="preserve"> in the public arena to engage decision-makers in the pursuit of achieving change </w:t>
      </w:r>
    </w:p>
    <w:p w14:paraId="73050CC8" w14:textId="77777777" w:rsidR="004F7B02" w:rsidRDefault="00000000">
      <w:pPr>
        <w:numPr>
          <w:ilvl w:val="0"/>
          <w:numId w:val="2"/>
        </w:numPr>
        <w:rPr>
          <w:highlight w:val="white"/>
        </w:rPr>
      </w:pPr>
      <w:r>
        <w:rPr>
          <w:b/>
          <w:bCs/>
        </w:rPr>
        <w:t>Negotiation:</w:t>
      </w:r>
      <w:r>
        <w:t xml:space="preserve"> holding decision-makers to account and winning change</w:t>
      </w:r>
    </w:p>
    <w:p w14:paraId="23C85071" w14:textId="77777777" w:rsidR="004F7B02" w:rsidRDefault="00000000">
      <w:pPr>
        <w:numPr>
          <w:ilvl w:val="0"/>
          <w:numId w:val="2"/>
        </w:numPr>
      </w:pPr>
      <w:r>
        <w:rPr>
          <w:b/>
          <w:bCs/>
        </w:rPr>
        <w:t>Cycle repeats, Building Power:</w:t>
      </w:r>
      <w:r>
        <w:t xml:space="preserve"> continued learning and development of leaders, and growing the power and capacity of the community </w:t>
      </w:r>
    </w:p>
    <w:p w14:paraId="56C2B539" w14:textId="77777777" w:rsidR="004F7B02" w:rsidRDefault="004F7B02"/>
    <w:p w14:paraId="06AF3210" w14:textId="77777777" w:rsidR="004F7B02" w:rsidRDefault="00000000">
      <w:pPr>
        <w:rPr>
          <w:highlight w:val="white"/>
        </w:rPr>
      </w:pPr>
      <w:r>
        <w:rPr>
          <w:highlight w:val="white"/>
        </w:rPr>
        <w:t xml:space="preserve">Community </w:t>
      </w:r>
      <w:proofErr w:type="spellStart"/>
      <w:r>
        <w:rPr>
          <w:highlight w:val="white"/>
        </w:rPr>
        <w:t>organising</w:t>
      </w:r>
      <w:proofErr w:type="spellEnd"/>
      <w:r>
        <w:rPr>
          <w:highlight w:val="white"/>
        </w:rPr>
        <w:t xml:space="preserve"> for educational reform is fundamentally concerned with developing the capability of low-income </w:t>
      </w:r>
      <w:proofErr w:type="spellStart"/>
      <w:r>
        <w:rPr>
          <w:highlight w:val="white"/>
        </w:rPr>
        <w:t>marginalised</w:t>
      </w:r>
      <w:proofErr w:type="spellEnd"/>
      <w:r>
        <w:rPr>
          <w:highlight w:val="white"/>
        </w:rPr>
        <w:t xml:space="preserve"> communities to influence decision-making and </w:t>
      </w:r>
      <w:r>
        <w:t xml:space="preserve">reorient public education institutions towards justice and equity </w:t>
      </w:r>
      <w:r>
        <w:rPr>
          <w:highlight w:val="white"/>
        </w:rPr>
        <w:t>(Gold et al., 2004).</w:t>
      </w:r>
      <w:r>
        <w:t xml:space="preserve"> </w:t>
      </w:r>
      <w:r>
        <w:rPr>
          <w:highlight w:val="white"/>
        </w:rPr>
        <w:t xml:space="preserve">This is achieved through an </w:t>
      </w:r>
      <w:proofErr w:type="spellStart"/>
      <w:r>
        <w:rPr>
          <w:highlight w:val="white"/>
        </w:rPr>
        <w:t>organising</w:t>
      </w:r>
      <w:proofErr w:type="spellEnd"/>
      <w:r>
        <w:rPr>
          <w:highlight w:val="white"/>
        </w:rPr>
        <w:t xml:space="preserve"> strategy that </w:t>
      </w:r>
      <w:proofErr w:type="spellStart"/>
      <w:r>
        <w:rPr>
          <w:highlight w:val="white"/>
        </w:rPr>
        <w:t>prioritises</w:t>
      </w:r>
      <w:proofErr w:type="spellEnd"/>
      <w:r>
        <w:rPr>
          <w:highlight w:val="white"/>
        </w:rPr>
        <w:t xml:space="preserve"> relationship building, shared leadership, social capital, coalition building, political competency, and experiential learning through democratic engagement with decision-makers (Glickman &amp; Scally, 2008; Ishimaru, 2013; Gold et al., 2002; Kamber, 2002; Renée &amp; McAlister, 2011; Mediratta et al., 2002). </w:t>
      </w:r>
    </w:p>
    <w:p w14:paraId="0A2047F0" w14:textId="77777777" w:rsidR="004F7B02" w:rsidRDefault="004F7B02">
      <w:pPr>
        <w:rPr>
          <w:highlight w:val="white"/>
        </w:rPr>
      </w:pPr>
    </w:p>
    <w:p w14:paraId="1374778A" w14:textId="24553526" w:rsidR="004F7B02" w:rsidRDefault="00000000">
      <w:pPr>
        <w:rPr>
          <w:b/>
          <w:bCs/>
          <w:highlight w:val="white"/>
        </w:rPr>
      </w:pPr>
      <w:r>
        <w:rPr>
          <w:b/>
          <w:bCs/>
          <w:highlight w:val="white"/>
        </w:rPr>
        <w:t xml:space="preserve">Relational Listening </w:t>
      </w:r>
      <w:r w:rsidR="00C82E3E">
        <w:rPr>
          <w:b/>
          <w:bCs/>
          <w:highlight w:val="white"/>
        </w:rPr>
        <w:t>and</w:t>
      </w:r>
      <w:r>
        <w:rPr>
          <w:b/>
          <w:bCs/>
          <w:highlight w:val="white"/>
        </w:rPr>
        <w:t xml:space="preserve"> Shared Leadership </w:t>
      </w:r>
    </w:p>
    <w:p w14:paraId="761AA932" w14:textId="49B7F8B7" w:rsidR="004F7B02" w:rsidRDefault="00000000">
      <w:pPr>
        <w:rPr>
          <w:highlight w:val="white"/>
        </w:rPr>
      </w:pPr>
      <w:proofErr w:type="spellStart"/>
      <w:r>
        <w:t>Organising</w:t>
      </w:r>
      <w:proofErr w:type="spellEnd"/>
      <w:r>
        <w:t xml:space="preserve"> </w:t>
      </w:r>
      <w:proofErr w:type="spellStart"/>
      <w:r>
        <w:t>prioritises</w:t>
      </w:r>
      <w:proofErr w:type="spellEnd"/>
      <w:r>
        <w:t xml:space="preserve"> </w:t>
      </w:r>
      <w:r>
        <w:rPr>
          <w:highlight w:val="white"/>
        </w:rPr>
        <w:t>the cultivation of collective leadership capacity, shifting the definition of leadership away from an individualistic and hierarchical understanding and towards a shared, relational leadership model where power and decision-making are distributed and lived experience is valued (Glickman &amp; Scally, 2008; Welton &amp; Freelon, 2018; Ishimaru, 2013).</w:t>
      </w:r>
      <w:r>
        <w:t xml:space="preserve"> </w:t>
      </w:r>
      <w:r>
        <w:rPr>
          <w:highlight w:val="white"/>
        </w:rPr>
        <w:t xml:space="preserve">Relational leadership requires the development of a relational culture in which students, parents, teachers, and community members see themselves as collaborators who develop a broad, shared responsibility and transform power relations, centering reciprocal relationships (Gold et al., 2002; Renée &amp; McAlister, 2011; Wilson et al., 2023; Zachary &amp; Olatoye, 2001; Goessling et al., 2024; </w:t>
      </w:r>
      <w:r>
        <w:t>Welton and F</w:t>
      </w:r>
      <w:r w:rsidR="00BC05D5">
        <w:t>r</w:t>
      </w:r>
      <w:r>
        <w:t>eelon</w:t>
      </w:r>
      <w:r w:rsidR="00BC05D5">
        <w:t>,</w:t>
      </w:r>
      <w:r>
        <w:t xml:space="preserve"> 2018, p. 84). Leaders are trained in </w:t>
      </w:r>
      <w:proofErr w:type="spellStart"/>
      <w:r>
        <w:t>organising</w:t>
      </w:r>
      <w:proofErr w:type="spellEnd"/>
      <w:r>
        <w:t xml:space="preserve"> listening practices </w:t>
      </w:r>
      <w:r>
        <w:rPr>
          <w:highlight w:val="white"/>
        </w:rPr>
        <w:t xml:space="preserve">such as one-to-one relational conversations and collective </w:t>
      </w:r>
      <w:proofErr w:type="spellStart"/>
      <w:r>
        <w:rPr>
          <w:highlight w:val="white"/>
        </w:rPr>
        <w:t>neighbourhood</w:t>
      </w:r>
      <w:proofErr w:type="spellEnd"/>
      <w:r>
        <w:rPr>
          <w:highlight w:val="white"/>
        </w:rPr>
        <w:t xml:space="preserve"> walks to build mutual understanding of local issues (Gold et al., 2002; Glickman &amp; Scally, 2008). This process transforms individuals focused solely on narrow self-interest into engaged community members, focused on common interest, </w:t>
      </w:r>
      <w:r>
        <w:t>shifting self-perception from deficit to empowerment</w:t>
      </w:r>
      <w:r>
        <w:rPr>
          <w:highlight w:val="white"/>
        </w:rPr>
        <w:t xml:space="preserve"> (</w:t>
      </w:r>
      <w:r>
        <w:t xml:space="preserve">Welton &amp; Freelon, 2018; González, 2015; Ishimaru, 2018; </w:t>
      </w:r>
      <w:r>
        <w:rPr>
          <w:highlight w:val="white"/>
        </w:rPr>
        <w:t>Evans &amp; Shirley, 2008).</w:t>
      </w:r>
    </w:p>
    <w:p w14:paraId="62D27F7F" w14:textId="77777777" w:rsidR="003C666D" w:rsidRDefault="003C666D">
      <w:pPr>
        <w:rPr>
          <w:highlight w:val="white"/>
        </w:rPr>
      </w:pPr>
    </w:p>
    <w:p w14:paraId="78F22D23" w14:textId="77777777" w:rsidR="004F7B02" w:rsidRDefault="00000000">
      <w:pPr>
        <w:rPr>
          <w:highlight w:val="white"/>
        </w:rPr>
      </w:pPr>
      <w:r>
        <w:rPr>
          <w:b/>
          <w:bCs/>
          <w:highlight w:val="white"/>
        </w:rPr>
        <w:t>Building Power: Social Capital and Coalition Building</w:t>
      </w:r>
      <w:r>
        <w:rPr>
          <w:highlight w:val="white"/>
        </w:rPr>
        <w:t xml:space="preserve"> </w:t>
      </w:r>
    </w:p>
    <w:p w14:paraId="7DBA8C86" w14:textId="2E9CC1FB" w:rsidR="004F7B02" w:rsidRDefault="00000000">
      <w:pPr>
        <w:rPr>
          <w:color w:val="3D85C6"/>
          <w:highlight w:val="white"/>
        </w:rPr>
      </w:pPr>
      <w:r>
        <w:rPr>
          <w:highlight w:val="white"/>
        </w:rPr>
        <w:lastRenderedPageBreak/>
        <w:t xml:space="preserve">The development of stronger relationships builds both bonding social capital within communities and bridging social capital across groups, such as parents, teachers, unions, and community </w:t>
      </w:r>
      <w:proofErr w:type="spellStart"/>
      <w:r>
        <w:rPr>
          <w:highlight w:val="white"/>
        </w:rPr>
        <w:t>organisations</w:t>
      </w:r>
      <w:proofErr w:type="spellEnd"/>
      <w:r>
        <w:rPr>
          <w:highlight w:val="white"/>
        </w:rPr>
        <w:t>, enabling the formation of broad coalitions that expand the political legitimacy and influence of local communities</w:t>
      </w:r>
      <w:r>
        <w:t xml:space="preserve"> (Ishimaru, 2013; Glickman &amp; Scally, 2008; Gold et al., 2002; Kamber, 2002, Wilson et al., 2023)</w:t>
      </w:r>
      <w:r w:rsidR="00522840">
        <w:t>.</w:t>
      </w:r>
      <w:r>
        <w:t xml:space="preserve"> The intentional building of coalitions that span institutional, ethnic, class, and ideological boundaries is key to </w:t>
      </w:r>
      <w:proofErr w:type="spellStart"/>
      <w:r>
        <w:t>organising</w:t>
      </w:r>
      <w:proofErr w:type="spellEnd"/>
      <w:r>
        <w:t xml:space="preserve"> methodology (Apple 2019; Glickman &amp; Scally, 2008). Coalitions of institutions expand the political capital and legitimacy of ordinary people, allowing for the exertion of pressure on higher levels of political decision-making (Kamber, 2002; Renée &amp; McAlister, 2011). </w:t>
      </w:r>
      <w:r>
        <w:rPr>
          <w:highlight w:val="white"/>
        </w:rPr>
        <w:t>Political capital can be understood as the necessary ‘clout and competence a community can wield to influence public decisions’ (Mediratta, 1995, cited in Zachary &amp; Olatoye, 20</w:t>
      </w:r>
      <w:r>
        <w:t>01, p.</w:t>
      </w:r>
      <w:r w:rsidR="00522840">
        <w:t xml:space="preserve"> </w:t>
      </w:r>
      <w:r>
        <w:t>5).</w:t>
      </w:r>
      <w:r>
        <w:rPr>
          <w:highlight w:val="white"/>
        </w:rPr>
        <w:t xml:space="preserve"> </w:t>
      </w:r>
      <w:r>
        <w:t xml:space="preserve">Case studies </w:t>
      </w:r>
      <w:r>
        <w:rPr>
          <w:highlight w:val="white"/>
        </w:rPr>
        <w:t xml:space="preserve">in Chicago and Oakland document how this form of coalition building </w:t>
      </w:r>
      <w:r w:rsidR="00BC05D5">
        <w:rPr>
          <w:highlight w:val="white"/>
        </w:rPr>
        <w:t>amplifies</w:t>
      </w:r>
      <w:r>
        <w:rPr>
          <w:highlight w:val="white"/>
        </w:rPr>
        <w:t xml:space="preserve"> community challenges to school closures by </w:t>
      </w:r>
      <w:proofErr w:type="spellStart"/>
      <w:r>
        <w:rPr>
          <w:highlight w:val="white"/>
        </w:rPr>
        <w:t>organising</w:t>
      </w:r>
      <w:proofErr w:type="spellEnd"/>
      <w:r>
        <w:rPr>
          <w:highlight w:val="white"/>
        </w:rPr>
        <w:t xml:space="preserve"> parents, students, teachers, unions, and </w:t>
      </w:r>
      <w:proofErr w:type="spellStart"/>
      <w:r>
        <w:rPr>
          <w:highlight w:val="white"/>
        </w:rPr>
        <w:t>neighbourhood</w:t>
      </w:r>
      <w:proofErr w:type="spellEnd"/>
      <w:r>
        <w:rPr>
          <w:highlight w:val="white"/>
        </w:rPr>
        <w:t xml:space="preserve"> </w:t>
      </w:r>
      <w:proofErr w:type="spellStart"/>
      <w:r>
        <w:rPr>
          <w:highlight w:val="white"/>
        </w:rPr>
        <w:t>organisations</w:t>
      </w:r>
      <w:proofErr w:type="spellEnd"/>
      <w:r>
        <w:rPr>
          <w:highlight w:val="white"/>
        </w:rPr>
        <w:t xml:space="preserve"> (Welton &amp; Freelon, 2018; Ramos &amp; Jani, 2025). The literature also highlights challenges that can arise during this process. Racial and class tensions have been shown to prevent authentic solidarity between teachers, unions, and families (Welton &amp; Freelon, 2018; Ramos &amp; Jani, 2025). The lack of trust between teachers' unions and communities has hindered collective power building as teachers have interpreted parent demands for accountability as an attack on their professional competence (Zachary &amp; Olatoye, 2001; Ramos &amp; Jani, 2025).</w:t>
      </w:r>
    </w:p>
    <w:p w14:paraId="78ADF7C6" w14:textId="77777777" w:rsidR="004F7B02" w:rsidRDefault="004F7B02">
      <w:pPr>
        <w:rPr>
          <w:b/>
          <w:bCs/>
          <w:highlight w:val="white"/>
        </w:rPr>
      </w:pPr>
    </w:p>
    <w:p w14:paraId="450753F3" w14:textId="77777777" w:rsidR="004F7B02" w:rsidRDefault="00000000">
      <w:pPr>
        <w:rPr>
          <w:b/>
          <w:bCs/>
          <w:highlight w:val="white"/>
        </w:rPr>
      </w:pPr>
      <w:r>
        <w:rPr>
          <w:b/>
          <w:bCs/>
          <w:highlight w:val="white"/>
        </w:rPr>
        <w:t xml:space="preserve">Strategy: Political Competency and Community Research </w:t>
      </w:r>
    </w:p>
    <w:p w14:paraId="452C7635" w14:textId="7F72D1B1" w:rsidR="004F7B02" w:rsidRDefault="00000000">
      <w:pPr>
        <w:rPr>
          <w:highlight w:val="white"/>
        </w:rPr>
      </w:pPr>
      <w:r>
        <w:rPr>
          <w:highlight w:val="white"/>
        </w:rPr>
        <w:t xml:space="preserve">Training in </w:t>
      </w:r>
      <w:proofErr w:type="spellStart"/>
      <w:r>
        <w:rPr>
          <w:highlight w:val="white"/>
        </w:rPr>
        <w:t>organising</w:t>
      </w:r>
      <w:proofErr w:type="spellEnd"/>
      <w:r>
        <w:rPr>
          <w:highlight w:val="white"/>
        </w:rPr>
        <w:t xml:space="preserve"> research methods equips leaders with the necessary expertise and skills to negotiate with </w:t>
      </w:r>
      <w:r w:rsidR="003C666D">
        <w:rPr>
          <w:highlight w:val="white"/>
        </w:rPr>
        <w:t>powerholders</w:t>
      </w:r>
      <w:r>
        <w:rPr>
          <w:highlight w:val="white"/>
        </w:rPr>
        <w:t xml:space="preserve"> for systemic change (</w:t>
      </w:r>
      <w:r>
        <w:t>Welton &amp; Freelon, 2018)</w:t>
      </w:r>
      <w:r>
        <w:rPr>
          <w:highlight w:val="white"/>
        </w:rPr>
        <w:t xml:space="preserve">. Leaders conduct research, gathering and filtering complex data and </w:t>
      </w:r>
      <w:proofErr w:type="spellStart"/>
      <w:r>
        <w:rPr>
          <w:highlight w:val="white"/>
        </w:rPr>
        <w:t>analysing</w:t>
      </w:r>
      <w:proofErr w:type="spellEnd"/>
      <w:r>
        <w:rPr>
          <w:highlight w:val="white"/>
        </w:rPr>
        <w:t xml:space="preserve"> the political terrain </w:t>
      </w:r>
      <w:proofErr w:type="gramStart"/>
      <w:r>
        <w:rPr>
          <w:highlight w:val="white"/>
        </w:rPr>
        <w:t>in order to</w:t>
      </w:r>
      <w:proofErr w:type="gramEnd"/>
      <w:r>
        <w:rPr>
          <w:highlight w:val="white"/>
        </w:rPr>
        <w:t xml:space="preserve"> formulate a strategy to develop their demands and message (Renée &amp; McAlister, 2011; Mediratta et al., 2002). The creative use of strategic actions such as commissioning and distributing formal reports to decision-makers and the media, gathering quantitative data showing systemic failures, or </w:t>
      </w:r>
      <w:r w:rsidR="007D3A1E">
        <w:rPr>
          <w:highlight w:val="white"/>
        </w:rPr>
        <w:t xml:space="preserve">the </w:t>
      </w:r>
      <w:r>
        <w:rPr>
          <w:highlight w:val="white"/>
        </w:rPr>
        <w:t>compiling</w:t>
      </w:r>
      <w:r w:rsidR="007D3A1E">
        <w:rPr>
          <w:highlight w:val="white"/>
        </w:rPr>
        <w:t xml:space="preserve"> of</w:t>
      </w:r>
      <w:r>
        <w:rPr>
          <w:highlight w:val="white"/>
        </w:rPr>
        <w:t xml:space="preserve"> incident reports</w:t>
      </w:r>
      <w:r w:rsidR="007D3A1E">
        <w:rPr>
          <w:highlight w:val="white"/>
        </w:rPr>
        <w:t>,</w:t>
      </w:r>
      <w:r>
        <w:rPr>
          <w:highlight w:val="white"/>
        </w:rPr>
        <w:t xml:space="preserve"> gives leaders, </w:t>
      </w:r>
      <w:r>
        <w:t>even those with lower literacy or linguistic barriers,</w:t>
      </w:r>
      <w:r>
        <w:rPr>
          <w:highlight w:val="white"/>
        </w:rPr>
        <w:t xml:space="preserve"> the technical and political competency necessary to effectively critique institutional practice and identify the right questions to ask to hold decision-makers to account (Zachary &amp; Olatoye, 2001; Gold et al., 2002; </w:t>
      </w:r>
      <w:r>
        <w:t>Evans &amp; Shirley, 2008). L</w:t>
      </w:r>
      <w:r>
        <w:rPr>
          <w:highlight w:val="white"/>
        </w:rPr>
        <w:t xml:space="preserve">eaders draw together the social knowledge they have gathered through experience and listening, their newly acquired technical knowledge that is usually held by professionals, and the practical ability to apply knowledge into action (Evans &amp; Shirley, 2008; Glickman &amp; Scally, 2008). </w:t>
      </w:r>
      <w:r>
        <w:t xml:space="preserve">For example, the Padres y </w:t>
      </w:r>
      <w:proofErr w:type="spellStart"/>
      <w:r>
        <w:t>Jóvenes</w:t>
      </w:r>
      <w:proofErr w:type="spellEnd"/>
      <w:r>
        <w:t xml:space="preserve"> Unidos campaign in Denver used training to help low-income Latino parents to gain the knowledge needed to </w:t>
      </w:r>
      <w:proofErr w:type="spellStart"/>
      <w:r>
        <w:t>analyse</w:t>
      </w:r>
      <w:proofErr w:type="spellEnd"/>
      <w:r>
        <w:t xml:space="preserve"> educational data and create a shared vision for reform (González, 2015). </w:t>
      </w:r>
      <w:r>
        <w:rPr>
          <w:highlight w:val="white"/>
        </w:rPr>
        <w:t xml:space="preserve">Speer (2015) describes this as cognitive empowerment: community members learning how the systems that impact their lives work and how to influence them. </w:t>
      </w:r>
    </w:p>
    <w:p w14:paraId="55BF9C6E" w14:textId="77777777" w:rsidR="004F7B02" w:rsidRDefault="004F7B02">
      <w:pPr>
        <w:rPr>
          <w:highlight w:val="white"/>
        </w:rPr>
      </w:pPr>
    </w:p>
    <w:p w14:paraId="32E1053F" w14:textId="77777777" w:rsidR="004F7B02" w:rsidRDefault="00000000">
      <w:pPr>
        <w:rPr>
          <w:b/>
          <w:bCs/>
          <w:highlight w:val="white"/>
        </w:rPr>
      </w:pPr>
      <w:proofErr w:type="gramStart"/>
      <w:r>
        <w:rPr>
          <w:b/>
          <w:bCs/>
          <w:highlight w:val="white"/>
        </w:rPr>
        <w:t>Taking Action</w:t>
      </w:r>
      <w:proofErr w:type="gramEnd"/>
    </w:p>
    <w:p w14:paraId="7D932131" w14:textId="5869B48E" w:rsidR="004F7B02" w:rsidRDefault="00000000">
      <w:pPr>
        <w:rPr>
          <w:highlight w:val="white"/>
        </w:rPr>
      </w:pPr>
      <w:r>
        <w:rPr>
          <w:highlight w:val="white"/>
        </w:rPr>
        <w:t xml:space="preserve">Through diverse actions and engagement in public meetings, community members develop their confidence and leadership skills through articulating their experience to </w:t>
      </w:r>
      <w:r w:rsidR="00BC05D5">
        <w:rPr>
          <w:highlight w:val="white"/>
        </w:rPr>
        <w:t>powerholders</w:t>
      </w:r>
      <w:r>
        <w:rPr>
          <w:highlight w:val="white"/>
        </w:rPr>
        <w:t xml:space="preserve"> (Welton &amp; Freelon, 2018).</w:t>
      </w:r>
      <w:r>
        <w:t xml:space="preserve"> </w:t>
      </w:r>
      <w:r>
        <w:rPr>
          <w:highlight w:val="white"/>
        </w:rPr>
        <w:t xml:space="preserve">The </w:t>
      </w:r>
      <w:proofErr w:type="spellStart"/>
      <w:r>
        <w:rPr>
          <w:highlight w:val="white"/>
        </w:rPr>
        <w:t>organising</w:t>
      </w:r>
      <w:proofErr w:type="spellEnd"/>
      <w:r>
        <w:rPr>
          <w:highlight w:val="white"/>
        </w:rPr>
        <w:t xml:space="preserve"> approach is fundamentally different from traditional </w:t>
      </w:r>
      <w:r>
        <w:rPr>
          <w:highlight w:val="white"/>
        </w:rPr>
        <w:lastRenderedPageBreak/>
        <w:t>forms of parental involvement in schools, such as joining the</w:t>
      </w:r>
      <w:r w:rsidR="002B7B3A">
        <w:rPr>
          <w:highlight w:val="white"/>
        </w:rPr>
        <w:t xml:space="preserve"> parent-teacher association</w:t>
      </w:r>
      <w:r>
        <w:rPr>
          <w:highlight w:val="white"/>
        </w:rPr>
        <w:t xml:space="preserve"> </w:t>
      </w:r>
      <w:r w:rsidR="002B7B3A">
        <w:rPr>
          <w:highlight w:val="white"/>
        </w:rPr>
        <w:t>(</w:t>
      </w:r>
      <w:r>
        <w:rPr>
          <w:highlight w:val="white"/>
        </w:rPr>
        <w:t>PTA</w:t>
      </w:r>
      <w:r w:rsidR="002B7B3A">
        <w:rPr>
          <w:highlight w:val="white"/>
        </w:rPr>
        <w:t>)</w:t>
      </w:r>
      <w:r>
        <w:rPr>
          <w:highlight w:val="white"/>
        </w:rPr>
        <w:t xml:space="preserve"> or fundraising, which are often controlled by the school (Zachary &amp; Olatoye, 2001; </w:t>
      </w:r>
      <w:r>
        <w:t>Welton &amp; Freelon, 2018).</w:t>
      </w:r>
      <w:r>
        <w:rPr>
          <w:highlight w:val="white"/>
        </w:rPr>
        <w:t xml:space="preserve"> </w:t>
      </w:r>
      <w:r>
        <w:t xml:space="preserve">Traditional forms of parental involvement in their child's education often are not enough to counter the structural challenges of poverty (Gonzales 2015, p. 21). </w:t>
      </w:r>
      <w:r>
        <w:rPr>
          <w:highlight w:val="white"/>
        </w:rPr>
        <w:t xml:space="preserve">Communities compel decision-makers to </w:t>
      </w:r>
      <w:r>
        <w:t xml:space="preserve">appear at accountability sessions or demonstrations where they must respond publicly to community demands </w:t>
      </w:r>
      <w:r>
        <w:rPr>
          <w:highlight w:val="white"/>
        </w:rPr>
        <w:t xml:space="preserve">through a variety of tactics and actions ranging from research campaigns to engagement in the formal political process (Glickman &amp; Scally, 2008; </w:t>
      </w:r>
      <w:r>
        <w:t xml:space="preserve">Kamber, 2002). </w:t>
      </w:r>
      <w:proofErr w:type="spellStart"/>
      <w:r>
        <w:rPr>
          <w:highlight w:val="white"/>
        </w:rPr>
        <w:t>Organised</w:t>
      </w:r>
      <w:proofErr w:type="spellEnd"/>
      <w:r>
        <w:rPr>
          <w:highlight w:val="white"/>
        </w:rPr>
        <w:t xml:space="preserve"> leaders either gain access to formal power structures like school boards or district-level design teams or create spaces in which to engage with decision-makers (Ishimaru, 2018, Goessling 2024; Evans and Scally, 2008). When decision-makers refuse to meet, community members </w:t>
      </w:r>
      <w:proofErr w:type="spellStart"/>
      <w:r>
        <w:rPr>
          <w:highlight w:val="white"/>
        </w:rPr>
        <w:t>organise</w:t>
      </w:r>
      <w:proofErr w:type="spellEnd"/>
      <w:r>
        <w:rPr>
          <w:highlight w:val="white"/>
        </w:rPr>
        <w:t xml:space="preserve"> demonstrations at school board meetings, outside school district buildings,</w:t>
      </w:r>
      <w:r>
        <w:t xml:space="preserve"> or arrange student walkouts or occupations (Zachary &amp; Olatoye, 2001; Ramos &amp; Jani, 2025; Gonzales, 2015). A</w:t>
      </w:r>
      <w:r>
        <w:rPr>
          <w:highlight w:val="white"/>
        </w:rPr>
        <w:t>t Dyett High School, a group of teachers, parents, and community members engaged in a month-long hunger strike to raise public awareness and capture the attention of school officials and politicians</w:t>
      </w:r>
      <w:r w:rsidR="002B7B3A">
        <w:rPr>
          <w:highlight w:val="white"/>
        </w:rPr>
        <w:t xml:space="preserve"> (Welton &amp; Freelon, 2018)</w:t>
      </w:r>
      <w:r>
        <w:rPr>
          <w:highlight w:val="white"/>
        </w:rPr>
        <w:t>. Their action successfully forced public acknowledgment of racial inequities and</w:t>
      </w:r>
      <w:r w:rsidR="007D3A1E">
        <w:rPr>
          <w:highlight w:val="white"/>
        </w:rPr>
        <w:t xml:space="preserve"> eventually</w:t>
      </w:r>
      <w:r>
        <w:rPr>
          <w:highlight w:val="white"/>
        </w:rPr>
        <w:t xml:space="preserve"> reversed the planned closure of their school (Welton &amp; Freelon, 2018).</w:t>
      </w:r>
    </w:p>
    <w:p w14:paraId="106D56CE" w14:textId="77777777" w:rsidR="004F7B02" w:rsidRDefault="004F7B02">
      <w:pPr>
        <w:rPr>
          <w:highlight w:val="white"/>
        </w:rPr>
      </w:pPr>
    </w:p>
    <w:p w14:paraId="4DA7D601" w14:textId="5991FD7A" w:rsidR="004F7B02" w:rsidRDefault="00000000">
      <w:pPr>
        <w:rPr>
          <w:b/>
          <w:bCs/>
          <w:highlight w:val="white"/>
        </w:rPr>
      </w:pPr>
      <w:r>
        <w:rPr>
          <w:b/>
          <w:bCs/>
          <w:highlight w:val="white"/>
        </w:rPr>
        <w:t xml:space="preserve">Public Narrative </w:t>
      </w:r>
      <w:r w:rsidR="00C82E3E">
        <w:rPr>
          <w:b/>
          <w:bCs/>
          <w:highlight w:val="white"/>
        </w:rPr>
        <w:t>and</w:t>
      </w:r>
      <w:r>
        <w:rPr>
          <w:b/>
          <w:bCs/>
          <w:highlight w:val="white"/>
        </w:rPr>
        <w:t xml:space="preserve"> Transformative Resistance</w:t>
      </w:r>
    </w:p>
    <w:p w14:paraId="3AC9D4E8" w14:textId="4944E264" w:rsidR="004F7B02" w:rsidRDefault="00000000">
      <w:pPr>
        <w:rPr>
          <w:highlight w:val="white"/>
        </w:rPr>
      </w:pPr>
      <w:r>
        <w:rPr>
          <w:highlight w:val="white"/>
        </w:rPr>
        <w:t xml:space="preserve">Leaders actively disrupt the dominant narrative that positions them as passive or the cause of problems, and instead, they position themselves as </w:t>
      </w:r>
      <w:r>
        <w:t xml:space="preserve">politically engaged change agents (Gold et al., 2002; </w:t>
      </w:r>
      <w:r>
        <w:rPr>
          <w:highlight w:val="white"/>
        </w:rPr>
        <w:t xml:space="preserve">Freelon, 2022; </w:t>
      </w:r>
      <w:r w:rsidR="00BC05D5">
        <w:rPr>
          <w:highlight w:val="white"/>
        </w:rPr>
        <w:t>Ishimaru</w:t>
      </w:r>
      <w:r>
        <w:rPr>
          <w:highlight w:val="white"/>
        </w:rPr>
        <w:t xml:space="preserve">, 2018). </w:t>
      </w:r>
      <w:r>
        <w:t xml:space="preserve">Engaging in public discourse allows </w:t>
      </w:r>
      <w:proofErr w:type="spellStart"/>
      <w:r>
        <w:t>marginalised</w:t>
      </w:r>
      <w:proofErr w:type="spellEnd"/>
      <w:r>
        <w:t xml:space="preserve"> groups to insert their voice and expertise into debates often dominated by technical experts, shifting the narrative away from individual deficits to systemic failures (Freelon, 2022). </w:t>
      </w:r>
      <w:r>
        <w:rPr>
          <w:highlight w:val="white"/>
        </w:rPr>
        <w:t>Ramos &amp; Jani (2025, p.48) document how community members reclaimed and transformed the racial justice narrative</w:t>
      </w:r>
      <w:r w:rsidR="00522840">
        <w:rPr>
          <w:highlight w:val="white"/>
        </w:rPr>
        <w:t>,</w:t>
      </w:r>
      <w:r>
        <w:rPr>
          <w:highlight w:val="white"/>
        </w:rPr>
        <w:t xml:space="preserve"> as a core framework for their anti-</w:t>
      </w:r>
      <w:proofErr w:type="spellStart"/>
      <w:r>
        <w:rPr>
          <w:highlight w:val="white"/>
        </w:rPr>
        <w:t>privatisation</w:t>
      </w:r>
      <w:proofErr w:type="spellEnd"/>
      <w:r>
        <w:rPr>
          <w:highlight w:val="white"/>
        </w:rPr>
        <w:t xml:space="preserve"> campaigning</w:t>
      </w:r>
      <w:r w:rsidR="00522840">
        <w:rPr>
          <w:highlight w:val="white"/>
        </w:rPr>
        <w:t>,</w:t>
      </w:r>
      <w:r>
        <w:rPr>
          <w:highlight w:val="white"/>
        </w:rPr>
        <w:t xml:space="preserve"> by shifting the framing of the movement from ‘defending schools’ to ‘transforming schools’. This allowed them to build solidarity around a community-driven vision for school improvement, uniting teachers, unions, students, and families in the local community and working to </w:t>
      </w:r>
      <w:proofErr w:type="spellStart"/>
      <w:r>
        <w:rPr>
          <w:highlight w:val="white"/>
        </w:rPr>
        <w:t>neutralise</w:t>
      </w:r>
      <w:proofErr w:type="spellEnd"/>
      <w:r>
        <w:rPr>
          <w:highlight w:val="white"/>
        </w:rPr>
        <w:t xml:space="preserve"> neoliberal promulgations of racial justice. They generated media content that raised public awareness of how anti-Blackness facilitated </w:t>
      </w:r>
      <w:proofErr w:type="spellStart"/>
      <w:r>
        <w:rPr>
          <w:highlight w:val="white"/>
        </w:rPr>
        <w:t>privatisation</w:t>
      </w:r>
      <w:proofErr w:type="spellEnd"/>
      <w:r>
        <w:rPr>
          <w:highlight w:val="white"/>
        </w:rPr>
        <w:t xml:space="preserve">, showing the disproportionate impact of school closures on black families (Ramos &amp; Jani, 2025). The literature highlights the concept of transformative resistance: simultaneously advocating for change and framing this within a social critique of systemic racial injustice, an approach which is informed by Paulo Freire's focus on popular education, critical consciousness and empowerment (Glickman &amp; Scally, 2008; Goessling et al., 2024; Nygreen, 2016; Welton and Freelon, 2018, </w:t>
      </w:r>
      <w:r>
        <w:t>Freire, 1999</w:t>
      </w:r>
      <w:r>
        <w:rPr>
          <w:highlight w:val="white"/>
        </w:rPr>
        <w:t>). Community members engage in collective inquiry into how the problems they experience in their schools sit within a broader socio-political and economic context (Gonzalez, 2015).</w:t>
      </w:r>
    </w:p>
    <w:p w14:paraId="6BF99B60" w14:textId="77777777" w:rsidR="004F7B02" w:rsidRDefault="004F7B02">
      <w:pPr>
        <w:rPr>
          <w:highlight w:val="white"/>
        </w:rPr>
      </w:pPr>
    </w:p>
    <w:p w14:paraId="61CA9C92" w14:textId="6F6ADE50" w:rsidR="004F7B02" w:rsidRDefault="00000000">
      <w:pPr>
        <w:rPr>
          <w:b/>
          <w:bCs/>
        </w:rPr>
      </w:pPr>
      <w:r>
        <w:rPr>
          <w:b/>
          <w:bCs/>
          <w:highlight w:val="white"/>
        </w:rPr>
        <w:t xml:space="preserve">Negotiation </w:t>
      </w:r>
      <w:r w:rsidR="00C82E3E">
        <w:rPr>
          <w:b/>
          <w:bCs/>
          <w:highlight w:val="white"/>
        </w:rPr>
        <w:t>and</w:t>
      </w:r>
      <w:r>
        <w:rPr>
          <w:b/>
          <w:bCs/>
          <w:highlight w:val="white"/>
        </w:rPr>
        <w:t xml:space="preserve"> </w:t>
      </w:r>
      <w:r>
        <w:rPr>
          <w:b/>
          <w:bCs/>
        </w:rPr>
        <w:t xml:space="preserve">Accountability </w:t>
      </w:r>
    </w:p>
    <w:p w14:paraId="34E5800E" w14:textId="32143968" w:rsidR="004F7B02" w:rsidRDefault="00000000">
      <w:pPr>
        <w:rPr>
          <w:highlight w:val="white"/>
        </w:rPr>
      </w:pPr>
      <w:r>
        <w:t xml:space="preserve">Public accountability is what allows community capacity to leverage school improvement. Accountability </w:t>
      </w:r>
      <w:r>
        <w:rPr>
          <w:highlight w:val="white"/>
        </w:rPr>
        <w:t xml:space="preserve">hinges on commitments made in public spaces that obligate officials to </w:t>
      </w:r>
      <w:r w:rsidR="007D3A1E">
        <w:rPr>
          <w:highlight w:val="white"/>
        </w:rPr>
        <w:t>take ownership of</w:t>
      </w:r>
      <w:r>
        <w:rPr>
          <w:highlight w:val="white"/>
        </w:rPr>
        <w:t xml:space="preserve"> the problems facing school communities </w:t>
      </w:r>
      <w:r>
        <w:t>(Gold et al. 2002)</w:t>
      </w:r>
      <w:r>
        <w:rPr>
          <w:highlight w:val="white"/>
        </w:rPr>
        <w:t xml:space="preserve">. By bringing their agenda to the public arena, leaders bring decision-making out into the open. In these </w:t>
      </w:r>
      <w:r>
        <w:rPr>
          <w:highlight w:val="white"/>
        </w:rPr>
        <w:lastRenderedPageBreak/>
        <w:t>accountability sessions, officials are expected to listen to community concerns and formally agree to support their agenda for change (Go</w:t>
      </w:r>
      <w:r w:rsidR="007D3A1E">
        <w:rPr>
          <w:highlight w:val="white"/>
        </w:rPr>
        <w:t>es</w:t>
      </w:r>
      <w:r>
        <w:rPr>
          <w:highlight w:val="white"/>
        </w:rPr>
        <w:t>sling, 2024). This process involves a critical shift in power relations (</w:t>
      </w:r>
      <w:r>
        <w:t>Gold et al.</w:t>
      </w:r>
      <w:r w:rsidR="00130F5F">
        <w:t>,</w:t>
      </w:r>
      <w:r>
        <w:t xml:space="preserve"> 2002).</w:t>
      </w:r>
      <w:r>
        <w:rPr>
          <w:highlight w:val="white"/>
        </w:rPr>
        <w:t xml:space="preserve"> </w:t>
      </w:r>
      <w:r>
        <w:t xml:space="preserve">Communities challenge opaque governance structures and secure greater accountability from the school system (Glickman &amp; Scally, 2008; Mediratta et al., 2002; Ishimaru, 2014). </w:t>
      </w:r>
      <w:r>
        <w:rPr>
          <w:highlight w:val="white"/>
        </w:rPr>
        <w:t>To prevent successes from being reversed, communities have conducted follow-up studies and threatened further action to ensure commitments were implemented (Gold et al.</w:t>
      </w:r>
      <w:r w:rsidR="007D3A1E">
        <w:rPr>
          <w:highlight w:val="white"/>
        </w:rPr>
        <w:t>, 2002</w:t>
      </w:r>
      <w:r>
        <w:rPr>
          <w:highlight w:val="white"/>
        </w:rPr>
        <w:t xml:space="preserve">). </w:t>
      </w:r>
      <w:r>
        <w:t xml:space="preserve">Democratic participation increases in parents, a sense of collective agency, confidence, and determination </w:t>
      </w:r>
      <w:r>
        <w:rPr>
          <w:highlight w:val="white"/>
        </w:rPr>
        <w:t>(Evans &amp; Shirley, 2008; Zachary &amp; Olatoye, 2001; Ishimaru, 2013; Ishimaru, 2018).</w:t>
      </w:r>
      <w:r>
        <w:rPr>
          <w:b/>
          <w:bCs/>
          <w:highlight w:val="white"/>
        </w:rPr>
        <w:t xml:space="preserve"> </w:t>
      </w:r>
      <w:proofErr w:type="spellStart"/>
      <w:r>
        <w:rPr>
          <w:highlight w:val="white"/>
        </w:rPr>
        <w:t>Organising</w:t>
      </w:r>
      <w:proofErr w:type="spellEnd"/>
      <w:r>
        <w:rPr>
          <w:highlight w:val="white"/>
        </w:rPr>
        <w:t xml:space="preserve"> cultivates an environment for learning and growth so learning continues beyond the classroom and out into the world (Ishimaru, 2013). </w:t>
      </w:r>
      <w:r>
        <w:t xml:space="preserve">Campaigns and negotiations </w:t>
      </w:r>
      <w:r w:rsidR="00BC05D5">
        <w:t>provide additional</w:t>
      </w:r>
      <w:r>
        <w:rPr>
          <w:highlight w:val="white"/>
        </w:rPr>
        <w:t xml:space="preserve"> opportunities for development through experiential learning and the repeated practice of leadership roles (Gold et al., 2002; Gold et al., 2004; Zachary &amp; Olatoye, 2001). </w:t>
      </w:r>
    </w:p>
    <w:p w14:paraId="636E6BF4" w14:textId="77777777" w:rsidR="004F7B02" w:rsidRDefault="004F7B02">
      <w:pPr>
        <w:rPr>
          <w:highlight w:val="white"/>
        </w:rPr>
      </w:pPr>
    </w:p>
    <w:p w14:paraId="1E306BCD" w14:textId="77777777" w:rsidR="004F7B02" w:rsidRDefault="00000000">
      <w:pPr>
        <w:rPr>
          <w:highlight w:val="white"/>
        </w:rPr>
      </w:pPr>
      <w:r>
        <w:rPr>
          <w:highlight w:val="white"/>
        </w:rPr>
        <w:t xml:space="preserve">The accountability process has also resulted in personnel changes in schools or at the district level, ensuring principals or officials responsible for failure were replaced (Zachary &amp; Olatoye, 2001; </w:t>
      </w:r>
      <w:r>
        <w:t>Glickman &amp; Scally, 2008</w:t>
      </w:r>
      <w:r>
        <w:rPr>
          <w:highlight w:val="white"/>
        </w:rPr>
        <w:t xml:space="preserve">). </w:t>
      </w:r>
      <w:proofErr w:type="spellStart"/>
      <w:r>
        <w:rPr>
          <w:highlight w:val="white"/>
        </w:rPr>
        <w:t>Organised</w:t>
      </w:r>
      <w:proofErr w:type="spellEnd"/>
      <w:r>
        <w:rPr>
          <w:highlight w:val="white"/>
        </w:rPr>
        <w:t xml:space="preserve"> communities worked to influence the selection of replacements, demanding greater community participation and representation in school governance and decision-making structures (Glickman &amp; Scalley, 2008). </w:t>
      </w:r>
      <w:r>
        <w:t xml:space="preserve">Goessling (et al., 2024) documents how transformative community-driven education builds accountability from the ground up, shifting power by developing processes and metrics of accountability. In Denver, community-driven policy change pushed schools to establish discipline committees made up of students, parents, and staff who redeveloped and monitored a new discipline policy that led to fewer detentions and expulsions </w:t>
      </w:r>
      <w:r>
        <w:rPr>
          <w:highlight w:val="white"/>
        </w:rPr>
        <w:t xml:space="preserve">(Gonzalez, 2015). </w:t>
      </w:r>
      <w:r>
        <w:t xml:space="preserve">This challenges traditional hierarchical relationships by shifting roles and expectations, positioning parents as leaders and experts in their children and communities </w:t>
      </w:r>
      <w:r>
        <w:rPr>
          <w:highlight w:val="white"/>
        </w:rPr>
        <w:t xml:space="preserve">(Ishimaru, 2018; Welton &amp; Freelon, 2018). </w:t>
      </w:r>
    </w:p>
    <w:p w14:paraId="42A44A20" w14:textId="77777777" w:rsidR="004F7B02" w:rsidRDefault="004F7B02"/>
    <w:p w14:paraId="33BC7F5F" w14:textId="77777777" w:rsidR="004F7B02" w:rsidRDefault="00000000">
      <w:pPr>
        <w:numPr>
          <w:ilvl w:val="0"/>
          <w:numId w:val="5"/>
        </w:numPr>
        <w:shd w:val="clear" w:color="auto" w:fill="FFFFFF"/>
        <w:rPr>
          <w:b/>
          <w:bCs/>
        </w:rPr>
      </w:pPr>
      <w:r>
        <w:rPr>
          <w:b/>
          <w:bCs/>
        </w:rPr>
        <w:t xml:space="preserve">The Challenges of </w:t>
      </w:r>
      <w:proofErr w:type="spellStart"/>
      <w:r>
        <w:rPr>
          <w:b/>
          <w:bCs/>
        </w:rPr>
        <w:t>Organising</w:t>
      </w:r>
      <w:proofErr w:type="spellEnd"/>
      <w:r>
        <w:rPr>
          <w:b/>
          <w:bCs/>
        </w:rPr>
        <w:t xml:space="preserve"> </w:t>
      </w:r>
    </w:p>
    <w:p w14:paraId="616F3FDE" w14:textId="77777777" w:rsidR="004F7B02" w:rsidRDefault="004F7B02">
      <w:pPr>
        <w:shd w:val="clear" w:color="auto" w:fill="FFFFFF"/>
        <w:ind w:left="720"/>
        <w:rPr>
          <w:b/>
          <w:bCs/>
        </w:rPr>
      </w:pPr>
    </w:p>
    <w:p w14:paraId="03F2181F" w14:textId="77777777" w:rsidR="004F7B02" w:rsidRDefault="00000000">
      <w:pPr>
        <w:shd w:val="clear" w:color="auto" w:fill="FFFFFF"/>
      </w:pPr>
      <w:r>
        <w:t xml:space="preserve">As well as providing a rich understanding of effective </w:t>
      </w:r>
      <w:proofErr w:type="spellStart"/>
      <w:r>
        <w:t>organising</w:t>
      </w:r>
      <w:proofErr w:type="spellEnd"/>
      <w:r>
        <w:t xml:space="preserve"> methods, the literature documents how </w:t>
      </w:r>
      <w:proofErr w:type="spellStart"/>
      <w:r>
        <w:t>organising</w:t>
      </w:r>
      <w:proofErr w:type="spellEnd"/>
      <w:r>
        <w:t xml:space="preserve"> efforts can be fraught with challenges, particularly as they attempt to exert influence on entrenched systems supported by powerful political and financial interests (Apple, 2019; Kamber, 2002). The challenges of community </w:t>
      </w:r>
      <w:proofErr w:type="spellStart"/>
      <w:r>
        <w:t>organising</w:t>
      </w:r>
      <w:proofErr w:type="spellEnd"/>
      <w:r>
        <w:t xml:space="preserve"> are primarily structured around systemic barriers, resource scarcity, internal group dynamics, and the struggle to maintain long-term influence (Evans &amp; Shirley, 2008; Freelon, 2022; Goessling et al., 2024; Ishimaru, 2018; Wilson et al., 2023; Nygreen, 2016; Renée &amp; McAlister, 2011; Glickman &amp; Scally, 2008; Gold et al., 2002; Mediratta et al., 2002). </w:t>
      </w:r>
    </w:p>
    <w:p w14:paraId="79940306" w14:textId="77777777" w:rsidR="004F7B02" w:rsidRDefault="004F7B02">
      <w:pPr>
        <w:shd w:val="clear" w:color="auto" w:fill="FFFFFF"/>
      </w:pPr>
    </w:p>
    <w:p w14:paraId="3E44EC00" w14:textId="77777777" w:rsidR="004F7B02" w:rsidRDefault="00000000">
      <w:pPr>
        <w:shd w:val="clear" w:color="auto" w:fill="FFFFFF"/>
      </w:pPr>
      <w:r>
        <w:t xml:space="preserve">School districts and policymakers often fail to provide effective avenues for democratic engagement, lacking transparency and accountability, and </w:t>
      </w:r>
      <w:proofErr w:type="spellStart"/>
      <w:r>
        <w:t>marginalised</w:t>
      </w:r>
      <w:proofErr w:type="spellEnd"/>
      <w:r>
        <w:t xml:space="preserve"> families are often rendered invisible or ineffectual by these exclusionary practices (Nygreen, 2016; Nygreen, 2017a; Freelon, 2022). When parents in the literature attempt to engage in the process, they experience communication with the school district as directive and one-way, leading to a profound sense of powerlessness (Zachary &amp; Olatoye, 2001; Evans &amp; Shirley, 2008; Goessling </w:t>
      </w:r>
      <w:r>
        <w:lastRenderedPageBreak/>
        <w:t xml:space="preserve">et al., 2024). At school closure hearings in Chicago, district officials refused to answer questions from students and parents (Freelon, 2022). During the Dyett High School campaign, district officials canceled a final public hearing at the last minute and announced changes that ignored the proposals developed by the community. Parents also described a lack of authentic Q&amp;A opportunities, leaving participants feeling disrespected and ignored (Welton &amp; Freelon, 2018). </w:t>
      </w:r>
    </w:p>
    <w:p w14:paraId="751E8859" w14:textId="77777777" w:rsidR="004F7B02" w:rsidRDefault="004F7B02">
      <w:pPr>
        <w:shd w:val="clear" w:color="auto" w:fill="FFFFFF"/>
      </w:pPr>
    </w:p>
    <w:p w14:paraId="5CD87228" w14:textId="187F615A" w:rsidR="003C666D" w:rsidRDefault="00000000">
      <w:r>
        <w:t>The primacy of professional expertise in these spaces often discounts the insights of parents because they lack formal educational credentials or l</w:t>
      </w:r>
      <w:r w:rsidR="00DB0C01">
        <w:t>anguage</w:t>
      </w:r>
      <w:r>
        <w:t xml:space="preserve"> skills (Gold et al., 2002; Ishimaru, 2014). Moreover, they are often positioned as either passive or the cause of their children's failures rather than as equal stakeholders in their children's education (Ishimaru, 2018; Nygreen, 2016; Ishimaru, 2014). In the South Bronx, the principal and superintendent refused to meet again with the Parent Action Committee after being confronted with low reading scores, instead directing them to join the PTA. Parents described the principal as ‘inaccessible and disrespectful’, noting he frequently canceled meetings, kept them waiting, and blamed families for the children's lack of academic progress (Zachary &amp; Olatoye, 2001, p.11). The education system is infused with ‘racialized institutional scripts’ that perpetuate colonial hierarchies, positioning students of </w:t>
      </w:r>
      <w:proofErr w:type="spellStart"/>
      <w:r>
        <w:t>colour</w:t>
      </w:r>
      <w:proofErr w:type="spellEnd"/>
      <w:r>
        <w:t xml:space="preserve"> as flawed (Ishimaru, 2018, p.550). This framing instills in </w:t>
      </w:r>
      <w:proofErr w:type="spellStart"/>
      <w:r>
        <w:t>marginalised</w:t>
      </w:r>
      <w:proofErr w:type="spellEnd"/>
      <w:r>
        <w:t xml:space="preserve"> communities ‘deficit thinking’: an implicit assumption that failure must be deserved (Nygreen, 2016, p.207). </w:t>
      </w:r>
    </w:p>
    <w:p w14:paraId="545E7983" w14:textId="77777777" w:rsidR="004F7B02" w:rsidRDefault="004F7B02">
      <w:pPr>
        <w:shd w:val="clear" w:color="auto" w:fill="FFFFFF"/>
      </w:pPr>
    </w:p>
    <w:p w14:paraId="47687C0B" w14:textId="77777777" w:rsidR="004F7B02" w:rsidRDefault="00000000">
      <w:pPr>
        <w:numPr>
          <w:ilvl w:val="0"/>
          <w:numId w:val="5"/>
        </w:numPr>
        <w:rPr>
          <w:b/>
          <w:bCs/>
          <w:highlight w:val="white"/>
        </w:rPr>
      </w:pPr>
      <w:r>
        <w:rPr>
          <w:b/>
          <w:bCs/>
          <w:highlight w:val="white"/>
        </w:rPr>
        <w:t>Outcomes</w:t>
      </w:r>
    </w:p>
    <w:p w14:paraId="0E6B8997" w14:textId="77777777" w:rsidR="004F7B02" w:rsidRDefault="004F7B02">
      <w:pPr>
        <w:ind w:left="720"/>
        <w:rPr>
          <w:b/>
          <w:bCs/>
          <w:highlight w:val="white"/>
        </w:rPr>
      </w:pPr>
    </w:p>
    <w:p w14:paraId="4E8A264B" w14:textId="77777777" w:rsidR="004F7B02" w:rsidRDefault="00000000">
      <w:r>
        <w:rPr>
          <w:highlight w:val="white"/>
        </w:rPr>
        <w:t xml:space="preserve">Community </w:t>
      </w:r>
      <w:proofErr w:type="spellStart"/>
      <w:r>
        <w:rPr>
          <w:highlight w:val="white"/>
        </w:rPr>
        <w:t>organising</w:t>
      </w:r>
      <w:proofErr w:type="spellEnd"/>
      <w:r>
        <w:rPr>
          <w:highlight w:val="white"/>
        </w:rPr>
        <w:t xml:space="preserve"> for school reform has produced a wide range of tangible and systemic outcomes across multiple urban contexts. Despite significant challenges, the results of these efforts demonstrate how building community capacity can fundamentally shift the dynamics of public education, highlighting the potential for </w:t>
      </w:r>
      <w:proofErr w:type="spellStart"/>
      <w:r>
        <w:rPr>
          <w:highlight w:val="white"/>
        </w:rPr>
        <w:t>organised</w:t>
      </w:r>
      <w:proofErr w:type="spellEnd"/>
      <w:r>
        <w:rPr>
          <w:highlight w:val="white"/>
        </w:rPr>
        <w:t xml:space="preserve"> pressure from below to drive progressive transformation (Gold et al., 2004; Apple, 2019).</w:t>
      </w:r>
    </w:p>
    <w:p w14:paraId="24EBED2E" w14:textId="77777777" w:rsidR="004F7B02" w:rsidRDefault="004F7B02"/>
    <w:tbl>
      <w:tblPr>
        <w:tblStyle w:val="a0"/>
        <w:tblpPr w:leftFromText="180" w:rightFromText="180" w:topFromText="180" w:bottomFromText="180" w:vertAnchor="text" w:tblpX="-720"/>
        <w:tblW w:w="11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45"/>
        <w:gridCol w:w="1740"/>
        <w:gridCol w:w="990"/>
        <w:gridCol w:w="780"/>
        <w:gridCol w:w="1005"/>
        <w:gridCol w:w="795"/>
        <w:gridCol w:w="810"/>
        <w:gridCol w:w="690"/>
        <w:gridCol w:w="810"/>
        <w:gridCol w:w="735"/>
        <w:gridCol w:w="645"/>
        <w:gridCol w:w="1080"/>
      </w:tblGrid>
      <w:tr w:rsidR="004F7B02" w14:paraId="5A4B5556" w14:textId="77777777">
        <w:trPr>
          <w:trHeight w:val="315"/>
        </w:trPr>
        <w:tc>
          <w:tcPr>
            <w:tcW w:w="11025" w:type="dxa"/>
            <w:gridSpan w:val="12"/>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09F6C0B3" w14:textId="49DCBEB7" w:rsidR="004F7B02" w:rsidRDefault="00000000">
            <w:pPr>
              <w:rPr>
                <w:sz w:val="20"/>
                <w:szCs w:val="20"/>
              </w:rPr>
            </w:pPr>
            <w:r>
              <w:rPr>
                <w:rFonts w:ascii="Calibri" w:eastAsia="Calibri" w:hAnsi="Calibri" w:cs="Calibri"/>
                <w:sz w:val="20"/>
                <w:szCs w:val="20"/>
              </w:rPr>
              <w:lastRenderedPageBreak/>
              <w:t xml:space="preserve">Table: Summary of Power Building, Challenges </w:t>
            </w:r>
            <w:r w:rsidR="00C82E3E">
              <w:rPr>
                <w:rFonts w:ascii="Calibri" w:eastAsia="Calibri" w:hAnsi="Calibri" w:cs="Calibri"/>
                <w:sz w:val="20"/>
                <w:szCs w:val="20"/>
              </w:rPr>
              <w:t>and</w:t>
            </w:r>
            <w:r>
              <w:rPr>
                <w:rFonts w:ascii="Calibri" w:eastAsia="Calibri" w:hAnsi="Calibri" w:cs="Calibri"/>
                <w:sz w:val="20"/>
                <w:szCs w:val="20"/>
              </w:rPr>
              <w:t xml:space="preserve"> Outcomes</w:t>
            </w:r>
          </w:p>
        </w:tc>
      </w:tr>
      <w:tr w:rsidR="004F7B02" w14:paraId="4587596D" w14:textId="77777777">
        <w:trPr>
          <w:trHeight w:val="315"/>
        </w:trPr>
        <w:tc>
          <w:tcPr>
            <w:tcW w:w="945" w:type="dxa"/>
            <w:vMerge w:val="restart"/>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1715BAEE" w14:textId="77777777" w:rsidR="004F7B02" w:rsidRDefault="00000000">
            <w:pPr>
              <w:rPr>
                <w:rFonts w:ascii="Calibri" w:eastAsia="Calibri" w:hAnsi="Calibri" w:cs="Calibri"/>
                <w:sz w:val="16"/>
                <w:szCs w:val="16"/>
              </w:rPr>
            </w:pPr>
            <w:r>
              <w:rPr>
                <w:rFonts w:ascii="Calibri" w:eastAsia="Calibri" w:hAnsi="Calibri" w:cs="Calibri"/>
                <w:sz w:val="16"/>
                <w:szCs w:val="16"/>
              </w:rPr>
              <w:t>Study(s)</w:t>
            </w:r>
          </w:p>
        </w:tc>
        <w:tc>
          <w:tcPr>
            <w:tcW w:w="1740" w:type="dxa"/>
            <w:vMerge w:val="restart"/>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37B10B83" w14:textId="77777777" w:rsidR="004F7B02" w:rsidRDefault="00000000">
            <w:pPr>
              <w:rPr>
                <w:rFonts w:ascii="Calibri" w:eastAsia="Calibri" w:hAnsi="Calibri" w:cs="Calibri"/>
                <w:sz w:val="16"/>
                <w:szCs w:val="16"/>
              </w:rPr>
            </w:pPr>
            <w:r>
              <w:rPr>
                <w:rFonts w:ascii="Calibri" w:eastAsia="Calibri" w:hAnsi="Calibri" w:cs="Calibri"/>
                <w:sz w:val="16"/>
                <w:szCs w:val="16"/>
              </w:rPr>
              <w:t>Study Subject</w:t>
            </w:r>
          </w:p>
        </w:tc>
        <w:tc>
          <w:tcPr>
            <w:tcW w:w="2775" w:type="dxa"/>
            <w:gridSpan w:val="3"/>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1E136C45" w14:textId="77777777" w:rsidR="004F7B02" w:rsidRDefault="00000000">
            <w:pPr>
              <w:jc w:val="center"/>
              <w:rPr>
                <w:sz w:val="20"/>
                <w:szCs w:val="20"/>
              </w:rPr>
            </w:pPr>
            <w:r>
              <w:rPr>
                <w:rFonts w:ascii="Calibri" w:eastAsia="Calibri" w:hAnsi="Calibri" w:cs="Calibri"/>
                <w:sz w:val="16"/>
                <w:szCs w:val="16"/>
              </w:rPr>
              <w:t>Power Building</w:t>
            </w:r>
          </w:p>
        </w:tc>
        <w:tc>
          <w:tcPr>
            <w:tcW w:w="1605" w:type="dxa"/>
            <w:gridSpan w:val="2"/>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6A2D5813" w14:textId="77777777" w:rsidR="004F7B02" w:rsidRDefault="00000000">
            <w:pPr>
              <w:jc w:val="center"/>
              <w:rPr>
                <w:sz w:val="20"/>
                <w:szCs w:val="20"/>
              </w:rPr>
            </w:pPr>
            <w:r>
              <w:rPr>
                <w:rFonts w:ascii="Calibri" w:eastAsia="Calibri" w:hAnsi="Calibri" w:cs="Calibri"/>
                <w:sz w:val="16"/>
                <w:szCs w:val="16"/>
              </w:rPr>
              <w:t>Challenges</w:t>
            </w:r>
          </w:p>
        </w:tc>
        <w:tc>
          <w:tcPr>
            <w:tcW w:w="3960" w:type="dxa"/>
            <w:gridSpan w:val="5"/>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6898B5E7" w14:textId="77777777" w:rsidR="004F7B02" w:rsidRDefault="00000000">
            <w:pPr>
              <w:jc w:val="center"/>
              <w:rPr>
                <w:sz w:val="20"/>
                <w:szCs w:val="20"/>
              </w:rPr>
            </w:pPr>
            <w:r>
              <w:rPr>
                <w:rFonts w:ascii="Calibri" w:eastAsia="Calibri" w:hAnsi="Calibri" w:cs="Calibri"/>
                <w:sz w:val="16"/>
                <w:szCs w:val="16"/>
              </w:rPr>
              <w:t>Outcomes</w:t>
            </w:r>
          </w:p>
        </w:tc>
      </w:tr>
      <w:tr w:rsidR="004F7B02" w14:paraId="0F370341" w14:textId="77777777">
        <w:trPr>
          <w:trHeight w:val="450"/>
        </w:trPr>
        <w:tc>
          <w:tcPr>
            <w:tcW w:w="945" w:type="dxa"/>
            <w:vMerge/>
            <w:tcBorders>
              <w:top w:val="single" w:sz="4" w:space="0" w:color="CCCCCC"/>
              <w:left w:val="single" w:sz="4" w:space="0" w:color="CCCCCC"/>
              <w:bottom w:val="single" w:sz="4" w:space="0" w:color="CCCCCC"/>
              <w:right w:val="single" w:sz="4" w:space="0" w:color="CCCCCC"/>
            </w:tcBorders>
          </w:tcPr>
          <w:p w14:paraId="747E83C2" w14:textId="77777777" w:rsidR="004F7B02" w:rsidRDefault="004F7B02">
            <w:pPr>
              <w:rPr>
                <w:sz w:val="20"/>
                <w:szCs w:val="20"/>
              </w:rPr>
            </w:pPr>
          </w:p>
        </w:tc>
        <w:tc>
          <w:tcPr>
            <w:tcW w:w="1740" w:type="dxa"/>
            <w:vMerge/>
            <w:tcBorders>
              <w:top w:val="single" w:sz="4" w:space="0" w:color="CCCCCC"/>
              <w:left w:val="single" w:sz="4" w:space="0" w:color="CCCCCC"/>
              <w:bottom w:val="single" w:sz="4" w:space="0" w:color="CCCCCC"/>
              <w:right w:val="single" w:sz="4" w:space="0" w:color="CCCCCC"/>
            </w:tcBorders>
          </w:tcPr>
          <w:p w14:paraId="3491AF86" w14:textId="77777777" w:rsidR="004F7B02" w:rsidRDefault="004F7B02">
            <w:pPr>
              <w:rPr>
                <w:sz w:val="20"/>
                <w:szCs w:val="20"/>
              </w:rPr>
            </w:pPr>
          </w:p>
        </w:tc>
        <w:tc>
          <w:tcPr>
            <w:tcW w:w="99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54077FDF" w14:textId="77777777" w:rsidR="004F7B02" w:rsidRDefault="00000000">
            <w:pPr>
              <w:rPr>
                <w:rFonts w:ascii="Calibri" w:eastAsia="Calibri" w:hAnsi="Calibri" w:cs="Calibri"/>
                <w:sz w:val="14"/>
                <w:szCs w:val="14"/>
              </w:rPr>
            </w:pPr>
            <w:r>
              <w:rPr>
                <w:rFonts w:ascii="Calibri" w:eastAsia="Calibri" w:hAnsi="Calibri" w:cs="Calibri"/>
                <w:sz w:val="14"/>
                <w:szCs w:val="14"/>
              </w:rPr>
              <w:t>1. Relationship Building</w:t>
            </w:r>
          </w:p>
        </w:tc>
        <w:tc>
          <w:tcPr>
            <w:tcW w:w="78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3EC15FD5" w14:textId="77777777" w:rsidR="004F7B02" w:rsidRDefault="00000000">
            <w:pPr>
              <w:rPr>
                <w:rFonts w:ascii="Calibri" w:eastAsia="Calibri" w:hAnsi="Calibri" w:cs="Calibri"/>
                <w:sz w:val="14"/>
                <w:szCs w:val="14"/>
              </w:rPr>
            </w:pPr>
            <w:r>
              <w:rPr>
                <w:rFonts w:ascii="Calibri" w:eastAsia="Calibri" w:hAnsi="Calibri" w:cs="Calibri"/>
                <w:sz w:val="14"/>
                <w:szCs w:val="14"/>
              </w:rPr>
              <w:t>2. Shared Leadership</w:t>
            </w:r>
          </w:p>
        </w:tc>
        <w:tc>
          <w:tcPr>
            <w:tcW w:w="100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1B8655B5" w14:textId="77777777" w:rsidR="004F7B02" w:rsidRDefault="00000000">
            <w:pPr>
              <w:rPr>
                <w:rFonts w:ascii="Calibri" w:eastAsia="Calibri" w:hAnsi="Calibri" w:cs="Calibri"/>
                <w:sz w:val="14"/>
                <w:szCs w:val="14"/>
              </w:rPr>
            </w:pPr>
            <w:r>
              <w:rPr>
                <w:rFonts w:ascii="Calibri" w:eastAsia="Calibri" w:hAnsi="Calibri" w:cs="Calibri"/>
                <w:sz w:val="14"/>
                <w:szCs w:val="14"/>
              </w:rPr>
              <w:t>3. Democratic Engagement</w:t>
            </w:r>
          </w:p>
        </w:tc>
        <w:tc>
          <w:tcPr>
            <w:tcW w:w="79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0B92C6BE" w14:textId="77777777" w:rsidR="004F7B02" w:rsidRDefault="00000000">
            <w:pPr>
              <w:rPr>
                <w:rFonts w:ascii="Calibri" w:eastAsia="Calibri" w:hAnsi="Calibri" w:cs="Calibri"/>
                <w:sz w:val="14"/>
                <w:szCs w:val="14"/>
              </w:rPr>
            </w:pPr>
            <w:r>
              <w:rPr>
                <w:rFonts w:ascii="Calibri" w:eastAsia="Calibri" w:hAnsi="Calibri" w:cs="Calibri"/>
                <w:sz w:val="14"/>
                <w:szCs w:val="14"/>
              </w:rPr>
              <w:t>4. Systemic Resistance</w:t>
            </w:r>
          </w:p>
        </w:tc>
        <w:tc>
          <w:tcPr>
            <w:tcW w:w="81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18DF0D2A" w14:textId="77777777" w:rsidR="004F7B02" w:rsidRDefault="00000000">
            <w:pPr>
              <w:rPr>
                <w:rFonts w:ascii="Calibri" w:eastAsia="Calibri" w:hAnsi="Calibri" w:cs="Calibri"/>
                <w:sz w:val="14"/>
                <w:szCs w:val="14"/>
              </w:rPr>
            </w:pPr>
            <w:r>
              <w:rPr>
                <w:rFonts w:ascii="Calibri" w:eastAsia="Calibri" w:hAnsi="Calibri" w:cs="Calibri"/>
                <w:sz w:val="14"/>
                <w:szCs w:val="14"/>
              </w:rPr>
              <w:t>5. Internal divisions</w:t>
            </w:r>
          </w:p>
        </w:tc>
        <w:tc>
          <w:tcPr>
            <w:tcW w:w="69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4008C931" w14:textId="77777777" w:rsidR="004F7B02" w:rsidRDefault="00000000">
            <w:pPr>
              <w:rPr>
                <w:rFonts w:ascii="Calibri" w:eastAsia="Calibri" w:hAnsi="Calibri" w:cs="Calibri"/>
                <w:sz w:val="14"/>
                <w:szCs w:val="14"/>
              </w:rPr>
            </w:pPr>
            <w:r>
              <w:rPr>
                <w:rFonts w:ascii="Calibri" w:eastAsia="Calibri" w:hAnsi="Calibri" w:cs="Calibri"/>
                <w:sz w:val="14"/>
                <w:szCs w:val="14"/>
              </w:rPr>
              <w:t>6. Won Recognition &amp; Accountability</w:t>
            </w:r>
          </w:p>
        </w:tc>
        <w:tc>
          <w:tcPr>
            <w:tcW w:w="81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2C1B3AD6" w14:textId="77777777" w:rsidR="004F7B02" w:rsidRDefault="00000000">
            <w:pPr>
              <w:rPr>
                <w:rFonts w:ascii="Calibri" w:eastAsia="Calibri" w:hAnsi="Calibri" w:cs="Calibri"/>
                <w:sz w:val="14"/>
                <w:szCs w:val="14"/>
              </w:rPr>
            </w:pPr>
            <w:r>
              <w:rPr>
                <w:rFonts w:ascii="Calibri" w:eastAsia="Calibri" w:hAnsi="Calibri" w:cs="Calibri"/>
                <w:sz w:val="14"/>
                <w:szCs w:val="14"/>
              </w:rPr>
              <w:t>7. Won Resources (funding/ facilities)</w:t>
            </w:r>
          </w:p>
        </w:tc>
        <w:tc>
          <w:tcPr>
            <w:tcW w:w="73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2BACFC02" w14:textId="77777777" w:rsidR="004F7B02" w:rsidRDefault="00000000">
            <w:pPr>
              <w:rPr>
                <w:rFonts w:ascii="Calibri" w:eastAsia="Calibri" w:hAnsi="Calibri" w:cs="Calibri"/>
                <w:sz w:val="14"/>
                <w:szCs w:val="14"/>
              </w:rPr>
            </w:pPr>
            <w:r>
              <w:rPr>
                <w:rFonts w:ascii="Calibri" w:eastAsia="Calibri" w:hAnsi="Calibri" w:cs="Calibri"/>
                <w:sz w:val="14"/>
                <w:szCs w:val="14"/>
              </w:rPr>
              <w:t>8. Won Policy change</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264CB185" w14:textId="77777777" w:rsidR="004F7B02" w:rsidRDefault="00000000">
            <w:pPr>
              <w:rPr>
                <w:rFonts w:ascii="Calibri" w:eastAsia="Calibri" w:hAnsi="Calibri" w:cs="Calibri"/>
                <w:sz w:val="14"/>
                <w:szCs w:val="14"/>
              </w:rPr>
            </w:pPr>
            <w:r>
              <w:rPr>
                <w:rFonts w:ascii="Calibri" w:eastAsia="Calibri" w:hAnsi="Calibri" w:cs="Calibri"/>
                <w:sz w:val="14"/>
                <w:szCs w:val="14"/>
              </w:rPr>
              <w:t>9. Improved Student Outcomes</w:t>
            </w:r>
          </w:p>
        </w:tc>
        <w:tc>
          <w:tcPr>
            <w:tcW w:w="108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6742F828" w14:textId="77777777" w:rsidR="004F7B02" w:rsidRDefault="00000000">
            <w:pPr>
              <w:rPr>
                <w:rFonts w:ascii="Calibri" w:eastAsia="Calibri" w:hAnsi="Calibri" w:cs="Calibri"/>
                <w:sz w:val="14"/>
                <w:szCs w:val="14"/>
              </w:rPr>
            </w:pPr>
            <w:r>
              <w:rPr>
                <w:rFonts w:ascii="Calibri" w:eastAsia="Calibri" w:hAnsi="Calibri" w:cs="Calibri"/>
                <w:sz w:val="14"/>
                <w:szCs w:val="14"/>
              </w:rPr>
              <w:t>10. Community Empowerment</w:t>
            </w:r>
          </w:p>
        </w:tc>
      </w:tr>
      <w:tr w:rsidR="004F7B02" w14:paraId="1C7BBD32"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C849D98" w14:textId="77777777" w:rsidR="004F7B02" w:rsidRDefault="00000000">
            <w:pPr>
              <w:rPr>
                <w:sz w:val="20"/>
                <w:szCs w:val="20"/>
              </w:rPr>
            </w:pPr>
            <w:r>
              <w:rPr>
                <w:rFonts w:ascii="Calibri" w:eastAsia="Calibri" w:hAnsi="Calibri" w:cs="Calibri"/>
                <w:sz w:val="12"/>
                <w:szCs w:val="12"/>
              </w:rPr>
              <w:t>Evans &amp; Shirley, 2008</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69EA6EA" w14:textId="77777777" w:rsidR="004F7B02" w:rsidRDefault="00000000">
            <w:pPr>
              <w:rPr>
                <w:sz w:val="20"/>
                <w:szCs w:val="20"/>
              </w:rPr>
            </w:pPr>
            <w:r>
              <w:rPr>
                <w:rFonts w:ascii="Calibri" w:eastAsia="Calibri" w:hAnsi="Calibri" w:cs="Calibri"/>
                <w:sz w:val="12"/>
                <w:szCs w:val="12"/>
              </w:rPr>
              <w:t>Jamaica Plain Parent Organizing Project (JP-POP) - Boston, MA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F76188D"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098C63E"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FFA1D61"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945D873"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78D6ED2"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7E14D39"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95C62DE"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849AC59"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D65BA09"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9EADBC" w14:textId="77777777" w:rsidR="004F7B02" w:rsidRDefault="00000000">
            <w:pPr>
              <w:jc w:val="center"/>
              <w:rPr>
                <w:sz w:val="20"/>
                <w:szCs w:val="20"/>
              </w:rPr>
            </w:pPr>
            <w:r>
              <w:rPr>
                <w:sz w:val="14"/>
                <w:szCs w:val="14"/>
              </w:rPr>
              <w:t>x</w:t>
            </w:r>
          </w:p>
        </w:tc>
      </w:tr>
      <w:tr w:rsidR="004F7B02" w14:paraId="27CB63B5" w14:textId="77777777">
        <w:trPr>
          <w:trHeight w:val="31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5215EDF9" w14:textId="77777777" w:rsidR="004F7B02" w:rsidRDefault="00000000">
            <w:pPr>
              <w:rPr>
                <w:sz w:val="20"/>
                <w:szCs w:val="20"/>
              </w:rPr>
            </w:pPr>
            <w:r>
              <w:rPr>
                <w:rFonts w:ascii="Calibri" w:eastAsia="Calibri" w:hAnsi="Calibri" w:cs="Calibri"/>
                <w:sz w:val="12"/>
                <w:szCs w:val="12"/>
              </w:rPr>
              <w:t>Freelon, 2022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2E574CE3" w14:textId="77777777" w:rsidR="004F7B02" w:rsidRDefault="00000000">
            <w:pPr>
              <w:rPr>
                <w:sz w:val="20"/>
                <w:szCs w:val="20"/>
              </w:rPr>
            </w:pPr>
            <w:r>
              <w:rPr>
                <w:rFonts w:ascii="Calibri" w:eastAsia="Calibri" w:hAnsi="Calibri" w:cs="Calibri"/>
                <w:sz w:val="12"/>
                <w:szCs w:val="12"/>
              </w:rPr>
              <w:t>Black Parent Leaders in Chicago, IL</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62D7BBA"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9F0718C"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841060B"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19182FB"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65A8664"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9E26E71"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EB39CCB"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931D57"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5D98DB6"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61E69BE" w14:textId="77777777" w:rsidR="004F7B02" w:rsidRDefault="00000000">
            <w:pPr>
              <w:jc w:val="center"/>
              <w:rPr>
                <w:sz w:val="20"/>
                <w:szCs w:val="20"/>
              </w:rPr>
            </w:pPr>
            <w:r>
              <w:rPr>
                <w:sz w:val="14"/>
                <w:szCs w:val="14"/>
              </w:rPr>
              <w:t>x</w:t>
            </w:r>
          </w:p>
        </w:tc>
      </w:tr>
      <w:tr w:rsidR="004F7B02" w14:paraId="40CC735E"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0BCEDBF" w14:textId="77777777" w:rsidR="004F7B02" w:rsidRDefault="00000000">
            <w:pPr>
              <w:rPr>
                <w:sz w:val="20"/>
                <w:szCs w:val="20"/>
              </w:rPr>
            </w:pPr>
            <w:r>
              <w:rPr>
                <w:rFonts w:ascii="Calibri" w:eastAsia="Calibri" w:hAnsi="Calibri" w:cs="Calibri"/>
                <w:sz w:val="12"/>
                <w:szCs w:val="12"/>
              </w:rPr>
              <w:t>Goessling, et al. 2024</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2AF98DCE" w14:textId="77777777" w:rsidR="004F7B02" w:rsidRDefault="00000000">
            <w:pPr>
              <w:rPr>
                <w:sz w:val="20"/>
                <w:szCs w:val="20"/>
              </w:rPr>
            </w:pPr>
            <w:r>
              <w:rPr>
                <w:rFonts w:ascii="Calibri" w:eastAsia="Calibri" w:hAnsi="Calibri" w:cs="Calibri"/>
                <w:sz w:val="12"/>
                <w:szCs w:val="12"/>
              </w:rPr>
              <w:t>Philadelphia Coalition Advocating for Public Schools (PCAPS)</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2C1F45F"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5C8C6DE"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281EAC6"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D186347"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BA58138" w14:textId="77777777" w:rsidR="004F7B02" w:rsidRDefault="00000000">
            <w:pPr>
              <w:jc w:val="center"/>
              <w:rPr>
                <w:sz w:val="20"/>
                <w:szCs w:val="20"/>
              </w:rPr>
            </w:pPr>
            <w:r>
              <w:rPr>
                <w:sz w:val="14"/>
                <w:szCs w:val="14"/>
              </w:rPr>
              <w:t>x</w:t>
            </w: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75B26DE"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EEF1791"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5681EDF"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6751AF7"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5985A4A" w14:textId="77777777" w:rsidR="004F7B02" w:rsidRDefault="00000000">
            <w:pPr>
              <w:jc w:val="center"/>
              <w:rPr>
                <w:sz w:val="20"/>
                <w:szCs w:val="20"/>
              </w:rPr>
            </w:pPr>
            <w:r>
              <w:rPr>
                <w:sz w:val="14"/>
                <w:szCs w:val="14"/>
              </w:rPr>
              <w:t>x</w:t>
            </w:r>
          </w:p>
        </w:tc>
      </w:tr>
      <w:tr w:rsidR="004F7B02" w14:paraId="36FD7D87"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7E72B69C" w14:textId="77777777" w:rsidR="004F7B02" w:rsidRDefault="00000000">
            <w:pPr>
              <w:rPr>
                <w:sz w:val="20"/>
                <w:szCs w:val="20"/>
              </w:rPr>
            </w:pPr>
            <w:r>
              <w:rPr>
                <w:rFonts w:ascii="Calibri" w:eastAsia="Calibri" w:hAnsi="Calibri" w:cs="Calibri"/>
                <w:sz w:val="12"/>
                <w:szCs w:val="12"/>
              </w:rPr>
              <w:t>Ishimaru, 2013</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1D47A3B" w14:textId="77777777" w:rsidR="004F7B02" w:rsidRDefault="00000000">
            <w:pPr>
              <w:rPr>
                <w:sz w:val="20"/>
                <w:szCs w:val="20"/>
              </w:rPr>
            </w:pPr>
            <w:r>
              <w:rPr>
                <w:rFonts w:ascii="Calibri" w:eastAsia="Calibri" w:hAnsi="Calibri" w:cs="Calibri"/>
                <w:sz w:val="12"/>
                <w:szCs w:val="12"/>
              </w:rPr>
              <w:t>People Acting in Community Together (PACT), Oakland, CA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F61F124"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B6CC567"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6DDB34B"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2342AE5"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65E8D8E" w14:textId="77777777" w:rsidR="004F7B02" w:rsidRDefault="00000000">
            <w:pPr>
              <w:jc w:val="center"/>
              <w:rPr>
                <w:sz w:val="20"/>
                <w:szCs w:val="20"/>
              </w:rPr>
            </w:pPr>
            <w:r>
              <w:rPr>
                <w:sz w:val="14"/>
                <w:szCs w:val="14"/>
              </w:rPr>
              <w:t>x</w:t>
            </w: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4692573"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0CE94B5"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02B94D6"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F9883E"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9ECA832" w14:textId="77777777" w:rsidR="004F7B02" w:rsidRDefault="00000000">
            <w:pPr>
              <w:jc w:val="center"/>
              <w:rPr>
                <w:sz w:val="20"/>
                <w:szCs w:val="20"/>
              </w:rPr>
            </w:pPr>
            <w:r>
              <w:rPr>
                <w:sz w:val="14"/>
                <w:szCs w:val="14"/>
              </w:rPr>
              <w:t>x</w:t>
            </w:r>
          </w:p>
        </w:tc>
      </w:tr>
      <w:tr w:rsidR="004F7B02" w14:paraId="7D1EB312" w14:textId="77777777">
        <w:trPr>
          <w:trHeight w:val="31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5C56515" w14:textId="77777777" w:rsidR="004F7B02" w:rsidRDefault="00000000">
            <w:pPr>
              <w:rPr>
                <w:sz w:val="20"/>
                <w:szCs w:val="20"/>
              </w:rPr>
            </w:pPr>
            <w:r>
              <w:rPr>
                <w:rFonts w:ascii="Calibri" w:eastAsia="Calibri" w:hAnsi="Calibri" w:cs="Calibri"/>
                <w:sz w:val="12"/>
                <w:szCs w:val="12"/>
              </w:rPr>
              <w:t>Ishimaru, 2014</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70C3A394" w14:textId="77777777" w:rsidR="004F7B02" w:rsidRDefault="00000000">
            <w:pPr>
              <w:rPr>
                <w:sz w:val="20"/>
                <w:szCs w:val="20"/>
              </w:rPr>
            </w:pPr>
            <w:r>
              <w:rPr>
                <w:rFonts w:ascii="Calibri" w:eastAsia="Calibri" w:hAnsi="Calibri" w:cs="Calibri"/>
                <w:sz w:val="12"/>
                <w:szCs w:val="12"/>
              </w:rPr>
              <w:t>Salem-Keizer Coalition for Equality, Oregon</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C675383" w14:textId="77777777" w:rsidR="004F7B02" w:rsidRDefault="004F7B02">
            <w:pPr>
              <w:rPr>
                <w:sz w:val="20"/>
                <w:szCs w:val="20"/>
              </w:rPr>
            </w:pP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2FB8E0C"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7854ACF"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F93C8FB"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3922099" w14:textId="77777777" w:rsidR="004F7B02" w:rsidRDefault="00000000">
            <w:pPr>
              <w:jc w:val="center"/>
              <w:rPr>
                <w:sz w:val="20"/>
                <w:szCs w:val="20"/>
              </w:rPr>
            </w:pPr>
            <w:r>
              <w:rPr>
                <w:sz w:val="14"/>
                <w:szCs w:val="14"/>
              </w:rPr>
              <w:t>x</w:t>
            </w: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7F95822"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3B7064B"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F791AF9"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40CB759"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6E29298" w14:textId="77777777" w:rsidR="004F7B02" w:rsidRDefault="00000000">
            <w:pPr>
              <w:jc w:val="center"/>
              <w:rPr>
                <w:sz w:val="20"/>
                <w:szCs w:val="20"/>
              </w:rPr>
            </w:pPr>
            <w:r>
              <w:rPr>
                <w:sz w:val="14"/>
                <w:szCs w:val="14"/>
              </w:rPr>
              <w:t>x</w:t>
            </w:r>
          </w:p>
        </w:tc>
      </w:tr>
      <w:tr w:rsidR="004F7B02" w14:paraId="70EFF532"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DC8C249" w14:textId="77777777" w:rsidR="004F7B02" w:rsidRDefault="00000000">
            <w:pPr>
              <w:rPr>
                <w:sz w:val="20"/>
                <w:szCs w:val="20"/>
              </w:rPr>
            </w:pPr>
            <w:r>
              <w:rPr>
                <w:rFonts w:ascii="Calibri" w:eastAsia="Calibri" w:hAnsi="Calibri" w:cs="Calibri"/>
                <w:sz w:val="12"/>
                <w:szCs w:val="12"/>
              </w:rPr>
              <w:t>Ishimaru, 2018</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9D23107" w14:textId="77777777" w:rsidR="004F7B02" w:rsidRDefault="00000000">
            <w:pPr>
              <w:rPr>
                <w:sz w:val="20"/>
                <w:szCs w:val="20"/>
              </w:rPr>
            </w:pPr>
            <w:r>
              <w:rPr>
                <w:rFonts w:ascii="Calibri" w:eastAsia="Calibri" w:hAnsi="Calibri" w:cs="Calibri"/>
                <w:sz w:val="12"/>
                <w:szCs w:val="12"/>
              </w:rPr>
              <w:t>Rainier Beach PTA, families, and community members, Seattle, WA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FAFB076"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2116D52"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19B9D16"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9E6149C"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AB16051"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1C8CD61"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F7BE6CB"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F51CA99"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FD602AF"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031C8C4" w14:textId="77777777" w:rsidR="004F7B02" w:rsidRDefault="00000000">
            <w:pPr>
              <w:jc w:val="center"/>
              <w:rPr>
                <w:sz w:val="20"/>
                <w:szCs w:val="20"/>
              </w:rPr>
            </w:pPr>
            <w:r>
              <w:rPr>
                <w:sz w:val="14"/>
                <w:szCs w:val="14"/>
              </w:rPr>
              <w:t>x</w:t>
            </w:r>
          </w:p>
        </w:tc>
      </w:tr>
      <w:tr w:rsidR="004F7B02" w14:paraId="791CF84D" w14:textId="77777777">
        <w:trPr>
          <w:trHeight w:val="31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09E71E1" w14:textId="77777777" w:rsidR="004F7B02" w:rsidRDefault="00000000">
            <w:pPr>
              <w:rPr>
                <w:sz w:val="20"/>
                <w:szCs w:val="20"/>
              </w:rPr>
            </w:pPr>
            <w:r>
              <w:rPr>
                <w:rFonts w:ascii="Calibri" w:eastAsia="Calibri" w:hAnsi="Calibri" w:cs="Calibri"/>
                <w:sz w:val="12"/>
                <w:szCs w:val="12"/>
              </w:rPr>
              <w:t>Wilson, et al., 2023</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983A22D" w14:textId="77777777" w:rsidR="004F7B02" w:rsidRDefault="00000000">
            <w:pPr>
              <w:rPr>
                <w:sz w:val="20"/>
                <w:szCs w:val="20"/>
              </w:rPr>
            </w:pPr>
            <w:r>
              <w:rPr>
                <w:rFonts w:ascii="Calibri" w:eastAsia="Calibri" w:hAnsi="Calibri" w:cs="Calibri"/>
                <w:sz w:val="12"/>
                <w:szCs w:val="12"/>
              </w:rPr>
              <w:t>D-Justice, Detroit, MI</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9F15F3A"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BDF2DD4"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BEDFE39"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43EB33D"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46EFF9B"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150ABFD"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EE2B1C0"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9C9C601"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CBDDCA2"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AC600E3" w14:textId="77777777" w:rsidR="004F7B02" w:rsidRDefault="00000000">
            <w:pPr>
              <w:jc w:val="center"/>
              <w:rPr>
                <w:sz w:val="20"/>
                <w:szCs w:val="20"/>
              </w:rPr>
            </w:pPr>
            <w:r>
              <w:rPr>
                <w:sz w:val="14"/>
                <w:szCs w:val="14"/>
              </w:rPr>
              <w:t>x</w:t>
            </w:r>
          </w:p>
        </w:tc>
      </w:tr>
      <w:tr w:rsidR="004F7B02" w14:paraId="52419E32" w14:textId="77777777">
        <w:trPr>
          <w:trHeight w:val="31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676E9B21" w14:textId="77777777" w:rsidR="004F7B02" w:rsidRDefault="00000000">
            <w:pPr>
              <w:rPr>
                <w:sz w:val="20"/>
                <w:szCs w:val="20"/>
              </w:rPr>
            </w:pPr>
            <w:r>
              <w:rPr>
                <w:rFonts w:ascii="Calibri" w:eastAsia="Calibri" w:hAnsi="Calibri" w:cs="Calibri"/>
                <w:sz w:val="12"/>
                <w:szCs w:val="12"/>
              </w:rPr>
              <w:t>Glickman &amp; Scally, 2008</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9423641" w14:textId="77777777" w:rsidR="004F7B02" w:rsidRDefault="00000000">
            <w:pPr>
              <w:rPr>
                <w:sz w:val="20"/>
                <w:szCs w:val="20"/>
              </w:rPr>
            </w:pPr>
            <w:r>
              <w:rPr>
                <w:rFonts w:ascii="Calibri" w:eastAsia="Calibri" w:hAnsi="Calibri" w:cs="Calibri"/>
                <w:sz w:val="12"/>
                <w:szCs w:val="12"/>
              </w:rPr>
              <w:t>Mothers on the Move (MOM), The Bronx, NY</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C28195B"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961854F"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D440BF4"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68B6AD3"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D8E2307"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30E29F7B"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10D06A8"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BC50DC1"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1ADA432"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D80D393" w14:textId="77777777" w:rsidR="004F7B02" w:rsidRDefault="00000000">
            <w:pPr>
              <w:jc w:val="center"/>
              <w:rPr>
                <w:sz w:val="20"/>
                <w:szCs w:val="20"/>
              </w:rPr>
            </w:pPr>
            <w:r>
              <w:rPr>
                <w:sz w:val="14"/>
                <w:szCs w:val="14"/>
              </w:rPr>
              <w:t>x</w:t>
            </w:r>
          </w:p>
        </w:tc>
      </w:tr>
      <w:tr w:rsidR="004F7B02" w14:paraId="45189F95" w14:textId="77777777">
        <w:trPr>
          <w:trHeight w:val="345"/>
        </w:trPr>
        <w:tc>
          <w:tcPr>
            <w:tcW w:w="945" w:type="dxa"/>
            <w:vMerge w:val="restart"/>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A5ED562" w14:textId="77777777" w:rsidR="004F7B02" w:rsidRDefault="00000000">
            <w:pPr>
              <w:rPr>
                <w:rFonts w:ascii="Calibri" w:eastAsia="Calibri" w:hAnsi="Calibri" w:cs="Calibri"/>
                <w:sz w:val="12"/>
                <w:szCs w:val="12"/>
              </w:rPr>
            </w:pPr>
            <w:r>
              <w:rPr>
                <w:rFonts w:ascii="Calibri" w:eastAsia="Calibri" w:hAnsi="Calibri" w:cs="Calibri"/>
                <w:sz w:val="12"/>
                <w:szCs w:val="12"/>
              </w:rPr>
              <w:t>Welton &amp; Freelon, 2018</w:t>
            </w:r>
          </w:p>
        </w:tc>
        <w:tc>
          <w:tcPr>
            <w:tcW w:w="174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632CD5AF" w14:textId="77777777" w:rsidR="004F7B02" w:rsidRDefault="00000000">
            <w:pPr>
              <w:rPr>
                <w:sz w:val="20"/>
                <w:szCs w:val="20"/>
              </w:rPr>
            </w:pPr>
            <w:r>
              <w:rPr>
                <w:rFonts w:ascii="Calibri" w:eastAsia="Calibri" w:hAnsi="Calibri" w:cs="Calibri"/>
                <w:sz w:val="12"/>
                <w:szCs w:val="12"/>
              </w:rPr>
              <w:t>Sheldon Elementary Parents &amp; Community Members, Chicago, IL</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A0E868C"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A4C78E2"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2C64FA4"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CEA22BE"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D439688"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4F2D280"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822BF9"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6DDE77F"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A06A651"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C27273A" w14:textId="77777777" w:rsidR="004F7B02" w:rsidRDefault="00000000">
            <w:pPr>
              <w:jc w:val="center"/>
              <w:rPr>
                <w:sz w:val="20"/>
                <w:szCs w:val="20"/>
              </w:rPr>
            </w:pPr>
            <w:r>
              <w:rPr>
                <w:sz w:val="14"/>
                <w:szCs w:val="14"/>
              </w:rPr>
              <w:t>x</w:t>
            </w:r>
          </w:p>
        </w:tc>
      </w:tr>
      <w:tr w:rsidR="004F7B02" w14:paraId="390EA3EF"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5CAEE3DB"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3C682266" w14:textId="77777777" w:rsidR="004F7B02" w:rsidRDefault="00000000">
            <w:pPr>
              <w:rPr>
                <w:sz w:val="20"/>
                <w:szCs w:val="20"/>
              </w:rPr>
            </w:pPr>
            <w:r>
              <w:rPr>
                <w:rFonts w:ascii="Calibri" w:eastAsia="Calibri" w:hAnsi="Calibri" w:cs="Calibri"/>
                <w:sz w:val="12"/>
                <w:szCs w:val="12"/>
              </w:rPr>
              <w:t>Coalition to Revitalize Dyett High School, Chicago, IL</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1FC74BB"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D16DCF6"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1279799"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6EF84F9"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DCD2DBC"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3604C1B"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054743C"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FC0620"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983DBDB"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2963F7E" w14:textId="77777777" w:rsidR="004F7B02" w:rsidRDefault="00000000">
            <w:pPr>
              <w:jc w:val="center"/>
              <w:rPr>
                <w:sz w:val="20"/>
                <w:szCs w:val="20"/>
              </w:rPr>
            </w:pPr>
            <w:r>
              <w:rPr>
                <w:sz w:val="14"/>
                <w:szCs w:val="14"/>
              </w:rPr>
              <w:t>x</w:t>
            </w:r>
          </w:p>
        </w:tc>
      </w:tr>
      <w:tr w:rsidR="004F7B02" w14:paraId="56D316A7" w14:textId="77777777">
        <w:trPr>
          <w:trHeight w:val="315"/>
        </w:trPr>
        <w:tc>
          <w:tcPr>
            <w:tcW w:w="945" w:type="dxa"/>
            <w:vMerge w:val="restart"/>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1B3D587" w14:textId="77777777" w:rsidR="004F7B02" w:rsidRDefault="00000000">
            <w:pPr>
              <w:rPr>
                <w:rFonts w:ascii="Calibri" w:eastAsia="Calibri" w:hAnsi="Calibri" w:cs="Calibri"/>
                <w:sz w:val="12"/>
                <w:szCs w:val="12"/>
              </w:rPr>
            </w:pPr>
            <w:r>
              <w:rPr>
                <w:rFonts w:ascii="Calibri" w:eastAsia="Calibri" w:hAnsi="Calibri" w:cs="Calibri"/>
                <w:sz w:val="12"/>
                <w:szCs w:val="12"/>
              </w:rPr>
              <w:t>Ramos &amp; Jani, 2025</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6B135D61" w14:textId="77777777" w:rsidR="004F7B02" w:rsidRDefault="00000000">
            <w:pPr>
              <w:rPr>
                <w:sz w:val="20"/>
                <w:szCs w:val="20"/>
              </w:rPr>
            </w:pPr>
            <w:r>
              <w:rPr>
                <w:rFonts w:ascii="Calibri" w:eastAsia="Calibri" w:hAnsi="Calibri" w:cs="Calibri"/>
                <w:sz w:val="12"/>
                <w:szCs w:val="12"/>
              </w:rPr>
              <w:t>Overall Educational Justice Movement</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0F23B10"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7D0CA13"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FE51F02"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3E35CFB"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472C713" w14:textId="77777777" w:rsidR="004F7B02" w:rsidRDefault="00000000">
            <w:pPr>
              <w:jc w:val="center"/>
              <w:rPr>
                <w:sz w:val="20"/>
                <w:szCs w:val="20"/>
              </w:rPr>
            </w:pPr>
            <w:r>
              <w:rPr>
                <w:sz w:val="14"/>
                <w:szCs w:val="14"/>
              </w:rPr>
              <w:t>x</w:t>
            </w: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4BFF18"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885F15E"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5897F17"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6DD5AF8"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4F785C0" w14:textId="77777777" w:rsidR="004F7B02" w:rsidRDefault="00000000">
            <w:pPr>
              <w:jc w:val="center"/>
              <w:rPr>
                <w:sz w:val="20"/>
                <w:szCs w:val="20"/>
              </w:rPr>
            </w:pPr>
            <w:r>
              <w:rPr>
                <w:sz w:val="14"/>
                <w:szCs w:val="14"/>
              </w:rPr>
              <w:t>x</w:t>
            </w:r>
          </w:p>
        </w:tc>
      </w:tr>
      <w:tr w:rsidR="004F7B02" w14:paraId="0C7955CF" w14:textId="77777777">
        <w:trPr>
          <w:trHeight w:val="315"/>
        </w:trPr>
        <w:tc>
          <w:tcPr>
            <w:tcW w:w="945" w:type="dxa"/>
            <w:vMerge/>
            <w:tcBorders>
              <w:top w:val="single" w:sz="4" w:space="0" w:color="CCCCCC"/>
              <w:left w:val="single" w:sz="4" w:space="0" w:color="CCCCCC"/>
              <w:bottom w:val="single" w:sz="4" w:space="0" w:color="CCCCCC"/>
              <w:right w:val="single" w:sz="4" w:space="0" w:color="CCCCCC"/>
            </w:tcBorders>
          </w:tcPr>
          <w:p w14:paraId="7B18E0E7"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478EEC4" w14:textId="77777777" w:rsidR="004F7B02" w:rsidRDefault="00000000">
            <w:pPr>
              <w:rPr>
                <w:sz w:val="20"/>
                <w:szCs w:val="20"/>
              </w:rPr>
            </w:pPr>
            <w:r>
              <w:rPr>
                <w:rFonts w:ascii="Calibri" w:eastAsia="Calibri" w:hAnsi="Calibri" w:cs="Calibri"/>
                <w:sz w:val="12"/>
                <w:szCs w:val="12"/>
              </w:rPr>
              <w:t>Schools Oakland Students Deserve (SOSD)</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E6C7799"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234EA5F" w14:textId="77777777" w:rsidR="004F7B02" w:rsidRDefault="004F7B02">
            <w:pPr>
              <w:rPr>
                <w:sz w:val="20"/>
                <w:szCs w:val="20"/>
              </w:rPr>
            </w:pP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310046C" w14:textId="77777777" w:rsidR="004F7B02" w:rsidRDefault="004F7B02">
            <w:pPr>
              <w:rPr>
                <w:sz w:val="20"/>
                <w:szCs w:val="20"/>
              </w:rPr>
            </w:pP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88668C4"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76E16A0"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566AF6D"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F649E05"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0F1337"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760DFF4"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A7C453E" w14:textId="77777777" w:rsidR="004F7B02" w:rsidRDefault="00000000">
            <w:pPr>
              <w:jc w:val="center"/>
              <w:rPr>
                <w:sz w:val="20"/>
                <w:szCs w:val="20"/>
              </w:rPr>
            </w:pPr>
            <w:r>
              <w:rPr>
                <w:sz w:val="14"/>
                <w:szCs w:val="14"/>
              </w:rPr>
              <w:t>x</w:t>
            </w:r>
          </w:p>
        </w:tc>
      </w:tr>
      <w:tr w:rsidR="004F7B02" w14:paraId="6DF319F3" w14:textId="77777777">
        <w:trPr>
          <w:trHeight w:val="315"/>
        </w:trPr>
        <w:tc>
          <w:tcPr>
            <w:tcW w:w="945" w:type="dxa"/>
            <w:vMerge/>
            <w:tcBorders>
              <w:top w:val="single" w:sz="4" w:space="0" w:color="CCCCCC"/>
              <w:left w:val="single" w:sz="4" w:space="0" w:color="CCCCCC"/>
              <w:bottom w:val="single" w:sz="4" w:space="0" w:color="CCCCCC"/>
              <w:right w:val="single" w:sz="4" w:space="0" w:color="CCCCCC"/>
            </w:tcBorders>
          </w:tcPr>
          <w:p w14:paraId="25DDAA76"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3E1368D" w14:textId="77777777" w:rsidR="004F7B02" w:rsidRDefault="00000000">
            <w:pPr>
              <w:rPr>
                <w:sz w:val="20"/>
                <w:szCs w:val="20"/>
              </w:rPr>
            </w:pPr>
            <w:r>
              <w:rPr>
                <w:rFonts w:ascii="Calibri" w:eastAsia="Calibri" w:hAnsi="Calibri" w:cs="Calibri"/>
                <w:sz w:val="12"/>
                <w:szCs w:val="12"/>
              </w:rPr>
              <w:t>Justice for Oakland Students Coalition (J4OS)</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1F69637"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BED9166"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3EFD297"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26ED135"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05CBCBD"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0C17A60"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98074F0"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01300A5"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40C6B2B"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B78376D" w14:textId="77777777" w:rsidR="004F7B02" w:rsidRDefault="00000000">
            <w:pPr>
              <w:jc w:val="center"/>
              <w:rPr>
                <w:sz w:val="20"/>
                <w:szCs w:val="20"/>
              </w:rPr>
            </w:pPr>
            <w:r>
              <w:rPr>
                <w:sz w:val="14"/>
                <w:szCs w:val="14"/>
              </w:rPr>
              <w:t>x</w:t>
            </w:r>
          </w:p>
        </w:tc>
      </w:tr>
      <w:tr w:rsidR="004F7B02" w14:paraId="3AC4CB53"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223778D0"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5228F04" w14:textId="77777777" w:rsidR="004F7B02" w:rsidRDefault="00000000">
            <w:pPr>
              <w:rPr>
                <w:sz w:val="20"/>
                <w:szCs w:val="20"/>
              </w:rPr>
            </w:pPr>
            <w:r>
              <w:rPr>
                <w:rFonts w:ascii="Calibri" w:eastAsia="Calibri" w:hAnsi="Calibri" w:cs="Calibri"/>
                <w:sz w:val="12"/>
                <w:szCs w:val="12"/>
              </w:rPr>
              <w:t xml:space="preserve">OEA Race and </w:t>
            </w:r>
            <w:proofErr w:type="spellStart"/>
            <w:r>
              <w:rPr>
                <w:rFonts w:ascii="Calibri" w:eastAsia="Calibri" w:hAnsi="Calibri" w:cs="Calibri"/>
                <w:sz w:val="12"/>
                <w:szCs w:val="12"/>
              </w:rPr>
              <w:t>Privatisation</w:t>
            </w:r>
            <w:proofErr w:type="spellEnd"/>
            <w:r>
              <w:rPr>
                <w:rFonts w:ascii="Calibri" w:eastAsia="Calibri" w:hAnsi="Calibri" w:cs="Calibri"/>
                <w:sz w:val="12"/>
                <w:szCs w:val="12"/>
              </w:rPr>
              <w:t xml:space="preserve"> Committee and Union Leadership</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9D562EB"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A40C2BC"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17B9FAE" w14:textId="77777777" w:rsidR="004F7B02" w:rsidRDefault="004F7B02">
            <w:pPr>
              <w:rPr>
                <w:sz w:val="20"/>
                <w:szCs w:val="20"/>
              </w:rPr>
            </w:pP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EA9B9F2"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04F2353"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70AF9A7"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B182E9F"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9C15106"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84DFCB0"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2E3DDE7" w14:textId="77777777" w:rsidR="004F7B02" w:rsidRDefault="00000000">
            <w:pPr>
              <w:jc w:val="center"/>
              <w:rPr>
                <w:sz w:val="20"/>
                <w:szCs w:val="20"/>
              </w:rPr>
            </w:pPr>
            <w:r>
              <w:rPr>
                <w:sz w:val="14"/>
                <w:szCs w:val="14"/>
              </w:rPr>
              <w:t>x</w:t>
            </w:r>
          </w:p>
        </w:tc>
      </w:tr>
      <w:tr w:rsidR="004F7B02" w14:paraId="1EA369AB" w14:textId="77777777">
        <w:trPr>
          <w:trHeight w:val="315"/>
        </w:trPr>
        <w:tc>
          <w:tcPr>
            <w:tcW w:w="945" w:type="dxa"/>
            <w:vMerge w:val="restart"/>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2AB8F1EA" w14:textId="77777777" w:rsidR="004F7B02" w:rsidRDefault="00000000">
            <w:pPr>
              <w:rPr>
                <w:rFonts w:ascii="Calibri" w:eastAsia="Calibri" w:hAnsi="Calibri" w:cs="Calibri"/>
                <w:sz w:val="12"/>
                <w:szCs w:val="12"/>
              </w:rPr>
            </w:pPr>
            <w:r>
              <w:rPr>
                <w:rFonts w:ascii="Calibri" w:eastAsia="Calibri" w:hAnsi="Calibri" w:cs="Calibri"/>
                <w:sz w:val="12"/>
                <w:szCs w:val="12"/>
              </w:rPr>
              <w:t>Gonzalez, 2015</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42571C8" w14:textId="77777777" w:rsidR="004F7B02" w:rsidRDefault="00000000">
            <w:pPr>
              <w:rPr>
                <w:sz w:val="20"/>
                <w:szCs w:val="20"/>
              </w:rPr>
            </w:pPr>
            <w:r>
              <w:rPr>
                <w:rFonts w:ascii="Calibri" w:eastAsia="Calibri" w:hAnsi="Calibri" w:cs="Calibri"/>
                <w:sz w:val="12"/>
                <w:szCs w:val="12"/>
              </w:rPr>
              <w:t xml:space="preserve">Padres y </w:t>
            </w:r>
            <w:proofErr w:type="spellStart"/>
            <w:r>
              <w:rPr>
                <w:rFonts w:ascii="Calibri" w:eastAsia="Calibri" w:hAnsi="Calibri" w:cs="Calibri"/>
                <w:sz w:val="12"/>
                <w:szCs w:val="12"/>
              </w:rPr>
              <w:t>Jóvenes</w:t>
            </w:r>
            <w:proofErr w:type="spellEnd"/>
            <w:r>
              <w:rPr>
                <w:rFonts w:ascii="Calibri" w:eastAsia="Calibri" w:hAnsi="Calibri" w:cs="Calibri"/>
                <w:sz w:val="12"/>
                <w:szCs w:val="12"/>
              </w:rPr>
              <w:t xml:space="preserve"> Unidos (Padres), Denver, CO</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8ABBFA"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45A5A1D"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93FBA6A"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CDF50F8"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E32197B"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3083FED"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E89426F"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C68645"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519FF46"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163042A" w14:textId="77777777" w:rsidR="004F7B02" w:rsidRDefault="00000000">
            <w:pPr>
              <w:jc w:val="center"/>
              <w:rPr>
                <w:sz w:val="20"/>
                <w:szCs w:val="20"/>
              </w:rPr>
            </w:pPr>
            <w:r>
              <w:rPr>
                <w:sz w:val="14"/>
                <w:szCs w:val="14"/>
              </w:rPr>
              <w:t>x</w:t>
            </w:r>
          </w:p>
        </w:tc>
      </w:tr>
      <w:tr w:rsidR="004F7B02" w14:paraId="3F468F8B"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7E19979D"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6DA61B7" w14:textId="77777777" w:rsidR="004F7B02" w:rsidRDefault="00000000">
            <w:pPr>
              <w:rPr>
                <w:sz w:val="20"/>
                <w:szCs w:val="20"/>
              </w:rPr>
            </w:pPr>
            <w:r>
              <w:rPr>
                <w:rFonts w:ascii="Calibri" w:eastAsia="Calibri" w:hAnsi="Calibri" w:cs="Calibri"/>
                <w:sz w:val="12"/>
                <w:szCs w:val="12"/>
              </w:rPr>
              <w:t>Community Asset Development Re-defining Education (CADRE), Los Angeles, CA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E370BC"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A68D289"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2619D86"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5E4E9A8"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9E4B2EA"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5B08F87"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17F03B0"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0BD4205"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79A6D72"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A6567A9" w14:textId="77777777" w:rsidR="004F7B02" w:rsidRDefault="004F7B02">
            <w:pPr>
              <w:rPr>
                <w:sz w:val="20"/>
                <w:szCs w:val="20"/>
              </w:rPr>
            </w:pPr>
          </w:p>
        </w:tc>
      </w:tr>
      <w:tr w:rsidR="004F7B02" w14:paraId="52A91836"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10FD9679"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6B8264AA" w14:textId="77777777" w:rsidR="004F7B02" w:rsidRDefault="00000000">
            <w:pPr>
              <w:rPr>
                <w:sz w:val="20"/>
                <w:szCs w:val="20"/>
              </w:rPr>
            </w:pPr>
            <w:r>
              <w:rPr>
                <w:rFonts w:ascii="Calibri" w:eastAsia="Calibri" w:hAnsi="Calibri" w:cs="Calibri"/>
                <w:sz w:val="12"/>
                <w:szCs w:val="12"/>
              </w:rPr>
              <w:t>Southwest Organizing Project (SWOP), New Mexico</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45CBD41" w14:textId="77777777" w:rsidR="004F7B02" w:rsidRDefault="004F7B02">
            <w:pPr>
              <w:rPr>
                <w:sz w:val="20"/>
                <w:szCs w:val="20"/>
              </w:rPr>
            </w:pP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4D524E0" w14:textId="77777777" w:rsidR="004F7B02" w:rsidRDefault="004F7B02">
            <w:pPr>
              <w:rPr>
                <w:sz w:val="20"/>
                <w:szCs w:val="20"/>
              </w:rPr>
            </w:pP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FF4A368"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72D9456"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AA092FE"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D33D564"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88E433B"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4B60978"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6963509"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B7D5816" w14:textId="77777777" w:rsidR="004F7B02" w:rsidRDefault="004F7B02">
            <w:pPr>
              <w:rPr>
                <w:sz w:val="20"/>
                <w:szCs w:val="20"/>
              </w:rPr>
            </w:pPr>
          </w:p>
        </w:tc>
      </w:tr>
      <w:tr w:rsidR="004F7B02" w14:paraId="7740F678"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3C12AFC0"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3ED3450" w14:textId="77777777" w:rsidR="004F7B02" w:rsidRDefault="00000000">
            <w:pPr>
              <w:rPr>
                <w:sz w:val="20"/>
                <w:szCs w:val="20"/>
              </w:rPr>
            </w:pPr>
            <w:r>
              <w:rPr>
                <w:rFonts w:ascii="Calibri" w:eastAsia="Calibri" w:hAnsi="Calibri" w:cs="Calibri"/>
                <w:sz w:val="12"/>
                <w:szCs w:val="12"/>
              </w:rPr>
              <w:t>Juvenile Justice Project of Louisiana (Schools First project) New Orleans, LA,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DFCB98E" w14:textId="77777777" w:rsidR="004F7B02" w:rsidRDefault="004F7B02">
            <w:pPr>
              <w:rPr>
                <w:sz w:val="20"/>
                <w:szCs w:val="20"/>
              </w:rPr>
            </w:pP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36743EB"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BA56537"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328B676"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BECB1A5"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267EC8C"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7EA7607"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8BEA2BD"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4760F57"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0375EE9" w14:textId="77777777" w:rsidR="004F7B02" w:rsidRDefault="00000000">
            <w:pPr>
              <w:jc w:val="center"/>
              <w:rPr>
                <w:sz w:val="20"/>
                <w:szCs w:val="20"/>
              </w:rPr>
            </w:pPr>
            <w:r>
              <w:rPr>
                <w:sz w:val="14"/>
                <w:szCs w:val="14"/>
              </w:rPr>
              <w:t>x</w:t>
            </w:r>
          </w:p>
        </w:tc>
      </w:tr>
      <w:tr w:rsidR="004F7B02" w14:paraId="57D9DF8C" w14:textId="77777777">
        <w:trPr>
          <w:trHeight w:val="345"/>
        </w:trPr>
        <w:tc>
          <w:tcPr>
            <w:tcW w:w="945" w:type="dxa"/>
            <w:vMerge w:val="restart"/>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23C5408" w14:textId="77777777" w:rsidR="004F7B02" w:rsidRDefault="00000000">
            <w:pPr>
              <w:rPr>
                <w:rFonts w:ascii="Calibri" w:eastAsia="Calibri" w:hAnsi="Calibri" w:cs="Calibri"/>
                <w:sz w:val="12"/>
                <w:szCs w:val="12"/>
              </w:rPr>
            </w:pPr>
            <w:r>
              <w:rPr>
                <w:rFonts w:ascii="Calibri" w:eastAsia="Calibri" w:hAnsi="Calibri" w:cs="Calibri"/>
                <w:sz w:val="12"/>
                <w:szCs w:val="12"/>
              </w:rPr>
              <w:t>Kamber,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2F7062E4" w14:textId="77777777" w:rsidR="004F7B02" w:rsidRDefault="00000000">
            <w:pPr>
              <w:rPr>
                <w:sz w:val="20"/>
                <w:szCs w:val="20"/>
              </w:rPr>
            </w:pPr>
            <w:r>
              <w:rPr>
                <w:rFonts w:ascii="Calibri" w:eastAsia="Calibri" w:hAnsi="Calibri" w:cs="Calibri"/>
                <w:sz w:val="12"/>
                <w:szCs w:val="12"/>
              </w:rPr>
              <w:t>All Congregations Together (ACT), New Orleans, LA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58E9036"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93F10C1"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3728B3E"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C5475CF"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F384716"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D0BFC5E"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FDD9922"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3489845"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3069710"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EDE0E5C" w14:textId="77777777" w:rsidR="004F7B02" w:rsidRDefault="00000000">
            <w:pPr>
              <w:jc w:val="center"/>
              <w:rPr>
                <w:sz w:val="20"/>
                <w:szCs w:val="20"/>
              </w:rPr>
            </w:pPr>
            <w:r>
              <w:rPr>
                <w:sz w:val="14"/>
                <w:szCs w:val="14"/>
              </w:rPr>
              <w:t>x</w:t>
            </w:r>
          </w:p>
        </w:tc>
      </w:tr>
      <w:tr w:rsidR="004F7B02" w14:paraId="2E607B19" w14:textId="77777777">
        <w:trPr>
          <w:trHeight w:val="315"/>
        </w:trPr>
        <w:tc>
          <w:tcPr>
            <w:tcW w:w="945" w:type="dxa"/>
            <w:vMerge/>
            <w:tcBorders>
              <w:top w:val="single" w:sz="4" w:space="0" w:color="CCCCCC"/>
              <w:left w:val="single" w:sz="4" w:space="0" w:color="CCCCCC"/>
              <w:bottom w:val="single" w:sz="4" w:space="0" w:color="CCCCCC"/>
              <w:right w:val="single" w:sz="4" w:space="0" w:color="CCCCCC"/>
            </w:tcBorders>
          </w:tcPr>
          <w:p w14:paraId="5C61EF13"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41D975A" w14:textId="77777777" w:rsidR="004F7B02" w:rsidRDefault="00000000">
            <w:pPr>
              <w:rPr>
                <w:sz w:val="20"/>
                <w:szCs w:val="20"/>
              </w:rPr>
            </w:pPr>
            <w:r>
              <w:rPr>
                <w:rFonts w:ascii="Calibri" w:eastAsia="Calibri" w:hAnsi="Calibri" w:cs="Calibri"/>
                <w:sz w:val="12"/>
                <w:szCs w:val="12"/>
              </w:rPr>
              <w:t>Southern Echo, Jackson, MS</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E441D4D"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625095C"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5E4E7F7" w14:textId="77777777" w:rsidR="004F7B02" w:rsidRDefault="004F7B02">
            <w:pPr>
              <w:rPr>
                <w:sz w:val="20"/>
                <w:szCs w:val="20"/>
              </w:rPr>
            </w:pP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9A3A488"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5EBB8EA"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F21DC1A"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10584EB"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C92367"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E602651"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9AAF406" w14:textId="77777777" w:rsidR="004F7B02" w:rsidRDefault="00000000">
            <w:pPr>
              <w:jc w:val="center"/>
              <w:rPr>
                <w:sz w:val="20"/>
                <w:szCs w:val="20"/>
              </w:rPr>
            </w:pPr>
            <w:r>
              <w:rPr>
                <w:sz w:val="14"/>
                <w:szCs w:val="14"/>
              </w:rPr>
              <w:t>x</w:t>
            </w:r>
          </w:p>
        </w:tc>
      </w:tr>
      <w:tr w:rsidR="004F7B02" w14:paraId="59EF79D9"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465F3DBB"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ED00BFE" w14:textId="77777777" w:rsidR="004F7B02" w:rsidRDefault="00000000">
            <w:pPr>
              <w:rPr>
                <w:sz w:val="20"/>
                <w:szCs w:val="20"/>
              </w:rPr>
            </w:pPr>
            <w:r>
              <w:rPr>
                <w:rFonts w:ascii="Calibri" w:eastAsia="Calibri" w:hAnsi="Calibri" w:cs="Calibri"/>
                <w:sz w:val="12"/>
                <w:szCs w:val="12"/>
              </w:rPr>
              <w:t>Twenty-First Century Youth Leadership Movement, Alabama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E69000B"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D3367A2"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81B902F"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4774F36"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026B971"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8A4C9F6"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4E4DF21"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B50A10C"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F3F1BB4"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316BA22" w14:textId="77777777" w:rsidR="004F7B02" w:rsidRDefault="00000000">
            <w:pPr>
              <w:jc w:val="center"/>
              <w:rPr>
                <w:sz w:val="20"/>
                <w:szCs w:val="20"/>
              </w:rPr>
            </w:pPr>
            <w:r>
              <w:rPr>
                <w:sz w:val="14"/>
                <w:szCs w:val="14"/>
              </w:rPr>
              <w:t>x</w:t>
            </w:r>
          </w:p>
        </w:tc>
      </w:tr>
      <w:tr w:rsidR="004F7B02" w14:paraId="508BF61D" w14:textId="77777777">
        <w:trPr>
          <w:trHeight w:val="315"/>
        </w:trPr>
        <w:tc>
          <w:tcPr>
            <w:tcW w:w="945" w:type="dxa"/>
            <w:vMerge/>
            <w:tcBorders>
              <w:top w:val="single" w:sz="4" w:space="0" w:color="CCCCCC"/>
              <w:left w:val="single" w:sz="4" w:space="0" w:color="CCCCCC"/>
              <w:bottom w:val="single" w:sz="4" w:space="0" w:color="CCCCCC"/>
              <w:right w:val="single" w:sz="4" w:space="0" w:color="CCCCCC"/>
            </w:tcBorders>
          </w:tcPr>
          <w:p w14:paraId="53226F52"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6B156F6F" w14:textId="77777777" w:rsidR="004F7B02" w:rsidRDefault="00000000">
            <w:pPr>
              <w:rPr>
                <w:sz w:val="20"/>
                <w:szCs w:val="20"/>
              </w:rPr>
            </w:pPr>
            <w:r>
              <w:rPr>
                <w:rFonts w:ascii="Calibri" w:eastAsia="Calibri" w:hAnsi="Calibri" w:cs="Calibri"/>
                <w:sz w:val="12"/>
                <w:szCs w:val="12"/>
              </w:rPr>
              <w:t>Bronx ACORN</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060DC94"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EFAD8EF"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8610105"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C70FF7F"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6068D72"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46D0DE0"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6BA44CF"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EE8B65"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466857F"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C1C30E1" w14:textId="77777777" w:rsidR="004F7B02" w:rsidRDefault="00000000">
            <w:pPr>
              <w:jc w:val="center"/>
              <w:rPr>
                <w:sz w:val="20"/>
                <w:szCs w:val="20"/>
              </w:rPr>
            </w:pPr>
            <w:r>
              <w:rPr>
                <w:sz w:val="14"/>
                <w:szCs w:val="14"/>
              </w:rPr>
              <w:t>x</w:t>
            </w:r>
          </w:p>
        </w:tc>
      </w:tr>
      <w:tr w:rsidR="004F7B02" w14:paraId="64CB0056"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246D903A"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A42C4CF" w14:textId="77777777" w:rsidR="004F7B02" w:rsidRDefault="00000000">
            <w:pPr>
              <w:rPr>
                <w:sz w:val="20"/>
                <w:szCs w:val="20"/>
              </w:rPr>
            </w:pPr>
            <w:r>
              <w:rPr>
                <w:rFonts w:ascii="Calibri" w:eastAsia="Calibri" w:hAnsi="Calibri" w:cs="Calibri"/>
                <w:sz w:val="12"/>
                <w:szCs w:val="12"/>
              </w:rPr>
              <w:t>Citizens Planning and Housing Association, Baltimore, MD</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E84F479" w14:textId="77777777" w:rsidR="004F7B02" w:rsidRDefault="004F7B02">
            <w:pPr>
              <w:rPr>
                <w:sz w:val="20"/>
                <w:szCs w:val="20"/>
              </w:rPr>
            </w:pP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DA36D12" w14:textId="77777777" w:rsidR="004F7B02" w:rsidRDefault="004F7B02">
            <w:pPr>
              <w:rPr>
                <w:sz w:val="20"/>
                <w:szCs w:val="20"/>
              </w:rPr>
            </w:pP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19C1E56" w14:textId="77777777" w:rsidR="004F7B02" w:rsidRDefault="004F7B02">
            <w:pPr>
              <w:rPr>
                <w:sz w:val="20"/>
                <w:szCs w:val="20"/>
              </w:rPr>
            </w:pP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D449810"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B8AA150"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05B4B83"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96CA512"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805A47F"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B844067"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A785F5" w14:textId="77777777" w:rsidR="004F7B02" w:rsidRDefault="00000000">
            <w:pPr>
              <w:jc w:val="center"/>
              <w:rPr>
                <w:sz w:val="20"/>
                <w:szCs w:val="20"/>
              </w:rPr>
            </w:pPr>
            <w:r>
              <w:rPr>
                <w:sz w:val="14"/>
                <w:szCs w:val="14"/>
              </w:rPr>
              <w:t>x</w:t>
            </w:r>
          </w:p>
        </w:tc>
      </w:tr>
      <w:tr w:rsidR="004F7B02" w14:paraId="50740A3D"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5AD8D8A7"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BFC70B5" w14:textId="77777777" w:rsidR="004F7B02" w:rsidRDefault="00000000">
            <w:pPr>
              <w:rPr>
                <w:sz w:val="20"/>
                <w:szCs w:val="20"/>
              </w:rPr>
            </w:pPr>
            <w:r>
              <w:rPr>
                <w:rFonts w:ascii="Calibri" w:eastAsia="Calibri" w:hAnsi="Calibri" w:cs="Calibri"/>
                <w:sz w:val="12"/>
                <w:szCs w:val="12"/>
              </w:rPr>
              <w:t>Citizens of Louisville Organized and United Together (CLOUT), Louisville, KY</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E7CBB21"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239FA2"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BAFB7A2" w14:textId="77777777" w:rsidR="004F7B02" w:rsidRDefault="004F7B02">
            <w:pPr>
              <w:rPr>
                <w:sz w:val="20"/>
                <w:szCs w:val="20"/>
              </w:rPr>
            </w:pP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F249B06"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A5BDF25"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18C3722"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2BB8AA"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7583D21"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F2E0B9A"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480135F" w14:textId="77777777" w:rsidR="004F7B02" w:rsidRDefault="004F7B02">
            <w:pPr>
              <w:rPr>
                <w:sz w:val="20"/>
                <w:szCs w:val="20"/>
              </w:rPr>
            </w:pPr>
          </w:p>
        </w:tc>
      </w:tr>
      <w:tr w:rsidR="004F7B02" w14:paraId="6A140C6A" w14:textId="77777777">
        <w:trPr>
          <w:trHeight w:val="345"/>
        </w:trPr>
        <w:tc>
          <w:tcPr>
            <w:tcW w:w="945" w:type="dxa"/>
            <w:vMerge w:val="restart"/>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EB9A120" w14:textId="77777777" w:rsidR="004F7B02" w:rsidRDefault="00000000">
            <w:pPr>
              <w:rPr>
                <w:rFonts w:ascii="Calibri" w:eastAsia="Calibri" w:hAnsi="Calibri" w:cs="Calibri"/>
                <w:sz w:val="12"/>
                <w:szCs w:val="12"/>
              </w:rPr>
            </w:pPr>
            <w:r>
              <w:rPr>
                <w:rFonts w:ascii="Calibri" w:eastAsia="Calibri" w:hAnsi="Calibri" w:cs="Calibri"/>
                <w:sz w:val="12"/>
                <w:szCs w:val="12"/>
              </w:rPr>
              <w:t>Mediratta,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2670FBC" w14:textId="77777777" w:rsidR="004F7B02" w:rsidRDefault="00000000">
            <w:pPr>
              <w:rPr>
                <w:sz w:val="20"/>
                <w:szCs w:val="20"/>
              </w:rPr>
            </w:pPr>
            <w:r>
              <w:rPr>
                <w:rFonts w:ascii="Calibri" w:eastAsia="Calibri" w:hAnsi="Calibri" w:cs="Calibri"/>
                <w:sz w:val="12"/>
                <w:szCs w:val="12"/>
              </w:rPr>
              <w:t>Asian and Pacific Islanders for Reproductive Health (APIRH), Long Beach, CA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6D3613C"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6460EA5"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8ACA43D"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22578E6"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9BE700" w14:textId="77777777" w:rsidR="004F7B02" w:rsidRDefault="00000000">
            <w:pPr>
              <w:jc w:val="center"/>
              <w:rPr>
                <w:sz w:val="20"/>
                <w:szCs w:val="20"/>
              </w:rPr>
            </w:pPr>
            <w:r>
              <w:rPr>
                <w:sz w:val="14"/>
                <w:szCs w:val="14"/>
              </w:rPr>
              <w:t>x</w:t>
            </w: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1F99D81"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01C21AD"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244C316"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FD09A6"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067D2F0" w14:textId="77777777" w:rsidR="004F7B02" w:rsidRDefault="00000000">
            <w:pPr>
              <w:jc w:val="center"/>
              <w:rPr>
                <w:sz w:val="20"/>
                <w:szCs w:val="20"/>
              </w:rPr>
            </w:pPr>
            <w:r>
              <w:rPr>
                <w:sz w:val="14"/>
                <w:szCs w:val="14"/>
              </w:rPr>
              <w:t>x</w:t>
            </w:r>
          </w:p>
        </w:tc>
      </w:tr>
      <w:tr w:rsidR="004F7B02" w14:paraId="57312DAC"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1E2D3D70"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89ABFFD" w14:textId="77777777" w:rsidR="004F7B02" w:rsidRDefault="00000000">
            <w:pPr>
              <w:rPr>
                <w:sz w:val="20"/>
                <w:szCs w:val="20"/>
              </w:rPr>
            </w:pPr>
            <w:r>
              <w:rPr>
                <w:rFonts w:ascii="Calibri" w:eastAsia="Calibri" w:hAnsi="Calibri" w:cs="Calibri"/>
                <w:sz w:val="12"/>
                <w:szCs w:val="12"/>
              </w:rPr>
              <w:t>Concerned Citizens for a Better Tunica County (CCBTA)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3C41FA1"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5FE51B5"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8916E16"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E3919F6"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FA5AF49"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24250D8"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52459B1"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E91B25D"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6749C88"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2A60C43" w14:textId="77777777" w:rsidR="004F7B02" w:rsidRDefault="00000000">
            <w:pPr>
              <w:jc w:val="center"/>
              <w:rPr>
                <w:sz w:val="20"/>
                <w:szCs w:val="20"/>
              </w:rPr>
            </w:pPr>
            <w:r>
              <w:rPr>
                <w:sz w:val="14"/>
                <w:szCs w:val="14"/>
              </w:rPr>
              <w:t>x</w:t>
            </w:r>
          </w:p>
        </w:tc>
      </w:tr>
      <w:tr w:rsidR="004F7B02" w14:paraId="6C58A76B" w14:textId="77777777">
        <w:trPr>
          <w:trHeight w:val="315"/>
        </w:trPr>
        <w:tc>
          <w:tcPr>
            <w:tcW w:w="945" w:type="dxa"/>
            <w:vMerge/>
            <w:tcBorders>
              <w:top w:val="single" w:sz="4" w:space="0" w:color="CCCCCC"/>
              <w:left w:val="single" w:sz="4" w:space="0" w:color="CCCCCC"/>
              <w:bottom w:val="single" w:sz="4" w:space="0" w:color="CCCCCC"/>
              <w:right w:val="single" w:sz="4" w:space="0" w:color="CCCCCC"/>
            </w:tcBorders>
          </w:tcPr>
          <w:p w14:paraId="14B1F654"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A43BC00" w14:textId="77777777" w:rsidR="004F7B02" w:rsidRDefault="00000000">
            <w:pPr>
              <w:rPr>
                <w:sz w:val="20"/>
                <w:szCs w:val="20"/>
              </w:rPr>
            </w:pPr>
            <w:r>
              <w:rPr>
                <w:rFonts w:ascii="Calibri" w:eastAsia="Calibri" w:hAnsi="Calibri" w:cs="Calibri"/>
                <w:sz w:val="12"/>
                <w:szCs w:val="12"/>
              </w:rPr>
              <w:t>Washington Interfaith Network (WIN)</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3900A6A"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7EC6A1D" w14:textId="77777777" w:rsidR="004F7B02" w:rsidRDefault="004F7B02">
            <w:pPr>
              <w:rPr>
                <w:sz w:val="20"/>
                <w:szCs w:val="20"/>
              </w:rPr>
            </w:pP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3AF99B3"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A84696"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CA8CB2C"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287395E"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8B09196"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8CDD113"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ADABED7"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4D7F82E" w14:textId="77777777" w:rsidR="004F7B02" w:rsidRDefault="00000000">
            <w:pPr>
              <w:jc w:val="center"/>
              <w:rPr>
                <w:sz w:val="20"/>
                <w:szCs w:val="20"/>
              </w:rPr>
            </w:pPr>
            <w:r>
              <w:rPr>
                <w:sz w:val="14"/>
                <w:szCs w:val="14"/>
              </w:rPr>
              <w:t>x</w:t>
            </w:r>
          </w:p>
        </w:tc>
      </w:tr>
      <w:tr w:rsidR="004F7B02" w14:paraId="33E16417"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201BA23E"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5F2BED6D" w14:textId="77777777" w:rsidR="004F7B02" w:rsidRDefault="00000000">
            <w:pPr>
              <w:rPr>
                <w:sz w:val="20"/>
                <w:szCs w:val="20"/>
              </w:rPr>
            </w:pPr>
            <w:r>
              <w:rPr>
                <w:rFonts w:ascii="Calibri" w:eastAsia="Calibri" w:hAnsi="Calibri" w:cs="Calibri"/>
                <w:sz w:val="12"/>
                <w:szCs w:val="12"/>
              </w:rPr>
              <w:t>Youth United for Change (YUC), Philadelphia, PA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34064B0"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863719A"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A0A0D98"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EB8423B"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DD1AC3F"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FC9CC6B"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BB4156B"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6A6569B"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6553CA6"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F045299" w14:textId="77777777" w:rsidR="004F7B02" w:rsidRDefault="00000000">
            <w:pPr>
              <w:jc w:val="center"/>
              <w:rPr>
                <w:sz w:val="20"/>
                <w:szCs w:val="20"/>
              </w:rPr>
            </w:pPr>
            <w:r>
              <w:rPr>
                <w:sz w:val="14"/>
                <w:szCs w:val="14"/>
              </w:rPr>
              <w:t>x</w:t>
            </w:r>
          </w:p>
        </w:tc>
      </w:tr>
      <w:tr w:rsidR="004F7B02" w14:paraId="0B02DEEA" w14:textId="77777777">
        <w:trPr>
          <w:trHeight w:val="49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68C99C25" w14:textId="77777777" w:rsidR="004F7B02" w:rsidRDefault="00000000">
            <w:pPr>
              <w:rPr>
                <w:sz w:val="20"/>
                <w:szCs w:val="20"/>
              </w:rPr>
            </w:pPr>
            <w:r>
              <w:rPr>
                <w:rFonts w:ascii="Calibri" w:eastAsia="Calibri" w:hAnsi="Calibri" w:cs="Calibri"/>
                <w:sz w:val="12"/>
                <w:szCs w:val="12"/>
              </w:rPr>
              <w:t>Zachary &amp; Olatoye, 2001, Mediratta,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97836D2" w14:textId="77777777" w:rsidR="004F7B02" w:rsidRDefault="00000000">
            <w:pPr>
              <w:rPr>
                <w:sz w:val="20"/>
                <w:szCs w:val="20"/>
              </w:rPr>
            </w:pPr>
            <w:r>
              <w:rPr>
                <w:rFonts w:ascii="Calibri" w:eastAsia="Calibri" w:hAnsi="Calibri" w:cs="Calibri"/>
                <w:sz w:val="12"/>
                <w:szCs w:val="12"/>
              </w:rPr>
              <w:t>Parent Action Committee - South Bronx, NYC</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3DBE809"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66181A1"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5B6C798"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013DE59"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545C4C9"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09B45A8"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FCC3ACA"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8F81B7F"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1438EE2"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7CD5356" w14:textId="77777777" w:rsidR="004F7B02" w:rsidRDefault="00000000">
            <w:pPr>
              <w:jc w:val="center"/>
              <w:rPr>
                <w:sz w:val="20"/>
                <w:szCs w:val="20"/>
              </w:rPr>
            </w:pPr>
            <w:r>
              <w:rPr>
                <w:sz w:val="14"/>
                <w:szCs w:val="14"/>
              </w:rPr>
              <w:t>x</w:t>
            </w:r>
          </w:p>
        </w:tc>
      </w:tr>
      <w:tr w:rsidR="004F7B02" w14:paraId="3D27699F"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82E743A" w14:textId="77777777" w:rsidR="004F7B02" w:rsidRPr="001E78C6" w:rsidRDefault="00000000">
            <w:pPr>
              <w:rPr>
                <w:sz w:val="20"/>
                <w:szCs w:val="20"/>
                <w:lang w:val="sv-SE"/>
              </w:rPr>
            </w:pPr>
            <w:r w:rsidRPr="001E78C6">
              <w:rPr>
                <w:rFonts w:ascii="Calibri" w:eastAsia="Calibri" w:hAnsi="Calibri" w:cs="Calibri"/>
                <w:sz w:val="12"/>
                <w:szCs w:val="12"/>
                <w:lang w:val="sv-SE"/>
              </w:rPr>
              <w:t>Gold, et al. 2002, Mediratta,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792D97E7" w14:textId="77777777" w:rsidR="004F7B02" w:rsidRDefault="00000000">
            <w:pPr>
              <w:rPr>
                <w:sz w:val="20"/>
                <w:szCs w:val="20"/>
              </w:rPr>
            </w:pPr>
            <w:r>
              <w:rPr>
                <w:rFonts w:ascii="Calibri" w:eastAsia="Calibri" w:hAnsi="Calibri" w:cs="Calibri"/>
                <w:sz w:val="12"/>
                <w:szCs w:val="12"/>
              </w:rPr>
              <w:t>New York City ACORN</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5297A04"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33AEA76" w14:textId="77777777" w:rsidR="004F7B02" w:rsidRDefault="004F7B02">
            <w:pPr>
              <w:rPr>
                <w:sz w:val="20"/>
                <w:szCs w:val="20"/>
              </w:rPr>
            </w:pP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6415FC7"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503FD89"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52229A1"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AA3F146"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E6BDC41"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AED6A94"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11E75BF"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8981341" w14:textId="77777777" w:rsidR="004F7B02" w:rsidRDefault="00000000">
            <w:pPr>
              <w:jc w:val="center"/>
              <w:rPr>
                <w:sz w:val="20"/>
                <w:szCs w:val="20"/>
              </w:rPr>
            </w:pPr>
            <w:r>
              <w:rPr>
                <w:sz w:val="14"/>
                <w:szCs w:val="14"/>
              </w:rPr>
              <w:t>x</w:t>
            </w:r>
          </w:p>
        </w:tc>
      </w:tr>
      <w:tr w:rsidR="004F7B02" w14:paraId="4A9281A0"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2C0BDDC4" w14:textId="77777777" w:rsidR="004F7B02" w:rsidRDefault="00000000">
            <w:pPr>
              <w:rPr>
                <w:sz w:val="20"/>
                <w:szCs w:val="20"/>
              </w:rPr>
            </w:pPr>
            <w:r>
              <w:rPr>
                <w:rFonts w:ascii="Calibri" w:eastAsia="Calibri" w:hAnsi="Calibri" w:cs="Calibri"/>
                <w:sz w:val="12"/>
                <w:szCs w:val="12"/>
              </w:rPr>
              <w:t>Gonzalez, 2015, Mediratta,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5E477C59" w14:textId="77777777" w:rsidR="004F7B02" w:rsidRDefault="00000000">
            <w:pPr>
              <w:rPr>
                <w:sz w:val="20"/>
                <w:szCs w:val="20"/>
              </w:rPr>
            </w:pPr>
            <w:r>
              <w:rPr>
                <w:rFonts w:ascii="Calibri" w:eastAsia="Calibri" w:hAnsi="Calibri" w:cs="Calibri"/>
                <w:sz w:val="12"/>
                <w:szCs w:val="12"/>
              </w:rPr>
              <w:t xml:space="preserve">South Central Youth Empowered </w:t>
            </w:r>
            <w:proofErr w:type="gramStart"/>
            <w:r>
              <w:rPr>
                <w:rFonts w:ascii="Calibri" w:eastAsia="Calibri" w:hAnsi="Calibri" w:cs="Calibri"/>
                <w:sz w:val="12"/>
                <w:szCs w:val="12"/>
              </w:rPr>
              <w:t>thru</w:t>
            </w:r>
            <w:proofErr w:type="gramEnd"/>
            <w:r>
              <w:rPr>
                <w:rFonts w:ascii="Calibri" w:eastAsia="Calibri" w:hAnsi="Calibri" w:cs="Calibri"/>
                <w:sz w:val="12"/>
                <w:szCs w:val="12"/>
              </w:rPr>
              <w:t xml:space="preserve"> Action (SCYEA), Los Angeles, CA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77A3B7E"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74956D2"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3948E7B"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52AD682"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773FA30"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751EFC9"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D68BE86"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661DF9E"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3CC6813"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3C152CE" w14:textId="77777777" w:rsidR="004F7B02" w:rsidRDefault="00000000">
            <w:pPr>
              <w:jc w:val="center"/>
              <w:rPr>
                <w:sz w:val="20"/>
                <w:szCs w:val="20"/>
              </w:rPr>
            </w:pPr>
            <w:r>
              <w:rPr>
                <w:sz w:val="14"/>
                <w:szCs w:val="14"/>
              </w:rPr>
              <w:t>x</w:t>
            </w:r>
          </w:p>
        </w:tc>
      </w:tr>
      <w:tr w:rsidR="004F7B02" w14:paraId="1EF64D63"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7183BA54" w14:textId="77777777" w:rsidR="004F7B02" w:rsidRDefault="00000000">
            <w:pPr>
              <w:rPr>
                <w:sz w:val="20"/>
                <w:szCs w:val="20"/>
              </w:rPr>
            </w:pPr>
            <w:r>
              <w:rPr>
                <w:rFonts w:ascii="Calibri" w:eastAsia="Calibri" w:hAnsi="Calibri" w:cs="Calibri"/>
                <w:sz w:val="12"/>
                <w:szCs w:val="12"/>
              </w:rPr>
              <w:t>Kamber, 2002, Gold,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6590153C" w14:textId="77777777" w:rsidR="004F7B02" w:rsidRDefault="00000000">
            <w:pPr>
              <w:rPr>
                <w:sz w:val="20"/>
                <w:szCs w:val="20"/>
              </w:rPr>
            </w:pPr>
            <w:r>
              <w:rPr>
                <w:rFonts w:ascii="Calibri" w:eastAsia="Calibri" w:hAnsi="Calibri" w:cs="Calibri"/>
                <w:sz w:val="12"/>
                <w:szCs w:val="12"/>
              </w:rPr>
              <w:t>Alliance Organizing Project (AOP), Philadelphia, PA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38B8E37"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DBB1A3"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63ABC5E"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6592942"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5908AEA"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52E06DB"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1C9BCDA"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35EC0FF"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51EF39F"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F74CD56" w14:textId="77777777" w:rsidR="004F7B02" w:rsidRDefault="00000000">
            <w:pPr>
              <w:jc w:val="center"/>
              <w:rPr>
                <w:sz w:val="20"/>
                <w:szCs w:val="20"/>
              </w:rPr>
            </w:pPr>
            <w:r>
              <w:rPr>
                <w:sz w:val="14"/>
                <w:szCs w:val="14"/>
              </w:rPr>
              <w:t>x</w:t>
            </w:r>
          </w:p>
        </w:tc>
      </w:tr>
      <w:tr w:rsidR="004F7B02" w14:paraId="5E310838" w14:textId="77777777">
        <w:trPr>
          <w:trHeight w:val="345"/>
        </w:trPr>
        <w:tc>
          <w:tcPr>
            <w:tcW w:w="9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6A038D14" w14:textId="77777777" w:rsidR="004F7B02" w:rsidRDefault="00000000">
            <w:pPr>
              <w:rPr>
                <w:sz w:val="20"/>
                <w:szCs w:val="20"/>
              </w:rPr>
            </w:pPr>
            <w:r>
              <w:rPr>
                <w:rFonts w:ascii="Calibri" w:eastAsia="Calibri" w:hAnsi="Calibri" w:cs="Calibri"/>
                <w:sz w:val="12"/>
                <w:szCs w:val="12"/>
              </w:rPr>
              <w:t>Nygreen, 2016, Nygreen 2017a, Nygreen 2017b</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2548285C" w14:textId="77777777" w:rsidR="004F7B02" w:rsidRDefault="00000000">
            <w:pPr>
              <w:rPr>
                <w:sz w:val="20"/>
                <w:szCs w:val="20"/>
              </w:rPr>
            </w:pPr>
            <w:r>
              <w:rPr>
                <w:rFonts w:ascii="Calibri" w:eastAsia="Calibri" w:hAnsi="Calibri" w:cs="Calibri"/>
                <w:sz w:val="12"/>
                <w:szCs w:val="12"/>
              </w:rPr>
              <w:t>Alianza, Community-Based Organization (CBO), El Cerrito, CA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C412112"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99E8C9A"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284BA59"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8EDD056"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65E2B36" w14:textId="77777777" w:rsidR="004F7B02" w:rsidRDefault="00000000">
            <w:pPr>
              <w:jc w:val="center"/>
              <w:rPr>
                <w:sz w:val="20"/>
                <w:szCs w:val="20"/>
              </w:rPr>
            </w:pPr>
            <w:r>
              <w:rPr>
                <w:sz w:val="14"/>
                <w:szCs w:val="14"/>
              </w:rPr>
              <w:t>x</w:t>
            </w: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5ACAAC2"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C1F9CEF"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3D4491B"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0540D7"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E953C25" w14:textId="77777777" w:rsidR="004F7B02" w:rsidRDefault="004F7B02">
            <w:pPr>
              <w:rPr>
                <w:sz w:val="20"/>
                <w:szCs w:val="20"/>
              </w:rPr>
            </w:pPr>
          </w:p>
        </w:tc>
      </w:tr>
      <w:tr w:rsidR="004F7B02" w14:paraId="4DA65803" w14:textId="77777777">
        <w:trPr>
          <w:trHeight w:val="630"/>
        </w:trPr>
        <w:tc>
          <w:tcPr>
            <w:tcW w:w="9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1A1546B4" w14:textId="77777777" w:rsidR="004F7B02" w:rsidRDefault="00000000">
            <w:pPr>
              <w:rPr>
                <w:sz w:val="20"/>
                <w:szCs w:val="20"/>
              </w:rPr>
            </w:pPr>
            <w:r>
              <w:rPr>
                <w:rFonts w:ascii="Calibri" w:eastAsia="Calibri" w:hAnsi="Calibri" w:cs="Calibri"/>
                <w:sz w:val="12"/>
                <w:szCs w:val="12"/>
              </w:rPr>
              <w:t>Renée &amp; McAlister, 2011, Glickman &amp; Scally, 2008 Gold, et al. 2002, Mediratta,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D46329E" w14:textId="77777777" w:rsidR="004F7B02" w:rsidRDefault="00000000">
            <w:pPr>
              <w:rPr>
                <w:sz w:val="20"/>
                <w:szCs w:val="20"/>
              </w:rPr>
            </w:pPr>
            <w:r>
              <w:rPr>
                <w:rFonts w:ascii="Calibri" w:eastAsia="Calibri" w:hAnsi="Calibri" w:cs="Calibri"/>
                <w:sz w:val="12"/>
                <w:szCs w:val="12"/>
              </w:rPr>
              <w:t>Logan Square Neighborhood Association (LSNA)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910BF53"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288AA85"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0028236"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B4A3FEA"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A82B5DE"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387F8E3"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64043D"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0387F5"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C8375C7"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A4A40D7" w14:textId="77777777" w:rsidR="004F7B02" w:rsidRDefault="00000000">
            <w:pPr>
              <w:jc w:val="center"/>
              <w:rPr>
                <w:sz w:val="20"/>
                <w:szCs w:val="20"/>
              </w:rPr>
            </w:pPr>
            <w:r>
              <w:rPr>
                <w:sz w:val="14"/>
                <w:szCs w:val="14"/>
              </w:rPr>
              <w:t>x</w:t>
            </w:r>
          </w:p>
        </w:tc>
      </w:tr>
      <w:tr w:rsidR="004F7B02" w14:paraId="7E4B860D" w14:textId="77777777">
        <w:trPr>
          <w:trHeight w:val="630"/>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18B581D" w14:textId="77777777" w:rsidR="004F7B02" w:rsidRDefault="00000000">
            <w:pPr>
              <w:rPr>
                <w:sz w:val="20"/>
                <w:szCs w:val="20"/>
              </w:rPr>
            </w:pPr>
            <w:r>
              <w:rPr>
                <w:rFonts w:ascii="Calibri" w:eastAsia="Calibri" w:hAnsi="Calibri" w:cs="Calibri"/>
                <w:sz w:val="12"/>
                <w:szCs w:val="12"/>
              </w:rPr>
              <w:t>Gold et al., 2004, Gold, et al. 2002, Glickman &amp; Scally 2008, Mediratta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59C00F06" w14:textId="77777777" w:rsidR="004F7B02" w:rsidRDefault="00000000">
            <w:pPr>
              <w:rPr>
                <w:sz w:val="20"/>
                <w:szCs w:val="20"/>
              </w:rPr>
            </w:pPr>
            <w:r>
              <w:rPr>
                <w:rFonts w:ascii="Calibri" w:eastAsia="Calibri" w:hAnsi="Calibri" w:cs="Calibri"/>
                <w:sz w:val="12"/>
                <w:szCs w:val="12"/>
              </w:rPr>
              <w:t>Oakland Community Organizations (OCO)</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80D45C1"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039C39E"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31281AD"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805BEAA"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F703A20"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F72CA93"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1D22113"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54BAE2B"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365806A"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7FC1F59" w14:textId="77777777" w:rsidR="004F7B02" w:rsidRDefault="00000000">
            <w:pPr>
              <w:jc w:val="center"/>
              <w:rPr>
                <w:sz w:val="20"/>
                <w:szCs w:val="20"/>
              </w:rPr>
            </w:pPr>
            <w:r>
              <w:rPr>
                <w:sz w:val="14"/>
                <w:szCs w:val="14"/>
              </w:rPr>
              <w:t>x</w:t>
            </w:r>
          </w:p>
        </w:tc>
      </w:tr>
      <w:tr w:rsidR="004F7B02" w14:paraId="64928D5C" w14:textId="77777777">
        <w:trPr>
          <w:trHeight w:val="495"/>
        </w:trPr>
        <w:tc>
          <w:tcPr>
            <w:tcW w:w="9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32629011" w14:textId="77777777" w:rsidR="004F7B02" w:rsidRDefault="00000000">
            <w:pPr>
              <w:rPr>
                <w:sz w:val="20"/>
                <w:szCs w:val="20"/>
              </w:rPr>
            </w:pPr>
            <w:r>
              <w:rPr>
                <w:rFonts w:ascii="Calibri" w:eastAsia="Calibri" w:hAnsi="Calibri" w:cs="Calibri"/>
                <w:sz w:val="12"/>
                <w:szCs w:val="12"/>
              </w:rPr>
              <w:t>Glickman &amp; Scally, 2008, Gold, et al., 2002, Kamber,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A3DB305" w14:textId="77777777" w:rsidR="004F7B02" w:rsidRDefault="00000000">
            <w:pPr>
              <w:rPr>
                <w:sz w:val="20"/>
                <w:szCs w:val="20"/>
              </w:rPr>
            </w:pPr>
            <w:r>
              <w:rPr>
                <w:rFonts w:ascii="Calibri" w:eastAsia="Calibri" w:hAnsi="Calibri" w:cs="Calibri"/>
                <w:sz w:val="12"/>
                <w:szCs w:val="12"/>
              </w:rPr>
              <w:t>Austin Interfaith - Industrial Areas Foundation Affiliate</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C098E4B"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5A4DE64"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0F461A4"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A52BD12"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32C5C58"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7DF58A9"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E592A2F"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DB40EF0"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FADDA10"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937F96" w14:textId="77777777" w:rsidR="004F7B02" w:rsidRDefault="00000000">
            <w:pPr>
              <w:jc w:val="center"/>
              <w:rPr>
                <w:sz w:val="20"/>
                <w:szCs w:val="20"/>
              </w:rPr>
            </w:pPr>
            <w:r>
              <w:rPr>
                <w:sz w:val="14"/>
                <w:szCs w:val="14"/>
              </w:rPr>
              <w:t>x</w:t>
            </w:r>
          </w:p>
        </w:tc>
      </w:tr>
    </w:tbl>
    <w:p w14:paraId="6545E39A" w14:textId="4F7886BB" w:rsidR="004F7B02" w:rsidRDefault="00000000">
      <w:pPr>
        <w:rPr>
          <w:b/>
          <w:bCs/>
          <w:highlight w:val="white"/>
        </w:rPr>
      </w:pPr>
      <w:r>
        <w:rPr>
          <w:b/>
          <w:bCs/>
          <w:highlight w:val="white"/>
        </w:rPr>
        <w:t xml:space="preserve">Resources: Funding </w:t>
      </w:r>
      <w:r w:rsidR="00C82E3E">
        <w:rPr>
          <w:b/>
          <w:bCs/>
          <w:highlight w:val="white"/>
        </w:rPr>
        <w:t>and</w:t>
      </w:r>
      <w:r>
        <w:rPr>
          <w:b/>
          <w:bCs/>
          <w:highlight w:val="white"/>
        </w:rPr>
        <w:t xml:space="preserve"> Facilities</w:t>
      </w:r>
    </w:p>
    <w:p w14:paraId="45397B56" w14:textId="713328E0" w:rsidR="004F7B02" w:rsidRDefault="00000000">
      <w:pPr>
        <w:rPr>
          <w:highlight w:val="white"/>
        </w:rPr>
      </w:pPr>
      <w:proofErr w:type="spellStart"/>
      <w:r>
        <w:rPr>
          <w:highlight w:val="white"/>
        </w:rPr>
        <w:t>Organised</w:t>
      </w:r>
      <w:proofErr w:type="spellEnd"/>
      <w:r>
        <w:rPr>
          <w:highlight w:val="white"/>
        </w:rPr>
        <w:t xml:space="preserve"> communities have secured substantial funding for school facilities and academic </w:t>
      </w:r>
      <w:proofErr w:type="spellStart"/>
      <w:r w:rsidR="00BC05D5">
        <w:rPr>
          <w:highlight w:val="white"/>
        </w:rPr>
        <w:t>programmes</w:t>
      </w:r>
      <w:proofErr w:type="spellEnd"/>
      <w:r>
        <w:rPr>
          <w:highlight w:val="white"/>
        </w:rPr>
        <w:t xml:space="preserve">, winning hundreds of millions of dollars across multiple cities. Victories include $650 million in state funding to address racial inequities in Mississippi (Kamber, 2002), major school construction and repair investments in Chicago, Los Angeles, and Oakland (Gold et al., 2002; González, 2015; Gold et al., 2004), and targeted reallocations to expand community outreach and after-school provision in Boston, Austin, and Washington, D.C. (Evans &amp; Shirley, 2008; Gold et al., 2002; Glickman &amp; Scally, 2008). Some victories were compromised, however. Despite community campaigns, a large number of schools closed regardless, and some </w:t>
      </w:r>
      <w:r>
        <w:rPr>
          <w:highlight w:val="white"/>
        </w:rPr>
        <w:lastRenderedPageBreak/>
        <w:t xml:space="preserve">communities secured only partial wins in which </w:t>
      </w:r>
      <w:proofErr w:type="spellStart"/>
      <w:r>
        <w:rPr>
          <w:highlight w:val="white"/>
        </w:rPr>
        <w:t>organising</w:t>
      </w:r>
      <w:proofErr w:type="spellEnd"/>
      <w:r>
        <w:rPr>
          <w:highlight w:val="white"/>
        </w:rPr>
        <w:t xml:space="preserve"> efforts pivoted towards an after-school service provision model that abandoned their transformative vision and embraced the neoliberal agenda by focusing on improving students' </w:t>
      </w:r>
      <w:proofErr w:type="spellStart"/>
      <w:r>
        <w:rPr>
          <w:highlight w:val="white"/>
        </w:rPr>
        <w:t>standardised</w:t>
      </w:r>
      <w:proofErr w:type="spellEnd"/>
      <w:r>
        <w:rPr>
          <w:highlight w:val="white"/>
        </w:rPr>
        <w:t xml:space="preserve"> test scores (Ramos &amp; Jani, 2025; Freelon, 2022; Nygreen, 2017a). Communities in Philadelphia and Chicago managed to retain some schools in public </w:t>
      </w:r>
      <w:r w:rsidR="00E23DA9">
        <w:rPr>
          <w:highlight w:val="white"/>
        </w:rPr>
        <w:t>ownership but</w:t>
      </w:r>
      <w:r>
        <w:rPr>
          <w:highlight w:val="white"/>
        </w:rPr>
        <w:t xml:space="preserve"> failed to secure shared governance structures; instead, they transitioned to a service provision model, which </w:t>
      </w:r>
      <w:proofErr w:type="spellStart"/>
      <w:r>
        <w:rPr>
          <w:highlight w:val="white"/>
        </w:rPr>
        <w:t>prioritised</w:t>
      </w:r>
      <w:proofErr w:type="spellEnd"/>
      <w:r>
        <w:rPr>
          <w:highlight w:val="white"/>
        </w:rPr>
        <w:t xml:space="preserve"> professionals over parents in decision-making processes (Goessling et al., 2024; Welton &amp; Freelon, 2018). The financial fragility of local groups and internal disagreements over whether to pursue service delivery or community power-building strategies produced further challenges to the long-term sustainability of the </w:t>
      </w:r>
      <w:proofErr w:type="spellStart"/>
      <w:r>
        <w:rPr>
          <w:highlight w:val="white"/>
        </w:rPr>
        <w:t>organising</w:t>
      </w:r>
      <w:proofErr w:type="spellEnd"/>
      <w:r>
        <w:rPr>
          <w:highlight w:val="white"/>
        </w:rPr>
        <w:t xml:space="preserve"> efforts (Nygreen, 2017b; Goessling et al., 2024).</w:t>
      </w:r>
    </w:p>
    <w:p w14:paraId="493D7DC4" w14:textId="77777777" w:rsidR="004F7B02" w:rsidRDefault="004F7B02">
      <w:pPr>
        <w:rPr>
          <w:highlight w:val="white"/>
        </w:rPr>
      </w:pPr>
    </w:p>
    <w:p w14:paraId="570E94C7" w14:textId="77777777" w:rsidR="004F7B02" w:rsidRDefault="00000000">
      <w:pPr>
        <w:rPr>
          <w:b/>
          <w:bCs/>
          <w:highlight w:val="white"/>
        </w:rPr>
      </w:pPr>
      <w:r>
        <w:rPr>
          <w:b/>
          <w:bCs/>
          <w:highlight w:val="white"/>
        </w:rPr>
        <w:t>Recognition and Greater Accountability</w:t>
      </w:r>
    </w:p>
    <w:p w14:paraId="656E888F" w14:textId="0229B6EE" w:rsidR="004F7B02" w:rsidRDefault="00000000">
      <w:pPr>
        <w:rPr>
          <w:highlight w:val="white"/>
        </w:rPr>
      </w:pPr>
      <w:r>
        <w:rPr>
          <w:highlight w:val="white"/>
        </w:rPr>
        <w:t xml:space="preserve">Communities have had success in forcing school systems to acknowledge parents and students and hold officials accountable for failure. Mothers on the Move in New York City forced a district superintendent to retire and successfully elected their own representatives to the school board (Glickman &amp; Scally, 2008; Kamber, 2002), and in Seattle, parents forced the removal of a co-principal and gained influence over the hiring of nearly 20 teachers (Ishimaru, 2018). Oakland Community Organizations won a formal role </w:t>
      </w:r>
      <w:r w:rsidR="00BC05D5">
        <w:rPr>
          <w:highlight w:val="white"/>
        </w:rPr>
        <w:t>in</w:t>
      </w:r>
      <w:r>
        <w:rPr>
          <w:highlight w:val="white"/>
        </w:rPr>
        <w:t xml:space="preserve"> the design teams for new schools, ensuring parents were partners in selecting and approving school models (Gold et al., 2002). The Parent Action Committee in the South Bronx, which had been previously sidelined by school officials, successfully campaigned for the removal of the school principal after exposing that only 17% of students were reading at grade level (Zachary &amp; Olatoye, 2001). It should be noted, however, that although they were successful in securing the removal of the principal, they had little power over the selection of the next one. The new principal didn’t implement the changes that had been agreed with the previous administration (Zachary &amp; Olatoye, 2001). This is a similar outcome to that of communities in New York, who successfully negotiated a new protocol for equality of access to education, but the policy was never enacted, and a change in leadership forced the communities to restart the </w:t>
      </w:r>
      <w:proofErr w:type="spellStart"/>
      <w:r>
        <w:rPr>
          <w:highlight w:val="white"/>
        </w:rPr>
        <w:t>organising</w:t>
      </w:r>
      <w:proofErr w:type="spellEnd"/>
      <w:r>
        <w:rPr>
          <w:highlight w:val="white"/>
        </w:rPr>
        <w:t xml:space="preserve"> process (Gold et al., 2002). At Rainier Beach High School, key individual leaders moved on to other roles, and the collaborative activity that had emerged began to dissipate (Ishimaru, 2018). A reliance on volunteer </w:t>
      </w:r>
      <w:proofErr w:type="spellStart"/>
      <w:r>
        <w:rPr>
          <w:highlight w:val="white"/>
        </w:rPr>
        <w:t>labour</w:t>
      </w:r>
      <w:proofErr w:type="spellEnd"/>
      <w:r>
        <w:rPr>
          <w:highlight w:val="white"/>
        </w:rPr>
        <w:t xml:space="preserve"> can be a barrier to the sustainability of </w:t>
      </w:r>
      <w:proofErr w:type="spellStart"/>
      <w:r>
        <w:rPr>
          <w:highlight w:val="white"/>
        </w:rPr>
        <w:t>organising</w:t>
      </w:r>
      <w:proofErr w:type="spellEnd"/>
      <w:r>
        <w:rPr>
          <w:highlight w:val="white"/>
        </w:rPr>
        <w:t xml:space="preserve">, as parents and students drift away once the children graduate from the school system. This can release the accountability pressure on school and district officials (Kamber, 2002; Gold et al., 2002). There is also a high turnover of these officials, which can lead to the abandonment of agreements made by previous administrations (Mediratta et al., 2002; Renée &amp; McAlister, 2011). These examples suggest that accountability is hard-won and easily lost if it is not actively maintained. </w:t>
      </w:r>
    </w:p>
    <w:p w14:paraId="5C79AFDD" w14:textId="77777777" w:rsidR="004F7B02" w:rsidRDefault="004F7B02">
      <w:pPr>
        <w:rPr>
          <w:b/>
          <w:bCs/>
          <w:highlight w:val="white"/>
        </w:rPr>
      </w:pPr>
    </w:p>
    <w:p w14:paraId="435C89ED" w14:textId="36ABE935" w:rsidR="004F7B02" w:rsidRDefault="00000000">
      <w:pPr>
        <w:rPr>
          <w:b/>
          <w:bCs/>
          <w:highlight w:val="white"/>
        </w:rPr>
      </w:pPr>
      <w:r>
        <w:rPr>
          <w:b/>
          <w:bCs/>
          <w:highlight w:val="white"/>
        </w:rPr>
        <w:t xml:space="preserve">Policy Change </w:t>
      </w:r>
      <w:r w:rsidR="00C82E3E">
        <w:rPr>
          <w:b/>
          <w:bCs/>
          <w:highlight w:val="white"/>
        </w:rPr>
        <w:t>and</w:t>
      </w:r>
      <w:r>
        <w:rPr>
          <w:b/>
          <w:bCs/>
          <w:highlight w:val="white"/>
        </w:rPr>
        <w:t xml:space="preserve"> Student Outcomes </w:t>
      </w:r>
    </w:p>
    <w:p w14:paraId="50241E5E" w14:textId="77777777" w:rsidR="004F7B02" w:rsidRDefault="00000000">
      <w:pPr>
        <w:rPr>
          <w:highlight w:val="white"/>
        </w:rPr>
      </w:pPr>
      <w:r>
        <w:rPr>
          <w:highlight w:val="white"/>
        </w:rPr>
        <w:t xml:space="preserve">Groups have shifted policy at the school, district, and state level, including district-wide discipline reform in Denver, school governance reform in Oakland, and community teacher training legislation in Chicago (González, 2015; Gold et al., 2004; Renée &amp; McAlister, 2011). Evidence of improved student outcomes is mixed. Some </w:t>
      </w:r>
      <w:proofErr w:type="spellStart"/>
      <w:r>
        <w:rPr>
          <w:highlight w:val="white"/>
        </w:rPr>
        <w:t>organised</w:t>
      </w:r>
      <w:proofErr w:type="spellEnd"/>
      <w:r>
        <w:rPr>
          <w:highlight w:val="white"/>
        </w:rPr>
        <w:t xml:space="preserve"> schools reported gains in test scores, graduation rates, and reductions in suspensions (a 5,400 reduction over 4 years in </w:t>
      </w:r>
      <w:r>
        <w:rPr>
          <w:highlight w:val="white"/>
        </w:rPr>
        <w:lastRenderedPageBreak/>
        <w:t>Denver), while others showed limited improvements relative to district or state averages (Gold et al., 2002; Glickman &amp; Scally, 2008; Ishimaru, 2018).</w:t>
      </w:r>
    </w:p>
    <w:p w14:paraId="14ADCAC0" w14:textId="77777777" w:rsidR="004F7B02" w:rsidRDefault="004F7B02">
      <w:pPr>
        <w:rPr>
          <w:highlight w:val="white"/>
        </w:rPr>
      </w:pPr>
    </w:p>
    <w:p w14:paraId="6A47EFFB" w14:textId="77777777" w:rsidR="004F7B02" w:rsidRDefault="00000000">
      <w:pPr>
        <w:rPr>
          <w:b/>
          <w:bCs/>
          <w:highlight w:val="white"/>
        </w:rPr>
      </w:pPr>
      <w:r>
        <w:rPr>
          <w:b/>
          <w:bCs/>
          <w:highlight w:val="white"/>
        </w:rPr>
        <w:t xml:space="preserve">Community Empowerment </w:t>
      </w:r>
    </w:p>
    <w:p w14:paraId="64CE4DEB" w14:textId="208AF81D" w:rsidR="004F7B02" w:rsidRDefault="00000000">
      <w:pPr>
        <w:rPr>
          <w:highlight w:val="white"/>
        </w:rPr>
      </w:pPr>
      <w:r>
        <w:rPr>
          <w:highlight w:val="white"/>
        </w:rPr>
        <w:t xml:space="preserve">The literature documents how </w:t>
      </w:r>
      <w:proofErr w:type="spellStart"/>
      <w:r>
        <w:rPr>
          <w:highlight w:val="white"/>
        </w:rPr>
        <w:t>organising</w:t>
      </w:r>
      <w:proofErr w:type="spellEnd"/>
      <w:r>
        <w:rPr>
          <w:highlight w:val="white"/>
        </w:rPr>
        <w:t xml:space="preserve"> practice, by developing community capacity and winning improvements to people's experiences, both gives the community the tools to make change, and the transformational </w:t>
      </w:r>
      <w:proofErr w:type="spellStart"/>
      <w:r>
        <w:rPr>
          <w:highlight w:val="white"/>
        </w:rPr>
        <w:t>realisation</w:t>
      </w:r>
      <w:proofErr w:type="spellEnd"/>
      <w:r>
        <w:rPr>
          <w:highlight w:val="white"/>
        </w:rPr>
        <w:t xml:space="preserve"> that they, in fact, can build the power necessary to make change. This transforms individual parents, </w:t>
      </w:r>
      <w:proofErr w:type="spellStart"/>
      <w:r>
        <w:rPr>
          <w:highlight w:val="white"/>
        </w:rPr>
        <w:t>neighbours</w:t>
      </w:r>
      <w:proofErr w:type="spellEnd"/>
      <w:r>
        <w:rPr>
          <w:highlight w:val="white"/>
        </w:rPr>
        <w:t>, and teachers i</w:t>
      </w:r>
      <w:r w:rsidRPr="002B7B3A">
        <w:rPr>
          <w:highlight w:val="white"/>
        </w:rPr>
        <w:t>nto a collective with a shared vision (Zachary &amp; Olatoye, 2001). Parents in Boston involved in</w:t>
      </w:r>
      <w:r w:rsidR="002B7B3A" w:rsidRPr="002B7B3A">
        <w:rPr>
          <w:highlight w:val="white"/>
        </w:rPr>
        <w:t xml:space="preserve"> the </w:t>
      </w:r>
      <w:r w:rsidR="002B7B3A" w:rsidRPr="002B7B3A">
        <w:rPr>
          <w:rFonts w:eastAsia="Calibri"/>
        </w:rPr>
        <w:t>Jamaica Plain Parent Organizing Project</w:t>
      </w:r>
      <w:r w:rsidRPr="002B7B3A">
        <w:rPr>
          <w:highlight w:val="white"/>
        </w:rPr>
        <w:t xml:space="preserve"> </w:t>
      </w:r>
      <w:r w:rsidR="002B7B3A" w:rsidRPr="002B7B3A">
        <w:rPr>
          <w:highlight w:val="white"/>
        </w:rPr>
        <w:t>(</w:t>
      </w:r>
      <w:r w:rsidRPr="002B7B3A">
        <w:rPr>
          <w:highlight w:val="white"/>
        </w:rPr>
        <w:t>JP-POP</w:t>
      </w:r>
      <w:r w:rsidR="002B7B3A" w:rsidRPr="002B7B3A">
        <w:rPr>
          <w:highlight w:val="white"/>
        </w:rPr>
        <w:t>)</w:t>
      </w:r>
      <w:r w:rsidRPr="002B7B3A">
        <w:rPr>
          <w:highlight w:val="white"/>
        </w:rPr>
        <w:t xml:space="preserve"> transitioned from acting as ‘self-interested clients’ to community leaders with a commitment to the success of all children in the district, not just their own (Evans &amp; Shirley, 20</w:t>
      </w:r>
      <w:r w:rsidRPr="002B7B3A">
        <w:t>08, p.90). In Se</w:t>
      </w:r>
      <w:r w:rsidRPr="002B7B3A">
        <w:rPr>
          <w:highlight w:val="white"/>
        </w:rPr>
        <w:t>attle, Rainier Beach parents re-narrated their school's story, countering</w:t>
      </w:r>
      <w:r>
        <w:rPr>
          <w:highlight w:val="white"/>
        </w:rPr>
        <w:t xml:space="preserve"> media portrayals of violence and decay to build a sense of community ownership and familial identity (Ishimaru, 2018).</w:t>
      </w:r>
    </w:p>
    <w:p w14:paraId="59901320" w14:textId="77777777" w:rsidR="004F7B02" w:rsidRDefault="004F7B02">
      <w:pPr>
        <w:rPr>
          <w:highlight w:val="white"/>
        </w:rPr>
      </w:pPr>
    </w:p>
    <w:p w14:paraId="073A9BE7" w14:textId="77777777" w:rsidR="004F7B02" w:rsidRDefault="00000000">
      <w:pPr>
        <w:rPr>
          <w:b/>
          <w:bCs/>
          <w:highlight w:val="white"/>
        </w:rPr>
      </w:pPr>
      <w:r>
        <w:rPr>
          <w:b/>
          <w:bCs/>
          <w:highlight w:val="white"/>
        </w:rPr>
        <w:t xml:space="preserve">Summary of Outcomes </w:t>
      </w:r>
    </w:p>
    <w:p w14:paraId="6E7BA842" w14:textId="77777777" w:rsidR="004F7B02" w:rsidRDefault="00000000">
      <w:r>
        <w:rPr>
          <w:highlight w:val="white"/>
        </w:rPr>
        <w:t xml:space="preserve">The studies broadly track the shift in parental involvement in schools from traditional forms of involvement to transformative ones. While the studies largely agree on the efficacy of </w:t>
      </w:r>
      <w:proofErr w:type="spellStart"/>
      <w:r>
        <w:rPr>
          <w:highlight w:val="white"/>
        </w:rPr>
        <w:t>organising</w:t>
      </w:r>
      <w:proofErr w:type="spellEnd"/>
      <w:r>
        <w:rPr>
          <w:highlight w:val="white"/>
        </w:rPr>
        <w:t xml:space="preserve"> in building community capacity and improving school-community relations, they offer contrasting results regarding impacts on student achievement and the long-term sustainability of collaborative community relationships within schools and with school districts. The literature broadly agrees that community </w:t>
      </w:r>
      <w:proofErr w:type="spellStart"/>
      <w:r>
        <w:rPr>
          <w:highlight w:val="white"/>
        </w:rPr>
        <w:t>organising</w:t>
      </w:r>
      <w:proofErr w:type="spellEnd"/>
      <w:r>
        <w:rPr>
          <w:highlight w:val="white"/>
        </w:rPr>
        <w:t xml:space="preserve"> yields tangible improvements in school conditions and documents significant victories in securing funding, facilities, and resources (Kamber, 2002; Gold et al., 2002; Mediratta et al., 2002). However, the results are mixed on student outcomes, with some studies reporting improvements compared with State averages and others seeing no significant improvement (Glickman and </w:t>
      </w:r>
      <w:r>
        <w:t>Scally, 2008;</w:t>
      </w:r>
      <w:r>
        <w:rPr>
          <w:highlight w:val="white"/>
        </w:rPr>
        <w:t xml:space="preserve"> Gold, 2002). A central point of contrast among the studies is the nature of the relationship between community groups and school officials. The literature shows that while some staff and school districts were collaborative, others were resistant to coll</w:t>
      </w:r>
      <w:r>
        <w:t xml:space="preserve">aboration or change. However, resistance didn’t necessarily stop communities from winning change (Ishimaru 2014; Ishimaru 2013, Goessling et al., 2024; Freelon, 2022; Zachary &amp; Olatoye, 2001; Welton &amp; Freelon, 2018). </w:t>
      </w:r>
    </w:p>
    <w:p w14:paraId="18F2E6C9" w14:textId="77777777" w:rsidR="004F7B02" w:rsidRDefault="004F7B02"/>
    <w:p w14:paraId="398C7BC5" w14:textId="77777777" w:rsidR="004F7B02" w:rsidRDefault="00000000">
      <w:pPr>
        <w:numPr>
          <w:ilvl w:val="0"/>
          <w:numId w:val="5"/>
        </w:numPr>
        <w:shd w:val="clear" w:color="auto" w:fill="FFFFFF"/>
        <w:rPr>
          <w:b/>
          <w:bCs/>
          <w:highlight w:val="white"/>
        </w:rPr>
      </w:pPr>
      <w:r>
        <w:rPr>
          <w:b/>
          <w:bCs/>
          <w:highlight w:val="white"/>
        </w:rPr>
        <w:t>Strengths and Limitations of the Studies</w:t>
      </w:r>
    </w:p>
    <w:p w14:paraId="5D750ABC" w14:textId="77777777" w:rsidR="004F7B02" w:rsidRDefault="004F7B02">
      <w:pPr>
        <w:shd w:val="clear" w:color="auto" w:fill="FFFFFF"/>
        <w:ind w:left="720"/>
        <w:rPr>
          <w:b/>
          <w:bCs/>
          <w:highlight w:val="white"/>
        </w:rPr>
      </w:pPr>
    </w:p>
    <w:p w14:paraId="7B06BDB0" w14:textId="77777777" w:rsidR="00CB7C1A" w:rsidRDefault="00CB7C1A" w:rsidP="00CB7C1A">
      <w:pPr>
        <w:rPr>
          <w:highlight w:val="white"/>
          <w:lang w:val="en-GB"/>
        </w:rPr>
      </w:pPr>
      <w:r w:rsidRPr="00CB7C1A">
        <w:rPr>
          <w:highlight w:val="white"/>
          <w:lang w:val="en-GB"/>
        </w:rPr>
        <w:t>The literature on community organising for educational justice employs a range of methodological approaches, from broad national scans to in-depth, multi-year qualitative case studies. These approaches differ primarily in their scale, depth of engagement with participants, and analytical frameworks. As summarised in Appendix 1, the methodological diversity reflects both the strengths of the field and the inherent challenges of studying a dynamic, context-dependent form of social change. Across the scholarship, limitations centre on issues of generalisability, scope, and potential bias arising from the close relationship between researchers and the social movements they are studying.</w:t>
      </w:r>
    </w:p>
    <w:p w14:paraId="47FBB10B" w14:textId="77777777" w:rsidR="00CB7C1A" w:rsidRPr="00CB7C1A" w:rsidRDefault="00CB7C1A" w:rsidP="00CB7C1A">
      <w:pPr>
        <w:rPr>
          <w:highlight w:val="white"/>
          <w:lang w:val="en-GB"/>
        </w:rPr>
      </w:pPr>
    </w:p>
    <w:p w14:paraId="4CA7F74E" w14:textId="63AD6942" w:rsidR="00CB7C1A" w:rsidRPr="00CB7C1A" w:rsidRDefault="00CB7C1A" w:rsidP="00CB7C1A">
      <w:pPr>
        <w:rPr>
          <w:highlight w:val="white"/>
          <w:lang w:val="en-GB"/>
        </w:rPr>
      </w:pPr>
      <w:r w:rsidRPr="001E78C6">
        <w:rPr>
          <w:highlight w:val="white"/>
          <w:lang w:val="sv-SE"/>
        </w:rPr>
        <w:lastRenderedPageBreak/>
        <w:t xml:space="preserve">Kamber (2002) and Mediratta et al. </w:t>
      </w:r>
      <w:r w:rsidRPr="00CB7C1A">
        <w:rPr>
          <w:highlight w:val="white"/>
          <w:lang w:val="en-GB"/>
        </w:rPr>
        <w:t>(2002) provide large-scale national analyses using survey-based methods. Kamber</w:t>
      </w:r>
      <w:r w:rsidR="00130F5F">
        <w:rPr>
          <w:highlight w:val="white"/>
          <w:lang w:val="en-GB"/>
        </w:rPr>
        <w:t xml:space="preserve"> (2002)</w:t>
      </w:r>
      <w:r w:rsidRPr="00CB7C1A">
        <w:rPr>
          <w:highlight w:val="white"/>
          <w:lang w:val="en-GB"/>
        </w:rPr>
        <w:t xml:space="preserve"> examined 40 organisations across 14 States, and Mediratta et al. </w:t>
      </w:r>
      <w:r w:rsidR="00130F5F">
        <w:rPr>
          <w:highlight w:val="white"/>
          <w:lang w:val="en-GB"/>
        </w:rPr>
        <w:t xml:space="preserve">(2002) </w:t>
      </w:r>
      <w:r w:rsidRPr="00CB7C1A">
        <w:rPr>
          <w:highlight w:val="white"/>
          <w:lang w:val="en-GB"/>
        </w:rPr>
        <w:t>studied 66 community groups across eight regions of the United States. These approaches enabled the identification of shared trends, organising strategies, and common challenges, as well as the tracking of organising trajectories from the hyperlocal to the district level over time (Kamber, 2002; Mediratta et al., 2002). The scale of these studies also provides evidence of the geographical and demographic concentration of organising efforts, demonstrating that community organising for educational justice is most prevalent in low-income communities of colour. However, the breadth of these national scans limits their ability to capture the richness of lived experience and internal relational dynamics that are central to community organising.</w:t>
      </w:r>
    </w:p>
    <w:p w14:paraId="62C75A9A" w14:textId="66AD46BC" w:rsidR="00CB7C1A" w:rsidRDefault="00CB7C1A" w:rsidP="00CB7C1A">
      <w:pPr>
        <w:rPr>
          <w:highlight w:val="white"/>
          <w:lang w:val="en-GB"/>
        </w:rPr>
      </w:pPr>
      <w:r w:rsidRPr="00CB7C1A">
        <w:rPr>
          <w:highlight w:val="white"/>
          <w:lang w:val="en-GB"/>
        </w:rPr>
        <w:t xml:space="preserve">In contrast, </w:t>
      </w:r>
      <w:proofErr w:type="gramStart"/>
      <w:r w:rsidRPr="00CB7C1A">
        <w:rPr>
          <w:highlight w:val="white"/>
          <w:lang w:val="en-GB"/>
        </w:rPr>
        <w:t>the majority of</w:t>
      </w:r>
      <w:proofErr w:type="gramEnd"/>
      <w:r w:rsidRPr="00CB7C1A">
        <w:rPr>
          <w:highlight w:val="white"/>
          <w:lang w:val="en-GB"/>
        </w:rPr>
        <w:t xml:space="preserve"> </w:t>
      </w:r>
      <w:r w:rsidR="00BC05D5">
        <w:rPr>
          <w:highlight w:val="white"/>
          <w:lang w:val="en-GB"/>
        </w:rPr>
        <w:t xml:space="preserve">the </w:t>
      </w:r>
      <w:r w:rsidRPr="00CB7C1A">
        <w:rPr>
          <w:highlight w:val="white"/>
          <w:lang w:val="en-GB"/>
        </w:rPr>
        <w:t>studies rely primarily on qualitative methods, including case studies, interviews, and participant observation. Many focus on a single organisation or community, offering a high level of contextual and descriptive detail (Zachary &amp; Olatoye, 2001; Evans &amp; Shirley, 2008; Freelon, 2022; Welton &amp; Freelon, 2018). Several authors conducted extended fieldwork, with researchers embedded in organising efforts over several years (Nygreen, 2016; Ramos &amp; Jani, 2025; Wilson et al., 2023). These approaches generate rich, contextualised accounts of power-building and community resistance, but their reliance on small or highly specific samples limits generalisability. In some cases, when quantitative components were introduced, such as in a survey of teachers, the low response rate risked bias in the result (Ishimaru, 2014). </w:t>
      </w:r>
    </w:p>
    <w:p w14:paraId="01407331" w14:textId="77777777" w:rsidR="00CB7C1A" w:rsidRPr="00CB7C1A" w:rsidRDefault="00CB7C1A" w:rsidP="00CB7C1A">
      <w:pPr>
        <w:rPr>
          <w:highlight w:val="white"/>
          <w:lang w:val="en-GB"/>
        </w:rPr>
      </w:pPr>
    </w:p>
    <w:p w14:paraId="14EBBC09" w14:textId="62E3FF4F" w:rsidR="00CB7C1A" w:rsidRDefault="00CB7C1A" w:rsidP="00CB7C1A">
      <w:pPr>
        <w:rPr>
          <w:highlight w:val="white"/>
          <w:lang w:val="en-GB"/>
        </w:rPr>
      </w:pPr>
      <w:r w:rsidRPr="00CB7C1A">
        <w:rPr>
          <w:highlight w:val="white"/>
          <w:lang w:val="en-GB"/>
        </w:rPr>
        <w:t>More recent scholarship has shifted towards the use of participatory action research (PAR), in which organised communities collaborate with academics as co-researchers (Wilson et al., 2023; Goessling et al., 2024). PAR foregrounds the experiential knowledge of community members and aims to produce research directly in service of social movements. While this approach allows for greater access and trust, it also raises methodological concerns. Findings may privilege organising successes over failures (a phenomenon visible across the literature), reflect the priorities of the social movement, limit critical distance</w:t>
      </w:r>
      <w:r w:rsidR="002B7B3A">
        <w:rPr>
          <w:highlight w:val="white"/>
          <w:lang w:val="en-GB"/>
        </w:rPr>
        <w:t>, and generalisability</w:t>
      </w:r>
      <w:r w:rsidRPr="00CB7C1A">
        <w:rPr>
          <w:highlight w:val="white"/>
          <w:lang w:val="en-GB"/>
        </w:rPr>
        <w:t>. Additionally, reliance on retrospective data in some cases introduces the risk of memory bias and the re-interpretation of events (Freelon, 2022).</w:t>
      </w:r>
    </w:p>
    <w:p w14:paraId="51EB3D8A" w14:textId="77777777" w:rsidR="00653E09" w:rsidRPr="00CB7C1A" w:rsidRDefault="00653E09" w:rsidP="00CB7C1A">
      <w:pPr>
        <w:rPr>
          <w:highlight w:val="white"/>
          <w:lang w:val="en-GB"/>
        </w:rPr>
      </w:pPr>
    </w:p>
    <w:p w14:paraId="329962F0" w14:textId="77777777" w:rsidR="00CB7C1A" w:rsidRDefault="00CB7C1A" w:rsidP="00CB7C1A">
      <w:pPr>
        <w:rPr>
          <w:highlight w:val="white"/>
          <w:lang w:val="en-GB"/>
        </w:rPr>
      </w:pPr>
      <w:r w:rsidRPr="00CB7C1A">
        <w:rPr>
          <w:highlight w:val="white"/>
          <w:lang w:val="en-GB"/>
        </w:rPr>
        <w:t>Across methodological approaches, researchers face shared challenges in isolating the specific impacts of organising efforts. The complexity of the contexts in which organising occurs, including historical segregation, structural racism, widespread poverty, and high turnover among both community members and decision-makers, complicates causal claims. These conditions increase the risk of oversimplification of cause-and-effect relationships, particularly when evaluating sustainability and long-term outcomes.</w:t>
      </w:r>
    </w:p>
    <w:p w14:paraId="72C3FF81" w14:textId="77777777" w:rsidR="00653E09" w:rsidRPr="00CB7C1A" w:rsidRDefault="00653E09" w:rsidP="00CB7C1A">
      <w:pPr>
        <w:rPr>
          <w:highlight w:val="white"/>
          <w:lang w:val="en-GB"/>
        </w:rPr>
      </w:pPr>
    </w:p>
    <w:p w14:paraId="41755778" w14:textId="601D0BA3" w:rsidR="00CB7C1A" w:rsidRPr="00CB7C1A" w:rsidRDefault="00CB7C1A" w:rsidP="00CB7C1A">
      <w:pPr>
        <w:rPr>
          <w:highlight w:val="white"/>
          <w:lang w:val="en-GB"/>
        </w:rPr>
      </w:pPr>
      <w:r w:rsidRPr="00CB7C1A">
        <w:rPr>
          <w:highlight w:val="white"/>
          <w:lang w:val="en-GB"/>
        </w:rPr>
        <w:t xml:space="preserve">Finally, researcher positionality represents both a strength and a limitation in the field of study. Much of the literature is produced by authors directly engaged in supporting community organising groups (Gold, 2002; Gold et al., 2004; Nygreen, 2016; Zachary &amp; Olatoye, 2001; Ishimaru, 2014; Wilson et al., 2023; Goessling et al., 2024; Ramos &amp; Jani, 2025). This academic-activist positionality can shape methodological choices, theoretical framing, and </w:t>
      </w:r>
      <w:r w:rsidR="00130F5F">
        <w:rPr>
          <w:highlight w:val="white"/>
          <w:lang w:val="en-GB"/>
        </w:rPr>
        <w:t xml:space="preserve">the </w:t>
      </w:r>
      <w:r w:rsidRPr="00CB7C1A">
        <w:rPr>
          <w:highlight w:val="white"/>
          <w:lang w:val="en-GB"/>
        </w:rPr>
        <w:lastRenderedPageBreak/>
        <w:t>interpretation of findings, introducing the potential for bias. However, it also enables scholars to challenge dominant narratives that dismiss community voice and to validate the experiential knowledge and political expertise of parents of colour and low-income community members. </w:t>
      </w:r>
    </w:p>
    <w:p w14:paraId="4DA97EF8" w14:textId="77777777" w:rsidR="00CB7C1A" w:rsidRPr="00CB7C1A" w:rsidRDefault="00CB7C1A" w:rsidP="00CB7C1A">
      <w:pPr>
        <w:rPr>
          <w:highlight w:val="white"/>
          <w:lang w:val="en-GB"/>
        </w:rPr>
      </w:pPr>
      <w:r w:rsidRPr="00CB7C1A">
        <w:rPr>
          <w:highlight w:val="white"/>
          <w:lang w:val="en-GB"/>
        </w:rPr>
        <w:t>While earlier studies, such as Kamber (2002) and Mediratta et al. (2002), evaluated organising efforts from a more external position, more recent work intentionally blurs the boundary between researcher and activist. This shift reflects broader epistemological debates within the field. As Gold et al. (2002) seek to develop standardised indicators of success, Nygreen (2017a) and Ishimaru (2014) argue that some of the most significant outcomes of organising, such as transformative resistance, radical healing, and the disruption of ‘institutional scripts’, remain largely invisible to traditional quantitative measures.</w:t>
      </w:r>
    </w:p>
    <w:p w14:paraId="27C31071" w14:textId="77777777" w:rsidR="004F7B02" w:rsidRDefault="004F7B02">
      <w:pPr>
        <w:rPr>
          <w:highlight w:val="white"/>
        </w:rPr>
      </w:pPr>
    </w:p>
    <w:p w14:paraId="015A961F" w14:textId="77777777" w:rsidR="004F7B02" w:rsidRDefault="00000000">
      <w:pPr>
        <w:numPr>
          <w:ilvl w:val="0"/>
          <w:numId w:val="5"/>
        </w:numPr>
        <w:rPr>
          <w:b/>
          <w:bCs/>
          <w:highlight w:val="white"/>
        </w:rPr>
      </w:pPr>
      <w:r>
        <w:rPr>
          <w:b/>
          <w:bCs/>
          <w:highlight w:val="white"/>
        </w:rPr>
        <w:t>Conclusion</w:t>
      </w:r>
    </w:p>
    <w:p w14:paraId="0B3DD94A" w14:textId="77777777" w:rsidR="004F7B02" w:rsidRDefault="004F7B02">
      <w:pPr>
        <w:ind w:left="720"/>
        <w:rPr>
          <w:b/>
          <w:bCs/>
          <w:highlight w:val="white"/>
        </w:rPr>
      </w:pPr>
    </w:p>
    <w:p w14:paraId="00CDF460" w14:textId="2B5B7C99" w:rsidR="00BC05D5" w:rsidRDefault="00BC05D5" w:rsidP="00BC05D5">
      <w:pPr>
        <w:rPr>
          <w:lang w:val="en-GB"/>
        </w:rPr>
      </w:pPr>
      <w:r w:rsidRPr="00BC05D5">
        <w:rPr>
          <w:lang w:val="en-GB"/>
        </w:rPr>
        <w:t xml:space="preserve">This review began with a central research question: </w:t>
      </w:r>
      <w:r w:rsidRPr="00130F5F">
        <w:rPr>
          <w:i/>
          <w:iCs/>
          <w:lang w:val="en-GB"/>
        </w:rPr>
        <w:t>What are the methods, challenges, and outcomes of community organising for educational justice?</w:t>
      </w:r>
      <w:r w:rsidRPr="00BC05D5">
        <w:rPr>
          <w:lang w:val="en-GB"/>
        </w:rPr>
        <w:t xml:space="preserve"> It addressed this question by first establishing the theoretical distinction between the neoliberal paradigm and the democratic organising paradigm, before situating community organising within the broader educational justice landscape presented in the literature. The review then explored organising praxis through the interconnected themes of building power, listening, strategy, action, and negotiation, exploring both the methods employed by organised communities and the challenges they encounter. It subsequently synthesised the outcomes of these efforts, highlighting both successes and constraints, before reflecting on the methodological</w:t>
      </w:r>
      <w:r w:rsidR="00130F5F">
        <w:rPr>
          <w:lang w:val="en-GB"/>
        </w:rPr>
        <w:t xml:space="preserve"> strengths and</w:t>
      </w:r>
      <w:r w:rsidRPr="00BC05D5">
        <w:rPr>
          <w:lang w:val="en-GB"/>
        </w:rPr>
        <w:t xml:space="preserve"> limitations of the existing studies.</w:t>
      </w:r>
    </w:p>
    <w:p w14:paraId="56F898F8" w14:textId="77777777" w:rsidR="00BC05D5" w:rsidRPr="00BC05D5" w:rsidRDefault="00BC05D5" w:rsidP="00BC05D5">
      <w:pPr>
        <w:rPr>
          <w:lang w:val="en-GB"/>
        </w:rPr>
      </w:pPr>
    </w:p>
    <w:p w14:paraId="7824BF5E" w14:textId="77777777" w:rsidR="00BC05D5" w:rsidRDefault="00BC05D5" w:rsidP="00BC05D5">
      <w:pPr>
        <w:rPr>
          <w:lang w:val="en-GB"/>
        </w:rPr>
      </w:pPr>
      <w:r w:rsidRPr="00BC05D5">
        <w:rPr>
          <w:lang w:val="en-GB"/>
        </w:rPr>
        <w:t>Across the literature, there is substantial evidence that community organising for educational justice is a viable form of social change capable of producing meaningful improvements in school conditions, governance, and community capacity. At the same time, these victories are consistently shown to be hard-won and fragile, achieved in struggle with deeply entrenched systems operating under the constraints of a dominant neoliberal paradigm. Almost all studies draw attention to the chronic underfunding of low-income communities of colour; however, only work published from 2018 onwards documents the emergence of large-scale, district-level school closures. This trend is evident in Chicago, Philadelphia, Oakland, Washington D.C., and Detroit (Ishimaru, 2018; Welton &amp; Freelon, 2018; Freelon, 2022; Goessling et al., 2024; Ramos &amp; Jani, 2025; Wilson et al., 2023), suggesting an acceleration in the pace of neoliberal transformation of low-income neighbourhoods.</w:t>
      </w:r>
    </w:p>
    <w:p w14:paraId="44BABC39" w14:textId="77777777" w:rsidR="00BC05D5" w:rsidRPr="00BC05D5" w:rsidRDefault="00BC05D5" w:rsidP="00BC05D5">
      <w:pPr>
        <w:rPr>
          <w:lang w:val="en-GB"/>
        </w:rPr>
      </w:pPr>
    </w:p>
    <w:p w14:paraId="5E6C666D" w14:textId="2CF5FD0F" w:rsidR="00BC05D5" w:rsidRDefault="00BC05D5" w:rsidP="00BC05D5">
      <w:pPr>
        <w:rPr>
          <w:lang w:val="en-GB"/>
        </w:rPr>
      </w:pPr>
      <w:r w:rsidRPr="00BC05D5">
        <w:rPr>
          <w:lang w:val="en-GB"/>
        </w:rPr>
        <w:t>This raises important questions about the role of research itself in supporting struggles for educational justice. Lin (2023, p.</w:t>
      </w:r>
      <w:r w:rsidR="00130F5F">
        <w:rPr>
          <w:lang w:val="en-GB"/>
        </w:rPr>
        <w:t xml:space="preserve"> </w:t>
      </w:r>
      <w:r w:rsidRPr="00BC05D5">
        <w:rPr>
          <w:lang w:val="en-GB"/>
        </w:rPr>
        <w:t xml:space="preserve">3) argues that research alone is insufficient to dismantle power imbalances in a systemically racist society, as those who benefit from inequality actively work to maintain the status quo. This highlights the imperative for scholars studying community organising to engage in power-building processes rather than merely extracting knowledge from communities. Such engagement requires challenging the market-driven pressures within the academic sector, which rarely values the slow, relational work central to organising. </w:t>
      </w:r>
      <w:r w:rsidR="00130F5F">
        <w:rPr>
          <w:lang w:val="en-GB"/>
        </w:rPr>
        <w:t>Although</w:t>
      </w:r>
      <w:r w:rsidRPr="00BC05D5">
        <w:rPr>
          <w:lang w:val="en-GB"/>
        </w:rPr>
        <w:t xml:space="preserve"> the advancement of undemocratic practices in the United States education system shows little </w:t>
      </w:r>
      <w:r w:rsidRPr="00BC05D5">
        <w:rPr>
          <w:lang w:val="en-GB"/>
        </w:rPr>
        <w:lastRenderedPageBreak/>
        <w:t xml:space="preserve">sign of abating, </w:t>
      </w:r>
      <w:r w:rsidR="00130F5F">
        <w:rPr>
          <w:lang w:val="en-GB"/>
        </w:rPr>
        <w:t xml:space="preserve">fortunately, </w:t>
      </w:r>
      <w:r w:rsidRPr="00BC05D5">
        <w:rPr>
          <w:lang w:val="en-GB"/>
        </w:rPr>
        <w:t>community capacity built through one campaign can be carried forward into future struggles</w:t>
      </w:r>
      <w:r w:rsidR="00130F5F">
        <w:rPr>
          <w:lang w:val="en-GB"/>
        </w:rPr>
        <w:t xml:space="preserve">, allowing communities to build their power over time. </w:t>
      </w:r>
    </w:p>
    <w:p w14:paraId="0E8EBE31" w14:textId="77777777" w:rsidR="00BC05D5" w:rsidRDefault="00BC05D5" w:rsidP="00BC05D5">
      <w:pPr>
        <w:rPr>
          <w:lang w:val="en-GB"/>
        </w:rPr>
      </w:pPr>
    </w:p>
    <w:p w14:paraId="6FD311D3" w14:textId="7FA2406E" w:rsidR="00BC05D5" w:rsidRPr="00BC05D5" w:rsidRDefault="00BC05D5" w:rsidP="00BC05D5">
      <w:pPr>
        <w:rPr>
          <w:lang w:val="en-GB"/>
        </w:rPr>
      </w:pPr>
      <w:r w:rsidRPr="00BC05D5">
        <w:rPr>
          <w:lang w:val="en-GB"/>
        </w:rPr>
        <w:t>Future research should move beyond single-case studies to better understand the conditions under which organising efforts are most effective and scalable. There is a particular need to document the long-term impacts of organising beyond short-lived victories, including how participants develop, sustain, and deploy the skills gained through organising in subsequent campaigns. In an increasingly individualistic society, schools remain one of the few sites where people regularly gather. For organiser-academics seeking to contribute to this field, a key priority should therefore be the development of relational cultures within school communities that foster democratic participation through relationship-building and collective action. </w:t>
      </w:r>
    </w:p>
    <w:p w14:paraId="654E2793" w14:textId="77777777" w:rsidR="004F7B02" w:rsidRDefault="004F7B02">
      <w:pPr>
        <w:rPr>
          <w:highlight w:val="white"/>
        </w:rPr>
      </w:pPr>
    </w:p>
    <w:p w14:paraId="02511EE7" w14:textId="77777777" w:rsidR="004F7B02" w:rsidRDefault="00000000">
      <w:pPr>
        <w:rPr>
          <w:b/>
          <w:bCs/>
        </w:rPr>
      </w:pPr>
      <w:r>
        <w:rPr>
          <w:b/>
          <w:bCs/>
        </w:rPr>
        <w:t xml:space="preserve">Appendix 1 </w:t>
      </w:r>
    </w:p>
    <w:tbl>
      <w:tblPr>
        <w:tblStyle w:val="a1"/>
        <w:tblW w:w="93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60"/>
        <w:gridCol w:w="1065"/>
        <w:gridCol w:w="7050"/>
      </w:tblGrid>
      <w:tr w:rsidR="004F7B02" w14:paraId="183FEE55" w14:textId="77777777">
        <w:trPr>
          <w:trHeight w:val="315"/>
        </w:trPr>
        <w:tc>
          <w:tcPr>
            <w:tcW w:w="9375" w:type="dxa"/>
            <w:gridSpan w:val="3"/>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D1B37FD" w14:textId="77777777" w:rsidR="004F7B02" w:rsidRDefault="00000000">
            <w:pPr>
              <w:widowControl w:val="0"/>
              <w:rPr>
                <w:sz w:val="20"/>
                <w:szCs w:val="20"/>
              </w:rPr>
            </w:pPr>
            <w:r>
              <w:rPr>
                <w:rFonts w:ascii="Calibri" w:eastAsia="Calibri" w:hAnsi="Calibri" w:cs="Calibri"/>
                <w:sz w:val="16"/>
                <w:szCs w:val="16"/>
              </w:rPr>
              <w:t>Summary of Methodology and Methods used in the literature</w:t>
            </w:r>
          </w:p>
        </w:tc>
      </w:tr>
      <w:tr w:rsidR="004F7B02" w14:paraId="32E4FF37" w14:textId="77777777">
        <w:trPr>
          <w:trHeight w:val="315"/>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7A70260" w14:textId="77777777" w:rsidR="004F7B02" w:rsidRDefault="00000000">
            <w:pPr>
              <w:widowControl w:val="0"/>
              <w:rPr>
                <w:sz w:val="20"/>
                <w:szCs w:val="20"/>
              </w:rPr>
            </w:pPr>
            <w:r>
              <w:rPr>
                <w:rFonts w:ascii="Calibri" w:eastAsia="Calibri" w:hAnsi="Calibri" w:cs="Calibri"/>
                <w:sz w:val="16"/>
                <w:szCs w:val="16"/>
              </w:rPr>
              <w:t>Study</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D13125E" w14:textId="77777777" w:rsidR="004F7B02" w:rsidRDefault="00000000">
            <w:pPr>
              <w:widowControl w:val="0"/>
              <w:rPr>
                <w:sz w:val="20"/>
                <w:szCs w:val="20"/>
              </w:rPr>
            </w:pPr>
            <w:r>
              <w:rPr>
                <w:rFonts w:ascii="Calibri" w:eastAsia="Calibri" w:hAnsi="Calibri" w:cs="Calibri"/>
                <w:sz w:val="16"/>
                <w:szCs w:val="16"/>
              </w:rPr>
              <w:t>Methodology</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2FB44C6F" w14:textId="77777777" w:rsidR="004F7B02" w:rsidRDefault="00000000">
            <w:pPr>
              <w:widowControl w:val="0"/>
              <w:rPr>
                <w:sz w:val="20"/>
                <w:szCs w:val="20"/>
              </w:rPr>
            </w:pPr>
            <w:r>
              <w:rPr>
                <w:rFonts w:ascii="Calibri" w:eastAsia="Calibri" w:hAnsi="Calibri" w:cs="Calibri"/>
                <w:sz w:val="16"/>
                <w:szCs w:val="16"/>
              </w:rPr>
              <w:t>Methods</w:t>
            </w:r>
          </w:p>
        </w:tc>
      </w:tr>
      <w:tr w:rsidR="004F7B02" w14:paraId="451DC91D"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61FA000" w14:textId="77777777" w:rsidR="004F7B02" w:rsidRDefault="00000000">
            <w:pPr>
              <w:widowControl w:val="0"/>
              <w:rPr>
                <w:sz w:val="20"/>
                <w:szCs w:val="20"/>
              </w:rPr>
            </w:pPr>
            <w:r>
              <w:rPr>
                <w:rFonts w:ascii="Calibri" w:eastAsia="Calibri" w:hAnsi="Calibri" w:cs="Calibri"/>
                <w:sz w:val="16"/>
                <w:szCs w:val="16"/>
              </w:rPr>
              <w:t>Zachary &amp; Olatoye (2001)</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649CA42"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7E130E6" w14:textId="77777777" w:rsidR="004F7B02" w:rsidRDefault="00000000">
            <w:pPr>
              <w:widowControl w:val="0"/>
              <w:rPr>
                <w:sz w:val="20"/>
                <w:szCs w:val="20"/>
              </w:rPr>
            </w:pPr>
            <w:r>
              <w:rPr>
                <w:rFonts w:ascii="Calibri" w:eastAsia="Calibri" w:hAnsi="Calibri" w:cs="Calibri"/>
                <w:sz w:val="16"/>
                <w:szCs w:val="16"/>
              </w:rPr>
              <w:t>Case study using data collected from the authors' role as technical assistance provider, supplemented by interviews with parents and NSA staff, and analysis of NSA documents.</w:t>
            </w:r>
          </w:p>
        </w:tc>
      </w:tr>
      <w:tr w:rsidR="004F7B02" w14:paraId="08457C2A"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22B9240B" w14:textId="77777777" w:rsidR="004F7B02" w:rsidRDefault="00000000">
            <w:pPr>
              <w:widowControl w:val="0"/>
              <w:rPr>
                <w:sz w:val="20"/>
                <w:szCs w:val="20"/>
              </w:rPr>
            </w:pPr>
            <w:r>
              <w:rPr>
                <w:rFonts w:ascii="Calibri" w:eastAsia="Calibri" w:hAnsi="Calibri" w:cs="Calibri"/>
                <w:sz w:val="16"/>
                <w:szCs w:val="16"/>
              </w:rPr>
              <w:t>Evans &amp; Shirley (2008)</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33A890EA"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4CC2F75" w14:textId="77777777" w:rsidR="004F7B02" w:rsidRDefault="00000000">
            <w:pPr>
              <w:widowControl w:val="0"/>
              <w:rPr>
                <w:sz w:val="20"/>
                <w:szCs w:val="20"/>
              </w:rPr>
            </w:pPr>
            <w:r>
              <w:rPr>
                <w:rFonts w:ascii="Calibri" w:eastAsia="Calibri" w:hAnsi="Calibri" w:cs="Calibri"/>
                <w:sz w:val="16"/>
                <w:szCs w:val="16"/>
              </w:rPr>
              <w:t>Interviews with parent organisers and observations of advocacy events and public meetings.</w:t>
            </w:r>
          </w:p>
        </w:tc>
      </w:tr>
      <w:tr w:rsidR="004F7B02" w14:paraId="456C121F"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CB916DF" w14:textId="77777777" w:rsidR="004F7B02" w:rsidRDefault="00000000">
            <w:pPr>
              <w:widowControl w:val="0"/>
              <w:rPr>
                <w:sz w:val="20"/>
                <w:szCs w:val="20"/>
              </w:rPr>
            </w:pPr>
            <w:r>
              <w:rPr>
                <w:rFonts w:ascii="Calibri" w:eastAsia="Calibri" w:hAnsi="Calibri" w:cs="Calibri"/>
                <w:sz w:val="16"/>
                <w:szCs w:val="16"/>
              </w:rPr>
              <w:t>Freelon (2022)</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3AF4B05"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6DDC8C5" w14:textId="77777777" w:rsidR="004F7B02" w:rsidRDefault="00000000">
            <w:pPr>
              <w:widowControl w:val="0"/>
              <w:rPr>
                <w:sz w:val="20"/>
                <w:szCs w:val="20"/>
              </w:rPr>
            </w:pPr>
            <w:r>
              <w:rPr>
                <w:rFonts w:ascii="Calibri" w:eastAsia="Calibri" w:hAnsi="Calibri" w:cs="Calibri"/>
                <w:sz w:val="16"/>
                <w:szCs w:val="16"/>
              </w:rPr>
              <w:t>Observations, 4 semi-structured interviews, and critical document analysis over 9 months. Data analysed via coding and triangulation.</w:t>
            </w:r>
          </w:p>
        </w:tc>
      </w:tr>
      <w:tr w:rsidR="004F7B02" w14:paraId="5959805F"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DFFFFF5" w14:textId="77777777" w:rsidR="004F7B02" w:rsidRDefault="00000000">
            <w:pPr>
              <w:widowControl w:val="0"/>
              <w:rPr>
                <w:sz w:val="20"/>
                <w:szCs w:val="20"/>
              </w:rPr>
            </w:pPr>
            <w:r>
              <w:rPr>
                <w:rFonts w:ascii="Calibri" w:eastAsia="Calibri" w:hAnsi="Calibri" w:cs="Calibri"/>
                <w:sz w:val="16"/>
                <w:szCs w:val="16"/>
              </w:rPr>
              <w:t>Glickman &amp; Scally (2008)</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10B4BE5" w14:textId="77777777" w:rsidR="004F7B02" w:rsidRDefault="00000000">
            <w:pPr>
              <w:widowControl w:val="0"/>
              <w:rPr>
                <w:sz w:val="20"/>
                <w:szCs w:val="20"/>
              </w:rPr>
            </w:pPr>
            <w:r>
              <w:rPr>
                <w:rFonts w:ascii="Calibri" w:eastAsia="Calibri" w:hAnsi="Calibri" w:cs="Calibri"/>
                <w:sz w:val="16"/>
                <w:szCs w:val="16"/>
              </w:rPr>
              <w:t>Mixed Methods</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96B6DA0" w14:textId="2D25F5E8" w:rsidR="004F7B02" w:rsidRDefault="00000000">
            <w:pPr>
              <w:widowControl w:val="0"/>
              <w:rPr>
                <w:sz w:val="20"/>
                <w:szCs w:val="20"/>
              </w:rPr>
            </w:pPr>
            <w:r>
              <w:rPr>
                <w:rFonts w:ascii="Calibri" w:eastAsia="Calibri" w:hAnsi="Calibri" w:cs="Calibri"/>
                <w:sz w:val="16"/>
                <w:szCs w:val="16"/>
              </w:rPr>
              <w:t xml:space="preserve">Case study </w:t>
            </w:r>
            <w:proofErr w:type="gramStart"/>
            <w:r w:rsidR="00BC05D5">
              <w:rPr>
                <w:rFonts w:ascii="Calibri" w:eastAsia="Calibri" w:hAnsi="Calibri" w:cs="Calibri"/>
                <w:sz w:val="16"/>
                <w:szCs w:val="16"/>
              </w:rPr>
              <w:t>including</w:t>
            </w:r>
            <w:proofErr w:type="gramEnd"/>
            <w:r>
              <w:rPr>
                <w:rFonts w:ascii="Calibri" w:eastAsia="Calibri" w:hAnsi="Calibri" w:cs="Calibri"/>
                <w:sz w:val="16"/>
                <w:szCs w:val="16"/>
              </w:rPr>
              <w:t xml:space="preserve"> interviews, observations, and quantitative analysis of state student performance data.</w:t>
            </w:r>
          </w:p>
        </w:tc>
      </w:tr>
      <w:tr w:rsidR="004F7B02" w14:paraId="044789ED"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99E8FE8" w14:textId="77777777" w:rsidR="004F7B02" w:rsidRDefault="00000000">
            <w:pPr>
              <w:widowControl w:val="0"/>
              <w:rPr>
                <w:sz w:val="20"/>
                <w:szCs w:val="20"/>
              </w:rPr>
            </w:pPr>
            <w:r>
              <w:rPr>
                <w:rFonts w:ascii="Calibri" w:eastAsia="Calibri" w:hAnsi="Calibri" w:cs="Calibri"/>
                <w:sz w:val="16"/>
                <w:szCs w:val="16"/>
              </w:rPr>
              <w:t>Goessling et al. (2024)</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3303977E"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2BD778F1" w14:textId="77777777" w:rsidR="004F7B02" w:rsidRDefault="00000000">
            <w:pPr>
              <w:widowControl w:val="0"/>
              <w:rPr>
                <w:sz w:val="20"/>
                <w:szCs w:val="20"/>
              </w:rPr>
            </w:pPr>
            <w:r>
              <w:rPr>
                <w:rFonts w:ascii="Calibri" w:eastAsia="Calibri" w:hAnsi="Calibri" w:cs="Calibri"/>
                <w:sz w:val="16"/>
                <w:szCs w:val="16"/>
              </w:rPr>
              <w:t>Critical Participatory Action Research included participant observations, 13 interviews, focus groups, post-program surveys, and analysis of documents/artifacts using inductive thematic coding.</w:t>
            </w:r>
          </w:p>
        </w:tc>
      </w:tr>
      <w:tr w:rsidR="004F7B02" w14:paraId="04143168"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782EA71" w14:textId="77777777" w:rsidR="004F7B02" w:rsidRDefault="00000000">
            <w:pPr>
              <w:widowControl w:val="0"/>
              <w:rPr>
                <w:sz w:val="20"/>
                <w:szCs w:val="20"/>
              </w:rPr>
            </w:pPr>
            <w:r>
              <w:rPr>
                <w:rFonts w:ascii="Calibri" w:eastAsia="Calibri" w:hAnsi="Calibri" w:cs="Calibri"/>
                <w:sz w:val="16"/>
                <w:szCs w:val="16"/>
              </w:rPr>
              <w:t>Gold et al. (2002)</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468C460" w14:textId="77777777" w:rsidR="004F7B02" w:rsidRDefault="00000000">
            <w:pPr>
              <w:widowControl w:val="0"/>
              <w:rPr>
                <w:sz w:val="20"/>
                <w:szCs w:val="20"/>
              </w:rPr>
            </w:pPr>
            <w:r>
              <w:rPr>
                <w:rFonts w:ascii="Calibri" w:eastAsia="Calibri" w:hAnsi="Calibri" w:cs="Calibri"/>
                <w:sz w:val="16"/>
                <w:szCs w:val="16"/>
              </w:rPr>
              <w:t>Mixed Methods</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24249C0" w14:textId="77777777" w:rsidR="004F7B02" w:rsidRDefault="00000000">
            <w:pPr>
              <w:widowControl w:val="0"/>
              <w:rPr>
                <w:sz w:val="20"/>
                <w:szCs w:val="20"/>
              </w:rPr>
            </w:pPr>
            <w:r>
              <w:rPr>
                <w:rFonts w:ascii="Calibri" w:eastAsia="Calibri" w:hAnsi="Calibri" w:cs="Calibri"/>
                <w:sz w:val="16"/>
                <w:szCs w:val="16"/>
              </w:rPr>
              <w:t>Literature review, followed by 19 telephone group interviews and case studies of 5 groups involving interviews and observations.</w:t>
            </w:r>
          </w:p>
        </w:tc>
      </w:tr>
      <w:tr w:rsidR="004F7B02" w14:paraId="034ECB14" w14:textId="77777777">
        <w:trPr>
          <w:trHeight w:val="315"/>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5B8106A" w14:textId="77777777" w:rsidR="004F7B02" w:rsidRDefault="00000000">
            <w:pPr>
              <w:widowControl w:val="0"/>
              <w:rPr>
                <w:sz w:val="20"/>
                <w:szCs w:val="20"/>
              </w:rPr>
            </w:pPr>
            <w:r>
              <w:rPr>
                <w:rFonts w:ascii="Calibri" w:eastAsia="Calibri" w:hAnsi="Calibri" w:cs="Calibri"/>
                <w:sz w:val="16"/>
                <w:szCs w:val="16"/>
              </w:rPr>
              <w:t>Gold et al. (2004)</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15A7DBC"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7967D3A" w14:textId="77777777" w:rsidR="004F7B02" w:rsidRDefault="00000000">
            <w:pPr>
              <w:widowControl w:val="0"/>
              <w:rPr>
                <w:sz w:val="20"/>
                <w:szCs w:val="20"/>
              </w:rPr>
            </w:pPr>
            <w:r>
              <w:rPr>
                <w:rFonts w:ascii="Calibri" w:eastAsia="Calibri" w:hAnsi="Calibri" w:cs="Calibri"/>
                <w:sz w:val="16"/>
                <w:szCs w:val="16"/>
              </w:rPr>
              <w:t>Case study of 5 groups, including interviews, observations, and multiple site visits.</w:t>
            </w:r>
          </w:p>
        </w:tc>
      </w:tr>
      <w:tr w:rsidR="004F7B02" w14:paraId="4893EDB8" w14:textId="77777777">
        <w:trPr>
          <w:trHeight w:val="315"/>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0D169CE" w14:textId="77777777" w:rsidR="004F7B02" w:rsidRDefault="00000000">
            <w:pPr>
              <w:widowControl w:val="0"/>
              <w:rPr>
                <w:sz w:val="20"/>
                <w:szCs w:val="20"/>
              </w:rPr>
            </w:pPr>
            <w:r>
              <w:rPr>
                <w:rFonts w:ascii="Calibri" w:eastAsia="Calibri" w:hAnsi="Calibri" w:cs="Calibri"/>
                <w:sz w:val="16"/>
                <w:szCs w:val="16"/>
              </w:rPr>
              <w:t>González (2015)</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7CD4A567" w14:textId="77777777" w:rsidR="004F7B02" w:rsidRDefault="00000000">
            <w:pPr>
              <w:widowControl w:val="0"/>
              <w:rPr>
                <w:sz w:val="20"/>
                <w:szCs w:val="20"/>
              </w:rPr>
            </w:pPr>
            <w:r>
              <w:rPr>
                <w:rFonts w:ascii="Calibri" w:eastAsia="Calibri" w:hAnsi="Calibri" w:cs="Calibri"/>
                <w:sz w:val="16"/>
                <w:szCs w:val="16"/>
              </w:rPr>
              <w:t>Mixed Methods</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4DA5FA5" w14:textId="77777777" w:rsidR="004F7B02" w:rsidRDefault="00000000">
            <w:pPr>
              <w:widowControl w:val="0"/>
              <w:rPr>
                <w:sz w:val="20"/>
                <w:szCs w:val="20"/>
              </w:rPr>
            </w:pPr>
            <w:r>
              <w:rPr>
                <w:rFonts w:ascii="Calibri" w:eastAsia="Calibri" w:hAnsi="Calibri" w:cs="Calibri"/>
                <w:sz w:val="16"/>
                <w:szCs w:val="16"/>
              </w:rPr>
              <w:t>Interviews with students, teachers, and administrators, and quantitative analysis of discipline and attendance records.</w:t>
            </w:r>
          </w:p>
        </w:tc>
      </w:tr>
      <w:tr w:rsidR="004F7B02" w14:paraId="431B39B7"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E138F32" w14:textId="77777777" w:rsidR="004F7B02" w:rsidRDefault="00000000">
            <w:pPr>
              <w:widowControl w:val="0"/>
              <w:rPr>
                <w:sz w:val="20"/>
                <w:szCs w:val="20"/>
              </w:rPr>
            </w:pPr>
            <w:r>
              <w:rPr>
                <w:rFonts w:ascii="Calibri" w:eastAsia="Calibri" w:hAnsi="Calibri" w:cs="Calibri"/>
                <w:sz w:val="16"/>
                <w:szCs w:val="16"/>
              </w:rPr>
              <w:t>Ishimaru (2013)</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7F696BD1"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A5A3E78" w14:textId="77777777" w:rsidR="004F7B02" w:rsidRDefault="00000000">
            <w:pPr>
              <w:widowControl w:val="0"/>
              <w:rPr>
                <w:sz w:val="20"/>
                <w:szCs w:val="20"/>
              </w:rPr>
            </w:pPr>
            <w:r>
              <w:rPr>
                <w:rFonts w:ascii="Calibri" w:eastAsia="Calibri" w:hAnsi="Calibri" w:cs="Calibri"/>
                <w:sz w:val="16"/>
                <w:szCs w:val="16"/>
              </w:rPr>
              <w:t>Case study of 3 schools, including multi-round semi-structured interviews, observations of 15 events over 1.5 years, and document analysis.</w:t>
            </w:r>
          </w:p>
        </w:tc>
      </w:tr>
      <w:tr w:rsidR="004F7B02" w14:paraId="52190945"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681FD32" w14:textId="77777777" w:rsidR="004F7B02" w:rsidRDefault="00000000">
            <w:pPr>
              <w:widowControl w:val="0"/>
              <w:rPr>
                <w:sz w:val="20"/>
                <w:szCs w:val="20"/>
              </w:rPr>
            </w:pPr>
            <w:r>
              <w:rPr>
                <w:rFonts w:ascii="Calibri" w:eastAsia="Calibri" w:hAnsi="Calibri" w:cs="Calibri"/>
                <w:sz w:val="16"/>
                <w:szCs w:val="16"/>
              </w:rPr>
              <w:t>Ishimaru (2014)</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3DB273A" w14:textId="77777777" w:rsidR="004F7B02" w:rsidRDefault="00000000">
            <w:pPr>
              <w:widowControl w:val="0"/>
              <w:rPr>
                <w:sz w:val="20"/>
                <w:szCs w:val="20"/>
              </w:rPr>
            </w:pPr>
            <w:r>
              <w:rPr>
                <w:rFonts w:ascii="Calibri" w:eastAsia="Calibri" w:hAnsi="Calibri" w:cs="Calibri"/>
                <w:sz w:val="16"/>
                <w:szCs w:val="16"/>
              </w:rPr>
              <w:t>Mixed Methods</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97CC186" w14:textId="77777777" w:rsidR="004F7B02" w:rsidRDefault="00000000">
            <w:pPr>
              <w:widowControl w:val="0"/>
              <w:rPr>
                <w:sz w:val="20"/>
                <w:szCs w:val="20"/>
              </w:rPr>
            </w:pPr>
            <w:r>
              <w:rPr>
                <w:rFonts w:ascii="Calibri" w:eastAsia="Calibri" w:hAnsi="Calibri" w:cs="Calibri"/>
                <w:sz w:val="16"/>
                <w:szCs w:val="16"/>
              </w:rPr>
              <w:t>Quantitative analysis of district-wide teacher survey data and a case study of a school using interviews, observations, and document analysis.</w:t>
            </w:r>
          </w:p>
        </w:tc>
      </w:tr>
      <w:tr w:rsidR="004F7B02" w14:paraId="1EAFFC36"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258582DF" w14:textId="77777777" w:rsidR="004F7B02" w:rsidRDefault="00000000">
            <w:pPr>
              <w:widowControl w:val="0"/>
              <w:rPr>
                <w:sz w:val="20"/>
                <w:szCs w:val="20"/>
              </w:rPr>
            </w:pPr>
            <w:r>
              <w:rPr>
                <w:rFonts w:ascii="Calibri" w:eastAsia="Calibri" w:hAnsi="Calibri" w:cs="Calibri"/>
                <w:sz w:val="16"/>
                <w:szCs w:val="16"/>
              </w:rPr>
              <w:t>Ishimaru (2018)</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DFA6095"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957F71D" w14:textId="77777777" w:rsidR="004F7B02" w:rsidRDefault="00000000">
            <w:pPr>
              <w:widowControl w:val="0"/>
              <w:rPr>
                <w:sz w:val="20"/>
                <w:szCs w:val="20"/>
              </w:rPr>
            </w:pPr>
            <w:r>
              <w:rPr>
                <w:rFonts w:ascii="Calibri" w:eastAsia="Calibri" w:hAnsi="Calibri" w:cs="Calibri"/>
                <w:sz w:val="16"/>
                <w:szCs w:val="16"/>
              </w:rPr>
              <w:t>Case study of 1 school over 7 years, including interviews with parent/community leaders and staff, observation, documentation, and data analysis.</w:t>
            </w:r>
          </w:p>
        </w:tc>
      </w:tr>
      <w:tr w:rsidR="004F7B02" w14:paraId="72DD4D22" w14:textId="77777777">
        <w:trPr>
          <w:trHeight w:val="315"/>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06B73F0" w14:textId="77777777" w:rsidR="004F7B02" w:rsidRDefault="00000000">
            <w:pPr>
              <w:widowControl w:val="0"/>
              <w:rPr>
                <w:sz w:val="20"/>
                <w:szCs w:val="20"/>
              </w:rPr>
            </w:pPr>
            <w:r>
              <w:rPr>
                <w:rFonts w:ascii="Calibri" w:eastAsia="Calibri" w:hAnsi="Calibri" w:cs="Calibri"/>
                <w:sz w:val="16"/>
                <w:szCs w:val="16"/>
              </w:rPr>
              <w:t>Kamber (2002)</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54BB39A"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435E6A0" w14:textId="77777777" w:rsidR="004F7B02" w:rsidRDefault="00000000">
            <w:pPr>
              <w:widowControl w:val="0"/>
              <w:rPr>
                <w:sz w:val="20"/>
                <w:szCs w:val="20"/>
              </w:rPr>
            </w:pPr>
            <w:r>
              <w:rPr>
                <w:rFonts w:ascii="Calibri" w:eastAsia="Calibri" w:hAnsi="Calibri" w:cs="Calibri"/>
                <w:sz w:val="16"/>
                <w:szCs w:val="16"/>
              </w:rPr>
              <w:t xml:space="preserve">Overview of school reform efforts across 14 States, including field visits to 40 </w:t>
            </w:r>
            <w:proofErr w:type="spellStart"/>
            <w:r>
              <w:rPr>
                <w:rFonts w:ascii="Calibri" w:eastAsia="Calibri" w:hAnsi="Calibri" w:cs="Calibri"/>
                <w:sz w:val="16"/>
                <w:szCs w:val="16"/>
              </w:rPr>
              <w:t>organisations</w:t>
            </w:r>
            <w:proofErr w:type="spellEnd"/>
            <w:r>
              <w:rPr>
                <w:rFonts w:ascii="Calibri" w:eastAsia="Calibri" w:hAnsi="Calibri" w:cs="Calibri"/>
                <w:sz w:val="16"/>
                <w:szCs w:val="16"/>
              </w:rPr>
              <w:t xml:space="preserve"> and telephone interviews.</w:t>
            </w:r>
          </w:p>
        </w:tc>
      </w:tr>
      <w:tr w:rsidR="004F7B02" w14:paraId="2931C9C5"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2EE4F65B" w14:textId="77777777" w:rsidR="004F7B02" w:rsidRDefault="00000000">
            <w:pPr>
              <w:widowControl w:val="0"/>
              <w:rPr>
                <w:sz w:val="20"/>
                <w:szCs w:val="20"/>
              </w:rPr>
            </w:pPr>
            <w:r>
              <w:rPr>
                <w:rFonts w:ascii="Calibri" w:eastAsia="Calibri" w:hAnsi="Calibri" w:cs="Calibri"/>
                <w:sz w:val="16"/>
                <w:szCs w:val="16"/>
              </w:rPr>
              <w:t>Mediratta et al. (2002)</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20CBD535" w14:textId="77777777" w:rsidR="004F7B02" w:rsidRDefault="00000000">
            <w:pPr>
              <w:widowControl w:val="0"/>
              <w:rPr>
                <w:sz w:val="20"/>
                <w:szCs w:val="20"/>
              </w:rPr>
            </w:pPr>
            <w:r>
              <w:rPr>
                <w:rFonts w:ascii="Calibri" w:eastAsia="Calibri" w:hAnsi="Calibri" w:cs="Calibri"/>
                <w:sz w:val="16"/>
                <w:szCs w:val="16"/>
              </w:rPr>
              <w:t>Mixed Methods</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6BF050E" w14:textId="77777777" w:rsidR="004F7B02" w:rsidRDefault="00000000">
            <w:pPr>
              <w:widowControl w:val="0"/>
              <w:rPr>
                <w:sz w:val="20"/>
                <w:szCs w:val="20"/>
              </w:rPr>
            </w:pPr>
            <w:r>
              <w:rPr>
                <w:rFonts w:ascii="Calibri" w:eastAsia="Calibri" w:hAnsi="Calibri" w:cs="Calibri"/>
                <w:sz w:val="16"/>
                <w:szCs w:val="16"/>
              </w:rPr>
              <w:t>National study of 66 community groups across 8 sites, including surveys, interviews, and focus groups over 2 years.</w:t>
            </w:r>
          </w:p>
        </w:tc>
      </w:tr>
      <w:tr w:rsidR="004F7B02" w14:paraId="78EE1CD6" w14:textId="77777777">
        <w:trPr>
          <w:trHeight w:val="645"/>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761662AE" w14:textId="77777777" w:rsidR="004F7B02" w:rsidRDefault="00000000">
            <w:pPr>
              <w:widowControl w:val="0"/>
              <w:rPr>
                <w:sz w:val="20"/>
                <w:szCs w:val="20"/>
              </w:rPr>
            </w:pPr>
            <w:r>
              <w:rPr>
                <w:rFonts w:ascii="Calibri" w:eastAsia="Calibri" w:hAnsi="Calibri" w:cs="Calibri"/>
                <w:sz w:val="16"/>
                <w:szCs w:val="16"/>
              </w:rPr>
              <w:t>Nygreen (2016), Nygreen (2017a), Nygreen (2017b)</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3D49E6D"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ECEA71F" w14:textId="77777777" w:rsidR="004F7B02" w:rsidRDefault="00000000">
            <w:pPr>
              <w:widowControl w:val="0"/>
              <w:rPr>
                <w:sz w:val="20"/>
                <w:szCs w:val="20"/>
              </w:rPr>
            </w:pPr>
            <w:r>
              <w:rPr>
                <w:rFonts w:ascii="Calibri" w:eastAsia="Calibri" w:hAnsi="Calibri" w:cs="Calibri"/>
                <w:sz w:val="16"/>
                <w:szCs w:val="16"/>
              </w:rPr>
              <w:t>Observation, interviews, document analysis, and meeting transcript analysis over 2 years using inductive thematic coding.</w:t>
            </w:r>
          </w:p>
        </w:tc>
      </w:tr>
      <w:tr w:rsidR="004F7B02" w14:paraId="4706A581" w14:textId="77777777">
        <w:trPr>
          <w:trHeight w:val="315"/>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1D53002" w14:textId="77777777" w:rsidR="004F7B02" w:rsidRDefault="00000000">
            <w:pPr>
              <w:widowControl w:val="0"/>
              <w:rPr>
                <w:sz w:val="20"/>
                <w:szCs w:val="20"/>
              </w:rPr>
            </w:pPr>
            <w:r>
              <w:rPr>
                <w:rFonts w:ascii="Calibri" w:eastAsia="Calibri" w:hAnsi="Calibri" w:cs="Calibri"/>
                <w:sz w:val="16"/>
                <w:szCs w:val="16"/>
              </w:rPr>
              <w:t>Ramos &amp; Jani (2025)</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A9F96B7"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765CA16" w14:textId="77777777" w:rsidR="004F7B02" w:rsidRDefault="00000000">
            <w:pPr>
              <w:widowControl w:val="0"/>
              <w:rPr>
                <w:sz w:val="20"/>
                <w:szCs w:val="20"/>
              </w:rPr>
            </w:pPr>
            <w:r>
              <w:rPr>
                <w:rFonts w:ascii="Calibri" w:eastAsia="Calibri" w:hAnsi="Calibri" w:cs="Calibri"/>
                <w:sz w:val="16"/>
                <w:szCs w:val="16"/>
              </w:rPr>
              <w:t>Observations over 10 years, participation in movement activity, and interviews.</w:t>
            </w:r>
          </w:p>
        </w:tc>
      </w:tr>
      <w:tr w:rsidR="004F7B02" w14:paraId="5B3D0CB7"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50814D6" w14:textId="77777777" w:rsidR="004F7B02" w:rsidRDefault="00000000">
            <w:pPr>
              <w:widowControl w:val="0"/>
              <w:rPr>
                <w:sz w:val="20"/>
                <w:szCs w:val="20"/>
              </w:rPr>
            </w:pPr>
            <w:r>
              <w:rPr>
                <w:rFonts w:ascii="Calibri" w:eastAsia="Calibri" w:hAnsi="Calibri" w:cs="Calibri"/>
                <w:sz w:val="16"/>
                <w:szCs w:val="16"/>
              </w:rPr>
              <w:lastRenderedPageBreak/>
              <w:t>Renée &amp; McAlister (2011)</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21440D2"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E075B0E" w14:textId="77777777" w:rsidR="004F7B02" w:rsidRDefault="00000000">
            <w:pPr>
              <w:widowControl w:val="0"/>
              <w:rPr>
                <w:sz w:val="20"/>
                <w:szCs w:val="20"/>
              </w:rPr>
            </w:pPr>
            <w:r>
              <w:rPr>
                <w:rFonts w:ascii="Calibri" w:eastAsia="Calibri" w:hAnsi="Calibri" w:cs="Calibri"/>
                <w:sz w:val="16"/>
                <w:szCs w:val="16"/>
              </w:rPr>
              <w:t>Literature review including case studies, regional and national scans, and large-scale impact studies.</w:t>
            </w:r>
          </w:p>
        </w:tc>
      </w:tr>
      <w:tr w:rsidR="004F7B02" w14:paraId="44068F92"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01DB726" w14:textId="77777777" w:rsidR="004F7B02" w:rsidRDefault="00000000">
            <w:pPr>
              <w:widowControl w:val="0"/>
              <w:rPr>
                <w:sz w:val="20"/>
                <w:szCs w:val="20"/>
              </w:rPr>
            </w:pPr>
            <w:r>
              <w:rPr>
                <w:rFonts w:ascii="Calibri" w:eastAsia="Calibri" w:hAnsi="Calibri" w:cs="Calibri"/>
                <w:sz w:val="16"/>
                <w:szCs w:val="16"/>
              </w:rPr>
              <w:t>Welton &amp; Freelon (2018)</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F081183"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39486DD" w14:textId="77777777" w:rsidR="004F7B02" w:rsidRDefault="00000000">
            <w:pPr>
              <w:widowControl w:val="0"/>
              <w:rPr>
                <w:sz w:val="20"/>
                <w:szCs w:val="20"/>
              </w:rPr>
            </w:pPr>
            <w:r>
              <w:rPr>
                <w:rFonts w:ascii="Calibri" w:eastAsia="Calibri" w:hAnsi="Calibri" w:cs="Calibri"/>
                <w:sz w:val="16"/>
                <w:szCs w:val="16"/>
              </w:rPr>
              <w:t>Multiple case studies, including 2 interviews, observation, and field notes, document analysis using thematic coding.</w:t>
            </w:r>
          </w:p>
        </w:tc>
      </w:tr>
      <w:tr w:rsidR="004F7B02" w14:paraId="5F7B94C1"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ABEB239" w14:textId="77777777" w:rsidR="004F7B02" w:rsidRDefault="00000000">
            <w:pPr>
              <w:widowControl w:val="0"/>
              <w:rPr>
                <w:sz w:val="20"/>
                <w:szCs w:val="20"/>
              </w:rPr>
            </w:pPr>
            <w:r>
              <w:rPr>
                <w:rFonts w:ascii="Calibri" w:eastAsia="Calibri" w:hAnsi="Calibri" w:cs="Calibri"/>
                <w:sz w:val="16"/>
                <w:szCs w:val="16"/>
              </w:rPr>
              <w:t>Wilson et al. (2023)</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0C81AEA"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7BD2D31" w14:textId="77777777" w:rsidR="004F7B02" w:rsidRDefault="00000000">
            <w:pPr>
              <w:widowControl w:val="0"/>
              <w:rPr>
                <w:sz w:val="20"/>
                <w:szCs w:val="20"/>
              </w:rPr>
            </w:pPr>
            <w:r>
              <w:rPr>
                <w:rFonts w:ascii="Calibri" w:eastAsia="Calibri" w:hAnsi="Calibri" w:cs="Calibri"/>
                <w:sz w:val="16"/>
                <w:szCs w:val="16"/>
              </w:rPr>
              <w:t>Multiple case studies focusing on African American mother-organizers over 3 years, including interviews, observation of 50+ hours, and document analysis using a constant comparative method.</w:t>
            </w:r>
          </w:p>
        </w:tc>
      </w:tr>
    </w:tbl>
    <w:p w14:paraId="230695CB" w14:textId="77777777" w:rsidR="004F7B02" w:rsidRDefault="004F7B02">
      <w:pPr>
        <w:rPr>
          <w:b/>
          <w:bCs/>
        </w:rPr>
      </w:pPr>
    </w:p>
    <w:p w14:paraId="4EAD52E1" w14:textId="77777777" w:rsidR="004F7B02" w:rsidRDefault="00000000">
      <w:pPr>
        <w:rPr>
          <w:b/>
          <w:bCs/>
        </w:rPr>
      </w:pPr>
      <w:r>
        <w:rPr>
          <w:b/>
          <w:bCs/>
        </w:rPr>
        <w:t xml:space="preserve">Bibliography </w:t>
      </w:r>
    </w:p>
    <w:p w14:paraId="6A515C2D" w14:textId="77777777" w:rsidR="004F7B02" w:rsidRDefault="004F7B02">
      <w:pPr>
        <w:rPr>
          <w:b/>
          <w:bCs/>
        </w:rPr>
      </w:pPr>
    </w:p>
    <w:p w14:paraId="4E4A0D67" w14:textId="77777777" w:rsidR="004F7B02" w:rsidRDefault="00000000">
      <w:pPr>
        <w:numPr>
          <w:ilvl w:val="0"/>
          <w:numId w:val="6"/>
        </w:numPr>
        <w:spacing w:line="324" w:lineRule="auto"/>
      </w:pPr>
      <w:r>
        <w:t>Alinsky, Saul D. (1972). Rules for radicals: a practical primer for realistic radicals. New York: Vintage Books</w:t>
      </w:r>
    </w:p>
    <w:p w14:paraId="09F10735" w14:textId="77777777" w:rsidR="004F7B02" w:rsidRDefault="00000000">
      <w:pPr>
        <w:numPr>
          <w:ilvl w:val="0"/>
          <w:numId w:val="6"/>
        </w:numPr>
      </w:pPr>
      <w:r>
        <w:t xml:space="preserve">Apple, M.W. (2019) ‘What Can We Learn </w:t>
      </w:r>
      <w:proofErr w:type="gramStart"/>
      <w:r>
        <w:t>From</w:t>
      </w:r>
      <w:proofErr w:type="gramEnd"/>
      <w:r>
        <w:t xml:space="preserve"> Grassroots Organizing?’, Educational Policy, 33(3), pp. 543–551. Available at:</w:t>
      </w:r>
      <w:hyperlink r:id="rId7">
        <w:r w:rsidR="004F7B02">
          <w:t xml:space="preserve"> </w:t>
        </w:r>
      </w:hyperlink>
      <w:hyperlink r:id="rId8">
        <w:r w:rsidR="004F7B02">
          <w:rPr>
            <w:u w:val="single"/>
          </w:rPr>
          <w:t>https://doi.org/10.1177/0895904818773909</w:t>
        </w:r>
      </w:hyperlink>
      <w:r>
        <w:t>.</w:t>
      </w:r>
    </w:p>
    <w:p w14:paraId="7EAE271C" w14:textId="77777777" w:rsidR="004F7B02" w:rsidRDefault="00000000">
      <w:pPr>
        <w:numPr>
          <w:ilvl w:val="0"/>
          <w:numId w:val="6"/>
        </w:numPr>
        <w:spacing w:line="324" w:lineRule="auto"/>
        <w:rPr>
          <w:highlight w:val="white"/>
        </w:rPr>
      </w:pPr>
      <w:r>
        <w:rPr>
          <w:highlight w:val="white"/>
        </w:rPr>
        <w:t>Bloome, D., Dyer, S. and Zhou, X. (2018) ‘Educational Inequality, Educational Expansion, and Intergenerational Income Persistence in the United States’, American Sociological Review, 83(6), pp. 1215–1253. Available at:</w:t>
      </w:r>
      <w:hyperlink r:id="rId9">
        <w:r w:rsidR="004F7B02">
          <w:rPr>
            <w:highlight w:val="white"/>
          </w:rPr>
          <w:t xml:space="preserve"> </w:t>
        </w:r>
      </w:hyperlink>
      <w:hyperlink r:id="rId10">
        <w:r w:rsidR="004F7B02">
          <w:rPr>
            <w:highlight w:val="white"/>
            <w:u w:val="single"/>
          </w:rPr>
          <w:t>https://doi.org/10.1177/0003122418809374</w:t>
        </w:r>
      </w:hyperlink>
      <w:r>
        <w:rPr>
          <w:highlight w:val="white"/>
        </w:rPr>
        <w:t>.</w:t>
      </w:r>
    </w:p>
    <w:p w14:paraId="7A1F597A" w14:textId="77777777" w:rsidR="004F7B02" w:rsidRDefault="00000000">
      <w:pPr>
        <w:numPr>
          <w:ilvl w:val="0"/>
          <w:numId w:val="6"/>
        </w:numPr>
        <w:spacing w:line="324" w:lineRule="auto"/>
      </w:pPr>
      <w:r>
        <w:t>Chambers, E. T. (2003). Roots for Radicals: Organizing for Power, Action and Justice, Bloomsbury, London.</w:t>
      </w:r>
    </w:p>
    <w:p w14:paraId="1FB88459" w14:textId="77777777" w:rsidR="004F7B02" w:rsidRDefault="00000000">
      <w:pPr>
        <w:numPr>
          <w:ilvl w:val="0"/>
          <w:numId w:val="6"/>
        </w:numPr>
        <w:spacing w:line="324" w:lineRule="auto"/>
      </w:pPr>
      <w:r>
        <w:t>Christens, B.D. and Speer, P.W. (2015) ‘Community Organizing: Practice, Research, and Policy Implications’, Social Issues and Policy Review, 9(1), pp. 193–222. Available at:</w:t>
      </w:r>
      <w:hyperlink r:id="rId11">
        <w:r w:rsidR="004F7B02">
          <w:t xml:space="preserve"> </w:t>
        </w:r>
      </w:hyperlink>
      <w:hyperlink r:id="rId12">
        <w:r w:rsidR="004F7B02">
          <w:rPr>
            <w:u w:val="single"/>
          </w:rPr>
          <w:t>https://doi.org/10.1111/sipr.12014</w:t>
        </w:r>
      </w:hyperlink>
      <w:r>
        <w:t>.</w:t>
      </w:r>
    </w:p>
    <w:p w14:paraId="04BA1AE2" w14:textId="77777777" w:rsidR="004F7B02" w:rsidRPr="003C666D" w:rsidRDefault="00000000">
      <w:pPr>
        <w:numPr>
          <w:ilvl w:val="0"/>
          <w:numId w:val="6"/>
        </w:numPr>
        <w:spacing w:line="324" w:lineRule="auto"/>
      </w:pPr>
      <w:r w:rsidRPr="003C666D">
        <w:t xml:space="preserve">Citizens, U. K. (2019) Annual Report: </w:t>
      </w:r>
      <w:proofErr w:type="spellStart"/>
      <w:r w:rsidRPr="003C666D">
        <w:t>Organising</w:t>
      </w:r>
      <w:proofErr w:type="spellEnd"/>
      <w:r w:rsidRPr="003C666D">
        <w:t xml:space="preserve"> and Social Impact 2019, Citizens UK, London, accessed at: https://citizensuk.contentfiles.net/media/documents/Annua l_Report_2019-compressed.pdf.</w:t>
      </w:r>
    </w:p>
    <w:p w14:paraId="72A60DB1" w14:textId="77777777" w:rsidR="004F7B02" w:rsidRDefault="00000000">
      <w:pPr>
        <w:numPr>
          <w:ilvl w:val="0"/>
          <w:numId w:val="6"/>
        </w:numPr>
      </w:pPr>
      <w:r>
        <w:t>Evans, M.P. and Shirley, D. (</w:t>
      </w:r>
      <w:proofErr w:type="gramStart"/>
      <w:r>
        <w:t>2008) ‘</w:t>
      </w:r>
      <w:proofErr w:type="gramEnd"/>
      <w:r>
        <w:t>The development of collective moral leadership among parents through education organizing.’, New directions for youth development [Preprint]. Available at:</w:t>
      </w:r>
      <w:hyperlink r:id="rId13">
        <w:r w:rsidR="004F7B02">
          <w:t xml:space="preserve"> </w:t>
        </w:r>
      </w:hyperlink>
      <w:hyperlink r:id="rId14">
        <w:r w:rsidR="004F7B02">
          <w:rPr>
            <w:u w:val="single"/>
          </w:rPr>
          <w:t>https://doi.org/10.1002/YD.248</w:t>
        </w:r>
      </w:hyperlink>
      <w:r>
        <w:t>.</w:t>
      </w:r>
    </w:p>
    <w:p w14:paraId="676824FA" w14:textId="77777777" w:rsidR="004F7B02" w:rsidRDefault="00000000">
      <w:pPr>
        <w:numPr>
          <w:ilvl w:val="0"/>
          <w:numId w:val="6"/>
        </w:numPr>
      </w:pPr>
      <w:r>
        <w:t>Freelon, R. (2022) ‘Transformational Resistance and Parent Leadership: Black Parents in a School District Decision-Making Process’, Urban Education, 57(8), pp. 1329–1357. Available at:</w:t>
      </w:r>
      <w:hyperlink r:id="rId15">
        <w:r w:rsidR="004F7B02">
          <w:t xml:space="preserve"> </w:t>
        </w:r>
      </w:hyperlink>
      <w:hyperlink r:id="rId16">
        <w:r w:rsidR="004F7B02">
          <w:rPr>
            <w:u w:val="single"/>
          </w:rPr>
          <w:t>https://doi.org/10.1177/0042085918801886</w:t>
        </w:r>
      </w:hyperlink>
      <w:r>
        <w:t>.</w:t>
      </w:r>
    </w:p>
    <w:p w14:paraId="215F7765" w14:textId="77777777" w:rsidR="004F7B02" w:rsidRDefault="00000000">
      <w:pPr>
        <w:numPr>
          <w:ilvl w:val="0"/>
          <w:numId w:val="6"/>
        </w:numPr>
        <w:spacing w:line="324" w:lineRule="auto"/>
      </w:pPr>
      <w:r>
        <w:t>Freire, P. (1999). Pedagogy of the Oppressed. New York, NY: Continuum.</w:t>
      </w:r>
    </w:p>
    <w:p w14:paraId="667418BC" w14:textId="77777777" w:rsidR="004F7B02" w:rsidRDefault="00000000">
      <w:pPr>
        <w:numPr>
          <w:ilvl w:val="0"/>
          <w:numId w:val="6"/>
        </w:numPr>
        <w:spacing w:line="324" w:lineRule="auto"/>
        <w:rPr>
          <w:highlight w:val="white"/>
        </w:rPr>
      </w:pPr>
      <w:r>
        <w:rPr>
          <w:highlight w:val="white"/>
        </w:rPr>
        <w:t>Gamoran, A. and Bruch, S.K. (2017) ‘Educational inequality in the United States: can we reverse the tide?’, Journal of Education and Work, 30(7), pp. 777–792. Available at:</w:t>
      </w:r>
      <w:hyperlink r:id="rId17">
        <w:r w:rsidR="004F7B02">
          <w:rPr>
            <w:highlight w:val="white"/>
          </w:rPr>
          <w:t xml:space="preserve"> </w:t>
        </w:r>
      </w:hyperlink>
      <w:hyperlink r:id="rId18">
        <w:r w:rsidR="004F7B02">
          <w:rPr>
            <w:highlight w:val="white"/>
            <w:u w:val="single"/>
          </w:rPr>
          <w:t>https://doi.org/10.1080/13639080.2017.1383091</w:t>
        </w:r>
      </w:hyperlink>
      <w:r>
        <w:rPr>
          <w:highlight w:val="white"/>
        </w:rPr>
        <w:t>.</w:t>
      </w:r>
    </w:p>
    <w:p w14:paraId="0EE5C33C" w14:textId="77777777" w:rsidR="004F7B02" w:rsidRDefault="00000000">
      <w:pPr>
        <w:numPr>
          <w:ilvl w:val="0"/>
          <w:numId w:val="6"/>
        </w:numPr>
      </w:pPr>
      <w:r>
        <w:t>Glickman, N.J. and Scally, C.P. (</w:t>
      </w:r>
      <w:proofErr w:type="gramStart"/>
      <w:r>
        <w:t>2008) ‘</w:t>
      </w:r>
      <w:proofErr w:type="gramEnd"/>
      <w:r>
        <w:t>Can Community and Education Organizing Improve Inner-City Schools?’ Available at:</w:t>
      </w:r>
      <w:hyperlink r:id="rId19">
        <w:r w:rsidR="004F7B02">
          <w:t xml:space="preserve"> </w:t>
        </w:r>
      </w:hyperlink>
      <w:hyperlink r:id="rId20">
        <w:r w:rsidR="004F7B02">
          <w:rPr>
            <w:u w:val="single"/>
          </w:rPr>
          <w:t>https://doi.org/10.1111/J.1467-9906.2008.00418.X</w:t>
        </w:r>
      </w:hyperlink>
      <w:r>
        <w:t>.</w:t>
      </w:r>
    </w:p>
    <w:p w14:paraId="1F7F8D98" w14:textId="77777777" w:rsidR="004F7B02" w:rsidRDefault="00000000">
      <w:pPr>
        <w:numPr>
          <w:ilvl w:val="0"/>
          <w:numId w:val="6"/>
        </w:numPr>
      </w:pPr>
      <w:r w:rsidRPr="001E78C6">
        <w:rPr>
          <w:lang w:val="sv-SE"/>
        </w:rPr>
        <w:t xml:space="preserve">Goessling, K.P. et al. </w:t>
      </w:r>
      <w:r>
        <w:t xml:space="preserve">(2024) ‘Accountability from the Ground Up: Uncovering the Limitations and Possibilities of Organizing for Community Schools in Philadelphia’, </w:t>
      </w:r>
      <w:r>
        <w:lastRenderedPageBreak/>
        <w:t>Urban Education, 59(1), pp. 270–299. Available at:</w:t>
      </w:r>
      <w:hyperlink r:id="rId21">
        <w:r w:rsidR="004F7B02">
          <w:t xml:space="preserve"> </w:t>
        </w:r>
      </w:hyperlink>
      <w:hyperlink r:id="rId22">
        <w:r w:rsidR="004F7B02">
          <w:rPr>
            <w:u w:val="single"/>
          </w:rPr>
          <w:t>https://doi.org/10.1177/0042085920959134</w:t>
        </w:r>
      </w:hyperlink>
      <w:r>
        <w:t>.</w:t>
      </w:r>
    </w:p>
    <w:p w14:paraId="7B67CDEB" w14:textId="77777777" w:rsidR="004F7B02" w:rsidRDefault="00000000">
      <w:pPr>
        <w:numPr>
          <w:ilvl w:val="0"/>
          <w:numId w:val="6"/>
        </w:numPr>
      </w:pPr>
      <w:r>
        <w:t>Gold, E., Simon, E. and Brown, C. (</w:t>
      </w:r>
      <w:proofErr w:type="gramStart"/>
      <w:r>
        <w:t>2002) ‘</w:t>
      </w:r>
      <w:proofErr w:type="gramEnd"/>
      <w:r>
        <w:t>Successful Community Organizing for School Reform. Strong Neighborhoods, Strong Schools. The Indicators Project on Education Organizing.’</w:t>
      </w:r>
    </w:p>
    <w:p w14:paraId="58539812" w14:textId="77777777" w:rsidR="004F7B02" w:rsidRDefault="00000000">
      <w:pPr>
        <w:numPr>
          <w:ilvl w:val="0"/>
          <w:numId w:val="6"/>
        </w:numPr>
      </w:pPr>
      <w:r>
        <w:t>Gold, E. et al. (2004) ‘Bringing Community Organizing into the School Reform Picture’, Nonprofit and Voluntary Sector Quarterly, 33(3_suppl), pp. 54S-76S. Available at:</w:t>
      </w:r>
      <w:hyperlink r:id="rId23">
        <w:r w:rsidR="004F7B02">
          <w:t xml:space="preserve"> </w:t>
        </w:r>
      </w:hyperlink>
      <w:hyperlink r:id="rId24">
        <w:r w:rsidR="004F7B02">
          <w:rPr>
            <w:u w:val="single"/>
          </w:rPr>
          <w:t>https://doi.org/10.1177/0899764004265439</w:t>
        </w:r>
      </w:hyperlink>
      <w:r>
        <w:t>.</w:t>
      </w:r>
    </w:p>
    <w:p w14:paraId="19FDD35E" w14:textId="77777777" w:rsidR="004F7B02" w:rsidRDefault="00000000">
      <w:pPr>
        <w:numPr>
          <w:ilvl w:val="0"/>
          <w:numId w:val="6"/>
        </w:numPr>
      </w:pPr>
      <w:r>
        <w:t>González, T. (2015). Restoring Justice: Community Organizing to Transform School Discipline Policies. Rochester, NY: Social Science Research Network. Available at:</w:t>
      </w:r>
      <w:hyperlink r:id="rId25">
        <w:r w:rsidR="004F7B02">
          <w:t xml:space="preserve"> </w:t>
        </w:r>
      </w:hyperlink>
      <w:hyperlink r:id="rId26">
        <w:r w:rsidR="004F7B02">
          <w:rPr>
            <w:u w:val="single"/>
          </w:rPr>
          <w:t>https://doi.org/10.2139/ssrn.2658497</w:t>
        </w:r>
      </w:hyperlink>
      <w:r>
        <w:t>.</w:t>
      </w:r>
    </w:p>
    <w:p w14:paraId="39A2750C" w14:textId="77777777" w:rsidR="004F7B02" w:rsidRDefault="00000000">
      <w:pPr>
        <w:numPr>
          <w:ilvl w:val="0"/>
          <w:numId w:val="6"/>
        </w:numPr>
      </w:pPr>
      <w:r>
        <w:t>Ishimaru, A. (2013) ‘From Heroes to Organizers: Principals and Education Organizing in Urban School Reform’, Educational Administration Quarterly, 49(1), pp. 3–51. Available at:</w:t>
      </w:r>
      <w:hyperlink r:id="rId27">
        <w:r w:rsidR="004F7B02">
          <w:t xml:space="preserve"> </w:t>
        </w:r>
      </w:hyperlink>
      <w:hyperlink r:id="rId28">
        <w:r w:rsidR="004F7B02">
          <w:rPr>
            <w:u w:val="single"/>
          </w:rPr>
          <w:t>https://doi.org/10.1177/0013161X12448250</w:t>
        </w:r>
      </w:hyperlink>
      <w:r>
        <w:t>.</w:t>
      </w:r>
    </w:p>
    <w:p w14:paraId="2871142B" w14:textId="77777777" w:rsidR="004F7B02" w:rsidRDefault="00000000">
      <w:pPr>
        <w:numPr>
          <w:ilvl w:val="0"/>
          <w:numId w:val="6"/>
        </w:numPr>
      </w:pPr>
      <w:r>
        <w:t>Ishimaru, A.M. (2014) ‘When New Relationships Meet Old Narratives: The Journey towards Improving Parent-School Relations in a District-Community Organizing Collaboration’, Teachers College Record: The Voice of Scholarship in Education, 116(2), pp. 1–56. Available at:</w:t>
      </w:r>
      <w:hyperlink r:id="rId29">
        <w:r w:rsidR="004F7B02">
          <w:t xml:space="preserve"> </w:t>
        </w:r>
      </w:hyperlink>
      <w:hyperlink r:id="rId30">
        <w:r w:rsidR="004F7B02">
          <w:rPr>
            <w:u w:val="single"/>
          </w:rPr>
          <w:t>https://doi.org/10.1177/016146811411600206</w:t>
        </w:r>
      </w:hyperlink>
      <w:r>
        <w:t>.</w:t>
      </w:r>
    </w:p>
    <w:p w14:paraId="151F820D" w14:textId="77777777" w:rsidR="004F7B02" w:rsidRDefault="00000000">
      <w:pPr>
        <w:numPr>
          <w:ilvl w:val="0"/>
          <w:numId w:val="6"/>
        </w:numPr>
      </w:pPr>
      <w:r>
        <w:t xml:space="preserve">Ishimaru, A.M. (2018) </w:t>
      </w:r>
      <w:proofErr w:type="spellStart"/>
      <w:r>
        <w:t>‘Re</w:t>
      </w:r>
      <w:proofErr w:type="spellEnd"/>
      <w:r>
        <w:t>-imagining turnaround: families and communities leading educational justice’, Journal of Educational Administration, 56(5), pp. 546–561. Available at:</w:t>
      </w:r>
      <w:hyperlink r:id="rId31">
        <w:r w:rsidR="004F7B02">
          <w:t xml:space="preserve"> </w:t>
        </w:r>
      </w:hyperlink>
      <w:hyperlink r:id="rId32">
        <w:r w:rsidR="004F7B02">
          <w:rPr>
            <w:u w:val="single"/>
          </w:rPr>
          <w:t>https://doi.org/10.1108/JEA-01-2018-0013</w:t>
        </w:r>
      </w:hyperlink>
      <w:r>
        <w:t>.</w:t>
      </w:r>
    </w:p>
    <w:p w14:paraId="74CCEAAF" w14:textId="77777777" w:rsidR="004F7B02" w:rsidRDefault="00000000">
      <w:pPr>
        <w:numPr>
          <w:ilvl w:val="0"/>
          <w:numId w:val="6"/>
        </w:numPr>
        <w:spacing w:line="324" w:lineRule="auto"/>
        <w:rPr>
          <w:highlight w:val="white"/>
        </w:rPr>
      </w:pPr>
      <w:r>
        <w:rPr>
          <w:highlight w:val="white"/>
        </w:rPr>
        <w:t>Jackson, M. and Holzman, B. (2020) ‘A century of educational inequality in the United States’, Proceedings of the National Academy of Sciences, 117(32), pp. 19108–19115. Available at:</w:t>
      </w:r>
      <w:hyperlink r:id="rId33">
        <w:r w:rsidR="004F7B02">
          <w:rPr>
            <w:highlight w:val="white"/>
          </w:rPr>
          <w:t xml:space="preserve"> </w:t>
        </w:r>
      </w:hyperlink>
      <w:hyperlink r:id="rId34">
        <w:r w:rsidR="004F7B02">
          <w:rPr>
            <w:highlight w:val="white"/>
            <w:u w:val="single"/>
          </w:rPr>
          <w:t>https://doi.org/10.1073/pnas.1907258117</w:t>
        </w:r>
      </w:hyperlink>
      <w:r>
        <w:rPr>
          <w:highlight w:val="white"/>
        </w:rPr>
        <w:t>.</w:t>
      </w:r>
    </w:p>
    <w:p w14:paraId="74544417" w14:textId="77777777" w:rsidR="004F7B02" w:rsidRDefault="00000000">
      <w:pPr>
        <w:numPr>
          <w:ilvl w:val="0"/>
          <w:numId w:val="6"/>
        </w:numPr>
      </w:pPr>
      <w:r>
        <w:t>Kamber, T. (</w:t>
      </w:r>
      <w:proofErr w:type="gramStart"/>
      <w:r>
        <w:t>2002) ‘</w:t>
      </w:r>
      <w:proofErr w:type="gramEnd"/>
      <w:r>
        <w:t>From Schoolhouse to Statehouse: Community Organizing for Public School Reform’. National Center for Schools and Communities, Fordham University, 33 West 60th Street, Eighth Floor, New York, NY 10023. Available at:</w:t>
      </w:r>
      <w:hyperlink r:id="rId35">
        <w:r w:rsidR="004F7B02">
          <w:t xml:space="preserve"> </w:t>
        </w:r>
      </w:hyperlink>
      <w:hyperlink r:id="rId36">
        <w:r w:rsidR="004F7B02">
          <w:rPr>
            <w:u w:val="single"/>
          </w:rPr>
          <w:t>https://eric.ed.gov/?id=ED467358</w:t>
        </w:r>
      </w:hyperlink>
      <w:r>
        <w:t xml:space="preserve"> (Accessed: 18 October 2025).</w:t>
      </w:r>
    </w:p>
    <w:p w14:paraId="5FC524C2" w14:textId="77777777" w:rsidR="004F7B02" w:rsidRDefault="00000000">
      <w:pPr>
        <w:numPr>
          <w:ilvl w:val="0"/>
          <w:numId w:val="6"/>
        </w:numPr>
        <w:spacing w:line="324" w:lineRule="auto"/>
      </w:pPr>
      <w:r>
        <w:t>Lin, M. (2023) ‘“Actually Changing Our Way of Being”: Transformative Organizing and Implications for Critical Community-Engaged Scholarship’, Social Sciences, 12(10), p. 562. Available at:</w:t>
      </w:r>
      <w:hyperlink r:id="rId37">
        <w:r w:rsidR="004F7B02">
          <w:t xml:space="preserve"> </w:t>
        </w:r>
      </w:hyperlink>
      <w:hyperlink r:id="rId38">
        <w:r w:rsidR="004F7B02">
          <w:rPr>
            <w:u w:val="single"/>
          </w:rPr>
          <w:t>https://doi.org/10.3390/socsci12100562</w:t>
        </w:r>
      </w:hyperlink>
      <w:r>
        <w:t>.</w:t>
      </w:r>
    </w:p>
    <w:p w14:paraId="292010CD" w14:textId="77777777" w:rsidR="004F7B02" w:rsidRDefault="00000000">
      <w:pPr>
        <w:numPr>
          <w:ilvl w:val="0"/>
          <w:numId w:val="6"/>
        </w:numPr>
      </w:pPr>
      <w:r>
        <w:t>Mediratta, K., Fruchter, N. and Lewis, A.C. (</w:t>
      </w:r>
      <w:proofErr w:type="gramStart"/>
      <w:r>
        <w:t>2002) ‘</w:t>
      </w:r>
      <w:proofErr w:type="gramEnd"/>
      <w:r>
        <w:t>Organizing for School Reform: How Communities Are Finding Their Voices and Reclaiming Their Public Schools.’</w:t>
      </w:r>
    </w:p>
    <w:p w14:paraId="4E3158A5" w14:textId="77777777" w:rsidR="004F7B02" w:rsidRDefault="00000000">
      <w:pPr>
        <w:numPr>
          <w:ilvl w:val="0"/>
          <w:numId w:val="6"/>
        </w:numPr>
      </w:pPr>
      <w:r>
        <w:t>Nygreen, K. (2016) ‘Competing Paradigms of Educational Justice: Parent Organizing for Educational Equity in a Neoliberal Reform Context’, Equity &amp; Excellence in Education, 49(2), pp. 202–214. Available at:</w:t>
      </w:r>
      <w:hyperlink r:id="rId39">
        <w:r w:rsidR="004F7B02">
          <w:t xml:space="preserve"> </w:t>
        </w:r>
      </w:hyperlink>
      <w:hyperlink r:id="rId40">
        <w:r w:rsidR="004F7B02">
          <w:rPr>
            <w:u w:val="single"/>
          </w:rPr>
          <w:t>https://doi.org/10.1080/10665684.2016.1144832</w:t>
        </w:r>
      </w:hyperlink>
      <w:r>
        <w:t>.</w:t>
      </w:r>
    </w:p>
    <w:p w14:paraId="5622996B" w14:textId="77777777" w:rsidR="004F7B02" w:rsidRDefault="00000000">
      <w:pPr>
        <w:numPr>
          <w:ilvl w:val="0"/>
          <w:numId w:val="6"/>
        </w:numPr>
        <w:spacing w:line="324" w:lineRule="auto"/>
      </w:pPr>
      <w:r>
        <w:t>Nygreen, K. (2016) ‘Competing Paradigms of Educational Justice: Parent Organizing for Educational Equity in a Neoliberal Reform Context’, Equity &amp; Excellence in Education, 49(2), pp. 202–214. Available at:</w:t>
      </w:r>
      <w:hyperlink r:id="rId41">
        <w:r w:rsidR="004F7B02">
          <w:t xml:space="preserve"> </w:t>
        </w:r>
      </w:hyperlink>
      <w:hyperlink r:id="rId42">
        <w:r w:rsidR="004F7B02">
          <w:rPr>
            <w:u w:val="single"/>
          </w:rPr>
          <w:t>https://doi.org/10.1080/10665684.2016.1144832</w:t>
        </w:r>
      </w:hyperlink>
      <w:r>
        <w:t>.</w:t>
      </w:r>
    </w:p>
    <w:p w14:paraId="086471CB" w14:textId="77777777" w:rsidR="004F7B02" w:rsidRDefault="00000000">
      <w:pPr>
        <w:numPr>
          <w:ilvl w:val="0"/>
          <w:numId w:val="6"/>
        </w:numPr>
      </w:pPr>
      <w:r>
        <w:t>Nygreen, K. (2017a) ‘Latina/o Parent Organizing for Educational Justice: An Ethnographic Account of Community Building and Radical Healing’, Journal of Latinos and Education, 16(4), pp. 301–313. Available at:</w:t>
      </w:r>
      <w:hyperlink r:id="rId43">
        <w:r w:rsidR="004F7B02">
          <w:t xml:space="preserve"> </w:t>
        </w:r>
      </w:hyperlink>
      <w:hyperlink r:id="rId44">
        <w:r w:rsidR="004F7B02">
          <w:rPr>
            <w:u w:val="single"/>
          </w:rPr>
          <w:t>https://doi.org/10.1080/15348431.2016.1247706</w:t>
        </w:r>
      </w:hyperlink>
      <w:r>
        <w:t>.</w:t>
      </w:r>
    </w:p>
    <w:p w14:paraId="106E3D02" w14:textId="77777777" w:rsidR="004F7B02" w:rsidRDefault="00000000">
      <w:pPr>
        <w:numPr>
          <w:ilvl w:val="0"/>
          <w:numId w:val="6"/>
        </w:numPr>
      </w:pPr>
      <w:r>
        <w:lastRenderedPageBreak/>
        <w:t>Nygreen, K. (2017b) ‘Negotiating Tensions: Grassroots Organizing, School Reform, and the Paradox of Neoliberal Democracy: The Paradox of Neoliberal Democracy’, Anthropology &amp; Education Quarterly, 48(1), pp. 42–60. Available at:</w:t>
      </w:r>
      <w:hyperlink r:id="rId45">
        <w:r w:rsidR="004F7B02">
          <w:t xml:space="preserve"> </w:t>
        </w:r>
      </w:hyperlink>
      <w:hyperlink r:id="rId46">
        <w:r w:rsidR="004F7B02">
          <w:rPr>
            <w:u w:val="single"/>
          </w:rPr>
          <w:t>https://doi.org/10.1111/aeq.12182</w:t>
        </w:r>
      </w:hyperlink>
      <w:r>
        <w:t>.</w:t>
      </w:r>
    </w:p>
    <w:p w14:paraId="70273B68" w14:textId="77777777" w:rsidR="004F7B02" w:rsidRDefault="00000000">
      <w:pPr>
        <w:numPr>
          <w:ilvl w:val="0"/>
          <w:numId w:val="6"/>
        </w:numPr>
      </w:pPr>
      <w:r>
        <w:t xml:space="preserve">Ramos, F.F. and Jani, N. (2025) ‘Reclaiming racial justice and building solidarity in Oakland’s educational justice movement’, </w:t>
      </w:r>
      <w:proofErr w:type="spellStart"/>
      <w:r>
        <w:t>Globalisation</w:t>
      </w:r>
      <w:proofErr w:type="spellEnd"/>
      <w:r>
        <w:t>, Societies and Education, 23(1), pp. 47–62. Available at:</w:t>
      </w:r>
      <w:hyperlink r:id="rId47">
        <w:r w:rsidR="004F7B02">
          <w:t xml:space="preserve"> </w:t>
        </w:r>
      </w:hyperlink>
      <w:hyperlink r:id="rId48">
        <w:r w:rsidR="004F7B02">
          <w:rPr>
            <w:u w:val="single"/>
          </w:rPr>
          <w:t>https://doi.org/10.1080/14767724.2024.2319310</w:t>
        </w:r>
      </w:hyperlink>
      <w:r>
        <w:t>.</w:t>
      </w:r>
    </w:p>
    <w:p w14:paraId="2C1F0223" w14:textId="77777777" w:rsidR="004F7B02" w:rsidRDefault="00000000">
      <w:pPr>
        <w:numPr>
          <w:ilvl w:val="0"/>
          <w:numId w:val="6"/>
        </w:numPr>
      </w:pPr>
      <w:r>
        <w:t>Renée, M. and McAlister, S. (2011) ‘Community Organizing as an Education Reform Strategy’, The Education Digest, May, pp. 40–47.</w:t>
      </w:r>
    </w:p>
    <w:p w14:paraId="3CA1CE35" w14:textId="77777777" w:rsidR="004F7B02" w:rsidRDefault="00000000">
      <w:pPr>
        <w:numPr>
          <w:ilvl w:val="0"/>
          <w:numId w:val="6"/>
        </w:numPr>
      </w:pPr>
      <w:r>
        <w:t xml:space="preserve">Speer PW, Tesdahl EA, Ayers JF. (2014) Community organizing practices in a globalizing era: building power for health equity at the community level. </w:t>
      </w:r>
      <w:proofErr w:type="spellStart"/>
      <w:r>
        <w:t>JHealth</w:t>
      </w:r>
      <w:proofErr w:type="spellEnd"/>
      <w:r>
        <w:t xml:space="preserve"> Psychol, 19(1): 159-69. </w:t>
      </w:r>
    </w:p>
    <w:p w14:paraId="2670AAC3" w14:textId="77777777" w:rsidR="004F7B02" w:rsidRDefault="00000000">
      <w:pPr>
        <w:numPr>
          <w:ilvl w:val="0"/>
          <w:numId w:val="6"/>
        </w:numPr>
      </w:pPr>
      <w:r>
        <w:t xml:space="preserve">Welton, A.D. and Freelon, R. (2018) ‘Community Organizing as Educational Leadership: Lessons </w:t>
      </w:r>
      <w:proofErr w:type="gramStart"/>
      <w:r>
        <w:t>From</w:t>
      </w:r>
      <w:proofErr w:type="gramEnd"/>
      <w:r>
        <w:t xml:space="preserve"> Chicago on the Politics of Racial Justice’, Journal of Research on Leadership Education, 13(1), pp. 79–104. Available at:</w:t>
      </w:r>
      <w:hyperlink r:id="rId49">
        <w:r w:rsidR="004F7B02">
          <w:t xml:space="preserve"> </w:t>
        </w:r>
      </w:hyperlink>
      <w:hyperlink r:id="rId50">
        <w:r w:rsidR="004F7B02">
          <w:rPr>
            <w:u w:val="single"/>
          </w:rPr>
          <w:t>https://doi.org/10.1177/1942775117744193</w:t>
        </w:r>
      </w:hyperlink>
      <w:r>
        <w:t>.</w:t>
      </w:r>
    </w:p>
    <w:p w14:paraId="4B53B6B5" w14:textId="77777777" w:rsidR="004F7B02" w:rsidRDefault="00000000">
      <w:pPr>
        <w:numPr>
          <w:ilvl w:val="0"/>
          <w:numId w:val="6"/>
        </w:numPr>
      </w:pPr>
      <w:r>
        <w:t>Wilson, C.M., Nickson, D. and Ransom, K.C. (2023) ‘Spiriting urban educational justice: The leadership of African American mothers organizing for school equity and local control’, Journal of Educational Change, 24(2), pp. 265–290. Available at:</w:t>
      </w:r>
      <w:hyperlink r:id="rId51">
        <w:r w:rsidR="004F7B02">
          <w:t xml:space="preserve"> </w:t>
        </w:r>
      </w:hyperlink>
      <w:hyperlink r:id="rId52">
        <w:r w:rsidR="004F7B02">
          <w:rPr>
            <w:u w:val="single"/>
          </w:rPr>
          <w:t>https://doi.org/10.1007/s10833-021-09443-1</w:t>
        </w:r>
      </w:hyperlink>
      <w:r>
        <w:t>.</w:t>
      </w:r>
    </w:p>
    <w:p w14:paraId="65951C9C" w14:textId="77777777" w:rsidR="004F7B02" w:rsidRDefault="00000000">
      <w:pPr>
        <w:numPr>
          <w:ilvl w:val="0"/>
          <w:numId w:val="6"/>
        </w:numPr>
        <w:spacing w:line="324" w:lineRule="auto"/>
      </w:pPr>
      <w:r>
        <w:t>Wood, J. (2025) ‘The power to act: dissecting distinctive elements of power and ownership in community organizing in England and Wales’, Community Development Journal, 60(1), pp. 200–217. Available at:</w:t>
      </w:r>
      <w:hyperlink r:id="rId53">
        <w:r w:rsidR="004F7B02">
          <w:t xml:space="preserve"> </w:t>
        </w:r>
      </w:hyperlink>
      <w:hyperlink r:id="rId54">
        <w:r w:rsidR="004F7B02">
          <w:rPr>
            <w:u w:val="single"/>
          </w:rPr>
          <w:t>https://doi.org/10.1093/cdj/bsad023</w:t>
        </w:r>
      </w:hyperlink>
      <w:r>
        <w:t>.</w:t>
      </w:r>
    </w:p>
    <w:p w14:paraId="24778B3A" w14:textId="77777777" w:rsidR="004F7B02" w:rsidRDefault="00000000">
      <w:pPr>
        <w:numPr>
          <w:ilvl w:val="0"/>
          <w:numId w:val="6"/>
        </w:numPr>
      </w:pPr>
      <w:r>
        <w:t>Zachary, E. and Olatoye, S. (</w:t>
      </w:r>
      <w:proofErr w:type="gramStart"/>
      <w:r>
        <w:t>2001) ‘</w:t>
      </w:r>
      <w:proofErr w:type="gramEnd"/>
      <w:r>
        <w:t>A Case Study: Community Organizing for School Improvement in the South Bronx.’</w:t>
      </w:r>
    </w:p>
    <w:sectPr w:rsidR="004F7B02">
      <w:footerReference w:type="default" r:id="rId5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DE9A5" w14:textId="77777777" w:rsidR="00C444B2" w:rsidRDefault="00C444B2">
      <w:pPr>
        <w:spacing w:line="240" w:lineRule="auto"/>
      </w:pPr>
      <w:r>
        <w:separator/>
      </w:r>
    </w:p>
  </w:endnote>
  <w:endnote w:type="continuationSeparator" w:id="0">
    <w:p w14:paraId="52637009" w14:textId="77777777" w:rsidR="00C444B2" w:rsidRDefault="00C444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C94EB28-B12B-4002-A366-4F0D3995BDA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F967B405-5A38-45D8-B0AD-B29260FCD0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0FB40" w14:textId="77777777" w:rsidR="004F7B02" w:rsidRDefault="00000000">
    <w:pPr>
      <w:jc w:val="right"/>
    </w:pPr>
    <w:r>
      <w:fldChar w:fldCharType="begin"/>
    </w:r>
    <w:r>
      <w:instrText>PAGE</w:instrText>
    </w:r>
    <w:r>
      <w:fldChar w:fldCharType="separate"/>
    </w:r>
    <w:r w:rsidR="003C666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B3D5A" w14:textId="77777777" w:rsidR="00C444B2" w:rsidRDefault="00C444B2">
      <w:pPr>
        <w:spacing w:line="240" w:lineRule="auto"/>
      </w:pPr>
      <w:r>
        <w:separator/>
      </w:r>
    </w:p>
  </w:footnote>
  <w:footnote w:type="continuationSeparator" w:id="0">
    <w:p w14:paraId="61B288BE" w14:textId="77777777" w:rsidR="00C444B2" w:rsidRDefault="00C444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42D2D"/>
    <w:multiLevelType w:val="multilevel"/>
    <w:tmpl w:val="819E1A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BA319C1"/>
    <w:multiLevelType w:val="multilevel"/>
    <w:tmpl w:val="594A06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8E543F4"/>
    <w:multiLevelType w:val="multilevel"/>
    <w:tmpl w:val="652EF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9195B6E"/>
    <w:multiLevelType w:val="multilevel"/>
    <w:tmpl w:val="CB3A0356"/>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73F2A00"/>
    <w:multiLevelType w:val="multilevel"/>
    <w:tmpl w:val="F7A40C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7446B54"/>
    <w:multiLevelType w:val="multilevel"/>
    <w:tmpl w:val="2604B4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A9F3176"/>
    <w:multiLevelType w:val="multilevel"/>
    <w:tmpl w:val="7B3C3B1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7233AB0"/>
    <w:multiLevelType w:val="multilevel"/>
    <w:tmpl w:val="6068EA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43752143">
    <w:abstractNumId w:val="5"/>
  </w:num>
  <w:num w:numId="2" w16cid:durableId="1642224578">
    <w:abstractNumId w:val="7"/>
  </w:num>
  <w:num w:numId="3" w16cid:durableId="660353718">
    <w:abstractNumId w:val="1"/>
  </w:num>
  <w:num w:numId="4" w16cid:durableId="1312103225">
    <w:abstractNumId w:val="2"/>
  </w:num>
  <w:num w:numId="5" w16cid:durableId="625744003">
    <w:abstractNumId w:val="4"/>
  </w:num>
  <w:num w:numId="6" w16cid:durableId="1083995385">
    <w:abstractNumId w:val="0"/>
  </w:num>
  <w:num w:numId="7" w16cid:durableId="296837072">
    <w:abstractNumId w:val="6"/>
  </w:num>
  <w:num w:numId="8" w16cid:durableId="879362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5467879-3AC0-4CCF-ADEC-265939769590}"/>
    <w:docVar w:name="dgnword-eventsink" w:val="1764895558928"/>
  </w:docVars>
  <w:rsids>
    <w:rsidRoot w:val="004F7B02"/>
    <w:rsid w:val="00130F5F"/>
    <w:rsid w:val="001E78C6"/>
    <w:rsid w:val="00255A59"/>
    <w:rsid w:val="002B7B3A"/>
    <w:rsid w:val="003163A7"/>
    <w:rsid w:val="003510CB"/>
    <w:rsid w:val="0039082E"/>
    <w:rsid w:val="003C666D"/>
    <w:rsid w:val="00456054"/>
    <w:rsid w:val="00483F62"/>
    <w:rsid w:val="004D56CB"/>
    <w:rsid w:val="004E2312"/>
    <w:rsid w:val="004F7B02"/>
    <w:rsid w:val="00514E69"/>
    <w:rsid w:val="00522840"/>
    <w:rsid w:val="00653E09"/>
    <w:rsid w:val="00716B2C"/>
    <w:rsid w:val="007341D4"/>
    <w:rsid w:val="00782565"/>
    <w:rsid w:val="00793BC5"/>
    <w:rsid w:val="007B0CF6"/>
    <w:rsid w:val="007D3A1E"/>
    <w:rsid w:val="00811160"/>
    <w:rsid w:val="008374E9"/>
    <w:rsid w:val="008D0705"/>
    <w:rsid w:val="00901D0F"/>
    <w:rsid w:val="009600D0"/>
    <w:rsid w:val="00A0662E"/>
    <w:rsid w:val="00A506BE"/>
    <w:rsid w:val="00BC05D5"/>
    <w:rsid w:val="00C444B2"/>
    <w:rsid w:val="00C82E3E"/>
    <w:rsid w:val="00CB7C1A"/>
    <w:rsid w:val="00D27C2C"/>
    <w:rsid w:val="00DB0C01"/>
    <w:rsid w:val="00E23DA9"/>
    <w:rsid w:val="00EF717F"/>
    <w:rsid w:val="00FD00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90209"/>
  <w15:docId w15:val="{BB9BC13D-CC6C-48F8-819F-A921D8DFC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tcPr>
      <w:shd w:val="clear" w:color="auto" w:fill="FFFFFF"/>
    </w:tc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character" w:styleId="CommentReference">
    <w:name w:val="annotation reference"/>
    <w:basedOn w:val="DefaultParagraphFont"/>
    <w:uiPriority w:val="99"/>
    <w:semiHidden/>
    <w:unhideWhenUsed/>
    <w:rsid w:val="007B0CF6"/>
    <w:rPr>
      <w:sz w:val="16"/>
      <w:szCs w:val="16"/>
    </w:rPr>
  </w:style>
  <w:style w:type="paragraph" w:styleId="CommentText">
    <w:name w:val="annotation text"/>
    <w:basedOn w:val="Normal"/>
    <w:link w:val="CommentTextChar"/>
    <w:uiPriority w:val="99"/>
    <w:unhideWhenUsed/>
    <w:rsid w:val="007B0CF6"/>
    <w:pPr>
      <w:spacing w:line="240" w:lineRule="auto"/>
    </w:pPr>
    <w:rPr>
      <w:sz w:val="20"/>
      <w:szCs w:val="20"/>
    </w:rPr>
  </w:style>
  <w:style w:type="character" w:customStyle="1" w:styleId="CommentTextChar">
    <w:name w:val="Comment Text Char"/>
    <w:basedOn w:val="DefaultParagraphFont"/>
    <w:link w:val="CommentText"/>
    <w:uiPriority w:val="99"/>
    <w:rsid w:val="007B0CF6"/>
    <w:rPr>
      <w:sz w:val="20"/>
      <w:szCs w:val="20"/>
    </w:rPr>
  </w:style>
  <w:style w:type="paragraph" w:styleId="CommentSubject">
    <w:name w:val="annotation subject"/>
    <w:basedOn w:val="CommentText"/>
    <w:next w:val="CommentText"/>
    <w:link w:val="CommentSubjectChar"/>
    <w:uiPriority w:val="99"/>
    <w:semiHidden/>
    <w:unhideWhenUsed/>
    <w:rsid w:val="007B0CF6"/>
    <w:rPr>
      <w:b/>
      <w:bCs/>
    </w:rPr>
  </w:style>
  <w:style w:type="character" w:customStyle="1" w:styleId="CommentSubjectChar">
    <w:name w:val="Comment Subject Char"/>
    <w:basedOn w:val="CommentTextChar"/>
    <w:link w:val="CommentSubject"/>
    <w:uiPriority w:val="99"/>
    <w:semiHidden/>
    <w:rsid w:val="007B0CF6"/>
    <w:rPr>
      <w:b/>
      <w:bCs/>
      <w:sz w:val="20"/>
      <w:szCs w:val="20"/>
    </w:rPr>
  </w:style>
  <w:style w:type="paragraph" w:styleId="ListParagraph">
    <w:name w:val="List Paragraph"/>
    <w:basedOn w:val="Normal"/>
    <w:uiPriority w:val="34"/>
    <w:qFormat/>
    <w:rsid w:val="008D07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YD.248" TargetMode="External"/><Relationship Id="rId18" Type="http://schemas.openxmlformats.org/officeDocument/2006/relationships/hyperlink" Target="https://doi.org/10.1080/13639080.2017.1383091" TargetMode="External"/><Relationship Id="rId26" Type="http://schemas.openxmlformats.org/officeDocument/2006/relationships/hyperlink" Target="https://doi.org/10.2139/ssrn.2658497" TargetMode="External"/><Relationship Id="rId39" Type="http://schemas.openxmlformats.org/officeDocument/2006/relationships/hyperlink" Target="https://doi.org/10.1080/10665684.2016.1144832" TargetMode="External"/><Relationship Id="rId21" Type="http://schemas.openxmlformats.org/officeDocument/2006/relationships/hyperlink" Target="https://doi.org/10.1177/0042085920959134" TargetMode="External"/><Relationship Id="rId34" Type="http://schemas.openxmlformats.org/officeDocument/2006/relationships/hyperlink" Target="https://doi.org/10.1073/pnas.1907258117" TargetMode="External"/><Relationship Id="rId42" Type="http://schemas.openxmlformats.org/officeDocument/2006/relationships/hyperlink" Target="https://doi.org/10.1080/10665684.2016.1144832" TargetMode="External"/><Relationship Id="rId47" Type="http://schemas.openxmlformats.org/officeDocument/2006/relationships/hyperlink" Target="https://doi.org/10.1080/14767724.2024.2319310" TargetMode="External"/><Relationship Id="rId50" Type="http://schemas.openxmlformats.org/officeDocument/2006/relationships/hyperlink" Target="https://doi.org/10.1177/1942775117744193" TargetMode="External"/><Relationship Id="rId55" Type="http://schemas.openxmlformats.org/officeDocument/2006/relationships/footer" Target="footer1.xml"/><Relationship Id="rId7" Type="http://schemas.openxmlformats.org/officeDocument/2006/relationships/hyperlink" Target="https://doi.org/10.1177/0895904818773909" TargetMode="External"/><Relationship Id="rId2" Type="http://schemas.openxmlformats.org/officeDocument/2006/relationships/styles" Target="styles.xml"/><Relationship Id="rId16" Type="http://schemas.openxmlformats.org/officeDocument/2006/relationships/hyperlink" Target="https://doi.org/10.1177/0042085918801886" TargetMode="External"/><Relationship Id="rId29" Type="http://schemas.openxmlformats.org/officeDocument/2006/relationships/hyperlink" Target="https://doi.org/10.1177/016146811411600206" TargetMode="External"/><Relationship Id="rId11" Type="http://schemas.openxmlformats.org/officeDocument/2006/relationships/hyperlink" Target="https://doi.org/10.1111/sipr.12014" TargetMode="External"/><Relationship Id="rId24" Type="http://schemas.openxmlformats.org/officeDocument/2006/relationships/hyperlink" Target="https://doi.org/10.1177/0899764004265439" TargetMode="External"/><Relationship Id="rId32" Type="http://schemas.openxmlformats.org/officeDocument/2006/relationships/hyperlink" Target="https://doi.org/10.1108/JEA-01-2018-0013" TargetMode="External"/><Relationship Id="rId37" Type="http://schemas.openxmlformats.org/officeDocument/2006/relationships/hyperlink" Target="https://doi.org/10.3390/socsci12100562" TargetMode="External"/><Relationship Id="rId40" Type="http://schemas.openxmlformats.org/officeDocument/2006/relationships/hyperlink" Target="https://doi.org/10.1080/10665684.2016.1144832" TargetMode="External"/><Relationship Id="rId45" Type="http://schemas.openxmlformats.org/officeDocument/2006/relationships/hyperlink" Target="https://doi.org/10.1111/aeq.12182" TargetMode="External"/><Relationship Id="rId53" Type="http://schemas.openxmlformats.org/officeDocument/2006/relationships/hyperlink" Target="https://doi.org/10.1093/cdj/bsad023" TargetMode="External"/><Relationship Id="rId5" Type="http://schemas.openxmlformats.org/officeDocument/2006/relationships/footnotes" Target="footnotes.xml"/><Relationship Id="rId19" Type="http://schemas.openxmlformats.org/officeDocument/2006/relationships/hyperlink" Target="https://doi.org/10.1111/J.1467-9906.2008.00418.X" TargetMode="External"/><Relationship Id="rId4" Type="http://schemas.openxmlformats.org/officeDocument/2006/relationships/webSettings" Target="webSettings.xml"/><Relationship Id="rId9" Type="http://schemas.openxmlformats.org/officeDocument/2006/relationships/hyperlink" Target="https://doi.org/10.1177/0003122418809374" TargetMode="External"/><Relationship Id="rId14" Type="http://schemas.openxmlformats.org/officeDocument/2006/relationships/hyperlink" Target="https://doi.org/10.1002/YD.248" TargetMode="External"/><Relationship Id="rId22" Type="http://schemas.openxmlformats.org/officeDocument/2006/relationships/hyperlink" Target="https://doi.org/10.1177/0042085920959134" TargetMode="External"/><Relationship Id="rId27" Type="http://schemas.openxmlformats.org/officeDocument/2006/relationships/hyperlink" Target="https://doi.org/10.1177/0013161X12448250" TargetMode="External"/><Relationship Id="rId30" Type="http://schemas.openxmlformats.org/officeDocument/2006/relationships/hyperlink" Target="https://doi.org/10.1177/016146811411600206" TargetMode="External"/><Relationship Id="rId35" Type="http://schemas.openxmlformats.org/officeDocument/2006/relationships/hyperlink" Target="https://eric.ed.gov/?id=ED467358" TargetMode="External"/><Relationship Id="rId43" Type="http://schemas.openxmlformats.org/officeDocument/2006/relationships/hyperlink" Target="https://doi.org/10.1080/15348431.2016.1247706" TargetMode="External"/><Relationship Id="rId48" Type="http://schemas.openxmlformats.org/officeDocument/2006/relationships/hyperlink" Target="https://doi.org/10.1080/14767724.2024.2319310" TargetMode="External"/><Relationship Id="rId56" Type="http://schemas.openxmlformats.org/officeDocument/2006/relationships/fontTable" Target="fontTable.xml"/><Relationship Id="rId8" Type="http://schemas.openxmlformats.org/officeDocument/2006/relationships/hyperlink" Target="https://doi.org/10.1177/0895904818773909" TargetMode="External"/><Relationship Id="rId51" Type="http://schemas.openxmlformats.org/officeDocument/2006/relationships/hyperlink" Target="https://doi.org/10.1007/s10833-021-09443-1" TargetMode="External"/><Relationship Id="rId3" Type="http://schemas.openxmlformats.org/officeDocument/2006/relationships/settings" Target="settings.xml"/><Relationship Id="rId12" Type="http://schemas.openxmlformats.org/officeDocument/2006/relationships/hyperlink" Target="https://doi.org/10.1111/sipr.12014" TargetMode="External"/><Relationship Id="rId17" Type="http://schemas.openxmlformats.org/officeDocument/2006/relationships/hyperlink" Target="https://doi.org/10.1080/13639080.2017.1383091" TargetMode="External"/><Relationship Id="rId25" Type="http://schemas.openxmlformats.org/officeDocument/2006/relationships/hyperlink" Target="https://doi.org/10.2139/ssrn.2658497" TargetMode="External"/><Relationship Id="rId33" Type="http://schemas.openxmlformats.org/officeDocument/2006/relationships/hyperlink" Target="https://doi.org/10.1073/pnas.1907258117" TargetMode="External"/><Relationship Id="rId38" Type="http://schemas.openxmlformats.org/officeDocument/2006/relationships/hyperlink" Target="https://doi.org/10.3390/socsci12100562" TargetMode="External"/><Relationship Id="rId46" Type="http://schemas.openxmlformats.org/officeDocument/2006/relationships/hyperlink" Target="https://doi.org/10.1111/aeq.12182" TargetMode="External"/><Relationship Id="rId20" Type="http://schemas.openxmlformats.org/officeDocument/2006/relationships/hyperlink" Target="https://doi.org/10.1111/J.1467-9906.2008.00418.X" TargetMode="External"/><Relationship Id="rId41" Type="http://schemas.openxmlformats.org/officeDocument/2006/relationships/hyperlink" Target="https://doi.org/10.1080/10665684.2016.1144832" TargetMode="External"/><Relationship Id="rId54" Type="http://schemas.openxmlformats.org/officeDocument/2006/relationships/hyperlink" Target="https://doi.org/10.1093/cdj/bsad02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77/0042085918801886" TargetMode="External"/><Relationship Id="rId23" Type="http://schemas.openxmlformats.org/officeDocument/2006/relationships/hyperlink" Target="https://doi.org/10.1177/0899764004265439" TargetMode="External"/><Relationship Id="rId28" Type="http://schemas.openxmlformats.org/officeDocument/2006/relationships/hyperlink" Target="https://doi.org/10.1177/0013161X12448250" TargetMode="External"/><Relationship Id="rId36" Type="http://schemas.openxmlformats.org/officeDocument/2006/relationships/hyperlink" Target="https://eric.ed.gov/?id=ED467358" TargetMode="External"/><Relationship Id="rId49" Type="http://schemas.openxmlformats.org/officeDocument/2006/relationships/hyperlink" Target="https://doi.org/10.1177/1942775117744193" TargetMode="External"/><Relationship Id="rId57" Type="http://schemas.openxmlformats.org/officeDocument/2006/relationships/theme" Target="theme/theme1.xml"/><Relationship Id="rId10" Type="http://schemas.openxmlformats.org/officeDocument/2006/relationships/hyperlink" Target="https://doi.org/10.1177/0003122418809374" TargetMode="External"/><Relationship Id="rId31" Type="http://schemas.openxmlformats.org/officeDocument/2006/relationships/hyperlink" Target="https://doi.org/10.1108/JEA-01-2018-0013" TargetMode="External"/><Relationship Id="rId44" Type="http://schemas.openxmlformats.org/officeDocument/2006/relationships/hyperlink" Target="https://doi.org/10.1080/15348431.2016.1247706" TargetMode="External"/><Relationship Id="rId52" Type="http://schemas.openxmlformats.org/officeDocument/2006/relationships/hyperlink" Target="https://doi.org/10.1007/s10833-021-09443-1"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1</Pages>
  <Words>8922</Words>
  <Characters>50857</Characters>
  <Application>Microsoft Office Word</Application>
  <DocSecurity>0</DocSecurity>
  <Lines>423</Lines>
  <Paragraphs>119</Paragraphs>
  <ScaleCrop>false</ScaleCrop>
  <Company/>
  <LinksUpToDate>false</LinksUpToDate>
  <CharactersWithSpaces>59660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Bell</cp:lastModifiedBy>
  <cp:revision>12</cp:revision>
  <dcterms:created xsi:type="dcterms:W3CDTF">2026-01-09T15:51:00Z</dcterms:created>
  <dcterms:modified xsi:type="dcterms:W3CDTF">2026-10-14T12:56:00Z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29b621e2-69f0-4ffe-ad94-1a121c56c868</vt:lpwstr>
  </property>
</Properties>
</file>