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B9337B" w14:textId="77777777" w:rsidR="00DC3497" w:rsidRPr="00DC3497" w:rsidRDefault="00DC3497" w:rsidP="00DC3497">
      <w:pPr>
        <w:rPr>
          <w:rFonts w:ascii="Calibri" w:hAnsi="Calibri" w:cs="Calibri"/>
          <w:b/>
          <w:bCs/>
          <w:sz w:val="40"/>
          <w:szCs w:val="40"/>
        </w:rPr>
      </w:pPr>
      <w:r w:rsidRPr="00DC3497">
        <w:rPr>
          <w:rFonts w:ascii="Calibri" w:hAnsi="Calibri" w:cs="Calibri"/>
          <w:b/>
          <w:bCs/>
          <w:sz w:val="40"/>
          <w:szCs w:val="40"/>
        </w:rPr>
        <w:t>PCDA Assignment 2                                    Melissa Moore</w:t>
      </w:r>
    </w:p>
    <w:p w14:paraId="43F8BB85" w14:textId="77777777" w:rsidR="00DC3497" w:rsidRPr="00DC3497" w:rsidRDefault="00DC3497" w:rsidP="00DC3497">
      <w:pPr>
        <w:rPr>
          <w:rFonts w:ascii="Calibri" w:hAnsi="Calibri" w:cs="Calibri"/>
          <w:b/>
          <w:bCs/>
          <w:sz w:val="40"/>
          <w:szCs w:val="40"/>
        </w:rPr>
      </w:pPr>
      <w:r w:rsidRPr="00DC3497">
        <w:rPr>
          <w:rFonts w:ascii="Calibri" w:hAnsi="Calibri" w:cs="Calibri"/>
          <w:b/>
          <w:bCs/>
          <w:sz w:val="40"/>
          <w:szCs w:val="40"/>
        </w:rPr>
        <w:t>Cohort 04.22                                      Student ID: 2222272</w:t>
      </w:r>
    </w:p>
    <w:p w14:paraId="32292DCE" w14:textId="77777777" w:rsidR="007B2DDA" w:rsidRDefault="007B2DDA"/>
    <w:p w14:paraId="1E574CEB" w14:textId="77777777" w:rsidR="00DC3497" w:rsidRDefault="00DC3497"/>
    <w:p w14:paraId="56285408" w14:textId="77777777" w:rsidR="00DC3497" w:rsidRPr="00E03CBC" w:rsidRDefault="00DC3497" w:rsidP="00DC3497">
      <w:pPr>
        <w:rPr>
          <w:rFonts w:ascii="Calibri" w:hAnsi="Calibri" w:cs="Calibri"/>
          <w:b/>
          <w:bCs/>
          <w:sz w:val="20"/>
          <w:szCs w:val="20"/>
        </w:rPr>
      </w:pPr>
      <w:r w:rsidRPr="00E03CBC">
        <w:rPr>
          <w:rFonts w:ascii="Calibri" w:hAnsi="Calibri" w:cs="Calibri"/>
          <w:b/>
          <w:bCs/>
          <w:sz w:val="20"/>
          <w:szCs w:val="20"/>
        </w:rPr>
        <w:t>Essay one:</w:t>
      </w:r>
    </w:p>
    <w:p w14:paraId="46580E40" w14:textId="77777777"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Why are terrorist organisations often involved in other forms of criminality (e.g. acquisitive crime), and how can this inform counter-terrorism policing</w:t>
      </w:r>
      <w:r w:rsidRPr="00E03CBC">
        <w:rPr>
          <w:rFonts w:ascii="Calibri" w:hAnsi="Calibri" w:cs="Calibri"/>
          <w:sz w:val="20"/>
          <w:szCs w:val="20"/>
        </w:rPr>
        <w:t xml:space="preserve">? </w:t>
      </w:r>
    </w:p>
    <w:p w14:paraId="3B277CD3" w14:textId="77777777"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 xml:space="preserve">Your answer must be based on academic research, although you may make reference relevant case studies. </w:t>
      </w:r>
    </w:p>
    <w:p w14:paraId="3013EDEA" w14:textId="77777777" w:rsidR="00DC3497" w:rsidRPr="00E03CBC" w:rsidRDefault="00DC3497" w:rsidP="00DC3497">
      <w:pPr>
        <w:rPr>
          <w:rFonts w:ascii="Calibri" w:hAnsi="Calibri" w:cs="Calibri"/>
          <w:b/>
          <w:bCs/>
          <w:sz w:val="20"/>
          <w:szCs w:val="20"/>
        </w:rPr>
      </w:pPr>
      <w:r w:rsidRPr="00E03CBC">
        <w:rPr>
          <w:rFonts w:ascii="Calibri" w:hAnsi="Calibri" w:cs="Calibri"/>
          <w:b/>
          <w:bCs/>
          <w:sz w:val="20"/>
          <w:szCs w:val="20"/>
        </w:rPr>
        <w:t>Word Limit: 2000 words (+/- 10%)</w:t>
      </w:r>
    </w:p>
    <w:p w14:paraId="12C13B74" w14:textId="77777777" w:rsidR="00DC3497" w:rsidRPr="00E03CBC" w:rsidRDefault="00DC3497">
      <w:pPr>
        <w:rPr>
          <w:rFonts w:ascii="Calibri" w:hAnsi="Calibri" w:cs="Calibri"/>
          <w:sz w:val="20"/>
          <w:szCs w:val="20"/>
        </w:rPr>
      </w:pPr>
    </w:p>
    <w:p w14:paraId="34909874" w14:textId="4842263B"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 xml:space="preserve">Terrorism is a crime which partially relies on cross-border relations with other members of their terrorist organisations to enable the acquirement and movement of goods and services which assist them in their desire to commit acts of terrorism. Goods and services such as weapons, goods to create weapons and the movement or trafficking of individual persons between countries or cities who will then form part of a terrorist group or facilitate their terrorist agenda. These goods and ‘services’ can be acquired in many ways by such organisations; </w:t>
      </w:r>
      <w:r w:rsidR="004867D2" w:rsidRPr="00E03CBC">
        <w:rPr>
          <w:rFonts w:ascii="Calibri" w:eastAsia="Times New Roman" w:hAnsi="Calibri" w:cs="Calibri"/>
          <w:sz w:val="20"/>
          <w:szCs w:val="20"/>
          <w:lang w:eastAsia="en-GB"/>
        </w:rPr>
        <w:t>however,</w:t>
      </w:r>
      <w:r w:rsidRPr="00E03CBC">
        <w:rPr>
          <w:rFonts w:ascii="Calibri" w:eastAsia="Times New Roman" w:hAnsi="Calibri" w:cs="Calibri"/>
          <w:sz w:val="20"/>
          <w:szCs w:val="20"/>
          <w:lang w:eastAsia="en-GB"/>
        </w:rPr>
        <w:t xml:space="preserve"> extortion is often used by these groups as an extension of their terrorism which also results in sometimes material or monetary gain. </w:t>
      </w:r>
    </w:p>
    <w:p w14:paraId="2A3576D4" w14:textId="77777777" w:rsidR="00DC3497" w:rsidRPr="00E03CBC" w:rsidRDefault="00DC3497" w:rsidP="00DC3497">
      <w:pPr>
        <w:spacing w:line="276" w:lineRule="auto"/>
        <w:ind w:right="531"/>
        <w:rPr>
          <w:rFonts w:ascii="Calibri" w:eastAsia="Times New Roman" w:hAnsi="Calibri" w:cs="Calibri"/>
          <w:sz w:val="20"/>
          <w:szCs w:val="20"/>
          <w:lang w:eastAsia="en-GB"/>
        </w:rPr>
      </w:pPr>
    </w:p>
    <w:p w14:paraId="601C70F0" w14:textId="77777777"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 xml:space="preserve">“Acquisitive crime is a type of crime whereby an offender seeks out material gain such as physical goods by illegal means” (Gavin, H 2021). Crimes such as burglary, robbery and shoplifting are some examples of acquisitive crime, and all share the same final result of obtaining physical goods or money. It is worth mentioning that crimes such as these occur on a daily basis across the world and are not all linked to terrorism, however these crimes give terrorist organisations a means of obtaining items or money which can assist them in their specific type of criminality. The link between terrorism and these types of crimes is often through organised crime groups (OCG). </w:t>
      </w:r>
    </w:p>
    <w:p w14:paraId="3E25A3CB" w14:textId="77777777" w:rsidR="00DC3497" w:rsidRPr="00E03CBC" w:rsidRDefault="00DC3497" w:rsidP="00DC3497">
      <w:pPr>
        <w:spacing w:line="276" w:lineRule="auto"/>
        <w:ind w:right="531"/>
        <w:rPr>
          <w:rFonts w:ascii="Calibri" w:eastAsia="Times New Roman" w:hAnsi="Calibri" w:cs="Calibri"/>
          <w:sz w:val="20"/>
          <w:szCs w:val="20"/>
          <w:lang w:eastAsia="en-GB"/>
        </w:rPr>
      </w:pPr>
    </w:p>
    <w:p w14:paraId="45097F35" w14:textId="16285302"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 xml:space="preserve">Though there is no uniform definition of organised crime groups, the Serious Crime Act 2015 states “an organised crime group is three or more individuals who </w:t>
      </w:r>
      <w:r w:rsidR="004867D2" w:rsidRPr="00E03CBC">
        <w:rPr>
          <w:rFonts w:ascii="Calibri" w:eastAsia="Times New Roman" w:hAnsi="Calibri" w:cs="Calibri"/>
          <w:sz w:val="20"/>
          <w:szCs w:val="20"/>
          <w:lang w:eastAsia="en-GB"/>
        </w:rPr>
        <w:t>act or</w:t>
      </w:r>
      <w:r w:rsidRPr="00E03CBC">
        <w:rPr>
          <w:rFonts w:ascii="Calibri" w:eastAsia="Times New Roman" w:hAnsi="Calibri" w:cs="Calibri"/>
          <w:sz w:val="20"/>
          <w:szCs w:val="20"/>
          <w:lang w:eastAsia="en-GB"/>
        </w:rPr>
        <w:t xml:space="preserve"> agree to act in cooperation to enable criminal activities such as (but not limited to) drug trafficking, human trafficking, organised illegal immigration, fraud and cybercrime.” (Home office, 2015). With the crimes listed above, it is easy to see which may have links with terrorism and terrorist groups. Cybercrime is one which may sometimes be overlooked or not often thought of as being readily linked to terrorism, however the two have created a hybrid crime known as ‘cyber-terrorism’ which involves the use of the internet to enable violent acts. These acts are committed in a way which involves the use of violence to take or threaten life, or to cause significant harm to individuals or groups, government or businesses to enable a political or ideological gain. This is done through the use of intimidation or threats usually through the use of a public computer system or data held within one. Terrorist groups often use the means of internet use and public platform to broadcast their propaganda and use it as a recruitment tool to entice people into joining their organisations. As the internet is public, this means that not only do individual users have access to this </w:t>
      </w:r>
      <w:r w:rsidRPr="00E03CBC">
        <w:rPr>
          <w:rFonts w:ascii="Calibri" w:eastAsia="Times New Roman" w:hAnsi="Calibri" w:cs="Calibri"/>
          <w:sz w:val="20"/>
          <w:szCs w:val="20"/>
          <w:lang w:eastAsia="en-GB"/>
        </w:rPr>
        <w:lastRenderedPageBreak/>
        <w:t xml:space="preserve">content, but also authorities such as government and law enforcing agencies such as police and military services. Though there are platforms which are deemed as untraceable, such as ‘the dark web’, specialist counter-terrorism agencies have the tools and accessibility to access these platforms with a view to seek out information and intelligence on terrorist organisations or other organised crime groups associated with them. A more well-known terrorist group, ISIS, is regularly involved in organised crime groups such as those dealing in drug trafficking. ISIS recruits, “particularly those in Europe, rely heavily on drug trafficking as a way of generating revenue, using proceeds gathered from drug trafficking to allow them access to travel back and fore Syria, as well as affording them money to secure the necessary resources for planning and carrying out a terrorist attack” (Colin P. Clarke, 2017). The use of racketeering is also carried out by a North African group operating under ISIS, known as Jund al-Khilafa, who are said to be profiting from providing armed protection to cocaine traffickers throughout North Africa. Another source, the Arabic newspaper Asharq Al-Awsat reports from London that “ISIS has been profiting from the trafficking of cannabis, moving it from Iraq through Syria and Turkey into Europe” (Colin P. Clarke, 2017) which details how much further the drug trafficking ring used by ISIS stretches, giving them more flexibility with finances and funds to back their terror regime. </w:t>
      </w:r>
    </w:p>
    <w:p w14:paraId="1861F3A4" w14:textId="77777777"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A large terrorist organisation profiting off the cultivation and sales of the drug trade is the Taliban, who were operating from “Taliban controlled regions of Afghanistan control approximately 86% of the worlds poppy opium cultivation” (UNODC, 2018). With the Taliban now having control of around 391 out of the 398 government districts within Afghanistan, this could prove to be one of the most successful organised crime groups directly linked to terrorism through drug trafficking currently recorded. A 2012 case study (United States v Khan Mohammed, 2012) revealed that Taliban fighters utilised revenues from the selling of heroin and opium to acquire rockets for the 2006 plot to conduct an attack on NATO's base in Jalalabad. The Taliban member known as Khan Mohammed was aiding a former Taliban official in their plan but was later discovered and converted into an informant for the United States Drug Enforcement Administration (DEA). “Members of the organisation referred to a “common goal” which were to export the opium and heroin to the United States in order to “eliminate” US citizens “by opium of by shooting” (UNODC, 2018).</w:t>
      </w:r>
    </w:p>
    <w:p w14:paraId="00CC96D3" w14:textId="77777777" w:rsidR="00DC3497" w:rsidRPr="00E03CBC" w:rsidRDefault="00DC3497" w:rsidP="00DC3497">
      <w:pPr>
        <w:spacing w:line="276" w:lineRule="auto"/>
        <w:ind w:right="531"/>
        <w:rPr>
          <w:rFonts w:ascii="Calibri" w:eastAsia="Times New Roman" w:hAnsi="Calibri" w:cs="Calibri"/>
          <w:sz w:val="20"/>
          <w:szCs w:val="20"/>
          <w:lang w:eastAsia="en-GB"/>
        </w:rPr>
      </w:pPr>
    </w:p>
    <w:p w14:paraId="43C2D1A0" w14:textId="77777777"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The involvement of these individuals as a whole does not go unnoticed, and eventually they are met with prisons sentences prior to any involvement in acting out terrorist scenarios. However, in some cases prison can act as a warm handover from acquisitive crimes, such as drug trafficking, into the realms of religious radicalisation and other types of violent extremism which led to a 2016 review into Islamist extremism within our prisons, probation and youth justice systems. Worryingly, this review found that extremism within prisons was in fact growing, which prompted a strategy to monitor and counter the extremism (Claire Brader, 2020).</w:t>
      </w:r>
    </w:p>
    <w:p w14:paraId="23F0D114" w14:textId="71DC7D43"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 xml:space="preserve">There have been cases in the UK whereby known or convicted terrorists have gone on to commit terror acts after being released from prison following their sentences. On example of this is the London Bridge attack in December 2019, where two people were fatally stabbed in the area by a convicted terrorist who had been recently “released from prison after serving an </w:t>
      </w:r>
      <w:r w:rsidR="004867D2" w:rsidRPr="00E03CBC">
        <w:rPr>
          <w:rFonts w:ascii="Calibri" w:eastAsia="Times New Roman" w:hAnsi="Calibri" w:cs="Calibri"/>
          <w:sz w:val="20"/>
          <w:szCs w:val="20"/>
          <w:lang w:eastAsia="en-GB"/>
        </w:rPr>
        <w:t>8-year</w:t>
      </w:r>
      <w:r w:rsidRPr="00E03CBC">
        <w:rPr>
          <w:rFonts w:ascii="Calibri" w:eastAsia="Times New Roman" w:hAnsi="Calibri" w:cs="Calibri"/>
          <w:sz w:val="20"/>
          <w:szCs w:val="20"/>
          <w:lang w:eastAsia="en-GB"/>
        </w:rPr>
        <w:t xml:space="preserve"> sentence. During his sentence, and following his release, the male had attended two counter terrorism programmes, but refused to engage with them” (Claire Brader, 2020).</w:t>
      </w:r>
    </w:p>
    <w:p w14:paraId="6891A50F" w14:textId="77777777" w:rsidR="00DC3497" w:rsidRPr="00E03CBC" w:rsidRDefault="00DC3497" w:rsidP="00DC3497">
      <w:pPr>
        <w:spacing w:line="276" w:lineRule="auto"/>
        <w:ind w:right="531"/>
        <w:rPr>
          <w:rFonts w:ascii="Calibri" w:eastAsia="Times New Roman" w:hAnsi="Calibri" w:cs="Calibri"/>
          <w:sz w:val="20"/>
          <w:szCs w:val="20"/>
          <w:lang w:eastAsia="en-GB"/>
        </w:rPr>
      </w:pPr>
    </w:p>
    <w:p w14:paraId="36762484" w14:textId="77777777"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But how do police find and link these organised crime groups directly to terrorism?</w:t>
      </w:r>
    </w:p>
    <w:p w14:paraId="5BCEDEEC" w14:textId="77777777" w:rsidR="002701B8" w:rsidRPr="00E03CBC" w:rsidRDefault="00DC3497" w:rsidP="002701B8">
      <w:pPr>
        <w:rPr>
          <w:rFonts w:ascii="Calibri" w:hAnsi="Calibri" w:cs="Calibri"/>
          <w:sz w:val="20"/>
          <w:szCs w:val="20"/>
        </w:rPr>
      </w:pPr>
      <w:r w:rsidRPr="00E03CBC">
        <w:rPr>
          <w:rFonts w:ascii="Calibri" w:eastAsia="Times New Roman" w:hAnsi="Calibri" w:cs="Calibri"/>
          <w:sz w:val="20"/>
          <w:szCs w:val="20"/>
          <w:lang w:eastAsia="en-GB"/>
        </w:rPr>
        <w:t xml:space="preserve">There are many different sectors to policing, such as Neighbourhood police who are most visible within the communities, Counter terrorism policing, intelligence units, county lines officers and the organised crime units </w:t>
      </w:r>
      <w:r w:rsidRPr="00E03CBC">
        <w:rPr>
          <w:rFonts w:ascii="Calibri" w:eastAsia="Times New Roman" w:hAnsi="Calibri" w:cs="Calibri"/>
          <w:sz w:val="20"/>
          <w:szCs w:val="20"/>
          <w:lang w:eastAsia="en-GB"/>
        </w:rPr>
        <w:lastRenderedPageBreak/>
        <w:t>themselves can play a role in discovering and tackling these groups and organisations.</w:t>
      </w:r>
      <w:r w:rsidR="002701B8" w:rsidRPr="00E03CBC">
        <w:rPr>
          <w:rFonts w:ascii="Calibri" w:eastAsia="Times New Roman" w:hAnsi="Calibri" w:cs="Calibri"/>
          <w:sz w:val="20"/>
          <w:szCs w:val="20"/>
          <w:lang w:eastAsia="en-GB"/>
        </w:rPr>
        <w:t xml:space="preserve"> </w:t>
      </w:r>
      <w:r w:rsidR="002701B8" w:rsidRPr="00E03CBC">
        <w:rPr>
          <w:rFonts w:ascii="Calibri" w:eastAsia="Times New Roman" w:hAnsi="Calibri" w:cs="Calibri"/>
          <w:sz w:val="20"/>
          <w:szCs w:val="20"/>
          <w:lang w:eastAsia="en-GB"/>
        </w:rPr>
        <w:t xml:space="preserve">UK police use an information collection model, known as the National Intelligence Model (NIM) which operates at three different levels – “Level one covers local issues, level two deals with cross border criminality and level three focuses on serious and organised crime on a national or international scale” (Thomas, G 2016). Terrorism and organised crime would likely sit at the national and international level of this model, due to the severity of the potential threat these types of crimes have on the general public and local communities. </w:t>
      </w:r>
      <w:r w:rsidR="002701B8" w:rsidRPr="00E03CBC">
        <w:rPr>
          <w:rFonts w:ascii="Calibri" w:hAnsi="Calibri" w:cs="Calibri"/>
          <w:sz w:val="20"/>
          <w:szCs w:val="20"/>
        </w:rPr>
        <w:t xml:space="preserve">The NIM is one of the 10 key principles of neighbourhood policing as its used as a basis for deployment of relevant policing levels and by using this, community policing teams are able to collect and feedback information which is crucial in detecting and disrupting terrorism and organised crime. </w:t>
      </w:r>
    </w:p>
    <w:p w14:paraId="6D639D4A" w14:textId="2A4AF879"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 xml:space="preserve"> Neighbourhood police rely on the engagement within their given areas or communities, to enable them to build rapport and trust and maintain a professional relationship with the members of those communities. </w:t>
      </w:r>
      <w:r w:rsidR="002701B8" w:rsidRPr="00E03CBC">
        <w:rPr>
          <w:rFonts w:ascii="Calibri" w:hAnsi="Calibri" w:cs="Calibri"/>
          <w:sz w:val="20"/>
          <w:szCs w:val="20"/>
        </w:rPr>
        <w:t>It is imperative for police and neighbourhood police to show a respect for the religious beliefs of the diverse communities they serve to continue to gain and maintain the trust and confidence of the people within those communities. “Without this trust, there will be a significant deficit in the trust given by these communities which in turn would inhibit the effectiveness of counterterrorism policing and also aid opportunities for terrorist movements to exploit their propaganda and recruitment material” (Lambert and Parsons, 2017).</w:t>
      </w:r>
      <w:r w:rsidR="002701B8" w:rsidRPr="00E03CBC">
        <w:rPr>
          <w:rFonts w:ascii="Calibri" w:eastAsia="Times New Roman" w:hAnsi="Calibri" w:cs="Calibri"/>
          <w:sz w:val="20"/>
          <w:szCs w:val="20"/>
          <w:lang w:eastAsia="en-GB"/>
        </w:rPr>
        <w:t xml:space="preserve"> </w:t>
      </w:r>
      <w:r w:rsidRPr="00E03CBC">
        <w:rPr>
          <w:rFonts w:ascii="Calibri" w:eastAsia="Times New Roman" w:hAnsi="Calibri" w:cs="Calibri"/>
          <w:sz w:val="20"/>
          <w:szCs w:val="20"/>
          <w:lang w:eastAsia="en-GB"/>
        </w:rPr>
        <w:t xml:space="preserve">In doing this, these individual officers are able to build a picture of their communities and its members, and create an environment whereby members of these communities will pass information onto the neighbourhood officers. This information forms the foundation of building and processing intelligence, allowing police to identify offenders or offending groups and their locations, which in turn is then passed on to relevant sectors within the police to enable them to act on it. By gaining this access to community intelligence, police are then able to create links between individual persons and their associates, which can then create a further ‘associate tree’ showing just how far out these organisations and their links to others stretch out. Police are only able to act on the information and intelligence they are given by individuals, or on occasion where they may discover information by chance themselves but nevertheless this information is crucial in being able to identify offenders of all crimes, from low level to uncovering terrorist organisations and disrupting their plots. It is worth noting that there are other sources of intelligence being fed to police, especially used within the organised crime and terrorism sectors, which is the use of a Covert human intelligence source (CHIS). These individuals have proven to be a key and vital element in “preventing and safeguarding victims from serious crimes such as terrorism” (Home Office, 2021) and does so by allowing these select individuals to participate in criminal activities in order to provide information and intelligence to the authorities handling them. This was the tactic used for the United States v Khan Mohammed case study, whereby an inside member of the Taliban group was used as a CHIS to uncover information and pinpoint persons of interest or those who have direct involvement within these terrorist organisations whom the authorities can then arrest and prosecute. </w:t>
      </w:r>
    </w:p>
    <w:p w14:paraId="2A93B6A9" w14:textId="0795DE7B" w:rsidR="00DC3497" w:rsidRPr="00E03CBC" w:rsidRDefault="002701B8" w:rsidP="00DC3497">
      <w:pPr>
        <w:rPr>
          <w:rFonts w:ascii="Calibri" w:hAnsi="Calibri" w:cs="Calibri"/>
          <w:sz w:val="20"/>
          <w:szCs w:val="20"/>
        </w:rPr>
      </w:pPr>
      <w:r w:rsidRPr="00E03CBC">
        <w:rPr>
          <w:rFonts w:ascii="Calibri" w:hAnsi="Calibri" w:cs="Calibri"/>
          <w:sz w:val="20"/>
          <w:szCs w:val="20"/>
        </w:rPr>
        <w:t xml:space="preserve">More police led engagement with their communities shows them and the public that the Muslim communities do not associate themselves with the terrorists and extremists linked to their religion, and that those beliefs are a minority within their communities. </w:t>
      </w:r>
      <w:r w:rsidRPr="00E03CBC">
        <w:rPr>
          <w:rFonts w:ascii="Calibri" w:hAnsi="Calibri" w:cs="Calibri"/>
          <w:sz w:val="20"/>
          <w:szCs w:val="20"/>
        </w:rPr>
        <w:t>As a result, in 2021 police counter terrorism units have foiled 32 terrorism plots, seven of which were ‘late stage’ attacks. This would have undoubtedly been due to the sharing of information and intelligence from the public, through the correct police channels</w:t>
      </w:r>
      <w:r w:rsidRPr="00E03CBC">
        <w:rPr>
          <w:rFonts w:ascii="Calibri" w:hAnsi="Calibri" w:cs="Calibri"/>
          <w:sz w:val="20"/>
          <w:szCs w:val="20"/>
        </w:rPr>
        <w:t xml:space="preserve"> and anti-terrorism hotlines that have been created by the counter terrorism sector as part of their ‘Prevent’ strategy</w:t>
      </w:r>
      <w:r w:rsidR="009C1EB1" w:rsidRPr="00E03CBC">
        <w:rPr>
          <w:rFonts w:ascii="Calibri" w:hAnsi="Calibri" w:cs="Calibri"/>
          <w:sz w:val="20"/>
          <w:szCs w:val="20"/>
        </w:rPr>
        <w:t xml:space="preserve"> which is “designed to give support to people who are deemed as being ‘at risk’ of engaging or carrying out terrorist activities” (BBC, 2017). This is done by continuing the relationships between police and other organisations, such as social services, teachers and doctors, within their communities to be aware of suspicious activity, and report it. From this, police and counter terrorism are then able to construct their intelligence and decide if further action is needed to be taken.</w:t>
      </w:r>
    </w:p>
    <w:p w14:paraId="02903574" w14:textId="4BEE1513" w:rsidR="00E03CBC" w:rsidRPr="005B3085" w:rsidRDefault="005B3085" w:rsidP="00DC3497">
      <w:pPr>
        <w:rPr>
          <w:rFonts w:ascii="Calibri" w:hAnsi="Calibri" w:cs="Calibri"/>
          <w:b/>
          <w:bCs/>
          <w:sz w:val="20"/>
          <w:szCs w:val="20"/>
        </w:rPr>
      </w:pPr>
      <w:r w:rsidRPr="005B3085">
        <w:rPr>
          <w:rFonts w:ascii="Calibri" w:hAnsi="Calibri" w:cs="Calibri"/>
          <w:b/>
          <w:bCs/>
          <w:sz w:val="20"/>
          <w:szCs w:val="20"/>
        </w:rPr>
        <w:t>Word count: 184</w:t>
      </w:r>
      <w:r w:rsidR="004867D2">
        <w:rPr>
          <w:rFonts w:ascii="Calibri" w:hAnsi="Calibri" w:cs="Calibri"/>
          <w:b/>
          <w:bCs/>
          <w:sz w:val="20"/>
          <w:szCs w:val="20"/>
        </w:rPr>
        <w:t>4</w:t>
      </w:r>
    </w:p>
    <w:p w14:paraId="75162070" w14:textId="008828C1" w:rsidR="00DC3497" w:rsidRPr="00E03CBC" w:rsidRDefault="00DC3497" w:rsidP="00DC3497">
      <w:pPr>
        <w:rPr>
          <w:rFonts w:ascii="Calibri" w:hAnsi="Calibri" w:cs="Calibri"/>
          <w:b/>
          <w:bCs/>
          <w:sz w:val="20"/>
          <w:szCs w:val="20"/>
        </w:rPr>
      </w:pPr>
      <w:r w:rsidRPr="00E03CBC">
        <w:rPr>
          <w:rFonts w:ascii="Calibri" w:hAnsi="Calibri" w:cs="Calibri"/>
          <w:b/>
          <w:bCs/>
          <w:sz w:val="20"/>
          <w:szCs w:val="20"/>
        </w:rPr>
        <w:lastRenderedPageBreak/>
        <w:t>Essay two:</w:t>
      </w:r>
    </w:p>
    <w:p w14:paraId="5A514C00" w14:textId="77777777"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Why is a partnership approach the most effective way to reach groups or communities who are less willing to engage with police? You should consider why certain groups are reluctant to engage with police, and the ways engagement can be achieved.</w:t>
      </w:r>
    </w:p>
    <w:p w14:paraId="63DB34EF" w14:textId="7CA20C62" w:rsidR="00DC3497" w:rsidRPr="00E03CBC" w:rsidRDefault="00DC3497" w:rsidP="00DC3497">
      <w:pPr>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Your answer should be based on academic research, although you may make reference to relevant case studies</w:t>
      </w:r>
      <w:r w:rsidRPr="00E03CBC">
        <w:rPr>
          <w:rFonts w:ascii="Calibri" w:eastAsia="Times New Roman" w:hAnsi="Calibri" w:cs="Calibri"/>
          <w:sz w:val="20"/>
          <w:szCs w:val="20"/>
          <w:lang w:eastAsia="en-GB"/>
        </w:rPr>
        <w:t>.</w:t>
      </w:r>
    </w:p>
    <w:p w14:paraId="35253B81" w14:textId="77777777" w:rsidR="00DC3497" w:rsidRPr="00E03CBC" w:rsidRDefault="00DC3497" w:rsidP="00DC3497">
      <w:pPr>
        <w:rPr>
          <w:rFonts w:ascii="Calibri" w:hAnsi="Calibri" w:cs="Calibri"/>
          <w:b/>
          <w:bCs/>
          <w:sz w:val="20"/>
          <w:szCs w:val="20"/>
        </w:rPr>
      </w:pPr>
      <w:r w:rsidRPr="00E03CBC">
        <w:rPr>
          <w:rFonts w:ascii="Calibri" w:hAnsi="Calibri" w:cs="Calibri"/>
          <w:b/>
          <w:bCs/>
          <w:sz w:val="20"/>
          <w:szCs w:val="20"/>
        </w:rPr>
        <w:t>Word limit: 2000 words (+/- 10%)</w:t>
      </w:r>
    </w:p>
    <w:p w14:paraId="771B03B5" w14:textId="77777777" w:rsidR="00DC3497" w:rsidRPr="00E03CBC" w:rsidRDefault="00DC3497" w:rsidP="00DC3497">
      <w:pPr>
        <w:rPr>
          <w:rFonts w:ascii="Calibri" w:hAnsi="Calibri" w:cs="Calibri"/>
          <w:b/>
          <w:bCs/>
          <w:sz w:val="20"/>
          <w:szCs w:val="20"/>
        </w:rPr>
      </w:pPr>
    </w:p>
    <w:p w14:paraId="3F18C609" w14:textId="726D4349" w:rsidR="00DC3497" w:rsidRPr="00E03CBC" w:rsidRDefault="00DC3497" w:rsidP="00DC3497">
      <w:pPr>
        <w:rPr>
          <w:rFonts w:ascii="Calibri" w:hAnsi="Calibri" w:cs="Calibri"/>
          <w:sz w:val="20"/>
          <w:szCs w:val="20"/>
        </w:rPr>
      </w:pPr>
      <w:r w:rsidRPr="00E03CBC">
        <w:rPr>
          <w:rFonts w:ascii="Calibri" w:hAnsi="Calibri" w:cs="Calibri"/>
          <w:sz w:val="20"/>
          <w:szCs w:val="20"/>
        </w:rPr>
        <w:t xml:space="preserve">The way in which police operate in the UK has changed dramatically in years past. With police having to take priority in immediate response calls, this has meant that the popular ‘Bobby on the beat’ is no longer seen and has meant that ‘reactive policing’ sees police being used in mobile patrols in police vehicles (Oxford University Press, 2020). This would mean that whereas a member of the public or a local community would frequently see their local police officer on foot patrol in the community, policing demand has taken these officers off the streets and sees them only responding to calls received for emergency response incidents. Policing in the climate today means that there is no time or resources for </w:t>
      </w:r>
      <w:r w:rsidR="00392277">
        <w:rPr>
          <w:rFonts w:ascii="Calibri" w:hAnsi="Calibri" w:cs="Calibri"/>
          <w:sz w:val="20"/>
          <w:szCs w:val="20"/>
        </w:rPr>
        <w:t xml:space="preserve">active response </w:t>
      </w:r>
      <w:r w:rsidRPr="00E03CBC">
        <w:rPr>
          <w:rFonts w:ascii="Calibri" w:hAnsi="Calibri" w:cs="Calibri"/>
          <w:sz w:val="20"/>
          <w:szCs w:val="20"/>
        </w:rPr>
        <w:t>police to stroll around the streets, they are always needed elsewhere</w:t>
      </w:r>
      <w:r w:rsidR="00392277">
        <w:rPr>
          <w:rFonts w:ascii="Calibri" w:hAnsi="Calibri" w:cs="Calibri"/>
          <w:sz w:val="20"/>
          <w:szCs w:val="20"/>
        </w:rPr>
        <w:t xml:space="preserve"> due to demand and ever-increasing reports of crime</w:t>
      </w:r>
      <w:r w:rsidRPr="00E03CBC">
        <w:rPr>
          <w:rFonts w:ascii="Calibri" w:hAnsi="Calibri" w:cs="Calibri"/>
          <w:sz w:val="20"/>
          <w:szCs w:val="20"/>
        </w:rPr>
        <w:t xml:space="preserve">. With lack of police visibility in a local area, this could pave the way for criminality to thrive, with no fear of immediate consequences due to the lack of police resources available. </w:t>
      </w:r>
      <w:r w:rsidR="00303EA1">
        <w:rPr>
          <w:rFonts w:ascii="Calibri" w:hAnsi="Calibri" w:cs="Calibri"/>
          <w:sz w:val="20"/>
          <w:szCs w:val="20"/>
        </w:rPr>
        <w:t>Community members</w:t>
      </w:r>
      <w:r w:rsidRPr="00E03CBC">
        <w:rPr>
          <w:rFonts w:ascii="Calibri" w:hAnsi="Calibri" w:cs="Calibri"/>
          <w:sz w:val="20"/>
          <w:szCs w:val="20"/>
        </w:rPr>
        <w:t xml:space="preserve"> are becoming less likely to approach police officers in the street with neighbourhood issues due to the common perception that police officers are already pre-occupied with something, or that their issue is likely to be overlooked by police officers for being trivial compared to the issues they deal with </w:t>
      </w:r>
      <w:r w:rsidR="008F5C09" w:rsidRPr="00E03CBC">
        <w:rPr>
          <w:rFonts w:ascii="Calibri" w:hAnsi="Calibri" w:cs="Calibri"/>
          <w:sz w:val="20"/>
          <w:szCs w:val="20"/>
        </w:rPr>
        <w:t>daily</w:t>
      </w:r>
      <w:r w:rsidRPr="00E03CBC">
        <w:rPr>
          <w:rFonts w:ascii="Calibri" w:hAnsi="Calibri" w:cs="Calibri"/>
          <w:sz w:val="20"/>
          <w:szCs w:val="20"/>
        </w:rPr>
        <w:t xml:space="preserve">. </w:t>
      </w:r>
    </w:p>
    <w:p w14:paraId="34722B86" w14:textId="77777777" w:rsidR="00DC3497" w:rsidRPr="00E03CBC" w:rsidRDefault="00DC3497" w:rsidP="00DC3497">
      <w:pPr>
        <w:rPr>
          <w:rFonts w:ascii="Calibri" w:hAnsi="Calibri" w:cs="Calibri"/>
          <w:sz w:val="20"/>
          <w:szCs w:val="20"/>
        </w:rPr>
      </w:pPr>
    </w:p>
    <w:p w14:paraId="1AFC8EDF" w14:textId="33133EA0" w:rsidR="00DC3497" w:rsidRPr="00E03CBC" w:rsidRDefault="00DC3497" w:rsidP="00DC3497">
      <w:pPr>
        <w:rPr>
          <w:rFonts w:ascii="Calibri" w:hAnsi="Calibri" w:cs="Calibri"/>
          <w:sz w:val="20"/>
          <w:szCs w:val="20"/>
        </w:rPr>
      </w:pPr>
      <w:r w:rsidRPr="00E03CBC">
        <w:rPr>
          <w:rFonts w:ascii="Calibri" w:hAnsi="Calibri" w:cs="Calibri"/>
          <w:sz w:val="20"/>
          <w:szCs w:val="20"/>
        </w:rPr>
        <w:t>With an increase in lower-level crime such as anti-social behaviour (ASB), in 2002 the first Police Community Support Officer’s (PCSO) were put out on foot patrols across the streets of London (Oxford University Press, 2020). Though PCSO’s do not have the same powers as police officers, such as power of arrest or stop and search</w:t>
      </w:r>
      <w:r w:rsidR="00392277">
        <w:rPr>
          <w:rFonts w:ascii="Calibri" w:hAnsi="Calibri" w:cs="Calibri"/>
          <w:sz w:val="20"/>
          <w:szCs w:val="20"/>
        </w:rPr>
        <w:t>, however</w:t>
      </w:r>
      <w:r w:rsidRPr="00E03CBC">
        <w:rPr>
          <w:rFonts w:ascii="Calibri" w:hAnsi="Calibri" w:cs="Calibri"/>
          <w:sz w:val="20"/>
          <w:szCs w:val="20"/>
        </w:rPr>
        <w:t xml:space="preserve"> these PCSO’s are uniformed officers who are dedicated to specific communities within </w:t>
      </w:r>
      <w:r w:rsidR="00392277">
        <w:rPr>
          <w:rFonts w:ascii="Calibri" w:hAnsi="Calibri" w:cs="Calibri"/>
          <w:sz w:val="20"/>
          <w:szCs w:val="20"/>
        </w:rPr>
        <w:t>a particular sector which is nearby to their local police station</w:t>
      </w:r>
      <w:r w:rsidRPr="00E03CBC">
        <w:rPr>
          <w:rFonts w:ascii="Calibri" w:hAnsi="Calibri" w:cs="Calibri"/>
          <w:sz w:val="20"/>
          <w:szCs w:val="20"/>
        </w:rPr>
        <w:t xml:space="preserve">. A PCSO’s duties are to integrate within their local communities and be a visible, friendly face of policing whereby neighbourhood and other local issues can be discussed and addressed. PCSO’s also involve themselves within their communities by way of community engagement. This consists of PCSO’s organising or being involved with community events, religious holiday celebrations or helping to broadcast local issues and solutions throughout the community. By doing so, the aim is that these officers </w:t>
      </w:r>
      <w:r w:rsidR="008F5C09" w:rsidRPr="00E03CBC">
        <w:rPr>
          <w:rFonts w:ascii="Calibri" w:hAnsi="Calibri" w:cs="Calibri"/>
          <w:sz w:val="20"/>
          <w:szCs w:val="20"/>
        </w:rPr>
        <w:t>can</w:t>
      </w:r>
      <w:r w:rsidRPr="00E03CBC">
        <w:rPr>
          <w:rFonts w:ascii="Calibri" w:hAnsi="Calibri" w:cs="Calibri"/>
          <w:sz w:val="20"/>
          <w:szCs w:val="20"/>
        </w:rPr>
        <w:t xml:space="preserve"> gain the trust of the public within these communities </w:t>
      </w:r>
      <w:r w:rsidR="00475DEC" w:rsidRPr="00E03CBC">
        <w:rPr>
          <w:rFonts w:ascii="Calibri" w:hAnsi="Calibri" w:cs="Calibri"/>
          <w:sz w:val="20"/>
          <w:szCs w:val="20"/>
        </w:rPr>
        <w:t>to</w:t>
      </w:r>
      <w:r w:rsidRPr="00E03CBC">
        <w:rPr>
          <w:rFonts w:ascii="Calibri" w:hAnsi="Calibri" w:cs="Calibri"/>
          <w:sz w:val="20"/>
          <w:szCs w:val="20"/>
        </w:rPr>
        <w:t xml:space="preserve"> gain information and intelligence, and also pick up on any criminality that may need to be escalated to local Police officers. </w:t>
      </w:r>
    </w:p>
    <w:p w14:paraId="6601B6A9" w14:textId="77777777" w:rsidR="00DC3497" w:rsidRPr="00E03CBC" w:rsidRDefault="00DC3497" w:rsidP="00DC3497">
      <w:pPr>
        <w:rPr>
          <w:rFonts w:ascii="Calibri" w:hAnsi="Calibri" w:cs="Calibri"/>
          <w:sz w:val="20"/>
          <w:szCs w:val="20"/>
        </w:rPr>
      </w:pPr>
    </w:p>
    <w:p w14:paraId="6AC94D54" w14:textId="0D050524" w:rsidR="00DC3497" w:rsidRPr="00E03CBC" w:rsidRDefault="00303EA1" w:rsidP="00DC3497">
      <w:pPr>
        <w:rPr>
          <w:rFonts w:ascii="Calibri" w:hAnsi="Calibri" w:cs="Calibri"/>
          <w:sz w:val="20"/>
          <w:szCs w:val="20"/>
        </w:rPr>
      </w:pPr>
      <w:r>
        <w:rPr>
          <w:rFonts w:ascii="Calibri" w:hAnsi="Calibri" w:cs="Calibri"/>
          <w:sz w:val="20"/>
          <w:szCs w:val="20"/>
        </w:rPr>
        <w:t xml:space="preserve">Despite using this form of partnership </w:t>
      </w:r>
      <w:r w:rsidR="00DC3497" w:rsidRPr="00E03CBC">
        <w:rPr>
          <w:rFonts w:ascii="Calibri" w:hAnsi="Calibri" w:cs="Calibri"/>
          <w:sz w:val="20"/>
          <w:szCs w:val="20"/>
        </w:rPr>
        <w:t xml:space="preserve">policing, there are still issues to overcome when it comes to policing certain groups </w:t>
      </w:r>
      <w:r>
        <w:rPr>
          <w:rFonts w:ascii="Calibri" w:hAnsi="Calibri" w:cs="Calibri"/>
          <w:sz w:val="20"/>
          <w:szCs w:val="20"/>
        </w:rPr>
        <w:t>or communities</w:t>
      </w:r>
      <w:r w:rsidR="00DC3497" w:rsidRPr="00E03CBC">
        <w:rPr>
          <w:rFonts w:ascii="Calibri" w:hAnsi="Calibri" w:cs="Calibri"/>
          <w:sz w:val="20"/>
          <w:szCs w:val="20"/>
        </w:rPr>
        <w:t xml:space="preserve">. </w:t>
      </w:r>
      <w:r>
        <w:rPr>
          <w:rFonts w:ascii="Calibri" w:hAnsi="Calibri" w:cs="Calibri"/>
          <w:sz w:val="20"/>
          <w:szCs w:val="20"/>
        </w:rPr>
        <w:t>Policing has</w:t>
      </w:r>
      <w:r w:rsidR="00DC3497" w:rsidRPr="00E03CBC">
        <w:rPr>
          <w:rFonts w:ascii="Calibri" w:hAnsi="Calibri" w:cs="Calibri"/>
          <w:sz w:val="20"/>
          <w:szCs w:val="20"/>
        </w:rPr>
        <w:t xml:space="preserve"> no ‘one size fits all’ model with the hugely diverse population</w:t>
      </w:r>
      <w:r>
        <w:rPr>
          <w:rFonts w:ascii="Calibri" w:hAnsi="Calibri" w:cs="Calibri"/>
          <w:sz w:val="20"/>
          <w:szCs w:val="20"/>
        </w:rPr>
        <w:t>s</w:t>
      </w:r>
      <w:r w:rsidR="00DC3497" w:rsidRPr="00E03CBC">
        <w:rPr>
          <w:rFonts w:ascii="Calibri" w:hAnsi="Calibri" w:cs="Calibri"/>
          <w:sz w:val="20"/>
          <w:szCs w:val="20"/>
        </w:rPr>
        <w:t xml:space="preserve"> in the UK, different cultures, religions, </w:t>
      </w:r>
      <w:r w:rsidR="008F5C09" w:rsidRPr="00E03CBC">
        <w:rPr>
          <w:rFonts w:ascii="Calibri" w:hAnsi="Calibri" w:cs="Calibri"/>
          <w:sz w:val="20"/>
          <w:szCs w:val="20"/>
        </w:rPr>
        <w:t>and</w:t>
      </w:r>
      <w:r w:rsidR="00DC3497" w:rsidRPr="00E03CBC">
        <w:rPr>
          <w:rFonts w:ascii="Calibri" w:hAnsi="Calibri" w:cs="Calibri"/>
          <w:sz w:val="20"/>
          <w:szCs w:val="20"/>
        </w:rPr>
        <w:t xml:space="preserve"> different upbringings or family backgrounds can lead to varying views on police. For example, female members of the Muslim community rarely approach police </w:t>
      </w:r>
      <w:r w:rsidR="00392277">
        <w:rPr>
          <w:rFonts w:ascii="Calibri" w:hAnsi="Calibri" w:cs="Calibri"/>
          <w:sz w:val="20"/>
          <w:szCs w:val="20"/>
        </w:rPr>
        <w:t xml:space="preserve">to report a crime they may have </w:t>
      </w:r>
      <w:r w:rsidR="008F5C09">
        <w:rPr>
          <w:rFonts w:ascii="Calibri" w:hAnsi="Calibri" w:cs="Calibri"/>
          <w:sz w:val="20"/>
          <w:szCs w:val="20"/>
        </w:rPr>
        <w:t>witnessed,</w:t>
      </w:r>
      <w:r w:rsidR="00392277">
        <w:rPr>
          <w:rFonts w:ascii="Calibri" w:hAnsi="Calibri" w:cs="Calibri"/>
          <w:sz w:val="20"/>
          <w:szCs w:val="20"/>
        </w:rPr>
        <w:t xml:space="preserve"> and they are even less likely to talk to police as a victim of crime themselves</w:t>
      </w:r>
      <w:r w:rsidR="00DC3497" w:rsidRPr="00E03CBC">
        <w:rPr>
          <w:rFonts w:ascii="Calibri" w:hAnsi="Calibri" w:cs="Calibri"/>
          <w:sz w:val="20"/>
          <w:szCs w:val="20"/>
        </w:rPr>
        <w:t xml:space="preserve">. Muslim women, especially those who are married, are “seen as being “below” their male counter parts when it comes to law, religion and society” (Stockton, 2017). Fathers and husbands of Muslim women are often seen as their ‘stewards’ and are accountable for their wives/daughters actions, meaning that if for example a woman were to have an affair, this would bring shame and dishonour to the family and the males of that family would need to be seen to take action upon this, which has led to multiple cases of Honour based abuse and killings. There are many cases of Honor Based abuse in the </w:t>
      </w:r>
      <w:r w:rsidR="008F5C09" w:rsidRPr="00E03CBC">
        <w:rPr>
          <w:rFonts w:ascii="Calibri" w:hAnsi="Calibri" w:cs="Calibri"/>
          <w:sz w:val="20"/>
          <w:szCs w:val="20"/>
        </w:rPr>
        <w:t>UK,</w:t>
      </w:r>
      <w:r w:rsidR="00DC3497" w:rsidRPr="00E03CBC">
        <w:rPr>
          <w:rFonts w:ascii="Calibri" w:hAnsi="Calibri" w:cs="Calibri"/>
          <w:sz w:val="20"/>
          <w:szCs w:val="20"/>
        </w:rPr>
        <w:t xml:space="preserve"> which is dealt with </w:t>
      </w:r>
      <w:r w:rsidR="00392277">
        <w:rPr>
          <w:rFonts w:ascii="Calibri" w:hAnsi="Calibri" w:cs="Calibri"/>
          <w:sz w:val="20"/>
          <w:szCs w:val="20"/>
        </w:rPr>
        <w:t xml:space="preserve">harshly </w:t>
      </w:r>
      <w:r w:rsidR="00DC3497" w:rsidRPr="00E03CBC">
        <w:rPr>
          <w:rFonts w:ascii="Calibri" w:hAnsi="Calibri" w:cs="Calibri"/>
          <w:sz w:val="20"/>
          <w:szCs w:val="20"/>
        </w:rPr>
        <w:t xml:space="preserve">by British law, however in countries such as Pakistan, there is a far more lenient approach to the abuse and in some cases whereby these lead to the death of Muslim women. The reasons behind this leniency may be due to the likely corruption within </w:t>
      </w:r>
      <w:r w:rsidR="00DC3497" w:rsidRPr="00E03CBC">
        <w:rPr>
          <w:rFonts w:ascii="Calibri" w:hAnsi="Calibri" w:cs="Calibri"/>
          <w:sz w:val="20"/>
          <w:szCs w:val="20"/>
        </w:rPr>
        <w:lastRenderedPageBreak/>
        <w:t>Pakistan’s police force with the Department of Foreign Affairs and Trade reporting that in “2022, corruption on both low level and serious has become a major issue in Pakistan” (GOV.uk, 2023).</w:t>
      </w:r>
    </w:p>
    <w:p w14:paraId="47A88AD9" w14:textId="56A166FF" w:rsidR="00DC3497" w:rsidRPr="00E03CBC" w:rsidRDefault="00303EA1" w:rsidP="00DC3497">
      <w:pPr>
        <w:rPr>
          <w:rFonts w:ascii="Calibri" w:hAnsi="Calibri" w:cs="Calibri"/>
          <w:sz w:val="20"/>
          <w:szCs w:val="20"/>
        </w:rPr>
      </w:pPr>
      <w:r>
        <w:rPr>
          <w:rFonts w:ascii="Calibri" w:hAnsi="Calibri" w:cs="Calibri"/>
          <w:sz w:val="20"/>
          <w:szCs w:val="20"/>
        </w:rPr>
        <w:t>As</w:t>
      </w:r>
      <w:r w:rsidR="00DC3497" w:rsidRPr="00E03CBC">
        <w:rPr>
          <w:rFonts w:ascii="Calibri" w:hAnsi="Calibri" w:cs="Calibri"/>
          <w:sz w:val="20"/>
          <w:szCs w:val="20"/>
        </w:rPr>
        <w:t xml:space="preserve"> the British Pakistani population in the UK </w:t>
      </w:r>
      <w:r>
        <w:rPr>
          <w:rFonts w:ascii="Calibri" w:hAnsi="Calibri" w:cs="Calibri"/>
          <w:sz w:val="20"/>
          <w:szCs w:val="20"/>
        </w:rPr>
        <w:t>was</w:t>
      </w:r>
      <w:r w:rsidR="00DC3497" w:rsidRPr="00E03CBC">
        <w:rPr>
          <w:rFonts w:ascii="Calibri" w:hAnsi="Calibri" w:cs="Calibri"/>
          <w:sz w:val="20"/>
          <w:szCs w:val="20"/>
        </w:rPr>
        <w:t xml:space="preserve"> around 1.5 million in 2021, it would be safe to </w:t>
      </w:r>
      <w:r>
        <w:rPr>
          <w:rFonts w:ascii="Calibri" w:hAnsi="Calibri" w:cs="Calibri"/>
          <w:sz w:val="20"/>
          <w:szCs w:val="20"/>
        </w:rPr>
        <w:t>assume</w:t>
      </w:r>
      <w:r w:rsidR="00DC3497" w:rsidRPr="00E03CBC">
        <w:rPr>
          <w:rFonts w:ascii="Calibri" w:hAnsi="Calibri" w:cs="Calibri"/>
          <w:sz w:val="20"/>
          <w:szCs w:val="20"/>
        </w:rPr>
        <w:t xml:space="preserve"> that from prior experience in Pakistan, most people would remain under the same illusion that all police forces, even the ones within the UK would have the same corruption or bias against women reporting crimes against them and therefore not come forward. With the fear of honour-based abuse, and for some women being their normality and an accepted part of their life and culture, this brings with it further fear of reporting incidents to the police due to repercussions, or just a general understanding that this abuse is normalised even in a different country as they have been brought up believing this abuse is rationalised. An example of this normalisation is the case of “Qandeel Baloch, a social media influencer who was killed by her brother, in the name of honour” (Anees, 2022). </w:t>
      </w:r>
      <w:r w:rsidR="00126D29">
        <w:rPr>
          <w:rFonts w:ascii="Calibri" w:hAnsi="Calibri" w:cs="Calibri"/>
          <w:sz w:val="20"/>
          <w:szCs w:val="20"/>
        </w:rPr>
        <w:t xml:space="preserve">Although Pakistan outlaws </w:t>
      </w:r>
      <w:r w:rsidR="004867D2">
        <w:rPr>
          <w:rFonts w:ascii="Calibri" w:hAnsi="Calibri" w:cs="Calibri"/>
          <w:sz w:val="20"/>
          <w:szCs w:val="20"/>
        </w:rPr>
        <w:t>honour-based</w:t>
      </w:r>
      <w:r w:rsidR="00126D29">
        <w:rPr>
          <w:rFonts w:ascii="Calibri" w:hAnsi="Calibri" w:cs="Calibri"/>
          <w:sz w:val="20"/>
          <w:szCs w:val="20"/>
        </w:rPr>
        <w:t xml:space="preserve"> killings, </w:t>
      </w:r>
      <w:r w:rsidR="00DC3497" w:rsidRPr="00E03CBC">
        <w:rPr>
          <w:rFonts w:ascii="Calibri" w:hAnsi="Calibri" w:cs="Calibri"/>
          <w:sz w:val="20"/>
          <w:szCs w:val="20"/>
        </w:rPr>
        <w:t xml:space="preserve">in the above case the family </w:t>
      </w:r>
      <w:r w:rsidR="00126D29">
        <w:rPr>
          <w:rFonts w:ascii="Calibri" w:hAnsi="Calibri" w:cs="Calibri"/>
          <w:sz w:val="20"/>
          <w:szCs w:val="20"/>
        </w:rPr>
        <w:t>of</w:t>
      </w:r>
      <w:r w:rsidR="00DC3497" w:rsidRPr="00E03CBC">
        <w:rPr>
          <w:rFonts w:ascii="Calibri" w:hAnsi="Calibri" w:cs="Calibri"/>
          <w:sz w:val="20"/>
          <w:szCs w:val="20"/>
        </w:rPr>
        <w:t xml:space="preserve"> the murdered victim (Qandeel’s mother) chose to ‘forgive’ the suspect (her son), he was acquitted shortly after his arrest for the murder of his sister and will serve no jail time as a result. With this example, there is no wonder that predominantly women from ethnic minority groups do not come forward to police with crimes being committed against them due to the anticipation that their perpetrators will not serve prison time for their offences, leaving them as victims exposed to further violence, or threat of violence. </w:t>
      </w:r>
    </w:p>
    <w:p w14:paraId="27E38013" w14:textId="77777777" w:rsidR="00DC3497" w:rsidRPr="00E03CBC" w:rsidRDefault="00DC3497" w:rsidP="00DC3497">
      <w:pPr>
        <w:rPr>
          <w:rFonts w:ascii="Calibri" w:hAnsi="Calibri" w:cs="Calibri"/>
          <w:sz w:val="20"/>
          <w:szCs w:val="20"/>
        </w:rPr>
      </w:pPr>
    </w:p>
    <w:p w14:paraId="5DB51930" w14:textId="088E2EE2" w:rsidR="00DC3497" w:rsidRPr="00E03CBC" w:rsidRDefault="00DC3497" w:rsidP="00DC3497">
      <w:pPr>
        <w:rPr>
          <w:rFonts w:ascii="Calibri" w:hAnsi="Calibri" w:cs="Calibri"/>
          <w:color w:val="333333"/>
          <w:sz w:val="20"/>
          <w:szCs w:val="20"/>
          <w:shd w:val="clear" w:color="auto" w:fill="FFFFFF"/>
        </w:rPr>
      </w:pPr>
      <w:r w:rsidRPr="00E03CBC">
        <w:rPr>
          <w:rFonts w:ascii="Calibri" w:hAnsi="Calibri" w:cs="Calibri"/>
          <w:sz w:val="20"/>
          <w:szCs w:val="20"/>
        </w:rPr>
        <w:t xml:space="preserve">This is not just the case for Muslim women or women with a Pakistani background, instances such as this affect many </w:t>
      </w:r>
      <w:r w:rsidR="007052B0">
        <w:rPr>
          <w:rFonts w:ascii="Calibri" w:hAnsi="Calibri" w:cs="Calibri"/>
          <w:sz w:val="20"/>
          <w:szCs w:val="20"/>
        </w:rPr>
        <w:t>d</w:t>
      </w:r>
      <w:r w:rsidRPr="00E03CBC">
        <w:rPr>
          <w:rFonts w:ascii="Calibri" w:hAnsi="Calibri" w:cs="Calibri"/>
          <w:sz w:val="20"/>
          <w:szCs w:val="20"/>
        </w:rPr>
        <w:t xml:space="preserve">ifferent cultures and backgrounds, </w:t>
      </w:r>
      <w:r w:rsidR="007052B0">
        <w:rPr>
          <w:rFonts w:ascii="Calibri" w:hAnsi="Calibri" w:cs="Calibri"/>
          <w:sz w:val="20"/>
          <w:szCs w:val="20"/>
        </w:rPr>
        <w:t xml:space="preserve">including </w:t>
      </w:r>
      <w:r w:rsidRPr="00E03CBC">
        <w:rPr>
          <w:rFonts w:ascii="Calibri" w:hAnsi="Calibri" w:cs="Calibri"/>
          <w:sz w:val="20"/>
          <w:szCs w:val="20"/>
        </w:rPr>
        <w:t xml:space="preserve">men. </w:t>
      </w:r>
      <w:r w:rsidR="004867D2">
        <w:rPr>
          <w:rFonts w:ascii="Calibri" w:hAnsi="Calibri" w:cs="Calibri"/>
          <w:sz w:val="20"/>
          <w:szCs w:val="20"/>
        </w:rPr>
        <w:t>U</w:t>
      </w:r>
      <w:r w:rsidR="004867D2" w:rsidRPr="00E03CBC">
        <w:rPr>
          <w:rFonts w:ascii="Calibri" w:hAnsi="Calibri" w:cs="Calibri"/>
          <w:sz w:val="20"/>
          <w:szCs w:val="20"/>
        </w:rPr>
        <w:t>nfortunately,</w:t>
      </w:r>
      <w:r w:rsidRPr="00E03CBC">
        <w:rPr>
          <w:rFonts w:ascii="Calibri" w:hAnsi="Calibri" w:cs="Calibri"/>
          <w:sz w:val="20"/>
          <w:szCs w:val="20"/>
        </w:rPr>
        <w:t xml:space="preserve"> incidents </w:t>
      </w:r>
      <w:r w:rsidR="007052B0">
        <w:rPr>
          <w:rFonts w:ascii="Calibri" w:hAnsi="Calibri" w:cs="Calibri"/>
          <w:sz w:val="20"/>
          <w:szCs w:val="20"/>
        </w:rPr>
        <w:t xml:space="preserve">with </w:t>
      </w:r>
      <w:r w:rsidRPr="00E03CBC">
        <w:rPr>
          <w:rFonts w:ascii="Calibri" w:hAnsi="Calibri" w:cs="Calibri"/>
          <w:sz w:val="20"/>
          <w:szCs w:val="20"/>
        </w:rPr>
        <w:t>lack of cooperation or willingness to speak to police are predominantly from women. Aside from this and continuing with using the Muslim community as an example, there are other reasons why members of the Muslim communities do not openly communicate with police or other state authorities. There has been some research conducted following the ‘7/7’ bombings in London which show that “Muslim citizens are becoming withdrawn from participating in in state institutions and public life” (Citizens UK, 2016). There have been notable changes in the way in which these communities are incorporated into daily life and “since the end of the 1990’s, the UK governments have continued to make attempts at actively and successfully engaging with Muslim communities” (O’Toole et al, 2013). Having this engagement with Muslim communities and other faith-based communities, is a necessary part of “enabling social inclusion, improving community cohesion throughout ethnic lines, enabling partnership working, accessing hard-to-reach minority communities and renewing democratic structures at a local level” (Dinham and Lowndes 2008). There is also a worrying finding of racism within the police services across the UK as documented most famously in the Scarman report 1981. This has led to “adaptations of formal policing, including the use of informal networking, social research, police-community meetings and most recently the use of social media as a facilitator for communication with Muslim citizens” (</w:t>
      </w:r>
      <w:r w:rsidRPr="00E03CBC">
        <w:rPr>
          <w:rFonts w:ascii="Calibri" w:hAnsi="Calibri" w:cs="Calibri"/>
          <w:color w:val="333333"/>
          <w:sz w:val="20"/>
          <w:szCs w:val="20"/>
          <w:shd w:val="clear" w:color="auto" w:fill="FFFFFF"/>
        </w:rPr>
        <w:t xml:space="preserve">Bullock and Johnson 2018). The use of these mediators enables police to engage with the Muslim communities and facilitates the reporting or recording of crimes and incidents which in turn can also generate information and intelligence of said crimes. In doing this, it is a promoter of other engagement activities such as PACT meetings, whereby police and local council meet with a specified community to share any relevant information indicating crime or disorder within the community. This type of engagement in the early stages can lead to further successful community engagement which is used frequently today, such as targeted foot patrols by officers and PCSO’s in the areas which have been highlighted by the communities in the PACT meetings, which help to encourage trust within the police service. The trust gained from these interactions has also led to “community policing playing a key role in the identification of information and intelligence that could ground terrorism threats in the continued efforts to nurture long-term community ties and helping to break down suspicions of police. </w:t>
      </w:r>
      <w:r w:rsidR="008F5C09" w:rsidRPr="00E03CBC">
        <w:rPr>
          <w:rFonts w:ascii="Calibri" w:hAnsi="Calibri" w:cs="Calibri"/>
          <w:color w:val="333333"/>
          <w:sz w:val="20"/>
          <w:szCs w:val="20"/>
          <w:shd w:val="clear" w:color="auto" w:fill="FFFFFF"/>
        </w:rPr>
        <w:t>However,</w:t>
      </w:r>
      <w:r w:rsidRPr="00E03CBC">
        <w:rPr>
          <w:rFonts w:ascii="Calibri" w:hAnsi="Calibri" w:cs="Calibri"/>
          <w:color w:val="333333"/>
          <w:sz w:val="20"/>
          <w:szCs w:val="20"/>
          <w:shd w:val="clear" w:color="auto" w:fill="FFFFFF"/>
        </w:rPr>
        <w:t xml:space="preserve"> despite these community engagement attempts, a study conducted with anonymous members of community policing teams in police stations within England and Wales has shown that there is still </w:t>
      </w:r>
      <w:r w:rsidR="00475DEC" w:rsidRPr="00E03CBC">
        <w:rPr>
          <w:rFonts w:ascii="Calibri" w:hAnsi="Calibri" w:cs="Calibri"/>
          <w:color w:val="333333"/>
          <w:sz w:val="20"/>
          <w:szCs w:val="20"/>
          <w:shd w:val="clear" w:color="auto" w:fill="FFFFFF"/>
        </w:rPr>
        <w:t>mistrust</w:t>
      </w:r>
      <w:r w:rsidRPr="00E03CBC">
        <w:rPr>
          <w:rFonts w:ascii="Calibri" w:hAnsi="Calibri" w:cs="Calibri"/>
          <w:color w:val="333333"/>
          <w:sz w:val="20"/>
          <w:szCs w:val="20"/>
          <w:shd w:val="clear" w:color="auto" w:fill="FFFFFF"/>
        </w:rPr>
        <w:t xml:space="preserve"> between Muslim citizens and the police, causing them to not engage with police. The study has shown that there is a “suspicious nature and a feeling that the media has “tarnished all Muslims with the same brush” with respect to terrorism” (Bullock and Johnson, 2018). The study has documented that police themselves feel a barrier between them and the Muslim communities and that Muslim citizens will feel as though the Islamophobia culture has impacted that way that police would help with crimes committed against Muslims.</w:t>
      </w:r>
    </w:p>
    <w:p w14:paraId="079440CD" w14:textId="77777777" w:rsidR="00DC3497" w:rsidRPr="00E03CBC" w:rsidRDefault="00DC3497" w:rsidP="00DC3497">
      <w:pPr>
        <w:rPr>
          <w:rFonts w:ascii="Calibri" w:hAnsi="Calibri" w:cs="Calibri"/>
          <w:color w:val="333333"/>
          <w:sz w:val="20"/>
          <w:szCs w:val="20"/>
          <w:shd w:val="clear" w:color="auto" w:fill="FFFFFF"/>
        </w:rPr>
      </w:pPr>
    </w:p>
    <w:p w14:paraId="5D869D56" w14:textId="11579AE2" w:rsidR="00DC3497" w:rsidRPr="00E03CBC" w:rsidRDefault="00DC3497" w:rsidP="00DC3497">
      <w:pPr>
        <w:rPr>
          <w:rFonts w:ascii="Calibri" w:hAnsi="Calibri" w:cs="Calibri"/>
          <w:color w:val="000000"/>
          <w:sz w:val="20"/>
          <w:szCs w:val="20"/>
          <w:shd w:val="clear" w:color="auto" w:fill="FFFFFF"/>
        </w:rPr>
      </w:pPr>
      <w:r w:rsidRPr="00E03CBC">
        <w:rPr>
          <w:rFonts w:ascii="Calibri" w:hAnsi="Calibri" w:cs="Calibri"/>
          <w:color w:val="333333"/>
          <w:sz w:val="20"/>
          <w:szCs w:val="20"/>
          <w:shd w:val="clear" w:color="auto" w:fill="FFFFFF"/>
        </w:rPr>
        <w:t>The findings of institutional racism within police forces in England and Wales not only affects Muslim communities they serve, but also affects any ethnic minority community and their members directly with their relationship and engagement (or lack of) with police. For example, the death of George Floyd in America, May 2020 has erupted mass protests across the world about racism within police. An article in ‘Metro’ newspaper has spoken with a young black female who states police stop-searched her when she was just 17 because they believed she “looked like she smelled of weed”. This female explains that she believes her braids brown skin were motivators for the stop search and goes on to explain that “</w:t>
      </w:r>
      <w:r w:rsidRPr="00E03CBC">
        <w:rPr>
          <w:rFonts w:ascii="Calibri" w:hAnsi="Calibri" w:cs="Calibri"/>
          <w:color w:val="000000"/>
          <w:sz w:val="20"/>
          <w:szCs w:val="20"/>
          <w:shd w:val="clear" w:color="auto" w:fill="FFFFFF"/>
        </w:rPr>
        <w:t>Seeing the police gives me serious PTSD-induced anxiety and I would never call them if I were in trouble” (Aidan Milan, 2022). More worryingly, a survey conducted by YouGov with British people and “whether they are confident that police will deal with crime in their local area, 48% say they are not confident” (YouGov, 2019). Is this an indicator that people are not willing to approach police? This lack of trust in police and unwillingness to report crime, especially from those of an ethnic minority background is something that has been highlighted within the police’s own recruitment. In 2020, the office for national statistic showed that “out of the 6,999 officers serving in Welsh police forces, only 128 officers identify as being from a BAME (Black and Minority Ethnicities) background, this is a shocking 1.82% of the force” (Chris Wood, 2020). In this article, Wood also explains how despite schools teaching children from a young age they must speak up and talk to police if something is wrong, those who come from a BAME family will be taught that the police are not to be trusted (Wood, 2020). This shows that there is a teaching culture being adapted that families will pass onto their children not to trust the police, meaning the cycle will continue until something within policing changes to gain their trust. Police forces in the UK encourage BAME citizens to apply for policing roles, and actively run recruitment drives for people from ethnic backgrounds to apply, as a means of increasing the public</w:t>
      </w:r>
      <w:r w:rsidR="008F5C09">
        <w:rPr>
          <w:rFonts w:ascii="Calibri" w:hAnsi="Calibri" w:cs="Calibri"/>
          <w:color w:val="000000"/>
          <w:sz w:val="20"/>
          <w:szCs w:val="20"/>
          <w:shd w:val="clear" w:color="auto" w:fill="FFFFFF"/>
        </w:rPr>
        <w:t>’</w:t>
      </w:r>
      <w:r w:rsidRPr="00E03CBC">
        <w:rPr>
          <w:rFonts w:ascii="Calibri" w:hAnsi="Calibri" w:cs="Calibri"/>
          <w:color w:val="000000"/>
          <w:sz w:val="20"/>
          <w:szCs w:val="20"/>
          <w:shd w:val="clear" w:color="auto" w:fill="FFFFFF"/>
        </w:rPr>
        <w:t>s trust within police and feeling confident to report crime. This is likely to be helped by a ‘familiarity’ being found in the person reporting the crime identifying with the person who the</w:t>
      </w:r>
      <w:r w:rsidR="00392277">
        <w:rPr>
          <w:rFonts w:ascii="Calibri" w:hAnsi="Calibri" w:cs="Calibri"/>
          <w:color w:val="000000"/>
          <w:sz w:val="20"/>
          <w:szCs w:val="20"/>
          <w:shd w:val="clear" w:color="auto" w:fill="FFFFFF"/>
        </w:rPr>
        <w:t>y</w:t>
      </w:r>
      <w:r w:rsidRPr="00E03CBC">
        <w:rPr>
          <w:rFonts w:ascii="Calibri" w:hAnsi="Calibri" w:cs="Calibri"/>
          <w:color w:val="000000"/>
          <w:sz w:val="20"/>
          <w:szCs w:val="20"/>
          <w:shd w:val="clear" w:color="auto" w:fill="FFFFFF"/>
        </w:rPr>
        <w:t xml:space="preserve"> are reporting the crime too, whether it be that they are from the same racial background or religious background. </w:t>
      </w:r>
    </w:p>
    <w:p w14:paraId="104ED42C" w14:textId="77777777" w:rsidR="00DC3497" w:rsidRPr="00E03CBC" w:rsidRDefault="00DC3497" w:rsidP="00DC3497">
      <w:pPr>
        <w:rPr>
          <w:rFonts w:ascii="Calibri" w:hAnsi="Calibri" w:cs="Calibri"/>
          <w:color w:val="000000"/>
          <w:sz w:val="20"/>
          <w:szCs w:val="20"/>
          <w:shd w:val="clear" w:color="auto" w:fill="FFFFFF"/>
        </w:rPr>
      </w:pPr>
    </w:p>
    <w:p w14:paraId="7A4C57CE" w14:textId="4D8A5DA9" w:rsidR="00DC3497" w:rsidRDefault="00DC3497" w:rsidP="00DC3497">
      <w:pPr>
        <w:rPr>
          <w:rFonts w:ascii="Calibri" w:hAnsi="Calibri" w:cs="Calibri"/>
          <w:color w:val="000000"/>
          <w:sz w:val="20"/>
          <w:szCs w:val="20"/>
          <w:shd w:val="clear" w:color="auto" w:fill="FFFFFF"/>
        </w:rPr>
      </w:pPr>
      <w:r w:rsidRPr="00E03CBC">
        <w:rPr>
          <w:rFonts w:ascii="Calibri" w:hAnsi="Calibri" w:cs="Calibri"/>
          <w:color w:val="000000"/>
          <w:sz w:val="20"/>
          <w:szCs w:val="20"/>
          <w:shd w:val="clear" w:color="auto" w:fill="FFFFFF"/>
        </w:rPr>
        <w:t xml:space="preserve">In conclusion, findings indicate that </w:t>
      </w:r>
      <w:r w:rsidR="006C5369">
        <w:rPr>
          <w:rFonts w:ascii="Calibri" w:hAnsi="Calibri" w:cs="Calibri"/>
          <w:color w:val="000000"/>
          <w:sz w:val="20"/>
          <w:szCs w:val="20"/>
          <w:shd w:val="clear" w:color="auto" w:fill="FFFFFF"/>
        </w:rPr>
        <w:t xml:space="preserve">“though community policing models can have impact in improving police legitimacy, there is little to evidence that this creates a direct contribution to the reduction of crime” (Cox, C 2019). </w:t>
      </w:r>
      <w:r w:rsidR="00DC5064">
        <w:rPr>
          <w:rFonts w:ascii="Calibri" w:hAnsi="Calibri" w:cs="Calibri"/>
          <w:color w:val="000000"/>
          <w:sz w:val="20"/>
          <w:szCs w:val="20"/>
          <w:shd w:val="clear" w:color="auto" w:fill="FFFFFF"/>
        </w:rPr>
        <w:t xml:space="preserve">This aspect of policing however is more in the domain of reactive policing my response officers to control to a certain degree and not necessarily the main responsibility of community policing. The main aim of community policing is to create trust and confidence between police and their </w:t>
      </w:r>
      <w:r w:rsidR="008F5C09">
        <w:rPr>
          <w:rFonts w:ascii="Calibri" w:hAnsi="Calibri" w:cs="Calibri"/>
          <w:color w:val="000000"/>
          <w:sz w:val="20"/>
          <w:szCs w:val="20"/>
          <w:shd w:val="clear" w:color="auto" w:fill="FFFFFF"/>
        </w:rPr>
        <w:t>communities and</w:t>
      </w:r>
      <w:r w:rsidR="00DC5064">
        <w:rPr>
          <w:rFonts w:ascii="Calibri" w:hAnsi="Calibri" w:cs="Calibri"/>
          <w:color w:val="000000"/>
          <w:sz w:val="20"/>
          <w:szCs w:val="20"/>
          <w:shd w:val="clear" w:color="auto" w:fill="FFFFFF"/>
        </w:rPr>
        <w:t xml:space="preserve"> create a willingness to engage with police and build a rapport with their local officer. The hopes with this </w:t>
      </w:r>
      <w:r w:rsidR="008F5C09">
        <w:rPr>
          <w:rFonts w:ascii="Calibri" w:hAnsi="Calibri" w:cs="Calibri"/>
          <w:color w:val="000000"/>
          <w:sz w:val="20"/>
          <w:szCs w:val="20"/>
          <w:shd w:val="clear" w:color="auto" w:fill="FFFFFF"/>
        </w:rPr>
        <w:t>are</w:t>
      </w:r>
      <w:r w:rsidR="00DC5064">
        <w:rPr>
          <w:rFonts w:ascii="Calibri" w:hAnsi="Calibri" w:cs="Calibri"/>
          <w:color w:val="000000"/>
          <w:sz w:val="20"/>
          <w:szCs w:val="20"/>
          <w:shd w:val="clear" w:color="auto" w:fill="FFFFFF"/>
        </w:rPr>
        <w:t xml:space="preserve"> that this strengthening relationship would transfer into a trust of other police officers, such as response officers, which in the long term will help with the ability for police to tackle criminality and increase the reliability of the information from these communities when crimes are occurring, or where police are responding to the scene of an incident. However, </w:t>
      </w:r>
      <w:r w:rsidRPr="00E03CBC">
        <w:rPr>
          <w:rFonts w:ascii="Calibri" w:hAnsi="Calibri" w:cs="Calibri"/>
          <w:color w:val="000000"/>
          <w:sz w:val="20"/>
          <w:szCs w:val="20"/>
          <w:shd w:val="clear" w:color="auto" w:fill="FFFFFF"/>
        </w:rPr>
        <w:t xml:space="preserve">due to racial prejudice and lack of representation of BAME communities, there is a culture of ‘taught mistrust’ in police, which spans from negative media of police and communities, and children being told from early on not to trust police due to negative experiences their parents or other family members have encountered. </w:t>
      </w:r>
      <w:r w:rsidR="008F5C09">
        <w:rPr>
          <w:rFonts w:ascii="Calibri" w:hAnsi="Calibri" w:cs="Calibri"/>
          <w:color w:val="000000"/>
          <w:sz w:val="20"/>
          <w:szCs w:val="20"/>
          <w:shd w:val="clear" w:color="auto" w:fill="FFFFFF"/>
        </w:rPr>
        <w:t>“In particular, e</w:t>
      </w:r>
      <w:r w:rsidR="00DC5064" w:rsidRPr="006C5369">
        <w:rPr>
          <w:rFonts w:ascii="Calibri" w:hAnsi="Calibri" w:cs="Calibri"/>
          <w:color w:val="000000"/>
          <w:sz w:val="20"/>
          <w:szCs w:val="20"/>
          <w:shd w:val="clear" w:color="auto" w:fill="FFFFFF"/>
        </w:rPr>
        <w:t>thnic minority communities consistently report disproportionately low levels of trust and confidence in the police across a number of areas</w:t>
      </w:r>
      <w:r w:rsidR="008F5C09">
        <w:rPr>
          <w:rFonts w:ascii="Calibri" w:hAnsi="Calibri" w:cs="Calibri"/>
          <w:color w:val="000000"/>
          <w:sz w:val="20"/>
          <w:szCs w:val="20"/>
          <w:shd w:val="clear" w:color="auto" w:fill="FFFFFF"/>
        </w:rPr>
        <w:t>”</w:t>
      </w:r>
      <w:r w:rsidR="00DC5064" w:rsidRPr="006C5369">
        <w:rPr>
          <w:rFonts w:ascii="Calibri" w:hAnsi="Calibri" w:cs="Calibri"/>
          <w:color w:val="000000"/>
          <w:sz w:val="20"/>
          <w:szCs w:val="20"/>
          <w:shd w:val="clear" w:color="auto" w:fill="FFFFFF"/>
        </w:rPr>
        <w:t xml:space="preserve"> (IPCC, 2016a, 2016b; Ipsos MORI, 2016).</w:t>
      </w:r>
      <w:r w:rsidR="008F5C09">
        <w:rPr>
          <w:rFonts w:ascii="Calibri" w:hAnsi="Calibri" w:cs="Calibri"/>
          <w:color w:val="000000"/>
          <w:sz w:val="20"/>
          <w:szCs w:val="20"/>
          <w:shd w:val="clear" w:color="auto" w:fill="FFFFFF"/>
        </w:rPr>
        <w:t xml:space="preserve"> In short, more work needs to be done on the community policing model in general to improve relationships between police and their communities which will create a better willingness for the communities who are less likely to communicate with police and enable a more consistent form of policing on behalf of these minorities. </w:t>
      </w:r>
    </w:p>
    <w:p w14:paraId="0D7E1284" w14:textId="77777777" w:rsidR="008F5C09" w:rsidRPr="008F5C09" w:rsidRDefault="008F5C09" w:rsidP="00DC3497">
      <w:pPr>
        <w:rPr>
          <w:rFonts w:ascii="Calibri" w:hAnsi="Calibri" w:cs="Calibri"/>
          <w:color w:val="000000"/>
          <w:sz w:val="20"/>
          <w:szCs w:val="20"/>
          <w:shd w:val="clear" w:color="auto" w:fill="FFFFFF"/>
        </w:rPr>
      </w:pPr>
    </w:p>
    <w:p w14:paraId="28E39D5D" w14:textId="2B8CF140" w:rsidR="00DC3497" w:rsidRPr="00E03CBC" w:rsidRDefault="00DC3497" w:rsidP="00DC3497">
      <w:pPr>
        <w:rPr>
          <w:rFonts w:ascii="Calibri" w:hAnsi="Calibri" w:cs="Calibri"/>
          <w:b/>
          <w:bCs/>
          <w:sz w:val="20"/>
          <w:szCs w:val="20"/>
        </w:rPr>
      </w:pPr>
      <w:r w:rsidRPr="00E03CBC">
        <w:rPr>
          <w:rFonts w:ascii="Calibri" w:hAnsi="Calibri" w:cs="Calibri"/>
          <w:b/>
          <w:bCs/>
          <w:sz w:val="20"/>
          <w:szCs w:val="20"/>
        </w:rPr>
        <w:t xml:space="preserve">Word count: </w:t>
      </w:r>
      <w:r w:rsidR="00126D29">
        <w:rPr>
          <w:rFonts w:ascii="Calibri" w:hAnsi="Calibri" w:cs="Calibri"/>
          <w:b/>
          <w:bCs/>
          <w:sz w:val="20"/>
          <w:szCs w:val="20"/>
        </w:rPr>
        <w:t>219</w:t>
      </w:r>
      <w:r w:rsidR="00221636">
        <w:rPr>
          <w:rFonts w:ascii="Calibri" w:hAnsi="Calibri" w:cs="Calibri"/>
          <w:b/>
          <w:bCs/>
          <w:sz w:val="20"/>
          <w:szCs w:val="20"/>
        </w:rPr>
        <w:t>8</w:t>
      </w:r>
    </w:p>
    <w:p w14:paraId="4282F607" w14:textId="77777777" w:rsidR="00DC3497" w:rsidRPr="00E03CBC" w:rsidRDefault="00DC3497" w:rsidP="00DC3497">
      <w:pPr>
        <w:rPr>
          <w:rFonts w:ascii="Calibri" w:hAnsi="Calibri" w:cs="Calibri"/>
          <w:sz w:val="20"/>
          <w:szCs w:val="20"/>
        </w:rPr>
      </w:pPr>
    </w:p>
    <w:p w14:paraId="37834CC8" w14:textId="77777777" w:rsidR="00E03CBC" w:rsidRDefault="00E03CBC" w:rsidP="00DC3497">
      <w:pPr>
        <w:spacing w:line="276" w:lineRule="auto"/>
        <w:ind w:right="531"/>
        <w:rPr>
          <w:rFonts w:ascii="Calibri" w:hAnsi="Calibri" w:cs="Calibri"/>
          <w:sz w:val="20"/>
          <w:szCs w:val="20"/>
        </w:rPr>
      </w:pPr>
    </w:p>
    <w:p w14:paraId="4C3B1FDA" w14:textId="77777777" w:rsidR="00A94869" w:rsidRDefault="00A94869" w:rsidP="00DC3497">
      <w:pPr>
        <w:spacing w:line="276" w:lineRule="auto"/>
        <w:ind w:right="531"/>
        <w:rPr>
          <w:rFonts w:ascii="Calibri" w:hAnsi="Calibri" w:cs="Calibri"/>
          <w:sz w:val="20"/>
          <w:szCs w:val="20"/>
        </w:rPr>
      </w:pPr>
    </w:p>
    <w:p w14:paraId="6C1BD9BC" w14:textId="494D5A05" w:rsidR="00DC3497" w:rsidRPr="00E03CBC" w:rsidRDefault="00DC3497" w:rsidP="00DC3497">
      <w:p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u w:val="single"/>
          <w:lang w:eastAsia="en-GB"/>
        </w:rPr>
        <w:lastRenderedPageBreak/>
        <w:t>Bibliography</w:t>
      </w:r>
    </w:p>
    <w:p w14:paraId="037D040D" w14:textId="77777777" w:rsidR="00DC3497" w:rsidRPr="00E03CBC" w:rsidRDefault="00DC3497" w:rsidP="00DC3497">
      <w:pPr>
        <w:spacing w:line="276" w:lineRule="auto"/>
        <w:ind w:right="531"/>
        <w:rPr>
          <w:rFonts w:ascii="Calibri" w:eastAsia="Times New Roman" w:hAnsi="Calibri" w:cs="Calibri"/>
          <w:sz w:val="20"/>
          <w:szCs w:val="20"/>
          <w:lang w:eastAsia="en-GB"/>
        </w:rPr>
      </w:pPr>
    </w:p>
    <w:p w14:paraId="424739A4" w14:textId="77777777" w:rsidR="00A94869" w:rsidRPr="00E03CBC" w:rsidRDefault="00A94869" w:rsidP="00E03CBC">
      <w:pPr>
        <w:pStyle w:val="ListParagraph"/>
        <w:numPr>
          <w:ilvl w:val="0"/>
          <w:numId w:val="4"/>
        </w:numPr>
        <w:rPr>
          <w:rFonts w:ascii="Calibri" w:hAnsi="Calibri" w:cs="Calibri"/>
          <w:sz w:val="20"/>
          <w:szCs w:val="20"/>
        </w:rPr>
      </w:pPr>
      <w:r w:rsidRPr="00E03CBC">
        <w:rPr>
          <w:rFonts w:ascii="Calibri" w:hAnsi="Calibri" w:cs="Calibri"/>
          <w:color w:val="000000"/>
          <w:sz w:val="20"/>
          <w:szCs w:val="20"/>
          <w:shd w:val="clear" w:color="auto" w:fill="FFFFFF"/>
        </w:rPr>
        <w:t>Aidan Milan. (2022). The complex question of trusting the police. </w:t>
      </w:r>
      <w:r w:rsidRPr="00E03CBC">
        <w:rPr>
          <w:rFonts w:ascii="Calibri" w:hAnsi="Calibri" w:cs="Calibri"/>
          <w:i/>
          <w:iCs/>
          <w:color w:val="000000"/>
          <w:sz w:val="20"/>
          <w:szCs w:val="20"/>
        </w:rPr>
        <w:t>Metro</w:t>
      </w:r>
      <w:r w:rsidRPr="00E03CBC">
        <w:rPr>
          <w:rFonts w:ascii="Calibri" w:hAnsi="Calibri" w:cs="Calibri"/>
          <w:color w:val="000000"/>
          <w:sz w:val="20"/>
          <w:szCs w:val="20"/>
          <w:shd w:val="clear" w:color="auto" w:fill="FFFFFF"/>
        </w:rPr>
        <w:t>. [Online]. 29 March 2022. Available at https://metro.co.uk/2022/03/29/i-would-never-ever-call-them-the-question-of-trust-in-the-police-14567530/ [Accessed 9 April 2024].</w:t>
      </w:r>
    </w:p>
    <w:p w14:paraId="417B2B42" w14:textId="77777777" w:rsidR="00A94869" w:rsidRPr="00E03CBC" w:rsidRDefault="00A94869" w:rsidP="00DC3497">
      <w:pPr>
        <w:pStyle w:val="ListParagraph"/>
        <w:numPr>
          <w:ilvl w:val="0"/>
          <w:numId w:val="4"/>
        </w:numPr>
        <w:tabs>
          <w:tab w:val="left" w:pos="2813"/>
        </w:tabs>
        <w:rPr>
          <w:rFonts w:ascii="Calibri" w:hAnsi="Calibri" w:cs="Calibri"/>
          <w:sz w:val="20"/>
          <w:szCs w:val="20"/>
        </w:rPr>
      </w:pPr>
      <w:r w:rsidRPr="00E03CBC">
        <w:rPr>
          <w:rFonts w:ascii="Calibri" w:hAnsi="Calibri" w:cs="Calibri"/>
          <w:sz w:val="20"/>
          <w:szCs w:val="20"/>
        </w:rPr>
        <w:t>BBC. (2017). </w:t>
      </w:r>
      <w:r w:rsidRPr="00E03CBC">
        <w:rPr>
          <w:rFonts w:ascii="Calibri" w:hAnsi="Calibri" w:cs="Calibri"/>
          <w:i/>
          <w:iCs/>
          <w:sz w:val="20"/>
          <w:szCs w:val="20"/>
        </w:rPr>
        <w:t>What is the prevent strategy?</w:t>
      </w:r>
      <w:r w:rsidRPr="00E03CBC">
        <w:rPr>
          <w:rFonts w:ascii="Calibri" w:hAnsi="Calibri" w:cs="Calibri"/>
          <w:sz w:val="20"/>
          <w:szCs w:val="20"/>
        </w:rPr>
        <w:t>. [Online]. BBC News. Last Updated: 4 June 2017. Available at: https://www.bbc.co.uk/news/election-2017-40151991#:~:text=Prevent%20is%20one%20of%20four%20strands%2 [Accessed 6 November 2024].</w:t>
      </w:r>
    </w:p>
    <w:p w14:paraId="2D376549" w14:textId="77777777" w:rsidR="00A94869" w:rsidRPr="00E03CBC" w:rsidRDefault="00A94869" w:rsidP="00DC3497">
      <w:pPr>
        <w:pStyle w:val="ListParagraph"/>
        <w:numPr>
          <w:ilvl w:val="0"/>
          <w:numId w:val="4"/>
        </w:numPr>
        <w:rPr>
          <w:rFonts w:ascii="Calibri" w:hAnsi="Calibri" w:cs="Calibri"/>
          <w:sz w:val="20"/>
          <w:szCs w:val="20"/>
        </w:rPr>
      </w:pPr>
      <w:bookmarkStart w:id="0" w:name="_Hlk178847385"/>
      <w:r w:rsidRPr="00E03CBC">
        <w:rPr>
          <w:rFonts w:ascii="Calibri" w:hAnsi="Calibri" w:cs="Calibri"/>
          <w:color w:val="333333"/>
          <w:sz w:val="20"/>
          <w:szCs w:val="20"/>
          <w:shd w:val="clear" w:color="auto" w:fill="FFFFFF"/>
        </w:rPr>
        <w:t>Bullock, K. and Johnson, P. (2018) ‘Police engagement with Muslim communities: breaking out, breaking in, and breaking through’, </w:t>
      </w:r>
      <w:r w:rsidRPr="00E03CBC">
        <w:rPr>
          <w:rFonts w:ascii="Calibri" w:hAnsi="Calibri" w:cs="Calibri"/>
          <w:i/>
          <w:iCs/>
          <w:color w:val="333333"/>
          <w:sz w:val="20"/>
          <w:szCs w:val="20"/>
          <w:shd w:val="clear" w:color="auto" w:fill="FFFFFF"/>
        </w:rPr>
        <w:t>Policing and Society</w:t>
      </w:r>
      <w:r w:rsidRPr="00E03CBC">
        <w:rPr>
          <w:rFonts w:ascii="Calibri" w:hAnsi="Calibri" w:cs="Calibri"/>
          <w:color w:val="333333"/>
          <w:sz w:val="20"/>
          <w:szCs w:val="20"/>
          <w:shd w:val="clear" w:color="auto" w:fill="FFFFFF"/>
        </w:rPr>
        <w:t>, 28(8), pp. 879–897. doi: 10.1080/10439463.2017.1339706.</w:t>
      </w:r>
    </w:p>
    <w:p w14:paraId="413560FC" w14:textId="77777777" w:rsidR="00A94869" w:rsidRPr="00E03CBC" w:rsidRDefault="00A94869" w:rsidP="00DC3497">
      <w:pPr>
        <w:pStyle w:val="ListParagraph"/>
        <w:numPr>
          <w:ilvl w:val="0"/>
          <w:numId w:val="4"/>
        </w:numPr>
        <w:rPr>
          <w:rFonts w:ascii="Calibri" w:hAnsi="Calibri" w:cs="Calibri"/>
          <w:sz w:val="20"/>
          <w:szCs w:val="20"/>
        </w:rPr>
      </w:pPr>
      <w:r w:rsidRPr="00E03CBC">
        <w:rPr>
          <w:rFonts w:ascii="Calibri" w:hAnsi="Calibri" w:cs="Calibri"/>
          <w:color w:val="333333"/>
          <w:sz w:val="20"/>
          <w:szCs w:val="20"/>
          <w:shd w:val="clear" w:color="auto" w:fill="FFFFFF"/>
        </w:rPr>
        <w:t>Bullock, K. and Johnson, P. (2018) ‘Police engagement with Muslim communities: breaking out, breaking in, and breaking through’, </w:t>
      </w:r>
      <w:r w:rsidRPr="00E03CBC">
        <w:rPr>
          <w:rFonts w:ascii="Calibri" w:hAnsi="Calibri" w:cs="Calibri"/>
          <w:i/>
          <w:iCs/>
          <w:color w:val="333333"/>
          <w:sz w:val="20"/>
          <w:szCs w:val="20"/>
          <w:shd w:val="clear" w:color="auto" w:fill="FFFFFF"/>
        </w:rPr>
        <w:t>Policing and Society</w:t>
      </w:r>
      <w:r w:rsidRPr="00E03CBC">
        <w:rPr>
          <w:rFonts w:ascii="Calibri" w:hAnsi="Calibri" w:cs="Calibri"/>
          <w:color w:val="333333"/>
          <w:sz w:val="20"/>
          <w:szCs w:val="20"/>
          <w:shd w:val="clear" w:color="auto" w:fill="FFFFFF"/>
        </w:rPr>
        <w:t>, 28(8), pp. 879–897. doi: 10.1080/10439463.2017.1339706.</w:t>
      </w:r>
    </w:p>
    <w:p w14:paraId="37D6779E" w14:textId="77777777" w:rsidR="00A94869" w:rsidRPr="00E03CBC" w:rsidRDefault="00A94869" w:rsidP="00DC3497">
      <w:pPr>
        <w:pStyle w:val="ListParagraph"/>
        <w:numPr>
          <w:ilvl w:val="0"/>
          <w:numId w:val="4"/>
        </w:numPr>
        <w:rPr>
          <w:rFonts w:ascii="Calibri" w:hAnsi="Calibri" w:cs="Calibri"/>
          <w:sz w:val="20"/>
          <w:szCs w:val="20"/>
        </w:rPr>
      </w:pPr>
      <w:r w:rsidRPr="00E03CBC">
        <w:rPr>
          <w:rFonts w:ascii="Calibri" w:hAnsi="Calibri" w:cs="Calibri"/>
          <w:color w:val="000000"/>
          <w:sz w:val="20"/>
          <w:szCs w:val="20"/>
          <w:shd w:val="clear" w:color="auto" w:fill="FFFFFF"/>
        </w:rPr>
        <w:t>Chris Wood. (2020). </w:t>
      </w:r>
      <w:r w:rsidRPr="00E03CBC">
        <w:rPr>
          <w:rFonts w:ascii="Calibri" w:hAnsi="Calibri" w:cs="Calibri"/>
          <w:i/>
          <w:iCs/>
          <w:color w:val="000000"/>
          <w:sz w:val="20"/>
          <w:szCs w:val="20"/>
        </w:rPr>
        <w:t>Police Diversity: Why join a force of people you mistrust?</w:t>
      </w:r>
      <w:r w:rsidRPr="00E03CBC">
        <w:rPr>
          <w:rFonts w:ascii="Calibri" w:hAnsi="Calibri" w:cs="Calibri"/>
          <w:color w:val="000000"/>
          <w:sz w:val="20"/>
          <w:szCs w:val="20"/>
          <w:shd w:val="clear" w:color="auto" w:fill="FFFFFF"/>
        </w:rPr>
        <w:t>. [Online]. BBC News. Last Updated: 23 August 2020. Available at: https://www.bbc.co.uk/news/uk-wales-53836048 [Accessed 9 April 2024].</w:t>
      </w:r>
    </w:p>
    <w:p w14:paraId="39B7BA98" w14:textId="77777777" w:rsidR="00A94869" w:rsidRPr="00E03CBC" w:rsidRDefault="00A94869" w:rsidP="00DC3497">
      <w:pPr>
        <w:pStyle w:val="ListParagraph"/>
        <w:numPr>
          <w:ilvl w:val="0"/>
          <w:numId w:val="4"/>
        </w:numPr>
        <w:rPr>
          <w:rFonts w:ascii="Calibri" w:hAnsi="Calibri" w:cs="Calibri"/>
          <w:sz w:val="20"/>
          <w:szCs w:val="20"/>
        </w:rPr>
      </w:pPr>
      <w:r w:rsidRPr="00E03CBC">
        <w:rPr>
          <w:rFonts w:ascii="Calibri" w:hAnsi="Calibri" w:cs="Calibri"/>
          <w:color w:val="000000"/>
          <w:sz w:val="20"/>
          <w:szCs w:val="20"/>
          <w:shd w:val="clear" w:color="auto" w:fill="FFFFFF"/>
        </w:rPr>
        <w:t>Chris Wood. (2020). </w:t>
      </w:r>
      <w:r w:rsidRPr="00E03CBC">
        <w:rPr>
          <w:rFonts w:ascii="Calibri" w:hAnsi="Calibri" w:cs="Calibri"/>
          <w:i/>
          <w:iCs/>
          <w:color w:val="000000"/>
          <w:sz w:val="20"/>
          <w:szCs w:val="20"/>
        </w:rPr>
        <w:t>Police Diversity: Why join a force of people you mistrust?</w:t>
      </w:r>
      <w:r w:rsidRPr="00E03CBC">
        <w:rPr>
          <w:rFonts w:ascii="Calibri" w:hAnsi="Calibri" w:cs="Calibri"/>
          <w:color w:val="000000"/>
          <w:sz w:val="20"/>
          <w:szCs w:val="20"/>
          <w:shd w:val="clear" w:color="auto" w:fill="FFFFFF"/>
        </w:rPr>
        <w:t>. [Online]. BBC News. Last Updated: 23 August 2020. Available at: https://www.bbc.co.uk/news/uk-wales-53836048 [Accessed 9 April 2024].</w:t>
      </w:r>
    </w:p>
    <w:p w14:paraId="587E3D06" w14:textId="77777777" w:rsidR="00A94869" w:rsidRPr="00E03CBC" w:rsidRDefault="00A94869" w:rsidP="00DC3497">
      <w:pPr>
        <w:pStyle w:val="ListParagraph"/>
        <w:numPr>
          <w:ilvl w:val="0"/>
          <w:numId w:val="4"/>
        </w:numPr>
        <w:rPr>
          <w:rFonts w:ascii="Calibri" w:hAnsi="Calibri" w:cs="Calibri"/>
          <w:sz w:val="20"/>
          <w:szCs w:val="20"/>
        </w:rPr>
      </w:pPr>
      <w:r w:rsidRPr="00E03CBC">
        <w:rPr>
          <w:rFonts w:ascii="Calibri" w:hAnsi="Calibri" w:cs="Calibri"/>
          <w:color w:val="333333"/>
          <w:sz w:val="20"/>
          <w:szCs w:val="20"/>
          <w:shd w:val="clear" w:color="auto" w:fill="FFFFFF"/>
        </w:rPr>
        <w:t>Citizens UK. 2016. Citizens commission on Islam, participation &amp; public life. Available from: </w:t>
      </w:r>
      <w:hyperlink r:id="rId8" w:tgtFrame="_blank" w:history="1">
        <w:r w:rsidRPr="00E03CBC">
          <w:rPr>
            <w:rStyle w:val="Hyperlink"/>
            <w:rFonts w:ascii="Calibri" w:hAnsi="Calibri" w:cs="Calibri"/>
            <w:color w:val="10147E"/>
            <w:sz w:val="20"/>
            <w:szCs w:val="20"/>
            <w:shd w:val="clear" w:color="auto" w:fill="FFFFFF"/>
          </w:rPr>
          <w:t>http://www.citizensuk.org/islam_public_life_commission</w:t>
        </w:r>
      </w:hyperlink>
      <w:r w:rsidRPr="00E03CBC">
        <w:rPr>
          <w:rFonts w:ascii="Calibri" w:hAnsi="Calibri" w:cs="Calibri"/>
          <w:sz w:val="20"/>
          <w:szCs w:val="20"/>
        </w:rPr>
        <w:t>. [Accessed 9</w:t>
      </w:r>
      <w:r w:rsidRPr="00E03CBC">
        <w:rPr>
          <w:rFonts w:ascii="Calibri" w:hAnsi="Calibri" w:cs="Calibri"/>
          <w:sz w:val="20"/>
          <w:szCs w:val="20"/>
          <w:vertAlign w:val="superscript"/>
        </w:rPr>
        <w:t xml:space="preserve"> </w:t>
      </w:r>
      <w:r w:rsidRPr="00E03CBC">
        <w:rPr>
          <w:rFonts w:ascii="Calibri" w:hAnsi="Calibri" w:cs="Calibri"/>
          <w:sz w:val="20"/>
          <w:szCs w:val="20"/>
        </w:rPr>
        <w:t>April 2024].</w:t>
      </w:r>
    </w:p>
    <w:p w14:paraId="7DF7E6EB" w14:textId="77777777" w:rsidR="00A94869" w:rsidRPr="00E03CBC" w:rsidRDefault="00A94869" w:rsidP="00E03CBC">
      <w:pPr>
        <w:pStyle w:val="ListParagraph"/>
        <w:numPr>
          <w:ilvl w:val="0"/>
          <w:numId w:val="4"/>
        </w:num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Claire Brader. (2020). </w:t>
      </w:r>
      <w:r w:rsidRPr="00E03CBC">
        <w:rPr>
          <w:rFonts w:ascii="Calibri" w:eastAsia="Times New Roman" w:hAnsi="Calibri" w:cs="Calibri"/>
          <w:i/>
          <w:iCs/>
          <w:sz w:val="20"/>
          <w:szCs w:val="20"/>
          <w:lang w:eastAsia="en-GB"/>
        </w:rPr>
        <w:t>Extremism in prisons: Are UK deradicalisation programmes working?</w:t>
      </w:r>
      <w:r w:rsidRPr="00E03CBC">
        <w:rPr>
          <w:rFonts w:ascii="Calibri" w:eastAsia="Times New Roman" w:hAnsi="Calibri" w:cs="Calibri"/>
          <w:sz w:val="20"/>
          <w:szCs w:val="20"/>
          <w:lang w:eastAsia="en-GB"/>
        </w:rPr>
        <w:t>. [Online]. UK Parliment. Last Updated: 11 June 2020. Available at: https://lordslibrary.parliament.uk/extremism-in-prisons-are-uk-deradicalisation-programmes-working/ [Accessed 6 November 2024].</w:t>
      </w:r>
    </w:p>
    <w:p w14:paraId="2A62BA1C" w14:textId="77777777" w:rsidR="00A94869" w:rsidRPr="00E03CBC" w:rsidRDefault="00A94869" w:rsidP="00E03CBC">
      <w:pPr>
        <w:pStyle w:val="ListParagraph"/>
        <w:numPr>
          <w:ilvl w:val="0"/>
          <w:numId w:val="4"/>
        </w:num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Colin P. Clarke. (2017). </w:t>
      </w:r>
      <w:r w:rsidRPr="00E03CBC">
        <w:rPr>
          <w:rFonts w:ascii="Calibri" w:eastAsia="Times New Roman" w:hAnsi="Calibri" w:cs="Calibri"/>
          <w:i/>
          <w:iCs/>
          <w:sz w:val="20"/>
          <w:szCs w:val="20"/>
          <w:lang w:eastAsia="en-GB"/>
        </w:rPr>
        <w:t>ISIS is so desperate, its turning to the drug trade</w:t>
      </w:r>
      <w:r w:rsidRPr="00E03CBC">
        <w:rPr>
          <w:rFonts w:ascii="Calibri" w:eastAsia="Times New Roman" w:hAnsi="Calibri" w:cs="Calibri"/>
          <w:sz w:val="20"/>
          <w:szCs w:val="20"/>
          <w:lang w:eastAsia="en-GB"/>
        </w:rPr>
        <w:t>. [Online]. RAND. Last Updated: 25 July 2017. Available at: https://www.rand.org/pubs/commentary/2017/07/isis-is-so-desperate-its-turning-to-the-drug-trade.html [Accessed 6 November 2024]</w:t>
      </w:r>
    </w:p>
    <w:p w14:paraId="288A9E03" w14:textId="77777777" w:rsidR="00A94869" w:rsidRPr="00E03CBC" w:rsidRDefault="00A94869" w:rsidP="00E03CBC">
      <w:pPr>
        <w:pStyle w:val="ListParagraph"/>
        <w:numPr>
          <w:ilvl w:val="0"/>
          <w:numId w:val="4"/>
        </w:num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Colin P. Clarke. (2017). </w:t>
      </w:r>
      <w:r w:rsidRPr="00E03CBC">
        <w:rPr>
          <w:rFonts w:ascii="Calibri" w:eastAsia="Times New Roman" w:hAnsi="Calibri" w:cs="Calibri"/>
          <w:i/>
          <w:iCs/>
          <w:sz w:val="20"/>
          <w:szCs w:val="20"/>
          <w:lang w:eastAsia="en-GB"/>
        </w:rPr>
        <w:t>ISIS is so desperate, its turning to the drug trade</w:t>
      </w:r>
      <w:r w:rsidRPr="00E03CBC">
        <w:rPr>
          <w:rFonts w:ascii="Calibri" w:eastAsia="Times New Roman" w:hAnsi="Calibri" w:cs="Calibri"/>
          <w:sz w:val="20"/>
          <w:szCs w:val="20"/>
          <w:lang w:eastAsia="en-GB"/>
        </w:rPr>
        <w:t>. [Online]. RAND. Last Updated: 25 July 2017. Available at: https://www.rand.org/pubs/commentary/2017/07/isis-is-so-desperate-its-turning-to-the-drug-trade.html [Accessed 6 November 2024]</w:t>
      </w:r>
    </w:p>
    <w:p w14:paraId="68DCAAC2" w14:textId="77777777" w:rsidR="00A94869" w:rsidRDefault="00A94869" w:rsidP="00E03CBC">
      <w:pPr>
        <w:pStyle w:val="ListParagraph"/>
        <w:numPr>
          <w:ilvl w:val="0"/>
          <w:numId w:val="4"/>
        </w:numPr>
        <w:tabs>
          <w:tab w:val="left" w:pos="2813"/>
        </w:tabs>
        <w:rPr>
          <w:rFonts w:ascii="Calibri" w:hAnsi="Calibri" w:cs="Calibri"/>
          <w:sz w:val="20"/>
          <w:szCs w:val="20"/>
        </w:rPr>
      </w:pPr>
      <w:r w:rsidRPr="006C5369">
        <w:rPr>
          <w:rFonts w:ascii="Calibri" w:hAnsi="Calibri" w:cs="Calibri"/>
          <w:sz w:val="20"/>
          <w:szCs w:val="20"/>
        </w:rPr>
        <w:t>Cox, Claudia. “Policing a Diverse Society: The Community Based Rationale for Multi-Agency Working.” </w:t>
      </w:r>
      <w:r w:rsidRPr="006C5369">
        <w:rPr>
          <w:rFonts w:ascii="Calibri" w:hAnsi="Calibri" w:cs="Calibri"/>
          <w:i/>
          <w:iCs/>
          <w:sz w:val="20"/>
          <w:szCs w:val="20"/>
        </w:rPr>
        <w:t>Multi-Agency Working in Criminal Justice 2e: Theory, Policy and Practice</w:t>
      </w:r>
      <w:r w:rsidRPr="006C5369">
        <w:rPr>
          <w:rFonts w:ascii="Calibri" w:hAnsi="Calibri" w:cs="Calibri"/>
          <w:sz w:val="20"/>
          <w:szCs w:val="20"/>
        </w:rPr>
        <w:t>, edited by Aaron Pycroft and Dennis Gough, REV-Revised, 2, Bristol University Press, 2019, pp. 105–20. </w:t>
      </w:r>
      <w:r w:rsidRPr="006C5369">
        <w:rPr>
          <w:rFonts w:ascii="Calibri" w:hAnsi="Calibri" w:cs="Calibri"/>
          <w:i/>
          <w:iCs/>
          <w:sz w:val="20"/>
          <w:szCs w:val="20"/>
        </w:rPr>
        <w:t>JSTOR</w:t>
      </w:r>
      <w:r w:rsidRPr="006C5369">
        <w:rPr>
          <w:rFonts w:ascii="Calibri" w:hAnsi="Calibri" w:cs="Calibri"/>
          <w:sz w:val="20"/>
          <w:szCs w:val="20"/>
        </w:rPr>
        <w:t>, https://doi.org/10.2307/j.ctvq4c0j8.12. Accessed 20 Nov. 2024.</w:t>
      </w:r>
    </w:p>
    <w:bookmarkEnd w:id="0"/>
    <w:p w14:paraId="748FD43A" w14:textId="77777777" w:rsidR="00A94869" w:rsidRPr="00E03CBC" w:rsidRDefault="00A94869" w:rsidP="00DC3497">
      <w:pPr>
        <w:pStyle w:val="ListParagraph"/>
        <w:numPr>
          <w:ilvl w:val="0"/>
          <w:numId w:val="4"/>
        </w:num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Gavin, H. (2021) ‘Acquisitive Crime’, in J.M. Brown and M.A.H. Horvath (eds.) </w:t>
      </w:r>
      <w:r w:rsidRPr="00E03CBC">
        <w:rPr>
          <w:rFonts w:ascii="Calibri" w:eastAsia="Times New Roman" w:hAnsi="Calibri" w:cs="Calibri"/>
          <w:i/>
          <w:iCs/>
          <w:sz w:val="20"/>
          <w:szCs w:val="20"/>
          <w:lang w:eastAsia="en-GB"/>
        </w:rPr>
        <w:t>The Cambridge Handbook of Forensic Psychology</w:t>
      </w:r>
      <w:r w:rsidRPr="00E03CBC">
        <w:rPr>
          <w:rFonts w:ascii="Calibri" w:eastAsia="Times New Roman" w:hAnsi="Calibri" w:cs="Calibri"/>
          <w:sz w:val="20"/>
          <w:szCs w:val="20"/>
          <w:lang w:eastAsia="en-GB"/>
        </w:rPr>
        <w:t xml:space="preserve">. Cambridge: Cambridge University Press (Cambridge Handbooks in Psychology), pp. 246–260. </w:t>
      </w:r>
    </w:p>
    <w:p w14:paraId="4CCDA9A9" w14:textId="77777777" w:rsidR="00A94869" w:rsidRPr="00E03CBC" w:rsidRDefault="00A94869" w:rsidP="00E03CBC">
      <w:pPr>
        <w:pStyle w:val="ListParagraph"/>
        <w:numPr>
          <w:ilvl w:val="0"/>
          <w:numId w:val="4"/>
        </w:num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Home office. (2015). </w:t>
      </w:r>
      <w:r w:rsidRPr="00E03CBC">
        <w:rPr>
          <w:rFonts w:ascii="Calibri" w:eastAsia="Times New Roman" w:hAnsi="Calibri" w:cs="Calibri"/>
          <w:i/>
          <w:iCs/>
          <w:sz w:val="20"/>
          <w:szCs w:val="20"/>
          <w:lang w:eastAsia="en-GB"/>
        </w:rPr>
        <w:t>Serious Crime Act 2015</w:t>
      </w:r>
      <w:r w:rsidRPr="00E03CBC">
        <w:rPr>
          <w:rFonts w:ascii="Calibri" w:eastAsia="Times New Roman" w:hAnsi="Calibri" w:cs="Calibri"/>
          <w:sz w:val="20"/>
          <w:szCs w:val="20"/>
          <w:lang w:eastAsia="en-GB"/>
        </w:rPr>
        <w:t>. [Online]. Gov.uk. Last Updated: March 2015. Available at: https://assets.publishing.service.gov.uk/government/uploads/system/uploads/attachment_data/file/4159 [Accessed 3 October 2024].</w:t>
      </w:r>
    </w:p>
    <w:p w14:paraId="08F28427" w14:textId="77777777" w:rsidR="00A94869" w:rsidRPr="00E03CBC" w:rsidRDefault="00A94869" w:rsidP="00DC3497">
      <w:pPr>
        <w:pStyle w:val="ListParagraph"/>
        <w:numPr>
          <w:ilvl w:val="0"/>
          <w:numId w:val="4"/>
        </w:num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Home Office. (2021). </w:t>
      </w:r>
      <w:r w:rsidRPr="00E03CBC">
        <w:rPr>
          <w:rFonts w:ascii="Calibri" w:eastAsia="Times New Roman" w:hAnsi="Calibri" w:cs="Calibri"/>
          <w:i/>
          <w:iCs/>
          <w:sz w:val="20"/>
          <w:szCs w:val="20"/>
          <w:lang w:eastAsia="en-GB"/>
        </w:rPr>
        <w:t>Covert Human Intelligence Sources Bill Factsheet</w:t>
      </w:r>
      <w:r w:rsidRPr="00E03CBC">
        <w:rPr>
          <w:rFonts w:ascii="Calibri" w:eastAsia="Times New Roman" w:hAnsi="Calibri" w:cs="Calibri"/>
          <w:sz w:val="20"/>
          <w:szCs w:val="20"/>
          <w:lang w:eastAsia="en-GB"/>
        </w:rPr>
        <w:t>. [Online]. GOV.uk. Last Updated: 11 January 2021. Available at: https://www.gov.uk/government/publications/covert-human-intelligence-sources-draft-code-of-practice/ [Accessed 6 November 2024].</w:t>
      </w:r>
    </w:p>
    <w:p w14:paraId="5AC471C8" w14:textId="77777777" w:rsidR="00A94869" w:rsidRPr="00E03CBC" w:rsidRDefault="00A94869" w:rsidP="00DC3497">
      <w:pPr>
        <w:pStyle w:val="ListParagraph"/>
        <w:numPr>
          <w:ilvl w:val="0"/>
          <w:numId w:val="4"/>
        </w:numPr>
        <w:rPr>
          <w:rFonts w:ascii="Calibri" w:hAnsi="Calibri" w:cs="Calibri"/>
          <w:sz w:val="20"/>
          <w:szCs w:val="20"/>
        </w:rPr>
      </w:pPr>
      <w:r w:rsidRPr="00E03CBC">
        <w:rPr>
          <w:rFonts w:ascii="Calibri" w:hAnsi="Calibri" w:cs="Calibri"/>
          <w:color w:val="333333"/>
          <w:sz w:val="20"/>
          <w:szCs w:val="20"/>
          <w:shd w:val="clear" w:color="auto" w:fill="FFFFFF"/>
        </w:rPr>
        <w:t>inham, A., and Lowndes, V., 2008. Religion, resources, and representation: three narratives of faith engagement in British urban governance. </w:t>
      </w:r>
      <w:r w:rsidRPr="00E03CBC">
        <w:rPr>
          <w:rStyle w:val="citationsource-journal"/>
          <w:rFonts w:ascii="Calibri" w:hAnsi="Calibri" w:cs="Calibri"/>
          <w:i/>
          <w:iCs/>
          <w:color w:val="333333"/>
          <w:sz w:val="20"/>
          <w:szCs w:val="20"/>
          <w:shd w:val="clear" w:color="auto" w:fill="FFFFFF"/>
        </w:rPr>
        <w:t>Urban Affairs Review</w:t>
      </w:r>
      <w:r w:rsidRPr="00E03CBC">
        <w:rPr>
          <w:rFonts w:ascii="Calibri" w:hAnsi="Calibri" w:cs="Calibri"/>
          <w:color w:val="333333"/>
          <w:sz w:val="20"/>
          <w:szCs w:val="20"/>
          <w:shd w:val="clear" w:color="auto" w:fill="FFFFFF"/>
        </w:rPr>
        <w:t>, </w:t>
      </w:r>
      <w:hyperlink r:id="rId9" w:tgtFrame="_blank" w:history="1">
        <w:r w:rsidRPr="00E03CBC">
          <w:rPr>
            <w:rStyle w:val="Hyperlink"/>
            <w:rFonts w:ascii="Calibri" w:hAnsi="Calibri" w:cs="Calibri"/>
            <w:color w:val="10147E"/>
            <w:sz w:val="20"/>
            <w:szCs w:val="20"/>
            <w:shd w:val="clear" w:color="auto" w:fill="FFFFFF"/>
          </w:rPr>
          <w:t>43</w:t>
        </w:r>
      </w:hyperlink>
      <w:r w:rsidRPr="00E03CBC">
        <w:rPr>
          <w:rFonts w:ascii="Calibri" w:hAnsi="Calibri" w:cs="Calibri"/>
          <w:color w:val="333333"/>
          <w:sz w:val="20"/>
          <w:szCs w:val="20"/>
          <w:shd w:val="clear" w:color="auto" w:fill="FFFFFF"/>
        </w:rPr>
        <w:t> (</w:t>
      </w:r>
      <w:hyperlink r:id="rId10" w:tgtFrame="_blank" w:history="1">
        <w:r w:rsidRPr="00E03CBC">
          <w:rPr>
            <w:rStyle w:val="Hyperlink"/>
            <w:rFonts w:ascii="Calibri" w:hAnsi="Calibri" w:cs="Calibri"/>
            <w:color w:val="10147E"/>
            <w:sz w:val="20"/>
            <w:szCs w:val="20"/>
            <w:shd w:val="clear" w:color="auto" w:fill="FFFFFF"/>
          </w:rPr>
          <w:t>6</w:t>
        </w:r>
      </w:hyperlink>
      <w:r w:rsidRPr="00E03CBC">
        <w:rPr>
          <w:rFonts w:ascii="Calibri" w:hAnsi="Calibri" w:cs="Calibri"/>
          <w:color w:val="333333"/>
          <w:sz w:val="20"/>
          <w:szCs w:val="20"/>
          <w:shd w:val="clear" w:color="auto" w:fill="FFFFFF"/>
        </w:rPr>
        <w:t>), 817–845. doi: 10.1177/1078087408314418</w:t>
      </w:r>
    </w:p>
    <w:p w14:paraId="3D4DE68A" w14:textId="77777777" w:rsidR="00A94869" w:rsidRDefault="00A94869" w:rsidP="00E03CBC">
      <w:pPr>
        <w:pStyle w:val="ListParagraph"/>
        <w:numPr>
          <w:ilvl w:val="0"/>
          <w:numId w:val="4"/>
        </w:numPr>
        <w:tabs>
          <w:tab w:val="left" w:pos="2813"/>
        </w:tabs>
        <w:rPr>
          <w:rFonts w:ascii="Calibri" w:hAnsi="Calibri" w:cs="Calibri"/>
          <w:sz w:val="20"/>
          <w:szCs w:val="20"/>
        </w:rPr>
      </w:pPr>
      <w:r w:rsidRPr="008F5C09">
        <w:rPr>
          <w:rFonts w:ascii="Calibri" w:hAnsi="Calibri" w:cs="Calibri"/>
          <w:sz w:val="20"/>
          <w:szCs w:val="20"/>
        </w:rPr>
        <w:lastRenderedPageBreak/>
        <w:t>IPCC (2016a) Police use of force: evidence from complaints, investigations and public perception, https://s16878.pcdn.co/wp-content/uploads/2016/03/IPCC_Use_ Of_Force_Report.pdf</w:t>
      </w:r>
    </w:p>
    <w:p w14:paraId="709210A6" w14:textId="77777777" w:rsidR="00A94869" w:rsidRDefault="00A94869" w:rsidP="00E03CBC">
      <w:pPr>
        <w:pStyle w:val="ListParagraph"/>
        <w:numPr>
          <w:ilvl w:val="0"/>
          <w:numId w:val="4"/>
        </w:numPr>
        <w:tabs>
          <w:tab w:val="left" w:pos="2813"/>
        </w:tabs>
        <w:rPr>
          <w:rFonts w:ascii="Calibri" w:hAnsi="Calibri" w:cs="Calibri"/>
          <w:sz w:val="20"/>
          <w:szCs w:val="20"/>
        </w:rPr>
      </w:pPr>
      <w:r w:rsidRPr="008F5C09">
        <w:rPr>
          <w:rFonts w:ascii="Calibri" w:hAnsi="Calibri" w:cs="Calibri"/>
          <w:sz w:val="20"/>
          <w:szCs w:val="20"/>
        </w:rPr>
        <w:t>IPCC (2016b) Public Confidence in the Police Complaints System, www. policeconduct.gov.uk/sites/default/files/Documents/statistics/IPCC_Public_ Confidence_Survey_2016.pd</w:t>
      </w:r>
      <w:r>
        <w:rPr>
          <w:rFonts w:ascii="Calibri" w:hAnsi="Calibri" w:cs="Calibri"/>
          <w:sz w:val="20"/>
          <w:szCs w:val="20"/>
        </w:rPr>
        <w:t>f</w:t>
      </w:r>
    </w:p>
    <w:p w14:paraId="2E95AC50" w14:textId="77777777" w:rsidR="00A94869" w:rsidRPr="006C5369" w:rsidRDefault="00A94869" w:rsidP="00E03CBC">
      <w:pPr>
        <w:pStyle w:val="ListParagraph"/>
        <w:numPr>
          <w:ilvl w:val="0"/>
          <w:numId w:val="4"/>
        </w:numPr>
        <w:tabs>
          <w:tab w:val="left" w:pos="2813"/>
        </w:tabs>
        <w:rPr>
          <w:rStyle w:val="doilink"/>
          <w:rFonts w:ascii="Calibri" w:hAnsi="Calibri" w:cs="Calibri"/>
          <w:sz w:val="20"/>
          <w:szCs w:val="20"/>
        </w:rPr>
      </w:pPr>
      <w:r w:rsidRPr="008F5C09">
        <w:rPr>
          <w:rFonts w:ascii="Calibri" w:hAnsi="Calibri" w:cs="Calibri"/>
          <w:sz w:val="20"/>
          <w:szCs w:val="20"/>
        </w:rPr>
        <w:t>Ipsos MORI (2016) Public views of policing in England and Wales, www.ipsos.com/ sites/default/files/migrations/en-uk/files/Assets/Docs/Publications/sri-public</w:t>
      </w:r>
      <w:r w:rsidRPr="008F5C09">
        <w:rPr>
          <w:rFonts w:ascii="Calibri" w:hAnsi="Calibri" w:cs="Calibri"/>
          <w:sz w:val="20"/>
          <w:szCs w:val="20"/>
        </w:rPr>
        <w:t>views-of-policing-in-england-and-wales.pd</w:t>
      </w:r>
      <w:r>
        <w:rPr>
          <w:rFonts w:ascii="Calibri" w:hAnsi="Calibri" w:cs="Calibri"/>
          <w:sz w:val="20"/>
          <w:szCs w:val="20"/>
        </w:rPr>
        <w:t>f</w:t>
      </w:r>
    </w:p>
    <w:p w14:paraId="3F004437" w14:textId="77777777" w:rsidR="00A94869" w:rsidRPr="00E03CBC" w:rsidRDefault="00A94869" w:rsidP="00DC3497">
      <w:pPr>
        <w:pStyle w:val="ListParagraph"/>
        <w:numPr>
          <w:ilvl w:val="0"/>
          <w:numId w:val="4"/>
        </w:numPr>
        <w:tabs>
          <w:tab w:val="left" w:pos="2813"/>
        </w:tabs>
        <w:rPr>
          <w:rStyle w:val="doilink"/>
          <w:rFonts w:ascii="Calibri" w:hAnsi="Calibri" w:cs="Calibri"/>
          <w:sz w:val="20"/>
          <w:szCs w:val="20"/>
        </w:rPr>
      </w:pPr>
      <w:r w:rsidRPr="00E03CBC">
        <w:rPr>
          <w:rStyle w:val="authorname"/>
          <w:rFonts w:ascii="Calibri" w:hAnsi="Calibri" w:cs="Calibri"/>
          <w:color w:val="333333"/>
          <w:sz w:val="20"/>
          <w:szCs w:val="20"/>
          <w:shd w:val="clear" w:color="auto" w:fill="FFFFFF"/>
        </w:rPr>
        <w:t>Karen</w:t>
      </w:r>
      <w:r w:rsidRPr="00E03CBC">
        <w:rPr>
          <w:rStyle w:val="separator"/>
          <w:rFonts w:ascii="Calibri" w:hAnsi="Calibri" w:cs="Calibri"/>
          <w:color w:val="333333"/>
          <w:sz w:val="20"/>
          <w:szCs w:val="20"/>
          <w:shd w:val="clear" w:color="auto" w:fill="FFFFFF"/>
        </w:rPr>
        <w:t> </w:t>
      </w:r>
      <w:r w:rsidRPr="00E03CBC">
        <w:rPr>
          <w:rStyle w:val="authorname"/>
          <w:rFonts w:ascii="Calibri" w:hAnsi="Calibri" w:cs="Calibri"/>
          <w:color w:val="333333"/>
          <w:sz w:val="20"/>
          <w:szCs w:val="20"/>
          <w:shd w:val="clear" w:color="auto" w:fill="FFFFFF"/>
        </w:rPr>
        <w:t>Bullock</w:t>
      </w:r>
      <w:r w:rsidRPr="00E03CBC">
        <w:rPr>
          <w:rStyle w:val="separator"/>
          <w:rFonts w:ascii="Calibri" w:hAnsi="Calibri" w:cs="Calibri"/>
          <w:color w:val="333333"/>
          <w:sz w:val="20"/>
          <w:szCs w:val="20"/>
          <w:shd w:val="clear" w:color="auto" w:fill="FFFFFF"/>
        </w:rPr>
        <w:t> &amp; </w:t>
      </w:r>
      <w:r w:rsidRPr="00E03CBC">
        <w:rPr>
          <w:rStyle w:val="authorname"/>
          <w:rFonts w:ascii="Calibri" w:hAnsi="Calibri" w:cs="Calibri"/>
          <w:color w:val="333333"/>
          <w:sz w:val="20"/>
          <w:szCs w:val="20"/>
          <w:shd w:val="clear" w:color="auto" w:fill="FFFFFF"/>
        </w:rPr>
        <w:t>Paul</w:t>
      </w:r>
      <w:r w:rsidRPr="00E03CBC">
        <w:rPr>
          <w:rStyle w:val="separator"/>
          <w:rFonts w:ascii="Calibri" w:hAnsi="Calibri" w:cs="Calibri"/>
          <w:color w:val="333333"/>
          <w:sz w:val="20"/>
          <w:szCs w:val="20"/>
          <w:shd w:val="clear" w:color="auto" w:fill="FFFFFF"/>
        </w:rPr>
        <w:t> </w:t>
      </w:r>
      <w:r w:rsidRPr="00E03CBC">
        <w:rPr>
          <w:rStyle w:val="authorname"/>
          <w:rFonts w:ascii="Calibri" w:hAnsi="Calibri" w:cs="Calibri"/>
          <w:color w:val="333333"/>
          <w:sz w:val="20"/>
          <w:szCs w:val="20"/>
          <w:shd w:val="clear" w:color="auto" w:fill="FFFFFF"/>
        </w:rPr>
        <w:t>Johnson</w:t>
      </w:r>
      <w:r w:rsidRPr="00E03CBC">
        <w:rPr>
          <w:rFonts w:ascii="Calibri" w:hAnsi="Calibri" w:cs="Calibri"/>
          <w:color w:val="333333"/>
          <w:sz w:val="20"/>
          <w:szCs w:val="20"/>
          <w:shd w:val="clear" w:color="auto" w:fill="FFFFFF"/>
        </w:rPr>
        <w:t> </w:t>
      </w:r>
      <w:r w:rsidRPr="00E03CBC">
        <w:rPr>
          <w:rStyle w:val="Date1"/>
          <w:rFonts w:ascii="Calibri" w:hAnsi="Calibri" w:cs="Calibri"/>
          <w:color w:val="333333"/>
          <w:sz w:val="20"/>
          <w:szCs w:val="20"/>
          <w:shd w:val="clear" w:color="auto" w:fill="FFFFFF"/>
        </w:rPr>
        <w:t>(2018)</w:t>
      </w:r>
      <w:r w:rsidRPr="00E03CBC">
        <w:rPr>
          <w:rFonts w:ascii="Calibri" w:hAnsi="Calibri" w:cs="Calibri"/>
          <w:color w:val="333333"/>
          <w:sz w:val="20"/>
          <w:szCs w:val="20"/>
          <w:shd w:val="clear" w:color="auto" w:fill="FFFFFF"/>
        </w:rPr>
        <w:t> </w:t>
      </w:r>
      <w:r w:rsidRPr="00E03CBC">
        <w:rPr>
          <w:rStyle w:val="arttitle"/>
          <w:rFonts w:ascii="Calibri" w:hAnsi="Calibri" w:cs="Calibri"/>
          <w:color w:val="333333"/>
          <w:sz w:val="20"/>
          <w:szCs w:val="20"/>
          <w:shd w:val="clear" w:color="auto" w:fill="FFFFFF"/>
        </w:rPr>
        <w:t>Police engagement with Muslim communities: breaking out, breaking in, and breaking through,</w:t>
      </w:r>
      <w:r w:rsidRPr="00E03CBC">
        <w:rPr>
          <w:rFonts w:ascii="Calibri" w:hAnsi="Calibri" w:cs="Calibri"/>
          <w:color w:val="333333"/>
          <w:sz w:val="20"/>
          <w:szCs w:val="20"/>
          <w:shd w:val="clear" w:color="auto" w:fill="FFFFFF"/>
        </w:rPr>
        <w:t> </w:t>
      </w:r>
      <w:r w:rsidRPr="00E03CBC">
        <w:rPr>
          <w:rStyle w:val="serialtitle"/>
          <w:rFonts w:ascii="Calibri" w:hAnsi="Calibri" w:cs="Calibri"/>
          <w:color w:val="333333"/>
          <w:sz w:val="20"/>
          <w:szCs w:val="20"/>
          <w:shd w:val="clear" w:color="auto" w:fill="FFFFFF"/>
        </w:rPr>
        <w:t>Policing and Society,</w:t>
      </w:r>
      <w:r w:rsidRPr="00E03CBC">
        <w:rPr>
          <w:rFonts w:ascii="Calibri" w:hAnsi="Calibri" w:cs="Calibri"/>
          <w:color w:val="333333"/>
          <w:sz w:val="20"/>
          <w:szCs w:val="20"/>
          <w:shd w:val="clear" w:color="auto" w:fill="FFFFFF"/>
        </w:rPr>
        <w:t> </w:t>
      </w:r>
      <w:r w:rsidRPr="00E03CBC">
        <w:rPr>
          <w:rStyle w:val="volumeissue"/>
          <w:rFonts w:ascii="Calibri" w:hAnsi="Calibri" w:cs="Calibri"/>
          <w:color w:val="333333"/>
          <w:sz w:val="20"/>
          <w:szCs w:val="20"/>
          <w:shd w:val="clear" w:color="auto" w:fill="FFFFFF"/>
        </w:rPr>
        <w:t>28:8,</w:t>
      </w:r>
      <w:r w:rsidRPr="00E03CBC">
        <w:rPr>
          <w:rFonts w:ascii="Calibri" w:hAnsi="Calibri" w:cs="Calibri"/>
          <w:color w:val="333333"/>
          <w:sz w:val="20"/>
          <w:szCs w:val="20"/>
          <w:shd w:val="clear" w:color="auto" w:fill="FFFFFF"/>
        </w:rPr>
        <w:t> </w:t>
      </w:r>
      <w:r w:rsidRPr="00E03CBC">
        <w:rPr>
          <w:rStyle w:val="pagerange"/>
          <w:rFonts w:ascii="Calibri" w:hAnsi="Calibri" w:cs="Calibri"/>
          <w:color w:val="333333"/>
          <w:sz w:val="20"/>
          <w:szCs w:val="20"/>
          <w:shd w:val="clear" w:color="auto" w:fill="FFFFFF"/>
        </w:rPr>
        <w:t>879-897,</w:t>
      </w:r>
      <w:r w:rsidRPr="00E03CBC">
        <w:rPr>
          <w:rFonts w:ascii="Calibri" w:hAnsi="Calibri" w:cs="Calibri"/>
          <w:color w:val="333333"/>
          <w:sz w:val="20"/>
          <w:szCs w:val="20"/>
          <w:shd w:val="clear" w:color="auto" w:fill="FFFFFF"/>
        </w:rPr>
        <w:t> </w:t>
      </w:r>
      <w:r w:rsidRPr="00E03CBC">
        <w:rPr>
          <w:rStyle w:val="doilink"/>
          <w:rFonts w:ascii="Calibri" w:hAnsi="Calibri" w:cs="Calibri"/>
          <w:color w:val="333333"/>
          <w:sz w:val="20"/>
          <w:szCs w:val="20"/>
          <w:shd w:val="clear" w:color="auto" w:fill="FFFFFF"/>
        </w:rPr>
        <w:t>DOI: </w:t>
      </w:r>
      <w:hyperlink r:id="rId11" w:history="1">
        <w:r w:rsidRPr="00E03CBC">
          <w:rPr>
            <w:rStyle w:val="Hyperlink"/>
            <w:rFonts w:ascii="Calibri" w:hAnsi="Calibri" w:cs="Calibri"/>
            <w:color w:val="333333"/>
            <w:sz w:val="20"/>
            <w:szCs w:val="20"/>
            <w:shd w:val="clear" w:color="auto" w:fill="FFFFFF"/>
          </w:rPr>
          <w:t>10.1080/10439463.2017.1339706</w:t>
        </w:r>
      </w:hyperlink>
    </w:p>
    <w:p w14:paraId="0845D2F1" w14:textId="77777777" w:rsidR="00A94869" w:rsidRPr="00E03CBC" w:rsidRDefault="00A94869" w:rsidP="00DC3497">
      <w:pPr>
        <w:pStyle w:val="ListParagraph"/>
        <w:numPr>
          <w:ilvl w:val="0"/>
          <w:numId w:val="4"/>
        </w:numPr>
        <w:tabs>
          <w:tab w:val="left" w:pos="2813"/>
        </w:tabs>
        <w:rPr>
          <w:rFonts w:ascii="Calibri" w:hAnsi="Calibri" w:cs="Calibri"/>
          <w:sz w:val="20"/>
          <w:szCs w:val="20"/>
        </w:rPr>
      </w:pPr>
      <w:r w:rsidRPr="00E03CBC">
        <w:rPr>
          <w:rFonts w:ascii="Calibri" w:hAnsi="Calibri" w:cs="Calibri"/>
          <w:color w:val="000000"/>
          <w:sz w:val="20"/>
          <w:szCs w:val="20"/>
          <w:shd w:val="clear" w:color="auto" w:fill="FFFFFF"/>
        </w:rPr>
        <w:t>Mariyam Suleman Anees. (2022). ‘Honor Killings’ Continue Unabated in Pakistan. </w:t>
      </w:r>
      <w:r w:rsidRPr="00E03CBC">
        <w:rPr>
          <w:rFonts w:ascii="Calibri" w:hAnsi="Calibri" w:cs="Calibri"/>
          <w:i/>
          <w:iCs/>
          <w:color w:val="000000"/>
          <w:sz w:val="20"/>
          <w:szCs w:val="20"/>
        </w:rPr>
        <w:t>The Diplomat</w:t>
      </w:r>
      <w:r w:rsidRPr="00E03CBC">
        <w:rPr>
          <w:rFonts w:ascii="Calibri" w:hAnsi="Calibri" w:cs="Calibri"/>
          <w:color w:val="000000"/>
          <w:sz w:val="20"/>
          <w:szCs w:val="20"/>
          <w:shd w:val="clear" w:color="auto" w:fill="FFFFFF"/>
        </w:rPr>
        <w:t>. [Online]. 28 July 2022. Available at https://thediplomat.com/2022/07/honor-killings-continue-unabated-in-pakistan/ [Accessed 7 April 2024].</w:t>
      </w:r>
    </w:p>
    <w:p w14:paraId="79BA1CAC" w14:textId="77777777" w:rsidR="00A94869" w:rsidRPr="00E03CBC" w:rsidRDefault="00A94869" w:rsidP="00DC3497">
      <w:pPr>
        <w:pStyle w:val="ListParagraph"/>
        <w:numPr>
          <w:ilvl w:val="0"/>
          <w:numId w:val="4"/>
        </w:numPr>
        <w:tabs>
          <w:tab w:val="left" w:pos="2813"/>
        </w:tabs>
        <w:rPr>
          <w:rFonts w:ascii="Calibri" w:hAnsi="Calibri" w:cs="Calibri"/>
          <w:sz w:val="20"/>
          <w:szCs w:val="20"/>
        </w:rPr>
      </w:pPr>
      <w:r w:rsidRPr="00E03CBC">
        <w:rPr>
          <w:rFonts w:ascii="Calibri" w:hAnsi="Calibri" w:cs="Calibri"/>
          <w:color w:val="000000"/>
          <w:sz w:val="20"/>
          <w:szCs w:val="20"/>
          <w:shd w:val="clear" w:color="auto" w:fill="FFFFFF"/>
        </w:rPr>
        <w:t>Martin Innes, Colin Roberts, Helen Innes, Trudy Lowe. (2020). </w:t>
      </w:r>
      <w:r w:rsidRPr="00E03CBC">
        <w:rPr>
          <w:rFonts w:ascii="Calibri" w:hAnsi="Calibri" w:cs="Calibri"/>
          <w:i/>
          <w:iCs/>
          <w:color w:val="000000"/>
          <w:sz w:val="20"/>
          <w:szCs w:val="20"/>
        </w:rPr>
        <w:t>Neighbourhood Policing: The Rise and Fall of a Policing Model</w:t>
      </w:r>
      <w:r w:rsidRPr="00E03CBC">
        <w:rPr>
          <w:rFonts w:ascii="Calibri" w:hAnsi="Calibri" w:cs="Calibri"/>
          <w:color w:val="000000"/>
          <w:sz w:val="20"/>
          <w:szCs w:val="20"/>
          <w:shd w:val="clear" w:color="auto" w:fill="FFFFFF"/>
        </w:rPr>
        <w:t>. [Online]. Oxford University Press. Available at: https://books.google.co.uk/books?id=fp7gDwAAQBAJ&amp;lpg=PP1&amp;ots=K04vBl5YLL&amp;dq=Neighbourhood%20policing%20%3A%20the%20rise%2 [Accessed 6 April 2024].</w:t>
      </w:r>
    </w:p>
    <w:p w14:paraId="73EAEA5E" w14:textId="77777777" w:rsidR="00A94869" w:rsidRPr="00E03CBC" w:rsidRDefault="00A94869" w:rsidP="00DC3497">
      <w:pPr>
        <w:pStyle w:val="ListParagraph"/>
        <w:numPr>
          <w:ilvl w:val="0"/>
          <w:numId w:val="4"/>
        </w:numPr>
        <w:tabs>
          <w:tab w:val="left" w:pos="2813"/>
        </w:tabs>
        <w:rPr>
          <w:rFonts w:ascii="Calibri" w:hAnsi="Calibri" w:cs="Calibri"/>
          <w:sz w:val="20"/>
          <w:szCs w:val="20"/>
        </w:rPr>
      </w:pPr>
      <w:r w:rsidRPr="00E03CBC">
        <w:rPr>
          <w:rFonts w:ascii="Calibri" w:hAnsi="Calibri" w:cs="Calibri"/>
          <w:color w:val="000000"/>
          <w:sz w:val="20"/>
          <w:szCs w:val="20"/>
          <w:shd w:val="clear" w:color="auto" w:fill="FFFFFF"/>
        </w:rPr>
        <w:t>Martin Innes, Colin Roberts, Helen Innes, Trudy Lowe. (2020). </w:t>
      </w:r>
      <w:r w:rsidRPr="00E03CBC">
        <w:rPr>
          <w:rFonts w:ascii="Calibri" w:hAnsi="Calibri" w:cs="Calibri"/>
          <w:i/>
          <w:iCs/>
          <w:color w:val="000000"/>
          <w:sz w:val="20"/>
          <w:szCs w:val="20"/>
        </w:rPr>
        <w:t>Neighbourhood Policing: The Rise and Fall of a Policing Model</w:t>
      </w:r>
      <w:r w:rsidRPr="00E03CBC">
        <w:rPr>
          <w:rFonts w:ascii="Calibri" w:hAnsi="Calibri" w:cs="Calibri"/>
          <w:color w:val="000000"/>
          <w:sz w:val="20"/>
          <w:szCs w:val="20"/>
          <w:shd w:val="clear" w:color="auto" w:fill="FFFFFF"/>
        </w:rPr>
        <w:t>. [Online]. Oxford University Press. Available at: https://books.google.co.uk/books?id=fp7gDwAAQBAJ&amp;lpg=PP1&amp;ots=K04vBl5YLL&amp;dq=Neighbourhood%20policing%20%3A%20the%20rise%2 [Accessed 6 April 2024].</w:t>
      </w:r>
    </w:p>
    <w:p w14:paraId="162E09F8" w14:textId="77777777" w:rsidR="00A94869" w:rsidRPr="00E03CBC" w:rsidRDefault="00A94869" w:rsidP="00DC3497">
      <w:pPr>
        <w:pStyle w:val="ListParagraph"/>
        <w:numPr>
          <w:ilvl w:val="0"/>
          <w:numId w:val="4"/>
        </w:numPr>
        <w:tabs>
          <w:tab w:val="left" w:pos="2813"/>
        </w:tabs>
        <w:rPr>
          <w:rFonts w:ascii="Calibri" w:hAnsi="Calibri" w:cs="Calibri"/>
          <w:sz w:val="20"/>
          <w:szCs w:val="20"/>
        </w:rPr>
      </w:pPr>
      <w:r w:rsidRPr="00E03CBC">
        <w:rPr>
          <w:rFonts w:ascii="Calibri" w:hAnsi="Calibri" w:cs="Calibri"/>
          <w:color w:val="000000"/>
          <w:sz w:val="20"/>
          <w:szCs w:val="20"/>
          <w:shd w:val="clear" w:color="auto" w:fill="FFFFFF"/>
        </w:rPr>
        <w:t>NPCC. (2011). </w:t>
      </w:r>
      <w:r w:rsidRPr="00E03CBC">
        <w:rPr>
          <w:rFonts w:ascii="Calibri" w:hAnsi="Calibri" w:cs="Calibri"/>
          <w:i/>
          <w:iCs/>
          <w:color w:val="000000"/>
          <w:sz w:val="20"/>
          <w:szCs w:val="20"/>
        </w:rPr>
        <w:t>New research shows Muslim communities welcome engagement</w:t>
      </w:r>
      <w:r w:rsidRPr="00E03CBC">
        <w:rPr>
          <w:rFonts w:ascii="Calibri" w:hAnsi="Calibri" w:cs="Calibri"/>
          <w:color w:val="000000"/>
          <w:sz w:val="20"/>
          <w:szCs w:val="20"/>
          <w:shd w:val="clear" w:color="auto" w:fill="FFFFFF"/>
        </w:rPr>
        <w:t>. [Online]. NPCC. Last Updated: April 2011. Available at: https://news.npcc.police.uk/releases/new-research-indicates-muslim-communities-welcome-engagement [Accessed 19 March 2024].</w:t>
      </w:r>
    </w:p>
    <w:p w14:paraId="7F411F45" w14:textId="77777777" w:rsidR="00A94869" w:rsidRPr="00E03CBC" w:rsidRDefault="00A94869" w:rsidP="00DC3497">
      <w:pPr>
        <w:pStyle w:val="ListParagraph"/>
        <w:numPr>
          <w:ilvl w:val="0"/>
          <w:numId w:val="4"/>
        </w:numPr>
        <w:rPr>
          <w:rFonts w:ascii="Calibri" w:hAnsi="Calibri" w:cs="Calibri"/>
          <w:sz w:val="20"/>
          <w:szCs w:val="20"/>
        </w:rPr>
      </w:pPr>
      <w:r w:rsidRPr="00E03CBC">
        <w:rPr>
          <w:rFonts w:ascii="Calibri" w:hAnsi="Calibri" w:cs="Calibri"/>
          <w:color w:val="333333"/>
          <w:sz w:val="20"/>
          <w:szCs w:val="20"/>
          <w:shd w:val="clear" w:color="auto" w:fill="FFFFFF"/>
        </w:rPr>
        <w:t>O’Toole, T., DeHana, D., Modood, T., Meer, N., and Jones, S., 2013. </w:t>
      </w:r>
      <w:r w:rsidRPr="00E03CBC">
        <w:rPr>
          <w:rStyle w:val="citationsource-book"/>
          <w:rFonts w:ascii="Calibri" w:hAnsi="Calibri" w:cs="Calibri"/>
          <w:i/>
          <w:iCs/>
          <w:color w:val="333333"/>
          <w:sz w:val="20"/>
          <w:szCs w:val="20"/>
          <w:shd w:val="clear" w:color="auto" w:fill="FFFFFF"/>
        </w:rPr>
        <w:t>Taking part: Muslim participation in contemporary governance report</w:t>
      </w:r>
      <w:r w:rsidRPr="00E03CBC">
        <w:rPr>
          <w:rFonts w:ascii="Calibri" w:hAnsi="Calibri" w:cs="Calibri"/>
          <w:color w:val="333333"/>
          <w:sz w:val="20"/>
          <w:szCs w:val="20"/>
          <w:shd w:val="clear" w:color="auto" w:fill="FFFFFF"/>
        </w:rPr>
        <w:t>. Bristol: University of Bristol. Available from: </w:t>
      </w:r>
      <w:hyperlink r:id="rId12" w:tgtFrame="_blank" w:history="1">
        <w:r w:rsidRPr="00E03CBC">
          <w:rPr>
            <w:rStyle w:val="Hyperlink"/>
            <w:rFonts w:ascii="Calibri" w:hAnsi="Calibri" w:cs="Calibri"/>
            <w:color w:val="10147E"/>
            <w:sz w:val="20"/>
            <w:szCs w:val="20"/>
            <w:shd w:val="clear" w:color="auto" w:fill="FFFFFF"/>
          </w:rPr>
          <w:t>http://www.bristol.ac.uk/media-library/sites/ethnicity/migrated/documents/mpcgreport.pdf</w:t>
        </w:r>
      </w:hyperlink>
      <w:r w:rsidRPr="00E03CBC">
        <w:rPr>
          <w:rFonts w:ascii="Calibri" w:hAnsi="Calibri" w:cs="Calibri"/>
          <w:color w:val="333333"/>
          <w:sz w:val="20"/>
          <w:szCs w:val="20"/>
          <w:shd w:val="clear" w:color="auto" w:fill="FFFFFF"/>
        </w:rPr>
        <w:t> [Accessed 9 April 2024].</w:t>
      </w:r>
    </w:p>
    <w:p w14:paraId="00599268" w14:textId="77777777" w:rsidR="00A94869" w:rsidRPr="00E03CBC" w:rsidRDefault="00A94869" w:rsidP="00DC3497">
      <w:pPr>
        <w:pStyle w:val="ListParagraph"/>
        <w:numPr>
          <w:ilvl w:val="0"/>
          <w:numId w:val="4"/>
        </w:numPr>
        <w:tabs>
          <w:tab w:val="left" w:pos="2813"/>
        </w:tabs>
        <w:rPr>
          <w:rFonts w:ascii="Calibri" w:hAnsi="Calibri" w:cs="Calibri"/>
          <w:sz w:val="20"/>
          <w:szCs w:val="20"/>
        </w:rPr>
      </w:pPr>
      <w:r w:rsidRPr="00E03CBC">
        <w:rPr>
          <w:rFonts w:ascii="Calibri" w:hAnsi="Calibri" w:cs="Calibri"/>
          <w:color w:val="000000"/>
          <w:sz w:val="20"/>
          <w:szCs w:val="20"/>
          <w:shd w:val="clear" w:color="auto" w:fill="FFFFFF"/>
        </w:rPr>
        <w:t>Richard Stockton. (2016). </w:t>
      </w:r>
      <w:r w:rsidRPr="00E03CBC">
        <w:rPr>
          <w:rFonts w:ascii="Calibri" w:hAnsi="Calibri" w:cs="Calibri"/>
          <w:i/>
          <w:iCs/>
          <w:color w:val="000000"/>
          <w:sz w:val="20"/>
          <w:szCs w:val="20"/>
        </w:rPr>
        <w:t>What the west gets right (and wrong) about women in Islam</w:t>
      </w:r>
      <w:r w:rsidRPr="00E03CBC">
        <w:rPr>
          <w:rFonts w:ascii="Calibri" w:hAnsi="Calibri" w:cs="Calibri"/>
          <w:color w:val="000000"/>
          <w:sz w:val="20"/>
          <w:szCs w:val="20"/>
          <w:shd w:val="clear" w:color="auto" w:fill="FFFFFF"/>
        </w:rPr>
        <w:t>. [Online]. all that is interesting. Last Updated: February 2017. Available at: https://allthatsinteresting.com/women-in-islam [Accessed 7 April 2024].</w:t>
      </w:r>
    </w:p>
    <w:p w14:paraId="07524879" w14:textId="77777777" w:rsidR="00A94869" w:rsidRPr="006C5369" w:rsidRDefault="00A94869" w:rsidP="00E03CBC">
      <w:pPr>
        <w:pStyle w:val="ListParagraph"/>
        <w:numPr>
          <w:ilvl w:val="0"/>
          <w:numId w:val="4"/>
        </w:numPr>
        <w:tabs>
          <w:tab w:val="left" w:pos="2813"/>
        </w:tabs>
        <w:rPr>
          <w:rStyle w:val="Hyperlink"/>
          <w:rFonts w:ascii="Calibri" w:hAnsi="Calibri" w:cs="Calibri"/>
          <w:b/>
          <w:bCs/>
          <w:color w:val="auto"/>
          <w:sz w:val="20"/>
          <w:szCs w:val="20"/>
        </w:rPr>
      </w:pPr>
      <w:r w:rsidRPr="00E03CBC">
        <w:rPr>
          <w:rStyle w:val="authorname"/>
          <w:rFonts w:ascii="Calibri" w:hAnsi="Calibri" w:cs="Calibri"/>
          <w:color w:val="333333"/>
          <w:sz w:val="20"/>
          <w:szCs w:val="20"/>
          <w:shd w:val="clear" w:color="auto" w:fill="FFFFFF"/>
        </w:rPr>
        <w:t>Robert</w:t>
      </w:r>
      <w:r w:rsidRPr="00E03CBC">
        <w:rPr>
          <w:rStyle w:val="separator"/>
          <w:rFonts w:ascii="Calibri" w:hAnsi="Calibri" w:cs="Calibri"/>
          <w:color w:val="333333"/>
          <w:sz w:val="20"/>
          <w:szCs w:val="20"/>
          <w:shd w:val="clear" w:color="auto" w:fill="FFFFFF"/>
        </w:rPr>
        <w:t> </w:t>
      </w:r>
      <w:r w:rsidRPr="00E03CBC">
        <w:rPr>
          <w:rStyle w:val="authorname"/>
          <w:rFonts w:ascii="Calibri" w:hAnsi="Calibri" w:cs="Calibri"/>
          <w:color w:val="333333"/>
          <w:sz w:val="20"/>
          <w:szCs w:val="20"/>
          <w:shd w:val="clear" w:color="auto" w:fill="FFFFFF"/>
        </w:rPr>
        <w:t>Lambert</w:t>
      </w:r>
      <w:r w:rsidRPr="00E03CBC">
        <w:rPr>
          <w:rStyle w:val="separator"/>
          <w:rFonts w:ascii="Calibri" w:hAnsi="Calibri" w:cs="Calibri"/>
          <w:color w:val="333333"/>
          <w:sz w:val="20"/>
          <w:szCs w:val="20"/>
          <w:shd w:val="clear" w:color="auto" w:fill="FFFFFF"/>
        </w:rPr>
        <w:t> &amp; </w:t>
      </w:r>
      <w:r w:rsidRPr="00E03CBC">
        <w:rPr>
          <w:rStyle w:val="authorname"/>
          <w:rFonts w:ascii="Calibri" w:hAnsi="Calibri" w:cs="Calibri"/>
          <w:color w:val="333333"/>
          <w:sz w:val="20"/>
          <w:szCs w:val="20"/>
          <w:shd w:val="clear" w:color="auto" w:fill="FFFFFF"/>
        </w:rPr>
        <w:t>Tim</w:t>
      </w:r>
      <w:r w:rsidRPr="00E03CBC">
        <w:rPr>
          <w:rStyle w:val="separator"/>
          <w:rFonts w:ascii="Calibri" w:hAnsi="Calibri" w:cs="Calibri"/>
          <w:color w:val="333333"/>
          <w:sz w:val="20"/>
          <w:szCs w:val="20"/>
          <w:shd w:val="clear" w:color="auto" w:fill="FFFFFF"/>
        </w:rPr>
        <w:t> </w:t>
      </w:r>
      <w:r w:rsidRPr="00E03CBC">
        <w:rPr>
          <w:rStyle w:val="authorname"/>
          <w:rFonts w:ascii="Calibri" w:hAnsi="Calibri" w:cs="Calibri"/>
          <w:color w:val="333333"/>
          <w:sz w:val="20"/>
          <w:szCs w:val="20"/>
          <w:shd w:val="clear" w:color="auto" w:fill="FFFFFF"/>
        </w:rPr>
        <w:t>Parsons</w:t>
      </w:r>
      <w:r w:rsidRPr="00E03CBC">
        <w:rPr>
          <w:rFonts w:ascii="Calibri" w:hAnsi="Calibri" w:cs="Calibri"/>
          <w:color w:val="333333"/>
          <w:sz w:val="20"/>
          <w:szCs w:val="20"/>
          <w:shd w:val="clear" w:color="auto" w:fill="FFFFFF"/>
        </w:rPr>
        <w:t> </w:t>
      </w:r>
      <w:r w:rsidRPr="00E03CBC">
        <w:rPr>
          <w:rStyle w:val="Date1"/>
          <w:rFonts w:ascii="Calibri" w:hAnsi="Calibri" w:cs="Calibri"/>
          <w:color w:val="333333"/>
          <w:sz w:val="20"/>
          <w:szCs w:val="20"/>
          <w:shd w:val="clear" w:color="auto" w:fill="FFFFFF"/>
        </w:rPr>
        <w:t>(2017)</w:t>
      </w:r>
      <w:r w:rsidRPr="00E03CBC">
        <w:rPr>
          <w:rFonts w:ascii="Calibri" w:hAnsi="Calibri" w:cs="Calibri"/>
          <w:color w:val="333333"/>
          <w:sz w:val="20"/>
          <w:szCs w:val="20"/>
          <w:shd w:val="clear" w:color="auto" w:fill="FFFFFF"/>
        </w:rPr>
        <w:t> </w:t>
      </w:r>
      <w:r w:rsidRPr="00E03CBC">
        <w:rPr>
          <w:rStyle w:val="arttitle"/>
          <w:rFonts w:ascii="Calibri" w:hAnsi="Calibri" w:cs="Calibri"/>
          <w:color w:val="333333"/>
          <w:sz w:val="20"/>
          <w:szCs w:val="20"/>
          <w:shd w:val="clear" w:color="auto" w:fill="FFFFFF"/>
        </w:rPr>
        <w:t>Community-Based Counterterrorism Policing: Recommendations for Practitioners,</w:t>
      </w:r>
      <w:r w:rsidRPr="00E03CBC">
        <w:rPr>
          <w:rFonts w:ascii="Calibri" w:hAnsi="Calibri" w:cs="Calibri"/>
          <w:color w:val="333333"/>
          <w:sz w:val="20"/>
          <w:szCs w:val="20"/>
          <w:shd w:val="clear" w:color="auto" w:fill="FFFFFF"/>
        </w:rPr>
        <w:t> </w:t>
      </w:r>
      <w:r w:rsidRPr="00E03CBC">
        <w:rPr>
          <w:rStyle w:val="serialtitle"/>
          <w:rFonts w:ascii="Calibri" w:hAnsi="Calibri" w:cs="Calibri"/>
          <w:color w:val="333333"/>
          <w:sz w:val="20"/>
          <w:szCs w:val="20"/>
          <w:shd w:val="clear" w:color="auto" w:fill="FFFFFF"/>
        </w:rPr>
        <w:t>Studies in Conflict &amp; Terrorism,</w:t>
      </w:r>
      <w:r w:rsidRPr="00E03CBC">
        <w:rPr>
          <w:rFonts w:ascii="Calibri" w:hAnsi="Calibri" w:cs="Calibri"/>
          <w:color w:val="333333"/>
          <w:sz w:val="20"/>
          <w:szCs w:val="20"/>
          <w:shd w:val="clear" w:color="auto" w:fill="FFFFFF"/>
        </w:rPr>
        <w:t> </w:t>
      </w:r>
      <w:r w:rsidRPr="00E03CBC">
        <w:rPr>
          <w:rStyle w:val="volumeissue"/>
          <w:rFonts w:ascii="Calibri" w:hAnsi="Calibri" w:cs="Calibri"/>
          <w:color w:val="333333"/>
          <w:sz w:val="20"/>
          <w:szCs w:val="20"/>
          <w:shd w:val="clear" w:color="auto" w:fill="FFFFFF"/>
        </w:rPr>
        <w:t>40:12,</w:t>
      </w:r>
      <w:r w:rsidRPr="00E03CBC">
        <w:rPr>
          <w:rFonts w:ascii="Calibri" w:hAnsi="Calibri" w:cs="Calibri"/>
          <w:color w:val="333333"/>
          <w:sz w:val="20"/>
          <w:szCs w:val="20"/>
          <w:shd w:val="clear" w:color="auto" w:fill="FFFFFF"/>
        </w:rPr>
        <w:t> </w:t>
      </w:r>
      <w:r w:rsidRPr="00E03CBC">
        <w:rPr>
          <w:rStyle w:val="pagerange"/>
          <w:rFonts w:ascii="Calibri" w:hAnsi="Calibri" w:cs="Calibri"/>
          <w:color w:val="333333"/>
          <w:sz w:val="20"/>
          <w:szCs w:val="20"/>
          <w:shd w:val="clear" w:color="auto" w:fill="FFFFFF"/>
        </w:rPr>
        <w:t>1054-1071,</w:t>
      </w:r>
      <w:r w:rsidRPr="00E03CBC">
        <w:rPr>
          <w:rFonts w:ascii="Calibri" w:hAnsi="Calibri" w:cs="Calibri"/>
          <w:color w:val="333333"/>
          <w:sz w:val="20"/>
          <w:szCs w:val="20"/>
          <w:shd w:val="clear" w:color="auto" w:fill="FFFFFF"/>
        </w:rPr>
        <w:t> </w:t>
      </w:r>
      <w:r w:rsidRPr="00E03CBC">
        <w:rPr>
          <w:rStyle w:val="doilink"/>
          <w:rFonts w:ascii="Calibri" w:hAnsi="Calibri" w:cs="Calibri"/>
          <w:color w:val="333333"/>
          <w:sz w:val="20"/>
          <w:szCs w:val="20"/>
          <w:shd w:val="clear" w:color="auto" w:fill="FFFFFF"/>
        </w:rPr>
        <w:t>DOI: </w:t>
      </w:r>
      <w:hyperlink r:id="rId13" w:history="1">
        <w:r w:rsidRPr="00E03CBC">
          <w:rPr>
            <w:rStyle w:val="Hyperlink"/>
            <w:rFonts w:ascii="Calibri" w:hAnsi="Calibri" w:cs="Calibri"/>
            <w:color w:val="333333"/>
            <w:sz w:val="20"/>
            <w:szCs w:val="20"/>
            <w:shd w:val="clear" w:color="auto" w:fill="FFFFFF"/>
          </w:rPr>
          <w:t>10.1080/1057610X.2016.1253989</w:t>
        </w:r>
      </w:hyperlink>
    </w:p>
    <w:p w14:paraId="7AB2EF45" w14:textId="77777777" w:rsidR="00A94869" w:rsidRPr="00E03CBC" w:rsidRDefault="00A94869" w:rsidP="00DC3497">
      <w:pPr>
        <w:pStyle w:val="ListParagraph"/>
        <w:numPr>
          <w:ilvl w:val="0"/>
          <w:numId w:val="4"/>
        </w:num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Thomas, G. (2016). A case for local neighbourhood policing and community intelligence in counter terrorism. The Police Journal, 89(1), 31-54. https://doi-org.ezproxy.uwtsd.ac.uk/10.1177/0032258X16630489</w:t>
      </w:r>
    </w:p>
    <w:p w14:paraId="3D9223D1" w14:textId="77777777" w:rsidR="00A94869" w:rsidRPr="00E03CBC" w:rsidRDefault="00A94869" w:rsidP="00E03CBC">
      <w:pPr>
        <w:pStyle w:val="ListParagraph"/>
        <w:numPr>
          <w:ilvl w:val="0"/>
          <w:numId w:val="4"/>
        </w:num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UNODC. (2018). </w:t>
      </w:r>
      <w:r w:rsidRPr="00E03CBC">
        <w:rPr>
          <w:rFonts w:ascii="Calibri" w:eastAsia="Times New Roman" w:hAnsi="Calibri" w:cs="Calibri"/>
          <w:i/>
          <w:iCs/>
          <w:sz w:val="20"/>
          <w:szCs w:val="20"/>
          <w:lang w:eastAsia="en-GB"/>
        </w:rPr>
        <w:t>Linkages between organised crime and terrorism</w:t>
      </w:r>
      <w:r w:rsidRPr="00E03CBC">
        <w:rPr>
          <w:rFonts w:ascii="Calibri" w:eastAsia="Times New Roman" w:hAnsi="Calibri" w:cs="Calibri"/>
          <w:sz w:val="20"/>
          <w:szCs w:val="20"/>
          <w:lang w:eastAsia="en-GB"/>
        </w:rPr>
        <w:t>. [Online]. United Nations Office on Drugs and Crime. Available at: https://www.unodc.org/documents/e4j/FINAL_Module_16_Linkages_between_Organized_Crime_andTerrorism_14 [Accessed 6 November 2024].</w:t>
      </w:r>
    </w:p>
    <w:p w14:paraId="2A74D9ED" w14:textId="77777777" w:rsidR="00A94869" w:rsidRPr="00E03CBC" w:rsidRDefault="00A94869" w:rsidP="00DC3497">
      <w:pPr>
        <w:pStyle w:val="ListParagraph"/>
        <w:numPr>
          <w:ilvl w:val="0"/>
          <w:numId w:val="4"/>
        </w:num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UNODC. (2018). </w:t>
      </w:r>
      <w:r w:rsidRPr="00E03CBC">
        <w:rPr>
          <w:rFonts w:ascii="Calibri" w:eastAsia="Times New Roman" w:hAnsi="Calibri" w:cs="Calibri"/>
          <w:i/>
          <w:iCs/>
          <w:sz w:val="20"/>
          <w:szCs w:val="20"/>
          <w:lang w:eastAsia="en-GB"/>
        </w:rPr>
        <w:t>Linkages between organised crime and terrorism</w:t>
      </w:r>
      <w:r w:rsidRPr="00E03CBC">
        <w:rPr>
          <w:rFonts w:ascii="Calibri" w:eastAsia="Times New Roman" w:hAnsi="Calibri" w:cs="Calibri"/>
          <w:sz w:val="20"/>
          <w:szCs w:val="20"/>
          <w:lang w:eastAsia="en-GB"/>
        </w:rPr>
        <w:t>. [Online]. United Nations Office on Drugs and Crime. Available at: https://www.unodc.org/documents/e4j/FINAL_Module_16_Linkages_between_Organized_Crime_andTerrorism_14 [Accessed 6 November 2024].</w:t>
      </w:r>
    </w:p>
    <w:p w14:paraId="5FD91A22" w14:textId="77777777" w:rsidR="00A94869" w:rsidRPr="00E03CBC" w:rsidRDefault="00A94869" w:rsidP="00DC3497">
      <w:pPr>
        <w:pStyle w:val="ListParagraph"/>
        <w:numPr>
          <w:ilvl w:val="0"/>
          <w:numId w:val="4"/>
        </w:num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 xml:space="preserve">What impact can the challenges of operational policing have on individual and group wellbeing? Why is it important to manage mental wellbeing in policing? </w:t>
      </w:r>
    </w:p>
    <w:p w14:paraId="26CC7DAB" w14:textId="77777777" w:rsidR="00A94869" w:rsidRPr="00E03CBC" w:rsidRDefault="00A94869" w:rsidP="00E03CBC">
      <w:pPr>
        <w:pStyle w:val="ListParagraph"/>
        <w:numPr>
          <w:ilvl w:val="0"/>
          <w:numId w:val="4"/>
        </w:numPr>
        <w:spacing w:line="276" w:lineRule="auto"/>
        <w:ind w:right="531"/>
        <w:rPr>
          <w:rFonts w:ascii="Calibri" w:eastAsia="Times New Roman" w:hAnsi="Calibri" w:cs="Calibri"/>
          <w:sz w:val="20"/>
          <w:szCs w:val="20"/>
          <w:lang w:eastAsia="en-GB"/>
        </w:rPr>
      </w:pPr>
      <w:r w:rsidRPr="00E03CBC">
        <w:rPr>
          <w:rFonts w:ascii="Calibri" w:eastAsia="Times New Roman" w:hAnsi="Calibri" w:cs="Calibri"/>
          <w:sz w:val="20"/>
          <w:szCs w:val="20"/>
          <w:lang w:eastAsia="en-GB"/>
        </w:rPr>
        <w:t>Your answer must be based on academic research rather than personal experience.</w:t>
      </w:r>
    </w:p>
    <w:p w14:paraId="343544A6" w14:textId="77777777" w:rsidR="00E03CBC" w:rsidRPr="00E03CBC" w:rsidRDefault="00E03CBC" w:rsidP="00E03CBC">
      <w:pPr>
        <w:tabs>
          <w:tab w:val="left" w:pos="2813"/>
        </w:tabs>
        <w:ind w:left="360"/>
        <w:rPr>
          <w:rFonts w:ascii="Calibri" w:hAnsi="Calibri" w:cs="Calibri"/>
          <w:sz w:val="20"/>
          <w:szCs w:val="20"/>
        </w:rPr>
      </w:pPr>
    </w:p>
    <w:p w14:paraId="25D80A9C" w14:textId="77777777" w:rsidR="00DC3497" w:rsidRDefault="00DC3497" w:rsidP="00DC3497"/>
    <w:sectPr w:rsidR="00DC34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326F20"/>
    <w:multiLevelType w:val="hybridMultilevel"/>
    <w:tmpl w:val="977E3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242EAE"/>
    <w:multiLevelType w:val="hybridMultilevel"/>
    <w:tmpl w:val="9BA2435E"/>
    <w:lvl w:ilvl="0" w:tplc="A3FC9E8A">
      <w:start w:val="1"/>
      <w:numFmt w:val="decimal"/>
      <w:lvlText w:val="%1."/>
      <w:lvlJc w:val="left"/>
      <w:pPr>
        <w:ind w:left="720" w:hanging="360"/>
      </w:pPr>
      <w:rPr>
        <w:rFonts w:ascii="Open Sans" w:hAnsi="Open Sans" w:cs="Open Sans" w:hint="default"/>
        <w:b w:val="0"/>
        <w:color w:val="333333"/>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78DD18E3"/>
    <w:multiLevelType w:val="hybridMultilevel"/>
    <w:tmpl w:val="99583974"/>
    <w:lvl w:ilvl="0" w:tplc="7C54046A">
      <w:start w:val="1"/>
      <w:numFmt w:val="decimal"/>
      <w:lvlText w:val="%1."/>
      <w:lvlJc w:val="left"/>
      <w:pPr>
        <w:ind w:left="644"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9910369">
    <w:abstractNumId w:val="2"/>
  </w:num>
  <w:num w:numId="2" w16cid:durableId="992221815">
    <w:abstractNumId w:val="0"/>
  </w:num>
  <w:num w:numId="3" w16cid:durableId="1023556083">
    <w:abstractNumId w:val="1"/>
  </w:num>
  <w:num w:numId="4" w16cid:durableId="3484094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497"/>
    <w:rsid w:val="00057234"/>
    <w:rsid w:val="00126D29"/>
    <w:rsid w:val="00221636"/>
    <w:rsid w:val="002701B8"/>
    <w:rsid w:val="00303EA1"/>
    <w:rsid w:val="00392277"/>
    <w:rsid w:val="00475DEC"/>
    <w:rsid w:val="004867D2"/>
    <w:rsid w:val="005B3085"/>
    <w:rsid w:val="006C5369"/>
    <w:rsid w:val="007052B0"/>
    <w:rsid w:val="007B2DDA"/>
    <w:rsid w:val="00885734"/>
    <w:rsid w:val="008F5C09"/>
    <w:rsid w:val="009733D8"/>
    <w:rsid w:val="009B41E5"/>
    <w:rsid w:val="009C1EB1"/>
    <w:rsid w:val="00A94869"/>
    <w:rsid w:val="00BD0AF6"/>
    <w:rsid w:val="00C85D5C"/>
    <w:rsid w:val="00D548F9"/>
    <w:rsid w:val="00DC3497"/>
    <w:rsid w:val="00DC5064"/>
    <w:rsid w:val="00DC7EA5"/>
    <w:rsid w:val="00E03CBC"/>
    <w:rsid w:val="00E97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E82C8"/>
  <w15:chartTrackingRefBased/>
  <w15:docId w15:val="{E1010DA1-9A2E-4703-993F-DB78FF9FA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497"/>
  </w:style>
  <w:style w:type="paragraph" w:styleId="Heading1">
    <w:name w:val="heading 1"/>
    <w:basedOn w:val="Normal"/>
    <w:next w:val="Normal"/>
    <w:link w:val="Heading1Char"/>
    <w:uiPriority w:val="9"/>
    <w:qFormat/>
    <w:rsid w:val="00DC34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34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4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4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4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4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4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4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4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4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34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34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34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34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34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34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34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3497"/>
    <w:rPr>
      <w:rFonts w:eastAsiaTheme="majorEastAsia" w:cstheme="majorBidi"/>
      <w:color w:val="272727" w:themeColor="text1" w:themeTint="D8"/>
    </w:rPr>
  </w:style>
  <w:style w:type="paragraph" w:styleId="Title">
    <w:name w:val="Title"/>
    <w:basedOn w:val="Normal"/>
    <w:next w:val="Normal"/>
    <w:link w:val="TitleChar"/>
    <w:uiPriority w:val="10"/>
    <w:qFormat/>
    <w:rsid w:val="00DC34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4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34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4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3497"/>
    <w:pPr>
      <w:spacing w:before="160"/>
      <w:jc w:val="center"/>
    </w:pPr>
    <w:rPr>
      <w:i/>
      <w:iCs/>
      <w:color w:val="404040" w:themeColor="text1" w:themeTint="BF"/>
    </w:rPr>
  </w:style>
  <w:style w:type="character" w:customStyle="1" w:styleId="QuoteChar">
    <w:name w:val="Quote Char"/>
    <w:basedOn w:val="DefaultParagraphFont"/>
    <w:link w:val="Quote"/>
    <w:uiPriority w:val="29"/>
    <w:rsid w:val="00DC3497"/>
    <w:rPr>
      <w:i/>
      <w:iCs/>
      <w:color w:val="404040" w:themeColor="text1" w:themeTint="BF"/>
    </w:rPr>
  </w:style>
  <w:style w:type="paragraph" w:styleId="ListParagraph">
    <w:name w:val="List Paragraph"/>
    <w:basedOn w:val="Normal"/>
    <w:uiPriority w:val="34"/>
    <w:qFormat/>
    <w:rsid w:val="00DC3497"/>
    <w:pPr>
      <w:ind w:left="720"/>
      <w:contextualSpacing/>
    </w:pPr>
  </w:style>
  <w:style w:type="character" w:styleId="IntenseEmphasis">
    <w:name w:val="Intense Emphasis"/>
    <w:basedOn w:val="DefaultParagraphFont"/>
    <w:uiPriority w:val="21"/>
    <w:qFormat/>
    <w:rsid w:val="00DC3497"/>
    <w:rPr>
      <w:i/>
      <w:iCs/>
      <w:color w:val="0F4761" w:themeColor="accent1" w:themeShade="BF"/>
    </w:rPr>
  </w:style>
  <w:style w:type="paragraph" w:styleId="IntenseQuote">
    <w:name w:val="Intense Quote"/>
    <w:basedOn w:val="Normal"/>
    <w:next w:val="Normal"/>
    <w:link w:val="IntenseQuoteChar"/>
    <w:uiPriority w:val="30"/>
    <w:qFormat/>
    <w:rsid w:val="00DC34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497"/>
    <w:rPr>
      <w:i/>
      <w:iCs/>
      <w:color w:val="0F4761" w:themeColor="accent1" w:themeShade="BF"/>
    </w:rPr>
  </w:style>
  <w:style w:type="character" w:styleId="IntenseReference">
    <w:name w:val="Intense Reference"/>
    <w:basedOn w:val="DefaultParagraphFont"/>
    <w:uiPriority w:val="32"/>
    <w:qFormat/>
    <w:rsid w:val="00DC3497"/>
    <w:rPr>
      <w:b/>
      <w:bCs/>
      <w:smallCaps/>
      <w:color w:val="0F4761" w:themeColor="accent1" w:themeShade="BF"/>
      <w:spacing w:val="5"/>
    </w:rPr>
  </w:style>
  <w:style w:type="character" w:customStyle="1" w:styleId="authorname">
    <w:name w:val="authorname"/>
    <w:basedOn w:val="DefaultParagraphFont"/>
    <w:rsid w:val="00DC3497"/>
  </w:style>
  <w:style w:type="character" w:customStyle="1" w:styleId="separator">
    <w:name w:val="separator"/>
    <w:basedOn w:val="DefaultParagraphFont"/>
    <w:rsid w:val="00DC3497"/>
  </w:style>
  <w:style w:type="character" w:customStyle="1" w:styleId="Date1">
    <w:name w:val="Date1"/>
    <w:basedOn w:val="DefaultParagraphFont"/>
    <w:rsid w:val="00DC3497"/>
  </w:style>
  <w:style w:type="character" w:customStyle="1" w:styleId="arttitle">
    <w:name w:val="art_title"/>
    <w:basedOn w:val="DefaultParagraphFont"/>
    <w:rsid w:val="00DC3497"/>
  </w:style>
  <w:style w:type="character" w:customStyle="1" w:styleId="serialtitle">
    <w:name w:val="serial_title"/>
    <w:basedOn w:val="DefaultParagraphFont"/>
    <w:rsid w:val="00DC3497"/>
  </w:style>
  <w:style w:type="character" w:customStyle="1" w:styleId="volumeissue">
    <w:name w:val="volume_issue"/>
    <w:basedOn w:val="DefaultParagraphFont"/>
    <w:rsid w:val="00DC3497"/>
  </w:style>
  <w:style w:type="character" w:customStyle="1" w:styleId="pagerange">
    <w:name w:val="page_range"/>
    <w:basedOn w:val="DefaultParagraphFont"/>
    <w:rsid w:val="00DC3497"/>
  </w:style>
  <w:style w:type="character" w:customStyle="1" w:styleId="doilink">
    <w:name w:val="doi_link"/>
    <w:basedOn w:val="DefaultParagraphFont"/>
    <w:rsid w:val="00DC3497"/>
  </w:style>
  <w:style w:type="character" w:styleId="Hyperlink">
    <w:name w:val="Hyperlink"/>
    <w:basedOn w:val="DefaultParagraphFont"/>
    <w:uiPriority w:val="99"/>
    <w:unhideWhenUsed/>
    <w:rsid w:val="00DC3497"/>
    <w:rPr>
      <w:color w:val="0000FF"/>
      <w:u w:val="single"/>
    </w:rPr>
  </w:style>
  <w:style w:type="character" w:customStyle="1" w:styleId="citationsource-journal">
    <w:name w:val="citation_source-journal"/>
    <w:basedOn w:val="DefaultParagraphFont"/>
    <w:rsid w:val="00DC3497"/>
  </w:style>
  <w:style w:type="character" w:customStyle="1" w:styleId="citationsource-book">
    <w:name w:val="citation_source-book"/>
    <w:basedOn w:val="DefaultParagraphFont"/>
    <w:rsid w:val="00DC34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tizensuk.org/islam_public_life_commission" TargetMode="External"/><Relationship Id="rId13" Type="http://schemas.openxmlformats.org/officeDocument/2006/relationships/hyperlink" Target="https://doi-org.ezproxy.uwtsd.ac.uk/10.1080/1057610X.2016.1253989"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bristol.ac.uk/media-library/sites/ethnicity/migrated/documents/mpcgreport.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10439463.2017.1339706"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oi-org.ezproxy.uwtsd.ac.uk/10.1177/1078087408314418" TargetMode="External"/><Relationship Id="rId4" Type="http://schemas.openxmlformats.org/officeDocument/2006/relationships/numbering" Target="numbering.xml"/><Relationship Id="rId9" Type="http://schemas.openxmlformats.org/officeDocument/2006/relationships/hyperlink" Target="https://doi-org.ezproxy.uwtsd.ac.uk/10.1177/10780874083144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7C6928754BDC44A50E7AA8B44E2103" ma:contentTypeVersion="8" ma:contentTypeDescription="Create a new document." ma:contentTypeScope="" ma:versionID="fe53da2aef9dfdde600f8b0e107f3264">
  <xsd:schema xmlns:xsd="http://www.w3.org/2001/XMLSchema" xmlns:xs="http://www.w3.org/2001/XMLSchema" xmlns:p="http://schemas.microsoft.com/office/2006/metadata/properties" xmlns:ns3="7911c237-ccfc-45e2-aacd-9e817c44e77d" xmlns:ns4="96fe145f-219f-4dfc-a609-5fe819ed724f" targetNamespace="http://schemas.microsoft.com/office/2006/metadata/properties" ma:root="true" ma:fieldsID="b37b2b9236f463dc5ae6430cc393f290" ns3:_="" ns4:_="">
    <xsd:import namespace="7911c237-ccfc-45e2-aacd-9e817c44e77d"/>
    <xsd:import namespace="96fe145f-219f-4dfc-a609-5fe819ed724f"/>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11c237-ccfc-45e2-aacd-9e817c44e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fe145f-219f-4dfc-a609-5fe819ed724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911c237-ccfc-45e2-aacd-9e817c44e77d" xsi:nil="true"/>
  </documentManagement>
</p:properties>
</file>

<file path=customXml/itemProps1.xml><?xml version="1.0" encoding="utf-8"?>
<ds:datastoreItem xmlns:ds="http://schemas.openxmlformats.org/officeDocument/2006/customXml" ds:itemID="{3A597D40-63D2-487F-B79C-CAB139839C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11c237-ccfc-45e2-aacd-9e817c44e77d"/>
    <ds:schemaRef ds:uri="96fe145f-219f-4dfc-a609-5fe819ed724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20B9BD-6925-423A-87E3-730AD5A509A5}">
  <ds:schemaRefs>
    <ds:schemaRef ds:uri="http://schemas.microsoft.com/sharepoint/v3/contenttype/forms"/>
  </ds:schemaRefs>
</ds:datastoreItem>
</file>

<file path=customXml/itemProps3.xml><?xml version="1.0" encoding="utf-8"?>
<ds:datastoreItem xmlns:ds="http://schemas.openxmlformats.org/officeDocument/2006/customXml" ds:itemID="{B2CD4882-C6E2-4CA7-99EB-9E3BA06E5FBA}">
  <ds:schemaRefs>
    <ds:schemaRef ds:uri="http://schemas.microsoft.com/office/2006/metadata/properties"/>
    <ds:schemaRef ds:uri="http://schemas.microsoft.com/office/infopath/2007/PartnerControls"/>
    <ds:schemaRef ds:uri="7911c237-ccfc-45e2-aacd-9e817c44e77d"/>
  </ds:schemaRefs>
</ds:datastoreItem>
</file>

<file path=docProps/app.xml><?xml version="1.0" encoding="utf-8"?>
<Properties xmlns="http://schemas.openxmlformats.org/officeDocument/2006/extended-properties" xmlns:vt="http://schemas.openxmlformats.org/officeDocument/2006/docPropsVTypes">
  <Template>Normal</Template>
  <TotalTime>4534</TotalTime>
  <Pages>9</Pages>
  <Words>5043</Words>
  <Characters>28749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Davies,Melissa swp8422</dc:creator>
  <cp:keywords/>
  <dc:description/>
  <cp:lastModifiedBy>Davies,Melissa swp8422</cp:lastModifiedBy>
  <cp:revision>12</cp:revision>
  <dcterms:created xsi:type="dcterms:W3CDTF">2024-11-16T16:15:00Z</dcterms:created>
  <dcterms:modified xsi:type="dcterms:W3CDTF">2024-11-23T14:57:00Z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2024-11-16T16:11:31Z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b6293e05-2a54-4652-9ed3-ea0a85f677c8</vt:lpwstr>
  </property>
  <property fmtid="{D5CDD505-2E9C-101B-9397-08002B2CF9AE}" pid="8" name="MSIP_Label_66cf8fe5-b7b7-4df7-b38d-1c61ac2f6639_ContentBits">
    <vt:lpwstr>0</vt:lpwstr>
  </property>
  <property fmtid="{D5CDD505-2E9C-101B-9397-08002B2CF9AE}" pid="9" name="ContentTypeId">
    <vt:lpwstr>0x0101002D7C6928754BDC44A50E7AA8B44E2103</vt:lpwstr>
  </property>
</Properties>
</file>