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03F1A" w:rsidRPr="00303F1A" w:rsidRDefault="00000000" w:rsidP="00303F1A">
      <w:pPr>
        <w:spacing w:before="0" w:beforeAutospacing="0" w:after="0" w:afterAutospacing="0"/>
        <w:jc w:val="center"/>
        <w:rPr>
          <w:rFonts w:ascii="Arial" w:eastAsia="Times New Roman" w:hAnsi="Arial" w:cs="Arial"/>
          <w:sz w:val="22"/>
        </w:rPr>
      </w:pPr>
      <w:r w:rsidRPr="00303F1A">
        <w:rPr>
          <w:rFonts w:ascii="Arial" w:eastAsia="Times New Roman" w:hAnsi="Arial" w:cs="Arial"/>
          <w:noProof/>
          <w:sz w:val="22"/>
          <w:lang w:val="en-IN" w:eastAsia="en-IN"/>
        </w:rPr>
        <w:drawing>
          <wp:anchor distT="0" distB="0" distL="114300" distR="114300" simplePos="0" relativeHeight="251658240" behindDoc="0" locked="0" layoutInCell="1" allowOverlap="1">
            <wp:simplePos x="0" y="0"/>
            <wp:positionH relativeFrom="margin">
              <wp:align>center</wp:align>
            </wp:positionH>
            <wp:positionV relativeFrom="paragraph">
              <wp:posOffset>74354</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000000" w:rsidP="00303F1A">
      <w:pPr>
        <w:spacing w:before="0" w:beforeAutospacing="0" w:after="0" w:afterAutospacing="0"/>
        <w:jc w:val="center"/>
        <w:rPr>
          <w:rFonts w:ascii="Arial" w:eastAsia="Times New Roman" w:hAnsi="Arial" w:cs="Arial"/>
          <w:sz w:val="32"/>
        </w:rPr>
      </w:pPr>
      <w:r w:rsidRPr="00303F1A">
        <w:rPr>
          <w:rFonts w:ascii="Arial" w:eastAsia="Times New Roman" w:hAnsi="Arial" w:cs="Arial"/>
          <w:b/>
          <w:sz w:val="32"/>
        </w:rPr>
        <w:t>Module code</w:t>
      </w:r>
      <w:r w:rsidRPr="00303F1A">
        <w:rPr>
          <w:rFonts w:ascii="Arial" w:eastAsia="Times New Roman" w:hAnsi="Arial" w:cs="Arial"/>
          <w:sz w:val="32"/>
        </w:rPr>
        <w:t>: BMHP6029</w:t>
      </w:r>
    </w:p>
    <w:p w:rsidR="00303F1A" w:rsidRPr="00303F1A" w:rsidRDefault="00000000" w:rsidP="00303F1A">
      <w:pPr>
        <w:spacing w:before="0" w:beforeAutospacing="0" w:after="0" w:afterAutospacing="0"/>
        <w:jc w:val="center"/>
        <w:rPr>
          <w:rFonts w:ascii="Arial" w:eastAsia="Times New Roman" w:hAnsi="Arial" w:cs="Arial"/>
          <w:sz w:val="32"/>
        </w:rPr>
      </w:pPr>
      <w:r w:rsidRPr="00303F1A">
        <w:rPr>
          <w:rFonts w:ascii="Arial" w:eastAsia="Times New Roman" w:hAnsi="Arial" w:cs="Arial"/>
          <w:b/>
          <w:sz w:val="32"/>
        </w:rPr>
        <w:t>Module</w:t>
      </w:r>
      <w:r w:rsidRPr="00303F1A">
        <w:rPr>
          <w:rFonts w:ascii="Arial" w:eastAsia="Times New Roman" w:hAnsi="Arial" w:cs="Arial"/>
          <w:sz w:val="32"/>
        </w:rPr>
        <w:t xml:space="preserve"> </w:t>
      </w:r>
      <w:r w:rsidRPr="00303F1A">
        <w:rPr>
          <w:rFonts w:ascii="Arial" w:eastAsia="Times New Roman" w:hAnsi="Arial" w:cs="Arial"/>
          <w:b/>
          <w:sz w:val="32"/>
        </w:rPr>
        <w:t>Title</w:t>
      </w:r>
      <w:r w:rsidRPr="00303F1A">
        <w:rPr>
          <w:rFonts w:ascii="Arial" w:eastAsia="Times New Roman" w:hAnsi="Arial" w:cs="Arial"/>
          <w:sz w:val="32"/>
        </w:rPr>
        <w:t xml:space="preserve">: </w:t>
      </w:r>
      <w:r w:rsidRPr="00303F1A">
        <w:rPr>
          <w:rFonts w:ascii="Arial" w:eastAsia="Times New Roman" w:hAnsi="Arial" w:cs="Arial"/>
          <w:bCs/>
          <w:sz w:val="32"/>
        </w:rPr>
        <w:t>Psychological Classifications and Provisions</w:t>
      </w:r>
    </w:p>
    <w:p w:rsidR="00303F1A" w:rsidRPr="00303F1A" w:rsidRDefault="00303F1A" w:rsidP="00303F1A">
      <w:pPr>
        <w:spacing w:before="0" w:beforeAutospacing="0" w:after="0" w:afterAutospacing="0"/>
        <w:jc w:val="center"/>
        <w:rPr>
          <w:rFonts w:ascii="Arial" w:eastAsia="Times New Roman" w:hAnsi="Arial" w:cs="Arial"/>
          <w:sz w:val="32"/>
        </w:rPr>
      </w:pPr>
    </w:p>
    <w:p w:rsidR="00303F1A" w:rsidRPr="00303F1A" w:rsidRDefault="00303F1A" w:rsidP="00303F1A">
      <w:pPr>
        <w:spacing w:before="0" w:beforeAutospacing="0" w:after="0" w:afterAutospacing="0"/>
        <w:jc w:val="center"/>
        <w:rPr>
          <w:rFonts w:ascii="Arial" w:eastAsia="Times New Roman" w:hAnsi="Arial" w:cs="Arial"/>
          <w:sz w:val="22"/>
        </w:rPr>
      </w:pPr>
    </w:p>
    <w:p w:rsidR="00303F1A" w:rsidRPr="00303F1A" w:rsidRDefault="00303F1A" w:rsidP="00303F1A">
      <w:pPr>
        <w:spacing w:before="0" w:beforeAutospacing="0" w:after="0" w:afterAutospacing="0"/>
        <w:jc w:val="center"/>
        <w:rPr>
          <w:rFonts w:ascii="Arial" w:eastAsia="Times New Roman" w:hAnsi="Arial" w:cs="Arial"/>
          <w:sz w:val="22"/>
        </w:rPr>
      </w:pPr>
    </w:p>
    <w:p w:rsidR="00303F1A" w:rsidRPr="00303F1A" w:rsidRDefault="00000000" w:rsidP="00303F1A">
      <w:pPr>
        <w:pBdr>
          <w:bottom w:val="single" w:sz="4" w:space="1" w:color="auto"/>
        </w:pBdr>
        <w:contextualSpacing/>
        <w:jc w:val="center"/>
        <w:rPr>
          <w:rFonts w:ascii="Arial" w:eastAsia="Times New Roman" w:hAnsi="Arial" w:cs="Arial"/>
          <w:b/>
          <w:caps/>
          <w:spacing w:val="-10"/>
          <w:kern w:val="28"/>
          <w:sz w:val="36"/>
          <w:szCs w:val="56"/>
        </w:rPr>
      </w:pPr>
      <w:r w:rsidRPr="00303F1A">
        <w:rPr>
          <w:rFonts w:ascii="Arial" w:eastAsia="Times New Roman" w:hAnsi="Arial" w:cs="Arial"/>
          <w:b/>
          <w:caps/>
          <w:spacing w:val="-10"/>
          <w:kern w:val="28"/>
          <w:sz w:val="36"/>
          <w:szCs w:val="56"/>
        </w:rPr>
        <w:t>Assignment Title: Component 2: Written Assignment (Report)</w:t>
      </w: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303F1A" w:rsidP="00303F1A">
      <w:pPr>
        <w:spacing w:before="0" w:beforeAutospacing="0" w:after="0" w:afterAutospacing="0"/>
        <w:jc w:val="center"/>
        <w:rPr>
          <w:rFonts w:ascii="Arial" w:eastAsia="Times New Roman" w:hAnsi="Arial" w:cs="Arial"/>
          <w:b/>
          <w:sz w:val="22"/>
        </w:rPr>
      </w:pPr>
    </w:p>
    <w:p w:rsidR="00303F1A" w:rsidRPr="00303F1A" w:rsidRDefault="00000000" w:rsidP="00303F1A">
      <w:pPr>
        <w:spacing w:before="0" w:beforeAutospacing="0" w:after="0" w:afterAutospacing="0"/>
        <w:jc w:val="center"/>
        <w:rPr>
          <w:rFonts w:ascii="Arial" w:eastAsia="Times New Roman" w:hAnsi="Arial" w:cs="Arial"/>
        </w:rPr>
      </w:pPr>
      <w:r w:rsidRPr="00303F1A">
        <w:rPr>
          <w:rFonts w:ascii="Arial" w:eastAsia="Times New Roman" w:hAnsi="Arial" w:cs="Arial"/>
          <w:b/>
        </w:rPr>
        <w:t>Student</w:t>
      </w:r>
      <w:r w:rsidRPr="00303F1A">
        <w:rPr>
          <w:rFonts w:ascii="Arial" w:eastAsia="Times New Roman" w:hAnsi="Arial" w:cs="Arial"/>
        </w:rPr>
        <w:t xml:space="preserve"> </w:t>
      </w:r>
      <w:r w:rsidRPr="00303F1A">
        <w:rPr>
          <w:rFonts w:ascii="Arial" w:eastAsia="Times New Roman" w:hAnsi="Arial" w:cs="Arial"/>
          <w:b/>
        </w:rPr>
        <w:t>Name</w:t>
      </w:r>
      <w:r w:rsidRPr="00303F1A">
        <w:rPr>
          <w:rFonts w:ascii="Arial" w:eastAsia="Times New Roman" w:hAnsi="Arial" w:cs="Arial"/>
        </w:rPr>
        <w:t>: Jacqueline Lawrence</w:t>
      </w:r>
    </w:p>
    <w:p w:rsidR="00303F1A" w:rsidRPr="00303F1A" w:rsidRDefault="00000000" w:rsidP="00303F1A">
      <w:pPr>
        <w:spacing w:before="0" w:beforeAutospacing="0" w:after="0" w:afterAutospacing="0"/>
        <w:jc w:val="center"/>
        <w:rPr>
          <w:rFonts w:ascii="Arial" w:hAnsi="Arial" w:cs="Arial"/>
          <w:b/>
          <w:color w:val="222222"/>
          <w:kern w:val="2"/>
          <w:sz w:val="28"/>
          <w:szCs w:val="40"/>
          <w:lang w:val="en-IN"/>
          <w14:ligatures w14:val="standardContextual"/>
        </w:rPr>
      </w:pPr>
      <w:r w:rsidRPr="00303F1A">
        <w:rPr>
          <w:rFonts w:ascii="Arial" w:eastAsia="Times New Roman" w:hAnsi="Arial" w:cs="Arial"/>
          <w:b/>
        </w:rPr>
        <w:t>Student</w:t>
      </w:r>
      <w:r w:rsidRPr="00303F1A">
        <w:rPr>
          <w:rFonts w:ascii="Arial" w:eastAsia="Times New Roman" w:hAnsi="Arial" w:cs="Arial"/>
        </w:rPr>
        <w:t xml:space="preserve"> </w:t>
      </w:r>
      <w:r w:rsidRPr="00303F1A">
        <w:rPr>
          <w:rFonts w:ascii="Arial" w:eastAsia="Times New Roman" w:hAnsi="Arial" w:cs="Arial"/>
          <w:b/>
        </w:rPr>
        <w:t>ID</w:t>
      </w:r>
      <w:r w:rsidRPr="00303F1A">
        <w:rPr>
          <w:rFonts w:ascii="Arial" w:eastAsia="Times New Roman" w:hAnsi="Arial" w:cs="Arial"/>
        </w:rPr>
        <w:t>:</w:t>
      </w:r>
      <w:r w:rsidRPr="00303F1A">
        <w:rPr>
          <w:rFonts w:ascii="Arial" w:hAnsi="Arial" w:cs="Arial"/>
        </w:rPr>
        <w:br w:type="page"/>
      </w:r>
    </w:p>
    <w:sdt>
      <w:sdtPr>
        <w:rPr>
          <w:rFonts w:ascii="Arial" w:hAnsi="Arial" w:cs="Arial"/>
          <w:b/>
          <w:bCs/>
          <w:sz w:val="22"/>
        </w:rPr>
        <w:id w:val="-1776166869"/>
        <w:docPartObj>
          <w:docPartGallery w:val="Table of Contents"/>
          <w:docPartUnique/>
        </w:docPartObj>
      </w:sdtPr>
      <w:sdtContent>
        <w:p w:rsidR="00303F1A" w:rsidRPr="00303F1A" w:rsidRDefault="00000000" w:rsidP="00303F1A">
          <w:pPr>
            <w:spacing w:before="0" w:beforeAutospacing="0" w:after="0" w:afterAutospacing="0"/>
            <w:jc w:val="center"/>
            <w:rPr>
              <w:rFonts w:ascii="Arial" w:hAnsi="Arial" w:cs="Arial"/>
              <w:b/>
              <w:bCs/>
              <w:sz w:val="22"/>
            </w:rPr>
          </w:pPr>
          <w:r w:rsidRPr="00303F1A">
            <w:rPr>
              <w:rFonts w:ascii="Arial" w:hAnsi="Arial" w:cs="Arial"/>
              <w:b/>
              <w:bCs/>
              <w:sz w:val="22"/>
            </w:rPr>
            <w:t>Table of Contents</w:t>
          </w:r>
        </w:p>
        <w:p w:rsidR="00303F1A" w:rsidRPr="00303F1A" w:rsidRDefault="00000000" w:rsidP="00303F1A">
          <w:pPr>
            <w:pStyle w:val="TOC1"/>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r w:rsidRPr="00303F1A">
            <w:rPr>
              <w:rFonts w:ascii="Arial" w:hAnsi="Arial" w:cs="Arial"/>
              <w:sz w:val="22"/>
            </w:rPr>
            <w:fldChar w:fldCharType="begin"/>
          </w:r>
          <w:r w:rsidRPr="00303F1A">
            <w:rPr>
              <w:rFonts w:ascii="Arial" w:hAnsi="Arial" w:cs="Arial"/>
              <w:sz w:val="22"/>
            </w:rPr>
            <w:instrText xml:space="preserve"> TOC \o "1-3" \h \z \u </w:instrText>
          </w:r>
          <w:r w:rsidRPr="00303F1A">
            <w:rPr>
              <w:rFonts w:ascii="Arial" w:hAnsi="Arial" w:cs="Arial"/>
              <w:sz w:val="22"/>
            </w:rPr>
            <w:fldChar w:fldCharType="separate"/>
          </w:r>
          <w:hyperlink w:anchor="_Toc209270064" w:history="1">
            <w:r w:rsidR="00303F1A" w:rsidRPr="00303F1A">
              <w:rPr>
                <w:rStyle w:val="Hyperlink"/>
                <w:rFonts w:ascii="Arial" w:hAnsi="Arial" w:cs="Arial"/>
                <w:noProof/>
              </w:rPr>
              <w:t>1. Introduction</w:t>
            </w:r>
            <w:r w:rsidR="00303F1A" w:rsidRPr="00303F1A">
              <w:rPr>
                <w:rFonts w:ascii="Arial" w:hAnsi="Arial" w:cs="Arial"/>
                <w:noProof/>
                <w:webHidden/>
              </w:rPr>
              <w:tab/>
            </w:r>
            <w:r w:rsidR="00303F1A" w:rsidRPr="00303F1A">
              <w:rPr>
                <w:rFonts w:ascii="Arial" w:hAnsi="Arial" w:cs="Arial"/>
                <w:noProof/>
                <w:webHidden/>
              </w:rPr>
              <w:fldChar w:fldCharType="begin"/>
            </w:r>
            <w:r w:rsidR="00303F1A" w:rsidRPr="00303F1A">
              <w:rPr>
                <w:rFonts w:ascii="Arial" w:hAnsi="Arial" w:cs="Arial"/>
                <w:noProof/>
                <w:webHidden/>
              </w:rPr>
              <w:instrText xml:space="preserve"> PAGEREF _Toc209270064 \h </w:instrText>
            </w:r>
            <w:r w:rsidR="00303F1A" w:rsidRPr="00303F1A">
              <w:rPr>
                <w:rFonts w:ascii="Arial" w:hAnsi="Arial" w:cs="Arial"/>
                <w:noProof/>
                <w:webHidden/>
              </w:rPr>
            </w:r>
            <w:r w:rsidR="00303F1A" w:rsidRPr="00303F1A">
              <w:rPr>
                <w:rFonts w:ascii="Arial" w:hAnsi="Arial" w:cs="Arial"/>
                <w:noProof/>
                <w:webHidden/>
              </w:rPr>
              <w:fldChar w:fldCharType="separate"/>
            </w:r>
            <w:r w:rsidR="00303F1A" w:rsidRPr="00303F1A">
              <w:rPr>
                <w:rFonts w:ascii="Arial" w:hAnsi="Arial" w:cs="Arial"/>
                <w:noProof/>
                <w:webHidden/>
              </w:rPr>
              <w:t>4</w:t>
            </w:r>
            <w:r w:rsidR="00303F1A" w:rsidRPr="00303F1A">
              <w:rPr>
                <w:rFonts w:ascii="Arial" w:hAnsi="Arial" w:cs="Arial"/>
                <w:noProof/>
                <w:webHidden/>
              </w:rPr>
              <w:fldChar w:fldCharType="end"/>
            </w:r>
          </w:hyperlink>
        </w:p>
        <w:p w:rsidR="00303F1A" w:rsidRPr="00303F1A" w:rsidRDefault="00303F1A" w:rsidP="00303F1A">
          <w:pPr>
            <w:pStyle w:val="TOC1"/>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65" w:history="1">
            <w:r w:rsidRPr="00303F1A">
              <w:rPr>
                <w:rStyle w:val="Hyperlink"/>
                <w:rFonts w:ascii="Arial" w:hAnsi="Arial" w:cs="Arial"/>
                <w:noProof/>
              </w:rPr>
              <w:t>2. Classification and Diagnosis</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_Toc209270065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4</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66" w:history="1">
            <w:r w:rsidRPr="00303F1A">
              <w:rPr>
                <w:rStyle w:val="Hyperlink"/>
                <w:rFonts w:ascii="Arial" w:hAnsi="Arial" w:cs="Arial"/>
                <w:noProof/>
              </w:rPr>
              <w:t>2.1 Detailed analysis of the Impulse control disorders</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_Toc209270066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4</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67" w:history="1">
            <w:r w:rsidRPr="00303F1A">
              <w:rPr>
                <w:rStyle w:val="Hyperlink"/>
                <w:rFonts w:ascii="Arial" w:hAnsi="Arial" w:cs="Arial"/>
                <w:noProof/>
              </w:rPr>
              <w:t>2.2 Diagnostic criteria and process associated with Impulse control disorders</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_Toc209270067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5</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68" w:history="1">
            <w:r w:rsidRPr="00303F1A">
              <w:rPr>
                <w:rStyle w:val="Hyperlink"/>
                <w:rFonts w:ascii="Arial" w:hAnsi="Arial" w:cs="Arial"/>
                <w:noProof/>
              </w:rPr>
              <w:t>2.3 Language used in the classification and its justification</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_Toc209270068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5</w:t>
            </w:r>
            <w:r w:rsidRPr="00303F1A">
              <w:rPr>
                <w:rFonts w:ascii="Arial" w:hAnsi="Arial" w:cs="Arial"/>
                <w:noProof/>
                <w:webHidden/>
              </w:rPr>
              <w:fldChar w:fldCharType="end"/>
            </w:r>
          </w:hyperlink>
        </w:p>
        <w:p w:rsidR="00303F1A" w:rsidRPr="00303F1A" w:rsidRDefault="00303F1A" w:rsidP="00303F1A">
          <w:pPr>
            <w:pStyle w:val="TOC1"/>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69" w:history="1">
            <w:r w:rsidRPr="00303F1A">
              <w:rPr>
                <w:rStyle w:val="Hyperlink"/>
                <w:rFonts w:ascii="Arial" w:hAnsi="Arial" w:cs="Arial"/>
                <w:noProof/>
              </w:rPr>
              <w:t>3. Treatment and Rehabilitation</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_Toc209270069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6</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0" w:history="1">
            <w:r w:rsidRPr="00303F1A">
              <w:rPr>
                <w:rStyle w:val="Hyperlink"/>
                <w:rFonts w:ascii="Arial" w:hAnsi="Arial" w:cs="Arial"/>
                <w:noProof/>
              </w:rPr>
              <w:t>3.1 Critical Evaluation of the standard approach to condition</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_Toc209270070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6</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1" w:history="1">
            <w:r w:rsidRPr="00303F1A">
              <w:rPr>
                <w:rStyle w:val="Hyperlink"/>
                <w:rFonts w:ascii="Arial" w:hAnsi="Arial" w:cs="Arial"/>
                <w:noProof/>
              </w:rPr>
              <w:t>3.2 Examine the rehabilitation measures included in ICD-11 and in practice</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_Toc209270071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7</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2" w:history="1">
            <w:r w:rsidRPr="00303F1A">
              <w:rPr>
                <w:rStyle w:val="Hyperlink"/>
                <w:rFonts w:ascii="Arial" w:hAnsi="Arial" w:cs="Arial"/>
                <w:noProof/>
              </w:rPr>
              <w:t>3.3 The effectiveness and limitations of these approaches</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_Toc209270072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8</w:t>
            </w:r>
            <w:r w:rsidRPr="00303F1A">
              <w:rPr>
                <w:rFonts w:ascii="Arial" w:hAnsi="Arial" w:cs="Arial"/>
                <w:noProof/>
                <w:webHidden/>
              </w:rPr>
              <w:fldChar w:fldCharType="end"/>
            </w:r>
          </w:hyperlink>
        </w:p>
        <w:p w:rsidR="00303F1A" w:rsidRPr="00303F1A" w:rsidRDefault="00303F1A" w:rsidP="00303F1A">
          <w:pPr>
            <w:pStyle w:val="TOC1"/>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3" w:history="1">
            <w:r w:rsidRPr="00303F1A">
              <w:rPr>
                <w:rStyle w:val="Hyperlink"/>
                <w:rFonts w:ascii="Arial" w:hAnsi="Arial" w:cs="Arial"/>
                <w:noProof/>
              </w:rPr>
              <w:t>4. Current Debates and Emerging Issues</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_Toc209270073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8</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4" w:history="1">
            <w:r w:rsidRPr="00303F1A">
              <w:rPr>
                <w:rStyle w:val="Hyperlink"/>
                <w:rFonts w:ascii="Arial" w:hAnsi="Arial" w:cs="Arial"/>
                <w:noProof/>
              </w:rPr>
              <w:t>4.1 Ongoing debates concerning the classified issues and the treatment of the condition.</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_Toc209270074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8</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5" w:history="1">
            <w:r w:rsidRPr="00303F1A">
              <w:rPr>
                <w:rStyle w:val="Hyperlink"/>
                <w:rFonts w:ascii="Arial" w:hAnsi="Arial" w:cs="Arial"/>
                <w:noProof/>
              </w:rPr>
              <w:t>4.2 Critical assessment on the role of neurodivergence and any relevant reclassification issues</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_Toc209270075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9</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6" w:history="1">
            <w:r w:rsidRPr="00303F1A">
              <w:rPr>
                <w:rStyle w:val="Hyperlink"/>
                <w:rFonts w:ascii="Arial" w:hAnsi="Arial" w:cs="Arial"/>
                <w:noProof/>
              </w:rPr>
              <w:t>4.3 Considering the impact of these debates on practice and policy</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_Toc209270076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10</w:t>
            </w:r>
            <w:r w:rsidRPr="00303F1A">
              <w:rPr>
                <w:rFonts w:ascii="Arial" w:hAnsi="Arial" w:cs="Arial"/>
                <w:noProof/>
                <w:webHidden/>
              </w:rPr>
              <w:fldChar w:fldCharType="end"/>
            </w:r>
          </w:hyperlink>
        </w:p>
        <w:p w:rsidR="00303F1A" w:rsidRPr="00303F1A" w:rsidRDefault="00303F1A" w:rsidP="00303F1A">
          <w:pPr>
            <w:pStyle w:val="TOC1"/>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7" w:history="1">
            <w:r w:rsidRPr="00303F1A">
              <w:rPr>
                <w:rStyle w:val="Hyperlink"/>
                <w:rFonts w:ascii="Arial" w:hAnsi="Arial" w:cs="Arial"/>
                <w:noProof/>
              </w:rPr>
              <w:t>5. Recommendations</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_Toc209270077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11</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8" w:history="1">
            <w:r w:rsidRPr="00303F1A">
              <w:rPr>
                <w:rStyle w:val="Hyperlink"/>
                <w:rFonts w:ascii="Arial" w:hAnsi="Arial" w:cs="Arial"/>
                <w:noProof/>
              </w:rPr>
              <w:t>5.1 Recommendations concerning the Impulse control disorders</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_Toc209270078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11</w:t>
            </w:r>
            <w:r w:rsidRPr="00303F1A">
              <w:rPr>
                <w:rFonts w:ascii="Arial" w:hAnsi="Arial" w:cs="Arial"/>
                <w:noProof/>
                <w:webHidden/>
              </w:rPr>
              <w:fldChar w:fldCharType="end"/>
            </w:r>
          </w:hyperlink>
        </w:p>
        <w:p w:rsidR="00303F1A" w:rsidRPr="00303F1A" w:rsidRDefault="00303F1A" w:rsidP="00303F1A">
          <w:pPr>
            <w:pStyle w:val="TOC2"/>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79" w:history="1">
            <w:r w:rsidRPr="00303F1A">
              <w:rPr>
                <w:rStyle w:val="Hyperlink"/>
                <w:rFonts w:ascii="Arial" w:hAnsi="Arial" w:cs="Arial"/>
                <w:noProof/>
              </w:rPr>
              <w:t>5.2 Implication: Practice, policy and Research</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_Toc209270079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11</w:t>
            </w:r>
            <w:r w:rsidRPr="00303F1A">
              <w:rPr>
                <w:rFonts w:ascii="Arial" w:hAnsi="Arial" w:cs="Arial"/>
                <w:noProof/>
                <w:webHidden/>
              </w:rPr>
              <w:fldChar w:fldCharType="end"/>
            </w:r>
          </w:hyperlink>
        </w:p>
        <w:p w:rsidR="00303F1A" w:rsidRPr="00303F1A" w:rsidRDefault="00303F1A" w:rsidP="00303F1A">
          <w:pPr>
            <w:pStyle w:val="TOC1"/>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80" w:history="1">
            <w:r w:rsidRPr="00303F1A">
              <w:rPr>
                <w:rStyle w:val="Hyperlink"/>
                <w:rFonts w:ascii="Arial" w:hAnsi="Arial" w:cs="Arial"/>
                <w:noProof/>
              </w:rPr>
              <w:t>6. Conclusion</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_Toc209270080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11</w:t>
            </w:r>
            <w:r w:rsidRPr="00303F1A">
              <w:rPr>
                <w:rFonts w:ascii="Arial" w:hAnsi="Arial" w:cs="Arial"/>
                <w:noProof/>
                <w:webHidden/>
              </w:rPr>
              <w:fldChar w:fldCharType="end"/>
            </w:r>
          </w:hyperlink>
        </w:p>
        <w:p w:rsidR="00303F1A" w:rsidRPr="00303F1A" w:rsidRDefault="00303F1A" w:rsidP="00303F1A">
          <w:pPr>
            <w:pStyle w:val="TOC1"/>
            <w:tabs>
              <w:tab w:val="right" w:leader="dot" w:pos="9016"/>
            </w:tabs>
            <w:spacing w:before="0" w:beforeAutospacing="0" w:after="0" w:afterAutospacing="0"/>
            <w:rPr>
              <w:rFonts w:ascii="Arial" w:eastAsiaTheme="minorEastAsia" w:hAnsi="Arial" w:cs="Arial"/>
              <w:noProof/>
              <w:kern w:val="2"/>
              <w:szCs w:val="24"/>
              <w:lang w:eastAsia="en-GB"/>
              <w14:ligatures w14:val="standardContextual"/>
            </w:rPr>
          </w:pPr>
          <w:hyperlink w:anchor="_Toc209270081" w:history="1">
            <w:r w:rsidRPr="00303F1A">
              <w:rPr>
                <w:rStyle w:val="Hyperlink"/>
                <w:rFonts w:ascii="Arial" w:hAnsi="Arial" w:cs="Arial"/>
                <w:noProof/>
              </w:rPr>
              <w:t>Reference List</w:t>
            </w:r>
            <w:r w:rsidRPr="00303F1A">
              <w:rPr>
                <w:rFonts w:ascii="Arial" w:hAnsi="Arial" w:cs="Arial"/>
                <w:noProof/>
                <w:webHidden/>
              </w:rPr>
              <w:tab/>
            </w:r>
            <w:r w:rsidRPr="00303F1A">
              <w:rPr>
                <w:rFonts w:ascii="Arial" w:hAnsi="Arial" w:cs="Arial"/>
                <w:noProof/>
                <w:webHidden/>
              </w:rPr>
              <w:fldChar w:fldCharType="begin"/>
            </w:r>
            <w:r w:rsidRPr="00303F1A">
              <w:rPr>
                <w:rFonts w:ascii="Arial" w:hAnsi="Arial" w:cs="Arial"/>
                <w:noProof/>
                <w:webHidden/>
              </w:rPr>
              <w:instrText xml:space="preserve"> PAGEREF _Toc209270081 \h </w:instrText>
            </w:r>
            <w:r w:rsidRPr="00303F1A">
              <w:rPr>
                <w:rFonts w:ascii="Arial" w:hAnsi="Arial" w:cs="Arial"/>
                <w:noProof/>
                <w:webHidden/>
              </w:rPr>
            </w:r>
            <w:r w:rsidRPr="00303F1A">
              <w:rPr>
                <w:rFonts w:ascii="Arial" w:hAnsi="Arial" w:cs="Arial"/>
                <w:noProof/>
                <w:webHidden/>
              </w:rPr>
              <w:fldChar w:fldCharType="separate"/>
            </w:r>
            <w:r w:rsidRPr="00303F1A">
              <w:rPr>
                <w:rFonts w:ascii="Arial" w:hAnsi="Arial" w:cs="Arial"/>
                <w:noProof/>
                <w:webHidden/>
              </w:rPr>
              <w:t>13</w:t>
            </w:r>
            <w:r w:rsidRPr="00303F1A">
              <w:rPr>
                <w:rFonts w:ascii="Arial" w:hAnsi="Arial" w:cs="Arial"/>
                <w:noProof/>
                <w:webHidden/>
              </w:rPr>
              <w:fldChar w:fldCharType="end"/>
            </w:r>
          </w:hyperlink>
        </w:p>
        <w:p w:rsidR="00303F1A" w:rsidRPr="00303F1A" w:rsidRDefault="00000000" w:rsidP="00303F1A">
          <w:pPr>
            <w:spacing w:before="0" w:beforeAutospacing="0" w:after="0" w:afterAutospacing="0"/>
            <w:rPr>
              <w:rFonts w:ascii="Arial" w:hAnsi="Arial" w:cs="Arial"/>
              <w:b/>
              <w:bCs/>
            </w:rPr>
          </w:pPr>
          <w:r w:rsidRPr="00303F1A">
            <w:rPr>
              <w:rFonts w:ascii="Arial" w:hAnsi="Arial" w:cs="Arial"/>
              <w:b/>
              <w:bCs/>
              <w:sz w:val="22"/>
            </w:rPr>
            <w:fldChar w:fldCharType="end"/>
          </w:r>
        </w:p>
      </w:sdtContent>
    </w:sdt>
    <w:p w:rsidR="00303F1A" w:rsidRPr="00303F1A" w:rsidRDefault="00000000" w:rsidP="00303F1A">
      <w:pPr>
        <w:rPr>
          <w:rFonts w:ascii="Arial" w:hAnsi="Arial" w:cs="Arial"/>
        </w:rPr>
      </w:pPr>
      <w:r w:rsidRPr="00303F1A">
        <w:rPr>
          <w:rFonts w:ascii="Arial" w:hAnsi="Arial" w:cs="Arial"/>
        </w:rPr>
        <w:br w:type="page"/>
      </w:r>
    </w:p>
    <w:p w:rsidR="00303F1A" w:rsidRPr="00303F1A" w:rsidRDefault="00000000" w:rsidP="00303F1A">
      <w:pPr>
        <w:pStyle w:val="Heading1"/>
      </w:pPr>
      <w:bookmarkStart w:id="0" w:name="_Toc209270064"/>
      <w:r w:rsidRPr="00303F1A">
        <w:lastRenderedPageBreak/>
        <w:t>1. Introduction</w:t>
      </w:r>
      <w:bookmarkEnd w:id="0"/>
      <w:r w:rsidRPr="00303F1A">
        <w:t> </w:t>
      </w:r>
    </w:p>
    <w:p w:rsidR="00303F1A" w:rsidRPr="00303F1A" w:rsidRDefault="00000000" w:rsidP="00303F1A">
      <w:pPr>
        <w:rPr>
          <w:rFonts w:ascii="Arial" w:hAnsi="Arial" w:cs="Arial"/>
          <w:sz w:val="22"/>
        </w:rPr>
      </w:pPr>
      <w:r w:rsidRPr="00303F1A">
        <w:rPr>
          <w:rFonts w:ascii="Arial" w:hAnsi="Arial" w:cs="Arial"/>
          <w:sz w:val="22"/>
        </w:rPr>
        <w:t>In this report, impulse control disorders (ICDs) as defined in ICD-11 will be analysed in terms of their diagnostic construct, treatment strategies, and overall implications to practice and policy. The discussion will shed light on controversies of classification, neurodivergence, and reclassification, the efficacy, and constraints of existing interventions. The specific focus will be on the recognition of these disorders in the healthcare environment and the difficulties of delivering the service. This report will have the objective of critically examining ICDs based on a clinical, theoretical, and policy-based perspective, with recommendations that can inform future alternatives to better diagnostic practices and responsiveness of services.</w:t>
      </w:r>
    </w:p>
    <w:p w:rsidR="00303F1A" w:rsidRPr="00303F1A" w:rsidRDefault="00000000" w:rsidP="00303F1A">
      <w:pPr>
        <w:pStyle w:val="Heading1"/>
      </w:pPr>
      <w:bookmarkStart w:id="1" w:name="_Toc209270065"/>
      <w:r w:rsidRPr="00303F1A">
        <w:t>2. Classification and Diagnosis</w:t>
      </w:r>
      <w:bookmarkEnd w:id="1"/>
      <w:r w:rsidRPr="00303F1A">
        <w:t> </w:t>
      </w:r>
    </w:p>
    <w:p w:rsidR="00303F1A" w:rsidRPr="00303F1A" w:rsidRDefault="00000000" w:rsidP="00303F1A">
      <w:pPr>
        <w:pStyle w:val="Heading2"/>
        <w:rPr>
          <w:rFonts w:ascii="Arial" w:hAnsi="Arial" w:cs="Arial"/>
        </w:rPr>
      </w:pPr>
      <w:bookmarkStart w:id="2" w:name="_Toc209270066"/>
      <w:r w:rsidRPr="00303F1A">
        <w:rPr>
          <w:rFonts w:ascii="Arial" w:hAnsi="Arial" w:cs="Arial"/>
        </w:rPr>
        <w:t>2.1 Detailed analysis of the Impulse control disorders</w:t>
      </w:r>
      <w:bookmarkEnd w:id="2"/>
      <w:r w:rsidRPr="00303F1A">
        <w:rPr>
          <w:rFonts w:ascii="Arial" w:hAnsi="Arial" w:cs="Arial"/>
        </w:rPr>
        <w:t> </w:t>
      </w:r>
    </w:p>
    <w:p w:rsidR="00303F1A" w:rsidRPr="00303F1A" w:rsidRDefault="00000000" w:rsidP="00303F1A">
      <w:pPr>
        <w:rPr>
          <w:rFonts w:ascii="Arial" w:hAnsi="Arial" w:cs="Arial"/>
          <w:sz w:val="22"/>
        </w:rPr>
      </w:pPr>
      <w:r w:rsidRPr="00303F1A">
        <w:rPr>
          <w:rFonts w:ascii="Arial" w:hAnsi="Arial" w:cs="Arial"/>
          <w:sz w:val="22"/>
        </w:rPr>
        <w:t>ICDs (</w:t>
      </w:r>
      <w:r w:rsidRPr="00303F1A">
        <w:rPr>
          <w:rFonts w:ascii="Arial" w:hAnsi="Arial" w:cs="Arial"/>
          <w:i/>
          <w:iCs/>
          <w:sz w:val="22"/>
        </w:rPr>
        <w:t>Impulse control disorders</w:t>
      </w:r>
      <w:r w:rsidRPr="00303F1A">
        <w:rPr>
          <w:rFonts w:ascii="Arial" w:hAnsi="Arial" w:cs="Arial"/>
          <w:sz w:val="22"/>
        </w:rPr>
        <w:t>) fall under ICD-11 in Block L1-6C7 as disorders characterised by recurring inability to resist strong impulses leading to immediate gratification but long-term harm. Among them are pyromania (6C70), when the fire-setting is not done out of any sensible reason, and kleptomania (6C71), where the stealing is compulsive, and the money is not earned (International Classification of Diseases, 2025). These disorders are not in line with addictive behaviours like gambling or gaming that are considered in a different category, though they have some common features of poor self-control (Kowalik and Delfabbro, 2025). Other researchers claim that this division is a construct, and impulsivity and addiction are on a continuum. Instead, ICD-11 emphasises limits to prevent overlapping of diagnoses.</w:t>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noProof/>
          <w:sz w:val="22"/>
        </w:rPr>
        <w:drawing>
          <wp:inline distT="0" distB="0" distL="0" distR="0">
            <wp:extent cx="5731510" cy="1947545"/>
            <wp:effectExtent l="0" t="0" r="2540" b="0"/>
            <wp:docPr id="16080441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044134" name="Picture 46"/>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1947545"/>
                    </a:xfrm>
                    <a:prstGeom prst="rect">
                      <a:avLst/>
                    </a:prstGeom>
                    <a:noFill/>
                    <a:ln>
                      <a:noFill/>
                    </a:ln>
                  </pic:spPr>
                </pic:pic>
              </a:graphicData>
            </a:graphic>
          </wp:inline>
        </w:drawing>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b/>
          <w:bCs/>
          <w:sz w:val="22"/>
        </w:rPr>
        <w:t>Figure 1: The rise of mental disorders among people in the UK</w:t>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sz w:val="22"/>
        </w:rPr>
        <w:t>(Source: House of Commons, 2025)</w:t>
      </w:r>
    </w:p>
    <w:p w:rsidR="00303F1A" w:rsidRPr="00303F1A" w:rsidRDefault="00000000" w:rsidP="00303F1A">
      <w:pPr>
        <w:rPr>
          <w:rFonts w:ascii="Arial" w:hAnsi="Arial" w:cs="Arial"/>
          <w:sz w:val="22"/>
        </w:rPr>
      </w:pPr>
      <w:r w:rsidRPr="00303F1A">
        <w:rPr>
          <w:rFonts w:ascii="Arial" w:hAnsi="Arial" w:cs="Arial"/>
          <w:sz w:val="22"/>
        </w:rPr>
        <w:t>Their relevancy is supported by national data. The impact of the care burden was demonstrated by more than 4,000 admissions in 2023 related to disorders of impulse dysregulation, as NHS hospital episode records show (NHS, 2023). On the contrary, approximately 11% of adults in England experience harmful impulsive behaviours each year, implying that only a small percentage make it to clinical environments, creating a gap in their diagnosis (Statista, 2025a). There are also cultural interpretations that make classification difficult: in one culture, fire-setting can be viewed simply as a criminal offence, whereas in another culture it can be viewed as a psychiatric problem.</w:t>
      </w:r>
    </w:p>
    <w:p w:rsidR="00303F1A" w:rsidRPr="00303F1A" w:rsidRDefault="00000000" w:rsidP="00303F1A">
      <w:pPr>
        <w:pStyle w:val="Heading2"/>
        <w:rPr>
          <w:rFonts w:ascii="Arial" w:hAnsi="Arial" w:cs="Arial"/>
        </w:rPr>
      </w:pPr>
      <w:bookmarkStart w:id="3" w:name="_Toc209270067"/>
      <w:r w:rsidRPr="00303F1A">
        <w:rPr>
          <w:rFonts w:ascii="Arial" w:hAnsi="Arial" w:cs="Arial"/>
        </w:rPr>
        <w:t>2.2 Diagnostic criteria and process associated with Impulse control disorders</w:t>
      </w:r>
      <w:bookmarkEnd w:id="3"/>
      <w:r w:rsidRPr="00303F1A">
        <w:rPr>
          <w:rFonts w:ascii="Arial" w:hAnsi="Arial" w:cs="Arial"/>
        </w:rPr>
        <w:t> </w:t>
      </w:r>
    </w:p>
    <w:p w:rsidR="00303F1A" w:rsidRPr="00303F1A" w:rsidRDefault="00000000" w:rsidP="00303F1A">
      <w:pPr>
        <w:rPr>
          <w:rFonts w:ascii="Arial" w:hAnsi="Arial" w:cs="Arial"/>
          <w:sz w:val="22"/>
        </w:rPr>
      </w:pPr>
      <w:r w:rsidRPr="00303F1A">
        <w:rPr>
          <w:rFonts w:ascii="Arial" w:hAnsi="Arial" w:cs="Arial"/>
          <w:sz w:val="22"/>
        </w:rPr>
        <w:t>ICD-11 demands three characteristics of diagnosis, and they include inability to resist impulses recurrently, heightened tension before the act, and relief or gratification following the act. The condition should also result in severe functional disproportion (International Classification of Diseases, 2025). This, in contrast to ICD-10, is certain that impulsive behaviours in themselves do not justify a diagnosis unless they affect everyday life. The exclusion criteria are also emphasised, as cases that could be better accounted for by substance misuse, psychosis, or intellectual disability are excluded. It is clinically significant because NHS statistics show that around one-fifth of all impulsive behaviour presentations are caused by substance abuse and not primary ICDs (Fariba and Gokarakonda, 2021).</w:t>
      </w:r>
    </w:p>
    <w:p w:rsidR="00303F1A" w:rsidRPr="00303F1A" w:rsidRDefault="00000000" w:rsidP="00303F1A">
      <w:pPr>
        <w:rPr>
          <w:rFonts w:ascii="Arial" w:hAnsi="Arial" w:cs="Arial"/>
          <w:sz w:val="22"/>
        </w:rPr>
      </w:pPr>
      <w:r w:rsidRPr="00303F1A">
        <w:rPr>
          <w:rFonts w:ascii="Arial" w:hAnsi="Arial" w:cs="Arial"/>
          <w:sz w:val="22"/>
        </w:rPr>
        <w:t>Diagnosis is based on the structured interviews and the collateral information. There is neurocognitive research indicating the presence of impairment of executive functioning, but the tests are not commonly practised in the NHS. Waiting lists also cause delayed identification, and the average wait time for secondary assessment in 2024 is 13 weeks (Morris, 2024). There is an impressive level of discrepancy between need and service delivery when it comes to the treatment of those with issues of impulse treatment, since only 49.3% of people with such problems are treated annually and gain recovery (NHS, 2025). Conversely, the strict categorical criteria can miss the complex cases, and the use of dimensional models to determine the connection between impulsivity and ADHD/personality disorders will lead to overdiagnosis.</w:t>
      </w:r>
    </w:p>
    <w:p w:rsidR="00303F1A" w:rsidRPr="00303F1A" w:rsidRDefault="00000000" w:rsidP="00303F1A">
      <w:pPr>
        <w:pStyle w:val="Heading2"/>
        <w:rPr>
          <w:rFonts w:ascii="Arial" w:hAnsi="Arial" w:cs="Arial"/>
        </w:rPr>
      </w:pPr>
      <w:bookmarkStart w:id="4" w:name="_Toc209270068"/>
      <w:r w:rsidRPr="00303F1A">
        <w:rPr>
          <w:rFonts w:ascii="Arial" w:hAnsi="Arial" w:cs="Arial"/>
        </w:rPr>
        <w:t>2.3 Language used in the classification and its justification</w:t>
      </w:r>
      <w:bookmarkEnd w:id="4"/>
    </w:p>
    <w:p w:rsidR="00303F1A" w:rsidRPr="00303F1A" w:rsidRDefault="00000000" w:rsidP="00303F1A">
      <w:pPr>
        <w:rPr>
          <w:rFonts w:ascii="Arial" w:hAnsi="Arial" w:cs="Arial"/>
          <w:sz w:val="22"/>
        </w:rPr>
      </w:pPr>
      <w:r w:rsidRPr="00303F1A">
        <w:rPr>
          <w:rFonts w:ascii="Arial" w:hAnsi="Arial" w:cs="Arial"/>
          <w:sz w:val="22"/>
        </w:rPr>
        <w:t xml:space="preserve">ICD-11 does not make a moral judgment, but instead describes a habit or vice; the term disorder is applied to reflect clinical impairment. It is justified by the use of thresholds based on such terms as marked distress and significant impairment, and it is necessary to make sure that only the clinically significant cases are diagnosed (Rowland and Cooper, 2022). NHS surveys of adolescents indicate that only 3% of adolescents impair themselves impulsively, as seen in 15% of adolescents, which supports this restrictive language (Carvalho </w:t>
      </w:r>
      <w:r w:rsidRPr="00303F1A">
        <w:rPr>
          <w:rFonts w:ascii="Arial" w:hAnsi="Arial" w:cs="Arial"/>
          <w:i/>
          <w:iCs/>
          <w:sz w:val="22"/>
        </w:rPr>
        <w:t>et al.</w:t>
      </w:r>
      <w:r w:rsidRPr="00303F1A">
        <w:rPr>
          <w:rFonts w:ascii="Arial" w:hAnsi="Arial" w:cs="Arial"/>
          <w:sz w:val="22"/>
        </w:rPr>
        <w:t>, 2023). On the other hand, critics state that high thresholds drive away the chances of early intervention.</w:t>
      </w:r>
    </w:p>
    <w:p w:rsidR="00303F1A" w:rsidRPr="00303F1A" w:rsidRDefault="00000000" w:rsidP="00303F1A">
      <w:pPr>
        <w:rPr>
          <w:rFonts w:ascii="Arial" w:hAnsi="Arial" w:cs="Arial"/>
          <w:sz w:val="22"/>
        </w:rPr>
      </w:pPr>
      <w:r w:rsidRPr="00303F1A">
        <w:rPr>
          <w:rFonts w:ascii="Arial" w:hAnsi="Arial" w:cs="Arial"/>
          <w:sz w:val="22"/>
        </w:rPr>
        <w:t>ICD-11 is also comparable with other classes of psychiatric illnesses in the selection of disorders, and can facilitate research and policy comparability. Nonetheless, the belief of the population is weak, where 39% of the UK respondents consider psychiatric diagnoses scientifically valid (Statista, 2025b). This proves that language alone does not lead to a decrease in stigma. ICD-11 exclusionary notes do not allow overlap with conduct or bipolar disorders; however, strict terminology can be used to leave some cases unclassified (International Classification of Diseases, 2025). Quite the contrary, the use of less strict definitions may invalidate reliability.</w:t>
      </w:r>
    </w:p>
    <w:p w:rsidR="00303F1A" w:rsidRPr="00303F1A" w:rsidRDefault="00000000" w:rsidP="00303F1A">
      <w:pPr>
        <w:pStyle w:val="Heading1"/>
      </w:pPr>
      <w:bookmarkStart w:id="5" w:name="_Toc209270069"/>
      <w:r w:rsidRPr="00303F1A">
        <w:t>3. Treatment and Rehabilitation</w:t>
      </w:r>
      <w:bookmarkEnd w:id="5"/>
    </w:p>
    <w:p w:rsidR="00303F1A" w:rsidRPr="00303F1A" w:rsidRDefault="00000000" w:rsidP="00303F1A">
      <w:pPr>
        <w:pStyle w:val="Heading2"/>
        <w:rPr>
          <w:rFonts w:ascii="Arial" w:hAnsi="Arial" w:cs="Arial"/>
        </w:rPr>
      </w:pPr>
      <w:bookmarkStart w:id="6" w:name="_Toc209270070"/>
      <w:r w:rsidRPr="00303F1A">
        <w:rPr>
          <w:rFonts w:ascii="Arial" w:hAnsi="Arial" w:cs="Arial"/>
        </w:rPr>
        <w:t>3.1 Critical Evaluation of the standard approach to the condition</w:t>
      </w:r>
      <w:bookmarkEnd w:id="6"/>
    </w:p>
    <w:p w:rsidR="00303F1A" w:rsidRPr="00303F1A" w:rsidRDefault="00000000" w:rsidP="00303F1A">
      <w:pPr>
        <w:rPr>
          <w:rFonts w:ascii="Arial" w:hAnsi="Arial" w:cs="Arial"/>
          <w:sz w:val="22"/>
        </w:rPr>
      </w:pPr>
      <w:r w:rsidRPr="00303F1A">
        <w:rPr>
          <w:rFonts w:ascii="Arial" w:hAnsi="Arial" w:cs="Arial"/>
          <w:sz w:val="22"/>
        </w:rPr>
        <w:t xml:space="preserve">The biopsychosocial approach to the treatment of </w:t>
      </w:r>
      <w:r w:rsidRPr="00303F1A">
        <w:rPr>
          <w:rFonts w:ascii="Arial" w:hAnsi="Arial" w:cs="Arial"/>
          <w:b/>
          <w:bCs/>
          <w:i/>
          <w:iCs/>
          <w:sz w:val="22"/>
        </w:rPr>
        <w:t>Impulse Control Disorders</w:t>
      </w:r>
      <w:r w:rsidRPr="00303F1A">
        <w:rPr>
          <w:rFonts w:ascii="Arial" w:hAnsi="Arial" w:cs="Arial"/>
          <w:sz w:val="22"/>
        </w:rPr>
        <w:t xml:space="preserve"> (ICDs) is pretty similar to the standard clinical approach: structured psychological interventions (mostly cognitive-behavioural therapies, which focus on impulse-management, anger regulation and relapse prevention) are considered as the first-line treatment, with pharmacological agents playing an adjunctive role, to target particular symptoms, such as SSRIs or mood-stabilisers to target anger/irritability or comorbidities (Fusaroli </w:t>
      </w:r>
      <w:r w:rsidRPr="00303F1A">
        <w:rPr>
          <w:rFonts w:ascii="Arial" w:hAnsi="Arial" w:cs="Arial"/>
          <w:i/>
          <w:iCs/>
          <w:sz w:val="22"/>
        </w:rPr>
        <w:t>et al</w:t>
      </w:r>
      <w:r w:rsidRPr="00303F1A">
        <w:rPr>
          <w:rFonts w:ascii="Arial" w:hAnsi="Arial" w:cs="Arial"/>
          <w:sz w:val="22"/>
        </w:rPr>
        <w:t>., 2023). </w:t>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noProof/>
          <w:sz w:val="22"/>
        </w:rPr>
        <w:drawing>
          <wp:inline distT="0" distB="0" distL="0" distR="0">
            <wp:extent cx="5731510" cy="4298950"/>
            <wp:effectExtent l="0" t="0" r="2540" b="6350"/>
            <wp:docPr id="14405367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536778" name="Picture 47"/>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4298950"/>
                    </a:xfrm>
                    <a:prstGeom prst="rect">
                      <a:avLst/>
                    </a:prstGeom>
                    <a:noFill/>
                    <a:ln>
                      <a:noFill/>
                    </a:ln>
                  </pic:spPr>
                </pic:pic>
              </a:graphicData>
            </a:graphic>
          </wp:inline>
        </w:drawing>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b/>
          <w:bCs/>
          <w:sz w:val="22"/>
        </w:rPr>
        <w:t>Figure 2: The rise of antidepressants for treating ICD among people</w:t>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sz w:val="22"/>
        </w:rPr>
        <w:t>(Source: The Business Research Company, 2025)</w:t>
      </w:r>
    </w:p>
    <w:p w:rsidR="00303F1A" w:rsidRPr="00303F1A" w:rsidRDefault="00000000" w:rsidP="00303F1A">
      <w:pPr>
        <w:rPr>
          <w:rFonts w:ascii="Arial" w:hAnsi="Arial" w:cs="Arial"/>
          <w:sz w:val="22"/>
        </w:rPr>
      </w:pPr>
      <w:r w:rsidRPr="00303F1A">
        <w:rPr>
          <w:rFonts w:ascii="Arial" w:hAnsi="Arial" w:cs="Arial"/>
          <w:sz w:val="22"/>
        </w:rPr>
        <w:t>This model is the expression of ICDs heterogeneity, intermittent explosive disorder, kleptomania, pyromania, compulsive sexual behaviour, etc. and the necessity to respond to legal, safety and psychosocial risks and reduce symptoms. The ICD-11 sheds light on the categories of diagnostic expression in comparison with ICD-10, which enhances clinical usability but does not impose a prescriptive treatment trajectory.</w:t>
      </w:r>
    </w:p>
    <w:p w:rsidR="00303F1A" w:rsidRPr="00303F1A" w:rsidRDefault="00000000" w:rsidP="00303F1A">
      <w:pPr>
        <w:pStyle w:val="Heading2"/>
        <w:rPr>
          <w:rFonts w:ascii="Arial" w:hAnsi="Arial" w:cs="Arial"/>
        </w:rPr>
      </w:pPr>
      <w:bookmarkStart w:id="7" w:name="_Toc209270071"/>
      <w:r w:rsidRPr="00303F1A">
        <w:rPr>
          <w:rFonts w:ascii="Arial" w:hAnsi="Arial" w:cs="Arial"/>
        </w:rPr>
        <w:t>3.2 Examine the rehabilitation measures included in ICD-11 and in practice</w:t>
      </w:r>
      <w:bookmarkEnd w:id="7"/>
    </w:p>
    <w:p w:rsidR="00303F1A" w:rsidRPr="00303F1A" w:rsidRDefault="00000000" w:rsidP="00303F1A">
      <w:pPr>
        <w:rPr>
          <w:rFonts w:ascii="Arial" w:hAnsi="Arial" w:cs="Arial"/>
          <w:sz w:val="22"/>
        </w:rPr>
      </w:pPr>
      <w:r w:rsidRPr="00303F1A">
        <w:rPr>
          <w:rFonts w:ascii="Arial" w:hAnsi="Arial" w:cs="Arial"/>
          <w:sz w:val="22"/>
        </w:rPr>
        <w:t>ICD-11 mentions descriptive, diagnostic and clinical advice but lacks detailed rehabilitation protocols, and therefore, practised rehabilitation is provided in the form of multidisciplinary packages depending on subtype and risk. Common interventions in clinical services are manualised CBT (</w:t>
      </w:r>
      <w:r w:rsidRPr="00303F1A">
        <w:rPr>
          <w:rFonts w:ascii="Arial" w:hAnsi="Arial" w:cs="Arial"/>
          <w:i/>
          <w:iCs/>
          <w:sz w:val="22"/>
        </w:rPr>
        <w:t>skills training to emotion recognition, stimulus control, problem solving and relapse prevention</w:t>
      </w:r>
      <w:r w:rsidRPr="00303F1A">
        <w:rPr>
          <w:rFonts w:ascii="Arial" w:hAnsi="Arial" w:cs="Arial"/>
          <w:sz w:val="22"/>
        </w:rPr>
        <w:t xml:space="preserve">), family or systemic work where interpersonal harms have been experienced, pharmacotherapy where indicated due to co-occurring mood or impulse symptoms and forensic or social coordination where behaviour has legal implications (Zhang </w:t>
      </w:r>
      <w:r w:rsidRPr="00303F1A">
        <w:rPr>
          <w:rFonts w:ascii="Arial" w:hAnsi="Arial" w:cs="Arial"/>
          <w:i/>
          <w:iCs/>
          <w:sz w:val="22"/>
        </w:rPr>
        <w:t>et al</w:t>
      </w:r>
      <w:r w:rsidRPr="00303F1A">
        <w:rPr>
          <w:rFonts w:ascii="Arial" w:hAnsi="Arial" w:cs="Arial"/>
          <w:sz w:val="22"/>
        </w:rPr>
        <w:t>., 2021). The community-based rehabilitation elements, vocational assistance, social skills training, and social long-term monitoring are generally suggested in service guidance, although these supports differ extensively across jurisdictions.</w:t>
      </w:r>
    </w:p>
    <w:p w:rsidR="00303F1A" w:rsidRPr="00303F1A" w:rsidRDefault="00000000" w:rsidP="00303F1A">
      <w:pPr>
        <w:pStyle w:val="Heading2"/>
        <w:rPr>
          <w:rFonts w:ascii="Arial" w:hAnsi="Arial" w:cs="Arial"/>
        </w:rPr>
      </w:pPr>
      <w:bookmarkStart w:id="8" w:name="_Toc209270072"/>
      <w:r w:rsidRPr="00303F1A">
        <w:rPr>
          <w:rFonts w:ascii="Arial" w:hAnsi="Arial" w:cs="Arial"/>
        </w:rPr>
        <w:t>3.3 The effectiveness and limitations of these approaches</w:t>
      </w:r>
      <w:bookmarkEnd w:id="8"/>
    </w:p>
    <w:p w:rsidR="00303F1A" w:rsidRPr="00303F1A" w:rsidRDefault="00000000" w:rsidP="00303F1A">
      <w:pPr>
        <w:rPr>
          <w:rFonts w:ascii="Arial" w:hAnsi="Arial" w:cs="Arial"/>
          <w:sz w:val="22"/>
        </w:rPr>
      </w:pPr>
      <w:r w:rsidRPr="00303F1A">
        <w:rPr>
          <w:rFonts w:ascii="Arial" w:hAnsi="Arial" w:cs="Arial"/>
          <w:sz w:val="22"/>
        </w:rPr>
        <w:t xml:space="preserve">New syntheses point to psychological interventions, especially CBT, having significant reductions in aggressive and impulsive behaviours and have a higher level of remission than most pharmacological interventions in controlled trials, and medications, including SSRIs, may help lower irritability and mood-related symptoms in some patients. Specific pharmacotherapies, such as opioid antagonists (especially naltrexone), have provided evidence of promising open-label and small-controlled effects in kleptomania and related presentations, but have not been in common use and have not been adequately replicated (Augustine </w:t>
      </w:r>
      <w:r w:rsidRPr="00303F1A">
        <w:rPr>
          <w:rFonts w:ascii="Arial" w:hAnsi="Arial" w:cs="Arial"/>
          <w:i/>
          <w:iCs/>
          <w:sz w:val="22"/>
        </w:rPr>
        <w:t>et al</w:t>
      </w:r>
      <w:r w:rsidRPr="00303F1A">
        <w:rPr>
          <w:rFonts w:ascii="Arial" w:hAnsi="Arial" w:cs="Arial"/>
          <w:sz w:val="22"/>
        </w:rPr>
        <w:t xml:space="preserve">., 2021). On the whole, the evidence base is limited in terms of small sample sizes, heterogeneity of outcome measures, use of case series and relative lack of larger and long-term randomised trials. Comorbidity (substance use, personality disorders) also makes causal attribution and generalisability harder (Faouzi </w:t>
      </w:r>
      <w:r w:rsidRPr="00303F1A">
        <w:rPr>
          <w:rFonts w:ascii="Arial" w:hAnsi="Arial" w:cs="Arial"/>
          <w:i/>
          <w:iCs/>
          <w:sz w:val="22"/>
        </w:rPr>
        <w:t>et al</w:t>
      </w:r>
      <w:r w:rsidRPr="00303F1A">
        <w:rPr>
          <w:rFonts w:ascii="Arial" w:hAnsi="Arial" w:cs="Arial"/>
          <w:sz w:val="22"/>
        </w:rPr>
        <w:t>., 2021). These shortcomings imply that, despite the existing methods of symptom reduction and risk management, the methods frequently need long-lasting, person-specific rehabilitation plans and more standardised studies to guide the policy and service delivery.</w:t>
      </w:r>
    </w:p>
    <w:p w:rsidR="00303F1A" w:rsidRPr="00303F1A" w:rsidRDefault="00000000" w:rsidP="00303F1A">
      <w:pPr>
        <w:pStyle w:val="Heading1"/>
      </w:pPr>
      <w:bookmarkStart w:id="9" w:name="_Toc209270073"/>
      <w:r w:rsidRPr="00303F1A">
        <w:t>4. Current Debates and Emerging Issues</w:t>
      </w:r>
      <w:bookmarkEnd w:id="9"/>
      <w:r w:rsidRPr="00303F1A">
        <w:t> </w:t>
      </w:r>
    </w:p>
    <w:p w:rsidR="00303F1A" w:rsidRPr="00303F1A" w:rsidRDefault="00000000" w:rsidP="00303F1A">
      <w:pPr>
        <w:pStyle w:val="Heading2"/>
        <w:rPr>
          <w:rFonts w:ascii="Arial" w:hAnsi="Arial" w:cs="Arial"/>
        </w:rPr>
      </w:pPr>
      <w:bookmarkStart w:id="10" w:name="_Toc209270074"/>
      <w:r w:rsidRPr="00303F1A">
        <w:rPr>
          <w:rFonts w:ascii="Arial" w:hAnsi="Arial" w:cs="Arial"/>
        </w:rPr>
        <w:t>4.1 Ongoing debates concerning the classified issues and the treatment of the condition.</w:t>
      </w:r>
      <w:bookmarkEnd w:id="10"/>
    </w:p>
    <w:p w:rsidR="00303F1A" w:rsidRPr="00303F1A" w:rsidRDefault="00000000" w:rsidP="00303F1A">
      <w:pPr>
        <w:rPr>
          <w:rFonts w:ascii="Arial" w:hAnsi="Arial" w:cs="Arial"/>
          <w:sz w:val="22"/>
        </w:rPr>
      </w:pPr>
      <w:r w:rsidRPr="00303F1A">
        <w:rPr>
          <w:rFonts w:ascii="Arial" w:hAnsi="Arial" w:cs="Arial"/>
          <w:b/>
          <w:bCs/>
          <w:i/>
          <w:iCs/>
          <w:sz w:val="22"/>
          <w:u w:val="single"/>
        </w:rPr>
        <w:t>Ongoing debates</w:t>
      </w:r>
    </w:p>
    <w:p w:rsidR="00303F1A" w:rsidRPr="00303F1A" w:rsidRDefault="00000000" w:rsidP="00303F1A">
      <w:pPr>
        <w:rPr>
          <w:rFonts w:ascii="Arial" w:hAnsi="Arial" w:cs="Arial"/>
          <w:sz w:val="22"/>
        </w:rPr>
      </w:pPr>
      <w:r w:rsidRPr="00303F1A">
        <w:rPr>
          <w:rFonts w:ascii="Arial" w:hAnsi="Arial" w:cs="Arial"/>
          <w:sz w:val="22"/>
        </w:rPr>
        <w:t xml:space="preserve">ICD-11 on impulse control disorders (ICDs) has come under controversy. The paradigm isolates them as compared to behavioural addictions like gambling or gaming, and it focuses on the tension-release cycle as opposed to reinforcement (Alcaro </w:t>
      </w:r>
      <w:r w:rsidRPr="00303F1A">
        <w:rPr>
          <w:rFonts w:ascii="Arial" w:hAnsi="Arial" w:cs="Arial"/>
          <w:i/>
          <w:iCs/>
          <w:sz w:val="22"/>
        </w:rPr>
        <w:t xml:space="preserve">et al., </w:t>
      </w:r>
      <w:r w:rsidRPr="00303F1A">
        <w:rPr>
          <w:rFonts w:ascii="Arial" w:hAnsi="Arial" w:cs="Arial"/>
          <w:sz w:val="22"/>
        </w:rPr>
        <w:t xml:space="preserve">2021). There are, however, numerous clinicians who point toward impulsivity and addiction as being highly intertwined, whereby kleptomania and compulsive fire-setting exhibit characteristics that resemble dependency. Quite the contrary, the combination of these groups may cause confusion and the lack of clinical boundaries, which undermines the clarity of diagnosis (Meyer </w:t>
      </w:r>
      <w:r w:rsidRPr="00303F1A">
        <w:rPr>
          <w:rFonts w:ascii="Arial" w:hAnsi="Arial" w:cs="Arial"/>
          <w:i/>
          <w:iCs/>
          <w:sz w:val="22"/>
        </w:rPr>
        <w:t>et al.</w:t>
      </w:r>
      <w:r w:rsidRPr="00303F1A">
        <w:rPr>
          <w:rFonts w:ascii="Arial" w:hAnsi="Arial" w:cs="Arial"/>
          <w:sz w:val="22"/>
        </w:rPr>
        <w:t>, 2021). Some argue that ICDs can be indicators of more general disorders, such as those of personality or mood, and therefore need not be maintained as individual disorders.</w:t>
      </w:r>
    </w:p>
    <w:p w:rsidR="00303F1A" w:rsidRPr="00303F1A" w:rsidRDefault="00000000" w:rsidP="00303F1A">
      <w:pPr>
        <w:rPr>
          <w:rFonts w:ascii="Arial" w:hAnsi="Arial" w:cs="Arial"/>
          <w:sz w:val="22"/>
        </w:rPr>
      </w:pPr>
      <w:r w:rsidRPr="00303F1A">
        <w:rPr>
          <w:rFonts w:ascii="Arial" w:hAnsi="Arial" w:cs="Arial"/>
          <w:b/>
          <w:bCs/>
          <w:i/>
          <w:iCs/>
          <w:sz w:val="22"/>
          <w:u w:val="single"/>
        </w:rPr>
        <w:t>Treatment of the conditions</w:t>
      </w:r>
    </w:p>
    <w:p w:rsidR="00303F1A" w:rsidRPr="00303F1A" w:rsidRDefault="00000000" w:rsidP="00303F1A">
      <w:pPr>
        <w:rPr>
          <w:rFonts w:ascii="Arial" w:hAnsi="Arial" w:cs="Arial"/>
          <w:sz w:val="22"/>
        </w:rPr>
      </w:pPr>
      <w:r w:rsidRPr="00303F1A">
        <w:rPr>
          <w:rFonts w:ascii="Arial" w:hAnsi="Arial" w:cs="Arial"/>
          <w:sz w:val="22"/>
        </w:rPr>
        <w:t xml:space="preserve">Conflicts also go to treatment. The existing interventions are based on the models applied in the treatment of obsessive-compulsive disorder or addictions, such as </w:t>
      </w:r>
      <w:r w:rsidRPr="00303F1A">
        <w:rPr>
          <w:rFonts w:ascii="Arial" w:hAnsi="Arial" w:cs="Arial"/>
          <w:b/>
          <w:bCs/>
          <w:i/>
          <w:iCs/>
          <w:sz w:val="22"/>
        </w:rPr>
        <w:t xml:space="preserve">cognitive behavioural therapy </w:t>
      </w:r>
      <w:r w:rsidRPr="00303F1A">
        <w:rPr>
          <w:rFonts w:ascii="Arial" w:hAnsi="Arial" w:cs="Arial"/>
          <w:sz w:val="22"/>
        </w:rPr>
        <w:t xml:space="preserve">and selective serotonin reuptake inhibitors (Mao </w:t>
      </w:r>
      <w:r w:rsidRPr="00303F1A">
        <w:rPr>
          <w:rFonts w:ascii="Arial" w:hAnsi="Arial" w:cs="Arial"/>
          <w:i/>
          <w:iCs/>
          <w:sz w:val="22"/>
        </w:rPr>
        <w:t>et al.</w:t>
      </w:r>
      <w:r w:rsidRPr="00303F1A">
        <w:rPr>
          <w:rFonts w:ascii="Arial" w:hAnsi="Arial" w:cs="Arial"/>
          <w:sz w:val="22"/>
        </w:rPr>
        <w:t>, 2022). </w:t>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noProof/>
          <w:sz w:val="22"/>
        </w:rPr>
        <w:drawing>
          <wp:inline distT="0" distB="0" distL="0" distR="0">
            <wp:extent cx="5731510" cy="3079115"/>
            <wp:effectExtent l="0" t="0" r="2540" b="6985"/>
            <wp:docPr id="175363997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639979" name="Picture 48"/>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3079115"/>
                    </a:xfrm>
                    <a:prstGeom prst="rect">
                      <a:avLst/>
                    </a:prstGeom>
                    <a:noFill/>
                    <a:ln>
                      <a:noFill/>
                    </a:ln>
                  </pic:spPr>
                </pic:pic>
              </a:graphicData>
            </a:graphic>
          </wp:inline>
        </w:drawing>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b/>
          <w:bCs/>
          <w:sz w:val="22"/>
        </w:rPr>
        <w:t xml:space="preserve">Figure 3: Application of </w:t>
      </w:r>
      <w:r w:rsidRPr="00303F1A">
        <w:rPr>
          <w:rFonts w:ascii="Arial" w:hAnsi="Arial" w:cs="Arial"/>
          <w:b/>
          <w:bCs/>
          <w:i/>
          <w:iCs/>
          <w:sz w:val="22"/>
        </w:rPr>
        <w:t xml:space="preserve">cognitive behavioural therapy </w:t>
      </w:r>
      <w:r w:rsidRPr="00303F1A">
        <w:rPr>
          <w:rFonts w:ascii="Arial" w:hAnsi="Arial" w:cs="Arial"/>
          <w:b/>
          <w:bCs/>
          <w:sz w:val="22"/>
        </w:rPr>
        <w:t>to treat ICD</w:t>
      </w:r>
    </w:p>
    <w:p w:rsidR="00303F1A" w:rsidRPr="00303F1A" w:rsidRDefault="00000000" w:rsidP="00303F1A">
      <w:pPr>
        <w:spacing w:before="0" w:beforeAutospacing="0" w:after="0" w:afterAutospacing="0"/>
        <w:jc w:val="center"/>
        <w:rPr>
          <w:rFonts w:ascii="Arial" w:hAnsi="Arial" w:cs="Arial"/>
          <w:sz w:val="22"/>
        </w:rPr>
      </w:pPr>
      <w:r w:rsidRPr="00303F1A">
        <w:rPr>
          <w:rFonts w:ascii="Arial" w:hAnsi="Arial" w:cs="Arial"/>
          <w:sz w:val="22"/>
        </w:rPr>
        <w:t>(Source: Palsson and Ballou, 2020)</w:t>
      </w:r>
    </w:p>
    <w:p w:rsidR="00303F1A" w:rsidRPr="00303F1A" w:rsidRDefault="00000000" w:rsidP="00303F1A">
      <w:pPr>
        <w:rPr>
          <w:rFonts w:ascii="Arial" w:hAnsi="Arial" w:cs="Arial"/>
          <w:sz w:val="22"/>
        </w:rPr>
      </w:pPr>
      <w:r w:rsidRPr="00303F1A">
        <w:rPr>
          <w:rFonts w:ascii="Arial" w:hAnsi="Arial" w:cs="Arial"/>
          <w:sz w:val="22"/>
        </w:rPr>
        <w:t xml:space="preserve">Although there is some evidence that these methods can help decrease the symptoms, the high rates of relapses are something that makes it doubtful whether these methods will be effective in the long run. Conversely, the absence of </w:t>
      </w:r>
      <w:r w:rsidRPr="00303F1A">
        <w:rPr>
          <w:rFonts w:ascii="Arial" w:hAnsi="Arial" w:cs="Arial"/>
          <w:b/>
          <w:bCs/>
          <w:i/>
          <w:iCs/>
          <w:sz w:val="22"/>
        </w:rPr>
        <w:t>disorder-specific guidelines</w:t>
      </w:r>
      <w:r w:rsidRPr="00303F1A">
        <w:rPr>
          <w:rFonts w:ascii="Arial" w:hAnsi="Arial" w:cs="Arial"/>
          <w:sz w:val="22"/>
        </w:rPr>
        <w:t xml:space="preserve"> has created inconsistency in practice across services, with clinicians basing their practice on extrapolated strategies (Mills </w:t>
      </w:r>
      <w:r w:rsidRPr="00303F1A">
        <w:rPr>
          <w:rFonts w:ascii="Arial" w:hAnsi="Arial" w:cs="Arial"/>
          <w:i/>
          <w:iCs/>
          <w:sz w:val="22"/>
        </w:rPr>
        <w:t xml:space="preserve">et al., </w:t>
      </w:r>
      <w:r w:rsidRPr="00303F1A">
        <w:rPr>
          <w:rFonts w:ascii="Arial" w:hAnsi="Arial" w:cs="Arial"/>
          <w:sz w:val="22"/>
        </w:rPr>
        <w:t>2023). On the other hand, proponents of the current system claim that there is flexibility in the treatments to ensure that clinicians can customise care as opposed to biased protocols.</w:t>
      </w:r>
    </w:p>
    <w:p w:rsidR="00303F1A" w:rsidRPr="00303F1A" w:rsidRDefault="00000000" w:rsidP="00303F1A">
      <w:pPr>
        <w:pStyle w:val="Heading2"/>
        <w:rPr>
          <w:rFonts w:ascii="Arial" w:hAnsi="Arial" w:cs="Arial"/>
        </w:rPr>
      </w:pPr>
      <w:bookmarkStart w:id="11" w:name="_Toc209270075"/>
      <w:r w:rsidRPr="00303F1A">
        <w:rPr>
          <w:rFonts w:ascii="Arial" w:hAnsi="Arial" w:cs="Arial"/>
        </w:rPr>
        <w:t>4.2 Critical assessment on the role of neurodivergence and any relevant reclassification issues</w:t>
      </w:r>
      <w:bookmarkEnd w:id="11"/>
    </w:p>
    <w:p w:rsidR="00303F1A" w:rsidRPr="00303F1A" w:rsidRDefault="00000000" w:rsidP="00303F1A">
      <w:pPr>
        <w:rPr>
          <w:rFonts w:ascii="Arial" w:hAnsi="Arial" w:cs="Arial"/>
          <w:sz w:val="22"/>
        </w:rPr>
      </w:pPr>
      <w:r w:rsidRPr="00303F1A">
        <w:rPr>
          <w:rFonts w:ascii="Arial" w:hAnsi="Arial" w:cs="Arial"/>
          <w:b/>
          <w:bCs/>
          <w:i/>
          <w:iCs/>
          <w:sz w:val="22"/>
          <w:u w:val="single"/>
        </w:rPr>
        <w:t>Role of neurodivergence</w:t>
      </w:r>
    </w:p>
    <w:p w:rsidR="00303F1A" w:rsidRPr="00303F1A" w:rsidRDefault="00000000" w:rsidP="00303F1A">
      <w:pPr>
        <w:rPr>
          <w:rFonts w:ascii="Arial" w:hAnsi="Arial" w:cs="Arial"/>
          <w:sz w:val="22"/>
        </w:rPr>
      </w:pPr>
      <w:r w:rsidRPr="00303F1A">
        <w:rPr>
          <w:rFonts w:ascii="Arial" w:hAnsi="Arial" w:cs="Arial"/>
          <w:sz w:val="22"/>
        </w:rPr>
        <w:t xml:space="preserve">The relationship between neurodivergence and ICDs remains an arguable one. Impulsivity is a recognised trait of other conditions, such as ADHD and autism, which raises the question of whether ICDs are secondary or independent phenomena. Impulsivity in the general population is demonstrated by 13.9% of the adults in England screening positive for ADHD as measured by the measure of possible ADHD using the ASRS in 2023/24 (Chamberlain </w:t>
      </w:r>
      <w:r w:rsidRPr="00303F1A">
        <w:rPr>
          <w:rFonts w:ascii="Arial" w:hAnsi="Arial" w:cs="Arial"/>
          <w:i/>
          <w:iCs/>
          <w:sz w:val="22"/>
        </w:rPr>
        <w:t>et al.</w:t>
      </w:r>
      <w:r w:rsidRPr="00303F1A">
        <w:rPr>
          <w:rFonts w:ascii="Arial" w:hAnsi="Arial" w:cs="Arial"/>
          <w:sz w:val="22"/>
        </w:rPr>
        <w:t>, 2021). Nevertheless, over 60% of the individuals who screened positive reported no form of treatment for mental or emotional problems, which is one of the significant treatment gaps. This overlap shows that the normal neurological process could be concealed by the adherence to the rules of the ICDs and the separation of neurodevelopmental conditions.</w:t>
      </w:r>
    </w:p>
    <w:p w:rsidR="00303F1A" w:rsidRPr="00303F1A" w:rsidRDefault="00000000" w:rsidP="00303F1A">
      <w:pPr>
        <w:rPr>
          <w:rFonts w:ascii="Arial" w:hAnsi="Arial" w:cs="Arial"/>
          <w:sz w:val="22"/>
        </w:rPr>
      </w:pPr>
      <w:r w:rsidRPr="00303F1A">
        <w:rPr>
          <w:rFonts w:ascii="Arial" w:hAnsi="Arial" w:cs="Arial"/>
          <w:b/>
          <w:bCs/>
          <w:i/>
          <w:iCs/>
          <w:sz w:val="22"/>
          <w:u w:val="single"/>
        </w:rPr>
        <w:t>Relevant reclassification issues</w:t>
      </w:r>
    </w:p>
    <w:p w:rsidR="00303F1A" w:rsidRPr="00303F1A" w:rsidRDefault="00000000" w:rsidP="00303F1A">
      <w:pPr>
        <w:rPr>
          <w:rFonts w:ascii="Arial" w:hAnsi="Arial" w:cs="Arial"/>
          <w:sz w:val="22"/>
        </w:rPr>
      </w:pPr>
      <w:r w:rsidRPr="00303F1A">
        <w:rPr>
          <w:rFonts w:ascii="Arial" w:hAnsi="Arial" w:cs="Arial"/>
          <w:sz w:val="22"/>
        </w:rPr>
        <w:t xml:space="preserve">Impulsivity is dimensional in nature, which contributes to the discussion. The surveys of children and the youth in England indicate that one out of five children between 8 and 16 years old in 2023 had a likely mental disorder (NHS, 2023). In most cases, the impulsive behaviours are considered to be present. Nevertheless, a low proportion of them achieved the level of serious impairment. This gives rise to the foundation of a dimensional approach to classification in which ICDs are arranged in a spectrum of impulsivity as opposed to definite diagnostic groups (Burke </w:t>
      </w:r>
      <w:r w:rsidRPr="00303F1A">
        <w:rPr>
          <w:rFonts w:ascii="Arial" w:hAnsi="Arial" w:cs="Arial"/>
          <w:i/>
          <w:iCs/>
          <w:sz w:val="22"/>
        </w:rPr>
        <w:t>et al.</w:t>
      </w:r>
      <w:r w:rsidRPr="00303F1A">
        <w:rPr>
          <w:rFonts w:ascii="Arial" w:hAnsi="Arial" w:cs="Arial"/>
          <w:sz w:val="22"/>
        </w:rPr>
        <w:t>, 2023). To the contrary, keeping them as separate diagnoses would make them visible in services and not reduce the suffering that conditions like pyromania and kleptomania cause to others.</w:t>
      </w:r>
    </w:p>
    <w:p w:rsidR="00303F1A" w:rsidRPr="00303F1A" w:rsidRDefault="00000000" w:rsidP="00303F1A">
      <w:pPr>
        <w:pStyle w:val="Heading2"/>
        <w:rPr>
          <w:rFonts w:ascii="Arial" w:hAnsi="Arial" w:cs="Arial"/>
        </w:rPr>
      </w:pPr>
      <w:bookmarkStart w:id="12" w:name="_Toc209270076"/>
      <w:r w:rsidRPr="00303F1A">
        <w:rPr>
          <w:rFonts w:ascii="Arial" w:hAnsi="Arial" w:cs="Arial"/>
        </w:rPr>
        <w:t>4.3 Considering the impact of these debates on practice and policy</w:t>
      </w:r>
      <w:bookmarkEnd w:id="12"/>
    </w:p>
    <w:p w:rsidR="00303F1A" w:rsidRPr="00303F1A" w:rsidRDefault="00000000" w:rsidP="00303F1A">
      <w:pPr>
        <w:rPr>
          <w:rFonts w:ascii="Arial" w:hAnsi="Arial" w:cs="Arial"/>
          <w:sz w:val="22"/>
        </w:rPr>
      </w:pPr>
      <w:r w:rsidRPr="00303F1A">
        <w:rPr>
          <w:rFonts w:ascii="Arial" w:hAnsi="Arial" w:cs="Arial"/>
          <w:b/>
          <w:bCs/>
          <w:i/>
          <w:iCs/>
          <w:sz w:val="22"/>
          <w:u w:val="single"/>
        </w:rPr>
        <w:t>Positive impact </w:t>
      </w:r>
    </w:p>
    <w:p w:rsidR="00303F1A" w:rsidRPr="00303F1A" w:rsidRDefault="00000000" w:rsidP="00303F1A">
      <w:pPr>
        <w:rPr>
          <w:rFonts w:ascii="Arial" w:hAnsi="Arial" w:cs="Arial"/>
          <w:sz w:val="22"/>
        </w:rPr>
      </w:pPr>
      <w:r w:rsidRPr="00303F1A">
        <w:rPr>
          <w:rFonts w:ascii="Arial" w:hAnsi="Arial" w:cs="Arial"/>
          <w:sz w:val="22"/>
        </w:rPr>
        <w:t xml:space="preserve">The classification and neurodivergence debate has helped service planners and policy makers be critical in their reflections. The existence of specialised pathways has been supported by independent recognition of ICDs, which ensures that patients are not neglected in the general context of addiction or neurodevelopment (Young </w:t>
      </w:r>
      <w:r w:rsidRPr="00303F1A">
        <w:rPr>
          <w:rFonts w:ascii="Arial" w:hAnsi="Arial" w:cs="Arial"/>
          <w:i/>
          <w:iCs/>
          <w:sz w:val="22"/>
        </w:rPr>
        <w:t>et al.</w:t>
      </w:r>
      <w:r w:rsidRPr="00303F1A">
        <w:rPr>
          <w:rFonts w:ascii="Arial" w:hAnsi="Arial" w:cs="Arial"/>
          <w:sz w:val="22"/>
        </w:rPr>
        <w:t>, 2023). This has also been able to diminish stigma where impulsive behaviours have been redefined as valid mental health issues and not moral weaknesses.</w:t>
      </w:r>
    </w:p>
    <w:p w:rsidR="00303F1A" w:rsidRPr="00303F1A" w:rsidRDefault="00000000" w:rsidP="00303F1A">
      <w:pPr>
        <w:rPr>
          <w:rFonts w:ascii="Arial" w:hAnsi="Arial" w:cs="Arial"/>
          <w:sz w:val="22"/>
        </w:rPr>
      </w:pPr>
      <w:r w:rsidRPr="00303F1A">
        <w:rPr>
          <w:rFonts w:ascii="Arial" w:hAnsi="Arial" w:cs="Arial"/>
          <w:b/>
          <w:bCs/>
          <w:i/>
          <w:iCs/>
          <w:sz w:val="22"/>
          <w:u w:val="single"/>
        </w:rPr>
        <w:t>Negative impact</w:t>
      </w:r>
    </w:p>
    <w:p w:rsidR="00303F1A" w:rsidRPr="00303F1A" w:rsidRDefault="00000000" w:rsidP="00303F1A">
      <w:pPr>
        <w:rPr>
          <w:rFonts w:ascii="Arial" w:hAnsi="Arial" w:cs="Arial"/>
          <w:sz w:val="22"/>
        </w:rPr>
      </w:pPr>
      <w:r w:rsidRPr="00303F1A">
        <w:rPr>
          <w:rFonts w:ascii="Arial" w:hAnsi="Arial" w:cs="Arial"/>
          <w:sz w:val="22"/>
        </w:rPr>
        <w:t xml:space="preserve">However, keeping track of service delivery prevalence is not easy. The median community mental health waiting times in 2023/24 were approximately 45 days, and many would take a significantly longer time before assessment and treatment (House of Commons, 2024). There are still gaps in access because only a small proportion of individuals who test positive for ADHD or other impulsive behaviours undergo treatment or medication. The scenario is replicated in the services to the children, as the increasing number of probable disorders is matched with a limited number of resources (Wojcik </w:t>
      </w:r>
      <w:r w:rsidRPr="00303F1A">
        <w:rPr>
          <w:rFonts w:ascii="Arial" w:hAnsi="Arial" w:cs="Arial"/>
          <w:i/>
          <w:iCs/>
          <w:sz w:val="22"/>
        </w:rPr>
        <w:t>et al.</w:t>
      </w:r>
      <w:r w:rsidRPr="00303F1A">
        <w:rPr>
          <w:rFonts w:ascii="Arial" w:hAnsi="Arial" w:cs="Arial"/>
          <w:sz w:val="22"/>
        </w:rPr>
        <w:t>, 2022). On the other hand, the problem of strict medical framing is the over-pathologisation of impulsivity, which shifts the focus out of the social, cultural, and legal conditions. These tensions show how the issue of classification can be viewed as a policy issue and as being determinative of funding, access, and the ratio of treatment to societal response.</w:t>
      </w:r>
    </w:p>
    <w:p w:rsidR="00303F1A" w:rsidRPr="00303F1A" w:rsidRDefault="00000000" w:rsidP="00303F1A">
      <w:pPr>
        <w:pStyle w:val="Heading1"/>
      </w:pPr>
      <w:bookmarkStart w:id="13" w:name="_Toc209270077"/>
      <w:r w:rsidRPr="00303F1A">
        <w:t>5. Recommendations</w:t>
      </w:r>
      <w:bookmarkEnd w:id="13"/>
      <w:r w:rsidRPr="00303F1A">
        <w:t> </w:t>
      </w:r>
    </w:p>
    <w:p w:rsidR="00303F1A" w:rsidRPr="00303F1A" w:rsidRDefault="00000000" w:rsidP="00303F1A">
      <w:pPr>
        <w:pStyle w:val="Heading2"/>
        <w:rPr>
          <w:rFonts w:ascii="Arial" w:hAnsi="Arial" w:cs="Arial"/>
        </w:rPr>
      </w:pPr>
      <w:bookmarkStart w:id="14" w:name="_Toc209270078"/>
      <w:r w:rsidRPr="00303F1A">
        <w:rPr>
          <w:rFonts w:ascii="Arial" w:hAnsi="Arial" w:cs="Arial"/>
        </w:rPr>
        <w:t>5.1 Recommendations concerning the Impulse control disorders</w:t>
      </w:r>
      <w:bookmarkEnd w:id="14"/>
      <w:r w:rsidRPr="00303F1A">
        <w:rPr>
          <w:rFonts w:ascii="Arial" w:hAnsi="Arial" w:cs="Arial"/>
        </w:rPr>
        <w:t> </w:t>
      </w:r>
    </w:p>
    <w:p w:rsidR="00303F1A" w:rsidRPr="00303F1A" w:rsidRDefault="00000000" w:rsidP="00303F1A">
      <w:pPr>
        <w:numPr>
          <w:ilvl w:val="0"/>
          <w:numId w:val="3"/>
        </w:numPr>
        <w:rPr>
          <w:rFonts w:ascii="Arial" w:hAnsi="Arial" w:cs="Arial"/>
          <w:sz w:val="22"/>
        </w:rPr>
      </w:pPr>
      <w:r w:rsidRPr="00303F1A">
        <w:rPr>
          <w:rFonts w:ascii="Arial" w:hAnsi="Arial" w:cs="Arial"/>
          <w:sz w:val="22"/>
        </w:rPr>
        <w:t>Dimensional methods would be able to integrate the overlapping regions of impulsivity, ADHD and other neurodevelopmental features, and maintain disorder-specific visibility (Kandeğer, 2025).</w:t>
      </w:r>
    </w:p>
    <w:p w:rsidR="00303F1A" w:rsidRPr="00303F1A" w:rsidRDefault="00000000" w:rsidP="00303F1A">
      <w:pPr>
        <w:numPr>
          <w:ilvl w:val="0"/>
          <w:numId w:val="3"/>
        </w:numPr>
        <w:rPr>
          <w:rFonts w:ascii="Arial" w:hAnsi="Arial" w:cs="Arial"/>
          <w:sz w:val="22"/>
        </w:rPr>
      </w:pPr>
      <w:r w:rsidRPr="00303F1A">
        <w:rPr>
          <w:rFonts w:ascii="Arial" w:hAnsi="Arial" w:cs="Arial"/>
          <w:sz w:val="22"/>
        </w:rPr>
        <w:t>Premature diagnosis must be given priority, especially in children and adolescent services where impulsive behaviours are frequent yet not seriously examined. </w:t>
      </w:r>
    </w:p>
    <w:p w:rsidR="00303F1A" w:rsidRPr="00303F1A" w:rsidRDefault="00000000" w:rsidP="00303F1A">
      <w:pPr>
        <w:numPr>
          <w:ilvl w:val="0"/>
          <w:numId w:val="3"/>
        </w:numPr>
        <w:rPr>
          <w:rFonts w:ascii="Arial" w:hAnsi="Arial" w:cs="Arial"/>
          <w:sz w:val="22"/>
        </w:rPr>
      </w:pPr>
      <w:r w:rsidRPr="00303F1A">
        <w:rPr>
          <w:rFonts w:ascii="Arial" w:hAnsi="Arial" w:cs="Arial"/>
          <w:sz w:val="22"/>
        </w:rPr>
        <w:t xml:space="preserve">Increasing access to cognitive behavioural therapies and proper utilisation of pharmacological therapies would minimise the likelihood of relapse and enhance the long-term outcomes (Chapoutot </w:t>
      </w:r>
      <w:r w:rsidRPr="00303F1A">
        <w:rPr>
          <w:rFonts w:ascii="Arial" w:hAnsi="Arial" w:cs="Arial"/>
          <w:i/>
          <w:iCs/>
          <w:sz w:val="22"/>
        </w:rPr>
        <w:t>et al.</w:t>
      </w:r>
      <w:r w:rsidRPr="00303F1A">
        <w:rPr>
          <w:rFonts w:ascii="Arial" w:hAnsi="Arial" w:cs="Arial"/>
          <w:sz w:val="22"/>
        </w:rPr>
        <w:t>, 2021).</w:t>
      </w:r>
    </w:p>
    <w:p w:rsidR="00303F1A" w:rsidRPr="00303F1A" w:rsidRDefault="00000000" w:rsidP="00303F1A">
      <w:pPr>
        <w:pStyle w:val="Heading2"/>
        <w:rPr>
          <w:rFonts w:ascii="Arial" w:hAnsi="Arial" w:cs="Arial"/>
        </w:rPr>
      </w:pPr>
      <w:bookmarkStart w:id="15" w:name="_Toc209270079"/>
      <w:r w:rsidRPr="00303F1A">
        <w:rPr>
          <w:rFonts w:ascii="Arial" w:hAnsi="Arial" w:cs="Arial"/>
        </w:rPr>
        <w:t>5.2 Implication: Practice, policy and Research</w:t>
      </w:r>
      <w:bookmarkEnd w:id="15"/>
    </w:p>
    <w:p w:rsidR="00303F1A" w:rsidRPr="00303F1A" w:rsidRDefault="00000000" w:rsidP="00303F1A">
      <w:pPr>
        <w:numPr>
          <w:ilvl w:val="0"/>
          <w:numId w:val="4"/>
        </w:numPr>
        <w:rPr>
          <w:rFonts w:ascii="Arial" w:hAnsi="Arial" w:cs="Arial"/>
          <w:sz w:val="22"/>
        </w:rPr>
      </w:pPr>
      <w:r w:rsidRPr="00303F1A">
        <w:rPr>
          <w:rFonts w:ascii="Arial" w:hAnsi="Arial" w:cs="Arial"/>
          <w:sz w:val="22"/>
        </w:rPr>
        <w:t xml:space="preserve">The policy implications may be the necessity to improve the situation with long waiting queues in the community mental health services and to make sure that the resources are in place with the increasing prevalence of impulsive behaviours (Conceição </w:t>
      </w:r>
      <w:r w:rsidRPr="00303F1A">
        <w:rPr>
          <w:rFonts w:ascii="Arial" w:hAnsi="Arial" w:cs="Arial"/>
          <w:i/>
          <w:iCs/>
          <w:sz w:val="22"/>
        </w:rPr>
        <w:t>et al.</w:t>
      </w:r>
      <w:r w:rsidRPr="00303F1A">
        <w:rPr>
          <w:rFonts w:ascii="Arial" w:hAnsi="Arial" w:cs="Arial"/>
          <w:sz w:val="22"/>
        </w:rPr>
        <w:t>, 2022). Stigma could be mitigated through investment in training and public awareness, as well as aiding earlier help-seeking. </w:t>
      </w:r>
    </w:p>
    <w:p w:rsidR="00303F1A" w:rsidRPr="00303F1A" w:rsidRDefault="00000000" w:rsidP="00303F1A">
      <w:pPr>
        <w:numPr>
          <w:ilvl w:val="0"/>
          <w:numId w:val="4"/>
        </w:numPr>
        <w:rPr>
          <w:rFonts w:ascii="Arial" w:hAnsi="Arial" w:cs="Arial"/>
          <w:sz w:val="22"/>
        </w:rPr>
      </w:pPr>
      <w:r w:rsidRPr="00303F1A">
        <w:rPr>
          <w:rFonts w:ascii="Arial" w:hAnsi="Arial" w:cs="Arial"/>
          <w:sz w:val="22"/>
        </w:rPr>
        <w:t xml:space="preserve">In the case of research, additional research is needed to determine the effectiveness of interventions specifically toward the use of ICDs, since the existing evidence is still disjointed (Aczel </w:t>
      </w:r>
      <w:r w:rsidRPr="00303F1A">
        <w:rPr>
          <w:rFonts w:ascii="Arial" w:hAnsi="Arial" w:cs="Arial"/>
          <w:i/>
          <w:iCs/>
          <w:sz w:val="22"/>
        </w:rPr>
        <w:t>et al.</w:t>
      </w:r>
      <w:r w:rsidRPr="00303F1A">
        <w:rPr>
          <w:rFonts w:ascii="Arial" w:hAnsi="Arial" w:cs="Arial"/>
          <w:sz w:val="22"/>
        </w:rPr>
        <w:t>, 2025). ICDs may also be most effectively explained using longitudinal research to determine whether to characterise them as single disorders or as belonging to a larger continuum of impulsivity, directly influencing future classification.</w:t>
      </w:r>
    </w:p>
    <w:p w:rsidR="00303F1A" w:rsidRPr="00303F1A" w:rsidRDefault="00000000" w:rsidP="00303F1A">
      <w:pPr>
        <w:pStyle w:val="Heading1"/>
      </w:pPr>
      <w:bookmarkStart w:id="16" w:name="_Toc209270080"/>
      <w:r w:rsidRPr="00303F1A">
        <w:t>6. Conclusion</w:t>
      </w:r>
      <w:bookmarkEnd w:id="16"/>
      <w:r w:rsidRPr="00303F1A">
        <w:t> </w:t>
      </w:r>
    </w:p>
    <w:p w:rsidR="00303F1A" w:rsidRPr="00303F1A" w:rsidRDefault="00000000" w:rsidP="00303F1A">
      <w:pPr>
        <w:rPr>
          <w:rFonts w:ascii="Arial" w:hAnsi="Arial" w:cs="Arial"/>
          <w:sz w:val="22"/>
        </w:rPr>
      </w:pPr>
      <w:r w:rsidRPr="00303F1A">
        <w:rPr>
          <w:rFonts w:ascii="Arial" w:hAnsi="Arial" w:cs="Arial"/>
          <w:sz w:val="22"/>
        </w:rPr>
        <w:t>To conclude, impulse control disorders are a challenging group in ICD-11 that still faces controversy in the classification, diagnosis, and treatment. The reviewed evidence revealed a gap between prevalence and service access, as well as doubts about therapeutic efficacy. Neurodivergence and dimensional approaches also create more challenges in terms of boundaries of ICDs that affect research and practice. The challenges in policies are evident in the long waiting times and scarcity of resources, whereas the chances are that the early detection and individualised intervention. Finally, the results support the necessity of better guidance, evidence-based practices, and more comprehensive approaches to service planning, which will provide people with ICDs with proper care.</w:t>
      </w:r>
    </w:p>
    <w:p w:rsidR="00303F1A" w:rsidRPr="00303F1A" w:rsidRDefault="00000000" w:rsidP="00303F1A">
      <w:pPr>
        <w:rPr>
          <w:rFonts w:ascii="Arial" w:hAnsi="Arial" w:cs="Arial"/>
          <w:b/>
          <w:bCs/>
          <w:sz w:val="22"/>
        </w:rPr>
      </w:pPr>
      <w:r w:rsidRPr="00303F1A">
        <w:rPr>
          <w:rFonts w:ascii="Arial" w:hAnsi="Arial" w:cs="Arial"/>
          <w:b/>
          <w:bCs/>
          <w:sz w:val="22"/>
        </w:rPr>
        <w:br w:type="page"/>
      </w:r>
    </w:p>
    <w:p w:rsidR="00303F1A" w:rsidRPr="00303F1A" w:rsidRDefault="00000000" w:rsidP="00303F1A">
      <w:pPr>
        <w:pStyle w:val="Heading1"/>
      </w:pPr>
      <w:bookmarkStart w:id="17" w:name="_Toc209270081"/>
      <w:r w:rsidRPr="00303F1A">
        <w:t>Reference List</w:t>
      </w:r>
      <w:bookmarkEnd w:id="17"/>
    </w:p>
    <w:p w:rsidR="00303F1A" w:rsidRPr="00303F1A" w:rsidRDefault="00000000" w:rsidP="00303F1A">
      <w:pPr>
        <w:rPr>
          <w:rFonts w:ascii="Arial" w:hAnsi="Arial" w:cs="Arial"/>
          <w:sz w:val="22"/>
        </w:rPr>
      </w:pPr>
      <w:r w:rsidRPr="00303F1A">
        <w:rPr>
          <w:rFonts w:ascii="Arial" w:hAnsi="Arial" w:cs="Arial"/>
          <w:sz w:val="22"/>
        </w:rPr>
        <w:t xml:space="preserve">Aczel, B., Barwich, A.-S., Diekman, A.B., Fishbach, A., Goldstone, R.L., Gomez, P., Gundersen, O.E., Paul, Holcombe, A.O., Lewandowsky, S., Nozari, N., Pestilli, F. and John (2025) ‘The present and future of peer review: Ideas, interventions, and evidence’, </w:t>
      </w:r>
      <w:r w:rsidRPr="00303F1A">
        <w:rPr>
          <w:rFonts w:ascii="Arial" w:hAnsi="Arial" w:cs="Arial"/>
          <w:i/>
          <w:iCs/>
          <w:sz w:val="22"/>
        </w:rPr>
        <w:t>Proceedings of the National Academy of Sciences</w:t>
      </w:r>
      <w:r w:rsidRPr="00303F1A">
        <w:rPr>
          <w:rFonts w:ascii="Arial" w:hAnsi="Arial" w:cs="Arial"/>
          <w:sz w:val="22"/>
        </w:rPr>
        <w:t>, 122(5). Available at: https://doi.org/10.1073/pnas.2401232121.</w:t>
      </w:r>
    </w:p>
    <w:p w:rsidR="00303F1A" w:rsidRPr="00303F1A" w:rsidRDefault="00000000" w:rsidP="00303F1A">
      <w:pPr>
        <w:rPr>
          <w:rFonts w:ascii="Arial" w:hAnsi="Arial" w:cs="Arial"/>
          <w:sz w:val="22"/>
        </w:rPr>
      </w:pPr>
      <w:r w:rsidRPr="00303F1A">
        <w:rPr>
          <w:rFonts w:ascii="Arial" w:hAnsi="Arial" w:cs="Arial"/>
          <w:sz w:val="22"/>
        </w:rPr>
        <w:t xml:space="preserve">Alcaro, A., Brennan, A. and Conversi, D. (2021) ‘The SEEKING Drive and Its Fixation: A Neuro-Psycho-Evolutionary Approach to the Pathology of Addiction’, </w:t>
      </w:r>
      <w:r w:rsidRPr="00303F1A">
        <w:rPr>
          <w:rFonts w:ascii="Arial" w:hAnsi="Arial" w:cs="Arial"/>
          <w:i/>
          <w:iCs/>
          <w:sz w:val="22"/>
        </w:rPr>
        <w:t>Frontiers in Human Neuroscience</w:t>
      </w:r>
      <w:r w:rsidRPr="00303F1A">
        <w:rPr>
          <w:rFonts w:ascii="Arial" w:hAnsi="Arial" w:cs="Arial"/>
          <w:sz w:val="22"/>
        </w:rPr>
        <w:t>, 15. Available at: https://doi.org/10.3389/fnhum.2021.635932.</w:t>
      </w:r>
    </w:p>
    <w:p w:rsidR="00303F1A" w:rsidRPr="00303F1A" w:rsidRDefault="00000000" w:rsidP="00303F1A">
      <w:pPr>
        <w:rPr>
          <w:rFonts w:ascii="Arial" w:hAnsi="Arial" w:cs="Arial"/>
          <w:sz w:val="22"/>
        </w:rPr>
      </w:pPr>
      <w:r w:rsidRPr="00303F1A">
        <w:rPr>
          <w:rFonts w:ascii="Arial" w:hAnsi="Arial" w:cs="Arial"/>
          <w:sz w:val="22"/>
        </w:rPr>
        <w:t xml:space="preserve">Augustine, A., Winstanley, C.A. and Krishnan, V. (2021). Impulse control disorders in Parkinson’s disease: from bench to bedside. </w:t>
      </w:r>
      <w:r w:rsidRPr="00303F1A">
        <w:rPr>
          <w:rFonts w:ascii="Arial" w:hAnsi="Arial" w:cs="Arial"/>
          <w:i/>
          <w:iCs/>
          <w:sz w:val="22"/>
        </w:rPr>
        <w:t>Frontiers in Neuroscience</w:t>
      </w:r>
      <w:r w:rsidRPr="00303F1A">
        <w:rPr>
          <w:rFonts w:ascii="Arial" w:hAnsi="Arial" w:cs="Arial"/>
          <w:sz w:val="22"/>
        </w:rPr>
        <w:t xml:space="preserve">, </w:t>
      </w:r>
      <w:r w:rsidRPr="00303F1A">
        <w:rPr>
          <w:rFonts w:ascii="Arial" w:hAnsi="Arial" w:cs="Arial"/>
          <w:i/>
          <w:iCs/>
          <w:sz w:val="22"/>
        </w:rPr>
        <w:t>15</w:t>
      </w:r>
      <w:r w:rsidRPr="00303F1A">
        <w:rPr>
          <w:rFonts w:ascii="Arial" w:hAnsi="Arial" w:cs="Arial"/>
          <w:sz w:val="22"/>
        </w:rPr>
        <w:t>, pp.654238.  Available at: https://www.frontiersin.org/articles/10.3389/fnins.2021.654238/full [Accessed on: 20/09/2025]</w:t>
      </w:r>
    </w:p>
    <w:p w:rsidR="00303F1A" w:rsidRPr="00303F1A" w:rsidRDefault="00000000" w:rsidP="00303F1A">
      <w:pPr>
        <w:rPr>
          <w:rFonts w:ascii="Arial" w:hAnsi="Arial" w:cs="Arial"/>
          <w:sz w:val="22"/>
        </w:rPr>
      </w:pPr>
      <w:r w:rsidRPr="00303F1A">
        <w:rPr>
          <w:rFonts w:ascii="Arial" w:hAnsi="Arial" w:cs="Arial"/>
          <w:sz w:val="22"/>
        </w:rPr>
        <w:t xml:space="preserve">Burke, J.D., Butler, E.J., Shaughnessy, S., Karlovich, A.R. and Evans, S.C. (2023) ‘Evidence-Based assessment of DSM-5 disruptive, impulse control, and conduct disorders’, </w:t>
      </w:r>
      <w:r w:rsidRPr="00303F1A">
        <w:rPr>
          <w:rFonts w:ascii="Arial" w:hAnsi="Arial" w:cs="Arial"/>
          <w:i/>
          <w:iCs/>
          <w:sz w:val="22"/>
        </w:rPr>
        <w:t>Assessment</w:t>
      </w:r>
      <w:r w:rsidRPr="00303F1A">
        <w:rPr>
          <w:rFonts w:ascii="Arial" w:hAnsi="Arial" w:cs="Arial"/>
          <w:sz w:val="22"/>
        </w:rPr>
        <w:t>, 31(1), p. 10731911231188739. Available at: https://doi.org/10.1177/10731911231188739.</w:t>
      </w:r>
    </w:p>
    <w:p w:rsidR="00303F1A" w:rsidRPr="00303F1A" w:rsidRDefault="00000000" w:rsidP="00303F1A">
      <w:pPr>
        <w:rPr>
          <w:rFonts w:ascii="Arial" w:hAnsi="Arial" w:cs="Arial"/>
          <w:sz w:val="22"/>
        </w:rPr>
      </w:pPr>
      <w:r w:rsidRPr="00303F1A">
        <w:rPr>
          <w:rFonts w:ascii="Arial" w:hAnsi="Arial" w:cs="Arial"/>
          <w:sz w:val="22"/>
        </w:rPr>
        <w:t xml:space="preserve">Carvalho, C.B., Margarida, A., Martins, R., Costa, R., Cordeiro, F. and Cabral, J. (2023). "Help Me Control My Impulses!": Adolescent Impulsivity and Its Negative Individual, Family, Peer, and Community Explanatory Factors', </w:t>
      </w:r>
      <w:r w:rsidRPr="00303F1A">
        <w:rPr>
          <w:rFonts w:ascii="Arial" w:hAnsi="Arial" w:cs="Arial"/>
          <w:i/>
          <w:iCs/>
          <w:sz w:val="22"/>
        </w:rPr>
        <w:t>Journal of Youth and Adolescence</w:t>
      </w:r>
      <w:r w:rsidRPr="00303F1A">
        <w:rPr>
          <w:rFonts w:ascii="Arial" w:hAnsi="Arial" w:cs="Arial"/>
          <w:sz w:val="22"/>
        </w:rPr>
        <w:t>, 52(12), pp. 2545–2558. Available at: https://doi.org/10.1007/s10964-023-01837-z.</w:t>
      </w:r>
    </w:p>
    <w:p w:rsidR="00303F1A" w:rsidRPr="00303F1A" w:rsidRDefault="00000000" w:rsidP="00303F1A">
      <w:pPr>
        <w:rPr>
          <w:rFonts w:ascii="Arial" w:hAnsi="Arial" w:cs="Arial"/>
          <w:sz w:val="22"/>
        </w:rPr>
      </w:pPr>
      <w:r w:rsidRPr="00303F1A">
        <w:rPr>
          <w:rFonts w:ascii="Arial" w:hAnsi="Arial" w:cs="Arial"/>
          <w:sz w:val="22"/>
        </w:rPr>
        <w:t xml:space="preserve">Chamberlain, S.R., Cortese, S. and Grant, J.E. (2021) 'Screening for adult ADHD using brief rating tools: What can we conclude from a positive screen? Some caveats, </w:t>
      </w:r>
      <w:r w:rsidRPr="00303F1A">
        <w:rPr>
          <w:rFonts w:ascii="Arial" w:hAnsi="Arial" w:cs="Arial"/>
          <w:i/>
          <w:iCs/>
          <w:sz w:val="22"/>
        </w:rPr>
        <w:t>Comprehensive Psychiatry</w:t>
      </w:r>
      <w:r w:rsidRPr="00303F1A">
        <w:rPr>
          <w:rFonts w:ascii="Arial" w:hAnsi="Arial" w:cs="Arial"/>
          <w:sz w:val="22"/>
        </w:rPr>
        <w:t>, 106, p. 152224. Available at: https://doi.org/10.1016/j.comppsych.2021.152224.</w:t>
      </w:r>
    </w:p>
    <w:p w:rsidR="00303F1A" w:rsidRPr="00303F1A" w:rsidRDefault="00000000" w:rsidP="00303F1A">
      <w:pPr>
        <w:rPr>
          <w:rFonts w:ascii="Arial" w:hAnsi="Arial" w:cs="Arial"/>
          <w:sz w:val="22"/>
        </w:rPr>
      </w:pPr>
      <w:r w:rsidRPr="00303F1A">
        <w:rPr>
          <w:rFonts w:ascii="Arial" w:hAnsi="Arial" w:cs="Arial"/>
          <w:sz w:val="22"/>
        </w:rPr>
        <w:t xml:space="preserve">Chapoutot, M., Peter-Derex, L., Bastuji, H., Leslie, W., Schoendorff, B., Heinzer, R., Siclari, F., Nicolas, A., Lemoine, P., Higgins, S., Bourgeois, A., Vallet, G.T., Anders, R., Ounnoughene, M., Spencer, J., Meloni, F. and Putois, B. (2021) ‘Cognitive Behavioral Therapy and Acceptance and Commitment Therapy for the Discontinuation of Long-Term Benzodiazepine Use in Insomnia and Anxiety Disorders’, </w:t>
      </w:r>
      <w:r w:rsidRPr="00303F1A">
        <w:rPr>
          <w:rFonts w:ascii="Arial" w:hAnsi="Arial" w:cs="Arial"/>
          <w:i/>
          <w:iCs/>
          <w:sz w:val="22"/>
        </w:rPr>
        <w:t>International Journal of Environmental Research and Public Health</w:t>
      </w:r>
      <w:r w:rsidRPr="00303F1A">
        <w:rPr>
          <w:rFonts w:ascii="Arial" w:hAnsi="Arial" w:cs="Arial"/>
          <w:sz w:val="22"/>
        </w:rPr>
        <w:t>, 18(19), p. 10222. Available at: https://doi.org/10.3390/ijerph181910222.</w:t>
      </w:r>
    </w:p>
    <w:p w:rsidR="00303F1A" w:rsidRPr="00303F1A" w:rsidRDefault="00000000" w:rsidP="00303F1A">
      <w:pPr>
        <w:rPr>
          <w:rFonts w:ascii="Arial" w:hAnsi="Arial" w:cs="Arial"/>
          <w:sz w:val="22"/>
        </w:rPr>
      </w:pPr>
      <w:r w:rsidRPr="00303F1A">
        <w:rPr>
          <w:rFonts w:ascii="Arial" w:hAnsi="Arial" w:cs="Arial"/>
          <w:sz w:val="22"/>
        </w:rPr>
        <w:t xml:space="preserve">Conceição, M.A., Monteiro, M.M., Kasraian, D., van den Berg, P.E.W., Haustein, S., Alves, I., Azevedo, C.L. and Miranda, B. (2022) ‘The effect of transport infrastructure, congestion and reliability on mental wellbeing: a systematic review of empirical studies’, </w:t>
      </w:r>
      <w:r w:rsidRPr="00303F1A">
        <w:rPr>
          <w:rFonts w:ascii="Arial" w:hAnsi="Arial" w:cs="Arial"/>
          <w:i/>
          <w:iCs/>
          <w:sz w:val="22"/>
        </w:rPr>
        <w:t>Transport Reviews</w:t>
      </w:r>
      <w:r w:rsidRPr="00303F1A">
        <w:rPr>
          <w:rFonts w:ascii="Arial" w:hAnsi="Arial" w:cs="Arial"/>
          <w:sz w:val="22"/>
        </w:rPr>
        <w:t>, 43(2), pp. 1–39. Available at: https://doi.org/10.1080/01441647.2022.2100943.</w:t>
      </w:r>
    </w:p>
    <w:p w:rsidR="00303F1A" w:rsidRPr="00303F1A" w:rsidRDefault="00000000" w:rsidP="00303F1A">
      <w:pPr>
        <w:rPr>
          <w:rFonts w:ascii="Arial" w:hAnsi="Arial" w:cs="Arial"/>
          <w:sz w:val="22"/>
        </w:rPr>
      </w:pPr>
      <w:r w:rsidRPr="00303F1A">
        <w:rPr>
          <w:rFonts w:ascii="Arial" w:hAnsi="Arial" w:cs="Arial"/>
          <w:sz w:val="22"/>
        </w:rPr>
        <w:t xml:space="preserve">Faouzi, J., Corvol, J.C. and Mariani, L.L. (2021). Impulse control disorders and related behaviours in Parkinson's disease: risk factors, clinical and genetic aspects, and management. </w:t>
      </w:r>
      <w:r w:rsidRPr="00303F1A">
        <w:rPr>
          <w:rFonts w:ascii="Arial" w:hAnsi="Arial" w:cs="Arial"/>
          <w:i/>
          <w:iCs/>
          <w:sz w:val="22"/>
        </w:rPr>
        <w:t>Current Opinion in Neurology</w:t>
      </w:r>
      <w:r w:rsidRPr="00303F1A">
        <w:rPr>
          <w:rFonts w:ascii="Arial" w:hAnsi="Arial" w:cs="Arial"/>
          <w:sz w:val="22"/>
        </w:rPr>
        <w:t xml:space="preserve">, </w:t>
      </w:r>
      <w:r w:rsidRPr="00303F1A">
        <w:rPr>
          <w:rFonts w:ascii="Arial" w:hAnsi="Arial" w:cs="Arial"/>
          <w:i/>
          <w:iCs/>
          <w:sz w:val="22"/>
        </w:rPr>
        <w:t>34</w:t>
      </w:r>
      <w:r w:rsidRPr="00303F1A">
        <w:rPr>
          <w:rFonts w:ascii="Arial" w:hAnsi="Arial" w:cs="Arial"/>
          <w:sz w:val="22"/>
        </w:rPr>
        <w:t>(4), pp.547-555.  Available at: https://journals.lww.com/co-neurology/fulltext/2021/08000/impulse_control_disorders_and_related_behaviors_in.12.aspx [Accessed on: 20/09/2025]</w:t>
      </w:r>
    </w:p>
    <w:p w:rsidR="00303F1A" w:rsidRPr="00303F1A" w:rsidRDefault="00000000" w:rsidP="00303F1A">
      <w:pPr>
        <w:rPr>
          <w:rFonts w:ascii="Arial" w:hAnsi="Arial" w:cs="Arial"/>
          <w:sz w:val="22"/>
        </w:rPr>
      </w:pPr>
      <w:r w:rsidRPr="00303F1A">
        <w:rPr>
          <w:rFonts w:ascii="Arial" w:hAnsi="Arial" w:cs="Arial"/>
          <w:sz w:val="22"/>
        </w:rPr>
        <w:t xml:space="preserve">Fariba, K. and Gokarakonda, S.B. (2021). </w:t>
      </w:r>
      <w:r w:rsidRPr="00303F1A">
        <w:rPr>
          <w:rFonts w:ascii="Arial" w:hAnsi="Arial" w:cs="Arial"/>
          <w:i/>
          <w:iCs/>
          <w:sz w:val="22"/>
        </w:rPr>
        <w:t>Impulse Control Disorders</w:t>
      </w:r>
      <w:r w:rsidRPr="00303F1A">
        <w:rPr>
          <w:rFonts w:ascii="Arial" w:hAnsi="Arial" w:cs="Arial"/>
          <w:sz w:val="22"/>
        </w:rPr>
        <w:t xml:space="preserve">, </w:t>
      </w:r>
      <w:r w:rsidRPr="00303F1A">
        <w:rPr>
          <w:rFonts w:ascii="Arial" w:hAnsi="Arial" w:cs="Arial"/>
          <w:i/>
          <w:iCs/>
          <w:sz w:val="22"/>
        </w:rPr>
        <w:t>PubMed</w:t>
      </w:r>
      <w:r w:rsidRPr="00303F1A">
        <w:rPr>
          <w:rFonts w:ascii="Arial" w:hAnsi="Arial" w:cs="Arial"/>
          <w:sz w:val="22"/>
        </w:rPr>
        <w:t>. Treasure Island (FL): StatPearls Publishing. Available at: https://www.ncbi.nlm.nih.gov/books/NBK562279/ (Accessed: 20 September 2025).</w:t>
      </w:r>
    </w:p>
    <w:p w:rsidR="00303F1A" w:rsidRPr="00303F1A" w:rsidRDefault="00000000" w:rsidP="00303F1A">
      <w:pPr>
        <w:rPr>
          <w:rFonts w:ascii="Arial" w:hAnsi="Arial" w:cs="Arial"/>
          <w:sz w:val="22"/>
        </w:rPr>
      </w:pPr>
      <w:r w:rsidRPr="00303F1A">
        <w:rPr>
          <w:rFonts w:ascii="Arial" w:hAnsi="Arial" w:cs="Arial"/>
          <w:sz w:val="22"/>
        </w:rPr>
        <w:t>Fusaroli, M., Giunchi, V., Battini, V., Gringeri, M., Rimondini, R., Menchetti, M., Radice, S., Pozzi, M., Nobile, M., Clementi, E. and De Ponti, F. (2023). Exploring the underlying mechanisms of drug</w:t>
      </w:r>
      <w:r w:rsidRPr="00303F1A">
        <w:rPr>
          <w:rFonts w:ascii="Cambria Math" w:hAnsi="Cambria Math" w:cs="Cambria Math"/>
          <w:sz w:val="22"/>
        </w:rPr>
        <w:t>‐</w:t>
      </w:r>
      <w:r w:rsidRPr="00303F1A">
        <w:rPr>
          <w:rFonts w:ascii="Arial" w:hAnsi="Arial" w:cs="Arial"/>
          <w:sz w:val="22"/>
        </w:rPr>
        <w:t>induced impulse control disorders: a pharmacovigilance</w:t>
      </w:r>
      <w:r w:rsidRPr="00303F1A">
        <w:rPr>
          <w:rFonts w:ascii="Cambria Math" w:hAnsi="Cambria Math" w:cs="Cambria Math"/>
          <w:sz w:val="22"/>
        </w:rPr>
        <w:t>‐</w:t>
      </w:r>
      <w:r w:rsidRPr="00303F1A">
        <w:rPr>
          <w:rFonts w:ascii="Arial" w:hAnsi="Arial" w:cs="Arial"/>
          <w:sz w:val="22"/>
        </w:rPr>
        <w:t xml:space="preserve">pharmacodynamic study. </w:t>
      </w:r>
      <w:r w:rsidRPr="00303F1A">
        <w:rPr>
          <w:rFonts w:ascii="Arial" w:hAnsi="Arial" w:cs="Arial"/>
          <w:i/>
          <w:iCs/>
          <w:sz w:val="22"/>
        </w:rPr>
        <w:t>Psychiatry and Clinical Neurosciences</w:t>
      </w:r>
      <w:r w:rsidRPr="00303F1A">
        <w:rPr>
          <w:rFonts w:ascii="Arial" w:hAnsi="Arial" w:cs="Arial"/>
          <w:sz w:val="22"/>
        </w:rPr>
        <w:t xml:space="preserve">, </w:t>
      </w:r>
      <w:r w:rsidRPr="00303F1A">
        <w:rPr>
          <w:rFonts w:ascii="Arial" w:hAnsi="Arial" w:cs="Arial"/>
          <w:i/>
          <w:iCs/>
          <w:sz w:val="22"/>
        </w:rPr>
        <w:t>77</w:t>
      </w:r>
      <w:r w:rsidRPr="00303F1A">
        <w:rPr>
          <w:rFonts w:ascii="Arial" w:hAnsi="Arial" w:cs="Arial"/>
          <w:sz w:val="22"/>
        </w:rPr>
        <w:t>(3), pp.160-167.  Available at: https://onlinelibrary.wiley.com/doi/abs/10.1111/pcn.13511 [Accessed on: 20/09/2025]</w:t>
      </w:r>
    </w:p>
    <w:p w:rsidR="00303F1A" w:rsidRPr="00303F1A" w:rsidRDefault="00000000" w:rsidP="00303F1A">
      <w:pPr>
        <w:rPr>
          <w:rFonts w:ascii="Arial" w:hAnsi="Arial" w:cs="Arial"/>
          <w:sz w:val="22"/>
        </w:rPr>
      </w:pPr>
      <w:r w:rsidRPr="00303F1A">
        <w:rPr>
          <w:rFonts w:ascii="Arial" w:hAnsi="Arial" w:cs="Arial"/>
          <w:sz w:val="22"/>
        </w:rPr>
        <w:t xml:space="preserve">House of Commons (2024) </w:t>
      </w:r>
      <w:r w:rsidRPr="00303F1A">
        <w:rPr>
          <w:rFonts w:ascii="Arial" w:hAnsi="Arial" w:cs="Arial"/>
          <w:i/>
          <w:iCs/>
          <w:sz w:val="22"/>
        </w:rPr>
        <w:t>Mental Health statistics: Prevalence, Services and Funding in England</w:t>
      </w:r>
      <w:r w:rsidRPr="00303F1A">
        <w:rPr>
          <w:rFonts w:ascii="Arial" w:hAnsi="Arial" w:cs="Arial"/>
          <w:sz w:val="22"/>
        </w:rPr>
        <w:t xml:space="preserve">, </w:t>
      </w:r>
      <w:r w:rsidRPr="00303F1A">
        <w:rPr>
          <w:rFonts w:ascii="Arial" w:hAnsi="Arial" w:cs="Arial"/>
          <w:i/>
          <w:iCs/>
          <w:sz w:val="22"/>
        </w:rPr>
        <w:t>Mental Health statistics: prevalence, Services and Funding in England</w:t>
      </w:r>
      <w:r w:rsidRPr="00303F1A">
        <w:rPr>
          <w:rFonts w:ascii="Arial" w:hAnsi="Arial" w:cs="Arial"/>
          <w:sz w:val="22"/>
        </w:rPr>
        <w:t>. Available at: https://commonslibrary.parliament.uk/research-briefings/sn06988/ (Accessed: 20 September 2025).</w:t>
      </w:r>
    </w:p>
    <w:p w:rsidR="00303F1A" w:rsidRPr="00303F1A" w:rsidRDefault="00000000" w:rsidP="00303F1A">
      <w:pPr>
        <w:rPr>
          <w:rFonts w:ascii="Arial" w:hAnsi="Arial" w:cs="Arial"/>
          <w:sz w:val="22"/>
        </w:rPr>
      </w:pPr>
      <w:r w:rsidRPr="00303F1A">
        <w:rPr>
          <w:rFonts w:ascii="Arial" w:hAnsi="Arial" w:cs="Arial"/>
          <w:sz w:val="22"/>
        </w:rPr>
        <w:t>International Classification of Diseases (2025) INTERNATIONAL CLASSIFICATION OF DISEASES -Mortality and Morbidity Statistics. Available at: https://faculty.ksu.edu.sa/sites/default/files/icd11_mms-en-06.pdf (Accessed: 20 September 2025).</w:t>
      </w:r>
    </w:p>
    <w:p w:rsidR="00303F1A" w:rsidRPr="00303F1A" w:rsidRDefault="00000000" w:rsidP="00303F1A">
      <w:pPr>
        <w:rPr>
          <w:rFonts w:ascii="Arial" w:hAnsi="Arial" w:cs="Arial"/>
          <w:sz w:val="22"/>
        </w:rPr>
      </w:pPr>
      <w:r w:rsidRPr="00303F1A">
        <w:rPr>
          <w:rFonts w:ascii="Arial" w:hAnsi="Arial" w:cs="Arial"/>
          <w:sz w:val="22"/>
        </w:rPr>
        <w:t xml:space="preserve">Kandeğer, A. (2025) ‘Overlapping Spectrum of Impulsivity and Compulsivity Across Psychiatric Disorders: A Narrative Review on Dimensional Perspectives’, </w:t>
      </w:r>
      <w:r w:rsidRPr="00303F1A">
        <w:rPr>
          <w:rFonts w:ascii="Arial" w:hAnsi="Arial" w:cs="Arial"/>
          <w:i/>
          <w:iCs/>
          <w:sz w:val="22"/>
        </w:rPr>
        <w:t>Eurasian Journal of Medicine</w:t>
      </w:r>
      <w:r w:rsidRPr="00303F1A">
        <w:rPr>
          <w:rFonts w:ascii="Arial" w:hAnsi="Arial" w:cs="Arial"/>
          <w:sz w:val="22"/>
        </w:rPr>
        <w:t>, 57(2). Available at: https://doi.org/10.5152/eurasianjmed.2025.24749.</w:t>
      </w:r>
    </w:p>
    <w:p w:rsidR="00303F1A" w:rsidRPr="00303F1A" w:rsidRDefault="00000000" w:rsidP="00303F1A">
      <w:pPr>
        <w:rPr>
          <w:rFonts w:ascii="Arial" w:hAnsi="Arial" w:cs="Arial"/>
          <w:sz w:val="22"/>
        </w:rPr>
      </w:pPr>
      <w:r w:rsidRPr="00303F1A">
        <w:rPr>
          <w:rFonts w:ascii="Arial" w:hAnsi="Arial" w:cs="Arial"/>
          <w:sz w:val="22"/>
        </w:rPr>
        <w:t xml:space="preserve">Kowalik, B.A. and Delfabbro, P. (2025) ‘A Scoping Review of Impaired Control in the Context of Gaming Disorder: Conceptualisations Across Different Studies and Frameworks’, </w:t>
      </w:r>
      <w:r w:rsidRPr="00303F1A">
        <w:rPr>
          <w:rFonts w:ascii="Arial" w:hAnsi="Arial" w:cs="Arial"/>
          <w:i/>
          <w:iCs/>
          <w:sz w:val="22"/>
        </w:rPr>
        <w:t>International Journal of Mental Health and Addiction</w:t>
      </w:r>
      <w:r w:rsidRPr="00303F1A">
        <w:rPr>
          <w:rFonts w:ascii="Arial" w:hAnsi="Arial" w:cs="Arial"/>
          <w:sz w:val="22"/>
        </w:rPr>
        <w:t xml:space="preserve"> [Preprint]. Available at: https://doi.org/10.1007/s11469-025-01454-w.</w:t>
      </w:r>
    </w:p>
    <w:p w:rsidR="00303F1A" w:rsidRPr="00303F1A" w:rsidRDefault="00000000" w:rsidP="00303F1A">
      <w:pPr>
        <w:rPr>
          <w:rFonts w:ascii="Arial" w:hAnsi="Arial" w:cs="Arial"/>
          <w:sz w:val="22"/>
        </w:rPr>
      </w:pPr>
      <w:r w:rsidRPr="00303F1A">
        <w:rPr>
          <w:rFonts w:ascii="Arial" w:hAnsi="Arial" w:cs="Arial"/>
          <w:sz w:val="22"/>
        </w:rPr>
        <w:t xml:space="preserve">Mao, L., Hu, M., Luo, L., Wu, Y., Lu, Z. and Zou, J. (2022) ‘The effectiveness of exposure and response prevention combined with pharmacotherapy for obsessive-compulsive disorder: A systematic review and meta-analysis’, </w:t>
      </w:r>
      <w:r w:rsidRPr="00303F1A">
        <w:rPr>
          <w:rFonts w:ascii="Arial" w:hAnsi="Arial" w:cs="Arial"/>
          <w:i/>
          <w:iCs/>
          <w:sz w:val="22"/>
        </w:rPr>
        <w:t>Frontiers in Psychiatry</w:t>
      </w:r>
      <w:r w:rsidRPr="00303F1A">
        <w:rPr>
          <w:rFonts w:ascii="Arial" w:hAnsi="Arial" w:cs="Arial"/>
          <w:sz w:val="22"/>
        </w:rPr>
        <w:t>, 13(1), p. 973838. Available at: https://doi.org/10.3389/fpsyt.2022.973838.</w:t>
      </w:r>
    </w:p>
    <w:p w:rsidR="00303F1A" w:rsidRPr="00303F1A" w:rsidRDefault="00000000" w:rsidP="00303F1A">
      <w:pPr>
        <w:rPr>
          <w:rFonts w:ascii="Arial" w:hAnsi="Arial" w:cs="Arial"/>
          <w:sz w:val="22"/>
        </w:rPr>
      </w:pPr>
      <w:r w:rsidRPr="00303F1A">
        <w:rPr>
          <w:rFonts w:ascii="Arial" w:hAnsi="Arial" w:cs="Arial"/>
          <w:sz w:val="22"/>
        </w:rPr>
        <w:t xml:space="preserve">Meyer, A.N.D., Giardina, T.D., Khawaja, L. and Singh, H. (2021) ‘Patient and clinician experiences of uncertainty in the diagnostic process: Current understanding and future directions’, </w:t>
      </w:r>
      <w:r w:rsidRPr="00303F1A">
        <w:rPr>
          <w:rFonts w:ascii="Arial" w:hAnsi="Arial" w:cs="Arial"/>
          <w:i/>
          <w:iCs/>
          <w:sz w:val="22"/>
        </w:rPr>
        <w:t>Patient Education and Counselling</w:t>
      </w:r>
      <w:r w:rsidRPr="00303F1A">
        <w:rPr>
          <w:rFonts w:ascii="Arial" w:hAnsi="Arial" w:cs="Arial"/>
          <w:sz w:val="22"/>
        </w:rPr>
        <w:t>, 104(11), pp. 2606–2615. Available at: https://doi.org/10.1016/j.pec.2021.07.028.</w:t>
      </w:r>
    </w:p>
    <w:p w:rsidR="00303F1A" w:rsidRPr="00303F1A" w:rsidRDefault="00000000" w:rsidP="00303F1A">
      <w:pPr>
        <w:rPr>
          <w:rFonts w:ascii="Arial" w:hAnsi="Arial" w:cs="Arial"/>
          <w:sz w:val="22"/>
        </w:rPr>
      </w:pPr>
      <w:r w:rsidRPr="00303F1A">
        <w:rPr>
          <w:rFonts w:ascii="Arial" w:hAnsi="Arial" w:cs="Arial"/>
          <w:sz w:val="22"/>
        </w:rPr>
        <w:t xml:space="preserve">Mills, R., Hyam, L. and Schmidt, U. (2023) ‘A Narrative Review of Early Intervention for Eating Disorders: Barriers and Facilitators’, </w:t>
      </w:r>
      <w:r w:rsidRPr="00303F1A">
        <w:rPr>
          <w:rFonts w:ascii="Arial" w:hAnsi="Arial" w:cs="Arial"/>
          <w:i/>
          <w:iCs/>
          <w:sz w:val="22"/>
        </w:rPr>
        <w:t>Adolescent Health, Medicine and Therapeutics</w:t>
      </w:r>
      <w:r w:rsidRPr="00303F1A">
        <w:rPr>
          <w:rFonts w:ascii="Arial" w:hAnsi="Arial" w:cs="Arial"/>
          <w:sz w:val="22"/>
        </w:rPr>
        <w:t>, Volume 14(14), pp. 217–235. Available at: https://doi.org/10.2147/ahmt.s415698.</w:t>
      </w:r>
    </w:p>
    <w:p w:rsidR="00303F1A" w:rsidRPr="00303F1A" w:rsidRDefault="00000000" w:rsidP="00303F1A">
      <w:pPr>
        <w:rPr>
          <w:rFonts w:ascii="Arial" w:hAnsi="Arial" w:cs="Arial"/>
          <w:sz w:val="22"/>
        </w:rPr>
      </w:pPr>
      <w:r w:rsidRPr="00303F1A">
        <w:rPr>
          <w:rFonts w:ascii="Arial" w:hAnsi="Arial" w:cs="Arial"/>
          <w:sz w:val="22"/>
        </w:rPr>
        <w:t xml:space="preserve">Morris, J. (2024). </w:t>
      </w:r>
      <w:r w:rsidRPr="00303F1A">
        <w:rPr>
          <w:rFonts w:ascii="Arial" w:hAnsi="Arial" w:cs="Arial"/>
          <w:i/>
          <w:iCs/>
          <w:sz w:val="22"/>
        </w:rPr>
        <w:t>The rapidly growing waiting lists for autism and ADHD assessments</w:t>
      </w:r>
      <w:r w:rsidRPr="00303F1A">
        <w:rPr>
          <w:rFonts w:ascii="Arial" w:hAnsi="Arial" w:cs="Arial"/>
          <w:sz w:val="22"/>
        </w:rPr>
        <w:t xml:space="preserve">, </w:t>
      </w:r>
      <w:r w:rsidRPr="00303F1A">
        <w:rPr>
          <w:rFonts w:ascii="Arial" w:hAnsi="Arial" w:cs="Arial"/>
          <w:i/>
          <w:iCs/>
          <w:sz w:val="22"/>
        </w:rPr>
        <w:t>Nuffield Trust</w:t>
      </w:r>
      <w:r w:rsidRPr="00303F1A">
        <w:rPr>
          <w:rFonts w:ascii="Arial" w:hAnsi="Arial" w:cs="Arial"/>
          <w:sz w:val="22"/>
        </w:rPr>
        <w:t>. Available at: https://www.nuffieldtrust.org.uk/news-item/the-rapidly-growing-waiting-lists-for-autism-and-adhd-assessments (Accessed: 20 September 2025).</w:t>
      </w:r>
    </w:p>
    <w:p w:rsidR="00303F1A" w:rsidRPr="00303F1A" w:rsidRDefault="00000000" w:rsidP="00303F1A">
      <w:pPr>
        <w:rPr>
          <w:rFonts w:ascii="Arial" w:hAnsi="Arial" w:cs="Arial"/>
          <w:sz w:val="22"/>
        </w:rPr>
      </w:pPr>
      <w:r w:rsidRPr="00303F1A">
        <w:rPr>
          <w:rFonts w:ascii="Arial" w:hAnsi="Arial" w:cs="Arial"/>
          <w:sz w:val="22"/>
        </w:rPr>
        <w:t xml:space="preserve">NHS (2023) </w:t>
      </w:r>
      <w:r w:rsidRPr="00303F1A">
        <w:rPr>
          <w:rFonts w:ascii="Arial" w:hAnsi="Arial" w:cs="Arial"/>
          <w:i/>
          <w:iCs/>
          <w:sz w:val="22"/>
        </w:rPr>
        <w:t>Hospital Admitted Patient Care Activity, 2022-23</w:t>
      </w:r>
      <w:r w:rsidRPr="00303F1A">
        <w:rPr>
          <w:rFonts w:ascii="Arial" w:hAnsi="Arial" w:cs="Arial"/>
          <w:sz w:val="22"/>
        </w:rPr>
        <w:t xml:space="preserve">, </w:t>
      </w:r>
      <w:r w:rsidRPr="00303F1A">
        <w:rPr>
          <w:rFonts w:ascii="Arial" w:hAnsi="Arial" w:cs="Arial"/>
          <w:i/>
          <w:iCs/>
          <w:sz w:val="22"/>
        </w:rPr>
        <w:t>NHS Digital</w:t>
      </w:r>
      <w:r w:rsidRPr="00303F1A">
        <w:rPr>
          <w:rFonts w:ascii="Arial" w:hAnsi="Arial" w:cs="Arial"/>
          <w:sz w:val="22"/>
        </w:rPr>
        <w:t>. Available at: https://digital.nhs.uk/data-and-information/publications/statistical/hospital-admitted-patient-care-activity/2022-23 (Accessed: 20 September 2025).</w:t>
      </w:r>
    </w:p>
    <w:p w:rsidR="00303F1A" w:rsidRPr="00303F1A" w:rsidRDefault="00000000" w:rsidP="00303F1A">
      <w:pPr>
        <w:rPr>
          <w:rFonts w:ascii="Arial" w:hAnsi="Arial" w:cs="Arial"/>
          <w:sz w:val="22"/>
        </w:rPr>
      </w:pPr>
      <w:r w:rsidRPr="00303F1A">
        <w:rPr>
          <w:rFonts w:ascii="Arial" w:hAnsi="Arial" w:cs="Arial"/>
          <w:sz w:val="22"/>
        </w:rPr>
        <w:t xml:space="preserve">NHS (2023) </w:t>
      </w:r>
      <w:r w:rsidRPr="00303F1A">
        <w:rPr>
          <w:rFonts w:ascii="Arial" w:hAnsi="Arial" w:cs="Arial"/>
          <w:i/>
          <w:iCs/>
          <w:sz w:val="22"/>
        </w:rPr>
        <w:t>Mental health of children and young people in England, 2023 - wave 4 follow-up to the 2017 survey</w:t>
      </w:r>
      <w:r w:rsidRPr="00303F1A">
        <w:rPr>
          <w:rFonts w:ascii="Arial" w:hAnsi="Arial" w:cs="Arial"/>
          <w:sz w:val="22"/>
        </w:rPr>
        <w:t xml:space="preserve">, </w:t>
      </w:r>
      <w:r w:rsidRPr="00303F1A">
        <w:rPr>
          <w:rFonts w:ascii="Arial" w:hAnsi="Arial" w:cs="Arial"/>
          <w:i/>
          <w:iCs/>
          <w:sz w:val="22"/>
        </w:rPr>
        <w:t>NHS Digital</w:t>
      </w:r>
      <w:r w:rsidRPr="00303F1A">
        <w:rPr>
          <w:rFonts w:ascii="Arial" w:hAnsi="Arial" w:cs="Arial"/>
          <w:sz w:val="22"/>
        </w:rPr>
        <w:t>. NHS England. Available at: https://digital.nhs.uk/data-and-information/publications/statistical/mental-health-of-children-and-young-people-in-england/2023-wave-4-follow-up (Accessed: 20 September 2025).</w:t>
      </w:r>
    </w:p>
    <w:p w:rsidR="00303F1A" w:rsidRPr="00303F1A" w:rsidRDefault="00000000" w:rsidP="00303F1A">
      <w:pPr>
        <w:rPr>
          <w:rFonts w:ascii="Arial" w:hAnsi="Arial" w:cs="Arial"/>
          <w:sz w:val="22"/>
        </w:rPr>
      </w:pPr>
      <w:r w:rsidRPr="00303F1A">
        <w:rPr>
          <w:rFonts w:ascii="Arial" w:hAnsi="Arial" w:cs="Arial"/>
          <w:sz w:val="22"/>
        </w:rPr>
        <w:t xml:space="preserve">NHS (2025) </w:t>
      </w:r>
      <w:r w:rsidRPr="00303F1A">
        <w:rPr>
          <w:rFonts w:ascii="Arial" w:hAnsi="Arial" w:cs="Arial"/>
          <w:i/>
          <w:iCs/>
          <w:sz w:val="22"/>
        </w:rPr>
        <w:t>NHS England» NHS welcomes record high recovery rate for common mental illness</w:t>
      </w:r>
      <w:r w:rsidRPr="00303F1A">
        <w:rPr>
          <w:rFonts w:ascii="Arial" w:hAnsi="Arial" w:cs="Arial"/>
          <w:sz w:val="22"/>
        </w:rPr>
        <w:t xml:space="preserve">, </w:t>
      </w:r>
      <w:r w:rsidRPr="00303F1A">
        <w:rPr>
          <w:rFonts w:ascii="Arial" w:hAnsi="Arial" w:cs="Arial"/>
          <w:i/>
          <w:iCs/>
          <w:sz w:val="22"/>
        </w:rPr>
        <w:t>England.nhs.uk</w:t>
      </w:r>
      <w:r w:rsidRPr="00303F1A">
        <w:rPr>
          <w:rFonts w:ascii="Arial" w:hAnsi="Arial" w:cs="Arial"/>
          <w:sz w:val="22"/>
        </w:rPr>
        <w:t>. Available at: https://www.england.nhs.uk/2018/02/mental-illness-recovery/ (Accessed: 20 September 2025).</w:t>
      </w:r>
    </w:p>
    <w:p w:rsidR="00303F1A" w:rsidRPr="00303F1A" w:rsidRDefault="00000000" w:rsidP="00303F1A">
      <w:pPr>
        <w:rPr>
          <w:rFonts w:ascii="Arial" w:hAnsi="Arial" w:cs="Arial"/>
          <w:sz w:val="22"/>
        </w:rPr>
      </w:pPr>
      <w:r w:rsidRPr="00303F1A">
        <w:rPr>
          <w:rFonts w:ascii="Arial" w:hAnsi="Arial" w:cs="Arial"/>
          <w:sz w:val="22"/>
        </w:rPr>
        <w:t xml:space="preserve">Palsson, O.S. and Ballou, S. (2020) 'Hypnosis and Cognitive Behavioural Therapies for the Management of Gastrointestinal Disorders', </w:t>
      </w:r>
      <w:r w:rsidRPr="00303F1A">
        <w:rPr>
          <w:rFonts w:ascii="Arial" w:hAnsi="Arial" w:cs="Arial"/>
          <w:i/>
          <w:iCs/>
          <w:sz w:val="22"/>
        </w:rPr>
        <w:t>Current Gastroenterology Reports</w:t>
      </w:r>
      <w:r w:rsidRPr="00303F1A">
        <w:rPr>
          <w:rFonts w:ascii="Arial" w:hAnsi="Arial" w:cs="Arial"/>
          <w:sz w:val="22"/>
        </w:rPr>
        <w:t>, 22(7). Available at: https://doi.org/10.1007/s11894-020-00769-z.</w:t>
      </w:r>
    </w:p>
    <w:p w:rsidR="00303F1A" w:rsidRPr="00303F1A" w:rsidRDefault="00000000" w:rsidP="00303F1A">
      <w:pPr>
        <w:rPr>
          <w:rFonts w:ascii="Arial" w:hAnsi="Arial" w:cs="Arial"/>
          <w:sz w:val="22"/>
        </w:rPr>
      </w:pPr>
      <w:r w:rsidRPr="00303F1A">
        <w:rPr>
          <w:rFonts w:ascii="Arial" w:hAnsi="Arial" w:cs="Arial"/>
          <w:sz w:val="22"/>
        </w:rPr>
        <w:t xml:space="preserve">Rowland, D.L. and Cooper, S.E. (2022) ‘The Tenuous Role of Distress in the Diagnosis of Premature Ejaculation: A Narrative Review’, </w:t>
      </w:r>
      <w:r w:rsidRPr="00303F1A">
        <w:rPr>
          <w:rFonts w:ascii="Arial" w:hAnsi="Arial" w:cs="Arial"/>
          <w:i/>
          <w:iCs/>
          <w:sz w:val="22"/>
        </w:rPr>
        <w:t>Sexual Medicine</w:t>
      </w:r>
      <w:r w:rsidRPr="00303F1A">
        <w:rPr>
          <w:rFonts w:ascii="Arial" w:hAnsi="Arial" w:cs="Arial"/>
          <w:sz w:val="22"/>
        </w:rPr>
        <w:t>, 10(5), p. 100546. Available at: https://doi.org/10.1016/j.esxm.2022.100546.</w:t>
      </w:r>
    </w:p>
    <w:p w:rsidR="00303F1A" w:rsidRPr="00303F1A" w:rsidRDefault="00000000" w:rsidP="00303F1A">
      <w:pPr>
        <w:rPr>
          <w:rFonts w:ascii="Arial" w:hAnsi="Arial" w:cs="Arial"/>
          <w:sz w:val="22"/>
        </w:rPr>
      </w:pPr>
      <w:r w:rsidRPr="00303F1A">
        <w:rPr>
          <w:rFonts w:ascii="Arial" w:hAnsi="Arial" w:cs="Arial"/>
          <w:sz w:val="22"/>
        </w:rPr>
        <w:t xml:space="preserve">Statista (2025) </w:t>
      </w:r>
      <w:r w:rsidRPr="00303F1A">
        <w:rPr>
          <w:rFonts w:ascii="Arial" w:hAnsi="Arial" w:cs="Arial"/>
          <w:i/>
          <w:iCs/>
          <w:sz w:val="22"/>
        </w:rPr>
        <w:t>England: behavioural disorders among young people 1999-2017| Statista</w:t>
      </w:r>
      <w:r w:rsidRPr="00303F1A">
        <w:rPr>
          <w:rFonts w:ascii="Arial" w:hAnsi="Arial" w:cs="Arial"/>
          <w:sz w:val="22"/>
        </w:rPr>
        <w:t xml:space="preserve">, </w:t>
      </w:r>
      <w:r w:rsidRPr="00303F1A">
        <w:rPr>
          <w:rFonts w:ascii="Arial" w:hAnsi="Arial" w:cs="Arial"/>
          <w:i/>
          <w:iCs/>
          <w:sz w:val="22"/>
        </w:rPr>
        <w:t>Statista</w:t>
      </w:r>
      <w:r w:rsidRPr="00303F1A">
        <w:rPr>
          <w:rFonts w:ascii="Arial" w:hAnsi="Arial" w:cs="Arial"/>
          <w:sz w:val="22"/>
        </w:rPr>
        <w:t>. Available at: https://www.statista.com/statistics/980463/england-behavioral-disorders-among-young-people-since-1999/ (Accessed: 20 September 2025).</w:t>
      </w:r>
    </w:p>
    <w:p w:rsidR="00303F1A" w:rsidRPr="00303F1A" w:rsidRDefault="00000000" w:rsidP="00303F1A">
      <w:pPr>
        <w:rPr>
          <w:rFonts w:ascii="Arial" w:hAnsi="Arial" w:cs="Arial"/>
          <w:sz w:val="22"/>
        </w:rPr>
      </w:pPr>
      <w:r w:rsidRPr="00303F1A">
        <w:rPr>
          <w:rFonts w:ascii="Arial" w:hAnsi="Arial" w:cs="Arial"/>
          <w:sz w:val="22"/>
        </w:rPr>
        <w:t xml:space="preserve">Statista (2025) </w:t>
      </w:r>
      <w:r w:rsidRPr="00303F1A">
        <w:rPr>
          <w:rFonts w:ascii="Arial" w:hAnsi="Arial" w:cs="Arial"/>
          <w:i/>
          <w:iCs/>
          <w:sz w:val="22"/>
        </w:rPr>
        <w:t>Mental health support for young people in England 2021</w:t>
      </w:r>
      <w:r w:rsidRPr="00303F1A">
        <w:rPr>
          <w:rFonts w:ascii="Arial" w:hAnsi="Arial" w:cs="Arial"/>
          <w:sz w:val="22"/>
        </w:rPr>
        <w:t xml:space="preserve">, </w:t>
      </w:r>
      <w:r w:rsidRPr="00303F1A">
        <w:rPr>
          <w:rFonts w:ascii="Arial" w:hAnsi="Arial" w:cs="Arial"/>
          <w:i/>
          <w:iCs/>
          <w:sz w:val="22"/>
        </w:rPr>
        <w:t>Statista</w:t>
      </w:r>
      <w:r w:rsidRPr="00303F1A">
        <w:rPr>
          <w:rFonts w:ascii="Arial" w:hAnsi="Arial" w:cs="Arial"/>
          <w:sz w:val="22"/>
        </w:rPr>
        <w:t>. Available at: https://www.statista.com/statistics/1275189/mental-health-support-for-young-people-in-england/ (Accessed: 20 September 2025).</w:t>
      </w:r>
    </w:p>
    <w:p w:rsidR="00303F1A" w:rsidRPr="00303F1A" w:rsidRDefault="00000000" w:rsidP="00303F1A">
      <w:pPr>
        <w:rPr>
          <w:rFonts w:ascii="Arial" w:hAnsi="Arial" w:cs="Arial"/>
          <w:sz w:val="22"/>
        </w:rPr>
      </w:pPr>
      <w:r w:rsidRPr="00303F1A">
        <w:rPr>
          <w:rFonts w:ascii="Arial" w:hAnsi="Arial" w:cs="Arial"/>
          <w:sz w:val="22"/>
        </w:rPr>
        <w:t xml:space="preserve">The Business Research Company (2025) </w:t>
      </w:r>
      <w:r w:rsidRPr="00303F1A">
        <w:rPr>
          <w:rFonts w:ascii="Arial" w:hAnsi="Arial" w:cs="Arial"/>
          <w:i/>
          <w:iCs/>
          <w:sz w:val="22"/>
        </w:rPr>
        <w:t>Antidepressants Market Analysis, Size And Trends Global Forecast To 2022-2030</w:t>
      </w:r>
      <w:r w:rsidRPr="00303F1A">
        <w:rPr>
          <w:rFonts w:ascii="Arial" w:hAnsi="Arial" w:cs="Arial"/>
          <w:sz w:val="22"/>
        </w:rPr>
        <w:t xml:space="preserve">, </w:t>
      </w:r>
      <w:r w:rsidRPr="00303F1A">
        <w:rPr>
          <w:rFonts w:ascii="Arial" w:hAnsi="Arial" w:cs="Arial"/>
          <w:i/>
          <w:iCs/>
          <w:sz w:val="22"/>
        </w:rPr>
        <w:t>www.thebusinessresearchcompany.com</w:t>
      </w:r>
      <w:r w:rsidRPr="00303F1A">
        <w:rPr>
          <w:rFonts w:ascii="Arial" w:hAnsi="Arial" w:cs="Arial"/>
          <w:sz w:val="22"/>
        </w:rPr>
        <w:t>. Available at: https://www.thebusinessresearchcompany.com/report/antidepressant-global-market-report (Accessed: 20 September 2025).</w:t>
      </w:r>
    </w:p>
    <w:p w:rsidR="00303F1A" w:rsidRPr="00303F1A" w:rsidRDefault="00000000" w:rsidP="00303F1A">
      <w:pPr>
        <w:rPr>
          <w:rFonts w:ascii="Arial" w:hAnsi="Arial" w:cs="Arial"/>
          <w:sz w:val="22"/>
        </w:rPr>
      </w:pPr>
      <w:r w:rsidRPr="00303F1A">
        <w:rPr>
          <w:rFonts w:ascii="Arial" w:hAnsi="Arial" w:cs="Arial"/>
          <w:sz w:val="22"/>
        </w:rPr>
        <w:t xml:space="preserve">Wojcik, G.L., Murphy, J., Edelson, J.L., Gignoux, C.R., Ioannidis, A.G., Manning, A., Rivas, M.A., Buyske, S. and Hendricks, A.E. (2022) ‘Opportunities and challenges for the use of common controls in sequencing studies’, </w:t>
      </w:r>
      <w:r w:rsidRPr="00303F1A">
        <w:rPr>
          <w:rFonts w:ascii="Arial" w:hAnsi="Arial" w:cs="Arial"/>
          <w:i/>
          <w:iCs/>
          <w:sz w:val="22"/>
        </w:rPr>
        <w:t>Nature Reviews Genetics</w:t>
      </w:r>
      <w:r w:rsidRPr="00303F1A">
        <w:rPr>
          <w:rFonts w:ascii="Arial" w:hAnsi="Arial" w:cs="Arial"/>
          <w:sz w:val="22"/>
        </w:rPr>
        <w:t>, 23(11), pp. 665–679. Available at: https://doi.org/10.1038/s41576-022-00487-4.</w:t>
      </w:r>
    </w:p>
    <w:p w:rsidR="00303F1A" w:rsidRPr="00303F1A" w:rsidRDefault="00000000" w:rsidP="00303F1A">
      <w:pPr>
        <w:rPr>
          <w:rFonts w:ascii="Arial" w:hAnsi="Arial" w:cs="Arial"/>
          <w:sz w:val="22"/>
        </w:rPr>
      </w:pPr>
      <w:r w:rsidRPr="00303F1A">
        <w:rPr>
          <w:rFonts w:ascii="Arial" w:hAnsi="Arial" w:cs="Arial"/>
          <w:sz w:val="22"/>
        </w:rPr>
        <w:t xml:space="preserve">Young, S., Abbasian, C., Al-Attar, Z., Branney, P., Colley, B., Cortese, S., Cubbin, S., Deeley, Q., Gudjonsson, G.H., Hill, P., Hollingdale, J., Jenden, S., Johnson, J., Judge, D., Lewis, A., Mason, P., Mukherjee, R., Nutt, D., Roberts, J. and Robinson, F. (2023) ‘Identification and treatment of individuals with attention-deficit/hyperactivity disorder and substance use disorder: An expert consensus statement’, </w:t>
      </w:r>
      <w:r w:rsidRPr="00303F1A">
        <w:rPr>
          <w:rFonts w:ascii="Arial" w:hAnsi="Arial" w:cs="Arial"/>
          <w:i/>
          <w:iCs/>
          <w:sz w:val="22"/>
        </w:rPr>
        <w:t>World Journal of Psychiatry</w:t>
      </w:r>
      <w:r w:rsidRPr="00303F1A">
        <w:rPr>
          <w:rFonts w:ascii="Arial" w:hAnsi="Arial" w:cs="Arial"/>
          <w:sz w:val="22"/>
        </w:rPr>
        <w:t>, 13(3), pp. 84–112. Available at: https://doi.org/10.5498/wjp.v13.i3.84.</w:t>
      </w:r>
    </w:p>
    <w:p w:rsidR="00303F1A" w:rsidRPr="00303F1A" w:rsidRDefault="00000000" w:rsidP="00303F1A">
      <w:pPr>
        <w:rPr>
          <w:rFonts w:ascii="Arial" w:hAnsi="Arial" w:cs="Arial"/>
          <w:sz w:val="22"/>
        </w:rPr>
      </w:pPr>
      <w:r w:rsidRPr="00303F1A">
        <w:rPr>
          <w:rFonts w:ascii="Arial" w:hAnsi="Arial" w:cs="Arial"/>
          <w:sz w:val="22"/>
        </w:rPr>
        <w:t xml:space="preserve">Zhang, J.F., Wang, X.X., Feng, Y., Fekete, R., Jankovic, J. and Wu, Y.C. (2021). Impulse control disorders in Parkinson's disease: epidemiology, pathogenesis and therapeutic strategies. </w:t>
      </w:r>
      <w:r w:rsidRPr="00303F1A">
        <w:rPr>
          <w:rFonts w:ascii="Arial" w:hAnsi="Arial" w:cs="Arial"/>
          <w:i/>
          <w:iCs/>
          <w:sz w:val="22"/>
        </w:rPr>
        <w:t>Frontiers in psychiatry</w:t>
      </w:r>
      <w:r w:rsidRPr="00303F1A">
        <w:rPr>
          <w:rFonts w:ascii="Arial" w:hAnsi="Arial" w:cs="Arial"/>
          <w:sz w:val="22"/>
        </w:rPr>
        <w:t xml:space="preserve">, </w:t>
      </w:r>
      <w:r w:rsidRPr="00303F1A">
        <w:rPr>
          <w:rFonts w:ascii="Arial" w:hAnsi="Arial" w:cs="Arial"/>
          <w:i/>
          <w:iCs/>
          <w:sz w:val="22"/>
        </w:rPr>
        <w:t>12</w:t>
      </w:r>
      <w:r w:rsidRPr="00303F1A">
        <w:rPr>
          <w:rFonts w:ascii="Arial" w:hAnsi="Arial" w:cs="Arial"/>
          <w:sz w:val="22"/>
        </w:rPr>
        <w:t>, pp.635494.   Available at: https://www.frontiersin.org/articles/10.3389/fpsyt.2021.635494/full [Accessed on: 20/09/2025]</w:t>
      </w:r>
    </w:p>
    <w:p w:rsidR="0018111A" w:rsidRPr="00303F1A" w:rsidRDefault="0018111A" w:rsidP="00303F1A">
      <w:pPr>
        <w:rPr>
          <w:rFonts w:ascii="Arial" w:hAnsi="Arial" w:cs="Arial"/>
          <w:sz w:val="22"/>
        </w:rPr>
      </w:pPr>
    </w:p>
    <w:sectPr w:rsidR="0018111A" w:rsidRPr="00303F1A" w:rsidSect="00303F1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32AF5" w:rsidRDefault="00132AF5" w:rsidP="00303F1A">
      <w:pPr>
        <w:spacing w:before="0" w:after="0" w:line="240" w:lineRule="auto"/>
      </w:pPr>
      <w:r>
        <w:separator/>
      </w:r>
    </w:p>
  </w:endnote>
  <w:endnote w:type="continuationSeparator" w:id="0">
    <w:p w:rsidR="00132AF5" w:rsidRDefault="00132AF5" w:rsidP="00303F1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4467958"/>
      <w:docPartObj>
        <w:docPartGallery w:val="Page Numbers (Bottom of Page)"/>
        <w:docPartUnique/>
      </w:docPartObj>
    </w:sdtPr>
    <w:sdtEndPr>
      <w:rPr>
        <w:color w:val="7F7F7F" w:themeColor="background1" w:themeShade="7F"/>
        <w:spacing w:val="60"/>
      </w:rPr>
    </w:sdtEndPr>
    <w:sdtContent>
      <w:p w:rsidR="00303F1A" w:rsidRDefault="00000000">
        <w:pPr>
          <w:pStyle w:val="Footer"/>
          <w:pBdr>
            <w:top w:val="single" w:sz="4" w:space="1" w:color="D9D9D9" w:themeColor="background1" w:themeShade="D9"/>
          </w:pBdr>
          <w:jc w:val="right"/>
        </w:pPr>
        <w:r w:rsidRPr="00303F1A">
          <w:rPr>
            <w:rFonts w:ascii="Arial" w:hAnsi="Arial" w:cs="Arial"/>
            <w:sz w:val="18"/>
            <w:szCs w:val="16"/>
          </w:rPr>
          <w:fldChar w:fldCharType="begin"/>
        </w:r>
        <w:r w:rsidRPr="00303F1A">
          <w:rPr>
            <w:rFonts w:ascii="Arial" w:hAnsi="Arial" w:cs="Arial"/>
            <w:sz w:val="18"/>
            <w:szCs w:val="16"/>
          </w:rPr>
          <w:instrText>PAGE   \* MERGEFORMAT</w:instrText>
        </w:r>
        <w:r w:rsidRPr="00303F1A">
          <w:rPr>
            <w:rFonts w:ascii="Arial" w:hAnsi="Arial" w:cs="Arial"/>
            <w:sz w:val="18"/>
            <w:szCs w:val="16"/>
          </w:rPr>
          <w:fldChar w:fldCharType="separate"/>
        </w:r>
        <w:r w:rsidRPr="00303F1A">
          <w:rPr>
            <w:rFonts w:ascii="Arial" w:hAnsi="Arial" w:cs="Arial"/>
            <w:sz w:val="18"/>
            <w:szCs w:val="16"/>
          </w:rPr>
          <w:t>2</w:t>
        </w:r>
        <w:r w:rsidRPr="00303F1A">
          <w:rPr>
            <w:rFonts w:ascii="Arial" w:hAnsi="Arial" w:cs="Arial"/>
            <w:sz w:val="18"/>
            <w:szCs w:val="16"/>
          </w:rPr>
          <w:fldChar w:fldCharType="end"/>
        </w:r>
        <w:r w:rsidRPr="00303F1A">
          <w:rPr>
            <w:rFonts w:ascii="Arial" w:hAnsi="Arial" w:cs="Arial"/>
            <w:sz w:val="18"/>
            <w:szCs w:val="16"/>
          </w:rPr>
          <w:t xml:space="preserve"> | </w:t>
        </w:r>
        <w:r w:rsidRPr="00303F1A">
          <w:rPr>
            <w:rFonts w:ascii="Arial" w:hAnsi="Arial" w:cs="Arial"/>
            <w:color w:val="7F7F7F" w:themeColor="background1" w:themeShade="7F"/>
            <w:spacing w:val="60"/>
            <w:sz w:val="18"/>
            <w:szCs w:val="16"/>
          </w:rPr>
          <w:t>Page</w:t>
        </w:r>
      </w:p>
    </w:sdtContent>
  </w:sdt>
  <w:p w:rsidR="00303F1A" w:rsidRDefault="00303F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32AF5" w:rsidRDefault="00132AF5" w:rsidP="00303F1A">
      <w:pPr>
        <w:spacing w:before="0" w:after="0" w:line="240" w:lineRule="auto"/>
      </w:pPr>
      <w:r>
        <w:separator/>
      </w:r>
    </w:p>
  </w:footnote>
  <w:footnote w:type="continuationSeparator" w:id="0">
    <w:p w:rsidR="00132AF5" w:rsidRDefault="00132AF5" w:rsidP="00303F1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296ABC"/>
    <w:multiLevelType w:val="multilevel"/>
    <w:tmpl w:val="F7BC6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3B4910"/>
    <w:multiLevelType w:val="multilevel"/>
    <w:tmpl w:val="3C5C0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CB3707"/>
    <w:multiLevelType w:val="multilevel"/>
    <w:tmpl w:val="99027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D17D46"/>
    <w:multiLevelType w:val="multilevel"/>
    <w:tmpl w:val="88524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2264932">
    <w:abstractNumId w:val="3"/>
  </w:num>
  <w:num w:numId="2" w16cid:durableId="1997025466">
    <w:abstractNumId w:val="0"/>
  </w:num>
  <w:num w:numId="3" w16cid:durableId="22288170">
    <w:abstractNumId w:val="1"/>
  </w:num>
  <w:num w:numId="4" w16cid:durableId="18323267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F1A"/>
    <w:rsid w:val="000435D6"/>
    <w:rsid w:val="00132AF5"/>
    <w:rsid w:val="00145A05"/>
    <w:rsid w:val="0018111A"/>
    <w:rsid w:val="001A644E"/>
    <w:rsid w:val="00303F1A"/>
    <w:rsid w:val="003131E9"/>
    <w:rsid w:val="00352234"/>
    <w:rsid w:val="004A7222"/>
    <w:rsid w:val="004B5842"/>
    <w:rsid w:val="00550DF4"/>
    <w:rsid w:val="00553229"/>
    <w:rsid w:val="00675FF4"/>
    <w:rsid w:val="00834DEB"/>
    <w:rsid w:val="008D5FD7"/>
    <w:rsid w:val="009078FD"/>
    <w:rsid w:val="009422F0"/>
    <w:rsid w:val="00964D51"/>
    <w:rsid w:val="009A3769"/>
    <w:rsid w:val="009B2B5E"/>
    <w:rsid w:val="009D3303"/>
    <w:rsid w:val="00A2635E"/>
    <w:rsid w:val="00A3178F"/>
    <w:rsid w:val="00AC6097"/>
    <w:rsid w:val="00AC7FEB"/>
    <w:rsid w:val="00B4311D"/>
    <w:rsid w:val="00C17D42"/>
    <w:rsid w:val="00C2067F"/>
    <w:rsid w:val="00C326D6"/>
    <w:rsid w:val="00CB53A3"/>
    <w:rsid w:val="00DA3E7F"/>
    <w:rsid w:val="00DF2F48"/>
    <w:rsid w:val="00EE6A7C"/>
    <w:rsid w:val="00FD60B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5D6"/>
  </w:style>
  <w:style w:type="paragraph" w:styleId="Heading1">
    <w:name w:val="heading 1"/>
    <w:basedOn w:val="Normal"/>
    <w:next w:val="Normal"/>
    <w:link w:val="Heading1Char"/>
    <w:autoRedefine/>
    <w:uiPriority w:val="9"/>
    <w:qFormat/>
    <w:rsid w:val="00303F1A"/>
    <w:pPr>
      <w:keepNext/>
      <w:keepLines/>
      <w:outlineLvl w:val="0"/>
    </w:pPr>
    <w:rPr>
      <w:rFonts w:ascii="Arial" w:hAnsi="Arial" w:cs="Arial"/>
      <w:b/>
      <w:color w:val="222222"/>
      <w:kern w:val="2"/>
      <w:sz w:val="28"/>
      <w:szCs w:val="40"/>
      <w:lang w:val="en-IN"/>
      <w14:ligatures w14:val="standardContextual"/>
    </w:rPr>
  </w:style>
  <w:style w:type="paragraph" w:styleId="Heading2">
    <w:name w:val="heading 2"/>
    <w:basedOn w:val="Normal"/>
    <w:next w:val="Normal"/>
    <w:link w:val="Heading2Char"/>
    <w:autoRedefine/>
    <w:uiPriority w:val="9"/>
    <w:unhideWhenUsed/>
    <w:qFormat/>
    <w:rsid w:val="000435D6"/>
    <w:pPr>
      <w:keepNext/>
      <w:keepLines/>
      <w:outlineLvl w:val="1"/>
    </w:pPr>
    <w:rPr>
      <w:b/>
      <w:sz w:val="26"/>
      <w:szCs w:val="32"/>
    </w:rPr>
  </w:style>
  <w:style w:type="paragraph" w:styleId="Heading3">
    <w:name w:val="heading 3"/>
    <w:basedOn w:val="Normal"/>
    <w:next w:val="Normal"/>
    <w:link w:val="Heading3Char"/>
    <w:uiPriority w:val="9"/>
    <w:semiHidden/>
    <w:unhideWhenUsed/>
    <w:qFormat/>
    <w:rsid w:val="00303F1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3F1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3F1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03F1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03F1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03F1A"/>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03F1A"/>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F1A"/>
    <w:rPr>
      <w:rFonts w:ascii="Arial" w:hAnsi="Arial" w:cs="Arial"/>
      <w:b/>
      <w:color w:val="222222"/>
      <w:kern w:val="2"/>
      <w:sz w:val="28"/>
      <w:szCs w:val="40"/>
      <w:lang w:val="en-IN"/>
      <w14:ligatures w14:val="standardContextual"/>
    </w:rPr>
  </w:style>
  <w:style w:type="character" w:customStyle="1" w:styleId="Heading2Char">
    <w:name w:val="Heading 2 Char"/>
    <w:basedOn w:val="DefaultParagraphFont"/>
    <w:link w:val="Heading2"/>
    <w:uiPriority w:val="9"/>
    <w:rsid w:val="000435D6"/>
    <w:rPr>
      <w:b/>
      <w:color w:val="auto"/>
      <w:kern w:val="0"/>
      <w:sz w:val="26"/>
      <w:szCs w:val="32"/>
      <w:lang w:val="en" w:eastAsia="en-IN"/>
      <w14:ligatures w14:val="none"/>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character" w:customStyle="1" w:styleId="Heading3Char">
    <w:name w:val="Heading 3 Char"/>
    <w:basedOn w:val="DefaultParagraphFont"/>
    <w:link w:val="Heading3"/>
    <w:uiPriority w:val="9"/>
    <w:semiHidden/>
    <w:rsid w:val="00303F1A"/>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3F1A"/>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303F1A"/>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303F1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03F1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03F1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03F1A"/>
    <w:rPr>
      <w:rFonts w:asciiTheme="minorHAnsi" w:eastAsiaTheme="majorEastAsia" w:hAnsiTheme="minorHAnsi" w:cstheme="majorBidi"/>
      <w:color w:val="272727" w:themeColor="text1" w:themeTint="D8"/>
    </w:rPr>
  </w:style>
  <w:style w:type="paragraph" w:styleId="Subtitle">
    <w:name w:val="Subtitle"/>
    <w:basedOn w:val="Normal"/>
    <w:next w:val="Normal"/>
    <w:link w:val="SubtitleChar"/>
    <w:uiPriority w:val="11"/>
    <w:qFormat/>
    <w:rsid w:val="00303F1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F1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03F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03F1A"/>
    <w:rPr>
      <w:i/>
      <w:iCs/>
      <w:color w:val="404040" w:themeColor="text1" w:themeTint="BF"/>
    </w:rPr>
  </w:style>
  <w:style w:type="paragraph" w:styleId="ListParagraph">
    <w:name w:val="List Paragraph"/>
    <w:basedOn w:val="Normal"/>
    <w:uiPriority w:val="34"/>
    <w:qFormat/>
    <w:rsid w:val="00303F1A"/>
    <w:pPr>
      <w:ind w:left="720"/>
      <w:contextualSpacing/>
    </w:pPr>
  </w:style>
  <w:style w:type="character" w:styleId="IntenseEmphasis">
    <w:name w:val="Intense Emphasis"/>
    <w:basedOn w:val="DefaultParagraphFont"/>
    <w:uiPriority w:val="21"/>
    <w:qFormat/>
    <w:rsid w:val="00303F1A"/>
    <w:rPr>
      <w:i/>
      <w:iCs/>
      <w:color w:val="2F5496" w:themeColor="accent1" w:themeShade="BF"/>
    </w:rPr>
  </w:style>
  <w:style w:type="paragraph" w:styleId="IntenseQuote">
    <w:name w:val="Intense Quote"/>
    <w:basedOn w:val="Normal"/>
    <w:next w:val="Normal"/>
    <w:link w:val="IntenseQuoteChar"/>
    <w:uiPriority w:val="30"/>
    <w:qFormat/>
    <w:rsid w:val="00303F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3F1A"/>
    <w:rPr>
      <w:i/>
      <w:iCs/>
      <w:color w:val="2F5496" w:themeColor="accent1" w:themeShade="BF"/>
    </w:rPr>
  </w:style>
  <w:style w:type="character" w:styleId="IntenseReference">
    <w:name w:val="Intense Reference"/>
    <w:basedOn w:val="DefaultParagraphFont"/>
    <w:uiPriority w:val="32"/>
    <w:qFormat/>
    <w:rsid w:val="00303F1A"/>
    <w:rPr>
      <w:b/>
      <w:bCs/>
      <w:smallCaps/>
      <w:color w:val="2F5496" w:themeColor="accent1" w:themeShade="BF"/>
      <w:spacing w:val="5"/>
    </w:rPr>
  </w:style>
  <w:style w:type="paragraph" w:styleId="TOCHeading">
    <w:name w:val="TOC Heading"/>
    <w:basedOn w:val="Heading1"/>
    <w:next w:val="Normal"/>
    <w:uiPriority w:val="39"/>
    <w:unhideWhenUsed/>
    <w:qFormat/>
    <w:rsid w:val="00303F1A"/>
    <w:pPr>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303F1A"/>
  </w:style>
  <w:style w:type="paragraph" w:styleId="TOC2">
    <w:name w:val="toc 2"/>
    <w:basedOn w:val="Normal"/>
    <w:next w:val="Normal"/>
    <w:autoRedefine/>
    <w:uiPriority w:val="39"/>
    <w:unhideWhenUsed/>
    <w:rsid w:val="00303F1A"/>
    <w:pPr>
      <w:ind w:left="240"/>
    </w:pPr>
  </w:style>
  <w:style w:type="character" w:styleId="Hyperlink">
    <w:name w:val="Hyperlink"/>
    <w:basedOn w:val="DefaultParagraphFont"/>
    <w:uiPriority w:val="99"/>
    <w:unhideWhenUsed/>
    <w:rsid w:val="00303F1A"/>
    <w:rPr>
      <w:color w:val="0563C1" w:themeColor="hyperlink"/>
      <w:u w:val="single"/>
    </w:rPr>
  </w:style>
  <w:style w:type="paragraph" w:styleId="Header">
    <w:name w:val="header"/>
    <w:basedOn w:val="Normal"/>
    <w:link w:val="HeaderChar"/>
    <w:uiPriority w:val="99"/>
    <w:unhideWhenUsed/>
    <w:rsid w:val="00303F1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03F1A"/>
  </w:style>
  <w:style w:type="paragraph" w:styleId="Footer">
    <w:name w:val="footer"/>
    <w:basedOn w:val="Normal"/>
    <w:link w:val="FooterChar"/>
    <w:uiPriority w:val="99"/>
    <w:unhideWhenUsed/>
    <w:rsid w:val="00303F1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03F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3993</Words>
  <Characters>23884</Characters>
  <Application>Microsoft Office Word</Application>
  <DocSecurity>0</DocSecurity>
  <Lines>530</Lines>
  <Paragraphs>211</Paragraphs>
  <ScaleCrop>false</ScaleCrop>
  <Company/>
  <LinksUpToDate>false</LinksUpToDate>
  <CharactersWithSpaces>27666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2025-11-05T18:41:00Z</dcterms:created>
  <dcterms:modified xsi:type="dcterms:W3CDTF">2025-11-05T18:41:00Z</dcterms:modified>
</cp:coreProperties>
</file>