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89CEC" w14:textId="77777777" w:rsidR="00A817E2" w:rsidRDefault="00A817E2">
      <w:pPr>
        <w:rPr>
          <w:color w:val="000000" w:themeColor="text1"/>
          <w:sz w:val="32"/>
          <w:szCs w:val="32"/>
        </w:rPr>
      </w:pPr>
    </w:p>
    <w:p w14:paraId="5F2D0349" w14:textId="77777777" w:rsidR="00A817E2" w:rsidRDefault="00A817E2">
      <w:pPr>
        <w:rPr>
          <w:color w:val="000000" w:themeColor="text1"/>
          <w:sz w:val="32"/>
          <w:szCs w:val="32"/>
        </w:rPr>
      </w:pPr>
    </w:p>
    <w:p w14:paraId="599D0867" w14:textId="794721BE" w:rsidR="000C42D5" w:rsidRDefault="00A817E2">
      <w:pPr>
        <w:rPr>
          <w:color w:val="000000" w:themeColor="text1"/>
          <w:sz w:val="32"/>
          <w:szCs w:val="32"/>
        </w:rPr>
      </w:pPr>
      <w:r>
        <w:rPr>
          <w:color w:val="000000" w:themeColor="text1"/>
          <w:sz w:val="32"/>
          <w:szCs w:val="32"/>
        </w:rPr>
        <w:t>A legal process typically refers to one of several different things related to law and various legal practices.</w:t>
      </w:r>
      <w:r w:rsidR="000C42D5">
        <w:rPr>
          <w:color w:val="000000" w:themeColor="text1"/>
          <w:sz w:val="32"/>
          <w:szCs w:val="32"/>
        </w:rPr>
        <w:t xml:space="preserve"> </w:t>
      </w:r>
      <w:r>
        <w:rPr>
          <w:color w:val="000000" w:themeColor="text1"/>
          <w:sz w:val="32"/>
          <w:szCs w:val="32"/>
        </w:rPr>
        <w:t>One of the most common uses of the term is to refer to the processes or procedures followed during a legal case,</w:t>
      </w:r>
      <w:r w:rsidR="000C42D5">
        <w:rPr>
          <w:color w:val="000000" w:themeColor="text1"/>
          <w:sz w:val="32"/>
          <w:szCs w:val="32"/>
        </w:rPr>
        <w:t xml:space="preserve"> </w:t>
      </w:r>
      <w:r>
        <w:rPr>
          <w:color w:val="000000" w:themeColor="text1"/>
          <w:sz w:val="32"/>
          <w:szCs w:val="32"/>
        </w:rPr>
        <w:t>such as a criminal or civil case that is tried in a court or law</w:t>
      </w:r>
      <w:r w:rsidR="000C42D5">
        <w:rPr>
          <w:color w:val="000000" w:themeColor="text1"/>
          <w:sz w:val="32"/>
          <w:szCs w:val="32"/>
        </w:rPr>
        <w:t xml:space="preserve"> </w:t>
      </w:r>
      <w:r>
        <w:rPr>
          <w:color w:val="000000" w:themeColor="text1"/>
          <w:sz w:val="32"/>
          <w:szCs w:val="32"/>
        </w:rPr>
        <w:t>.The term can also be used to refer to the serving of a summons or court order upon a person,</w:t>
      </w:r>
      <w:r w:rsidR="000C42D5">
        <w:rPr>
          <w:color w:val="000000" w:themeColor="text1"/>
          <w:sz w:val="32"/>
          <w:szCs w:val="32"/>
        </w:rPr>
        <w:t xml:space="preserve"> </w:t>
      </w:r>
      <w:r>
        <w:rPr>
          <w:color w:val="000000" w:themeColor="text1"/>
          <w:sz w:val="32"/>
          <w:szCs w:val="32"/>
        </w:rPr>
        <w:t>which is often done by a court-appointed individual or a private company.</w:t>
      </w:r>
      <w:r w:rsidR="000C42D5">
        <w:rPr>
          <w:color w:val="000000" w:themeColor="text1"/>
          <w:sz w:val="32"/>
          <w:szCs w:val="32"/>
        </w:rPr>
        <w:t xml:space="preserve"> </w:t>
      </w:r>
      <w:r>
        <w:rPr>
          <w:color w:val="000000" w:themeColor="text1"/>
          <w:sz w:val="32"/>
          <w:szCs w:val="32"/>
        </w:rPr>
        <w:t>This legal process will typically vary from one country to anothe</w:t>
      </w:r>
      <w:r w:rsidR="00F04BCE">
        <w:rPr>
          <w:color w:val="000000" w:themeColor="text1"/>
          <w:sz w:val="32"/>
          <w:szCs w:val="32"/>
        </w:rPr>
        <w:t>r.</w:t>
      </w:r>
    </w:p>
    <w:p w14:paraId="38E6746E" w14:textId="43C61EA4" w:rsidR="00F04BCE" w:rsidRDefault="00F04BCE">
      <w:pPr>
        <w:rPr>
          <w:color w:val="000000" w:themeColor="text1"/>
          <w:sz w:val="32"/>
          <w:szCs w:val="32"/>
        </w:rPr>
      </w:pPr>
      <w:r>
        <w:rPr>
          <w:color w:val="000000" w:themeColor="text1"/>
          <w:sz w:val="32"/>
          <w:szCs w:val="32"/>
        </w:rPr>
        <w:t>Supreme Court</w:t>
      </w:r>
    </w:p>
    <w:p w14:paraId="22924D46" w14:textId="1A67FB4B" w:rsidR="00F04BCE" w:rsidRDefault="00F04BCE">
      <w:pPr>
        <w:rPr>
          <w:color w:val="000000" w:themeColor="text1"/>
          <w:sz w:val="32"/>
          <w:szCs w:val="32"/>
        </w:rPr>
      </w:pPr>
      <w:r>
        <w:rPr>
          <w:color w:val="000000" w:themeColor="text1"/>
          <w:sz w:val="32"/>
          <w:szCs w:val="32"/>
        </w:rPr>
        <w:t xml:space="preserve">The Supreme Court is the final court of appeal in  the UK for civil cases , and for criminal cases from England , </w:t>
      </w:r>
      <w:r w:rsidR="0033561F">
        <w:rPr>
          <w:color w:val="000000" w:themeColor="text1"/>
          <w:sz w:val="32"/>
          <w:szCs w:val="32"/>
        </w:rPr>
        <w:t xml:space="preserve">Wales </w:t>
      </w:r>
      <w:r>
        <w:rPr>
          <w:color w:val="000000" w:themeColor="text1"/>
          <w:sz w:val="32"/>
          <w:szCs w:val="32"/>
        </w:rPr>
        <w:t>and Northern Ir</w:t>
      </w:r>
      <w:r w:rsidR="0033561F">
        <w:rPr>
          <w:color w:val="000000" w:themeColor="text1"/>
          <w:sz w:val="32"/>
          <w:szCs w:val="32"/>
        </w:rPr>
        <w:t>e</w:t>
      </w:r>
      <w:r>
        <w:rPr>
          <w:color w:val="000000" w:themeColor="text1"/>
          <w:sz w:val="32"/>
          <w:szCs w:val="32"/>
        </w:rPr>
        <w:t>land .</w:t>
      </w:r>
    </w:p>
    <w:p w14:paraId="3F8FB24A" w14:textId="78E66FA6" w:rsidR="00F04BCE" w:rsidRDefault="00F04BCE">
      <w:pPr>
        <w:rPr>
          <w:color w:val="000000" w:themeColor="text1"/>
          <w:sz w:val="32"/>
          <w:szCs w:val="32"/>
        </w:rPr>
      </w:pPr>
      <w:r>
        <w:rPr>
          <w:color w:val="000000" w:themeColor="text1"/>
          <w:sz w:val="32"/>
          <w:szCs w:val="32"/>
        </w:rPr>
        <w:t>They are the UK’s most powerful arbiters of justice and now, for the first time ,four of the Justice of the Supreme Court talk frankly and openly about the nature of justice and how they make their decisions.</w:t>
      </w:r>
    </w:p>
    <w:p w14:paraId="3B56348E" w14:textId="6734043E" w:rsidR="00EA3F3A" w:rsidRDefault="00EA3F3A">
      <w:pPr>
        <w:rPr>
          <w:color w:val="000000" w:themeColor="text1"/>
          <w:sz w:val="32"/>
          <w:szCs w:val="32"/>
        </w:rPr>
      </w:pPr>
      <w:r>
        <w:rPr>
          <w:color w:val="000000" w:themeColor="text1"/>
          <w:sz w:val="32"/>
          <w:szCs w:val="32"/>
        </w:rPr>
        <w:t>There are three legal systems in the United Kingdom. They are separated and independent systems. The three legal systems are for England and Wales, Scotland and Northern Ireland.</w:t>
      </w:r>
    </w:p>
    <w:p w14:paraId="6CBC74B3" w14:textId="77777777" w:rsidR="00643EA2" w:rsidRDefault="00EA3F3A" w:rsidP="00EA3F3A">
      <w:pPr>
        <w:rPr>
          <w:color w:val="000000" w:themeColor="text1"/>
          <w:sz w:val="32"/>
          <w:szCs w:val="32"/>
        </w:rPr>
      </w:pPr>
      <w:r>
        <w:rPr>
          <w:color w:val="000000" w:themeColor="text1"/>
          <w:sz w:val="32"/>
          <w:szCs w:val="32"/>
        </w:rPr>
        <w:t>Basic on the history ,</w:t>
      </w:r>
      <w:r w:rsidR="00643EA2">
        <w:rPr>
          <w:color w:val="000000" w:themeColor="text1"/>
          <w:sz w:val="32"/>
          <w:szCs w:val="32"/>
        </w:rPr>
        <w:t>the first country who had the law it was Scotland followed by Ireland ,and after Northern Ireland under the Acts of Union 1707 and 1800.</w:t>
      </w:r>
    </w:p>
    <w:p w14:paraId="49CCA77F" w14:textId="77777777" w:rsidR="00EA3F3A" w:rsidRPr="00EA3F3A" w:rsidRDefault="00EA3F3A" w:rsidP="00EA3F3A">
      <w:pPr>
        <w:rPr>
          <w:color w:val="000000" w:themeColor="text1"/>
          <w:sz w:val="32"/>
          <w:szCs w:val="32"/>
        </w:rPr>
      </w:pPr>
    </w:p>
    <w:p w14:paraId="4B428F86" w14:textId="5D163B42" w:rsidR="00EA3F3A" w:rsidRPr="00EA3F3A" w:rsidRDefault="00EA3F3A" w:rsidP="00EA3F3A">
      <w:pPr>
        <w:rPr>
          <w:color w:val="000000" w:themeColor="text1"/>
          <w:sz w:val="32"/>
          <w:szCs w:val="32"/>
        </w:rPr>
      </w:pPr>
      <w:r w:rsidRPr="00EA3F3A">
        <w:rPr>
          <w:color w:val="000000" w:themeColor="text1"/>
          <w:sz w:val="32"/>
          <w:szCs w:val="32"/>
        </w:rPr>
        <w:t xml:space="preserve">The justice system is one of the three branches of the state. The other two branches are the executive, or the government, and the legislature, which is the two Houses of Parliament. In most democracies these three branches of the state are separate from </w:t>
      </w:r>
      <w:r w:rsidRPr="00EA3F3A">
        <w:rPr>
          <w:color w:val="000000" w:themeColor="text1"/>
          <w:sz w:val="32"/>
          <w:szCs w:val="32"/>
        </w:rPr>
        <w:lastRenderedPageBreak/>
        <w:t xml:space="preserve">each other. They have roles and functions that are defined within written constitutions, preventing the concentration of power in any one branch and enabling each branch to serve as a check on the other two branches. </w:t>
      </w:r>
    </w:p>
    <w:p w14:paraId="5388E018" w14:textId="77777777" w:rsidR="00EA3F3A" w:rsidRPr="00EA3F3A" w:rsidRDefault="00EA3F3A" w:rsidP="00EA3F3A">
      <w:pPr>
        <w:rPr>
          <w:color w:val="000000" w:themeColor="text1"/>
          <w:sz w:val="32"/>
          <w:szCs w:val="32"/>
        </w:rPr>
      </w:pPr>
    </w:p>
    <w:p w14:paraId="4509DF72" w14:textId="77777777" w:rsidR="00EA3F3A" w:rsidRPr="00EA3F3A" w:rsidRDefault="00EA3F3A" w:rsidP="00EA3F3A">
      <w:pPr>
        <w:rPr>
          <w:color w:val="000000" w:themeColor="text1"/>
          <w:sz w:val="32"/>
          <w:szCs w:val="32"/>
        </w:rPr>
      </w:pPr>
      <w:r w:rsidRPr="00EA3F3A">
        <w:rPr>
          <w:color w:val="000000" w:themeColor="text1"/>
          <w:sz w:val="32"/>
          <w:szCs w:val="32"/>
        </w:rPr>
        <w:t>The United Kingdom, famously and almost uniquely, does not have a constitution that is contained in a written constitutional instrument. Its constitution is to be found in the statutes passed by Parliament and in the common law, the law developed over the centuries in the decisions of the courts. Only two other countries, Israel and New Zealand, are like the United Kingdom in not having a written constitutional instrument. These three countries differ in this way from almost all other countries. Such constitutional instruments, for instance that of the United States, which has one of the most well known written constitutions, often have a higher status than ordinary legislation and constitutional provisions can only be enacted and repealed by a special procedure that differs from the procedure for making and repealing ordinary legislation.</w:t>
      </w:r>
    </w:p>
    <w:p w14:paraId="26CDF361" w14:textId="77777777" w:rsidR="00EA3F3A" w:rsidRPr="00EA3F3A" w:rsidRDefault="00EA3F3A" w:rsidP="00EA3F3A">
      <w:pPr>
        <w:rPr>
          <w:color w:val="000000" w:themeColor="text1"/>
          <w:sz w:val="32"/>
          <w:szCs w:val="32"/>
        </w:rPr>
      </w:pPr>
    </w:p>
    <w:p w14:paraId="45FE9758" w14:textId="77777777" w:rsidR="00EA3F3A" w:rsidRPr="00EA3F3A" w:rsidRDefault="00EA3F3A" w:rsidP="00EA3F3A">
      <w:pPr>
        <w:rPr>
          <w:color w:val="000000" w:themeColor="text1"/>
          <w:sz w:val="32"/>
          <w:szCs w:val="32"/>
        </w:rPr>
      </w:pPr>
      <w:r w:rsidRPr="00EA3F3A">
        <w:rPr>
          <w:color w:val="000000" w:themeColor="text1"/>
          <w:sz w:val="32"/>
          <w:szCs w:val="32"/>
        </w:rPr>
        <w:t>Our lack of a written constitution is one of the consequences of the way the United Kingdom and its political and legal institutions have evolved since 1066. Another consequence is that our institutions did not separate the functions and powers of the three different branches of the state, the executive, the legislature, and the judiciary.</w:t>
      </w:r>
    </w:p>
    <w:p w14:paraId="28C0C2E9" w14:textId="77777777" w:rsidR="00EA3F3A" w:rsidRPr="00EA3F3A" w:rsidRDefault="00EA3F3A" w:rsidP="00EA3F3A">
      <w:pPr>
        <w:rPr>
          <w:color w:val="000000" w:themeColor="text1"/>
          <w:sz w:val="32"/>
          <w:szCs w:val="32"/>
        </w:rPr>
      </w:pPr>
    </w:p>
    <w:p w14:paraId="06023D97" w14:textId="161700EC" w:rsidR="00EA3F3A" w:rsidRPr="00EA3F3A" w:rsidRDefault="00EA3F3A" w:rsidP="00EA3F3A">
      <w:pPr>
        <w:rPr>
          <w:color w:val="000000" w:themeColor="text1"/>
          <w:sz w:val="32"/>
          <w:szCs w:val="32"/>
        </w:rPr>
      </w:pPr>
      <w:r w:rsidRPr="00EA3F3A">
        <w:rPr>
          <w:color w:val="000000" w:themeColor="text1"/>
          <w:sz w:val="32"/>
          <w:szCs w:val="32"/>
        </w:rPr>
        <w:t>Over the centuries many famous figures have served as Lord Chancellor. They include; Thomas á Becket, Cardinal Wolsey, Thomas More and Francis Bacon.</w:t>
      </w:r>
    </w:p>
    <w:p w14:paraId="1F016E46" w14:textId="77777777" w:rsidR="00EA3F3A" w:rsidRPr="00EA3F3A" w:rsidRDefault="00EA3F3A" w:rsidP="00EA3F3A">
      <w:pPr>
        <w:rPr>
          <w:color w:val="000000" w:themeColor="text1"/>
          <w:sz w:val="32"/>
          <w:szCs w:val="32"/>
        </w:rPr>
      </w:pPr>
    </w:p>
    <w:p w14:paraId="14F0318C" w14:textId="3847074A" w:rsidR="00EA3F3A" w:rsidRPr="00EA3F3A" w:rsidRDefault="00EA3F3A" w:rsidP="00EA3F3A">
      <w:pPr>
        <w:rPr>
          <w:color w:val="000000" w:themeColor="text1"/>
          <w:sz w:val="32"/>
          <w:szCs w:val="32"/>
        </w:rPr>
      </w:pPr>
      <w:r w:rsidRPr="00EA3F3A">
        <w:rPr>
          <w:color w:val="000000" w:themeColor="text1"/>
          <w:sz w:val="32"/>
          <w:szCs w:val="32"/>
        </w:rPr>
        <w:lastRenderedPageBreak/>
        <w:t xml:space="preserve">The Lord Chancellor’s office was the clearest example of how the British constitution did not separate and indeed mixed the three branches of the state. The Lord Chancellor was a senior Cabinet minister and therefore a member of the executive, a judge and the head of the judiciary of England and Wales, and a member of the legislature, indeed the person who presided over the deliberations of the House of Lords, in effect its Speaker. The one office involved and combined all three branches of government. This might have been acceptable when the office came into existence. Its continued existence in that form had however been questioned on a number of occasions in the last two hundred years. </w:t>
      </w:r>
    </w:p>
    <w:p w14:paraId="5DA99196" w14:textId="77777777" w:rsidR="00EA3F3A" w:rsidRPr="00EA3F3A" w:rsidRDefault="00EA3F3A" w:rsidP="00EA3F3A">
      <w:pPr>
        <w:rPr>
          <w:color w:val="000000" w:themeColor="text1"/>
          <w:sz w:val="32"/>
          <w:szCs w:val="32"/>
        </w:rPr>
      </w:pPr>
    </w:p>
    <w:p w14:paraId="22CFBAED" w14:textId="77777777" w:rsidR="00EA3F3A" w:rsidRPr="00EA3F3A" w:rsidRDefault="00EA3F3A" w:rsidP="00EA3F3A">
      <w:pPr>
        <w:rPr>
          <w:color w:val="000000" w:themeColor="text1"/>
          <w:sz w:val="32"/>
          <w:szCs w:val="32"/>
        </w:rPr>
      </w:pPr>
    </w:p>
    <w:p w14:paraId="1642E081" w14:textId="77777777" w:rsidR="00EA3F3A" w:rsidRPr="00EA3F3A" w:rsidRDefault="00EA3F3A" w:rsidP="00EA3F3A">
      <w:pPr>
        <w:rPr>
          <w:color w:val="000000" w:themeColor="text1"/>
          <w:sz w:val="32"/>
          <w:szCs w:val="32"/>
        </w:rPr>
      </w:pPr>
      <w:r w:rsidRPr="00EA3F3A">
        <w:rPr>
          <w:color w:val="000000" w:themeColor="text1"/>
          <w:sz w:val="32"/>
          <w:szCs w:val="32"/>
        </w:rPr>
        <w:t>Such concerns continued to be raised during the 20th Century. Although since the 1960s the Lord Chancellor sat as a judge less frequently, he continued to appoint judges. Moreover, the administrative responsibilities of the office for the court system increased significantly as a result of the reforms introduced by the Courts Act 1971 which transferred responsibility for many courts from cities and local authorities to central government and the Lord Chancellor.</w:t>
      </w:r>
    </w:p>
    <w:p w14:paraId="1EAB7681" w14:textId="77777777" w:rsidR="00EA3F3A" w:rsidRPr="00EA3F3A" w:rsidRDefault="00EA3F3A" w:rsidP="00EA3F3A">
      <w:pPr>
        <w:rPr>
          <w:color w:val="000000" w:themeColor="text1"/>
          <w:sz w:val="32"/>
          <w:szCs w:val="32"/>
        </w:rPr>
      </w:pPr>
    </w:p>
    <w:p w14:paraId="32EDEAD6" w14:textId="77777777" w:rsidR="00EA3F3A" w:rsidRPr="00EA3F3A" w:rsidRDefault="00EA3F3A" w:rsidP="00EA3F3A">
      <w:pPr>
        <w:rPr>
          <w:color w:val="000000" w:themeColor="text1"/>
          <w:sz w:val="32"/>
          <w:szCs w:val="32"/>
        </w:rPr>
      </w:pPr>
      <w:r w:rsidRPr="00EA3F3A">
        <w:rPr>
          <w:color w:val="000000" w:themeColor="text1"/>
          <w:sz w:val="32"/>
          <w:szCs w:val="32"/>
        </w:rPr>
        <w:t xml:space="preserve">The concerns were finally addressed in 2003 when the government proposed the abolition of the office of Lord Chancellor. The result of this clearer appreciation of the principles of the separation of powers in relation to judicial functions was, however, not abolition of the office but reform. The Constitutional Reform Act 2005 brought about a significant change in the nature of the office, essentially removing the Lord Chancellor’s position as a judge and head of the judiciary of England and Wales, and position as the Speaker of the House of </w:t>
      </w:r>
      <w:r w:rsidRPr="00EA3F3A">
        <w:rPr>
          <w:color w:val="000000" w:themeColor="text1"/>
          <w:sz w:val="32"/>
          <w:szCs w:val="32"/>
        </w:rPr>
        <w:lastRenderedPageBreak/>
        <w:t>Lords. The Lord Chancellor is now a Secretary of State and, like other Cabinet ministers, also a member of the legislature.</w:t>
      </w:r>
    </w:p>
    <w:p w14:paraId="6C56E184" w14:textId="77777777" w:rsidR="00EA3F3A" w:rsidRPr="00EA3F3A" w:rsidRDefault="00EA3F3A" w:rsidP="00EA3F3A">
      <w:pPr>
        <w:rPr>
          <w:color w:val="000000" w:themeColor="text1"/>
          <w:sz w:val="32"/>
          <w:szCs w:val="32"/>
        </w:rPr>
      </w:pPr>
    </w:p>
    <w:p w14:paraId="645E7F8A" w14:textId="77777777" w:rsidR="00EA3F3A" w:rsidRPr="00EA3F3A" w:rsidRDefault="00EA3F3A" w:rsidP="00EA3F3A">
      <w:pPr>
        <w:rPr>
          <w:color w:val="000000" w:themeColor="text1"/>
          <w:sz w:val="32"/>
          <w:szCs w:val="32"/>
        </w:rPr>
      </w:pPr>
    </w:p>
    <w:p w14:paraId="184FB6BD" w14:textId="77777777" w:rsidR="00EA3F3A" w:rsidRPr="00EA3F3A" w:rsidRDefault="00EA3F3A" w:rsidP="00EA3F3A">
      <w:pPr>
        <w:rPr>
          <w:color w:val="000000" w:themeColor="text1"/>
          <w:sz w:val="32"/>
          <w:szCs w:val="32"/>
        </w:rPr>
      </w:pPr>
      <w:r w:rsidRPr="00EA3F3A">
        <w:rPr>
          <w:color w:val="000000" w:themeColor="text1"/>
          <w:sz w:val="32"/>
          <w:szCs w:val="32"/>
        </w:rPr>
        <w:t>The 2005 Act did more than simply reform the office of Lord Chancellor. It made reference to two of the fundamental principles of our constitution, the rule of law and the independence of the judiciary. While the judiciary’s independence has long been an issue that has been referred to in statute, such as the Bill of Rights 1689 or the Act of Settlement 1701, this was the first time that the rule of law was specifically referred to in statute. Common understandings had grown up over the centuries about what these entailed, but in the light of the other changes made it was considered important for the Act to refer to them and thus to give them statutory force. Details of the key changes brought in by the Act include:</w:t>
      </w:r>
    </w:p>
    <w:p w14:paraId="45222FD3" w14:textId="77777777" w:rsidR="00EA3F3A" w:rsidRPr="00EA3F3A" w:rsidRDefault="00EA3F3A" w:rsidP="00EA3F3A">
      <w:pPr>
        <w:rPr>
          <w:color w:val="000000" w:themeColor="text1"/>
          <w:sz w:val="32"/>
          <w:szCs w:val="32"/>
        </w:rPr>
      </w:pPr>
    </w:p>
    <w:p w14:paraId="4B919036" w14:textId="77777777" w:rsidR="00EA3F3A" w:rsidRPr="00EA3F3A" w:rsidRDefault="00EA3F3A" w:rsidP="00EA3F3A">
      <w:pPr>
        <w:rPr>
          <w:color w:val="000000" w:themeColor="text1"/>
          <w:sz w:val="32"/>
          <w:szCs w:val="32"/>
        </w:rPr>
      </w:pPr>
      <w:r w:rsidRPr="00EA3F3A">
        <w:rPr>
          <w:color w:val="000000" w:themeColor="text1"/>
          <w:sz w:val="32"/>
          <w:szCs w:val="32"/>
        </w:rPr>
        <w:t xml:space="preserve">An explicit statutory duty on government ministers to uphold the independence of the judiciary. Ministers are specifically barred from trying to influence judicial decisions through any special access to judges. The Lord Chancellor also has a specific statutory duty to defend the judiciary’s independence. For example, this duty requires the Lord Chancellor to defend members of the judiciary carrying out their judicial functions from adverse comment by other members of the government. The starkest example of this arose as a consequence of the Sweeney case in June 2006. Craig Sweeney was sentenced to life imprisonment. The sentencing judge was required to set a minimum period of imprisonment before which the Parole Board could not consider his release on licence and, in accordance with statutory provisions and the sentencing guidelines the judge set a minimum period of five years and 108 days. Both the Home Secretary and a junior minister in the Department of Constitutional </w:t>
      </w:r>
      <w:r w:rsidRPr="00EA3F3A">
        <w:rPr>
          <w:color w:val="000000" w:themeColor="text1"/>
          <w:sz w:val="32"/>
          <w:szCs w:val="32"/>
        </w:rPr>
        <w:lastRenderedPageBreak/>
        <w:t>Affairs, criticised this. The DCA minister went so far as to say on Radio 4 that the sentence was wrong, although she later withdrew her comments. The Lord Chancellor spoke out against both his governmental colleagues and publicly defended the sentencing judge. In doing so he acted consistently with the duty imposed on the Lord Chancellor to defend the judiciary;</w:t>
      </w:r>
    </w:p>
    <w:p w14:paraId="2A564A4D" w14:textId="77777777" w:rsidR="00EA3F3A" w:rsidRPr="00EA3F3A" w:rsidRDefault="00EA3F3A" w:rsidP="00EA3F3A">
      <w:pPr>
        <w:rPr>
          <w:color w:val="000000" w:themeColor="text1"/>
          <w:sz w:val="32"/>
          <w:szCs w:val="32"/>
        </w:rPr>
      </w:pPr>
      <w:r w:rsidRPr="00EA3F3A">
        <w:rPr>
          <w:color w:val="000000" w:themeColor="text1"/>
          <w:sz w:val="32"/>
          <w:szCs w:val="32"/>
        </w:rPr>
        <w:t>The transfer of the Lord Chancellor’s judicial functions to the Lord Chief Justice who became the President of the Courts of England and Wales. As a consequence of this transfer of responsibility the Lord Chief Justice gained responsibility for the training, guidance and deployment of Judges. He or she also has the responsibility for representing the views of the judiciary of England and Wales to Parliament and ministers;</w:t>
      </w:r>
    </w:p>
    <w:p w14:paraId="4B6D27EA" w14:textId="77777777" w:rsidR="00EA3F3A" w:rsidRPr="00EA3F3A" w:rsidRDefault="00EA3F3A" w:rsidP="00EA3F3A">
      <w:pPr>
        <w:rPr>
          <w:color w:val="000000" w:themeColor="text1"/>
          <w:sz w:val="32"/>
          <w:szCs w:val="32"/>
        </w:rPr>
      </w:pPr>
      <w:r w:rsidRPr="00EA3F3A">
        <w:rPr>
          <w:color w:val="000000" w:themeColor="text1"/>
          <w:sz w:val="32"/>
          <w:szCs w:val="32"/>
        </w:rPr>
        <w:t>The creation of a United Kingdom Supreme Court which is separate from and independent of the House of Lords. The new court has its own independent appointments system, staff, budget, and building in the former Middlesex Guildhall, opposite the Houses of Parliament;</w:t>
      </w:r>
    </w:p>
    <w:p w14:paraId="35A121D6" w14:textId="77777777" w:rsidR="00EA3F3A" w:rsidRPr="00EA3F3A" w:rsidRDefault="00EA3F3A" w:rsidP="00EA3F3A">
      <w:pPr>
        <w:rPr>
          <w:color w:val="000000" w:themeColor="text1"/>
          <w:sz w:val="32"/>
          <w:szCs w:val="32"/>
        </w:rPr>
      </w:pPr>
      <w:r w:rsidRPr="00EA3F3A">
        <w:rPr>
          <w:color w:val="000000" w:themeColor="text1"/>
          <w:sz w:val="32"/>
          <w:szCs w:val="32"/>
        </w:rPr>
        <w:t>The establishment of an independent Judicial Appointments Commission. The Commission has the effective responsibility for selecting judges, although formally the Commission makes recommendations to the Lord Chancellor. This seeks to ensure that, while merit remains the sole criterion for appointment, the appointments system is more open and transparent;</w:t>
      </w:r>
    </w:p>
    <w:p w14:paraId="019BE2D1" w14:textId="77777777" w:rsidR="00EA3F3A" w:rsidRPr="00EA3F3A" w:rsidRDefault="00EA3F3A" w:rsidP="00EA3F3A">
      <w:pPr>
        <w:rPr>
          <w:color w:val="000000" w:themeColor="text1"/>
          <w:sz w:val="32"/>
          <w:szCs w:val="32"/>
        </w:rPr>
      </w:pPr>
      <w:r w:rsidRPr="00EA3F3A">
        <w:rPr>
          <w:color w:val="000000" w:themeColor="text1"/>
          <w:sz w:val="32"/>
          <w:szCs w:val="32"/>
        </w:rPr>
        <w:t>The establishment of the Judicial Appointments and Conduct Ombudsman, responsible for investigating and making recommendations concerning complaints about the judicial appointments process, and the handling of complaints about judicial conduct.</w:t>
      </w:r>
    </w:p>
    <w:p w14:paraId="28BF24E9" w14:textId="17EF8072" w:rsidR="00F04BCE" w:rsidRDefault="00EA3F3A">
      <w:pPr>
        <w:rPr>
          <w:color w:val="000000" w:themeColor="text1"/>
          <w:sz w:val="32"/>
          <w:szCs w:val="32"/>
        </w:rPr>
      </w:pPr>
      <w:r w:rsidRPr="00EA3F3A">
        <w:rPr>
          <w:color w:val="000000" w:themeColor="text1"/>
          <w:sz w:val="32"/>
          <w:szCs w:val="32"/>
        </w:rPr>
        <w:t xml:space="preserve">The changes to the constitutional position since 2003 have also had important practical consequences. These relate to the day-to-day </w:t>
      </w:r>
      <w:r w:rsidRPr="00EA3F3A">
        <w:rPr>
          <w:color w:val="000000" w:themeColor="text1"/>
          <w:sz w:val="32"/>
          <w:szCs w:val="32"/>
        </w:rPr>
        <w:lastRenderedPageBreak/>
        <w:t>leadership of the judiciary, the way judges are appointed and the way in which complaints are dealt with. The creation of a Ministry of Justice in 2007 which brought together responsibility for criminal justice, prisons, and penal policy (previously the Home Secretary’s responsibility) and responsibility for the courts service and legal aid (previously the Lord Chancellor’s responsibility) led to a further agreement between government and the judiciary in January 2008. This recognises that the judiciary has a distinct responsibility to deliver justice independently.</w:t>
      </w:r>
    </w:p>
    <w:p w14:paraId="3FA0FD10" w14:textId="1E19364A" w:rsidR="009A219C" w:rsidRDefault="009A219C">
      <w:pPr>
        <w:rPr>
          <w:color w:val="000000" w:themeColor="text1"/>
          <w:sz w:val="32"/>
          <w:szCs w:val="32"/>
        </w:rPr>
      </w:pPr>
    </w:p>
    <w:p w14:paraId="484488CD" w14:textId="693684F6" w:rsidR="009A219C" w:rsidRDefault="00643EA2">
      <w:pPr>
        <w:rPr>
          <w:color w:val="000000" w:themeColor="text1"/>
          <w:sz w:val="32"/>
          <w:szCs w:val="32"/>
        </w:rPr>
      </w:pPr>
      <w:r>
        <w:rPr>
          <w:color w:val="000000" w:themeColor="text1"/>
          <w:sz w:val="32"/>
          <w:szCs w:val="32"/>
        </w:rPr>
        <w:t xml:space="preserve">                                   References </w:t>
      </w:r>
      <w:r w:rsidR="00007199">
        <w:rPr>
          <w:color w:val="000000" w:themeColor="text1"/>
          <w:sz w:val="32"/>
          <w:szCs w:val="32"/>
        </w:rPr>
        <w:t>:</w:t>
      </w:r>
    </w:p>
    <w:p w14:paraId="172AFFFB" w14:textId="77777777" w:rsidR="00643EA2" w:rsidRDefault="00643EA2">
      <w:pPr>
        <w:rPr>
          <w:color w:val="000000" w:themeColor="text1"/>
          <w:sz w:val="32"/>
          <w:szCs w:val="32"/>
        </w:rPr>
      </w:pPr>
      <w:r>
        <w:rPr>
          <w:color w:val="000000" w:themeColor="text1"/>
          <w:sz w:val="32"/>
          <w:szCs w:val="32"/>
        </w:rPr>
        <w:t xml:space="preserve">                              </w:t>
      </w:r>
      <w:r w:rsidRPr="00643EA2">
        <w:rPr>
          <w:color w:val="000000" w:themeColor="text1"/>
          <w:sz w:val="32"/>
          <w:szCs w:val="32"/>
        </w:rPr>
        <w:t>https://en.wikipedia.org/wiki/Supreme_Court_of_the_United_Kingdom</w:t>
      </w:r>
      <w:r>
        <w:rPr>
          <w:color w:val="000000" w:themeColor="text1"/>
          <w:sz w:val="32"/>
          <w:szCs w:val="32"/>
        </w:rPr>
        <w:t xml:space="preserve"> , Online Access . </w:t>
      </w:r>
    </w:p>
    <w:p w14:paraId="16A1A6DF" w14:textId="1ACF8A23" w:rsidR="00643EA2" w:rsidRDefault="00643EA2">
      <w:pPr>
        <w:rPr>
          <w:color w:val="000000" w:themeColor="text1"/>
          <w:sz w:val="32"/>
          <w:szCs w:val="32"/>
        </w:rPr>
      </w:pPr>
      <w:r>
        <w:rPr>
          <w:color w:val="000000" w:themeColor="text1"/>
          <w:sz w:val="32"/>
          <w:szCs w:val="32"/>
        </w:rPr>
        <w:t xml:space="preserve">                 June , 12 2022     </w:t>
      </w:r>
    </w:p>
    <w:p w14:paraId="5C4C1AD5" w14:textId="77777777" w:rsidR="000C42D5" w:rsidRDefault="000C42D5">
      <w:pPr>
        <w:rPr>
          <w:color w:val="000000" w:themeColor="text1"/>
          <w:sz w:val="32"/>
          <w:szCs w:val="32"/>
        </w:rPr>
      </w:pPr>
    </w:p>
    <w:p w14:paraId="7383F2B2" w14:textId="77777777" w:rsidR="00A817E2" w:rsidRDefault="00A817E2">
      <w:pPr>
        <w:rPr>
          <w:color w:val="000000" w:themeColor="text1"/>
          <w:sz w:val="32"/>
          <w:szCs w:val="32"/>
        </w:rPr>
      </w:pPr>
    </w:p>
    <w:p w14:paraId="73259B6A" w14:textId="793EA66F" w:rsidR="009A000B" w:rsidRDefault="002A5B0D">
      <w:pPr>
        <w:rPr>
          <w:color w:val="000000" w:themeColor="text1"/>
          <w:sz w:val="32"/>
          <w:szCs w:val="32"/>
        </w:rPr>
      </w:pPr>
      <w:r w:rsidRPr="002A5B0D">
        <w:rPr>
          <w:color w:val="000000" w:themeColor="text1"/>
          <w:sz w:val="32"/>
          <w:szCs w:val="32"/>
        </w:rPr>
        <w:t xml:space="preserve"> </w:t>
      </w:r>
    </w:p>
    <w:p w14:paraId="305693C4" w14:textId="5B7F8B17" w:rsidR="002A5B0D" w:rsidRDefault="002A5B0D">
      <w:pPr>
        <w:rPr>
          <w:color w:val="000000" w:themeColor="text1"/>
          <w:sz w:val="32"/>
          <w:szCs w:val="32"/>
        </w:rPr>
      </w:pPr>
    </w:p>
    <w:p w14:paraId="4707D190" w14:textId="11FF63D9" w:rsidR="002A5B0D" w:rsidRDefault="002A5B0D">
      <w:pPr>
        <w:rPr>
          <w:color w:val="000000" w:themeColor="text1"/>
          <w:sz w:val="32"/>
          <w:szCs w:val="32"/>
        </w:rPr>
      </w:pPr>
    </w:p>
    <w:p w14:paraId="0DA629D7" w14:textId="77777777" w:rsidR="002A5B0D" w:rsidRPr="002A5B0D" w:rsidRDefault="002A5B0D">
      <w:pPr>
        <w:rPr>
          <w:color w:val="000000" w:themeColor="text1"/>
          <w:sz w:val="32"/>
          <w:szCs w:val="32"/>
        </w:rPr>
      </w:pPr>
    </w:p>
    <w:p w14:paraId="7F09C881" w14:textId="03819798" w:rsidR="002A5B0D" w:rsidRDefault="002A5B0D">
      <w:pPr>
        <w:rPr>
          <w:color w:val="000000" w:themeColor="text1"/>
          <w:sz w:val="28"/>
          <w:szCs w:val="28"/>
        </w:rPr>
      </w:pPr>
      <w:r>
        <w:rPr>
          <w:color w:val="000000" w:themeColor="text1"/>
          <w:sz w:val="28"/>
          <w:szCs w:val="28"/>
        </w:rPr>
        <w:t xml:space="preserve">                                 </w:t>
      </w:r>
    </w:p>
    <w:p w14:paraId="42F70C55" w14:textId="1AA0F857" w:rsidR="002A5B0D" w:rsidRDefault="002A5B0D">
      <w:pPr>
        <w:rPr>
          <w:color w:val="000000" w:themeColor="text1"/>
          <w:sz w:val="28"/>
          <w:szCs w:val="28"/>
        </w:rPr>
      </w:pPr>
    </w:p>
    <w:p w14:paraId="2C63E4D1" w14:textId="0F4DFD25" w:rsidR="002A5B0D" w:rsidRDefault="002A5B0D">
      <w:pPr>
        <w:rPr>
          <w:color w:val="000000" w:themeColor="text1"/>
          <w:sz w:val="28"/>
          <w:szCs w:val="28"/>
        </w:rPr>
      </w:pPr>
    </w:p>
    <w:p w14:paraId="3DF53867" w14:textId="77777777" w:rsidR="002A5B0D" w:rsidRPr="002A5B0D" w:rsidRDefault="002A5B0D">
      <w:pPr>
        <w:rPr>
          <w:color w:val="000000" w:themeColor="text1"/>
          <w:sz w:val="28"/>
          <w:szCs w:val="28"/>
        </w:rPr>
      </w:pPr>
    </w:p>
    <w:sectPr w:rsidR="002A5B0D" w:rsidRPr="002A5B0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876EB" w14:textId="77777777" w:rsidR="00BA5E1A" w:rsidRDefault="00BA5E1A" w:rsidP="00EA3F3A">
      <w:pPr>
        <w:spacing w:after="0" w:line="240" w:lineRule="auto"/>
      </w:pPr>
      <w:r>
        <w:separator/>
      </w:r>
    </w:p>
  </w:endnote>
  <w:endnote w:type="continuationSeparator" w:id="0">
    <w:p w14:paraId="6E8DF84B" w14:textId="77777777" w:rsidR="00BA5E1A" w:rsidRDefault="00BA5E1A" w:rsidP="00EA3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8E83" w14:textId="77777777" w:rsidR="00BA5E1A" w:rsidRDefault="00BA5E1A" w:rsidP="00EA3F3A">
      <w:pPr>
        <w:spacing w:after="0" w:line="240" w:lineRule="auto"/>
      </w:pPr>
      <w:r>
        <w:separator/>
      </w:r>
    </w:p>
  </w:footnote>
  <w:footnote w:type="continuationSeparator" w:id="0">
    <w:p w14:paraId="4330037C" w14:textId="77777777" w:rsidR="00BA5E1A" w:rsidRDefault="00BA5E1A" w:rsidP="00EA3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4DFE4" w14:textId="2887B2E3" w:rsidR="00EA3F3A" w:rsidRPr="00EA3F3A" w:rsidRDefault="00EA3F3A" w:rsidP="00EA3F3A">
    <w:pPr>
      <w:jc w:val="center"/>
      <w:rPr>
        <w:b/>
        <w:bCs/>
        <w:color w:val="000000" w:themeColor="text1"/>
        <w:sz w:val="32"/>
        <w:szCs w:val="32"/>
      </w:rPr>
    </w:pPr>
    <w:r w:rsidRPr="00EA3F3A">
      <w:rPr>
        <w:b/>
        <w:bCs/>
        <w:color w:val="000000" w:themeColor="text1"/>
        <w:sz w:val="32"/>
        <w:szCs w:val="32"/>
      </w:rPr>
      <w:t>Legal Process</w:t>
    </w:r>
  </w:p>
  <w:p w14:paraId="59A3085C" w14:textId="77777777" w:rsidR="00EA3F3A" w:rsidRDefault="00EA3F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B0D"/>
    <w:rsid w:val="00007199"/>
    <w:rsid w:val="000C42D5"/>
    <w:rsid w:val="001A5FD4"/>
    <w:rsid w:val="002A5B0D"/>
    <w:rsid w:val="0033561F"/>
    <w:rsid w:val="005B566E"/>
    <w:rsid w:val="00643EA2"/>
    <w:rsid w:val="0080115D"/>
    <w:rsid w:val="00972FB0"/>
    <w:rsid w:val="009A000B"/>
    <w:rsid w:val="009A219C"/>
    <w:rsid w:val="00A817E2"/>
    <w:rsid w:val="00BA5E1A"/>
    <w:rsid w:val="00EA3F3A"/>
    <w:rsid w:val="00F04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B00CD"/>
  <w15:chartTrackingRefBased/>
  <w15:docId w15:val="{B50DB6AB-0F6E-4CB7-999B-82C598239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F3A"/>
  </w:style>
  <w:style w:type="paragraph" w:styleId="Footer">
    <w:name w:val="footer"/>
    <w:basedOn w:val="Normal"/>
    <w:link w:val="FooterChar"/>
    <w:uiPriority w:val="99"/>
    <w:unhideWhenUsed/>
    <w:rsid w:val="00EA3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Ophir Road</dc:creator>
  <cp:keywords/>
  <dc:description/>
  <cp:lastModifiedBy>2129345@student.uwtsd.ac.uk carmen</cp:lastModifiedBy>
  <cp:revision>2</cp:revision>
  <dcterms:created xsi:type="dcterms:W3CDTF">2022-06-17T22:27:00Z</dcterms:created>
  <dcterms:modified xsi:type="dcterms:W3CDTF">2022-06-17T22:27:00Z</dcterms:modified>
</cp:coreProperties>
</file>