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2"/>
          <w:szCs w:val="32"/>
        </w:rPr>
      </w:pPr>
    </w:p>
    <w:p>
      <w:pPr>
        <w:jc w:val="center"/>
        <w:rPr>
          <w:b/>
          <w:sz w:val="32"/>
          <w:szCs w:val="32"/>
        </w:rPr>
      </w:pPr>
    </w:p>
    <w:p>
      <w:pPr>
        <w:jc w:val="center"/>
        <w:rPr>
          <w:b/>
          <w:sz w:val="32"/>
          <w:szCs w:val="32"/>
        </w:rPr>
      </w:pPr>
    </w:p>
    <w:p>
      <w:pPr>
        <w:jc w:val="center"/>
        <w:rPr>
          <w:b/>
          <w:sz w:val="32"/>
          <w:szCs w:val="32"/>
        </w:rPr>
      </w:pPr>
    </w:p>
    <w:p>
      <w:pPr>
        <w:jc w:val="center"/>
        <w:rPr>
          <w:b/>
          <w:sz w:val="32"/>
          <w:szCs w:val="32"/>
        </w:rPr>
      </w:pPr>
    </w:p>
    <w:p>
      <w:pPr>
        <w:jc w:val="center"/>
        <w:rPr>
          <w:b/>
          <w:sz w:val="32"/>
          <w:szCs w:val="32"/>
        </w:rPr>
      </w:pPr>
    </w:p>
    <w:p>
      <w:pPr>
        <w:jc w:val="center"/>
        <w:rPr>
          <w:b/>
          <w:sz w:val="32"/>
          <w:szCs w:val="32"/>
        </w:rPr>
      </w:pPr>
      <w:r>
        <w:rPr>
          <w:b/>
          <w:sz w:val="32"/>
          <w:szCs w:val="32"/>
        </w:rPr>
        <w:t>FINANCIAL MANAGEMENT</w:t>
      </w:r>
    </w:p>
    <w:p>
      <w:pPr>
        <w:jc w:val="center"/>
        <w:rPr>
          <w:b/>
          <w:sz w:val="32"/>
          <w:szCs w:val="32"/>
        </w:rPr>
      </w:pPr>
      <w:r>
        <w:rPr>
          <w:b/>
          <w:sz w:val="32"/>
          <w:szCs w:val="32"/>
        </w:rPr>
        <w:t>MBA- MASTERS OF BUSINESS ADMINISTRATION</w:t>
      </w:r>
    </w:p>
    <w:p>
      <w:pPr>
        <w:jc w:val="center"/>
        <w:rPr>
          <w:b/>
          <w:sz w:val="32"/>
          <w:szCs w:val="32"/>
        </w:rPr>
      </w:pPr>
      <w:r>
        <w:rPr>
          <w:b/>
          <w:sz w:val="32"/>
          <w:szCs w:val="32"/>
        </w:rPr>
        <w:t>LCMB7002</w:t>
      </w:r>
    </w:p>
    <w:p>
      <w:pPr>
        <w:jc w:val="center"/>
        <w:rPr>
          <w:b/>
          <w:sz w:val="32"/>
          <w:szCs w:val="32"/>
        </w:rPr>
      </w:pPr>
      <w:r>
        <w:rPr>
          <w:b/>
          <w:sz w:val="32"/>
          <w:szCs w:val="32"/>
        </w:rPr>
        <w:t>NAME : SAHIL SHARMA</w:t>
      </w:r>
    </w:p>
    <w:p>
      <w:pPr>
        <w:jc w:val="center"/>
        <w:rPr>
          <w:b/>
          <w:sz w:val="32"/>
          <w:szCs w:val="32"/>
        </w:rPr>
      </w:pPr>
      <w:r>
        <w:rPr>
          <w:b/>
          <w:sz w:val="32"/>
          <w:szCs w:val="32"/>
        </w:rPr>
        <w:t>STUDENT ID: 2322287</w:t>
      </w:r>
    </w:p>
    <w:p/>
    <w:p>
      <w:pPr>
        <w:jc w:val="center"/>
        <w:rPr>
          <w:b/>
        </w:rPr>
      </w:pPr>
      <w:r>
        <w:br w:type="page"/>
      </w:r>
    </w:p>
    <w:p>
      <w:pPr>
        <w:jc w:val="center"/>
        <w:rPr>
          <w:b/>
        </w:rPr>
      </w:pPr>
      <w:r>
        <w:rPr>
          <w:b/>
        </w:rPr>
        <w:t>Executive Summary</w:t>
      </w:r>
    </w:p>
    <w:p>
      <w:r>
        <w:t>Dell Technologies Inc is an American multinational electronic brand. The company has been aggressively generating changes in the operational scope. The firm’s brief history has been aligned with evidence-based information about annual revisions. Financial performance of Dell Technology Inc has been assessed in this report. Profitability, liquidity, gearing, and efficiency has been assessed for the company by comparing the outcomes with closest competitor HP Inc. This report has also evaluated the performance of Dell Technology in terms of critical observations from the annual reports. Further, recommendations have been aided to inform suitable scope for improved financial management. the scope of NPV, ARR, and Payback period has been computed for both projects. The next part evaluates project B is feasible for investment by the company. It is an imperative aspect for the management to consider non-financial factors for considering investment at any project.</w:t>
      </w:r>
    </w:p>
    <w:p>
      <w:pPr>
        <w:jc w:val="center"/>
        <w:rPr>
          <w:b/>
        </w:rPr>
      </w:pPr>
      <w:r>
        <w:br w:type="page"/>
      </w:r>
    </w:p>
    <w:p>
      <w:pPr>
        <w:jc w:val="center"/>
        <w:rPr>
          <w:b/>
        </w:rPr>
      </w:pPr>
      <w:r>
        <w:rPr>
          <w:b/>
        </w:rPr>
        <w:t>Table of contents</w:t>
      </w:r>
    </w:p>
    <w:p>
      <w:pPr>
        <w:pStyle w:val="15"/>
        <w:tabs>
          <w:tab w:val="right" w:leader="dot" w:pos="9019"/>
        </w:tabs>
        <w:rPr>
          <w:rFonts w:asciiTheme="minorHAnsi" w:hAnsiTheme="minorHAnsi" w:eastAsiaTheme="minorEastAsia" w:cstheme="minorBidi"/>
          <w:sz w:val="22"/>
          <w:szCs w:val="22"/>
          <w:lang w:val="en-US"/>
        </w:rPr>
      </w:pPr>
      <w:r>
        <w:rPr>
          <w:b/>
        </w:rPr>
        <w:fldChar w:fldCharType="begin"/>
      </w:r>
      <w:r>
        <w:rPr>
          <w:b/>
        </w:rPr>
        <w:instrText xml:space="preserve"> TOC \o "1-3" \h \z \u </w:instrText>
      </w:r>
      <w:r>
        <w:rPr>
          <w:b/>
        </w:rPr>
        <w:fldChar w:fldCharType="separate"/>
      </w:r>
      <w:r>
        <w:fldChar w:fldCharType="begin"/>
      </w:r>
      <w:r>
        <w:instrText xml:space="preserve"> HYPERLINK \l "_Toc162546876" </w:instrText>
      </w:r>
      <w:r>
        <w:fldChar w:fldCharType="separate"/>
      </w:r>
      <w:r>
        <w:rPr>
          <w:rStyle w:val="12"/>
        </w:rPr>
        <w:t>Part A</w:t>
      </w:r>
      <w:r>
        <w:tab/>
      </w:r>
      <w:r>
        <w:fldChar w:fldCharType="begin"/>
      </w:r>
      <w:r>
        <w:instrText xml:space="preserve"> PAGEREF _Toc162546876 \h </w:instrText>
      </w:r>
      <w:r>
        <w:fldChar w:fldCharType="separate"/>
      </w:r>
      <w:r>
        <w:t>3</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"_Toc162546877" </w:instrText>
      </w:r>
      <w:r>
        <w:fldChar w:fldCharType="separate"/>
      </w:r>
      <w:r>
        <w:rPr>
          <w:rStyle w:val="12"/>
        </w:rPr>
        <w:t>Brief History</w:t>
      </w:r>
      <w:r>
        <w:tab/>
      </w:r>
      <w:r>
        <w:fldChar w:fldCharType="begin"/>
      </w:r>
      <w:r>
        <w:instrText xml:space="preserve"> PAGEREF _Toc162546877 \h </w:instrText>
      </w:r>
      <w:r>
        <w:fldChar w:fldCharType="separate"/>
      </w:r>
      <w:r>
        <w:t>3</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"_Toc162546878" </w:instrText>
      </w:r>
      <w:r>
        <w:fldChar w:fldCharType="separate"/>
      </w:r>
      <w:r>
        <w:rPr>
          <w:rStyle w:val="12"/>
        </w:rPr>
        <w:t>Industry</w:t>
      </w:r>
      <w:r>
        <w:tab/>
      </w:r>
      <w:r>
        <w:fldChar w:fldCharType="begin"/>
      </w:r>
      <w:r>
        <w:instrText xml:space="preserve"> PAGEREF _Toc162546878 \h </w:instrText>
      </w:r>
      <w:r>
        <w:fldChar w:fldCharType="separate"/>
      </w:r>
      <w:r>
        <w:t>3</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"_Toc162546879" </w:instrText>
      </w:r>
      <w:r>
        <w:fldChar w:fldCharType="separate"/>
      </w:r>
      <w:r>
        <w:rPr>
          <w:rStyle w:val="12"/>
        </w:rPr>
        <w:t>Business Model</w:t>
      </w:r>
      <w:r>
        <w:tab/>
      </w:r>
      <w:r>
        <w:fldChar w:fldCharType="begin"/>
      </w:r>
      <w:r>
        <w:instrText xml:space="preserve"> PAGEREF _Toc162546879 \h </w:instrText>
      </w:r>
      <w:r>
        <w:fldChar w:fldCharType="separate"/>
      </w:r>
      <w:r>
        <w:t>3</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"_Toc162546880" </w:instrText>
      </w:r>
      <w:r>
        <w:fldChar w:fldCharType="separate"/>
      </w:r>
      <w:r>
        <w:rPr>
          <w:rStyle w:val="12"/>
        </w:rPr>
        <w:t>Market Place</w:t>
      </w:r>
      <w:r>
        <w:tab/>
      </w:r>
      <w:r>
        <w:fldChar w:fldCharType="begin"/>
      </w:r>
      <w:r>
        <w:instrText xml:space="preserve"> PAGEREF _Toc162546880 \h </w:instrText>
      </w:r>
      <w:r>
        <w:fldChar w:fldCharType="separate"/>
      </w:r>
      <w:r>
        <w:t>3</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"_Toc162546881" </w:instrText>
      </w:r>
      <w:r>
        <w:fldChar w:fldCharType="separate"/>
      </w:r>
      <w:r>
        <w:rPr>
          <w:rStyle w:val="12"/>
        </w:rPr>
        <w:t>Major Competitors</w:t>
      </w:r>
      <w:r>
        <w:tab/>
      </w:r>
      <w:r>
        <w:fldChar w:fldCharType="begin"/>
      </w:r>
      <w:r>
        <w:instrText xml:space="preserve"> PAGEREF _Toc162546881 \h </w:instrText>
      </w:r>
      <w:r>
        <w:fldChar w:fldCharType="separate"/>
      </w:r>
      <w:r>
        <w:t>4</w:t>
      </w:r>
      <w:r>
        <w:fldChar w:fldCharType="end"/>
      </w:r>
      <w:r>
        <w:fldChar w:fldCharType="end"/>
      </w:r>
    </w:p>
    <w:p>
      <w:pPr>
        <w:pStyle w:val="16"/>
        <w:tabs>
          <w:tab w:val="right" w:leader="dot" w:pos="9019"/>
        </w:tabs>
      </w:pPr>
      <w:r>
        <w:fldChar w:fldCharType="begin"/>
      </w:r>
      <w:r>
        <w:instrText xml:space="preserve"> HYPERLINK \l "_Toc162546882" </w:instrText>
      </w:r>
      <w:r>
        <w:fldChar w:fldCharType="separate"/>
      </w:r>
      <w:r>
        <w:rPr>
          <w:rStyle w:val="12"/>
        </w:rPr>
        <w:t>Major Events over Past 5 Years</w:t>
      </w:r>
      <w:r>
        <w:tab/>
      </w:r>
      <w:r>
        <w:fldChar w:fldCharType="begin"/>
      </w:r>
      <w:r>
        <w:instrText xml:space="preserve"> PAGEREF _Toc162546882 \h </w:instrText>
      </w:r>
      <w:r>
        <w:fldChar w:fldCharType="separate"/>
      </w:r>
      <w:r>
        <w:t>4</w:t>
      </w:r>
      <w:r>
        <w:fldChar w:fldCharType="end"/>
      </w:r>
      <w:r>
        <w:fldChar w:fldCharType="end"/>
      </w:r>
    </w:p>
    <w:p>
      <w:pPr>
        <w:pStyle w:val="16"/>
        <w:tabs>
          <w:tab w:val="right" w:leader="dot" w:pos="9019"/>
        </w:tabs>
        <w:rPr>
          <w:rFonts w:hint="default"/>
          <w:lang w:val="en-US"/>
        </w:rPr>
      </w:pPr>
      <w:r>
        <w:rPr>
          <w:rFonts w:hint="default"/>
          <w:b w:val="0"/>
          <w:bCs w:val="0"/>
        </w:rPr>
        <w:t>Index of Tables</w:t>
      </w:r>
      <w:r>
        <w:rPr>
          <w:rFonts w:hint="default"/>
          <w:b w:val="0"/>
          <w:bCs w:val="0"/>
          <w:lang w:val="en-US"/>
        </w:rPr>
        <w:t>..................................................................................................................4-10</w:t>
      </w:r>
    </w:p>
    <w:p>
      <w:pPr>
        <w:pStyle w:val="15"/>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"_Toc162546883" </w:instrText>
      </w:r>
      <w:r>
        <w:fldChar w:fldCharType="separate"/>
      </w:r>
      <w:r>
        <w:rPr>
          <w:rStyle w:val="12"/>
        </w:rPr>
        <w:t>Part B: Critical review of financial performance</w:t>
      </w:r>
      <w:r>
        <w:tab/>
      </w:r>
      <w:r>
        <w:fldChar w:fldCharType="begin"/>
      </w:r>
      <w:r>
        <w:instrText xml:space="preserve"> PAGEREF _Toc162546883 \h </w:instrText>
      </w:r>
      <w:r>
        <w:fldChar w:fldCharType="separate"/>
      </w:r>
      <w:r>
        <w:t>4</w:t>
      </w:r>
      <w:r>
        <w:fldChar w:fldCharType="end"/>
      </w:r>
      <w:r>
        <w:fldChar w:fldCharType="end"/>
      </w:r>
    </w:p>
    <w:p>
      <w:pPr>
        <w:pStyle w:val="16"/>
        <w:tabs>
          <w:tab w:val="right" w:leader="dot" w:pos="9019"/>
        </w:tabs>
      </w:pPr>
      <w:r>
        <w:fldChar w:fldCharType="begin"/>
      </w:r>
      <w:r>
        <w:instrText xml:space="preserve"> HYPERLINK \l "_Toc162546884" </w:instrText>
      </w:r>
      <w:r>
        <w:fldChar w:fldCharType="separate"/>
      </w:r>
      <w:r>
        <w:rPr>
          <w:rStyle w:val="12"/>
        </w:rPr>
        <w:t>Computation of financial ratios</w:t>
      </w:r>
      <w:r>
        <w:tab/>
      </w:r>
      <w:r>
        <w:fldChar w:fldCharType="begin"/>
      </w:r>
      <w:r>
        <w:instrText xml:space="preserve"> PAGEREF _Toc162546884 \h </w:instrText>
      </w:r>
      <w:r>
        <w:fldChar w:fldCharType="separate"/>
      </w:r>
      <w:r>
        <w:t>4</w:t>
      </w:r>
      <w:r>
        <w:fldChar w:fldCharType="end"/>
      </w:r>
      <w:r>
        <w:fldChar w:fldCharType="end"/>
      </w:r>
    </w:p>
    <w:p>
      <w:pPr>
        <w:pStyle w:val="16"/>
        <w:tabs>
          <w:tab w:val="right" w:leader="dot" w:pos="9019"/>
        </w:tabs>
        <w:ind w:left="0" w:leftChars="0" w:firstLine="0" w:firstLineChars="0"/>
        <w:rPr>
          <w:rFonts w:asciiTheme="minorHAnsi" w:hAnsiTheme="minorHAnsi" w:eastAsiaTheme="minorEastAsia" w:cstheme="minorBidi"/>
          <w:sz w:val="22"/>
          <w:szCs w:val="22"/>
          <w:lang w:val="en-US"/>
        </w:rPr>
      </w:pPr>
      <w:r>
        <w:fldChar w:fldCharType="begin"/>
      </w:r>
      <w:r>
        <w:instrText xml:space="preserve"> HYPERLINK \l "_Toc162546885" </w:instrText>
      </w:r>
      <w:r>
        <w:fldChar w:fldCharType="separate"/>
      </w:r>
      <w:r>
        <w:rPr>
          <w:rStyle w:val="12"/>
        </w:rPr>
        <w:t>Critical evaluation of computed ratios</w:t>
      </w:r>
      <w:r>
        <w:tab/>
      </w:r>
      <w:r>
        <w:fldChar w:fldCharType="begin"/>
      </w:r>
      <w:r>
        <w:instrText xml:space="preserve"> PAGEREF _Toc162546885 \h </w:instrText>
      </w:r>
      <w:r>
        <w:fldChar w:fldCharType="separate"/>
      </w:r>
      <w:r>
        <w:t>7</w:t>
      </w:r>
      <w:r>
        <w:fldChar w:fldCharType="end"/>
      </w:r>
      <w:r>
        <w:fldChar w:fldCharType="end"/>
      </w:r>
    </w:p>
    <w:p>
      <w:pPr>
        <w:pStyle w:val="16"/>
        <w:tabs>
          <w:tab w:val="right" w:leader="dot" w:pos="9019"/>
        </w:tabs>
      </w:pPr>
      <w:r>
        <w:fldChar w:fldCharType="begin"/>
      </w:r>
      <w:r>
        <w:instrText xml:space="preserve"> HYPERLINK \l "_Toc162546886" </w:instrText>
      </w:r>
      <w:r>
        <w:fldChar w:fldCharType="separate"/>
      </w:r>
      <w:r>
        <w:rPr>
          <w:rStyle w:val="12"/>
        </w:rPr>
        <w:t>Comparison with HP</w:t>
      </w:r>
      <w:r>
        <w:tab/>
      </w:r>
      <w:r>
        <w:fldChar w:fldCharType="begin"/>
      </w:r>
      <w:r>
        <w:instrText xml:space="preserve"> PAGEREF _Toc162546886 \h </w:instrText>
      </w:r>
      <w:r>
        <w:fldChar w:fldCharType="separate"/>
      </w:r>
      <w:r>
        <w:t>9</w:t>
      </w:r>
      <w:r>
        <w:fldChar w:fldCharType="end"/>
      </w:r>
      <w:r>
        <w:fldChar w:fldCharType="end"/>
      </w:r>
    </w:p>
    <w:p>
      <w:pPr>
        <w:rPr>
          <w:rFonts w:hint="default"/>
          <w:lang w:val="en-US"/>
        </w:rPr>
      </w:pPr>
      <w:r>
        <w:rPr>
          <w:rFonts w:hint="default"/>
          <w:lang w:val="en-US"/>
        </w:rPr>
        <w:t>Index of Figure..................................................................................................................10-14</w:t>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"_Toc162546887" </w:instrText>
      </w:r>
      <w:r>
        <w:fldChar w:fldCharType="separate"/>
      </w:r>
      <w:r>
        <w:rPr>
          <w:rStyle w:val="12"/>
        </w:rPr>
        <w:t>Recommendations for improving financial management</w:t>
      </w:r>
      <w:r>
        <w:tab/>
      </w:r>
      <w:r>
        <w:fldChar w:fldCharType="begin"/>
      </w:r>
      <w:r>
        <w:instrText xml:space="preserve"> PAGEREF _Toc162546887 \h </w:instrText>
      </w:r>
      <w:r>
        <w:fldChar w:fldCharType="separate"/>
      </w:r>
      <w:r>
        <w:t>14</w:t>
      </w:r>
      <w:r>
        <w:fldChar w:fldCharType="end"/>
      </w:r>
      <w:r>
        <w:fldChar w:fldCharType="end"/>
      </w:r>
    </w:p>
    <w:p>
      <w:pPr>
        <w:pStyle w:val="15"/>
        <w:tabs>
          <w:tab w:val="right" w:leader="dot" w:pos="9019"/>
        </w:tabs>
      </w:pPr>
      <w:r>
        <w:fldChar w:fldCharType="begin"/>
      </w:r>
      <w:r>
        <w:instrText xml:space="preserve"> HYPERLINK \l "_Toc162546888" </w:instrText>
      </w:r>
      <w:r>
        <w:fldChar w:fldCharType="separate"/>
      </w:r>
      <w:r>
        <w:rPr>
          <w:rStyle w:val="12"/>
        </w:rPr>
        <w:t>Part C</w:t>
      </w:r>
      <w:r>
        <w:tab/>
      </w:r>
      <w:r>
        <w:fldChar w:fldCharType="begin"/>
      </w:r>
      <w:r>
        <w:instrText xml:space="preserve"> PAGEREF _Toc162546888 \h </w:instrText>
      </w:r>
      <w:r>
        <w:fldChar w:fldCharType="separate"/>
      </w:r>
      <w:r>
        <w:t>15</w:t>
      </w:r>
      <w:r>
        <w:fldChar w:fldCharType="end"/>
      </w:r>
      <w:r>
        <w:fldChar w:fldCharType="end"/>
      </w:r>
    </w:p>
    <w:p>
      <w:pPr>
        <w:rPr>
          <w:rFonts w:hint="default"/>
          <w:lang w:val="en-US"/>
        </w:rPr>
      </w:pPr>
      <w:r>
        <w:rPr>
          <w:rFonts w:hint="default"/>
          <w:lang w:val="en-US"/>
        </w:rPr>
        <w:t>Index of equaction .............................................................................................................15-20</w:t>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"_Toc162546889" </w:instrText>
      </w:r>
      <w:r>
        <w:fldChar w:fldCharType="separate"/>
      </w:r>
      <w:r>
        <w:rPr>
          <w:rStyle w:val="12"/>
        </w:rPr>
        <w:t>1. Computation of Project Appraisal Techniques</w:t>
      </w:r>
      <w:r>
        <w:tab/>
      </w:r>
      <w:r>
        <w:fldChar w:fldCharType="begin"/>
      </w:r>
      <w:r>
        <w:instrText xml:space="preserve"> PAGEREF _Toc162546889 \h </w:instrText>
      </w:r>
      <w:r>
        <w:fldChar w:fldCharType="separate"/>
      </w:r>
      <w:r>
        <w:t>15</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"_Toc162546890" </w:instrText>
      </w:r>
      <w:r>
        <w:fldChar w:fldCharType="separate"/>
      </w:r>
      <w:r>
        <w:rPr>
          <w:rStyle w:val="12"/>
        </w:rPr>
        <w:t>2. Scope of NPV due to change in Initial Investment and other Cash Flows</w:t>
      </w:r>
      <w:r>
        <w:tab/>
      </w:r>
      <w:r>
        <w:fldChar w:fldCharType="begin"/>
      </w:r>
      <w:r>
        <w:instrText xml:space="preserve"> PAGEREF _Toc162546890 \h </w:instrText>
      </w:r>
      <w:r>
        <w:fldChar w:fldCharType="separate"/>
      </w:r>
      <w:r>
        <w:t>19</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"_Toc162546891" </w:instrText>
      </w:r>
      <w:r>
        <w:fldChar w:fldCharType="separate"/>
      </w:r>
      <w:r>
        <w:rPr>
          <w:rStyle w:val="12"/>
        </w:rPr>
        <w:t>3. Advantages and Disadvantages</w:t>
      </w:r>
      <w:r>
        <w:tab/>
      </w:r>
      <w:r>
        <w:fldChar w:fldCharType="begin"/>
      </w:r>
      <w:r>
        <w:instrText xml:space="preserve"> PAGEREF _Toc162546891 \h </w:instrText>
      </w:r>
      <w:r>
        <w:fldChar w:fldCharType="separate"/>
      </w:r>
      <w:r>
        <w:t>20</w:t>
      </w:r>
      <w:r>
        <w:fldChar w:fldCharType="end"/>
      </w:r>
      <w:r>
        <w:fldChar w:fldCharType="end"/>
      </w:r>
    </w:p>
    <w:p>
      <w:pPr>
        <w:pStyle w:val="16"/>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"_Toc162546892" </w:instrText>
      </w:r>
      <w:r>
        <w:fldChar w:fldCharType="separate"/>
      </w:r>
      <w:r>
        <w:rPr>
          <w:rStyle w:val="12"/>
        </w:rPr>
        <w:t>4. Non-financial factors to be considered</w:t>
      </w:r>
      <w:r>
        <w:tab/>
      </w:r>
      <w:r>
        <w:fldChar w:fldCharType="begin"/>
      </w:r>
      <w:r>
        <w:instrText xml:space="preserve"> PAGEREF _Toc162546892 \h </w:instrText>
      </w:r>
      <w:r>
        <w:fldChar w:fldCharType="separate"/>
      </w:r>
      <w:r>
        <w:t>21</w:t>
      </w:r>
      <w:r>
        <w:fldChar w:fldCharType="end"/>
      </w:r>
      <w:r>
        <w:fldChar w:fldCharType="end"/>
      </w:r>
    </w:p>
    <w:p>
      <w:pPr>
        <w:pStyle w:val="15"/>
        <w:tabs>
          <w:tab w:val="right" w:leader="dot" w:pos="9019"/>
        </w:tabs>
        <w:rPr>
          <w:rFonts w:asciiTheme="minorHAnsi" w:hAnsiTheme="minorHAnsi" w:eastAsiaTheme="minorEastAsia" w:cstheme="minorBidi"/>
          <w:sz w:val="22"/>
          <w:szCs w:val="22"/>
          <w:lang w:val="en-US"/>
        </w:rPr>
      </w:pPr>
      <w:r>
        <w:fldChar w:fldCharType="begin"/>
      </w:r>
      <w:r>
        <w:instrText xml:space="preserve"> HYPERLINK \l "_Toc162546893" </w:instrText>
      </w:r>
      <w:r>
        <w:fldChar w:fldCharType="separate"/>
      </w:r>
      <w:r>
        <w:rPr>
          <w:rStyle w:val="12"/>
        </w:rPr>
        <w:t>Reference List</w:t>
      </w:r>
      <w:r>
        <w:tab/>
      </w:r>
      <w:r>
        <w:fldChar w:fldCharType="begin"/>
      </w:r>
      <w:r>
        <w:instrText xml:space="preserve"> PAGEREF _Toc162546893 \h </w:instrText>
      </w:r>
      <w:r>
        <w:fldChar w:fldCharType="separate"/>
      </w:r>
      <w:r>
        <w:t>22</w:t>
      </w:r>
      <w:r>
        <w:fldChar w:fldCharType="end"/>
      </w:r>
      <w:r>
        <w:fldChar w:fldCharType="end"/>
      </w:r>
    </w:p>
    <w:p>
      <w:pPr>
        <w:jc w:val="center"/>
        <w:rPr>
          <w:b/>
        </w:rPr>
      </w:pPr>
      <w:r>
        <w:rPr>
          <w:b/>
        </w:rPr>
        <w:fldChar w:fldCharType="end"/>
      </w:r>
    </w:p>
    <w:p>
      <w:pPr>
        <w:jc w:val="center"/>
        <w:rPr>
          <w:b/>
        </w:rPr>
      </w:pPr>
    </w:p>
    <w:p>
      <w:pPr>
        <w:jc w:val="center"/>
        <w:rPr>
          <w:b/>
        </w:rPr>
      </w:pPr>
      <w:r>
        <w:br w:type="page"/>
      </w:r>
    </w:p>
    <w:p>
      <w:pPr>
        <w:pStyle w:val="2"/>
      </w:pPr>
      <w:bookmarkStart w:id="0" w:name="_11q1na9leydw" w:colFirst="0" w:colLast="0"/>
      <w:bookmarkEnd w:id="0"/>
      <w:bookmarkStart w:id="1" w:name="_uxqlto179jwe" w:colFirst="0" w:colLast="0"/>
      <w:bookmarkEnd w:id="1"/>
      <w:bookmarkStart w:id="2" w:name="_Toc162546876"/>
      <w:r>
        <w:t>Part A</w:t>
      </w:r>
      <w:bookmarkEnd w:id="2"/>
    </w:p>
    <w:p>
      <w:pPr>
        <w:pStyle w:val="3"/>
      </w:pPr>
      <w:bookmarkStart w:id="3" w:name="_uapo84spaca5" w:colFirst="0" w:colLast="0"/>
      <w:bookmarkEnd w:id="3"/>
      <w:bookmarkStart w:id="4" w:name="_Toc162546877"/>
      <w:r>
        <w:t>Brief History</w:t>
      </w:r>
      <w:bookmarkEnd w:id="4"/>
    </w:p>
    <w:p>
      <w:r>
        <w:t>Dell Technologies Inc is an American multinational firm headquartered in Texas. This firm was developed with a purpose of developing technologies that drive human progress (Dell Technologies, 2024). The sole strategy of the firm has been described as leveraging its strengths to extend its leadership and captivate new growth opportunities. The firm has been operating with an employee strength of 133000 (Statista, 2023). Alongside the vision of the firm has been to establish itself as the most essential technology partner. Currently, the firm is operating under the leadership of CEO, Michael Dell (Dell, 2024). The product range offered by Dell includes computers, peripheral devices, printers, data storage devices, software and servers.</w:t>
      </w:r>
    </w:p>
    <w:p>
      <w:pPr>
        <w:pStyle w:val="3"/>
      </w:pPr>
      <w:bookmarkStart w:id="5" w:name="_yt8mxjyqgsa7" w:colFirst="0" w:colLast="0"/>
      <w:bookmarkEnd w:id="5"/>
      <w:bookmarkStart w:id="6" w:name="_Toc162546878"/>
      <w:r>
        <w:t>Industry</w:t>
      </w:r>
      <w:bookmarkEnd w:id="6"/>
    </w:p>
    <w:p>
      <w:pPr>
        <w:rPr>
          <w:rFonts w:hint="default"/>
          <w:lang w:val="en-US"/>
        </w:rPr>
      </w:pPr>
      <w:r>
        <w:t>Dell Technologies has been currently operating within the computer hardware and software industry along with diversified services within networking, consultancy and cloud computing domains.</w:t>
      </w:r>
      <w:r>
        <w:rPr>
          <w:rFonts w:hint="default"/>
          <w:lang w:val="en-US"/>
        </w:rPr>
        <w:t xml:space="preserve"> (</w:t>
      </w:r>
      <w:r>
        <w:rPr>
          <w:rFonts w:ascii="Segoe UI" w:hAnsi="Segoe UI" w:eastAsia="Segoe UI" w:cs="Segoe UI"/>
          <w:i w:val="0"/>
          <w:iCs w:val="0"/>
          <w:caps w:val="0"/>
          <w:color w:val="0D0D0D"/>
          <w:spacing w:val="0"/>
          <w:sz w:val="19"/>
          <w:szCs w:val="19"/>
          <w:shd w:val="clear" w:fill="FFFFFF"/>
        </w:rPr>
        <w:t>echCrunch, ZDNet</w:t>
      </w:r>
      <w:r>
        <w:rPr>
          <w:rFonts w:hint="default" w:ascii="Segoe UI" w:hAnsi="Segoe UI" w:eastAsia="Segoe UI" w:cs="Segoe UI"/>
          <w:i w:val="0"/>
          <w:iCs w:val="0"/>
          <w:caps w:val="0"/>
          <w:color w:val="0D0D0D"/>
          <w:spacing w:val="0"/>
          <w:sz w:val="19"/>
          <w:szCs w:val="19"/>
          <w:shd w:val="clear" w:fill="FFFFFF"/>
          <w:lang w:val="en-US"/>
        </w:rPr>
        <w:t>)</w:t>
      </w:r>
    </w:p>
    <w:p>
      <w:pPr>
        <w:pStyle w:val="3"/>
      </w:pPr>
      <w:bookmarkStart w:id="7" w:name="_vyrswv8jdo76" w:colFirst="0" w:colLast="0"/>
      <w:bookmarkEnd w:id="7"/>
      <w:bookmarkStart w:id="8" w:name="_Toc162546879"/>
      <w:r>
        <w:t>Business Model</w:t>
      </w:r>
      <w:bookmarkEnd w:id="8"/>
    </w:p>
    <w:p>
      <w:r>
        <w:t>Dell Technologies have been operating with a direct business model by catering to diverse customer suggestions. The company has developed a separate communication platform named Dell IdeaStorm (Dell, 2024). Customers offer diverse suggestions upon current and future products and services on this platform. Dell uses such suggestions to revise their products and ensure maximum customer satisfaction.</w:t>
      </w:r>
    </w:p>
    <w:p>
      <w:pPr>
        <w:pStyle w:val="3"/>
      </w:pPr>
      <w:bookmarkStart w:id="9" w:name="_df65aaldkba1" w:colFirst="0" w:colLast="0"/>
      <w:bookmarkEnd w:id="9"/>
      <w:bookmarkStart w:id="10" w:name="_Toc162546880"/>
      <w:r>
        <w:t>Market Place</w:t>
      </w:r>
      <w:bookmarkEnd w:id="10"/>
    </w:p>
    <w:p>
      <w:r>
        <w:t>The target market of Dell includes employees, businessmen, and students. Dell has been effectively operating within American, European, Middle- Eastern, African, and Asian countries. It has been globally operating across 180 countries with two business units (Statista, 2024). The business units are segregated in terms of infrastructure solutions and client solutions.</w:t>
      </w:r>
    </w:p>
    <w:p>
      <w:pPr>
        <w:pStyle w:val="3"/>
      </w:pPr>
      <w:bookmarkStart w:id="11" w:name="_kzuzdghf0uk0" w:colFirst="0" w:colLast="0"/>
      <w:bookmarkEnd w:id="11"/>
      <w:bookmarkStart w:id="12" w:name="_Toc162546881"/>
      <w:r>
        <w:t>Major Competitors</w:t>
      </w:r>
      <w:bookmarkEnd w:id="12"/>
    </w:p>
    <w:p>
      <w:r>
        <w:t xml:space="preserve">The closest competitors of Dell have been optimised as HP Inc, IBM, Lenovo, Apple, Microsoft, Samsung, and Oracle (Global Data, 2024). </w:t>
      </w:r>
    </w:p>
    <w:p>
      <w:pPr>
        <w:pStyle w:val="3"/>
      </w:pPr>
      <w:bookmarkStart w:id="13" w:name="_7oftb8oikjza" w:colFirst="0" w:colLast="0"/>
      <w:bookmarkEnd w:id="13"/>
      <w:bookmarkStart w:id="14" w:name="_Toc162546882"/>
      <w:r>
        <w:t>Major Events over Past 5 Years</w:t>
      </w:r>
      <w:bookmarkEnd w:id="14"/>
    </w:p>
    <w:p>
      <w:r>
        <w:rPr>
          <w:b/>
          <w:i/>
        </w:rPr>
        <w:t>2023</w:t>
      </w:r>
      <w:r>
        <w:t>: Chuck Whitten, COO had resigned Dell after lay-off of 6650 employees (CRN, 2023). The company had radically compensated core sellers to channelise the deals through their new channel thereby leading to further lay-offs.</w:t>
      </w:r>
    </w:p>
    <w:p>
      <w:r>
        <w:rPr>
          <w:b/>
          <w:i/>
        </w:rPr>
        <w:t>2022</w:t>
      </w:r>
      <w:r>
        <w:t>: Dell Technologies had announced their collaboration with Amazon Web Service, Azure, and Snowflakes during 2022 (CRN, 2022). It was introduced to establish new ransomware, new cloud experience and expanded SaaS ecosystem.</w:t>
      </w:r>
    </w:p>
    <w:p>
      <w:r>
        <w:rPr>
          <w:b/>
          <w:i/>
        </w:rPr>
        <w:t>2021</w:t>
      </w:r>
      <w:r>
        <w:t>: Dell had been optimising the scope of using other chips manufactured by AMD and Nvidia by replacing their age old partner Intel. The firm had launched new “PowerEdge” servers during this year that used AMD chips (CRN, 2021). The firm was inclined towards using more innovative chips.</w:t>
      </w:r>
    </w:p>
    <w:p>
      <w:r>
        <w:rPr>
          <w:b/>
          <w:i/>
        </w:rPr>
        <w:t>2020</w:t>
      </w:r>
      <w:r>
        <w:t>: Project APEX offered Dell to scale up their business to new heights. The flexible consumption approach enabled Dell to pay for only those services which have been used by the firm (Forbes, 2020). This will suggest the company to focus more on strategic business goals due to deployment of IT services to third parties.</w:t>
      </w:r>
    </w:p>
    <w:p>
      <w:r>
        <w:rPr>
          <w:b/>
          <w:i/>
        </w:rPr>
        <w:t>2019</w:t>
      </w:r>
      <w:r>
        <w:t>: The “Dell EMC Partner Program” officially ended during 2019. “Dell Technologies Partner Program” was newly introduced as a channel for channelling easier sales and increased profitability (CRN, 2024). Different products purchased through this program shall be accountable towards tier status and revenue facilitating increased time for partners to motivate sales.</w:t>
      </w:r>
    </w:p>
    <w:p>
      <w:pPr>
        <w:pStyle w:val="2"/>
      </w:pPr>
      <w:bookmarkStart w:id="15" w:name="_Toc162546883"/>
      <w:r>
        <w:t>Part B: Critical review of financial performance</w:t>
      </w:r>
      <w:bookmarkEnd w:id="15"/>
    </w:p>
    <w:p>
      <w:pPr>
        <w:pStyle w:val="3"/>
      </w:pPr>
      <w:bookmarkStart w:id="16" w:name="_j996shw7xzen" w:colFirst="0" w:colLast="0"/>
      <w:bookmarkEnd w:id="16"/>
      <w:bookmarkStart w:id="17" w:name="_Toc162546884"/>
      <w:r>
        <w:t>Computation of financial ratios</w:t>
      </w:r>
      <w:bookmarkEnd w:id="17"/>
    </w:p>
    <w:p>
      <w:r>
        <w:rPr>
          <w:b/>
          <w:i/>
        </w:rPr>
        <w:t>Profitability</w:t>
      </w:r>
    </w:p>
    <w:tbl>
      <w:tblPr>
        <w:tblStyle w:val="17"/>
        <w:tblW w:w="8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3645"/>
        <w:gridCol w:w="3210"/>
        <w:gridCol w:w="19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Details ($, 2023)</w:t>
            </w:r>
          </w:p>
        </w:tc>
        <w:tc>
          <w:tcPr>
            <w:tcW w:w="321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Formula</w:t>
            </w:r>
          </w:p>
        </w:tc>
        <w:tc>
          <w:tcPr>
            <w:tcW w:w="199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Amount (Mn)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"Net Income"</w:t>
            </w:r>
          </w:p>
        </w:tc>
        <w:tc>
          <w:tcPr>
            <w:tcW w:w="3210" w:type="dxa"/>
            <w:vMerge w:val="restart"/>
            <w:tcBorders>
              <w:top w:val="nil"/>
              <w:left w:val="nil"/>
              <w:bottom w:val="single" w:color="000000" w:sz="6" w:space="0"/>
              <w:right w:val="single" w:color="000000" w:sz="6" w:space="0"/>
            </w:tcBorders>
            <w:tcMar>
              <w:top w:w="0" w:type="dxa"/>
              <w:left w:w="100" w:type="dxa"/>
              <w:bottom w:w="0" w:type="dxa"/>
              <w:right w:w="100" w:type="dxa"/>
            </w:tcMar>
          </w:tcPr>
          <w:p>
            <w:pPr>
              <w:spacing w:before="240" w:after="0" w:line="276" w:lineRule="auto"/>
              <w:jc w:val="center"/>
            </w:pPr>
            <w:r>
              <w:t>"[Net Income/ Total Revenue] *100"</w:t>
            </w:r>
          </w:p>
        </w:tc>
        <w:tc>
          <w:tcPr>
            <w:tcW w:w="199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3211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"Total Revenue"</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88425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"Net Income Margin"</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rPr>
                <w:b/>
              </w:rPr>
            </w:pPr>
            <w:r>
              <w:rPr>
                <w:b/>
              </w:rPr>
              <w:t>3.63%</w:t>
            </w:r>
          </w:p>
        </w:tc>
      </w:tr>
    </w:tbl>
    <w:p>
      <w:pPr>
        <w:jc w:val="center"/>
        <w:rPr>
          <w:b/>
        </w:rPr>
      </w:pPr>
      <w:r>
        <w:rPr>
          <w:b/>
        </w:rPr>
        <w:t>Table 1: “Net Income Margin- Profitability”</w:t>
      </w:r>
    </w:p>
    <w:p>
      <w:pPr>
        <w:jc w:val="center"/>
      </w:pPr>
      <w:r>
        <w:t>(Source: Self-developed)</w:t>
      </w:r>
    </w:p>
    <w:p>
      <w:r>
        <w:rPr>
          <w:rFonts w:hint="default"/>
        </w:rPr>
        <w:t>This table shows the Net Income, Total Revenue, and calculated Net Income Margin for 2023. It also includes the formula used to calculate the Net Income Margin.</w:t>
      </w:r>
    </w:p>
    <w:p>
      <w:r>
        <w:t xml:space="preserve">Net income of Dell Technologies Inc. has been computed as 3.63% implying 96.37% totalled as expenses during 2023. The scope of expenses is too high for this company since profitability is significantly low in terms of sales generated during the year. As stated by </w:t>
      </w:r>
      <w:r>
        <w:rPr>
          <w:rFonts w:hint="default"/>
          <w:lang w:val="en-US"/>
        </w:rPr>
        <w:t>(</w:t>
      </w:r>
      <w:r>
        <w:t>Surur</w:t>
      </w:r>
      <w:r>
        <w:rPr>
          <w:i/>
        </w:rPr>
        <w:t xml:space="preserve"> et al.,</w:t>
      </w:r>
      <w:r>
        <w:t xml:space="preserve"> (2020)</w:t>
      </w:r>
      <w:r>
        <w:rPr>
          <w:rFonts w:hint="default"/>
          <w:lang w:val="en-US"/>
        </w:rPr>
        <w:t>)</w:t>
      </w:r>
      <w:r>
        <w:t>, effective control over direct and indirect expenses could generate increased profitability. Both direct and indirect expenses of Dell have remained considerably high producing low profitability.</w:t>
      </w:r>
    </w:p>
    <w:p>
      <w:r>
        <w:rPr>
          <w:b/>
          <w:i/>
        </w:rPr>
        <w:t>Liquidity</w:t>
      </w:r>
    </w:p>
    <w:tbl>
      <w:tblPr>
        <w:tblStyle w:val="18"/>
        <w:tblW w:w="8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3645"/>
        <w:gridCol w:w="3210"/>
        <w:gridCol w:w="19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Details ($, 2023)</w:t>
            </w:r>
          </w:p>
        </w:tc>
        <w:tc>
          <w:tcPr>
            <w:tcW w:w="321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Formula</w:t>
            </w:r>
          </w:p>
        </w:tc>
        <w:tc>
          <w:tcPr>
            <w:tcW w:w="199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Amount (Mn)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"Current Assets"</w:t>
            </w:r>
          </w:p>
        </w:tc>
        <w:tc>
          <w:tcPr>
            <w:tcW w:w="3210" w:type="dxa"/>
            <w:vMerge w:val="restart"/>
            <w:tcBorders>
              <w:top w:val="nil"/>
              <w:left w:val="nil"/>
              <w:bottom w:val="single" w:color="000000" w:sz="6" w:space="0"/>
              <w:right w:val="single" w:color="000000" w:sz="6" w:space="0"/>
            </w:tcBorders>
            <w:tcMar>
              <w:top w:w="0" w:type="dxa"/>
              <w:left w:w="100" w:type="dxa"/>
              <w:bottom w:w="0" w:type="dxa"/>
              <w:right w:w="100" w:type="dxa"/>
            </w:tcMar>
          </w:tcPr>
          <w:p>
            <w:pPr>
              <w:spacing w:before="240" w:after="0" w:line="276" w:lineRule="auto"/>
              <w:jc w:val="center"/>
            </w:pPr>
            <w:r>
              <w:t>"Current Assets/ Current Liabilities"</w:t>
            </w:r>
          </w:p>
        </w:tc>
        <w:tc>
          <w:tcPr>
            <w:tcW w:w="199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35947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"Current Liabilities"</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48494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"Current Ratio"</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rPr>
                <w:b/>
              </w:rPr>
            </w:pPr>
            <w:r>
              <w:rPr>
                <w:b/>
              </w:rPr>
              <w:t>0.74</w:t>
            </w:r>
          </w:p>
        </w:tc>
      </w:tr>
    </w:tbl>
    <w:p>
      <w:pPr>
        <w:jc w:val="center"/>
        <w:rPr>
          <w:b/>
        </w:rPr>
      </w:pPr>
      <w:r>
        <w:rPr>
          <w:b/>
        </w:rPr>
        <w:t>Table 2: “Current Ratio- Liquidity”</w:t>
      </w:r>
    </w:p>
    <w:p>
      <w:pPr>
        <w:jc w:val="center"/>
      </w:pPr>
      <w:r>
        <w:t>(Source: Self-developed)</w:t>
      </w:r>
    </w:p>
    <w:p>
      <w:r>
        <w:t>Current ratio of Dell Technologies Inc. has been computed as 0.74 implying lack of adequate current assets</w:t>
      </w:r>
      <w:r>
        <w:rPr>
          <w:rFonts w:hint="default"/>
          <w:lang w:val="en-US"/>
        </w:rPr>
        <w:t xml:space="preserve"> (</w: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begin"/>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instrText xml:space="preserve"> HYPERLINK "https://www.wallstreetprep.com/knowledge/liability/" \t "https://chat.openai.com/c/_blank" </w:instrTex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separate"/>
      </w:r>
      <w:r>
        <w:rPr>
          <w:rStyle w:val="12"/>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t>Wall Street Prep</w: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end"/>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lang w:val="en-US"/>
          <w14:textFill>
            <w14:solidFill>
              <w14:schemeClr w14:val="tx1"/>
            </w14:solidFill>
          </w14:textFill>
        </w:rPr>
        <w:t>,</w:t>
      </w:r>
      <w:r>
        <w:rPr>
          <w:rFonts w:hint="default" w:ascii="Segoe UI" w:hAnsi="Segoe UI" w:eastAsia="Segoe UI" w:cs="Segoe UI"/>
          <w:i w:val="0"/>
          <w:iCs w:val="0"/>
          <w:caps w:val="0"/>
          <w:spacing w:val="0"/>
          <w:sz w:val="19"/>
          <w:szCs w:val="19"/>
          <w:u w:val="none"/>
          <w:bdr w:val="single" w:color="E3E3E3" w:sz="2" w:space="0"/>
          <w:shd w:val="clear" w:fill="FFFFFF"/>
          <w:lang w:val="en-US"/>
        </w:rPr>
        <w:t>)</w:t>
      </w:r>
      <w:r>
        <w:t>. The sum of current liabilities is extensively high as compared to short-term liabilities. Increased access of current assets suggests financial solvency of a firm during an accounting period (Vu, Truong, and Dinh, 2020). Current liabilities of the firm are required to be minimised for sustaining financial solvency.</w:t>
      </w:r>
    </w:p>
    <w:p>
      <w:r>
        <w:rPr>
          <w:b/>
          <w:i/>
        </w:rPr>
        <w:t>Gearing</w:t>
      </w:r>
    </w:p>
    <w:tbl>
      <w:tblPr>
        <w:tblStyle w:val="19"/>
        <w:tblW w:w="8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3645"/>
        <w:gridCol w:w="3210"/>
        <w:gridCol w:w="19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Details ($, 2023)</w:t>
            </w:r>
          </w:p>
        </w:tc>
        <w:tc>
          <w:tcPr>
            <w:tcW w:w="321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Formula</w:t>
            </w:r>
          </w:p>
        </w:tc>
        <w:tc>
          <w:tcPr>
            <w:tcW w:w="199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Amount (Mn)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"Total Debt"</w:t>
            </w:r>
          </w:p>
        </w:tc>
        <w:tc>
          <w:tcPr>
            <w:tcW w:w="3210" w:type="dxa"/>
            <w:vMerge w:val="restart"/>
            <w:tcBorders>
              <w:top w:val="nil"/>
              <w:left w:val="nil"/>
              <w:bottom w:val="single" w:color="000000" w:sz="6" w:space="0"/>
              <w:right w:val="single" w:color="000000" w:sz="6" w:space="0"/>
            </w:tcBorders>
            <w:tcMar>
              <w:top w:w="0" w:type="dxa"/>
              <w:left w:w="100" w:type="dxa"/>
              <w:bottom w:w="0" w:type="dxa"/>
              <w:right w:w="100" w:type="dxa"/>
            </w:tcMar>
          </w:tcPr>
          <w:p>
            <w:pPr>
              <w:spacing w:before="240" w:after="0" w:line="276" w:lineRule="auto"/>
              <w:jc w:val="center"/>
            </w:pPr>
            <w:r>
              <w:t>"Total Debt/ Total Equity"</w:t>
            </w:r>
          </w:p>
        </w:tc>
        <w:tc>
          <w:tcPr>
            <w:tcW w:w="199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84398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"Total Equity"</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-2309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"Debt to Equity Margin"</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rPr>
                <w:b/>
              </w:rPr>
            </w:pPr>
            <w:r>
              <w:rPr>
                <w:b/>
              </w:rPr>
              <w:t>-36.55</w:t>
            </w:r>
          </w:p>
        </w:tc>
      </w:tr>
    </w:tbl>
    <w:p>
      <w:pPr>
        <w:jc w:val="center"/>
        <w:rPr>
          <w:b/>
        </w:rPr>
      </w:pPr>
      <w:r>
        <w:rPr>
          <w:b/>
        </w:rPr>
        <w:t>Table 3: “Debt to Equity Margin- Gearing”</w:t>
      </w:r>
    </w:p>
    <w:p>
      <w:pPr>
        <w:jc w:val="center"/>
      </w:pPr>
      <w:r>
        <w:t>(Source: Self-developed)</w:t>
      </w:r>
    </w:p>
    <w:p>
      <w:r>
        <w:t xml:space="preserve">Debt margins of Dell Technologies Inc. have remained extensively high causing a major gap between debts and equities. The sum of equity has been negatively reported due to previous deficit and treasury stock. As discussed by </w:t>
      </w:r>
      <w:r>
        <w:rPr>
          <w:rFonts w:hint="default"/>
          <w:lang w:val="en-US"/>
        </w:rPr>
        <w:t>(</w:t>
      </w:r>
      <w:r>
        <w:t>Budhathoki and Rai (2020)</w:t>
      </w:r>
      <w:r>
        <w:rPr>
          <w:rFonts w:hint="default"/>
          <w:lang w:val="en-US"/>
        </w:rPr>
        <w:t>)</w:t>
      </w:r>
      <w:r>
        <w:t>, optimal use of debts with equity capital could help the firm reduce the WACC during an accounting period. Growth in accumulated profits will help Dell to improve its gearing margin.</w:t>
      </w:r>
    </w:p>
    <w:p>
      <w:r>
        <w:rPr>
          <w:b/>
          <w:i/>
        </w:rPr>
        <w:t>Efficiency</w:t>
      </w:r>
    </w:p>
    <w:tbl>
      <w:tblPr>
        <w:tblStyle w:val="20"/>
        <w:tblW w:w="8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3645"/>
        <w:gridCol w:w="3210"/>
        <w:gridCol w:w="19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center"/>
              <w:rPr>
                <w:b/>
              </w:rPr>
            </w:pPr>
            <w:r>
              <w:rPr>
                <w:b/>
              </w:rPr>
              <w:t>Details ($, 2023)</w:t>
            </w:r>
          </w:p>
        </w:tc>
        <w:tc>
          <w:tcPr>
            <w:tcW w:w="321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center"/>
              <w:rPr>
                <w:b/>
              </w:rPr>
            </w:pPr>
            <w:r>
              <w:rPr>
                <w:b/>
              </w:rPr>
              <w:t>Formula</w:t>
            </w:r>
          </w:p>
        </w:tc>
        <w:tc>
          <w:tcPr>
            <w:tcW w:w="199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center"/>
              <w:rPr>
                <w:b/>
              </w:rPr>
            </w:pPr>
            <w:r>
              <w:rPr>
                <w:b/>
              </w:rPr>
              <w:t>Amount (Mn)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center"/>
            </w:pPr>
            <w:r>
              <w:t>"Closing Inventory"</w:t>
            </w:r>
          </w:p>
        </w:tc>
        <w:tc>
          <w:tcPr>
            <w:tcW w:w="3210" w:type="dxa"/>
            <w:vMerge w:val="restart"/>
            <w:tcBorders>
              <w:top w:val="nil"/>
              <w:left w:val="nil"/>
              <w:bottom w:val="single" w:color="000000" w:sz="6" w:space="0"/>
              <w:right w:val="single" w:color="000000" w:sz="6" w:space="0"/>
            </w:tcBorders>
            <w:tcMar>
              <w:top w:w="0" w:type="dxa"/>
              <w:left w:w="100" w:type="dxa"/>
              <w:bottom w:w="0" w:type="dxa"/>
              <w:right w:w="100" w:type="dxa"/>
            </w:tcMar>
          </w:tcPr>
          <w:p>
            <w:pPr>
              <w:spacing w:before="240" w:after="0" w:line="276" w:lineRule="auto"/>
              <w:jc w:val="center"/>
            </w:pPr>
            <w:r>
              <w:t>"[Closing Inventory/ Cost of Goods Sold] *365"</w:t>
            </w:r>
          </w:p>
        </w:tc>
        <w:tc>
          <w:tcPr>
            <w:tcW w:w="199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3622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center"/>
            </w:pPr>
            <w:r>
              <w:t>"Cost of Goods Sold"</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pPr>
              <w:jc w:val="center"/>
            </w:p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67556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3645"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center"/>
              <w:rPr>
                <w:b/>
              </w:rPr>
            </w:pPr>
            <w:r>
              <w:rPr>
                <w:b/>
              </w:rPr>
              <w:t>"Inventory Days"</w:t>
            </w:r>
          </w:p>
        </w:tc>
        <w:tc>
          <w:tcPr>
            <w:tcW w:w="3210" w:type="dxa"/>
            <w:vMerge w:val="continue"/>
            <w:tcBorders>
              <w:top w:val="nil"/>
              <w:left w:val="nil"/>
              <w:bottom w:val="single" w:color="000000" w:sz="6" w:space="0"/>
              <w:right w:val="single" w:color="000000" w:sz="6" w:space="0"/>
            </w:tcBorders>
            <w:shd w:val="clear" w:color="auto" w:fill="auto"/>
            <w:tcMar>
              <w:top w:w="100" w:type="dxa"/>
              <w:left w:w="100" w:type="dxa"/>
              <w:bottom w:w="100" w:type="dxa"/>
              <w:right w:w="100" w:type="dxa"/>
            </w:tcMar>
          </w:tcPr>
          <w:p>
            <w:pPr>
              <w:jc w:val="center"/>
            </w:pPr>
          </w:p>
        </w:tc>
        <w:tc>
          <w:tcPr>
            <w:tcW w:w="199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rPr>
                <w:b/>
              </w:rPr>
            </w:pPr>
            <w:r>
              <w:rPr>
                <w:b/>
              </w:rPr>
              <w:t>20</w:t>
            </w:r>
          </w:p>
        </w:tc>
      </w:tr>
    </w:tbl>
    <w:p>
      <w:pPr>
        <w:jc w:val="center"/>
        <w:rPr>
          <w:b/>
        </w:rPr>
      </w:pPr>
      <w:r>
        <w:rPr>
          <w:b/>
        </w:rPr>
        <w:t>Table 4: “Inventory Days- Efficiency”</w:t>
      </w:r>
    </w:p>
    <w:p>
      <w:pPr>
        <w:jc w:val="center"/>
      </w:pPr>
      <w:r>
        <w:t>(Source: Self-developed)</w:t>
      </w:r>
    </w:p>
    <w:p>
      <w:pPr>
        <w:rPr>
          <w:rFonts w:hint="default"/>
        </w:rPr>
      </w:pPr>
      <w:r>
        <w:t xml:space="preserve">Inventory holding period of Dell Technologies Inc. is computed as 20 days. Due to decreased shelf life of goods, saleability of the company is exceedingly low. As informed by </w:t>
      </w:r>
      <w:r>
        <w:rPr>
          <w:rFonts w:hint="default"/>
          <w:lang w:val="en-US"/>
        </w:rPr>
        <w:t>(</w:t>
      </w:r>
      <w:r>
        <w:t xml:space="preserve">Perez </w:t>
      </w:r>
      <w:r>
        <w:rPr>
          <w:i/>
        </w:rPr>
        <w:t>et al</w:t>
      </w:r>
      <w:r>
        <w:t>. (2021)</w:t>
      </w:r>
      <w:r>
        <w:rPr>
          <w:rFonts w:hint="default"/>
          <w:lang w:val="en-US"/>
        </w:rPr>
        <w:t xml:space="preserve"> )</w:t>
      </w:r>
      <w:r>
        <w:t>, reduced inventory holding period ensures increased saleability of products by an organisation. Increasing sales in competitive areas are likely to improve the current inventory holding period by considerable margins.</w:t>
      </w:r>
    </w:p>
    <w:p>
      <w:pPr>
        <w:pStyle w:val="3"/>
      </w:pPr>
      <w:bookmarkStart w:id="18" w:name="_8322zpmbebfo" w:colFirst="0" w:colLast="0"/>
      <w:bookmarkEnd w:id="18"/>
      <w:bookmarkStart w:id="19" w:name="_Toc162546885"/>
      <w:r>
        <w:t>Critical evaluation of computed ratios</w:t>
      </w:r>
      <w:bookmarkEnd w:id="19"/>
    </w:p>
    <w:p>
      <w:pPr>
        <w:rPr>
          <w:b/>
          <w:i/>
        </w:rPr>
      </w:pPr>
      <w:r>
        <w:rPr>
          <w:b/>
          <w:i/>
        </w:rPr>
        <w:t>Profitability</w:t>
      </w:r>
    </w:p>
    <w:p>
      <w:r>
        <w:t>Profitability ratios are computed to evaluate the financial performance of an organisation during a given period of time</w:t>
      </w:r>
      <w:r>
        <w:rPr>
          <w:rFonts w:hint="default"/>
          <w:lang w:val="en-US"/>
        </w:rPr>
        <w:t xml:space="preserve"> (</w: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begin"/>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instrText xml:space="preserve"> HYPERLINK "https://corporatefinanceinstitute.com/resources/accounting/financial-ratios/" \t "https://chat.openai.com/c/_blank" </w:instrTex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separate"/>
      </w:r>
      <w:r>
        <w:rPr>
          <w:rStyle w:val="12"/>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t>Corporate Finance Institute</w: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end"/>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lang w:val="en-US"/>
          <w14:textFill>
            <w14:solidFill>
              <w14:schemeClr w14:val="tx1"/>
            </w14:solidFill>
          </w14:textFill>
        </w:rPr>
        <w:t xml:space="preserve"> </w:t>
      </w:r>
      <w:r>
        <w:rPr>
          <w:rFonts w:hint="default" w:ascii="Segoe UI" w:hAnsi="Segoe UI" w:eastAsia="Segoe UI" w:cs="Segoe UI"/>
          <w:i w:val="0"/>
          <w:iCs w:val="0"/>
          <w:caps w:val="0"/>
          <w:spacing w:val="0"/>
          <w:sz w:val="19"/>
          <w:szCs w:val="19"/>
          <w:u w:val="none"/>
          <w:bdr w:val="single" w:color="E3E3E3" w:sz="2" w:space="0"/>
          <w:shd w:val="clear" w:fill="FFFFFF"/>
          <w:lang w:val="en-US"/>
        </w:rPr>
        <w:t>)</w:t>
      </w:r>
      <w:r>
        <w:t xml:space="preserve">. As discussed by </w:t>
      </w:r>
      <w:r>
        <w:rPr>
          <w:rFonts w:hint="default"/>
          <w:lang w:val="en-US"/>
        </w:rPr>
        <w:t>(</w:t>
      </w:r>
      <w:r>
        <w:t xml:space="preserve">Choiriyah </w:t>
      </w:r>
      <w:r>
        <w:rPr>
          <w:i/>
        </w:rPr>
        <w:t xml:space="preserve">et al. </w:t>
      </w:r>
      <w:r>
        <w:t>(2020</w:t>
      </w:r>
      <w:r>
        <w:rPr>
          <w:rFonts w:hint="default"/>
          <w:lang w:val="en-US"/>
        </w:rPr>
        <w:t>)</w:t>
      </w:r>
      <w:r>
        <w:t xml:space="preserve">), it assesses the scope of returns based on sales generated during the year. This measure reflects the net sum of expenses dealt by the firm to sustain adequate returns. In case of this company, it has been observed that the profitability margin is below 4%. Thus, more than 96% has been spent by the company during 2023. Based on the income statement, it has been derived that Dell’s sales have declined since previous year by significant margins (Dell Technologies, 2024). Net revenue generated from products have reduced by considerable proportions thereby affecting net funds available for meeting annual expenses. It has been observed that direct costs of the firm have been significantly high acquiring at most 76% of the annual sale. Thus, a very low sum of funds is available for meeting the indirect expenses during the year. </w:t>
      </w:r>
    </w:p>
    <w:p>
      <w:r>
        <w:t>Low sales phenomenon has been majorly affecting the net income margin. However, profitability margin has increased since previous year because the sum of gains during 2022 was $2442 million while sales were $79250</w:t>
      </w:r>
      <w:r>
        <w:rPr>
          <w:rFonts w:hint="default"/>
          <w:lang w:val="en-US"/>
        </w:rPr>
        <w:t xml:space="preserve"> </w:t>
      </w:r>
      <w:r>
        <w:rPr>
          <w:rFonts w:hint="default"/>
          <w:b/>
          <w:bCs/>
          <w:lang w:val="en-US"/>
        </w:rPr>
        <w:t>(</w:t>
      </w:r>
      <w:r>
        <w:rPr>
          <w:rFonts w:ascii="Segoe UI" w:hAnsi="Segoe UI" w:eastAsia="Segoe UI" w:cs="Segoe UI"/>
          <w:b/>
          <w:bCs/>
          <w:i w:val="0"/>
          <w:iCs w:val="0"/>
          <w:caps w:val="0"/>
          <w:color w:val="0D0D0D"/>
          <w:spacing w:val="0"/>
          <w:sz w:val="19"/>
          <w:szCs w:val="19"/>
          <w:shd w:val="clear" w:fill="FFFFFF"/>
        </w:rPr>
        <w:t>79,250,000,000</w:t>
      </w:r>
      <w:r>
        <w:rPr>
          <w:rFonts w:hint="default" w:ascii="Segoe UI" w:hAnsi="Segoe UI" w:eastAsia="Segoe UI" w:cs="Segoe UI"/>
          <w:b/>
          <w:bCs/>
          <w:i w:val="0"/>
          <w:iCs w:val="0"/>
          <w:caps w:val="0"/>
          <w:color w:val="0D0D0D"/>
          <w:spacing w:val="0"/>
          <w:sz w:val="19"/>
          <w:szCs w:val="19"/>
          <w:shd w:val="clear" w:fill="FFFFFF"/>
          <w:lang w:val="en-US"/>
        </w:rPr>
        <w:t>)</w:t>
      </w:r>
      <w:r>
        <w:rPr>
          <w:rFonts w:hint="default" w:ascii="Segoe UI" w:hAnsi="Segoe UI" w:eastAsia="Segoe UI" w:cs="Segoe UI"/>
          <w:i w:val="0"/>
          <w:iCs w:val="0"/>
          <w:caps w:val="0"/>
          <w:color w:val="0D0D0D"/>
          <w:spacing w:val="0"/>
          <w:sz w:val="19"/>
          <w:szCs w:val="19"/>
          <w:shd w:val="clear" w:fill="FFFFFF"/>
          <w:lang w:val="en-US"/>
        </w:rPr>
        <w:t xml:space="preserve"> </w:t>
      </w:r>
      <w:r>
        <w:t xml:space="preserve">(Dell Technologies, 2024). Growth in sum of profitability suggests improved financial performance of the company. As described by </w:t>
      </w:r>
      <w:r>
        <w:rPr>
          <w:rFonts w:hint="default"/>
          <w:lang w:val="en-US"/>
        </w:rPr>
        <w:t>(</w:t>
      </w:r>
      <w:r>
        <w:t xml:space="preserve">Liu </w:t>
      </w:r>
      <w:r>
        <w:rPr>
          <w:i/>
        </w:rPr>
        <w:t>et al.</w:t>
      </w:r>
      <w:r>
        <w:t xml:space="preserve"> (2020)</w:t>
      </w:r>
      <w:r>
        <w:rPr>
          <w:rFonts w:hint="default"/>
          <w:lang w:val="en-US"/>
        </w:rPr>
        <w:t>)</w:t>
      </w:r>
      <w:r>
        <w:t>, an increased amounts of profits with reduced sales are beneficial for an organisation. This trend of profitability is expected to improve in future years thereby escalating financial performance of the firm. Increased control over expenses could majorly improve profit retention of Dell Technologies.</w:t>
      </w:r>
    </w:p>
    <w:p>
      <w:pPr>
        <w:rPr>
          <w:b/>
          <w:i/>
        </w:rPr>
      </w:pPr>
      <w:r>
        <w:rPr>
          <w:b/>
          <w:i/>
        </w:rPr>
        <w:t>Liquidity</w:t>
      </w:r>
    </w:p>
    <w:p>
      <w:r>
        <w:t>Liquidity of an organisation suggests the scope of current assets over short-term liabilities</w:t>
      </w:r>
      <w:r>
        <w:rPr>
          <w:rFonts w:hint="default"/>
          <w:lang w:val="en-US"/>
        </w:rPr>
        <w:t xml:space="preserve"> </w:t>
      </w:r>
      <w:r>
        <w:rPr>
          <w:rFonts w:ascii="Segoe UI" w:hAnsi="Segoe UI" w:eastAsia="Segoe UI" w:cs="Segoe UI"/>
          <w:i w:val="0"/>
          <w:iCs w:val="0"/>
          <w:caps w:val="0"/>
          <w:spacing w:val="0"/>
          <w:sz w:val="19"/>
          <w:szCs w:val="19"/>
          <w:bdr w:val="single" w:color="E3E3E3" w:sz="2" w:space="0"/>
          <w:shd w:val="clear" w:fill="FFFFFF"/>
        </w:rPr>
        <w:t>(</w:t>
      </w:r>
      <w:r>
        <w:rPr>
          <w:rFonts w:hint="default" w:ascii="Segoe UI" w:hAnsi="Segoe UI" w:eastAsia="Segoe UI" w:cs="Segoe UI"/>
          <w:i w:val="0"/>
          <w:iCs w:val="0"/>
          <w:caps w:val="0"/>
          <w:color w:val="000000" w:themeColor="text1"/>
          <w:spacing w:val="0"/>
          <w:sz w:val="22"/>
          <w:szCs w:val="22"/>
          <w:u w:val="none"/>
          <w:bdr w:val="single" w:color="E3E3E3" w:sz="2" w:space="0"/>
          <w:shd w:val="clear" w:fill="FFFFFF"/>
          <w14:textFill>
            <w14:solidFill>
              <w14:schemeClr w14:val="tx1"/>
            </w14:solidFill>
          </w14:textFill>
        </w:rPr>
        <w:fldChar w:fldCharType="begin"/>
      </w:r>
      <w:r>
        <w:rPr>
          <w:rFonts w:hint="default" w:ascii="Segoe UI" w:hAnsi="Segoe UI" w:eastAsia="Segoe UI" w:cs="Segoe UI"/>
          <w:i w:val="0"/>
          <w:iCs w:val="0"/>
          <w:caps w:val="0"/>
          <w:color w:val="000000" w:themeColor="text1"/>
          <w:spacing w:val="0"/>
          <w:sz w:val="22"/>
          <w:szCs w:val="22"/>
          <w:u w:val="none"/>
          <w:bdr w:val="single" w:color="E3E3E3" w:sz="2" w:space="0"/>
          <w:shd w:val="clear" w:fill="FFFFFF"/>
          <w14:textFill>
            <w14:solidFill>
              <w14:schemeClr w14:val="tx1"/>
            </w14:solidFill>
          </w14:textFill>
        </w:rPr>
        <w:instrText xml:space="preserve"> HYPERLINK "https://jupiter.money/resources/understanding-financial-liquidity/" \t "https://chat.openai.com/c/_blank" </w:instrText>
      </w:r>
      <w:r>
        <w:rPr>
          <w:rFonts w:hint="default" w:ascii="Segoe UI" w:hAnsi="Segoe UI" w:eastAsia="Segoe UI" w:cs="Segoe UI"/>
          <w:i w:val="0"/>
          <w:iCs w:val="0"/>
          <w:caps w:val="0"/>
          <w:color w:val="000000" w:themeColor="text1"/>
          <w:spacing w:val="0"/>
          <w:sz w:val="22"/>
          <w:szCs w:val="22"/>
          <w:u w:val="none"/>
          <w:bdr w:val="single" w:color="E3E3E3" w:sz="2" w:space="0"/>
          <w:shd w:val="clear" w:fill="FFFFFF"/>
          <w14:textFill>
            <w14:solidFill>
              <w14:schemeClr w14:val="tx1"/>
            </w14:solidFill>
          </w14:textFill>
        </w:rPr>
        <w:fldChar w:fldCharType="separate"/>
      </w:r>
      <w:r>
        <w:rPr>
          <w:rStyle w:val="12"/>
          <w:rFonts w:hint="default" w:ascii="Segoe UI" w:hAnsi="Segoe UI" w:eastAsia="Segoe UI" w:cs="Segoe UI"/>
          <w:i w:val="0"/>
          <w:iCs w:val="0"/>
          <w:caps w:val="0"/>
          <w:color w:val="000000" w:themeColor="text1"/>
          <w:spacing w:val="0"/>
          <w:sz w:val="22"/>
          <w:szCs w:val="22"/>
          <w:u w:val="none"/>
          <w:bdr w:val="single" w:color="E3E3E3" w:sz="2" w:space="0"/>
          <w:shd w:val="clear" w:fill="FFFFFF"/>
          <w14:textFill>
            <w14:solidFill>
              <w14:schemeClr w14:val="tx1"/>
            </w14:solidFill>
          </w14:textFill>
        </w:rPr>
        <w:t>FinanceJup</w:t>
      </w:r>
      <w:r>
        <w:rPr>
          <w:rFonts w:hint="default" w:ascii="Segoe UI" w:hAnsi="Segoe UI" w:eastAsia="Segoe UI" w:cs="Segoe UI"/>
          <w:i w:val="0"/>
          <w:iCs w:val="0"/>
          <w:caps w:val="0"/>
          <w:color w:val="000000" w:themeColor="text1"/>
          <w:spacing w:val="0"/>
          <w:sz w:val="22"/>
          <w:szCs w:val="22"/>
          <w:u w:val="none"/>
          <w:bdr w:val="single" w:color="E3E3E3" w:sz="2" w:space="0"/>
          <w:shd w:val="clear" w:fill="FFFFFF"/>
          <w14:textFill>
            <w14:solidFill>
              <w14:schemeClr w14:val="tx1"/>
            </w14:solidFill>
          </w14:textFill>
        </w:rPr>
        <w:fldChar w:fldCharType="end"/>
      </w:r>
      <w:r>
        <w:rPr>
          <w:rFonts w:hint="default" w:ascii="Segoe UI" w:hAnsi="Segoe UI" w:eastAsia="Segoe UI" w:cs="Segoe UI"/>
          <w:i w:val="0"/>
          <w:iCs w:val="0"/>
          <w:caps w:val="0"/>
          <w:color w:val="000000" w:themeColor="text1"/>
          <w:spacing w:val="0"/>
          <w:sz w:val="22"/>
          <w:szCs w:val="22"/>
          <w:u w:val="none"/>
          <w:bdr w:val="single" w:color="E3E3E3" w:sz="2" w:space="0"/>
          <w:shd w:val="clear" w:fill="FFFFFF"/>
          <w:lang w:val="en-US"/>
          <w14:textFill>
            <w14:solidFill>
              <w14:schemeClr w14:val="tx1"/>
            </w14:solidFill>
          </w14:textFill>
        </w:rPr>
        <w:t>)</w:t>
      </w:r>
      <w:r>
        <w:rPr>
          <w:color w:val="000000" w:themeColor="text1"/>
          <w:sz w:val="22"/>
          <w:szCs w:val="22"/>
          <w14:textFill>
            <w14:solidFill>
              <w14:schemeClr w14:val="tx1"/>
            </w14:solidFill>
          </w14:textFill>
        </w:rPr>
        <w:t>.</w:t>
      </w:r>
      <w:r>
        <w:t xml:space="preserve"> This phenomenon equates the sum of short-term assets with current scope of indebtedness of the firm. As per </w:t>
      </w:r>
      <w:r>
        <w:rPr>
          <w:rFonts w:hint="default"/>
          <w:lang w:val="en-US"/>
        </w:rPr>
        <w:t>(</w:t>
      </w:r>
      <w:r>
        <w:t>Sonia and Khafid (2020)</w:t>
      </w:r>
      <w:r>
        <w:rPr>
          <w:rFonts w:hint="default"/>
          <w:lang w:val="en-US"/>
        </w:rPr>
        <w:t>)</w:t>
      </w:r>
      <w:r>
        <w:t>, measuring this aspect will help to govern the current assets by gathering sufficient funds to manage the current liabilities. However, in case of Dell Technologies, it has been observed that current assets fell short of the sum of current liabilities. It implies that working capital of the company is negative thereby causing disruption in business operations. It has been derived that current assets are only 74% of current liabilities (Dell Technologies, 2024). Thus, 26% of the short-term liabilities are uninsured against current assets. This will require the company to introduce more funds for managing optimal business operations.</w:t>
      </w:r>
    </w:p>
    <w:p>
      <w:r>
        <w:t xml:space="preserve">Based on the liquidity position of Dell Technologies, it has been assessed that financial solvency of the firm is currently in a disrupted state. There is a major lack of funds experienced by the company while managing short-term business operations. It has been observed that decline in current assets are in higher proportion than that of current liabilities. This has led to reduced control over current liabilities of the firm. There has been a continuous dearth in terms of working capital of the firm since previous year. Significant reduction in current liabilities could help to manage the company’s liquidity position (Zimon </w:t>
      </w:r>
      <w:r>
        <w:rPr>
          <w:i/>
        </w:rPr>
        <w:t>et al.</w:t>
      </w:r>
      <w:r>
        <w:t>, 2021). This phenomenon will also help to manage the firm’s working capital thereby reducing pressure on debt funds. Reducing payment days to creditors will eventually help to reduce the gap in liquidity.</w:t>
      </w:r>
    </w:p>
    <w:p>
      <w:pPr>
        <w:bidi w:val="0"/>
      </w:pPr>
      <w:r>
        <w:rPr>
          <w:b/>
          <w:bCs/>
        </w:rPr>
        <w:t>Gearing</w:t>
      </w:r>
    </w:p>
    <w:p>
      <w:pPr>
        <w:bidi w:val="0"/>
      </w:pPr>
      <w:r>
        <w:t>Gearing margin assesses the scope of debt and equity funds maintained by the company during a given period</w:t>
      </w:r>
      <w:r>
        <w:rPr>
          <w:rFonts w:hint="default"/>
          <w:lang w:val="en-US"/>
        </w:rPr>
        <w:t xml:space="preserve"> (</w:t>
      </w:r>
      <w:r>
        <w:fldChar w:fldCharType="begin"/>
      </w:r>
      <w:r>
        <w:instrText xml:space="preserve"> HYPERLINK "https://www.accountingtools.com/articles/gearing-ratio" \t "https://chat.openai.com/c/_blank" </w:instrText>
      </w:r>
      <w:r>
        <w:fldChar w:fldCharType="separate"/>
      </w:r>
      <w:r>
        <w:rPr>
          <w:rStyle w:val="12"/>
          <w:rFonts w:hint="default" w:ascii="Segoe UI" w:hAnsi="Segoe UI" w:eastAsia="Segoe UI" w:cs="Segoe UI"/>
          <w:i w:val="0"/>
          <w:iCs w:val="0"/>
          <w:caps w:val="0"/>
          <w:color w:val="000000" w:themeColor="text1"/>
          <w:spacing w:val="0"/>
          <w:szCs w:val="19"/>
          <w:u w:val="none"/>
          <w:bdr w:val="single" w:color="E3E3E3" w:sz="2" w:space="0"/>
          <w:shd w:val="clear" w:fill="FFFFFF"/>
          <w14:textFill>
            <w14:solidFill>
              <w14:schemeClr w14:val="tx1"/>
            </w14:solidFill>
          </w14:textFill>
        </w:rPr>
        <w:t>AccountingTools</w:t>
      </w:r>
      <w:r>
        <w:rPr>
          <w:rFonts w:hint="default"/>
        </w:rPr>
        <w:fldChar w:fldCharType="end"/>
      </w:r>
      <w:r>
        <w:rPr>
          <w:rFonts w:hint="default"/>
        </w:rPr>
        <w:t>)</w:t>
      </w:r>
      <w:r>
        <w:t>. It evaluates the proportion of debt holdings against equity owned by the shareholders. As described by Godfrey et al. (2021), this computation also informs the scope of financial expenses to be qualified by the firm during year end. Computed outcome suggests debt funds are exceedingly high for Dell Technologies. However, proportion of equity is reported negatively due to the existence of treasury stock and accumulated losses since previous years. Although the firm has paid-up common stock worth $8926 million, the sum of treasury and accumulated losses are producing negative values (Dell Technologies, 2024). Increased sum of accumulated profits could help the firm to generate positive outcomes in this context.</w:t>
      </w:r>
    </w:p>
    <w:p>
      <w:pPr>
        <w:bidi w:val="0"/>
      </w:pPr>
      <w:r>
        <w:t>Gearing margin is an effective indicator of financial flexibility of an organisation. It reflects the dependence upon debt funds along with the scope of financial expenses that have to be dealt. It has been observed that total liabilities and shareholder’s funds have improved since previous year but are subject to affect the current solvency status. Although Dell Technologies have generated increased funds from issuance of common stocks, the sum of treasury stock is significantly high during 2023 (Dell Technologies, 2024). This phenomenon is majorly affecting the gearing outcome. Due to extensive deficit in shareholder’s funds, the gearing margin is appropriating a negative outcome. The company could minimise this sum of debts by generating substantial profits and thereby improving the valuation in markets.</w:t>
      </w:r>
    </w:p>
    <w:p>
      <w:pPr>
        <w:rPr>
          <w:b/>
          <w:i/>
        </w:rPr>
      </w:pPr>
      <w:r>
        <w:rPr>
          <w:b/>
          <w:i/>
        </w:rPr>
        <w:t>Efficiency</w:t>
      </w:r>
    </w:p>
    <w:p>
      <w:r>
        <w:t>Efficiency of an organisation depends upon the ability of managing the cash operating cycle for sustaining adequacy of working capital</w:t>
      </w:r>
      <w:r>
        <w:rPr>
          <w:rFonts w:hint="default"/>
          <w:lang w:val="en-US"/>
        </w:rPr>
        <w:t xml:space="preserve"> (</w:t>
      </w:r>
      <w:r>
        <w:rPr>
          <w:rFonts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begin"/>
      </w:r>
      <w:r>
        <w:rPr>
          <w:rFonts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instrText xml:space="preserve"> HYPERLINK "https://www.wallstreetmojo.com/market-efficiency/" \t "https://chat.openai.com/c/_blank" </w:instrText>
      </w:r>
      <w:r>
        <w:rPr>
          <w:rFonts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separate"/>
      </w:r>
      <w:r>
        <w:rPr>
          <w:rStyle w:val="12"/>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t>Wall Street Mojo</w: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end"/>
      </w:r>
      <w:r>
        <w:rPr>
          <w:rFonts w:hint="default" w:ascii="Segoe UI" w:hAnsi="Segoe UI" w:eastAsia="Segoe UI" w:cs="Segoe UI"/>
          <w:i w:val="0"/>
          <w:iCs w:val="0"/>
          <w:caps w:val="0"/>
          <w:spacing w:val="0"/>
          <w:sz w:val="19"/>
          <w:szCs w:val="19"/>
          <w:u w:val="none"/>
          <w:bdr w:val="single" w:color="E3E3E3" w:sz="2" w:space="0"/>
          <w:shd w:val="clear" w:fill="FFFFFF"/>
          <w:lang w:val="en-US"/>
        </w:rPr>
        <w:t>)</w:t>
      </w:r>
      <w:r>
        <w:t>. It emulates the scope of acquiring funds by managing debtors, creditors, and inventory during an annual period. Efficiency accounts for computing the days taken to acquire funds from debtors and selling inventory along with paying out creditors. In case of Dell Technologies, it has been observed that inventory holding period is 20 days implying a reasonably shortened span of time to sell the produced goods. Based on this aspect, it has been viewed that closing inventory has reduced since 2022 suggesting increased saleability (Dell Technologies, 2024). Alongside, it can be ascertained that the company has managed efficiency in terms of selling the products in such a competitive market.</w:t>
      </w:r>
    </w:p>
    <w:p>
      <w:r>
        <w:t xml:space="preserve">Cost of sales considered for computation suggests decline by considerable margins since 2022. The reduction in closing inventory has been greater in proportion than compared to cost of sales. This phenomenon has resulted in a reduced inventory holding period for the company. As stated by Wang, </w:t>
      </w:r>
      <w:r>
        <w:rPr>
          <w:rFonts w:hint="default"/>
          <w:lang w:val="en-US"/>
        </w:rPr>
        <w:t>(</w:t>
      </w:r>
      <w:r>
        <w:t>Akbar and Akbar (2020)</w:t>
      </w:r>
      <w:r>
        <w:rPr>
          <w:rFonts w:hint="default"/>
          <w:lang w:val="en-US"/>
        </w:rPr>
        <w:t>)</w:t>
      </w:r>
      <w:r>
        <w:t>, reduced inventory holding period suggests escalated scope of sales during the year. It will help Dell Technologies to sustain adequate funds by selling the stock. It is expected to deliver the company with a competitive advantage during current and future years. Firms are expected to generate increased availability of funds by ensuring reduced shelf-life of products in the company’s portfolio. Significant growth in profits are also ascertained through escalated efficiency of generating funds from market operations.</w:t>
      </w:r>
    </w:p>
    <w:p>
      <w:pPr>
        <w:pStyle w:val="3"/>
      </w:pPr>
      <w:bookmarkStart w:id="20" w:name="_3lqlbyxk5f1a" w:colFirst="0" w:colLast="0"/>
      <w:bookmarkEnd w:id="20"/>
      <w:bookmarkStart w:id="21" w:name="_Toc162546886"/>
      <w:r>
        <w:t>Comparison with HP</w:t>
      </w:r>
      <w:bookmarkEnd w:id="21"/>
    </w:p>
    <w:p>
      <w:r>
        <w:t>An optimal competitor of Dell Technologies could be identified as HP Inc</w:t>
      </w:r>
      <w:r>
        <w:rPr>
          <w:rFonts w:hint="default"/>
          <w:lang w:val="en-US"/>
        </w:rPr>
        <w:t xml:space="preserve"> (</w: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begin"/>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instrText xml:space="preserve"> HYPERLINK "https://www.techtarget.com/searchstorage/conference/Dell-Technologies-World-2019-news-and-analysis" \t "https://chat.openai.com/c/_blank" </w:instrTex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separate"/>
      </w:r>
      <w:r>
        <w:rPr>
          <w:rStyle w:val="12"/>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t>TechTarget</w:t>
      </w:r>
      <w:r>
        <w:rPr>
          <w:rFonts w:hint="default" w:ascii="Segoe UI" w:hAnsi="Segoe UI" w:eastAsia="Segoe UI" w:cs="Segoe UI"/>
          <w:i w:val="0"/>
          <w:iCs w:val="0"/>
          <w:caps w:val="0"/>
          <w:color w:val="000000" w:themeColor="text1"/>
          <w:spacing w:val="0"/>
          <w:sz w:val="19"/>
          <w:szCs w:val="19"/>
          <w:u w:val="none"/>
          <w:bdr w:val="single" w:color="E3E3E3" w:sz="2" w:space="0"/>
          <w:shd w:val="clear" w:fill="FFFFFF"/>
          <w14:textFill>
            <w14:solidFill>
              <w14:schemeClr w14:val="tx1"/>
            </w14:solidFill>
          </w14:textFill>
        </w:rPr>
        <w:fldChar w:fldCharType="end"/>
      </w:r>
      <w:r>
        <w:rPr>
          <w:rFonts w:hint="default" w:ascii="Segoe UI" w:hAnsi="Segoe UI" w:eastAsia="Segoe UI" w:cs="Segoe UI"/>
          <w:i w:val="0"/>
          <w:iCs w:val="0"/>
          <w:caps w:val="0"/>
          <w:spacing w:val="0"/>
          <w:sz w:val="19"/>
          <w:szCs w:val="19"/>
          <w:u w:val="none"/>
          <w:bdr w:val="single" w:color="E3E3E3" w:sz="2" w:space="0"/>
          <w:shd w:val="clear" w:fill="FFFFFF"/>
          <w:lang w:val="en-US"/>
        </w:rPr>
        <w:t>)2024</w:t>
      </w:r>
      <w:r>
        <w:t>. Both companies have a similar type of product portfolio and operate in equivalent international markets. The scope of “profitability, liquidity, gearing, and efficiency” are measured and compared for both firms to illustrate the scope of competence and future potential. These measures will help to assess the financial performance of both companies during 2023. The computed outcomes of both companies during the recent years are tabulated below.</w:t>
      </w:r>
    </w:p>
    <w:p/>
    <w:tbl>
      <w:tblPr>
        <w:tblStyle w:val="21"/>
        <w:tblW w:w="88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5175"/>
        <w:gridCol w:w="1845"/>
        <w:gridCol w:w="18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17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Details ($, 2023)</w:t>
            </w:r>
          </w:p>
        </w:tc>
        <w:tc>
          <w:tcPr>
            <w:tcW w:w="184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DELL</w:t>
            </w:r>
          </w:p>
        </w:tc>
        <w:tc>
          <w:tcPr>
            <w:tcW w:w="184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HP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17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"Net income Margin"</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3.63%</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6.07%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17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17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"Current Ratio"</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0.74</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0.73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17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17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"Debt to Equity Margin"</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-36.55</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-35.62</w:t>
            </w:r>
          </w:p>
        </w:tc>
      </w:tr>
      <w:tr>
        <w:tblPrEx>
          <w:tblCellMar>
            <w:top w:w="100" w:type="dxa"/>
            <w:left w:w="100" w:type="dxa"/>
            <w:bottom w:w="100" w:type="dxa"/>
            <w:right w:w="100" w:type="dxa"/>
          </w:tblCellMar>
        </w:tblPrEx>
        <w:trPr>
          <w:trHeight w:val="315" w:hRule="atLeast"/>
          <w:jc w:val="center"/>
        </w:trPr>
        <w:tc>
          <w:tcPr>
            <w:tcW w:w="517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17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pPr>
            <w:r>
              <w:t>"Inventory Days"</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20</w:t>
            </w:r>
          </w:p>
        </w:tc>
        <w:tc>
          <w:tcPr>
            <w:tcW w:w="184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59</w:t>
            </w:r>
          </w:p>
        </w:tc>
      </w:tr>
    </w:tbl>
    <w:p>
      <w:pPr>
        <w:jc w:val="center"/>
        <w:rPr>
          <w:b/>
        </w:rPr>
      </w:pPr>
      <w:r>
        <w:rPr>
          <w:b/>
        </w:rPr>
        <w:t>Table 5: Comparative outcome of Dell and HP</w:t>
      </w:r>
    </w:p>
    <w:p>
      <w:pPr>
        <w:jc w:val="center"/>
      </w:pPr>
      <w:r>
        <w:t>(Source: Self-developed)</w:t>
      </w:r>
    </w:p>
    <w:p>
      <w:pPr>
        <w:rPr>
          <w:b/>
          <w:i/>
        </w:rPr>
      </w:pPr>
      <w:r>
        <w:rPr>
          <w:b/>
          <w:i/>
        </w:rPr>
        <w:t>Profitability</w:t>
      </w:r>
    </w:p>
    <w:p>
      <w:pPr>
        <w:jc w:val="center"/>
      </w:pPr>
      <w:r>
        <w:drawing>
          <wp:inline distT="114300" distB="114300" distL="114300" distR="114300">
            <wp:extent cx="4365625" cy="307403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7"/>
                    <a:srcRect/>
                    <a:stretch>
                      <a:fillRect/>
                    </a:stretch>
                  </pic:blipFill>
                  <pic:spPr>
                    <a:xfrm>
                      <a:off x="0" y="0"/>
                      <a:ext cx="4365757" cy="3074359"/>
                    </a:xfrm>
                    <a:prstGeom prst="rect">
                      <a:avLst/>
                    </a:prstGeom>
                  </pic:spPr>
                </pic:pic>
              </a:graphicData>
            </a:graphic>
          </wp:inline>
        </w:drawing>
      </w:r>
    </w:p>
    <w:p>
      <w:pPr>
        <w:jc w:val="center"/>
        <w:rPr>
          <w:b/>
        </w:rPr>
      </w:pPr>
      <w:r>
        <w:rPr>
          <w:b/>
        </w:rPr>
        <w:t>Figure 1: Profitability Position</w:t>
      </w:r>
    </w:p>
    <w:p>
      <w:pPr>
        <w:jc w:val="center"/>
      </w:pPr>
      <w:r>
        <w:t>(Source: Self-developed)</w:t>
      </w:r>
    </w:p>
    <w:p>
      <w:bookmarkStart w:id="35" w:name="_GoBack"/>
      <w:r>
        <w:t xml:space="preserve">Profitability of companies is an effective indicator of financial success attained during the accounting period. Based on the graphical presentation, it is evident that HP has performed better in terms of generating end of the year profits. However, size of business operations for both companies differ during the given accounting period. It can be ascertained that the net income of HP Inc is marginally above Dell Technologies’. As opinionated by </w:t>
      </w:r>
      <w:r>
        <w:rPr>
          <w:rFonts w:hint="default"/>
          <w:lang w:val="en-US"/>
        </w:rPr>
        <w:t>(</w:t>
      </w:r>
      <w:r>
        <w:t>Dirman (2020)</w:t>
      </w:r>
      <w:r>
        <w:rPr>
          <w:rFonts w:hint="default"/>
          <w:lang w:val="en-US"/>
        </w:rPr>
        <w:t>)</w:t>
      </w:r>
      <w:r>
        <w:t>, proportion of expenses during an accounting period is an effective indicator of profitability to be managed by the company. Revenue of HP Inc, on another hand is lower than that of Dell Technology. This is a considerable factor for evaluating the competency of Dell Technology against HP Inc. Although increased revenue provides Dell with greater market share, HP Inc has been managing increased profitability to ensure improved financial performance. Based on the outcome, it is evident that the financial performance of HP Inc is better than that of Dell Technology. Direct and indirect expenses of HP Inc are efficiently controlled to appropriate increased profitability during 2023 (HP, 2024). A major point of concern for Dell Technologies is the increasing scope of competitiveness optimised for HP Inc. Sum of indirect expenses for HP Inc is considerably lower than Dell Technology’s. This phenomenon is creating a major difference in profitability of both firms.</w:t>
      </w:r>
    </w:p>
    <w:bookmarkEnd w:id="35"/>
    <w:p>
      <w:pPr>
        <w:rPr>
          <w:b/>
          <w:i/>
        </w:rPr>
      </w:pPr>
      <w:r>
        <w:rPr>
          <w:b/>
          <w:i/>
        </w:rPr>
        <w:t>Liquidity</w:t>
      </w:r>
    </w:p>
    <w:p>
      <w:pPr>
        <w:jc w:val="center"/>
      </w:pPr>
      <w:r>
        <w:drawing>
          <wp:inline distT="114300" distB="114300" distL="114300" distR="114300">
            <wp:extent cx="4479290" cy="309626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8"/>
                    <a:srcRect/>
                    <a:stretch>
                      <a:fillRect/>
                    </a:stretch>
                  </pic:blipFill>
                  <pic:spPr>
                    <a:xfrm>
                      <a:off x="0" y="0"/>
                      <a:ext cx="4479477" cy="3096493"/>
                    </a:xfrm>
                    <a:prstGeom prst="rect">
                      <a:avLst/>
                    </a:prstGeom>
                  </pic:spPr>
                </pic:pic>
              </a:graphicData>
            </a:graphic>
          </wp:inline>
        </w:drawing>
      </w:r>
    </w:p>
    <w:p>
      <w:pPr>
        <w:jc w:val="center"/>
        <w:rPr>
          <w:b/>
        </w:rPr>
      </w:pPr>
      <w:r>
        <w:rPr>
          <w:b/>
        </w:rPr>
        <w:t>Figure 2: Liquidity Position</w:t>
      </w:r>
    </w:p>
    <w:p>
      <w:pPr>
        <w:jc w:val="center"/>
      </w:pPr>
      <w:r>
        <w:t>(Source: Self-developed)</w:t>
      </w:r>
    </w:p>
    <w:p>
      <w:pPr>
        <w:rPr>
          <w:rFonts w:hint="default"/>
        </w:rPr>
      </w:pPr>
      <w:r>
        <w:rPr>
          <w:rFonts w:hint="default"/>
        </w:rPr>
        <w:t>Liquidity measures a company's ability to meet its short-term obligations. Both Dell Technologies and HP Inc. have similar liquidity positions, but their current assets are lower than their current liabilities in 2023【NetSuite】. This shortfall indicates that both firms struggle to maintain sufficient working capital.</w:t>
      </w:r>
    </w:p>
    <w:p>
      <w:pPr>
        <w:rPr>
          <w:rFonts w:hint="default"/>
        </w:rPr>
      </w:pPr>
      <w:r>
        <w:rPr>
          <w:rFonts w:hint="default"/>
        </w:rPr>
        <w:t>HP Inc. has lower current liabilities, almost half that of Dell Technologies, suggesting a lower risk of financial insolvency【HP, 2024】. Dell Technologies, with higher current liabilities, faces greater solvency risk due to its larger operations and the need for substantial daily funding. This can impact the company's ability to continue as a going concern, posing a challenge for its competitiveness.</w:t>
      </w:r>
    </w:p>
    <w:p>
      <w:pPr>
        <w:rPr>
          <w:rFonts w:hint="default"/>
        </w:rPr>
      </w:pPr>
      <w:r>
        <w:rPr>
          <w:rFonts w:hint="default"/>
        </w:rPr>
        <w:t>Excess current assets are beneficial for meeting short-term obligations, but both companies lack this buffer【Al-Kahtani, 2023】. Dell's higher liabilities suggest it may require additional investment to maintain operations, increasing financial risk compared to HP Inc.</w:t>
      </w:r>
    </w:p>
    <w:p>
      <w:pPr>
        <w:rPr>
          <w:b/>
          <w:i/>
        </w:rPr>
      </w:pPr>
      <w:r>
        <w:rPr>
          <w:b/>
          <w:i/>
        </w:rPr>
        <w:t>Gearing</w:t>
      </w:r>
    </w:p>
    <w:p>
      <w:pPr>
        <w:jc w:val="center"/>
      </w:pPr>
      <w:r>
        <w:drawing>
          <wp:inline distT="114300" distB="114300" distL="114300" distR="114300">
            <wp:extent cx="4471035" cy="30956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9"/>
                    <a:srcRect/>
                    <a:stretch>
                      <a:fillRect/>
                    </a:stretch>
                  </pic:blipFill>
                  <pic:spPr>
                    <a:xfrm>
                      <a:off x="0" y="0"/>
                      <a:ext cx="4471458" cy="3095625"/>
                    </a:xfrm>
                    <a:prstGeom prst="rect">
                      <a:avLst/>
                    </a:prstGeom>
                  </pic:spPr>
                </pic:pic>
              </a:graphicData>
            </a:graphic>
          </wp:inline>
        </w:drawing>
      </w:r>
    </w:p>
    <w:p>
      <w:pPr>
        <w:jc w:val="center"/>
        <w:rPr>
          <w:b/>
        </w:rPr>
      </w:pPr>
      <w:r>
        <w:rPr>
          <w:b/>
        </w:rPr>
        <w:t>Figure 3: Gearing Margin</w:t>
      </w:r>
    </w:p>
    <w:p>
      <w:pPr>
        <w:jc w:val="center"/>
      </w:pPr>
      <w:r>
        <w:t>(Source: Self-developed)</w:t>
      </w: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Capital structure is a mix of debt and equity funds. Comparing Dell Technologies and HP Inc., HP's debt-to-equity ratio is better than Dell's. Both companies have negative shareholder funds due to high debt usage in 2023, impacting financial expenses【CFA Institute】.</w:t>
      </w:r>
    </w:p>
    <w:p>
      <w:pPr>
        <w:rPr>
          <w:rFonts w:hint="default"/>
          <w:color w:val="000000" w:themeColor="text1"/>
          <w14:textFill>
            <w14:solidFill>
              <w14:schemeClr w14:val="tx1"/>
            </w14:solidFill>
          </w14:textFill>
        </w:rPr>
      </w:pPr>
    </w:p>
    <w:p>
      <w:pPr>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However, HP Inc. has lower debt in its capital structure, with $38,073 million, compared to Dell's higher debt【HP, 2024】. This lower debt proportion reduces risk, offering a competitive advantage. Dell Technologies, with higher debt, faces greater financial strain from loan repayments. Reducing debt can help both companies minimize future financial expenses. While HP Inc. has a better capital structure due to lower debt, it needs to generate sufficient profits to improve its shareholder funds【Afiezan, Wijaya, and Claudia, 2020】.</w:t>
      </w:r>
    </w:p>
    <w:p>
      <w:pPr>
        <w:rPr>
          <w:b/>
          <w:i/>
        </w:rPr>
      </w:pPr>
      <w:r>
        <w:rPr>
          <w:b/>
          <w:i/>
        </w:rPr>
        <w:t>Efficiency</w:t>
      </w:r>
    </w:p>
    <w:p>
      <w:pPr>
        <w:jc w:val="center"/>
      </w:pPr>
      <w:r>
        <w:drawing>
          <wp:inline distT="114300" distB="114300" distL="114300" distR="114300">
            <wp:extent cx="4499610" cy="301117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referRelativeResize="0"/>
                  </pic:nvPicPr>
                  <pic:blipFill>
                    <a:blip r:embed="rId10"/>
                    <a:srcRect/>
                    <a:stretch>
                      <a:fillRect/>
                    </a:stretch>
                  </pic:blipFill>
                  <pic:spPr>
                    <a:xfrm>
                      <a:off x="0" y="0"/>
                      <a:ext cx="4499713" cy="3011760"/>
                    </a:xfrm>
                    <a:prstGeom prst="rect">
                      <a:avLst/>
                    </a:prstGeom>
                  </pic:spPr>
                </pic:pic>
              </a:graphicData>
            </a:graphic>
          </wp:inline>
        </w:drawing>
      </w:r>
    </w:p>
    <w:p>
      <w:pPr>
        <w:jc w:val="center"/>
        <w:rPr>
          <w:b/>
        </w:rPr>
      </w:pPr>
      <w:r>
        <w:rPr>
          <w:b/>
        </w:rPr>
        <w:t>Figure 4: Efficiency Scale</w:t>
      </w:r>
    </w:p>
    <w:p>
      <w:pPr>
        <w:jc w:val="center"/>
        <w:rPr>
          <w:b w:val="0"/>
          <w:bCs w:val="0"/>
        </w:rPr>
      </w:pPr>
      <w:r>
        <w:rPr>
          <w:b w:val="0"/>
          <w:bCs w:val="0"/>
        </w:rPr>
        <w:t>(Source: Self-developed)</w:t>
      </w:r>
    </w:p>
    <w:p>
      <w:pPr>
        <w:pStyle w:val="3"/>
        <w:rPr>
          <w:rFonts w:hint="default"/>
          <w:b w:val="0"/>
          <w:bCs w:val="0"/>
        </w:rPr>
      </w:pPr>
      <w:bookmarkStart w:id="22" w:name="_mrjqupinzxz8" w:colFirst="0" w:colLast="0"/>
      <w:bookmarkEnd w:id="22"/>
      <w:bookmarkStart w:id="23" w:name="_Toc162546887"/>
      <w:r>
        <w:rPr>
          <w:rFonts w:hint="default"/>
          <w:b w:val="0"/>
          <w:bCs w:val="0"/>
        </w:rPr>
        <w:t>Inventory days measure the time it takes to sell produced stock, reflecting a company's saleability and market performance. Dell Technologies has a significantly lower inventory days count compared to HP Inc., indicating faster stock turnover and higher saleability. This advantage contributes to Dell's higher sales revenue and lower closing inventory, which provides a competitive edge over HP Inc【Dell Technologies, 2024】.</w:t>
      </w:r>
    </w:p>
    <w:p>
      <w:pPr>
        <w:pStyle w:val="3"/>
        <w:rPr>
          <w:b w:val="0"/>
          <w:bCs w:val="0"/>
        </w:rPr>
      </w:pPr>
      <w:r>
        <w:rPr>
          <w:rFonts w:hint="default"/>
          <w:b w:val="0"/>
          <w:bCs w:val="0"/>
        </w:rPr>
        <w:t>Dell's reduced inventory days suggest an efficient sales cycle, minimizing excess stock and associated costs. In contrast, HP Inc.'s longer inventory days indicate a slower turnover, potentially impacting working capital due to excess stock from previous years. To remain competitive, firms should reduce closing inventory to maintain asset flexibility and avoid increased costs from overstocking.</w:t>
      </w:r>
      <w:r>
        <w:rPr>
          <w:b w:val="0"/>
          <w:bCs w:val="0"/>
        </w:rPr>
        <w:t>Recommendations for improving financial management</w:t>
      </w:r>
      <w:bookmarkEnd w:id="23"/>
    </w:p>
    <w:p>
      <w:r>
        <w:t>Few recommendations are proposed to ensure improvement in terms of financial management.</w:t>
      </w:r>
    </w:p>
    <w:p>
      <w:pPr>
        <w:rPr>
          <w:b/>
          <w:i/>
        </w:rPr>
      </w:pPr>
      <w:r>
        <w:rPr>
          <w:b/>
          <w:i/>
        </w:rPr>
        <w:t>Controlling direct and indirect expenses</w:t>
      </w:r>
    </w:p>
    <w:p>
      <w:pPr>
        <w:rPr>
          <w:rFonts w:hint="default"/>
        </w:rPr>
      </w:pPr>
      <w:r>
        <w:rPr>
          <w:rFonts w:hint="default"/>
        </w:rPr>
        <w:t xml:space="preserve"> By sourcing raw materials locally and employing local labor for manufacturing, Dell Technologies can reduce production costs. This strategy not only cuts expenses but also leads to economies of scale. The company should consider recruiting local talent to manage its global manufacturing operations. Activity-based costing techniques can ensure accurate cost estimations and reduce unnecessary expenses, leading to more competitive pricing.</w:t>
      </w:r>
    </w:p>
    <w:p>
      <w:pPr>
        <w:rPr>
          <w:b/>
          <w:i/>
        </w:rPr>
      </w:pPr>
      <w:r>
        <w:rPr>
          <w:b/>
          <w:i/>
        </w:rPr>
        <w:t>Offering discounts to customers for immediate payment</w:t>
      </w:r>
    </w:p>
    <w:p>
      <w:pPr>
        <w:rPr>
          <w:rFonts w:hint="default"/>
        </w:rPr>
      </w:pPr>
      <w:r>
        <w:rPr>
          <w:rFonts w:hint="default"/>
        </w:rPr>
        <w:t xml:space="preserve"> Providing discounts for early payments can boost cash flow and reduce inventory and trade receivable periods. This strategy encourages customers to pay sooner, improving liquidity and working capital. It also strengthens competitiveness, as it can attract more customers and increase market share through competitive pricing.</w:t>
      </w:r>
    </w:p>
    <w:p>
      <w:pPr>
        <w:rPr>
          <w:b/>
          <w:i/>
        </w:rPr>
      </w:pPr>
      <w:r>
        <w:rPr>
          <w:b/>
          <w:i/>
        </w:rPr>
        <w:t>Repayment of debts</w:t>
      </w:r>
    </w:p>
    <w:p>
      <w:pPr>
        <w:pStyle w:val="2"/>
        <w:rPr>
          <w:rFonts w:hint="default"/>
          <w:b w:val="0"/>
          <w:bCs/>
        </w:rPr>
      </w:pPr>
      <w:bookmarkStart w:id="24" w:name="_Toc162546888"/>
      <w:r>
        <w:rPr>
          <w:rFonts w:hint="default"/>
          <w:b w:val="0"/>
          <w:bCs/>
        </w:rPr>
        <w:t>Reducing debt lowers financial expenses and risks of insolvency. By repaying debts with profits from recent years, Dell Technologies can improve its debt-to-equity margin. This reduction in financial obligations increases the company's financial flexibility and reduces the burden of loan repayments. It can also help the company maintain a more stable capital structure, providing security against economic downturns and reinforcing the scope of going concern.</w:t>
      </w:r>
    </w:p>
    <w:p>
      <w:pPr>
        <w:pStyle w:val="2"/>
      </w:pPr>
      <w:r>
        <w:t>Part C</w:t>
      </w:r>
      <w:bookmarkEnd w:id="24"/>
    </w:p>
    <w:p>
      <w:pPr>
        <w:pStyle w:val="3"/>
      </w:pPr>
      <w:bookmarkStart w:id="25" w:name="_9zhvllo1mhzl" w:colFirst="0" w:colLast="0"/>
      <w:bookmarkEnd w:id="25"/>
      <w:bookmarkStart w:id="26" w:name="_Toc162546889"/>
      <w:r>
        <w:t>1. Computation of Project Appraisal Techniques</w:t>
      </w:r>
      <w:bookmarkEnd w:id="26"/>
    </w:p>
    <w:p>
      <w:r>
        <w:rPr>
          <w:b/>
          <w:i/>
        </w:rPr>
        <w:t>Payback Period</w:t>
      </w:r>
    </w:p>
    <w:tbl>
      <w:tblPr>
        <w:tblStyle w:val="17"/>
        <w:tblW w:w="8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410"/>
        <w:gridCol w:w="3075"/>
        <w:gridCol w:w="43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Year</w:t>
            </w:r>
          </w:p>
        </w:tc>
        <w:tc>
          <w:tcPr>
            <w:tcW w:w="307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Cash Flow - A (£,m)</w:t>
            </w:r>
          </w:p>
        </w:tc>
        <w:tc>
          <w:tcPr>
            <w:tcW w:w="4365"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Cumulative Cash Flow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w:t>
            </w:r>
          </w:p>
        </w:tc>
        <w:tc>
          <w:tcPr>
            <w:tcW w:w="307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-5000</w:t>
            </w:r>
          </w:p>
        </w:tc>
        <w:tc>
          <w:tcPr>
            <w:tcW w:w="436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w:t>
            </w:r>
          </w:p>
        </w:tc>
        <w:tc>
          <w:tcPr>
            <w:tcW w:w="307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2500</w:t>
            </w:r>
          </w:p>
        </w:tc>
        <w:tc>
          <w:tcPr>
            <w:tcW w:w="436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w:t>
            </w:r>
          </w:p>
        </w:tc>
        <w:tc>
          <w:tcPr>
            <w:tcW w:w="307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2000</w:t>
            </w:r>
          </w:p>
        </w:tc>
        <w:tc>
          <w:tcPr>
            <w:tcW w:w="436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w:t>
            </w:r>
          </w:p>
        </w:tc>
        <w:tc>
          <w:tcPr>
            <w:tcW w:w="307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1000</w:t>
            </w:r>
          </w:p>
        </w:tc>
        <w:tc>
          <w:tcPr>
            <w:tcW w:w="436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w:t>
            </w:r>
          </w:p>
        </w:tc>
        <w:tc>
          <w:tcPr>
            <w:tcW w:w="307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-442</w:t>
            </w:r>
          </w:p>
        </w:tc>
        <w:tc>
          <w:tcPr>
            <w:tcW w:w="4365"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4485" w:type="dxa"/>
            <w:gridSpan w:val="2"/>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center"/>
              <w:rPr>
                <w:b/>
              </w:rPr>
            </w:pPr>
            <w:r>
              <w:rPr>
                <w:b/>
              </w:rPr>
              <w:t>Payback Period</w:t>
            </w:r>
          </w:p>
        </w:tc>
        <w:tc>
          <w:tcPr>
            <w:tcW w:w="4365"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2 years 6 months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Year</w:t>
            </w:r>
          </w:p>
        </w:tc>
        <w:tc>
          <w:tcPr>
            <w:tcW w:w="307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Cash Flow - B (£,m)</w:t>
            </w:r>
          </w:p>
        </w:tc>
        <w:tc>
          <w:tcPr>
            <w:tcW w:w="436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Cumulative Cash Flow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w:t>
            </w:r>
          </w:p>
        </w:tc>
        <w:tc>
          <w:tcPr>
            <w:tcW w:w="307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c>
          <w:tcPr>
            <w:tcW w:w="436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w:t>
            </w:r>
          </w:p>
        </w:tc>
        <w:tc>
          <w:tcPr>
            <w:tcW w:w="307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1500</w:t>
            </w:r>
          </w:p>
        </w:tc>
        <w:tc>
          <w:tcPr>
            <w:tcW w:w="436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2</w:t>
            </w:r>
          </w:p>
        </w:tc>
        <w:tc>
          <w:tcPr>
            <w:tcW w:w="307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c>
          <w:tcPr>
            <w:tcW w:w="436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3</w:t>
            </w:r>
          </w:p>
        </w:tc>
        <w:tc>
          <w:tcPr>
            <w:tcW w:w="307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c>
          <w:tcPr>
            <w:tcW w:w="436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2500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41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4</w:t>
            </w:r>
          </w:p>
        </w:tc>
        <w:tc>
          <w:tcPr>
            <w:tcW w:w="307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-470</w:t>
            </w:r>
          </w:p>
        </w:tc>
        <w:tc>
          <w:tcPr>
            <w:tcW w:w="4365"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2030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4485" w:type="dxa"/>
            <w:gridSpan w:val="2"/>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center"/>
              <w:rPr>
                <w:b/>
              </w:rPr>
            </w:pPr>
            <w:r>
              <w:rPr>
                <w:b/>
              </w:rPr>
              <w:t>Payback Period</w:t>
            </w:r>
          </w:p>
        </w:tc>
        <w:tc>
          <w:tcPr>
            <w:tcW w:w="4365"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8 months</w:t>
            </w:r>
          </w:p>
        </w:tc>
      </w:tr>
    </w:tbl>
    <w:p>
      <w:pPr>
        <w:jc w:val="center"/>
        <w:rPr>
          <w:b/>
        </w:rPr>
      </w:pPr>
      <w:r>
        <w:rPr>
          <w:b/>
        </w:rPr>
        <w:t>Table 6: PBP</w:t>
      </w:r>
    </w:p>
    <w:p>
      <w:pPr>
        <w:jc w:val="center"/>
      </w:pPr>
      <w:r>
        <w:t>(Source: Self-developed)</w:t>
      </w:r>
    </w:p>
    <w:p>
      <w:pPr>
        <w:rPr>
          <w:rFonts w:hint="default"/>
        </w:rPr>
      </w:pPr>
      <w:r>
        <w:rPr>
          <w:rFonts w:hint="default"/>
        </w:rPr>
        <w:t>The payback period measures the time it takes for a project to generate enough cash flow to recover the invested capital. Project B has a shorter payback period than Project A, indicating it recovers its investment more quickly. Project A requires five times the investment of Project B, leading to a longer payback time. Consistent cash flows with a lower investment result in faster returns【Nukala and Prasada Rao, 2021】.</w:t>
      </w:r>
    </w:p>
    <w:p>
      <w:pPr>
        <w:rPr>
          <w:rFonts w:hint="default"/>
        </w:rPr>
      </w:pPr>
      <w:r>
        <w:rPr>
          <w:rFonts w:hint="default"/>
        </w:rPr>
        <w:t>Given its shorter payback period, Project B is more favorable for investment. It offers a quicker return on investment due to lower initial capital and high cash flows in the early years.</w:t>
      </w:r>
    </w:p>
    <w:p>
      <w:r>
        <w:rPr>
          <w:b/>
          <w:i/>
        </w:rPr>
        <w:t>Accounting Rate of Return</w:t>
      </w:r>
    </w:p>
    <w:tbl>
      <w:tblPr>
        <w:tblStyle w:val="18"/>
        <w:tblW w:w="88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5295"/>
        <w:gridCol w:w="35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Year</w:t>
            </w:r>
          </w:p>
        </w:tc>
        <w:tc>
          <w:tcPr>
            <w:tcW w:w="354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Cash Flow - A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-442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rPr>
                <w:b/>
              </w:rPr>
            </w:pPr>
            <w:r>
              <w:rPr>
                <w:b/>
              </w:rPr>
              <w:t>"Accounting Rate of Return"</w:t>
            </w:r>
          </w:p>
        </w:tc>
        <w:tc>
          <w:tcPr>
            <w:tcW w:w="3540"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25.29%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Year</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Cash Flow - B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w:t>
            </w:r>
          </w:p>
        </w:tc>
        <w:tc>
          <w:tcPr>
            <w:tcW w:w="35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5295" w:type="dxa"/>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rPr>
                <w:b/>
              </w:rPr>
            </w:pPr>
            <w:r>
              <w:rPr>
                <w:b/>
              </w:rPr>
              <w:t>"Accounting Rate of Return"</w:t>
            </w:r>
          </w:p>
        </w:tc>
        <w:tc>
          <w:tcPr>
            <w:tcW w:w="3540"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75.75%</w:t>
            </w:r>
          </w:p>
        </w:tc>
      </w:tr>
    </w:tbl>
    <w:p>
      <w:pPr>
        <w:jc w:val="center"/>
        <w:rPr>
          <w:b/>
        </w:rPr>
      </w:pPr>
      <w:r>
        <w:rPr>
          <w:b/>
        </w:rPr>
        <w:t>Table 7: ARR</w:t>
      </w:r>
    </w:p>
    <w:p>
      <w:pPr>
        <w:jc w:val="center"/>
      </w:pPr>
      <w:r>
        <w:t>(Source: Self-developed)</w:t>
      </w:r>
    </w:p>
    <w:p>
      <w:pPr>
        <w:rPr>
          <w:rFonts w:hint="default"/>
        </w:rPr>
      </w:pPr>
      <w:r>
        <w:rPr>
          <w:rFonts w:hint="default"/>
        </w:rPr>
        <w:t>Accounting returns compare average income to average investment to assess a project's return potential. According to (Noury et al. (2020)), average cash flows are based on expected income during a given year. The accounting rate of return (ARR) for Project B is 75.75%, indicating it offers much higher returns than Project A, which has an ARR of 25.29%. This difference shows Project B is more profitable than Project A. Higher operating cash flows increase average earnings, which leads to better returns on investment. Since Project B requires lower average investment, its ARR is significantly higher, confirming its profitability advantage over Project A【Noury et al., 2020】.</w:t>
      </w:r>
    </w:p>
    <w:p>
      <w:r>
        <w:rPr>
          <w:b/>
          <w:i/>
        </w:rPr>
        <w:t>Net Present Value</w:t>
      </w:r>
    </w:p>
    <w:tbl>
      <w:tblPr>
        <w:tblStyle w:val="19"/>
        <w:tblW w:w="8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020"/>
        <w:gridCol w:w="2280"/>
        <w:gridCol w:w="3210"/>
        <w:gridCol w:w="23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Year</w:t>
            </w:r>
          </w:p>
        </w:tc>
        <w:tc>
          <w:tcPr>
            <w:tcW w:w="228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Cash Flow - A (£,m)</w:t>
            </w:r>
          </w:p>
        </w:tc>
        <w:tc>
          <w:tcPr>
            <w:tcW w:w="321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Discounting factor @ 0.75%</w:t>
            </w:r>
          </w:p>
        </w:tc>
        <w:tc>
          <w:tcPr>
            <w:tcW w:w="234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Present Value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-5000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2500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0.993</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2481.39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2000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0.985</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1970.33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1000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0.978</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977.83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-442</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0.971</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-428.98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6510" w:type="dxa"/>
            <w:gridSpan w:val="3"/>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center"/>
              <w:rPr>
                <w:b/>
              </w:rPr>
            </w:pPr>
            <w:r>
              <w:rPr>
                <w:b/>
              </w:rPr>
              <w:t>"Net Present Value"</w:t>
            </w:r>
          </w:p>
        </w:tc>
        <w:tc>
          <w:tcPr>
            <w:tcW w:w="2340"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0.57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Year</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Cash Flow - B (£,m)</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Discounting factor @ 0.75%</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Present Value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1500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0.993</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1488.83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2</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0.985</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985.17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3</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1000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0.978</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977.83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4</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-470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0.971</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-456.16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6510" w:type="dxa"/>
            <w:gridSpan w:val="3"/>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center"/>
              <w:rPr>
                <w:b/>
              </w:rPr>
            </w:pPr>
            <w:r>
              <w:rPr>
                <w:b/>
              </w:rPr>
              <w:t>"Net Present Value"</w:t>
            </w:r>
          </w:p>
        </w:tc>
        <w:tc>
          <w:tcPr>
            <w:tcW w:w="2340"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1995.67</w:t>
            </w:r>
          </w:p>
        </w:tc>
      </w:tr>
    </w:tbl>
    <w:p>
      <w:pPr>
        <w:jc w:val="center"/>
        <w:rPr>
          <w:b/>
        </w:rPr>
      </w:pPr>
      <w:r>
        <w:rPr>
          <w:b/>
        </w:rPr>
        <w:t>Table 8: NPV</w:t>
      </w:r>
    </w:p>
    <w:p>
      <w:pPr>
        <w:jc w:val="center"/>
      </w:pPr>
      <w:r>
        <w:t>(Source: Self-developed)</w:t>
      </w:r>
    </w:p>
    <w:p>
      <w:pPr>
        <w:rPr>
          <w:rFonts w:hint="default"/>
        </w:rPr>
      </w:pPr>
      <w:r>
        <w:rPr>
          <w:rFonts w:hint="default"/>
        </w:rPr>
        <w:t>Net Present Value (NPV) is a key measure for evaluating project profitability. Projects with higher NPV indicate greater expected returns and are usually preferred for investment. In comparing two projects, Project B has a much higher NPV of $1,995.67 million, while Project A's NPV is only $0.57 million, indicating a significant difference in expected profitability【Le, 2021】. Project B's lower initial investment and higher projected cash flows make it a better choice for the company. The expected returns for Project B are substantially higher, reinforcing its favorability for investment.</w:t>
      </w:r>
      <w:r>
        <w:rPr>
          <w:rFonts w:hint="default"/>
        </w:rPr>
        <w:br w:type="textWrapping"/>
      </w:r>
    </w:p>
    <w:p>
      <w:pPr>
        <w:rPr>
          <w:b/>
          <w:i/>
        </w:rPr>
      </w:pPr>
      <w:r>
        <w:rPr>
          <w:b/>
          <w:i/>
        </w:rPr>
        <w:t>Recommendation with Reasons</w:t>
      </w:r>
    </w:p>
    <w:p>
      <w:r>
        <w:t>Based on the observed projects, Project B is feasible for investment by the company. It has been quantified that Project B has a comparatively lesser payback period, and high ARR and NPV. Thus, Project B is expected to be profitable in future for this company.</w:t>
      </w:r>
    </w:p>
    <w:p>
      <w:pPr>
        <w:pStyle w:val="3"/>
      </w:pPr>
      <w:bookmarkStart w:id="27" w:name="_h50k88r2pyvx" w:colFirst="0" w:colLast="0"/>
      <w:bookmarkEnd w:id="27"/>
      <w:bookmarkStart w:id="28" w:name="_Toc162546890"/>
      <w:r>
        <w:t>2. Scope of NPV due to change in Initial Investment and other Cash Flows</w:t>
      </w:r>
      <w:bookmarkEnd w:id="28"/>
    </w:p>
    <w:tbl>
      <w:tblPr>
        <w:tblStyle w:val="20"/>
        <w:tblW w:w="8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020"/>
        <w:gridCol w:w="2280"/>
        <w:gridCol w:w="3210"/>
        <w:gridCol w:w="23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single" w:color="000000" w:sz="6" w:space="0"/>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Year</w:t>
            </w:r>
          </w:p>
        </w:tc>
        <w:tc>
          <w:tcPr>
            <w:tcW w:w="228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Cash Flow - A (£,m)</w:t>
            </w:r>
          </w:p>
        </w:tc>
        <w:tc>
          <w:tcPr>
            <w:tcW w:w="321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Discounting factor @ 0.75%</w:t>
            </w:r>
          </w:p>
        </w:tc>
        <w:tc>
          <w:tcPr>
            <w:tcW w:w="2340" w:type="dxa"/>
            <w:tcBorders>
              <w:top w:val="single" w:color="000000" w:sz="6" w:space="0"/>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rPr>
                <w:b/>
              </w:rPr>
            </w:pPr>
            <w:r>
              <w:rPr>
                <w:b/>
              </w:rPr>
              <w:t>Present Value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-5500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-5500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2250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0.993</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2233.25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2</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1800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0.985</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1773.30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3</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900</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0.978</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880.05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w:t>
            </w:r>
          </w:p>
        </w:tc>
        <w:tc>
          <w:tcPr>
            <w:tcW w:w="228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-486.2</w:t>
            </w:r>
          </w:p>
        </w:tc>
        <w:tc>
          <w:tcPr>
            <w:tcW w:w="321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0.971</w:t>
            </w:r>
          </w:p>
        </w:tc>
        <w:tc>
          <w:tcPr>
            <w:tcW w:w="2340" w:type="dxa"/>
            <w:tcBorders>
              <w:top w:val="nil"/>
              <w:left w:val="nil"/>
              <w:bottom w:val="single" w:color="000000" w:sz="6" w:space="0"/>
              <w:right w:val="single" w:color="000000" w:sz="6" w:space="0"/>
            </w:tcBorders>
            <w:tcMar>
              <w:top w:w="0" w:type="dxa"/>
              <w:left w:w="100" w:type="dxa"/>
              <w:bottom w:w="0" w:type="dxa"/>
              <w:right w:w="100" w:type="dxa"/>
            </w:tcMar>
            <w:vAlign w:val="bottom"/>
          </w:tcPr>
          <w:p>
            <w:pPr>
              <w:spacing w:before="240" w:after="0" w:line="276" w:lineRule="auto"/>
              <w:jc w:val="right"/>
            </w:pPr>
            <w:r>
              <w:t>-471.88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6510" w:type="dxa"/>
            <w:gridSpan w:val="3"/>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center"/>
              <w:rPr>
                <w:b/>
              </w:rPr>
            </w:pPr>
            <w:r>
              <w:rPr>
                <w:b/>
              </w:rPr>
              <w:t>"Net Present Value"</w:t>
            </w:r>
          </w:p>
        </w:tc>
        <w:tc>
          <w:tcPr>
            <w:tcW w:w="2340"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-1085.28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Year</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Cash Flow - B (£,m)</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Discounting factor @ 0.75%</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rPr>
                <w:b/>
              </w:rPr>
            </w:pPr>
            <w:r>
              <w:rPr>
                <w:b/>
              </w:rPr>
              <w:t>Present Value (£,m)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-1100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1350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0.993</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1339.95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2</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900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0.985</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886.65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3</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900</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0.978</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880.05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1020" w:type="dxa"/>
            <w:tcBorders>
              <w:top w:val="nil"/>
              <w:left w:val="single" w:color="000000" w:sz="6" w:space="0"/>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4</w:t>
            </w:r>
          </w:p>
        </w:tc>
        <w:tc>
          <w:tcPr>
            <w:tcW w:w="228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-517</w:t>
            </w:r>
          </w:p>
        </w:tc>
        <w:tc>
          <w:tcPr>
            <w:tcW w:w="321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0.971</w:t>
            </w:r>
          </w:p>
        </w:tc>
        <w:tc>
          <w:tcPr>
            <w:tcW w:w="2340" w:type="dxa"/>
            <w:tcBorders>
              <w:top w:val="nil"/>
              <w:left w:val="nil"/>
              <w:bottom w:val="single" w:color="000000" w:sz="6" w:space="0"/>
              <w:right w:val="single" w:color="000000" w:sz="6" w:space="0"/>
            </w:tcBorders>
            <w:shd w:val="clear" w:color="auto" w:fill="auto"/>
            <w:tcMar>
              <w:top w:w="0" w:type="dxa"/>
              <w:left w:w="100" w:type="dxa"/>
              <w:bottom w:w="0" w:type="dxa"/>
              <w:right w:w="100" w:type="dxa"/>
            </w:tcMar>
            <w:vAlign w:val="bottom"/>
          </w:tcPr>
          <w:p>
            <w:pPr>
              <w:spacing w:before="240" w:after="0" w:line="276" w:lineRule="auto"/>
              <w:jc w:val="right"/>
            </w:pPr>
            <w:r>
              <w:t>-501.78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15" w:hRule="atLeast"/>
          <w:jc w:val="center"/>
        </w:trPr>
        <w:tc>
          <w:tcPr>
            <w:tcW w:w="6510" w:type="dxa"/>
            <w:gridSpan w:val="3"/>
            <w:tcBorders>
              <w:top w:val="nil"/>
              <w:left w:val="single" w:color="000000" w:sz="6" w:space="0"/>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center"/>
              <w:rPr>
                <w:b/>
              </w:rPr>
            </w:pPr>
            <w:r>
              <w:rPr>
                <w:b/>
              </w:rPr>
              <w:t>"Net Present Value"</w:t>
            </w:r>
          </w:p>
        </w:tc>
        <w:tc>
          <w:tcPr>
            <w:tcW w:w="2340" w:type="dxa"/>
            <w:tcBorders>
              <w:top w:val="nil"/>
              <w:left w:val="nil"/>
              <w:bottom w:val="single" w:color="000000" w:sz="6" w:space="0"/>
              <w:right w:val="single" w:color="000000" w:sz="6" w:space="0"/>
            </w:tcBorders>
            <w:shd w:val="clear" w:color="auto" w:fill="C6E0B4"/>
            <w:tcMar>
              <w:top w:w="0" w:type="dxa"/>
              <w:left w:w="100" w:type="dxa"/>
              <w:bottom w:w="0" w:type="dxa"/>
              <w:right w:w="100" w:type="dxa"/>
            </w:tcMar>
            <w:vAlign w:val="bottom"/>
          </w:tcPr>
          <w:p>
            <w:pPr>
              <w:spacing w:before="240" w:after="0" w:line="276" w:lineRule="auto"/>
              <w:jc w:val="right"/>
              <w:rPr>
                <w:b/>
              </w:rPr>
            </w:pPr>
            <w:r>
              <w:rPr>
                <w:b/>
              </w:rPr>
              <w:t>1504.87</w:t>
            </w:r>
          </w:p>
        </w:tc>
      </w:tr>
    </w:tbl>
    <w:p>
      <w:pPr>
        <w:jc w:val="center"/>
        <w:rPr>
          <w:b/>
        </w:rPr>
      </w:pPr>
      <w:r>
        <w:rPr>
          <w:b/>
        </w:rPr>
        <w:t>Table 9: Revised NPV</w:t>
      </w:r>
    </w:p>
    <w:p>
      <w:pPr>
        <w:jc w:val="center"/>
      </w:pPr>
      <w:r>
        <w:t>(Source: Self-developed)</w:t>
      </w:r>
    </w:p>
    <w:p>
      <w:pPr>
        <w:rPr>
          <w:b/>
          <w:i/>
        </w:rPr>
      </w:pPr>
      <w:r>
        <w:rPr>
          <w:b/>
          <w:i/>
        </w:rPr>
        <w:t>Comment</w:t>
      </w:r>
    </w:p>
    <w:p>
      <w:r>
        <w:t xml:space="preserve">In case of </w:t>
      </w:r>
      <w:r>
        <w:rPr>
          <w:rFonts w:hint="default"/>
        </w:rPr>
        <w:t>Revised cash flows for Project A and Project B affected their Net Present Value (NPV). With a 10% escalation in initial investment and a 10% reduction in other cash flows, Project A's initial investment increased from $5,000 million to $5,500 million, resulting in a negative NPV, indicating it is not worth investing in. Project B's initial investment rose from $1,000 million to $1,100 million, with only a minor reduction in other cash flows. This led to an NPV of $1,504.87 million, suggesting Project B is profitable for the company.</w:t>
      </w:r>
    </w:p>
    <w:p>
      <w:pPr>
        <w:pStyle w:val="3"/>
      </w:pPr>
      <w:bookmarkStart w:id="29" w:name="_eh84yxaxbg31" w:colFirst="0" w:colLast="0"/>
      <w:bookmarkEnd w:id="29"/>
      <w:bookmarkStart w:id="30" w:name="_Toc162546891"/>
      <w:r>
        <w:t>3. Advantages and Disadvantages</w:t>
      </w:r>
      <w:bookmarkEnd w:id="30"/>
    </w:p>
    <w:p>
      <w:pPr>
        <w:pStyle w:val="3"/>
        <w:rPr>
          <w:rFonts w:hint="default" w:ascii="Sitka Text" w:hAnsi="Sitka Text" w:cs="Sitka Text"/>
          <w:b/>
          <w:bCs w:val="0"/>
          <w:i/>
          <w:sz w:val="21"/>
          <w:szCs w:val="21"/>
        </w:rPr>
      </w:pPr>
      <w:bookmarkStart w:id="31" w:name="_w1alvd2u01v9" w:colFirst="0" w:colLast="0"/>
      <w:bookmarkEnd w:id="31"/>
      <w:bookmarkStart w:id="32" w:name="_Toc162546892"/>
      <w:r>
        <w:rPr>
          <w:rFonts w:hint="default" w:ascii="Sitka Text" w:hAnsi="Sitka Text" w:cs="Sitka Text"/>
          <w:b/>
          <w:bCs w:val="0"/>
          <w:i/>
          <w:sz w:val="21"/>
          <w:szCs w:val="21"/>
        </w:rPr>
        <w:t>Payback Period (PBP)</w:t>
      </w:r>
    </w:p>
    <w:p>
      <w:pPr>
        <w:pStyle w:val="3"/>
        <w:rPr>
          <w:rFonts w:hint="default" w:ascii="Sitka Text" w:hAnsi="Sitka Text" w:cs="Sitka Text"/>
          <w:b w:val="0"/>
          <w:bCs/>
          <w:i/>
          <w:sz w:val="21"/>
          <w:szCs w:val="21"/>
        </w:rPr>
      </w:pPr>
      <w:r>
        <w:rPr>
          <w:rFonts w:hint="default" w:ascii="Sitka Text" w:hAnsi="Sitka Text" w:cs="Sitka Text"/>
          <w:b/>
          <w:bCs w:val="0"/>
          <w:i/>
          <w:sz w:val="21"/>
          <w:szCs w:val="21"/>
        </w:rPr>
        <w:t>Advantage</w:t>
      </w:r>
      <w:r>
        <w:rPr>
          <w:rFonts w:hint="default" w:ascii="Sitka Text" w:hAnsi="Sitka Text" w:cs="Sitka Text"/>
          <w:b w:val="0"/>
          <w:bCs/>
          <w:i/>
          <w:sz w:val="21"/>
          <w:szCs w:val="21"/>
        </w:rPr>
        <w:t>: Simple for non-financial experts. It shows how long it takes to recover the invested capital in a project, helping identify risk in mutually exclusive projects【Di Foggia, 2021】.</w:t>
      </w:r>
    </w:p>
    <w:p>
      <w:pPr>
        <w:pStyle w:val="3"/>
        <w:rPr>
          <w:rFonts w:hint="default" w:ascii="Sitka Text" w:hAnsi="Sitka Text" w:cs="Sitka Text"/>
          <w:b w:val="0"/>
          <w:bCs/>
          <w:i/>
          <w:sz w:val="21"/>
          <w:szCs w:val="21"/>
        </w:rPr>
      </w:pPr>
      <w:r>
        <w:rPr>
          <w:rFonts w:hint="default" w:ascii="Sitka Text" w:hAnsi="Sitka Text" w:cs="Sitka Text"/>
          <w:b/>
          <w:bCs w:val="0"/>
          <w:i/>
          <w:sz w:val="21"/>
          <w:szCs w:val="21"/>
        </w:rPr>
        <w:t>Disadvantages</w:t>
      </w:r>
      <w:r>
        <w:rPr>
          <w:rFonts w:hint="default" w:ascii="Sitka Text" w:hAnsi="Sitka Text" w:cs="Sitka Text"/>
          <w:b w:val="0"/>
          <w:bCs/>
          <w:i/>
          <w:sz w:val="21"/>
          <w:szCs w:val="21"/>
        </w:rPr>
        <w:t>: Ignores the time value of money and cash flows beyond the payback period. Does not consider qualitative factors affecting cash flows.</w:t>
      </w:r>
    </w:p>
    <w:p>
      <w:pPr>
        <w:pStyle w:val="3"/>
        <w:rPr>
          <w:rFonts w:hint="default" w:ascii="Sitka Text" w:hAnsi="Sitka Text" w:cs="Sitka Text"/>
          <w:b w:val="0"/>
          <w:bCs/>
          <w:i/>
          <w:sz w:val="21"/>
          <w:szCs w:val="21"/>
        </w:rPr>
      </w:pPr>
      <w:r>
        <w:rPr>
          <w:rFonts w:hint="default" w:ascii="Sitka Text" w:hAnsi="Sitka Text" w:cs="Sitka Text"/>
          <w:b w:val="0"/>
          <w:bCs/>
          <w:i/>
          <w:sz w:val="21"/>
          <w:szCs w:val="21"/>
        </w:rPr>
        <w:t>Accounting Rate of Return (ARR)</w:t>
      </w:r>
    </w:p>
    <w:p>
      <w:pPr>
        <w:pStyle w:val="3"/>
        <w:rPr>
          <w:rFonts w:hint="default" w:ascii="Sitka Text" w:hAnsi="Sitka Text" w:cs="Sitka Text"/>
          <w:b w:val="0"/>
          <w:bCs/>
          <w:i/>
          <w:sz w:val="21"/>
          <w:szCs w:val="21"/>
        </w:rPr>
      </w:pPr>
      <w:r>
        <w:rPr>
          <w:rFonts w:hint="default" w:ascii="Sitka Text" w:hAnsi="Sitka Text" w:cs="Sitka Text"/>
          <w:b/>
          <w:bCs w:val="0"/>
          <w:i/>
          <w:sz w:val="21"/>
          <w:szCs w:val="21"/>
        </w:rPr>
        <w:t>Advantage</w:t>
      </w:r>
      <w:r>
        <w:rPr>
          <w:rFonts w:hint="default" w:ascii="Sitka Text" w:hAnsi="Sitka Text" w:cs="Sitka Text"/>
          <w:b w:val="0"/>
          <w:bCs/>
          <w:i/>
          <w:sz w:val="21"/>
          <w:szCs w:val="21"/>
        </w:rPr>
        <w:t>: Easy to execute. It directly compares average income against average investment【Sim et al., 2020】.</w:t>
      </w:r>
    </w:p>
    <w:p>
      <w:pPr>
        <w:pStyle w:val="3"/>
        <w:rPr>
          <w:rFonts w:hint="default" w:ascii="Sitka Text" w:hAnsi="Sitka Text" w:cs="Sitka Text"/>
          <w:b w:val="0"/>
          <w:bCs/>
          <w:i/>
          <w:sz w:val="21"/>
          <w:szCs w:val="21"/>
        </w:rPr>
      </w:pPr>
      <w:r>
        <w:rPr>
          <w:rFonts w:hint="default" w:ascii="Sitka Text" w:hAnsi="Sitka Text" w:cs="Sitka Text"/>
          <w:b/>
          <w:bCs w:val="0"/>
          <w:i/>
          <w:sz w:val="21"/>
          <w:szCs w:val="21"/>
        </w:rPr>
        <w:t>Disadvantages</w:t>
      </w:r>
      <w:r>
        <w:rPr>
          <w:rFonts w:hint="default" w:ascii="Sitka Text" w:hAnsi="Sitka Text" w:cs="Sitka Text"/>
          <w:b w:val="0"/>
          <w:bCs/>
          <w:i/>
          <w:sz w:val="21"/>
          <w:szCs w:val="21"/>
        </w:rPr>
        <w:t>: Does not consider the time value of money. Relies on accrual-based earnings and isn't suitable for comparing projects of different sizes.</w:t>
      </w:r>
    </w:p>
    <w:p>
      <w:pPr>
        <w:pStyle w:val="3"/>
        <w:rPr>
          <w:rFonts w:hint="default" w:ascii="Sitka Text" w:hAnsi="Sitka Text" w:cs="Sitka Text"/>
          <w:b/>
          <w:bCs w:val="0"/>
          <w:i/>
          <w:sz w:val="21"/>
          <w:szCs w:val="21"/>
        </w:rPr>
      </w:pPr>
      <w:r>
        <w:rPr>
          <w:rFonts w:hint="default" w:ascii="Sitka Text" w:hAnsi="Sitka Text" w:cs="Sitka Text"/>
          <w:b/>
          <w:bCs w:val="0"/>
          <w:i/>
          <w:sz w:val="21"/>
          <w:szCs w:val="21"/>
        </w:rPr>
        <w:t>Net Present Value (NPV)</w:t>
      </w:r>
    </w:p>
    <w:p>
      <w:pPr>
        <w:pStyle w:val="3"/>
        <w:rPr>
          <w:rFonts w:hint="default" w:ascii="Sitka Text" w:hAnsi="Sitka Text" w:cs="Sitka Text"/>
          <w:b w:val="0"/>
          <w:bCs/>
          <w:i/>
          <w:sz w:val="21"/>
          <w:szCs w:val="21"/>
        </w:rPr>
      </w:pPr>
      <w:r>
        <w:rPr>
          <w:rFonts w:hint="default" w:ascii="Sitka Text" w:hAnsi="Sitka Text" w:cs="Sitka Text"/>
          <w:b/>
          <w:bCs w:val="0"/>
          <w:i/>
          <w:sz w:val="21"/>
          <w:szCs w:val="21"/>
        </w:rPr>
        <w:t>Advantage</w:t>
      </w:r>
      <w:r>
        <w:rPr>
          <w:rFonts w:hint="default" w:ascii="Sitka Text" w:hAnsi="Sitka Text" w:cs="Sitka Text"/>
          <w:b w:val="0"/>
          <w:bCs/>
          <w:i/>
          <w:sz w:val="21"/>
          <w:szCs w:val="21"/>
        </w:rPr>
        <w:t>: Accounts for the time value of money by discounting cash flows. Considers all cash flows for evaluating a project's feasibility【Lu and Yin, 2021】.</w:t>
      </w:r>
    </w:p>
    <w:p>
      <w:pPr>
        <w:pStyle w:val="3"/>
        <w:rPr>
          <w:rFonts w:hint="default" w:ascii="Sitka Text" w:hAnsi="Sitka Text" w:cs="Sitka Text"/>
          <w:b w:val="0"/>
          <w:bCs/>
          <w:i/>
          <w:sz w:val="21"/>
          <w:szCs w:val="21"/>
        </w:rPr>
      </w:pPr>
      <w:r>
        <w:rPr>
          <w:rFonts w:hint="default" w:ascii="Sitka Text" w:hAnsi="Sitka Text" w:cs="Sitka Text"/>
          <w:b/>
          <w:bCs w:val="0"/>
          <w:i/>
          <w:sz w:val="21"/>
          <w:szCs w:val="21"/>
        </w:rPr>
        <w:t>Disadvantages</w:t>
      </w:r>
      <w:r>
        <w:rPr>
          <w:rFonts w:hint="default" w:ascii="Sitka Text" w:hAnsi="Sitka Text" w:cs="Sitka Text"/>
          <w:b w:val="0"/>
          <w:bCs/>
          <w:i/>
          <w:sz w:val="21"/>
          <w:szCs w:val="21"/>
        </w:rPr>
        <w:t>: Relies on uncertain cost-of-capital estimates. Projects with higher NPVs are preferred, making it hard to compare different-sized projects.</w:t>
      </w:r>
    </w:p>
    <w:p>
      <w:pPr>
        <w:pStyle w:val="3"/>
        <w:rPr>
          <w:rFonts w:hint="default"/>
          <w:b/>
          <w:i/>
        </w:rPr>
      </w:pPr>
    </w:p>
    <w:p>
      <w:pPr>
        <w:pStyle w:val="3"/>
      </w:pPr>
      <w:r>
        <w:t>4. Non-financial factors to be considered</w:t>
      </w:r>
      <w:bookmarkEnd w:id="32"/>
    </w:p>
    <w:p>
      <w:pPr>
        <w:rPr>
          <w:rFonts w:hint="default"/>
        </w:rPr>
      </w:pPr>
      <w:r>
        <w:rPr>
          <w:rFonts w:hint="default"/>
          <w:b/>
          <w:bCs/>
        </w:rPr>
        <w:t>Managerial Roles</w:t>
      </w:r>
      <w:r>
        <w:rPr>
          <w:rFonts w:hint="default"/>
        </w:rPr>
        <w:t>:</w:t>
      </w:r>
    </w:p>
    <w:p>
      <w:pPr>
        <w:rPr>
          <w:rFonts w:hint="default"/>
        </w:rPr>
      </w:pPr>
      <w:r>
        <w:rPr>
          <w:rFonts w:hint="default"/>
        </w:rPr>
        <w:t>Managers are crucial for project success. They must clearly understand project objectives and assign the right people to the right roles. Proper management ensures efficient collaboration, reduces waste, and boosts profitability【Orieno et al., 2024】.</w:t>
      </w:r>
    </w:p>
    <w:p>
      <w:pPr>
        <w:rPr>
          <w:rFonts w:hint="default"/>
          <w:b/>
          <w:bCs/>
        </w:rPr>
      </w:pPr>
      <w:r>
        <w:rPr>
          <w:rFonts w:hint="default"/>
          <w:b/>
          <w:bCs/>
        </w:rPr>
        <w:t>Technical Resources:</w:t>
      </w:r>
    </w:p>
    <w:p>
      <w:pPr>
        <w:rPr>
          <w:rFonts w:hint="default"/>
        </w:rPr>
      </w:pPr>
      <w:r>
        <w:rPr>
          <w:rFonts w:hint="default"/>
        </w:rPr>
        <w:t>Companies need to evaluate their resources to meet project requirements. Efficient resource allocation minimizes costs and maximizes profitability. Proper assessment of financial and non-financial resources helps determine the feasibility of a project【Haakman et al., 2021】.</w:t>
      </w:r>
    </w:p>
    <w:p>
      <w:pPr>
        <w:rPr>
          <w:rFonts w:hint="default"/>
          <w:b/>
          <w:bCs/>
        </w:rPr>
      </w:pPr>
      <w:r>
        <w:rPr>
          <w:rFonts w:hint="default"/>
          <w:b/>
          <w:bCs/>
        </w:rPr>
        <w:t>Social Acceptance:</w:t>
      </w:r>
    </w:p>
    <w:p>
      <w:r>
        <w:rPr>
          <w:rFonts w:hint="default"/>
        </w:rPr>
        <w:t>The success of an investment project depends on marketability and societal acceptance. Understanding cultural factors and the target market helps gauge potential demand and profitability. It’s vital to consider the surrounding market and marketing expenses against expected cash flows【Liu, Alli and Yusoff, 2024】.</w:t>
      </w:r>
      <w:r>
        <w:br w:type="page"/>
      </w:r>
    </w:p>
    <w:p>
      <w:pPr>
        <w:pStyle w:val="2"/>
      </w:pPr>
      <w:bookmarkStart w:id="33" w:name="_1dr0kg4rcyhf" w:colFirst="0" w:colLast="0"/>
      <w:bookmarkEnd w:id="33"/>
      <w:bookmarkStart w:id="34" w:name="_Toc162546893"/>
      <w:r>
        <w:t>Reference List</w:t>
      </w:r>
      <w:bookmarkEnd w:id="34"/>
    </w:p>
    <w:p>
      <w:pPr>
        <w:pStyle w:val="2"/>
      </w:pPr>
      <w:r>
        <w:rPr>
          <w:rFonts w:hint="default"/>
          <w:lang w:val="en-US"/>
        </w:rPr>
        <w:t>(</w:t>
      </w:r>
      <w:r>
        <w:t>CRN, (2021)</w:t>
      </w:r>
      <w:r>
        <w:rPr>
          <w:rFonts w:hint="default"/>
          <w:lang w:val="en-US"/>
        </w:rPr>
        <w:t>)</w:t>
      </w:r>
      <w:r>
        <w:t xml:space="preserve">. </w:t>
      </w:r>
      <w:r>
        <w:rPr>
          <w:i/>
        </w:rPr>
        <w:t>The 10 Biggest Dell Technologies News Stories Of 2021</w:t>
      </w:r>
      <w:r>
        <w:t>. Available at: https://www.crn.com/slide-shows/data-center/the-10-biggest-dell-technologies-news-stories-of-2021?page=2 (Accessed: 15th March 2024)</w:t>
      </w:r>
    </w:p>
    <w:p>
      <w:r>
        <w:rPr>
          <w:rFonts w:hint="default"/>
          <w:lang w:val="en-US"/>
        </w:rPr>
        <w:t>(</w:t>
      </w:r>
      <w:r>
        <w:t>CRN, (2022)</w:t>
      </w:r>
      <w:r>
        <w:rPr>
          <w:rFonts w:hint="default"/>
          <w:lang w:val="en-US"/>
        </w:rPr>
        <w:t>)</w:t>
      </w:r>
      <w:r>
        <w:t xml:space="preserve">. </w:t>
      </w:r>
      <w:r>
        <w:rPr>
          <w:i/>
        </w:rPr>
        <w:t>Dell Technologies World 2022: 5 Biggest News Announcements.</w:t>
      </w:r>
      <w:r>
        <w:t xml:space="preserve"> Available at: https://www.crn.com/slide-shows/data-center/dell-technologies-world-2022-5-biggest-news-announcements (Accessed: 15th March 2024)</w:t>
      </w:r>
    </w:p>
    <w:p>
      <w:r>
        <w:rPr>
          <w:rFonts w:hint="default"/>
          <w:lang w:val="en-US"/>
        </w:rPr>
        <w:t>(</w:t>
      </w:r>
      <w:r>
        <w:t>CRN, (2023)</w:t>
      </w:r>
      <w:r>
        <w:rPr>
          <w:rFonts w:hint="default"/>
          <w:lang w:val="en-US"/>
        </w:rPr>
        <w:t>)</w:t>
      </w:r>
      <w:r>
        <w:t xml:space="preserve">. </w:t>
      </w:r>
      <w:r>
        <w:rPr>
          <w:i/>
        </w:rPr>
        <w:t xml:space="preserve">Dell’s Denise Millard And Revamped Channel Leadership: 5 Things To Know. </w:t>
      </w:r>
      <w:r>
        <w:t>Available at: https://www.crn.com/news/data-center/five-things-to-know-about-dell-s-latest-channel-revamp?page=2 (Accessed: 15th March 2024)</w:t>
      </w:r>
    </w:p>
    <w:p>
      <w:r>
        <w:rPr>
          <w:rFonts w:hint="default"/>
          <w:lang w:val="en-US"/>
        </w:rPr>
        <w:t>(</w:t>
      </w:r>
      <w:r>
        <w:t>CRN, (2024)</w:t>
      </w:r>
      <w:r>
        <w:rPr>
          <w:rFonts w:hint="default"/>
          <w:lang w:val="en-US"/>
        </w:rPr>
        <w:t>)</w:t>
      </w:r>
      <w:r>
        <w:t xml:space="preserve">. </w:t>
      </w:r>
      <w:r>
        <w:rPr>
          <w:i/>
        </w:rPr>
        <w:t>The 10 Biggest Dell Technologies News Stories In 2019</w:t>
      </w:r>
      <w:r>
        <w:t>. Available at: https://www.crn.com/slide-shows/data-center/the-10-biggest-dell-technologies-news-stories-in-2019 (Accessed: 15th March 2024)</w:t>
      </w:r>
    </w:p>
    <w:p>
      <w:r>
        <w:rPr>
          <w:rFonts w:hint="default"/>
          <w:lang w:val="en-US"/>
        </w:rPr>
        <w:t>(</w:t>
      </w:r>
      <w:r>
        <w:t>Dell</w:t>
      </w:r>
      <w:r>
        <w:rPr>
          <w:rFonts w:hint="default"/>
          <w:lang w:val="en-US"/>
        </w:rPr>
        <w:t xml:space="preserve"> </w:t>
      </w:r>
      <w:r>
        <w:t>Technologies,(2024)</w:t>
      </w:r>
      <w:r>
        <w:rPr>
          <w:rFonts w:hint="default"/>
          <w:lang w:val="en-US"/>
        </w:rPr>
        <w:t>)</w:t>
      </w:r>
      <w:r>
        <w:t xml:space="preserve">. </w:t>
      </w:r>
      <w:r>
        <w:rPr>
          <w:i/>
        </w:rPr>
        <w:t>About the Company.</w:t>
      </w:r>
      <w:r>
        <w:t xml:space="preserve"> Available at: https://www.delltechnologies.com/asset/en-sg/solutions/business-solutions/briefs-summaries/key_facts_about_dell_technologies.pdf (Accessed: 15th March 2024)</w:t>
      </w:r>
    </w:p>
    <w:p>
      <w:r>
        <w:rPr>
          <w:rFonts w:hint="default"/>
          <w:lang w:val="en-US"/>
        </w:rPr>
        <w:t>(</w:t>
      </w:r>
      <w:r>
        <w:t>Dell,(2024)</w:t>
      </w:r>
      <w:r>
        <w:rPr>
          <w:rFonts w:hint="default"/>
          <w:lang w:val="en-US"/>
        </w:rPr>
        <w:t>)</w:t>
      </w:r>
      <w:r>
        <w:t xml:space="preserve">. </w:t>
      </w:r>
      <w:r>
        <w:rPr>
          <w:i/>
        </w:rPr>
        <w:t>Business Description.</w:t>
      </w:r>
      <w:r>
        <w:t xml:space="preserve"> Available at: https://i.dell.com/sites/csdocuments/Corporate_financials_Documents/en/us/FY09-10K-Sec2b-Description.pdf (Accessed: 15th March 2024)</w:t>
      </w:r>
    </w:p>
    <w:p>
      <w:r>
        <w:rPr>
          <w:rFonts w:hint="default"/>
          <w:lang w:val="en-US"/>
        </w:rPr>
        <w:t>(</w:t>
      </w:r>
      <w:r>
        <w:t>Dell, (2024)</w:t>
      </w:r>
      <w:r>
        <w:rPr>
          <w:rFonts w:hint="default"/>
          <w:lang w:val="en-US"/>
        </w:rPr>
        <w:t>)</w:t>
      </w:r>
      <w:r>
        <w:t xml:space="preserve">. </w:t>
      </w:r>
      <w:r>
        <w:rPr>
          <w:i/>
        </w:rPr>
        <w:t>Michael Dell.</w:t>
      </w:r>
      <w:r>
        <w:t xml:space="preserve"> Available at: https://www.dell.com/en-us/dt/corporate/about-us/leadership/michael-dell.htm#:~:text=Michael%20Dell%20is%20chairman%20and,protect%20their%20most%20important%20information. (Accessed: 15th March 2024)</w:t>
      </w:r>
    </w:p>
    <w:p>
      <w:r>
        <w:rPr>
          <w:rFonts w:hint="default"/>
          <w:lang w:val="en-US"/>
        </w:rPr>
        <w:t>(</w:t>
      </w:r>
      <w:r>
        <w:t>Forbes, (2020)</w:t>
      </w:r>
      <w:r>
        <w:rPr>
          <w:rFonts w:hint="default"/>
          <w:lang w:val="en-US"/>
        </w:rPr>
        <w:t>)</w:t>
      </w:r>
      <w:r>
        <w:t xml:space="preserve">. </w:t>
      </w:r>
      <w:r>
        <w:rPr>
          <w:i/>
        </w:rPr>
        <w:t xml:space="preserve">Project APEX Pushes Dell’s IT Services To New Heights At Dell Tech World 2020. </w:t>
      </w:r>
      <w:r>
        <w:t>Available at: https://www.forbes.com/sites/patrickmoorhead/2020/10/28/project-apex-pushes-dells-it-services-to-new-heights-at-dell-tech-world-2020/?sh=682886a64187 (Accessed: 15th March 2024)</w:t>
      </w:r>
    </w:p>
    <w:p>
      <w:r>
        <w:rPr>
          <w:rFonts w:hint="default"/>
          <w:lang w:val="en-US"/>
        </w:rPr>
        <w:t>(</w:t>
      </w:r>
      <w:r>
        <w:t>Global Data, (2024)</w:t>
      </w:r>
      <w:r>
        <w:rPr>
          <w:rFonts w:hint="default"/>
          <w:lang w:val="en-US"/>
        </w:rPr>
        <w:t>)</w:t>
      </w:r>
      <w:r>
        <w:t xml:space="preserve">. </w:t>
      </w:r>
      <w:r>
        <w:rPr>
          <w:i/>
        </w:rPr>
        <w:t>Dell Technologies Inc: Competitors.</w:t>
      </w:r>
      <w:r>
        <w:t xml:space="preserve"> Available at: https://www.globaldata.com/company-profile/dell-technologies-inc/competitors/ (Accessed: 15th March 2024)</w:t>
      </w:r>
    </w:p>
    <w:p>
      <w:r>
        <w:rPr>
          <w:rFonts w:hint="default"/>
          <w:lang w:val="en-US"/>
        </w:rPr>
        <w:t>(</w:t>
      </w:r>
      <w:r>
        <w:t>Statista, (2023)</w:t>
      </w:r>
      <w:r>
        <w:rPr>
          <w:rFonts w:hint="default"/>
          <w:lang w:val="en-US"/>
        </w:rPr>
        <w:t>)</w:t>
      </w:r>
      <w:r>
        <w:t xml:space="preserve">. </w:t>
      </w:r>
      <w:r>
        <w:rPr>
          <w:i/>
        </w:rPr>
        <w:t>Dell Technologies number of employees worldwide from 1996 to 2023.</w:t>
      </w:r>
      <w:r>
        <w:t xml:space="preserve"> Available at: https://www.statista.com/statistics/264917/number-of-employees-at-dell-since-1996/ (Accessed: 15th March 2024)</w:t>
      </w:r>
    </w:p>
    <w:p>
      <w:r>
        <w:rPr>
          <w:rFonts w:hint="default"/>
          <w:lang w:val="en-US"/>
        </w:rPr>
        <w:t>(</w:t>
      </w:r>
      <w:r>
        <w:t>Statista, (2024)</w:t>
      </w:r>
      <w:r>
        <w:rPr>
          <w:rFonts w:hint="default"/>
          <w:lang w:val="en-US"/>
        </w:rPr>
        <w:t>)</w:t>
      </w:r>
      <w:r>
        <w:t xml:space="preserve">. </w:t>
      </w:r>
      <w:r>
        <w:rPr>
          <w:i/>
        </w:rPr>
        <w:t>Dell Technologies - statistics &amp; facts.</w:t>
      </w:r>
      <w:r>
        <w:t xml:space="preserve"> Available at: https://www.statista.com/topics/2285/dell/#topicOverview (Accessed: 15th March 2024)</w:t>
      </w:r>
    </w:p>
    <w:p>
      <w:r>
        <w:rPr>
          <w:rFonts w:hint="default"/>
          <w:lang w:val="en-US"/>
        </w:rPr>
        <w:t>(</w:t>
      </w:r>
      <w:r>
        <w:t>Afiezan, A., Wijaya, G. and Claudia, C., (2020)</w:t>
      </w:r>
      <w:r>
        <w:rPr>
          <w:rFonts w:hint="default"/>
          <w:lang w:val="en-US"/>
        </w:rPr>
        <w:t>)</w:t>
      </w:r>
      <w:r>
        <w:t xml:space="preserve">. The effect of free cash flow, company size, profitability and liquidity on debt policy for manufacturing companies listed on IDX in 2016-2019 periods. </w:t>
      </w:r>
      <w:r>
        <w:rPr>
          <w:i/>
        </w:rPr>
        <w:t xml:space="preserve">Budapest International Research and Critics Institute-Journal (BIRCI-Journal) </w:t>
      </w:r>
      <w:r>
        <w:t>Vol, 3(4), pp.4005-4018. Available at: https://doi.org/10.33258/birci.v3i4.1502</w:t>
      </w:r>
    </w:p>
    <w:p>
      <w:r>
        <w:rPr>
          <w:rFonts w:hint="default"/>
          <w:lang w:val="en-US"/>
        </w:rPr>
        <w:t>(</w:t>
      </w:r>
      <w:r>
        <w:t>Al-Kahtani, S.M.A., (2023)</w:t>
      </w:r>
      <w:r>
        <w:rPr>
          <w:rFonts w:hint="default"/>
          <w:lang w:val="en-US"/>
        </w:rPr>
        <w:t>)</w:t>
      </w:r>
      <w:r>
        <w:t xml:space="preserve">. Financial analysis and a course in reducing financial crises in medium industrial companies in the Republic of Yemen. </w:t>
      </w:r>
      <w:r>
        <w:rPr>
          <w:i/>
        </w:rPr>
        <w:t>International Journal of Science and Research Archive</w:t>
      </w:r>
      <w:r>
        <w:t>, 8(1), pp.236-248. Available at: https://doi.org/10.30574/ijsra.2023.8.1.0018</w:t>
      </w:r>
    </w:p>
    <w:p>
      <w:r>
        <w:rPr>
          <w:rFonts w:hint="default"/>
          <w:lang w:val="en-US"/>
        </w:rPr>
        <w:t>(</w:t>
      </w:r>
      <w:r>
        <w:t>Budhathoki, P.B. and Rai, C.K., (2020</w:t>
      </w:r>
      <w:r>
        <w:rPr>
          <w:rFonts w:hint="default"/>
          <w:lang w:val="en-US"/>
        </w:rPr>
        <w:t>)</w:t>
      </w:r>
      <w:r>
        <w:t xml:space="preserve">). The impact of the debt ratio, total assets, and earning growth rate on WACC: Evidence from Nepalese Commercial Banks. </w:t>
      </w:r>
      <w:r>
        <w:rPr>
          <w:i/>
        </w:rPr>
        <w:t>Asian Journal of Economics, Business and Accounting,</w:t>
      </w:r>
      <w:r>
        <w:t xml:space="preserve"> 15(2), pp.16-23. Available at:  10.9734/AJEBA/2020/v15i230210</w:t>
      </w:r>
    </w:p>
    <w:p>
      <w:r>
        <w:rPr>
          <w:rFonts w:hint="default"/>
          <w:lang w:val="en-US"/>
        </w:rPr>
        <w:t>(</w:t>
      </w:r>
      <w:r>
        <w:t>Choiriyah, C., Fatimah, F., Agustina, S. and Ulfa, U., (2020</w:t>
      </w:r>
      <w:r>
        <w:rPr>
          <w:rFonts w:hint="default"/>
          <w:lang w:val="en-US"/>
        </w:rPr>
        <w:t>)</w:t>
      </w:r>
      <w:r>
        <w:t xml:space="preserve">). The effect of return on assets, return on equity, net profit margin, earning per share, and operating profit margin on stock prices of banking companies in Indonesia Stock Exchange. </w:t>
      </w:r>
      <w:r>
        <w:rPr>
          <w:i/>
        </w:rPr>
        <w:t>International Journal of Finance Research,</w:t>
      </w:r>
      <w:r>
        <w:t xml:space="preserve"> 1(2), pp.103-123. Available at: https://doi.org/10.47747/ijfr.v1i2.280.</w:t>
      </w:r>
    </w:p>
    <w:p>
      <w:r>
        <w:rPr>
          <w:rFonts w:hint="default"/>
          <w:lang w:val="en-US"/>
        </w:rPr>
        <w:t>(</w:t>
      </w:r>
      <w:r>
        <w:t>Dell Technologies, (2024</w:t>
      </w:r>
      <w:r>
        <w:rPr>
          <w:rFonts w:hint="default"/>
          <w:lang w:val="en-US"/>
        </w:rPr>
        <w:t>)</w:t>
      </w:r>
      <w:r>
        <w:t xml:space="preserve">). </w:t>
      </w:r>
      <w:r>
        <w:rPr>
          <w:i/>
        </w:rPr>
        <w:t>Dell Technologies Annual Report</w:t>
      </w:r>
      <w:r>
        <w:t>. Available at: https://investors.delltechnologies.com/static-files/d6e82f58-d417-422f-b2f3-4d08d498abd4 (Accessed: 15th March 2024)</w:t>
      </w:r>
    </w:p>
    <w:p>
      <w:r>
        <w:rPr>
          <w:rFonts w:hint="default"/>
          <w:lang w:val="en-US"/>
        </w:rPr>
        <w:t>(</w:t>
      </w:r>
      <w:r>
        <w:t>Dirman, A., (2020)</w:t>
      </w:r>
      <w:r>
        <w:rPr>
          <w:rFonts w:hint="default"/>
          <w:lang w:val="en-US"/>
        </w:rPr>
        <w:t>)</w:t>
      </w:r>
      <w:r>
        <w:t xml:space="preserve">. Financial distress: the impacts of profitability, liquidity, leverage, firm size, and free cash flow. </w:t>
      </w:r>
      <w:r>
        <w:rPr>
          <w:i/>
        </w:rPr>
        <w:t>International Journal of Business, Economics and Law,</w:t>
      </w:r>
      <w:r>
        <w:t xml:space="preserve"> 22(1), pp.17-25. Available at: https://www.ijbel.com/wp-content/uploads/2020/08/IJBEL22_205.pdf</w:t>
      </w:r>
    </w:p>
    <w:p>
      <w:r>
        <w:rPr>
          <w:rFonts w:hint="default"/>
          <w:lang w:val="en-US"/>
        </w:rPr>
        <w:t>(</w:t>
      </w:r>
      <w:r>
        <w:t>Godfrey, S.S., Nordblom, T., Ip, R.H.L., Robertson, S., Hutchings, T. and Behrendt, K., (2021)</w:t>
      </w:r>
      <w:r>
        <w:rPr>
          <w:rFonts w:hint="default"/>
          <w:lang w:val="en-US"/>
        </w:rPr>
        <w:t>)</w:t>
      </w:r>
      <w:r>
        <w:t xml:space="preserve">. Drought Shocks and Gearing Impacts on the Profitability of Sheep Farming. </w:t>
      </w:r>
      <w:r>
        <w:rPr>
          <w:i/>
        </w:rPr>
        <w:t>Agriculture 2021</w:t>
      </w:r>
      <w:r>
        <w:t>, 11, 366. Available at:  https://doi.org/10.3390/agriculture11040366</w:t>
      </w:r>
    </w:p>
    <w:p>
      <w:r>
        <w:rPr>
          <w:rFonts w:hint="default"/>
          <w:lang w:val="en-US"/>
        </w:rPr>
        <w:t>(</w:t>
      </w:r>
      <w:r>
        <w:t>HP, (2024)</w:t>
      </w:r>
      <w:r>
        <w:rPr>
          <w:rFonts w:hint="default"/>
          <w:lang w:val="en-US"/>
        </w:rPr>
        <w:t>)</w:t>
      </w:r>
      <w:r>
        <w:t xml:space="preserve">. </w:t>
      </w:r>
      <w:r>
        <w:rPr>
          <w:i/>
        </w:rPr>
        <w:t>Annual reports of HP 2023</w:t>
      </w:r>
      <w:r>
        <w:t>. Available at: https://s2.q4cdn.com/602190090/files/doc_financials/2023/ar/combined-2023-annual-report-and-2024-proxy.pdf (Accessed: 15th March 2024)</w:t>
      </w:r>
    </w:p>
    <w:p>
      <w:r>
        <w:rPr>
          <w:rFonts w:hint="default"/>
          <w:lang w:val="en-US"/>
        </w:rPr>
        <w:t>(</w:t>
      </w:r>
      <w:r>
        <w:t>Liu, W., Yan, X., Li, X. and Wei, W., (2020)</w:t>
      </w:r>
      <w:r>
        <w:rPr>
          <w:rFonts w:hint="default"/>
          <w:lang w:val="en-US"/>
        </w:rPr>
        <w:t>)</w:t>
      </w:r>
      <w:r>
        <w:t xml:space="preserve">. The impacts of market size and data-driven marketing on the sales mode selection in an Internet platform based supply chain. </w:t>
      </w:r>
      <w:r>
        <w:rPr>
          <w:i/>
        </w:rPr>
        <w:t>Transportation Research Part E: Logistics and Transportation Review,</w:t>
      </w:r>
      <w:r>
        <w:t xml:space="preserve"> 136, p.101914. Available at: https://nscpolteksby.ac.id/ebook/files/Ebook/Journal%20International/Marketing/Transportation%20Research%20Part%20E%20Logistics%20and%20Transportation%20Review%20-%20Volume%20136%2C%20April%202020%2C%20101914.pdf</w:t>
      </w:r>
    </w:p>
    <w:p>
      <w:r>
        <w:rPr>
          <w:rFonts w:hint="default"/>
          <w:lang w:val="en-US"/>
        </w:rPr>
        <w:t>(</w:t>
      </w:r>
      <w:r>
        <w:t>Perez, H.D., Hubbs, C.D., Li, C. and Grossmann, I.E., (2021)</w:t>
      </w:r>
      <w:r>
        <w:rPr>
          <w:rFonts w:hint="default"/>
          <w:lang w:val="en-US"/>
        </w:rPr>
        <w:t>)</w:t>
      </w:r>
      <w:r>
        <w:t xml:space="preserve">. Algorithmic approaches to inventory management optimization. </w:t>
      </w:r>
      <w:r>
        <w:rPr>
          <w:i/>
        </w:rPr>
        <w:t>Processes</w:t>
      </w:r>
      <w:r>
        <w:t>, 9(1), p.102. Available at: https://doi.org/10.3390/pr9010102</w:t>
      </w:r>
    </w:p>
    <w:p>
      <w:r>
        <w:rPr>
          <w:rFonts w:hint="default"/>
          <w:lang w:val="en-US"/>
        </w:rPr>
        <w:t>(</w:t>
      </w:r>
      <w:r>
        <w:t>Sonia, D. and Khafid, M., (2020)</w:t>
      </w:r>
      <w:r>
        <w:rPr>
          <w:rFonts w:hint="default"/>
          <w:lang w:val="en-US"/>
        </w:rPr>
        <w:t>)</w:t>
      </w:r>
      <w:r>
        <w:t xml:space="preserve">. The Effect of liquidity, leverage, and audit committee on sustainability report disclosure with profitability as a mediating variable. </w:t>
      </w:r>
      <w:r>
        <w:rPr>
          <w:i/>
        </w:rPr>
        <w:t>Accounting Analysis Journal,</w:t>
      </w:r>
      <w:r>
        <w:t xml:space="preserve"> 9(2), pp.95-102. Available at: 10.15294/aaj.v9i2.31060</w:t>
      </w:r>
    </w:p>
    <w:p>
      <w:r>
        <w:rPr>
          <w:rFonts w:hint="default"/>
          <w:lang w:val="en-US"/>
        </w:rPr>
        <w:t>(</w:t>
      </w:r>
      <w:r>
        <w:t>Surur, M., Wibawa, R.P., Jaya, F., Suparto, A.A., Harefa, D., Faidi, A., Triwahyuni, E., Suartama, I.K., Mufid, A. and Purwanto, A., (2020)</w:t>
      </w:r>
      <w:r>
        <w:rPr>
          <w:rFonts w:hint="default"/>
          <w:lang w:val="en-US"/>
        </w:rPr>
        <w:t>)</w:t>
      </w:r>
      <w:r>
        <w:t xml:space="preserve">. Effect of education operational cost on the education quality with the school productivity as moderating variable. </w:t>
      </w:r>
      <w:r>
        <w:rPr>
          <w:i/>
        </w:rPr>
        <w:t xml:space="preserve">Psychology and Education, </w:t>
      </w:r>
      <w:r>
        <w:t>57(9), pp.1196-1205. Available at: https://d1wqtxts1xzle7.cloudfront.net/65678745/445_Article_Text_718_2_10_20210128_3-libre.pdf?1613228598=&amp;response-content-disposition=inline%3B+filename%3DEffect_Of_Education_Operational_Cost_On.pdf&amp;Expires=1711532604&amp;Signature=Xiqimsgo020Sd~grRjnNeZfSphvsCG-W84AAD0MJN6d2c~58TzCfhNThgLxP1IZDDlgQyep5RIy5WixrHuDFi0FAyuNcqnylZmqk3zYcIJ0zp2kJwP53CQDmkty-BrATpOW23ILKB8TOL9Gbwzs24zYFrT6Hro6636GDiS4djNpn00eghmIldKTrr73i4SvTAd5OcgZNaISxutKGTg-V52gZUp~lCAbrKXa71xFqVGBXqU5~6KtHRXVHrZ8Q9fJi4IzI3-dSqMBPRnQCo94R9QiWEJSdw19l2nGmpduT4L~7kZf6cu-ZSz3gf1LPYNdZXknLlkA1WYxKAA0FHDorwA__&amp;Key-Pair-Id=APKAJLOHF5GGSLRBV4ZA</w:t>
      </w:r>
    </w:p>
    <w:p>
      <w:r>
        <w:rPr>
          <w:rFonts w:hint="default"/>
          <w:lang w:val="en-US"/>
        </w:rPr>
        <w:t>(</w:t>
      </w:r>
      <w:r>
        <w:t>Vu, T.M.T., Truong, T.V. and Dinh, D.T., (2020)</w:t>
      </w:r>
      <w:r>
        <w:rPr>
          <w:rFonts w:hint="default"/>
          <w:lang w:val="en-US"/>
        </w:rPr>
        <w:t>)</w:t>
      </w:r>
      <w:r>
        <w:t xml:space="preserve">. Determinants of liquidity in manufacturing firms. </w:t>
      </w:r>
      <w:r>
        <w:rPr>
          <w:i/>
        </w:rPr>
        <w:t>The Journal of Asian Finance, Economics and Business</w:t>
      </w:r>
      <w:r>
        <w:t>, 7(12), pp.11-19. Available at: 10.13106/jafeb.2020.vol7.no12.011</w:t>
      </w:r>
    </w:p>
    <w:p>
      <w:r>
        <w:rPr>
          <w:rFonts w:hint="default"/>
          <w:lang w:val="en-US"/>
        </w:rPr>
        <w:t>(</w:t>
      </w:r>
      <w:r>
        <w:t>Wang, Z., Akbar, M. and Akbar, A., (2020</w:t>
      </w:r>
      <w:r>
        <w:rPr>
          <w:rFonts w:hint="default"/>
          <w:lang w:val="en-US"/>
        </w:rPr>
        <w:t>)</w:t>
      </w:r>
      <w:r>
        <w:t xml:space="preserve">). The interplay between working capital management and a firm’s financial performance across the corporate life cycle. </w:t>
      </w:r>
      <w:r>
        <w:rPr>
          <w:i/>
        </w:rPr>
        <w:t>Sustainability</w:t>
      </w:r>
      <w:r>
        <w:t>, 12(4), p.1661. Available at: http://dx.doi.org/10.3390/su12041661</w:t>
      </w:r>
    </w:p>
    <w:p>
      <w:r>
        <w:rPr>
          <w:rFonts w:hint="default"/>
          <w:lang w:val="en-US"/>
        </w:rPr>
        <w:t>(</w:t>
      </w:r>
      <w:r>
        <w:t>Zimon, G., Nakonieczny, J., Chudy-Laskowska, K., Wójcik-Jurkiewicz, M. and Kochański, K., (2021)</w:t>
      </w:r>
      <w:r>
        <w:rPr>
          <w:rFonts w:hint="default"/>
          <w:lang w:val="en-US"/>
        </w:rPr>
        <w:t>)</w:t>
      </w:r>
      <w:r>
        <w:t xml:space="preserve">. An analysis of the financial liquidity management strategy in construction companies operating in the Podkarpackie Province. </w:t>
      </w:r>
      <w:r>
        <w:rPr>
          <w:i/>
        </w:rPr>
        <w:t>Risks</w:t>
      </w:r>
      <w:r>
        <w:t>, 10(1), p.5. Available at: https://doi.org/10.3390/risks10010005</w:t>
      </w:r>
    </w:p>
    <w:p>
      <w:r>
        <w:rPr>
          <w:rFonts w:hint="default"/>
          <w:lang w:val="en-US"/>
        </w:rPr>
        <w:t>(</w:t>
      </w:r>
      <w:r>
        <w:t>Di Foggia, G., (2021</w:t>
      </w:r>
      <w:r>
        <w:rPr>
          <w:rFonts w:hint="default"/>
          <w:lang w:val="en-US"/>
        </w:rPr>
        <w:t>)</w:t>
      </w:r>
      <w:r>
        <w:t xml:space="preserve">). Drivers and challenges of electric vehicles integration in corporate fleet: An empirical survey. </w:t>
      </w:r>
      <w:r>
        <w:rPr>
          <w:i/>
        </w:rPr>
        <w:t>Research in Transportation Business &amp; Management,</w:t>
      </w:r>
      <w:r>
        <w:t xml:space="preserve"> 41, p.100627. Available at: https://doi.org/10.1016/j.rtbm.2021.100627</w:t>
      </w:r>
    </w:p>
    <w:p>
      <w:r>
        <w:rPr>
          <w:rFonts w:hint="default"/>
          <w:lang w:val="en-US"/>
        </w:rPr>
        <w:t>(</w:t>
      </w:r>
      <w:r>
        <w:t>Haakman, M., Cruz, L., Huijgens, H. and Van Deursen, A., (2021</w:t>
      </w:r>
      <w:r>
        <w:rPr>
          <w:rFonts w:hint="default"/>
          <w:lang w:val="en-US"/>
        </w:rPr>
        <w:t>)</w:t>
      </w:r>
      <w:r>
        <w:t xml:space="preserve">). AI lifecycle models need to be revised: An exploratory study in Fintech. </w:t>
      </w:r>
      <w:r>
        <w:rPr>
          <w:i/>
        </w:rPr>
        <w:t>Empirical Software Engineering</w:t>
      </w:r>
      <w:r>
        <w:t>, 26(5), p.95. Available at: https://doi.org/10.1007/s10664-021-09993-1</w:t>
      </w:r>
    </w:p>
    <w:p>
      <w:r>
        <w:rPr>
          <w:rFonts w:hint="default"/>
          <w:lang w:val="en-US"/>
        </w:rPr>
        <w:t>(</w:t>
      </w:r>
      <w:r>
        <w:t>Le, S., (2021</w:t>
      </w:r>
      <w:r>
        <w:rPr>
          <w:rFonts w:hint="default"/>
          <w:lang w:val="en-US"/>
        </w:rPr>
        <w:t>)</w:t>
      </w:r>
      <w:r>
        <w:t>), December. The applications of NPV in different types of markets.</w:t>
      </w:r>
      <w:r>
        <w:rPr>
          <w:i/>
        </w:rPr>
        <w:t xml:space="preserve"> In 2021 3rd International Conference on Economic Management and Cultural Industry (ICEMCI 2021) </w:t>
      </w:r>
      <w:r>
        <w:t>(pp. 1054-1059). Atlantis Press. Available at: https://www.atlantis-press.com/article/125966042.pdf</w:t>
      </w:r>
    </w:p>
    <w:p>
      <w:r>
        <w:rPr>
          <w:rFonts w:hint="default"/>
          <w:lang w:val="en-US"/>
        </w:rPr>
        <w:t>(</w:t>
      </w:r>
      <w:r>
        <w:t>Liu, H., Alli, H. and Yusoff, I.S.M., (2024)</w:t>
      </w:r>
      <w:r>
        <w:rPr>
          <w:rFonts w:hint="default"/>
          <w:lang w:val="en-US"/>
        </w:rPr>
        <w:t>)</w:t>
      </w:r>
      <w:r>
        <w:t xml:space="preserve">. The impact of user preference and perceived value on customer satisfaction and marketability at traditional handicraft product. </w:t>
      </w:r>
      <w:r>
        <w:rPr>
          <w:i/>
        </w:rPr>
        <w:t xml:space="preserve">Cogent Business &amp; Management, </w:t>
      </w:r>
      <w:r>
        <w:t>11(1), p.2327476. Available at: https://doi.org/10.1080/23311975.2024.2327476</w:t>
      </w:r>
    </w:p>
    <w:p>
      <w:r>
        <w:rPr>
          <w:rFonts w:hint="default"/>
          <w:lang w:val="en-US"/>
        </w:rPr>
        <w:t>(</w:t>
      </w:r>
      <w:r>
        <w:t>Lu, J. and Yin, S., (2021</w:t>
      </w:r>
      <w:r>
        <w:rPr>
          <w:rFonts w:hint="default"/>
          <w:lang w:val="en-US"/>
        </w:rPr>
        <w:t>)</w:t>
      </w:r>
      <w:r>
        <w:t xml:space="preserve">), April. Application of net present value method and internal rate of return method in investment decision. </w:t>
      </w:r>
      <w:r>
        <w:rPr>
          <w:i/>
        </w:rPr>
        <w:t xml:space="preserve">In Proceedings of the 4th International Conference on Global Economy, Finance and Humanities Research, Chongqing, China </w:t>
      </w:r>
      <w:r>
        <w:t>(pp. 10-11). Available at: https://clausiuspress.com/conferences/LNEMSS/GEFHR%202021/Y0248.pdf</w:t>
      </w:r>
    </w:p>
    <w:p>
      <w:r>
        <w:rPr>
          <w:rFonts w:hint="default"/>
          <w:lang w:val="en-US"/>
        </w:rPr>
        <w:t>(</w:t>
      </w:r>
      <w:r>
        <w:t>Noury, B., Hammami, H., Ousama, A.A. and Zeitun, R., (2020</w:t>
      </w:r>
      <w:r>
        <w:rPr>
          <w:rFonts w:hint="default"/>
          <w:lang w:val="en-US"/>
        </w:rPr>
        <w:t>)</w:t>
      </w:r>
      <w:r>
        <w:t xml:space="preserve">). The prediction of future cash flows based on operating cash flows, earnings and accruals in the French context. </w:t>
      </w:r>
      <w:r>
        <w:rPr>
          <w:i/>
        </w:rPr>
        <w:t>Journal of Behavioral and Experimental Finance,</w:t>
      </w:r>
      <w:r>
        <w:t xml:space="preserve"> 28, p.100414. Available at: https://doi.org/10.1016/j.jbef.2020.100414</w:t>
      </w:r>
    </w:p>
    <w:p>
      <w:r>
        <w:rPr>
          <w:rFonts w:hint="default"/>
          <w:lang w:val="en-US"/>
        </w:rPr>
        <w:t>(</w:t>
      </w:r>
      <w:r>
        <w:t>Nukala, V.B. and Prasada Rao, S.S., (2021</w:t>
      </w:r>
      <w:r>
        <w:rPr>
          <w:rFonts w:hint="default"/>
          <w:lang w:val="en-US"/>
        </w:rPr>
        <w:t>)</w:t>
      </w:r>
      <w:r>
        <w:t xml:space="preserve">). Role of debt-to-equity ratio in project investment valuation, assessing risk and return in capital markets. </w:t>
      </w:r>
      <w:r>
        <w:rPr>
          <w:i/>
        </w:rPr>
        <w:t>Future Business Journal</w:t>
      </w:r>
      <w:r>
        <w:t>, 7(1), p.13. Available at: https://doi.org/10.1186/s43093-021-00058-9</w:t>
      </w:r>
    </w:p>
    <w:p>
      <w:r>
        <w:rPr>
          <w:rFonts w:hint="default"/>
          <w:lang w:val="en-US"/>
        </w:rPr>
        <w:t>(</w:t>
      </w:r>
      <w:r>
        <w:t>Orieno, O.H., Ndubuisi, N.L., Eyo-Udo, N.L., Ilojianya, V.I. and Biu, P.W., (2024</w:t>
      </w:r>
      <w:r>
        <w:rPr>
          <w:rFonts w:hint="default"/>
          <w:lang w:val="en-US"/>
        </w:rPr>
        <w:t>)</w:t>
      </w:r>
      <w:r>
        <w:t xml:space="preserve">). Sustainability in project management: A comprehensive review. </w:t>
      </w:r>
      <w:r>
        <w:rPr>
          <w:i/>
        </w:rPr>
        <w:t>World Journal of Advanced Research and Reviews,</w:t>
      </w:r>
      <w:r>
        <w:t xml:space="preserve"> 21(1), pp.656-677. Available at: https://doi.org/10.30574/wjarr.2024.21.1.0060</w:t>
      </w:r>
    </w:p>
    <w:p>
      <w:r>
        <w:rPr>
          <w:rFonts w:hint="default"/>
          <w:lang w:val="en-US"/>
        </w:rPr>
        <w:t>(</w:t>
      </w:r>
      <w:r>
        <w:t>Sim, S.Y., Watts, E., Constenla, D., Brenzel, L. and Patenaude, B.N., (2020</w:t>
      </w:r>
      <w:r>
        <w:rPr>
          <w:rFonts w:hint="default"/>
          <w:lang w:val="en-US"/>
        </w:rPr>
        <w:t>)</w:t>
      </w:r>
      <w:r>
        <w:t xml:space="preserve">). Return On Investment From Immunization Against 10 Pathogens In 94 Low-And Middle-Income Countries, 2011–30: Study estimates return on investment from immunization programs against ten pathogens for ninety-four low-and middle-income countries from 2011 to 2030. </w:t>
      </w:r>
      <w:r>
        <w:rPr>
          <w:i/>
        </w:rPr>
        <w:t>Health Affairs</w:t>
      </w:r>
      <w:r>
        <w:t>, 39(8), pp.1343-1353. Available at: doi: 10.1377/hlthaff.2020.00103</w:t>
      </w:r>
    </w:p>
    <w:sectPr>
      <w:footerReference r:id="rId5" w:type="default"/>
      <w:pgSz w:w="11909" w:h="16834"/>
      <w:pgMar w:top="1440" w:right="1440" w:bottom="1440" w:left="1440" w:header="720" w:footer="720" w:gutter="0"/>
      <w:pgNumType w:start="0"/>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 w:name="MS PGothic">
    <w:panose1 w:val="020B0600070205080204"/>
    <w:charset w:val="80"/>
    <w:family w:val="auto"/>
    <w:pitch w:val="default"/>
    <w:sig w:usb0="E00002FF" w:usb1="6AC7FDFB" w:usb2="08000012" w:usb3="00000000" w:csb0="4002009F" w:csb1="DFD70000"/>
  </w:font>
  <w:font w:name="Symbol">
    <w:panose1 w:val="05050102010706020507"/>
    <w:charset w:val="00"/>
    <w:family w:val="auto"/>
    <w:pitch w:val="default"/>
    <w:sig w:usb0="00000000" w:usb1="00000000" w:usb2="00000000" w:usb3="00000000" w:csb0="80000000" w:csb1="00000000"/>
  </w:font>
  <w:font w:name="Yu Gothic UI">
    <w:panose1 w:val="020B0500000000000000"/>
    <w:charset w:val="80"/>
    <w:family w:val="auto"/>
    <w:pitch w:val="default"/>
    <w:sig w:usb0="E00002FF" w:usb1="2AC7FDFF" w:usb2="00000016" w:usb3="00000000" w:csb0="2002009F" w:csb1="00000000"/>
  </w:font>
  <w:font w:name="Sitka Text Semibold">
    <w:panose1 w:val="00000000000000000000"/>
    <w:charset w:val="00"/>
    <w:family w:val="auto"/>
    <w:pitch w:val="default"/>
    <w:sig w:usb0="A00002EF" w:usb1="4000204B" w:usb2="00000000" w:usb3="00000000" w:csb0="2000019F" w:csb1="00000000"/>
  </w:font>
  <w:font w:name="Sitka Text">
    <w:panose1 w:val="00000000000000000000"/>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w:instrText>
    </w:r>
    <w:r>
      <w:fldChar w:fldCharType="separate"/>
    </w:r>
    <w: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BA7"/>
    <w:rsid w:val="00062A46"/>
    <w:rsid w:val="000A4BA7"/>
    <w:rsid w:val="000B312B"/>
    <w:rsid w:val="00257A0B"/>
    <w:rsid w:val="002718F6"/>
    <w:rsid w:val="004B21AE"/>
    <w:rsid w:val="00703F56"/>
    <w:rsid w:val="008B35F8"/>
    <w:rsid w:val="00984075"/>
    <w:rsid w:val="00C50EB7"/>
    <w:rsid w:val="00D2005C"/>
    <w:rsid w:val="00ED3301"/>
    <w:rsid w:val="03F01DCD"/>
    <w:rsid w:val="4D9356F7"/>
    <w:rsid w:val="511F358E"/>
    <w:rsid w:val="54F376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00" w:after="200" w:line="360" w:lineRule="auto"/>
      <w:jc w:val="both"/>
    </w:pPr>
    <w:rPr>
      <w:rFonts w:ascii="Times New Roman" w:hAnsi="Times New Roman" w:eastAsia="Times New Roman" w:cs="Times New Roman"/>
      <w:sz w:val="24"/>
      <w:szCs w:val="24"/>
      <w:lang w:val="en-GB" w:eastAsia="en-US" w:bidi="ar-SA"/>
    </w:rPr>
  </w:style>
  <w:style w:type="paragraph" w:styleId="2">
    <w:name w:val="heading 1"/>
    <w:basedOn w:val="1"/>
    <w:next w:val="1"/>
    <w:qFormat/>
    <w:uiPriority w:val="9"/>
    <w:pPr>
      <w:keepNext/>
      <w:keepLines/>
      <w:outlineLvl w:val="0"/>
    </w:pPr>
    <w:rPr>
      <w:b/>
    </w:rPr>
  </w:style>
  <w:style w:type="paragraph" w:styleId="3">
    <w:name w:val="heading 2"/>
    <w:basedOn w:val="1"/>
    <w:next w:val="1"/>
    <w:unhideWhenUsed/>
    <w:qFormat/>
    <w:uiPriority w:val="9"/>
    <w:pPr>
      <w:keepNext/>
      <w:keepLines/>
      <w:outlineLvl w:val="1"/>
    </w:pPr>
    <w:rPr>
      <w:b/>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color w:val="666666"/>
      <w:sz w:val="22"/>
      <w:szCs w:val="22"/>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23"/>
    <w:unhideWhenUsed/>
    <w:qFormat/>
    <w:uiPriority w:val="99"/>
    <w:pPr>
      <w:tabs>
        <w:tab w:val="center" w:pos="4680"/>
        <w:tab w:val="right" w:pos="9360"/>
      </w:tabs>
      <w:spacing w:before="0" w:after="0" w:line="240" w:lineRule="auto"/>
    </w:pPr>
  </w:style>
  <w:style w:type="paragraph" w:styleId="11">
    <w:name w:val="header"/>
    <w:basedOn w:val="1"/>
    <w:link w:val="22"/>
    <w:unhideWhenUsed/>
    <w:qFormat/>
    <w:uiPriority w:val="99"/>
    <w:pPr>
      <w:tabs>
        <w:tab w:val="center" w:pos="4680"/>
        <w:tab w:val="right" w:pos="9360"/>
      </w:tabs>
      <w:spacing w:before="0" w:after="0"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Subtitle"/>
    <w:basedOn w:val="1"/>
    <w:next w:val="1"/>
    <w:qFormat/>
    <w:uiPriority w:val="11"/>
    <w:pPr>
      <w:keepNext/>
      <w:keepLines/>
      <w:spacing w:before="0" w:after="320"/>
    </w:pPr>
    <w:rPr>
      <w:rFonts w:ascii="Arial" w:hAnsi="Arial" w:eastAsia="Arial" w:cs="Arial"/>
      <w:color w:val="666666"/>
      <w:sz w:val="30"/>
      <w:szCs w:val="30"/>
    </w:rPr>
  </w:style>
  <w:style w:type="paragraph" w:styleId="14">
    <w:name w:val="Title"/>
    <w:basedOn w:val="1"/>
    <w:next w:val="1"/>
    <w:qFormat/>
    <w:uiPriority w:val="10"/>
    <w:pPr>
      <w:keepNext/>
      <w:keepLines/>
      <w:spacing w:before="0" w:after="60"/>
    </w:pPr>
    <w:rPr>
      <w:sz w:val="52"/>
      <w:szCs w:val="52"/>
    </w:rPr>
  </w:style>
  <w:style w:type="paragraph" w:styleId="15">
    <w:name w:val="toc 1"/>
    <w:basedOn w:val="1"/>
    <w:next w:val="1"/>
    <w:unhideWhenUsed/>
    <w:qFormat/>
    <w:uiPriority w:val="39"/>
    <w:pPr>
      <w:spacing w:after="100"/>
    </w:pPr>
  </w:style>
  <w:style w:type="paragraph" w:styleId="16">
    <w:name w:val="toc 2"/>
    <w:basedOn w:val="1"/>
    <w:next w:val="1"/>
    <w:unhideWhenUsed/>
    <w:qFormat/>
    <w:uiPriority w:val="39"/>
    <w:pPr>
      <w:spacing w:after="100"/>
      <w:ind w:left="240"/>
    </w:pPr>
  </w:style>
  <w:style w:type="table" w:customStyle="1" w:styleId="17">
    <w:name w:val="_Style 11"/>
    <w:basedOn w:val="9"/>
    <w:qFormat/>
    <w:uiPriority w:val="0"/>
    <w:tblPr>
      <w:tblCellMar>
        <w:top w:w="100" w:type="dxa"/>
        <w:left w:w="100" w:type="dxa"/>
        <w:bottom w:w="100" w:type="dxa"/>
        <w:right w:w="100" w:type="dxa"/>
      </w:tblCellMar>
    </w:tblPr>
  </w:style>
  <w:style w:type="table" w:customStyle="1" w:styleId="18">
    <w:name w:val="_Style 12"/>
    <w:basedOn w:val="9"/>
    <w:qFormat/>
    <w:uiPriority w:val="0"/>
    <w:tblPr>
      <w:tblCellMar>
        <w:top w:w="100" w:type="dxa"/>
        <w:left w:w="100" w:type="dxa"/>
        <w:bottom w:w="100" w:type="dxa"/>
        <w:right w:w="100" w:type="dxa"/>
      </w:tblCellMar>
    </w:tblPr>
  </w:style>
  <w:style w:type="table" w:customStyle="1" w:styleId="19">
    <w:name w:val="_Style 13"/>
    <w:basedOn w:val="9"/>
    <w:qFormat/>
    <w:uiPriority w:val="0"/>
    <w:tblPr>
      <w:tblCellMar>
        <w:top w:w="100" w:type="dxa"/>
        <w:left w:w="100" w:type="dxa"/>
        <w:bottom w:w="100" w:type="dxa"/>
        <w:right w:w="100" w:type="dxa"/>
      </w:tblCellMar>
    </w:tblPr>
  </w:style>
  <w:style w:type="table" w:customStyle="1" w:styleId="20">
    <w:name w:val="_Style 14"/>
    <w:basedOn w:val="9"/>
    <w:qFormat/>
    <w:uiPriority w:val="0"/>
    <w:tblPr>
      <w:tblCellMar>
        <w:top w:w="100" w:type="dxa"/>
        <w:left w:w="100" w:type="dxa"/>
        <w:bottom w:w="100" w:type="dxa"/>
        <w:right w:w="100" w:type="dxa"/>
      </w:tblCellMar>
    </w:tblPr>
  </w:style>
  <w:style w:type="table" w:customStyle="1" w:styleId="21">
    <w:name w:val="_Style 15"/>
    <w:basedOn w:val="9"/>
    <w:qFormat/>
    <w:uiPriority w:val="0"/>
    <w:tblPr>
      <w:tblCellMar>
        <w:top w:w="100" w:type="dxa"/>
        <w:left w:w="100" w:type="dxa"/>
        <w:bottom w:w="100" w:type="dxa"/>
        <w:right w:w="100" w:type="dxa"/>
      </w:tblCellMar>
    </w:tblPr>
  </w:style>
  <w:style w:type="character" w:customStyle="1" w:styleId="22">
    <w:name w:val="Header Char"/>
    <w:basedOn w:val="8"/>
    <w:link w:val="11"/>
    <w:qFormat/>
    <w:uiPriority w:val="99"/>
  </w:style>
  <w:style w:type="character" w:customStyle="1" w:styleId="23">
    <w:name w:val="Footer Char"/>
    <w:basedOn w:val="8"/>
    <w:link w:val="10"/>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53DB5-6D4B-4926-A3A8-BC38191EBC1D}">
  <ds:schemaRefs/>
</ds:datastoreItem>
</file>

<file path=docProps/app.xml><?xml version="1.0" encoding="utf-8"?>
<Properties xmlns="http://schemas.openxmlformats.org/officeDocument/2006/extended-properties" xmlns:vt="http://schemas.openxmlformats.org/officeDocument/2006/docPropsVTypes">
  <Template>Normal</Template>
  <Pages>27</Pages>
  <Words>6746</Words>
  <Characters>38453</Characters>
  <Lines>320</Lines>
  <Paragraphs>90</Paragraphs>
  <TotalTime>106</TotalTime>
  <ScaleCrop>false</ScaleCrop>
  <LinksUpToDate>false</LinksUpToDate>
  <CharactersWithSpaces>45109</CharactersWithSpaces>
  <Application>WPS Office_12.2.0.13472_F1E327BC-269C-435d-A152-05C5408002CA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2024-04-17T20:38:00Z</dcterms:created>
  <dcterms:modified xsi:type="dcterms:W3CDTF">2024-04-23T14:53:21Z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1033-12.2.0.13472</vt:lpwstr>
  </property>
  <property fmtid="{D5CDD505-2E9C-101B-9397-08002B2CF9AE}" pid="3" name="ICV">
    <vt:lpwstr>6F91EA3C2A004F9B90B73387F66C0666_13</vt:lpwstr>
  </property>
</Properties>
</file>